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caps/>
          <w:color w:val="auto"/>
          <w:sz w:val="44"/>
          <w:szCs w:val="44"/>
          <w:highlight w:val="none"/>
        </w:rPr>
      </w:pPr>
      <w:r>
        <w:rPr>
          <w:rFonts w:hint="eastAsia" w:ascii="宋体"/>
          <w:caps/>
          <w:color w:val="auto"/>
          <w:sz w:val="44"/>
          <w:szCs w:val="44"/>
          <w:highlight w:val="none"/>
        </w:rPr>
        <w:t xml:space="preserve"> </w:t>
      </w:r>
      <w:r/>
    </w:p>
    <w:p>
      <w:pPr>
        <w:pStyle w:val="858"/>
        <w:rPr>
          <w:color w:val="auto"/>
          <w:highlight w:val="none"/>
          <w:lang w:val="zh-CN"/>
        </w:rPr>
      </w:pPr>
      <w:r>
        <w:rPr>
          <w:color w:val="auto"/>
          <w:highlight w:val="none"/>
          <w:lang w:val="zh-CN"/>
        </w:rPr>
      </w:r>
      <w:r/>
    </w:p>
    <w:p>
      <w:pPr>
        <w:jc w:val="center"/>
        <w:spacing w:line="360" w:lineRule="auto"/>
        <w:widowControl/>
        <w:rPr>
          <w:rFonts w:ascii="宋体"/>
          <w:color w:val="auto"/>
          <w:sz w:val="32"/>
          <w:szCs w:val="32"/>
          <w:highlight w:val="none"/>
        </w:rPr>
      </w:pPr>
      <w:r>
        <w:rPr>
          <w:rFonts w:hint="eastAsia" w:ascii="宋体" w:hAnsi="宋体" w:cs="宋体"/>
          <w:b/>
          <w:color w:val="auto"/>
          <w:sz w:val="44"/>
          <w:szCs w:val="44"/>
          <w:highlight w:val="none"/>
        </w:rPr>
        <w:t xml:space="preserve">南京医科大学疫苗平台扫透一体电子显微系统采购项目</w:t>
      </w:r>
      <w:r/>
    </w:p>
    <w:p>
      <w:pPr>
        <w:jc w:val="center"/>
        <w:spacing w:line="360" w:lineRule="auto"/>
        <w:widowControl/>
        <w:rPr>
          <w:color w:val="auto"/>
          <w:highlight w:val="none"/>
        </w:rPr>
      </w:pPr>
      <w:r>
        <w:rPr>
          <w:color w:val="auto"/>
          <w:highlight w:val="none"/>
        </w:rPr>
      </w:r>
      <w:r/>
    </w:p>
    <w:p>
      <w:pPr>
        <w:jc w:val="center"/>
        <w:spacing w:line="360" w:lineRule="auto"/>
        <w:widowControl/>
        <w:rPr>
          <w:color w:val="auto"/>
          <w:highlight w:val="none"/>
        </w:rPr>
      </w:pPr>
      <w:r>
        <w:rPr>
          <w:color w:val="auto"/>
          <w:highlight w:val="none"/>
        </w:rPr>
      </w:r>
      <w:r/>
    </w:p>
    <w:p>
      <w:pPr>
        <w:jc w:val="center"/>
        <w:spacing w:line="360" w:lineRule="auto"/>
        <w:widowControl/>
        <w:rPr>
          <w:color w:val="auto"/>
          <w:highlight w:val="none"/>
        </w:rPr>
      </w:pPr>
      <w:r>
        <w:rPr>
          <w:color w:val="auto"/>
          <w:highlight w:val="none"/>
        </w:rPr>
      </w:r>
      <w:r/>
    </w:p>
    <w:p>
      <w:pPr>
        <w:jc w:val="center"/>
        <w:spacing w:line="360" w:lineRule="auto"/>
        <w:widowControl/>
        <w:rPr>
          <w:color w:val="auto"/>
          <w:highlight w:val="none"/>
        </w:rPr>
      </w:pPr>
      <w:r>
        <w:rPr>
          <w:color w:val="auto"/>
          <w:highlight w:val="none"/>
        </w:rPr>
        <mc:AlternateContent>
          <mc:Choice Requires="wpg">
            <w:drawing>
              <wp:inline xmlns:wp="http://schemas.openxmlformats.org/drawingml/2006/wordprocessingDrawing" distT="0" distB="0" distL="0" distR="0">
                <wp:extent cx="1716405" cy="2131060"/>
                <wp:effectExtent l="0" t="0" r="10795" b="2540"/>
                <wp:docPr id="6" name="图片 2"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我的插图-1"/>
                        <pic:cNvPicPr>
                          <a:picLocks noChangeAspect="1"/>
                        </pic:cNvPicPr>
                        <pic:nvPr/>
                      </pic:nvPicPr>
                      <pic:blipFill>
                        <a:blip r:embed="rId15"/>
                        <a:stretch/>
                      </pic:blipFill>
                      <pic:spPr bwMode="auto">
                        <a:xfrm>
                          <a:off x="0" y="0"/>
                          <a:ext cx="1716405" cy="2131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35.2pt;height:167.8pt;mso-wrap-distance-left:0.0pt;mso-wrap-distance-top:0.0pt;mso-wrap-distance-right:0.0pt;mso-wrap-distance-bottom:0.0pt;" stroked="f">
                <v:path textboxrect="0,0,0,0"/>
                <v:imagedata r:id="rId15" o:title=""/>
              </v:shape>
            </w:pict>
          </mc:Fallback>
        </mc:AlternateContent>
      </w:r>
      <w:r/>
    </w:p>
    <w:p>
      <w:pPr>
        <w:jc w:val="center"/>
        <w:spacing w:line="360" w:lineRule="auto"/>
        <w:widowControl/>
        <w:rPr>
          <w:rFonts w:ascii="宋体"/>
          <w:b/>
          <w:color w:val="auto"/>
          <w:sz w:val="72"/>
          <w:szCs w:val="72"/>
          <w:highlight w:val="none"/>
        </w:rPr>
      </w:pPr>
      <w:r>
        <w:rPr>
          <w:rFonts w:hint="eastAsia" w:ascii="宋体" w:hAnsi="宋体"/>
          <w:b/>
          <w:color w:val="auto"/>
          <w:sz w:val="72"/>
          <w:szCs w:val="72"/>
          <w:highlight w:val="none"/>
        </w:rPr>
        <w:t xml:space="preserve">招标文件</w:t>
      </w:r>
      <w:r/>
    </w:p>
    <w:p>
      <w:pPr>
        <w:jc w:val="center"/>
        <w:spacing w:line="360" w:lineRule="auto"/>
        <w:widowControl/>
        <w:rPr>
          <w:rFonts w:ascii="宋体"/>
          <w:b/>
          <w:color w:val="auto"/>
          <w:sz w:val="36"/>
          <w:szCs w:val="36"/>
          <w:highlight w:val="none"/>
        </w:rPr>
      </w:pPr>
      <w:r>
        <w:rPr>
          <w:rFonts w:hint="eastAsia" w:ascii="宋体" w:hAnsi="宋体"/>
          <w:b/>
          <w:color w:val="auto"/>
          <w:sz w:val="32"/>
          <w:szCs w:val="32"/>
          <w:highlight w:val="none"/>
        </w:rPr>
        <w:t xml:space="preserve">项目编号：JSZC-320000-SNZX-G2026-0097</w:t>
      </w:r>
      <w:r/>
    </w:p>
    <w:p>
      <w:pPr>
        <w:pStyle w:val="858"/>
        <w:rPr>
          <w:rFonts w:ascii="宋体"/>
          <w:b/>
          <w:color w:val="auto"/>
          <w:sz w:val="36"/>
          <w:szCs w:val="36"/>
          <w:highlight w:val="none"/>
        </w:rPr>
      </w:pPr>
      <w:r>
        <w:rPr>
          <w:rFonts w:ascii="宋体"/>
          <w:b/>
          <w:color w:val="auto"/>
          <w:sz w:val="36"/>
          <w:szCs w:val="36"/>
          <w:highlight w:val="none"/>
        </w:rPr>
      </w:r>
      <w:r/>
    </w:p>
    <w:p>
      <w:pPr>
        <w:pStyle w:val="858"/>
        <w:rPr>
          <w:rFonts w:ascii="宋体"/>
          <w:b/>
          <w:color w:val="auto"/>
          <w:sz w:val="36"/>
          <w:szCs w:val="36"/>
          <w:highlight w:val="none"/>
        </w:rPr>
      </w:pPr>
      <w:r>
        <w:rPr>
          <w:rFonts w:ascii="宋体"/>
          <w:b/>
          <w:color w:val="auto"/>
          <w:sz w:val="36"/>
          <w:szCs w:val="36"/>
          <w:highlight w:val="none"/>
        </w:rPr>
      </w:r>
      <w:r/>
    </w:p>
    <w:p>
      <w:pPr>
        <w:pStyle w:val="858"/>
        <w:rPr>
          <w:rFonts w:ascii="宋体"/>
          <w:b/>
          <w:color w:val="auto"/>
          <w:sz w:val="36"/>
          <w:szCs w:val="36"/>
          <w:highlight w:val="none"/>
        </w:rPr>
      </w:pPr>
      <w:r>
        <w:rPr>
          <w:rFonts w:ascii="宋体"/>
          <w:b/>
          <w:color w:val="auto"/>
          <w:sz w:val="36"/>
          <w:szCs w:val="36"/>
          <w:highlight w:val="none"/>
        </w:rPr>
      </w:r>
      <w:r/>
    </w:p>
    <w:p>
      <w:pPr>
        <w:pStyle w:val="858"/>
        <w:rPr>
          <w:rFonts w:ascii="宋体"/>
          <w:b/>
          <w:color w:val="auto"/>
          <w:sz w:val="36"/>
          <w:szCs w:val="36"/>
          <w:highlight w:val="none"/>
        </w:rPr>
      </w:pPr>
      <w:r>
        <w:rPr>
          <w:rFonts w:ascii="宋体"/>
          <w:b/>
          <w:color w:val="auto"/>
          <w:sz w:val="36"/>
          <w:szCs w:val="36"/>
          <w:highlight w:val="none"/>
        </w:rPr>
      </w:r>
      <w:r/>
    </w:p>
    <w:p>
      <w:pPr>
        <w:ind w:firstLine="904"/>
        <w:spacing w:line="360" w:lineRule="auto"/>
        <w:widowControl/>
        <w:rPr>
          <w:rFonts w:ascii="宋体"/>
          <w:b/>
          <w:color w:val="auto"/>
          <w:sz w:val="36"/>
          <w:szCs w:val="36"/>
          <w:highlight w:val="none"/>
        </w:rPr>
      </w:pPr>
      <w:r>
        <w:rPr>
          <w:rFonts w:hint="eastAsia" w:ascii="宋体" w:hAnsi="宋体"/>
          <w:b/>
          <w:color w:val="auto"/>
          <w:sz w:val="36"/>
          <w:szCs w:val="36"/>
          <w:highlight w:val="none"/>
        </w:rPr>
        <w:t xml:space="preserve">采购人：南京医科大学</w:t>
      </w:r>
      <w:r/>
    </w:p>
    <w:p>
      <w:pPr>
        <w:ind w:firstLine="904"/>
        <w:spacing w:line="360" w:lineRule="auto"/>
        <w:widowControl/>
        <w:rPr>
          <w:rFonts w:ascii="宋体"/>
          <w:b/>
          <w:color w:val="auto"/>
          <w:sz w:val="36"/>
          <w:szCs w:val="36"/>
          <w:highlight w:val="none"/>
        </w:rPr>
      </w:pPr>
      <w:r>
        <w:rPr>
          <w:rFonts w:hint="eastAsia" w:ascii="宋体" w:hAnsi="宋体"/>
          <w:b/>
          <w:color w:val="auto"/>
          <w:sz w:val="36"/>
          <w:szCs w:val="36"/>
          <w:highlight w:val="none"/>
        </w:rPr>
        <w:t xml:space="preserve">招标代理机构：南京苏宁工程咨询有限公司</w:t>
      </w:r>
      <w:r/>
    </w:p>
    <w:p>
      <w:pPr>
        <w:ind w:firstLine="904"/>
        <w:spacing w:line="360" w:lineRule="auto"/>
        <w:shd w:val="clear" w:color="auto" w:fill="ffffff"/>
        <w:widowControl/>
        <w:rPr>
          <w:color w:val="auto"/>
          <w:highlight w:val="none"/>
        </w:rPr>
      </w:pPr>
      <w:r>
        <w:rPr>
          <w:rFonts w:hint="eastAsia" w:ascii="宋体" w:hAnsi="宋体"/>
          <w:b/>
          <w:color w:val="auto"/>
          <w:sz w:val="36"/>
          <w:szCs w:val="36"/>
          <w:highlight w:val="none"/>
        </w:rPr>
        <w:t xml:space="preserve">日期：二〇二六年</w:t>
      </w:r>
      <w:r>
        <w:rPr>
          <w:rFonts w:hint="eastAsia" w:ascii="宋体" w:hAnsi="宋体"/>
          <w:b/>
          <w:color w:val="auto"/>
          <w:sz w:val="36"/>
          <w:szCs w:val="36"/>
          <w:highlight w:val="none"/>
          <w:lang w:val="en-US" w:eastAsia="zh-CN"/>
        </w:rPr>
        <w:t xml:space="preserve">七</w:t>
      </w:r>
      <w:r>
        <w:rPr>
          <w:rFonts w:hint="eastAsia" w:ascii="宋体" w:hAnsi="宋体"/>
          <w:b/>
          <w:color w:val="auto"/>
          <w:sz w:val="36"/>
          <w:szCs w:val="36"/>
          <w:highlight w:val="none"/>
        </w:rPr>
        <w:t xml:space="preserve">月</w:t>
      </w:r>
      <w:r/>
    </w:p>
    <w:p>
      <w:pPr>
        <w:jc w:val="center"/>
        <w:rPr>
          <w:rFonts w:ascii="黑体" w:eastAsia="黑体"/>
          <w:color w:val="auto"/>
          <w:sz w:val="36"/>
          <w:szCs w:val="36"/>
          <w:highlight w:val="none"/>
        </w:rPr>
        <w:sectPr>
          <w:headerReference w:type="default" r:id="rId9"/>
          <w:footerReference w:type="default" r:id="rId11"/>
          <w:footnotePr/>
          <w:endnotePr>
            <w:numFmt w:val="decimal"/>
          </w:endnotePr>
          <w:type w:val="nextPage"/>
          <w:pgSz w:w="11906" w:h="16838" w:orient="portrait"/>
          <w:pgMar w:top="850" w:right="850" w:bottom="850" w:left="1417" w:header="227" w:footer="720" w:gutter="0"/>
          <w:cols w:num="1" w:sep="0" w:space="720" w:equalWidth="1"/>
          <w:docGrid w:linePitch="360"/>
        </w:sectPr>
      </w:pPr>
      <w:r>
        <w:rPr>
          <w:rFonts w:ascii="黑体" w:eastAsia="黑体"/>
          <w:color w:val="auto"/>
          <w:sz w:val="36"/>
          <w:szCs w:val="36"/>
          <w:highlight w:val="none"/>
        </w:rPr>
      </w:r>
      <w:r/>
    </w:p>
    <w:p>
      <w:pPr>
        <w:jc w:val="center"/>
        <w:rPr>
          <w:rFonts w:ascii="宋体" w:hAnsi="宋体" w:cs="宋体"/>
          <w:color w:val="auto"/>
          <w:sz w:val="28"/>
          <w:szCs w:val="28"/>
          <w:highlight w:val="none"/>
        </w:rPr>
      </w:pPr>
      <w:r>
        <w:rPr>
          <w:rFonts w:hint="eastAsia" w:ascii="宋体" w:hAnsi="宋体" w:cs="宋体"/>
          <w:color w:val="auto"/>
          <w:sz w:val="36"/>
          <w:szCs w:val="36"/>
          <w:highlight w:val="none"/>
          <w:lang w:val="zh-CN"/>
        </w:rPr>
        <w:t xml:space="preserve">第一章 投标邀请</w:t>
      </w:r>
      <w:r/>
    </w:p>
    <w:p>
      <w:pPr>
        <w:ind w:firstLine="420"/>
        <w:jc w:val="left"/>
        <w:spacing w:line="360" w:lineRule="auto"/>
        <w:rPr>
          <w:rFonts w:ascii="宋体" w:hAnsi="宋体" w:cs="宋体"/>
          <w:color w:val="auto"/>
          <w:szCs w:val="21"/>
          <w:highlight w:val="none"/>
        </w:rPr>
        <w:pBdr>
          <w:top w:val="single" w:color="auto" w:sz="4" w:space="0"/>
          <w:left w:val="single" w:color="auto" w:sz="4" w:space="0"/>
          <w:bottom w:val="single" w:color="auto" w:sz="4" w:space="0"/>
          <w:right w:val="single" w:color="auto" w:sz="4" w:space="0"/>
        </w:pBdr>
      </w:pPr>
      <w:r>
        <w:rPr>
          <w:rFonts w:hint="eastAsia" w:ascii="宋体" w:hAnsi="宋体" w:cs="宋体"/>
          <w:color w:val="auto"/>
          <w:szCs w:val="21"/>
          <w:highlight w:val="none"/>
        </w:rPr>
        <w:t xml:space="preserve">项目概况</w:t>
      </w:r>
      <w:r/>
    </w:p>
    <w:p>
      <w:pPr>
        <w:ind w:firstLine="420"/>
        <w:jc w:val="left"/>
        <w:spacing w:line="360" w:lineRule="auto"/>
        <w:rPr>
          <w:rFonts w:ascii="宋体" w:hAnsi="宋体" w:cs="宋体"/>
          <w:color w:val="auto"/>
          <w:szCs w:val="21"/>
          <w:highlight w:val="none"/>
        </w:rPr>
        <w:pBdr>
          <w:top w:val="single" w:color="auto" w:sz="4" w:space="0"/>
          <w:left w:val="single" w:color="auto" w:sz="4" w:space="0"/>
          <w:bottom w:val="single" w:color="auto" w:sz="4" w:space="0"/>
          <w:right w:val="single" w:color="auto" w:sz="4" w:space="0"/>
        </w:pBdr>
      </w:pPr>
      <w:r>
        <w:rPr>
          <w:rFonts w:hint="eastAsia" w:ascii="宋体" w:hAnsi="宋体" w:cs="宋体"/>
          <w:color w:val="auto"/>
          <w:szCs w:val="21"/>
          <w:highlight w:val="none"/>
          <w:u w:val="single"/>
        </w:rPr>
        <w:t xml:space="preserve">南京医科大学疫苗平台扫透一体电子显微系统采购项目</w:t>
      </w:r>
      <w:r>
        <w:rPr>
          <w:rFonts w:hint="eastAsia" w:ascii="宋体" w:hAnsi="宋体" w:cs="宋体"/>
          <w:color w:val="auto"/>
          <w:szCs w:val="21"/>
          <w:highlight w:val="none"/>
        </w:rPr>
        <w:t xml:space="preserve">招标项目的潜在投标人应在</w:t>
      </w:r>
      <w:r>
        <w:rPr>
          <w:rFonts w:hint="eastAsia" w:ascii="宋体" w:hAnsi="宋体" w:cs="宋体"/>
          <w:color w:val="auto"/>
          <w:szCs w:val="21"/>
          <w:highlight w:val="none"/>
          <w:u w:val="single"/>
        </w:rPr>
        <w:t xml:space="preserve">江苏政府采购</w:t>
      </w:r>
      <w:r>
        <w:rPr>
          <w:rFonts w:hint="eastAsia" w:ascii="宋体" w:hAnsi="宋体" w:cs="宋体"/>
          <w:color w:val="auto"/>
          <w:szCs w:val="21"/>
          <w:highlight w:val="none"/>
        </w:rPr>
        <w:t xml:space="preserve">获取招标文件，并于</w:t>
      </w:r>
      <w:r>
        <w:rPr>
          <w:rFonts w:hint="eastAsia" w:ascii="宋体" w:hAnsi="宋体" w:cs="宋体"/>
          <w:color w:val="auto"/>
          <w:szCs w:val="21"/>
          <w:highlight w:val="none"/>
          <w:u w:val="single"/>
        </w:rPr>
        <w:t xml:space="preserve">2026年</w:t>
      </w:r>
      <w:r>
        <w:rPr>
          <w:rFonts w:hint="eastAsia" w:ascii="宋体" w:hAnsi="宋体" w:cs="宋体"/>
          <w:color w:val="auto"/>
          <w:szCs w:val="21"/>
          <w:highlight w:val="none"/>
          <w:u w:val="single"/>
          <w:lang w:val="en-US" w:eastAsia="zh-CN"/>
        </w:rPr>
        <w:t xml:space="preserve">7</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2</w:t>
      </w:r>
      <w:bookmarkStart w:id="55" w:name="_GoBack"/>
      <w:r/>
      <w:bookmarkEnd w:id="55"/>
      <w:r>
        <w:rPr>
          <w:rFonts w:hint="eastAsia" w:ascii="宋体" w:hAnsi="宋体" w:cs="宋体"/>
          <w:color w:val="auto"/>
          <w:szCs w:val="21"/>
          <w:highlight w:val="none"/>
          <w:u w:val="single"/>
        </w:rPr>
        <w:t xml:space="preserve">7日9点30分</w:t>
      </w:r>
      <w:r>
        <w:rPr>
          <w:rFonts w:hint="eastAsia" w:ascii="宋体" w:hAnsi="宋体" w:cs="宋体"/>
          <w:color w:val="auto"/>
          <w:szCs w:val="21"/>
          <w:highlight w:val="none"/>
        </w:rPr>
        <w:t xml:space="preserve">（北京时间）前递交投标文件。</w:t>
      </w:r>
      <w:r/>
    </w:p>
    <w:p>
      <w:pPr>
        <w:jc w:val="left"/>
        <w:spacing w:line="360" w:lineRule="auto"/>
        <w:rPr>
          <w:rFonts w:ascii="宋体" w:hAnsi="宋体" w:cs="宋体"/>
          <w:color w:val="auto"/>
          <w:szCs w:val="21"/>
          <w:highlight w:val="none"/>
        </w:rPr>
      </w:pPr>
      <w:r/>
      <w:bookmarkStart w:id="0" w:name="_Toc35393621"/>
      <w:r/>
      <w:bookmarkStart w:id="1" w:name="_Toc28359002"/>
      <w:r/>
      <w:bookmarkStart w:id="2" w:name="_Toc35393790"/>
      <w:r/>
      <w:bookmarkStart w:id="3" w:name="_Toc28359079"/>
      <w:r/>
      <w:bookmarkStart w:id="4" w:name="_Hlk24379207"/>
      <w:r>
        <w:rPr>
          <w:rFonts w:hint="eastAsia" w:ascii="宋体" w:hAnsi="宋体" w:cs="宋体"/>
          <w:color w:val="auto"/>
          <w:szCs w:val="21"/>
          <w:highlight w:val="none"/>
        </w:rPr>
        <w:t xml:space="preserve">一、项目基本情况</w:t>
      </w:r>
      <w:bookmarkEnd w:id="0"/>
      <w:r/>
      <w:bookmarkEnd w:id="1"/>
      <w:r/>
      <w:bookmarkEnd w:id="2"/>
      <w:r/>
      <w:bookmarkEnd w:id="3"/>
      <w:r/>
      <w:r/>
    </w:p>
    <w:p>
      <w:pPr>
        <w:ind w:firstLine="420"/>
        <w:jc w:val="left"/>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lang w:eastAsia="zh-CN"/>
        </w:rPr>
        <w:t xml:space="preserve">JSZC-320000-SNZX-G2026-0097</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bookmarkEnd w:id="4"/>
      <w:r>
        <w:rPr>
          <w:rFonts w:hint="eastAsia" w:ascii="宋体" w:hAnsi="宋体" w:cs="宋体"/>
          <w:color w:val="auto"/>
          <w:szCs w:val="21"/>
          <w:highlight w:val="none"/>
        </w:rPr>
        <w:t xml:space="preserve">：南京医科大学疫苗平台扫透一体电子显微系统采购项目</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预算金额：540万元</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最高限价：540万元，投标报价超过最高限价的为无效投标。</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采购需求：南京医科大学疫苗平台扫透一体电子显微系统采购项目，具体详见招标文件。</w:t>
      </w:r>
      <w:r/>
    </w:p>
    <w:p>
      <w:pPr>
        <w:ind w:firstLine="420"/>
        <w:jc w:val="left"/>
        <w:spacing w:line="360" w:lineRule="auto"/>
        <w:rPr>
          <w:rFonts w:ascii="宋体" w:hAnsi="宋体" w:cs="宋体"/>
          <w:bCs/>
          <w:color w:val="auto"/>
          <w:sz w:val="24"/>
          <w:highlight w:val="none"/>
        </w:rPr>
      </w:pPr>
      <w:r>
        <w:rPr>
          <w:rFonts w:hint="eastAsia" w:ascii="宋体" w:hAnsi="宋体" w:cs="宋体"/>
          <w:color w:val="auto"/>
          <w:szCs w:val="21"/>
          <w:highlight w:val="none"/>
        </w:rPr>
        <w:t xml:space="preserve">合同履行期限（交货期）：</w:t>
      </w:r>
      <w:bookmarkStart w:id="5" w:name="_Toc28359003"/>
      <w:r/>
      <w:bookmarkStart w:id="6" w:name="_Toc35393791"/>
      <w:r/>
      <w:bookmarkStart w:id="7" w:name="_Toc35393622"/>
      <w:r/>
      <w:bookmarkStart w:id="8" w:name="_Toc28359080"/>
      <w:r>
        <w:rPr>
          <w:rFonts w:hint="eastAsia" w:ascii="宋体" w:hAnsi="宋体" w:cs="宋体"/>
          <w:color w:val="auto"/>
          <w:szCs w:val="21"/>
          <w:highlight w:val="none"/>
          <w:lang w:val="zh-CN"/>
        </w:rPr>
        <w:t xml:space="preserve">合同签订生效后，进口设备（免税）三个月内、国产设备及进口设备（非免税）一个月内全部设备、材料运抵现场，并安装、调试结束，验收合格</w:t>
      </w:r>
      <w:r>
        <w:rPr>
          <w:rFonts w:hint="eastAsia" w:ascii="宋体" w:hAnsi="宋体"/>
          <w:color w:val="auto"/>
          <w:szCs w:val="21"/>
          <w:highlight w:val="none"/>
          <w:lang w:val="zh-CN"/>
        </w:rPr>
        <w:t xml:space="preserve">，交付采购方使用。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本项目不接受联合体投标。 </w:t>
      </w:r>
      <w:bookmarkEnd w:id="5"/>
      <w:r/>
      <w:bookmarkEnd w:id="6"/>
      <w:r/>
      <w:bookmarkEnd w:id="7"/>
      <w:r/>
      <w:bookmarkEnd w:id="8"/>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二、申请人的资格要求：</w:t>
      </w:r>
      <w:r/>
    </w:p>
    <w:p>
      <w:pPr>
        <w:ind w:firstLine="420"/>
        <w:jc w:val="left"/>
        <w:spacing w:line="360" w:lineRule="auto"/>
        <w:rPr>
          <w:rFonts w:ascii="宋体" w:hAnsi="宋体" w:cs="宋体"/>
          <w:color w:val="auto"/>
          <w:szCs w:val="21"/>
          <w:highlight w:val="none"/>
        </w:rPr>
      </w:pPr>
      <w:r/>
      <w:bookmarkStart w:id="9" w:name="_Toc35393792"/>
      <w:r/>
      <w:bookmarkStart w:id="10" w:name="_Toc35393623"/>
      <w:r/>
      <w:bookmarkStart w:id="11" w:name="_Toc28359082"/>
      <w:r/>
      <w:bookmarkStart w:id="12" w:name="_Toc28359005"/>
      <w:r/>
      <w:bookmarkStart w:id="13" w:name="_Toc35393624"/>
      <w:r/>
      <w:bookmarkStart w:id="14" w:name="_Toc35393793"/>
      <w:r>
        <w:rPr>
          <w:rFonts w:hint="eastAsia" w:ascii="宋体" w:hAnsi="宋体" w:cs="宋体"/>
          <w:color w:val="auto"/>
          <w:szCs w:val="21"/>
          <w:highlight w:val="none"/>
        </w:rPr>
        <w:t xml:space="preserve">（一）满足《中华人民共和国政府采购法》第二十二条规定；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1.具有独立承担民事责任的能力（提供法人或者其他组织的营业执照；供应商为自然人的提供其身份证，提供相关证明材料复印件并加盖公章）；</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提供投标截止时间前六个月内银行出具的资信证明，或投标截止时间前六个月内任意一个月的财务状况报告（至少包括资产负债表和利润表），或上一年度（或2024年度）的审计报告）</w:t>
      </w:r>
      <w:r>
        <w:rPr>
          <w:rFonts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3.具有履行合同所必需的设备和专业技术能力（投标人根据履行采购项目合同需要，提供履行合同所必需的设备和专业技术能力的证明材料，提供相关证明材料复印件并加盖公章或承诺书原件）；</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提供投标截止时间前六个月内任意一个月的纳税证明文件（依法免缴的应提供相应文件说明）；并提供投标截止时间前六个月内任意一个月的依法为员工缴纳社会保障资金的证明材料（依法不需要缴纳社会保障资金的应提供相应文件说明）</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5.参加政府采购活动前三年内，在经营活动中没有重大违法记录（提供承诺书原件）；</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6.法律、行政法规规定的其他条件，提供相关证明材料：无。</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7.注:①前款第（5）项中所称重大违法记录，是指投标人因违法经营受到刑事处罚或者责令停产停业、吊销许可证或者执照、较大数额罚款等行政处罚。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②投标人在参加政府采购活动前3年内因违法经营被禁止在一定期限内参加政府采购活动，期限届满的，可以参加政府采购活动。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（二）落实政府采购政策需满足的资格要求：如为中小微型企业、监狱企业、残疾人福利性单位，提供的产品为国家认定的节能产品和环保产品的须按要求提供相关材料。</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本项目的特定资格要求：若所投产品为进口产品且为非生产商投标，必须具有生产者或其驻中国办事机构（或生产者授权的中国境内最高级别代理机构）针对本项目的专项授权书。投标时需提供复印件加盖供应商公章。</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（四）本项目不接受转包、分包。</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（五）拒绝下述供应商参加本次采购活动：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1.供应商单位负责人为同一人或者存在直接控股、管理关系的不同供应商，不得参加同一合同项下的采购活动。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2.凡为采购项目提供整体设计、规范编制或者项目管理、监理、检测等服务的供应商，不得再参加本项目的采购活动。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3.拒绝列入失信被执行人、重大税收违法失信主体、政府采购严重违法失信行为记录名单中的供应商参加本项目的采购活动。采购人或代理机构通过 “信用中国”网站（www.creditchina.gov.cn）、“中国政府采购网”网站（www.ccgp.gov.cn）等渠道查询供应商信用记录并保存。</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（六）本项目接受进口产品投标。（注：本文件所称进口产品是指通过中国海关报关验放进入中国境内且产自关境外的产品）</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三、获取招标文件</w:t>
      </w:r>
      <w:bookmarkEnd w:id="9"/>
      <w:r/>
      <w:bookmarkEnd w:id="10"/>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时间：自招标文件公告发布之日起5个工作日</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地点：江苏政府采购网</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方式：网上下载</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售价：0.00元</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四、提交投标文件</w:t>
      </w:r>
      <w:bookmarkEnd w:id="11"/>
      <w:r/>
      <w:bookmarkEnd w:id="12"/>
      <w:r>
        <w:rPr>
          <w:rFonts w:hint="eastAsia" w:ascii="宋体" w:hAnsi="宋体" w:cs="宋体"/>
          <w:color w:val="auto"/>
          <w:szCs w:val="21"/>
          <w:highlight w:val="none"/>
        </w:rPr>
        <w:t xml:space="preserve">截止时间、开标时间和地点</w:t>
      </w:r>
      <w:bookmarkEnd w:id="13"/>
      <w:r/>
      <w:bookmarkEnd w:id="14"/>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截止时间及开标时间：</w:t>
      </w:r>
      <w:r>
        <w:rPr>
          <w:rFonts w:hint="eastAsia" w:ascii="宋体" w:hAnsi="宋体" w:cs="宋体"/>
          <w:color w:val="auto"/>
          <w:szCs w:val="21"/>
          <w:highlight w:val="none"/>
          <w:u w:val="single"/>
        </w:rPr>
        <w:t xml:space="preserve">2026年</w:t>
      </w:r>
      <w:r>
        <w:rPr>
          <w:rFonts w:hint="eastAsia" w:ascii="宋体" w:hAnsi="宋体" w:cs="宋体"/>
          <w:color w:val="auto"/>
          <w:szCs w:val="21"/>
          <w:highlight w:val="none"/>
          <w:u w:val="single"/>
          <w:lang w:val="en-US" w:eastAsia="zh-CN"/>
        </w:rPr>
        <w:t xml:space="preserve">7</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27</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rPr>
        <w:t xml:space="preserve">点</w:t>
      </w:r>
      <w:r>
        <w:rPr>
          <w:rFonts w:hint="eastAsia" w:ascii="宋体" w:hAnsi="宋体" w:cs="宋体"/>
          <w:color w:val="auto"/>
          <w:szCs w:val="21"/>
          <w:highlight w:val="none"/>
          <w:u w:val="single"/>
          <w:lang w:val="en-US" w:eastAsia="zh-CN"/>
        </w:rPr>
        <w:t xml:space="preserve">30</w:t>
      </w:r>
      <w:r>
        <w:rPr>
          <w:rFonts w:hint="eastAsia" w:ascii="宋体" w:hAnsi="宋体" w:cs="宋体"/>
          <w:color w:val="auto"/>
          <w:szCs w:val="21"/>
          <w:highlight w:val="none"/>
          <w:u w:val="single"/>
        </w:rPr>
        <w:t xml:space="preserve">分（北京时间）</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地点：</w:t>
      </w:r>
      <w:r>
        <w:rPr>
          <w:rFonts w:hint="eastAsia" w:ascii="宋体" w:hAnsi="宋体" w:cs="宋体"/>
          <w:color w:val="auto"/>
          <w:szCs w:val="21"/>
          <w:highlight w:val="none"/>
          <w:u w:val="single"/>
        </w:rPr>
        <w:t xml:space="preserve">江苏省政府采购交易系统（以下简称“苏采云系统”）网上开标大厅。</w:t>
      </w:r>
      <w:r/>
    </w:p>
    <w:p>
      <w:pPr>
        <w:jc w:val="left"/>
        <w:spacing w:line="360" w:lineRule="auto"/>
        <w:rPr>
          <w:rFonts w:ascii="宋体" w:hAnsi="宋体" w:cs="宋体"/>
          <w:color w:val="auto"/>
          <w:szCs w:val="21"/>
          <w:highlight w:val="none"/>
        </w:rPr>
      </w:pPr>
      <w:r/>
      <w:bookmarkStart w:id="15" w:name="_Toc35393625"/>
      <w:r/>
      <w:bookmarkStart w:id="16" w:name="_Toc35393794"/>
      <w:r/>
      <w:bookmarkStart w:id="17" w:name="_Toc28359084"/>
      <w:r/>
      <w:bookmarkStart w:id="18" w:name="_Toc28359007"/>
      <w:r>
        <w:rPr>
          <w:rFonts w:hint="eastAsia" w:ascii="宋体" w:hAnsi="宋体" w:cs="宋体"/>
          <w:color w:val="auto"/>
          <w:szCs w:val="21"/>
          <w:highlight w:val="none"/>
        </w:rPr>
        <w:t xml:space="preserve">五、公告期限</w:t>
      </w:r>
      <w:bookmarkEnd w:id="15"/>
      <w:r/>
      <w:bookmarkEnd w:id="16"/>
      <w:r/>
      <w:bookmarkEnd w:id="17"/>
      <w:r/>
      <w:bookmarkEnd w:id="18"/>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r/>
    </w:p>
    <w:p>
      <w:pPr>
        <w:jc w:val="left"/>
        <w:spacing w:line="360" w:lineRule="auto"/>
        <w:rPr>
          <w:rFonts w:ascii="宋体" w:hAnsi="宋体" w:cs="宋体"/>
          <w:color w:val="auto"/>
          <w:szCs w:val="21"/>
          <w:highlight w:val="none"/>
        </w:rPr>
      </w:pPr>
      <w:r/>
      <w:bookmarkStart w:id="19" w:name="_Toc35393795"/>
      <w:r/>
      <w:bookmarkStart w:id="20" w:name="_Toc35393626"/>
      <w:r>
        <w:rPr>
          <w:rFonts w:hint="eastAsia" w:ascii="宋体" w:hAnsi="宋体" w:cs="宋体"/>
          <w:color w:val="auto"/>
          <w:szCs w:val="21"/>
          <w:highlight w:val="none"/>
        </w:rPr>
        <w:t xml:space="preserve">六、其他补充事宜</w:t>
      </w:r>
      <w:bookmarkEnd w:id="19"/>
      <w:r/>
      <w:bookmarkEnd w:id="20"/>
      <w:r/>
      <w:r/>
    </w:p>
    <w:p>
      <w:pPr>
        <w:ind w:firstLine="420"/>
        <w:jc w:val="left"/>
        <w:spacing w:line="360" w:lineRule="auto"/>
        <w:rPr>
          <w:color w:val="auto"/>
          <w:highlight w:val="none"/>
        </w:rPr>
      </w:pPr>
      <w:r/>
      <w:bookmarkStart w:id="21" w:name="_Toc28359008"/>
      <w:r/>
      <w:bookmarkStart w:id="22" w:name="_Toc28359085"/>
      <w:r/>
      <w:bookmarkStart w:id="23" w:name="_Toc35393796"/>
      <w:r/>
      <w:bookmarkStart w:id="24" w:name="_Toc35393627"/>
      <w:r>
        <w:rPr>
          <w:rFonts w:hint="eastAsia" w:ascii="宋体" w:hAnsi="宋体" w:cs="宋体"/>
          <w:color w:val="auto"/>
          <w:szCs w:val="21"/>
          <w:highlight w:val="none"/>
        </w:rPr>
        <w:t xml:space="preserve">1.本项目</w:t>
      </w:r>
      <w:r>
        <w:rPr>
          <w:rFonts w:hint="eastAsia" w:ascii="宋体" w:hAnsi="宋体"/>
          <w:color w:val="auto"/>
          <w:szCs w:val="21"/>
          <w:highlight w:val="none"/>
        </w:rPr>
        <w:t xml:space="preserve">是否专门面向中小企业：否</w:t>
      </w:r>
      <w:r/>
    </w:p>
    <w:p>
      <w:pPr>
        <w:ind w:firstLine="420"/>
        <w:jc w:val="left"/>
        <w:spacing w:line="360" w:lineRule="auto"/>
        <w:rPr>
          <w:rFonts w:ascii="宋体" w:hAnsi="宋体" w:cs="宋体"/>
          <w:color w:val="auto"/>
          <w:szCs w:val="21"/>
          <w:highlight w:val="none"/>
        </w:rPr>
      </w:pPr>
      <w:r>
        <w:rPr>
          <w:rFonts w:hint="eastAsia" w:ascii="宋体" w:hAnsi="宋体"/>
          <w:color w:val="auto"/>
          <w:szCs w:val="21"/>
          <w:highlight w:val="none"/>
        </w:rPr>
        <w:t xml:space="preserve">2.本项目采购标的所属行业为：</w:t>
      </w:r>
      <w:r>
        <w:rPr>
          <w:rFonts w:hint="eastAsia" w:ascii="宋体" w:hAnsi="宋体" w:cs="宋体"/>
          <w:color w:val="auto"/>
          <w:szCs w:val="21"/>
          <w:highlight w:val="none"/>
        </w:rPr>
        <w:t xml:space="preserve">根据《关于印发中小企业划型标准规定的通知》(工信部联企业(2011)300 号)及《国家统计局关于印发(统计上大中小微型企业划分办法(2017)〉的通知》(国统字(2017〕213 号)等文件规定，本项目所属行业为“工业”。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3.集中勘察或答疑：</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4.公告媒体</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（1）本公告在江苏政府采购网（http：//www.ccgp-jiangsu.gov.cn/）公示发布，敬请各投标人关注；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（2）若有关本次采购存在变动或修改，敬请各投标人及时关注江苏政府采购网（http：//www.ccgp-jiangsu.gov.cn/）发布的关于本项目的信息更正公告。</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5.采购项目需要落实的政府采购政策：</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（1）政府采购促进中小企业发展</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（2）政府采购支持监狱企业发展</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（3）政府采购促进残疾人就业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（4）政府采购鼓励采购节能环保产品</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http://www.ccgp-jiangsu.gov.cn/jiangsu/zlxz/ee/ee3a4bc5a3454aa2b0d9312230633ce9.html</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7.潜在供应商访问电子招标响应交易平台的网络地址和方法：</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（2）潜在供应商访问“苏采云”系统的网络地址和方法：“苏采云”系统的网址：http://jszfcg.jsczt.cn/。</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（3）“CA数字证书”的获取：</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（4）采购文件（后缀名为“.kedt”）、供应商操作手册及政府采购客户端工具可通过“苏采云”系统--已报名项目--报名详情页面内相应链接进行下载。</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（5）招标代理机构（采购代理机构）将数据电文形式的采购文件加载至“苏采云”系统，供潜在供应商下载或者查阅。</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（6）请潜在投标单位提前安装相应的控件（详见《江苏省政府采购管理交易系统（苏采云）供应商操作手册》）并使用谷歌浏览器登录“苏采云”系统参与不见面开评标。</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七、对本次招标提出询问，请按以下方式联系。</w:t>
      </w:r>
      <w:bookmarkEnd w:id="21"/>
      <w:r/>
      <w:bookmarkEnd w:id="22"/>
      <w:r/>
      <w:bookmarkEnd w:id="23"/>
      <w:r/>
      <w:bookmarkEnd w:id="24"/>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1.采购人信息</w:t>
      </w:r>
      <w:r/>
    </w:p>
    <w:p>
      <w:pPr>
        <w:ind w:firstLine="420"/>
        <w:jc w:val="left"/>
        <w:spacing w:line="360" w:lineRule="auto"/>
        <w:rPr>
          <w:rFonts w:ascii="宋体" w:hAnsi="宋体" w:cs="宋体"/>
          <w:color w:val="auto"/>
          <w:szCs w:val="21"/>
          <w:highlight w:val="none"/>
        </w:rPr>
      </w:pPr>
      <w:r/>
      <w:bookmarkStart w:id="25" w:name="_Toc28359009"/>
      <w:r/>
      <w:bookmarkStart w:id="26" w:name="_Toc28359086"/>
      <w:r>
        <w:rPr>
          <w:rFonts w:hint="eastAsia" w:ascii="宋体" w:hAnsi="宋体" w:cs="宋体"/>
          <w:color w:val="auto"/>
          <w:szCs w:val="21"/>
          <w:highlight w:val="none"/>
        </w:rPr>
        <w:t xml:space="preserve">单位名称：南京医科大学</w:t>
      </w:r>
      <w:r/>
    </w:p>
    <w:p>
      <w:pPr>
        <w:ind w:firstLine="452"/>
        <w:jc w:val="left"/>
        <w:spacing w:line="360" w:lineRule="auto"/>
        <w:rPr>
          <w:rFonts w:ascii="宋体" w:hAnsi="宋体" w:cs="宋体"/>
          <w:color w:val="auto"/>
          <w:spacing w:val="8"/>
          <w:szCs w:val="21"/>
          <w:highlight w:val="none"/>
        </w:rPr>
      </w:pPr>
      <w:r>
        <w:rPr>
          <w:rFonts w:hint="eastAsia" w:ascii="宋体" w:hAnsi="宋体" w:cs="宋体"/>
          <w:color w:val="auto"/>
          <w:spacing w:val="8"/>
          <w:szCs w:val="21"/>
          <w:highlight w:val="none"/>
        </w:rPr>
        <w:t xml:space="preserve">单位地址：</w:t>
      </w:r>
      <w:r>
        <w:rPr>
          <w:rFonts w:hint="eastAsia" w:ascii="宋体" w:hAnsi="宋体" w:cs="宋体"/>
          <w:color w:val="auto"/>
          <w:spacing w:val="8"/>
          <w:szCs w:val="21"/>
          <w:highlight w:val="none"/>
          <w:shd w:val="clear" w:color="auto" w:fill="ffffff"/>
        </w:rPr>
        <w:t xml:space="preserve">南京市江宁区龙眠大道101号</w:t>
      </w:r>
      <w:r/>
    </w:p>
    <w:p>
      <w:pPr>
        <w:ind w:firstLine="420"/>
        <w:spacing w:line="360" w:lineRule="auto"/>
        <w:rPr>
          <w:color w:val="auto"/>
          <w:szCs w:val="21"/>
          <w:highlight w:val="none"/>
        </w:rPr>
      </w:pPr>
      <w:r>
        <w:rPr>
          <w:rFonts w:hint="eastAsia"/>
          <w:color w:val="auto"/>
          <w:szCs w:val="21"/>
          <w:highlight w:val="none"/>
        </w:rPr>
        <w:t xml:space="preserve">联系人：马老师</w:t>
      </w:r>
      <w:r/>
    </w:p>
    <w:p>
      <w:pPr>
        <w:ind w:firstLine="420"/>
        <w:spacing w:line="360" w:lineRule="auto"/>
        <w:rPr>
          <w:color w:val="auto"/>
          <w:szCs w:val="21"/>
          <w:highlight w:val="none"/>
        </w:rPr>
      </w:pPr>
      <w:r>
        <w:rPr>
          <w:rFonts w:hint="eastAsia"/>
          <w:color w:val="auto"/>
          <w:szCs w:val="21"/>
          <w:highlight w:val="none"/>
        </w:rPr>
        <w:t xml:space="preserve">联系电话：025-86868572</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2.采购代理机构信息</w:t>
      </w:r>
      <w:bookmarkEnd w:id="25"/>
      <w:r/>
      <w:bookmarkEnd w:id="26"/>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单位名称：</w:t>
      </w:r>
      <w:bookmarkStart w:id="27" w:name="OLE_LINK1"/>
      <w:r>
        <w:rPr>
          <w:rFonts w:hint="eastAsia" w:ascii="宋体" w:hAnsi="宋体" w:cs="宋体"/>
          <w:color w:val="auto"/>
          <w:szCs w:val="21"/>
          <w:highlight w:val="none"/>
        </w:rPr>
        <w:t xml:space="preserve">南京苏宁工程咨询有限公司</w:t>
      </w:r>
      <w:bookmarkEnd w:id="27"/>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单位地址：南京市鼓楼区中山路99号12楼1212室</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联系方式：</w:t>
      </w:r>
      <w:bookmarkStart w:id="28" w:name="_Toc28359087"/>
      <w:r/>
      <w:bookmarkStart w:id="29" w:name="_Toc28359010"/>
      <w:r>
        <w:rPr>
          <w:rFonts w:hint="eastAsia" w:ascii="宋体" w:hAnsi="宋体" w:cs="宋体"/>
          <w:color w:val="auto"/>
          <w:szCs w:val="21"/>
          <w:highlight w:val="none"/>
        </w:rPr>
        <w:t xml:space="preserve">李佳蓉025-84200809</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3.项目联系方式</w:t>
      </w:r>
      <w:bookmarkEnd w:id="28"/>
      <w:r/>
      <w:bookmarkEnd w:id="29"/>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项目联系人：李佳蓉 </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联系电话：025-84200809</w:t>
      </w:r>
      <w:r/>
    </w:p>
    <w:p>
      <w:pPr>
        <w:ind w:firstLine="422"/>
        <w:jc w:val="left"/>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ind w:firstLine="422"/>
        <w:jc w:val="left"/>
        <w:spacing w:line="360" w:lineRule="auto"/>
        <w:rPr>
          <w:rFonts w:ascii="宋体" w:hAnsi="宋体" w:cs="宋体"/>
          <w:color w:val="auto"/>
          <w:szCs w:val="21"/>
          <w:highlight w:val="none"/>
          <w:lang w:val="zh-CN"/>
        </w:rPr>
      </w:pPr>
      <w:r>
        <w:rPr>
          <w:rFonts w:hint="eastAsia" w:ascii="宋体" w:hAnsi="宋体" w:cs="宋体"/>
          <w:b/>
          <w:bCs/>
          <w:color w:val="auto"/>
          <w:szCs w:val="21"/>
          <w:highlight w:val="none"/>
        </w:rPr>
        <w:t xml:space="preserve">请贵单位领取本次采购文件后，认真阅读各项内容，进行必要的投标准备，按文件的要求详细填写和编制响应文件，并按以上确定的时间、地点准时参加投标。</w:t>
      </w:r>
      <w:r/>
    </w:p>
    <w:p>
      <w:pPr>
        <w:jc w:val="center"/>
        <w:spacing w:line="360" w:lineRule="auto"/>
        <w:rPr>
          <w:rFonts w:ascii="宋体" w:hAnsi="宋体" w:cs="宋体"/>
          <w:color w:val="auto"/>
          <w:sz w:val="36"/>
          <w:szCs w:val="36"/>
          <w:highlight w:val="none"/>
          <w:lang w:val="zh-CN"/>
        </w:rPr>
        <w:sectPr>
          <w:footnotePr/>
          <w:endnotePr>
            <w:numFmt w:val="decimal"/>
          </w:endnotePr>
          <w:type w:val="nextPage"/>
          <w:pgSz w:w="11906" w:h="16838" w:orient="portrait"/>
          <w:pgMar w:top="850" w:right="850" w:bottom="850" w:left="1417" w:header="227" w:footer="720" w:gutter="0"/>
          <w:rtlGutter/>
          <w:cols w:num="1" w:sep="0" w:space="720" w:equalWidth="1"/>
          <w:docGrid w:linePitch="360"/>
        </w:sectPr>
      </w:pPr>
      <w:r>
        <w:rPr>
          <w:rFonts w:ascii="宋体" w:hAnsi="宋体" w:cs="宋体"/>
          <w:color w:val="auto"/>
          <w:sz w:val="36"/>
          <w:szCs w:val="36"/>
          <w:highlight w:val="none"/>
          <w:lang w:val="zh-CN"/>
        </w:rPr>
      </w:r>
      <w:r/>
    </w:p>
    <w:p>
      <w:pPr>
        <w:jc w:val="center"/>
        <w:rPr>
          <w:rFonts w:ascii="宋体" w:hAnsi="宋体" w:cs="宋体"/>
          <w:color w:val="auto"/>
          <w:sz w:val="28"/>
          <w:szCs w:val="28"/>
          <w:highlight w:val="none"/>
        </w:rPr>
      </w:pPr>
      <w:r>
        <w:rPr>
          <w:rFonts w:hint="eastAsia" w:ascii="宋体" w:hAnsi="宋体" w:cs="宋体"/>
          <w:color w:val="auto"/>
          <w:sz w:val="36"/>
          <w:szCs w:val="36"/>
          <w:highlight w:val="none"/>
          <w:lang w:val="zh-CN"/>
        </w:rPr>
        <w:t xml:space="preserve">第二章供应商须知</w:t>
      </w:r>
      <w:r/>
    </w:p>
    <w:p>
      <w:pPr>
        <w:ind w:firstLine="422"/>
        <w:jc w:val="lef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一、总则</w:t>
      </w:r>
      <w:r/>
    </w:p>
    <w:p>
      <w:pPr>
        <w:ind w:firstLine="420"/>
        <w:jc w:val="left"/>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1、适用法律</w:t>
      </w:r>
      <w:r/>
    </w:p>
    <w:p>
      <w:pPr>
        <w:ind w:firstLine="420"/>
        <w:jc w:val="left"/>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 《中华人民共和国政府采购法》、《中华人民共和国政府采购法实施条例》、《政府采购货物和服务招标投标管理办法》等有关法律、规章和规定等。</w:t>
      </w:r>
      <w:r/>
    </w:p>
    <w:p>
      <w:pPr>
        <w:ind w:firstLine="422"/>
        <w:jc w:val="left"/>
        <w:rPr>
          <w:rFonts w:ascii="宋体" w:hAnsi="宋体" w:cs="宋体"/>
          <w:b/>
          <w:color w:val="auto"/>
          <w:szCs w:val="21"/>
          <w:highlight w:val="none"/>
          <w:lang w:val="zh-CN"/>
        </w:rPr>
        <w:outlineLvl w:val="0"/>
      </w:pPr>
      <w:r>
        <w:rPr>
          <w:rFonts w:hint="eastAsia" w:ascii="宋体" w:hAnsi="宋体" w:cs="宋体"/>
          <w:b/>
          <w:color w:val="auto"/>
          <w:szCs w:val="21"/>
          <w:highlight w:val="none"/>
          <w:lang w:val="zh-CN"/>
        </w:rPr>
        <w:t xml:space="preserve">2、定义</w:t>
      </w:r>
      <w:r/>
    </w:p>
    <w:p>
      <w:pPr>
        <w:ind w:firstLine="420"/>
        <w:jc w:val="left"/>
        <w:rPr>
          <w:rFonts w:ascii="宋体" w:hAnsi="宋体" w:cs="宋体"/>
          <w:bCs/>
          <w:color w:val="auto"/>
          <w:szCs w:val="21"/>
          <w:highlight w:val="none"/>
          <w:lang w:val="zh-CN"/>
        </w:rPr>
      </w:pPr>
      <w:r>
        <w:rPr>
          <w:rFonts w:hint="eastAsia" w:ascii="宋体" w:hAnsi="宋体" w:cs="宋体"/>
          <w:color w:val="auto"/>
          <w:szCs w:val="21"/>
          <w:highlight w:val="none"/>
          <w:lang w:val="zh-CN"/>
        </w:rPr>
        <w:t xml:space="preserve">2.1 “</w:t>
      </w:r>
      <w:r>
        <w:rPr>
          <w:rFonts w:hint="eastAsia" w:ascii="宋体" w:hAnsi="宋体" w:cs="宋体"/>
          <w:bCs/>
          <w:color w:val="auto"/>
          <w:szCs w:val="21"/>
          <w:highlight w:val="none"/>
          <w:lang w:val="zh-CN"/>
        </w:rPr>
        <w:t xml:space="preserve">供应商”</w:t>
      </w:r>
      <w:r>
        <w:rPr>
          <w:rFonts w:hint="eastAsia" w:ascii="宋体" w:hAnsi="宋体" w:cs="宋体"/>
          <w:bCs/>
          <w:color w:val="auto"/>
          <w:highlight w:val="none"/>
        </w:rPr>
        <w:t xml:space="preserve">是指参加投标竞争，并符合招标文件规定资格条件的法人、其他组织或者自然人。</w:t>
      </w:r>
      <w:r/>
    </w:p>
    <w:p>
      <w:pPr>
        <w:ind w:firstLine="420"/>
        <w:jc w:val="left"/>
        <w:rPr>
          <w:rFonts w:ascii="宋体" w:hAnsi="宋体" w:cs="宋体"/>
          <w:b/>
          <w:color w:val="auto"/>
          <w:szCs w:val="21"/>
          <w:highlight w:val="none"/>
          <w:lang w:val="zh-CN"/>
        </w:rPr>
      </w:pPr>
      <w:r>
        <w:rPr>
          <w:rFonts w:hint="eastAsia" w:ascii="宋体" w:hAnsi="宋体" w:cs="宋体"/>
          <w:bCs/>
          <w:color w:val="auto"/>
          <w:szCs w:val="21"/>
          <w:highlight w:val="none"/>
          <w:lang w:val="zh-CN"/>
        </w:rPr>
        <w:t xml:space="preserve">2.2 “产品”指本招标文件中所述产品</w:t>
      </w:r>
      <w:r>
        <w:rPr>
          <w:rFonts w:hint="eastAsia" w:ascii="宋体" w:hAnsi="宋体" w:cs="宋体"/>
          <w:color w:val="auto"/>
          <w:szCs w:val="21"/>
          <w:highlight w:val="none"/>
          <w:lang w:val="zh-CN"/>
        </w:rPr>
        <w:t xml:space="preserve">及相关服务。</w:t>
      </w:r>
      <w:r/>
    </w:p>
    <w:p>
      <w:pPr>
        <w:ind w:firstLine="420"/>
        <w:jc w:val="left"/>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 “用户或使用单位”是指使用服务的单位。</w:t>
      </w:r>
      <w:r/>
    </w:p>
    <w:p>
      <w:pPr>
        <w:ind w:firstLine="422"/>
        <w:jc w:val="lef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3、政策功能</w:t>
      </w:r>
      <w:r/>
    </w:p>
    <w:p>
      <w:pPr>
        <w:ind w:firstLine="420"/>
        <w:jc w:val="left"/>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3.1中小供应商政策</w:t>
      </w:r>
      <w:r/>
    </w:p>
    <w:p>
      <w:pPr>
        <w:ind w:firstLine="420"/>
        <w:jc w:val="left"/>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2017〕213号）。</w:t>
      </w:r>
      <w:r/>
    </w:p>
    <w:p>
      <w:pPr>
        <w:ind w:firstLine="420"/>
        <w:jc w:val="left"/>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（2）政府采购支持监狱和戒毒供应商发展政策，监狱和戒毒供应商提供的产品和服务在评标时将获得优势，参加投标的监狱和戒毒供应商，应当 提供由省级以上监狱管理局、戒毒管理局（含新疆生产建设兵团）出具的属于监狱供应商的证明文件，监狱和戒毒供应商享受政府采购支持政 策的要求详见财库〔2014〕68号。</w:t>
      </w:r>
      <w:r/>
    </w:p>
    <w:p>
      <w:pPr>
        <w:ind w:firstLine="420"/>
        <w:jc w:val="left"/>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（3）政府采购促进残疾人就业政策，残疾人福利性单位提供的产品和服务在评标时将获得优势，参加投标的残疾人福利性单位，应当提供 《残疾人福利性单位声明函》，残疾人福利性单位享受政府采购支持政策的要求详见财库〔2017〕141号。</w:t>
      </w:r>
      <w:r/>
    </w:p>
    <w:p>
      <w:pPr>
        <w:ind w:firstLine="420"/>
        <w:jc w:val="left"/>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（4）强制采购节能产品、信息安全产品，优先采购环境标志产品。节能产品是指列入财政部、国家发展和改革委员会制定的节能产品品目 政府采购清单，且经过认定的节能产品；信息安全产品是指列入国家质检总局 国家认监委《信息安全产品强制性认证目录》，并获得强 制性产品认证证书的产品；环境标志产品是指列入财政部、国家环保总局制定的环境标志产品品目政府采购清单，且经过认证的环境标志 产品。</w:t>
      </w:r>
      <w:r/>
    </w:p>
    <w:p>
      <w:pPr>
        <w:ind w:firstLine="420"/>
        <w:jc w:val="left"/>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（5）提供的产品属于信息安全产品的，供应商应当选择经国家认证的信息安全产品投标，并提供由中国信息安全认证中心按国家标准认证颁发的有效认证证书复印件。</w:t>
      </w:r>
      <w:r/>
    </w:p>
    <w:p>
      <w:pPr>
        <w:ind w:firstLine="420"/>
        <w:jc w:val="left"/>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（6）提供的产品属于政府强制采购节能产品的，供应商应当选择经过认证的节能产品投标，并提供有效的节能产品认证证书复印件。</w:t>
      </w:r>
      <w:r/>
    </w:p>
    <w:p>
      <w:pPr>
        <w:ind w:firstLine="420"/>
        <w:jc w:val="left"/>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（7）提供的产品属于环境标志产品的,供应商应当选择经过认证的环境标志产品投标,并提供有效的环境标志产品认证证书复印件。</w:t>
      </w:r>
      <w:r/>
    </w:p>
    <w:p>
      <w:pPr>
        <w:ind w:firstLine="420"/>
        <w:jc w:val="left"/>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3.2政府采购中实施本国产品标准及相关政策</w:t>
      </w:r>
      <w:r/>
    </w:p>
    <w:p>
      <w:pPr>
        <w:ind w:firstLine="420"/>
        <w:jc w:val="left"/>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w:t>
      </w: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zh-CN"/>
        </w:rPr>
        <w:t xml:space="preserve">）本项目对采购本国产品给予政策支持，具体内容见招标文件</w:t>
      </w:r>
      <w:r>
        <w:rPr>
          <w:rFonts w:hint="eastAsia" w:ascii="宋体" w:hAnsi="宋体" w:cs="宋体"/>
          <w:bCs/>
          <w:color w:val="auto"/>
          <w:szCs w:val="21"/>
          <w:highlight w:val="none"/>
        </w:rPr>
        <w:t xml:space="preserve">第三章</w:t>
      </w:r>
      <w:r>
        <w:rPr>
          <w:rFonts w:hint="eastAsia" w:ascii="宋体" w:hAnsi="宋体" w:cs="宋体"/>
          <w:bCs/>
          <w:color w:val="auto"/>
          <w:szCs w:val="21"/>
          <w:highlight w:val="none"/>
          <w:lang w:val="zh-CN"/>
        </w:rPr>
        <w:t xml:space="preserve">。</w:t>
      </w:r>
      <w:r/>
    </w:p>
    <w:p>
      <w:pPr>
        <w:ind w:firstLine="420"/>
        <w:jc w:val="left"/>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w:t>
      </w:r>
      <w:r>
        <w:rPr>
          <w:rFonts w:hint="eastAsia" w:ascii="宋体" w:hAnsi="宋体" w:cs="宋体"/>
          <w:bCs/>
          <w:color w:val="auto"/>
          <w:szCs w:val="21"/>
          <w:highlight w:val="none"/>
        </w:rPr>
        <w:t xml:space="preserve">2</w:t>
      </w:r>
      <w:r>
        <w:rPr>
          <w:rFonts w:hint="eastAsia" w:ascii="宋体" w:hAnsi="宋体" w:cs="宋体"/>
          <w:bCs/>
          <w:color w:val="auto"/>
          <w:szCs w:val="21"/>
          <w:highlight w:val="none"/>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w:t>
      </w:r>
      <w:r>
        <w:rPr>
          <w:rFonts w:hint="eastAsia" w:ascii="宋体" w:hAnsi="宋体" w:cs="宋体"/>
          <w:bCs/>
          <w:color w:val="auto"/>
          <w:szCs w:val="21"/>
          <w:highlight w:val="none"/>
        </w:rPr>
        <w:t xml:space="preserve">3</w:t>
      </w:r>
      <w:r>
        <w:rPr>
          <w:rFonts w:hint="eastAsia" w:ascii="宋体" w:hAnsi="宋体" w:cs="宋体"/>
          <w:bCs/>
          <w:color w:val="auto"/>
          <w:szCs w:val="21"/>
          <w:highlight w:val="none"/>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left"/>
        <w:rPr>
          <w:rFonts w:ascii="宋体" w:hAnsi="宋体" w:cs="宋体"/>
          <w:bCs/>
          <w:color w:val="auto"/>
          <w:szCs w:val="21"/>
          <w:highlight w:val="none"/>
          <w:lang w:val="zh-CN"/>
        </w:rPr>
      </w:pPr>
      <w:r>
        <w:rPr>
          <w:rFonts w:hint="eastAsia" w:ascii="宋体" w:hAnsi="宋体" w:cs="宋体"/>
          <w:bCs/>
          <w:color w:val="auto"/>
          <w:szCs w:val="21"/>
          <w:highlight w:val="none"/>
        </w:rPr>
        <w:t xml:space="preserve">3.3</w:t>
      </w:r>
      <w:r>
        <w:rPr>
          <w:rFonts w:hint="eastAsia" w:ascii="宋体" w:hAnsi="宋体" w:cs="宋体"/>
          <w:bCs/>
          <w:color w:val="auto"/>
          <w:szCs w:val="21"/>
          <w:highlight w:val="none"/>
          <w:lang w:val="zh-CN"/>
        </w:rPr>
        <w:t xml:space="preserve">未按要求提供相关材料的，不享受相关政策。</w:t>
      </w:r>
      <w:r/>
    </w:p>
    <w:p>
      <w:pPr>
        <w:ind w:firstLine="420"/>
        <w:jc w:val="left"/>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3.</w:t>
      </w:r>
      <w:r>
        <w:rPr>
          <w:rFonts w:hint="eastAsia" w:ascii="宋体" w:hAnsi="宋体" w:cs="宋体"/>
          <w:bCs/>
          <w:color w:val="auto"/>
          <w:szCs w:val="21"/>
          <w:highlight w:val="none"/>
        </w:rPr>
        <w:t xml:space="preserve">4</w:t>
      </w:r>
      <w:r>
        <w:rPr>
          <w:rFonts w:hint="eastAsia" w:ascii="宋体" w:hAnsi="宋体" w:cs="宋体"/>
          <w:bCs/>
          <w:color w:val="auto"/>
          <w:szCs w:val="21"/>
          <w:highlight w:val="none"/>
          <w:lang w:val="zh-CN"/>
        </w:rPr>
        <w:t xml:space="preserve"> 进口产品政策</w:t>
      </w:r>
      <w:r/>
    </w:p>
    <w:p>
      <w:pPr>
        <w:ind w:firstLine="420"/>
        <w:jc w:val="left"/>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（1）除招标公告载明接受进口产品参加外，不允许进口产品参加。进口产品认定依照《财政部关于政府采购进口产品管理有关问题的通知》（财办库〔2008〕248号）的规定。</w:t>
      </w:r>
      <w:r/>
    </w:p>
    <w:p>
      <w:pPr>
        <w:ind w:firstLine="420"/>
        <w:jc w:val="left"/>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（2）允许进口产品参加的，满足需求的国内产品可以参加。</w:t>
      </w:r>
      <w:r/>
    </w:p>
    <w:p>
      <w:pPr>
        <w:ind w:firstLine="420"/>
        <w:jc w:val="left"/>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（3）允许进口产品参加的，优先采购向我国企业转让技术、与我国企业签订消化吸收再创新方案的投标人的进口产品。</w:t>
      </w:r>
      <w:r/>
    </w:p>
    <w:p>
      <w:pPr>
        <w:ind w:firstLine="413"/>
        <w:rPr>
          <w:rFonts w:ascii="宋体" w:hAnsi="宋体" w:cs="宋体"/>
          <w:b/>
          <w:color w:val="auto"/>
          <w:highlight w:val="none"/>
        </w:rPr>
      </w:pPr>
      <w:r>
        <w:rPr>
          <w:rFonts w:hint="eastAsia" w:ascii="宋体" w:hAnsi="宋体" w:cs="宋体"/>
          <w:b/>
          <w:color w:val="auto"/>
          <w:highlight w:val="none"/>
        </w:rPr>
        <w:t xml:space="preserve">二、招标文件</w:t>
      </w:r>
      <w:r/>
    </w:p>
    <w:p>
      <w:pPr>
        <w:ind w:firstLine="420"/>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4、招标文件组成</w:t>
      </w:r>
      <w:r/>
    </w:p>
    <w:p>
      <w:pPr>
        <w:ind w:firstLine="420"/>
        <w:rPr>
          <w:rFonts w:ascii="宋体" w:hAnsi="宋体" w:cs="宋体"/>
          <w:color w:val="auto"/>
          <w:szCs w:val="21"/>
          <w:highlight w:val="none"/>
        </w:rPr>
      </w:pPr>
      <w:r>
        <w:rPr>
          <w:rFonts w:hint="eastAsia" w:ascii="宋体" w:hAnsi="宋体" w:cs="宋体"/>
          <w:color w:val="auto"/>
          <w:szCs w:val="21"/>
          <w:highlight w:val="none"/>
          <w:lang w:val="zh-CN"/>
        </w:rPr>
        <w:t xml:space="preserve">4.1 招标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4.2 招标的最小单位是包。招标服务数量及技术要求中未分包的，供应商对要求提供的服务不得部分投标；招标服务数量及技术要求中已经分包的，应当以包为单位投标。</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4.3 招标文件如果要求供应商提交备选投标方案的，供应商可以提交备选方案；否则，备选方案将被拒绝。</w:t>
      </w:r>
      <w:r/>
    </w:p>
    <w:p>
      <w:pPr>
        <w:ind w:firstLine="420"/>
        <w:rPr>
          <w:rFonts w:ascii="宋体" w:hAnsi="宋体" w:cs="宋体"/>
          <w:b/>
          <w:bCs/>
          <w:color w:val="auto"/>
          <w:szCs w:val="21"/>
          <w:highlight w:val="none"/>
          <w:lang w:val="zh-CN"/>
        </w:rPr>
        <w:outlineLvl w:val="0"/>
      </w:pPr>
      <w:r>
        <w:rPr>
          <w:rFonts w:hint="eastAsia" w:ascii="宋体" w:hAnsi="宋体" w:cs="宋体"/>
          <w:b/>
          <w:bCs/>
          <w:color w:val="auto"/>
          <w:szCs w:val="21"/>
          <w:highlight w:val="none"/>
          <w:lang w:val="zh-CN"/>
        </w:rPr>
        <w:t xml:space="preserve">5、招标文件的澄清、修改</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5.1 招标代理对已发出的招标文件进行必要澄清或者修改的，将在招标文件要求提交投标文件截止时间</w:t>
      </w:r>
      <w:r>
        <w:rPr>
          <w:rFonts w:hint="eastAsia" w:ascii="宋体" w:hAnsi="宋体" w:cs="宋体"/>
          <w:b/>
          <w:bCs/>
          <w:iCs/>
          <w:color w:val="auto"/>
          <w:szCs w:val="21"/>
          <w:highlight w:val="none"/>
          <w:u w:val="single"/>
          <w:lang w:val="zh-CN"/>
        </w:rPr>
        <w:t xml:space="preserve">十五日</w:t>
      </w:r>
      <w:r>
        <w:rPr>
          <w:rFonts w:hint="eastAsia" w:ascii="宋体" w:hAnsi="宋体" w:cs="宋体"/>
          <w:color w:val="auto"/>
          <w:szCs w:val="21"/>
          <w:highlight w:val="none"/>
          <w:lang w:val="zh-CN"/>
        </w:rPr>
        <w:t xml:space="preserve">前，在原招标公告媒体发布更正公告，该澄清或者修改的内容为招标文件的组成部分。</w:t>
      </w:r>
      <w:r/>
    </w:p>
    <w:p>
      <w:pPr>
        <w:ind w:firstLine="420"/>
        <w:rPr>
          <w:rFonts w:ascii="宋体" w:hAnsi="宋体" w:cs="宋体"/>
          <w:color w:val="auto"/>
          <w:highlight w:val="none"/>
        </w:rPr>
      </w:pPr>
      <w:r>
        <w:rPr>
          <w:rFonts w:hint="eastAsia" w:ascii="宋体" w:hAnsi="宋体" w:cs="宋体"/>
          <w:color w:val="auto"/>
          <w:szCs w:val="21"/>
          <w:highlight w:val="none"/>
          <w:lang w:val="zh-CN"/>
        </w:rPr>
        <w:t xml:space="preserve">5.2 招标代理在招标文件要求提交投标文件截止时间前，有权决定延长投标截止时间和开标时间，并</w:t>
      </w:r>
      <w:r>
        <w:rPr>
          <w:rFonts w:hint="eastAsia" w:ascii="宋体" w:hAnsi="宋体" w:cs="宋体"/>
          <w:color w:val="auto"/>
          <w:highlight w:val="none"/>
        </w:rPr>
        <w:t xml:space="preserve">在原采购信息发布媒体上发布变更公告。</w:t>
      </w:r>
      <w:r/>
    </w:p>
    <w:p>
      <w:pPr>
        <w:ind w:firstLine="420"/>
        <w:rPr>
          <w:rFonts w:ascii="宋体" w:hAnsi="宋体" w:cs="宋体"/>
          <w:color w:val="auto"/>
          <w:szCs w:val="21"/>
          <w:highlight w:val="none"/>
          <w:lang w:val="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.3 供应商应在投标截止时间前关注</w:t>
      </w:r>
      <w:r>
        <w:rPr>
          <w:rFonts w:hint="eastAsia" w:ascii="宋体" w:hAnsi="宋体" w:cs="宋体"/>
          <w:color w:val="auto"/>
          <w:highlight w:val="none"/>
        </w:rPr>
        <w:t xml:space="preserve">原采购信息发布媒体上</w:t>
      </w:r>
      <w:r>
        <w:rPr>
          <w:rFonts w:hint="eastAsia" w:ascii="宋体" w:hAnsi="宋体" w:cs="宋体"/>
          <w:color w:val="auto"/>
          <w:szCs w:val="21"/>
          <w:highlight w:val="none"/>
          <w:lang w:val="zh-CN"/>
        </w:rPr>
        <w:t xml:space="preserve">有关本招标项目有无变更公告。</w:t>
      </w:r>
      <w:r>
        <w:rPr>
          <w:rFonts w:hint="eastAsia" w:ascii="宋体" w:hAnsi="宋体"/>
          <w:bCs/>
          <w:color w:val="auto"/>
          <w:szCs w:val="21"/>
          <w:highlight w:val="none"/>
        </w:rPr>
        <w:t xml:space="preserve">根据更正公告内容自行决定是否需要重新制作和提交投标文件，并承担由此产生的相应责任。</w:t>
      </w:r>
      <w:r/>
    </w:p>
    <w:p>
      <w:pPr>
        <w:ind w:firstLine="420"/>
        <w:rPr>
          <w:rFonts w:ascii="宋体" w:hAnsi="宋体" w:cs="宋体"/>
          <w:b/>
          <w:bCs/>
          <w:color w:val="auto"/>
          <w:szCs w:val="21"/>
          <w:highlight w:val="none"/>
          <w:lang w:val="zh-CN"/>
        </w:rPr>
        <w:outlineLvl w:val="0"/>
      </w:pPr>
      <w:r>
        <w:rPr>
          <w:rFonts w:hint="eastAsia" w:ascii="宋体" w:hAnsi="宋体" w:cs="宋体"/>
          <w:b/>
          <w:bCs/>
          <w:color w:val="auto"/>
          <w:szCs w:val="21"/>
          <w:highlight w:val="none"/>
          <w:lang w:val="zh-CN"/>
        </w:rPr>
        <w:t xml:space="preserve">三、投标</w:t>
      </w:r>
      <w:r/>
    </w:p>
    <w:p>
      <w:pPr>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6、投标文件的语言、计量单位、货币和编制</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6.1 供应商提交的投标文件、技术文件和资料，包括图纸中的说明，以及供应商与招标代理就有关投标的所有来往函电均应使用中文。投标文件中若有英文或其他语言文字的资料，应提供相应的中文翻译资料。对不同文本投标文件的解释发生异议的，以中文文本为准。</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6.2 供应商所使用的计量单位应为国家法定计量单位。</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6.3 供应商应用人民币报价。投标产品如果是进口产品的，应提供人民币与外币之间的汇率。</w:t>
      </w:r>
      <w:r/>
    </w:p>
    <w:p>
      <w:pPr>
        <w:ind w:firstLine="420"/>
        <w:spacing w:line="288" w:lineRule="auto"/>
        <w:rPr>
          <w:rFonts w:ascii="宋体" w:hAnsi="宋体" w:cs="宋体"/>
          <w:color w:val="auto"/>
          <w:szCs w:val="21"/>
          <w:highlight w:val="none"/>
        </w:rPr>
      </w:pPr>
      <w:r>
        <w:rPr>
          <w:rFonts w:hint="eastAsia" w:ascii="宋体" w:hAnsi="宋体" w:cs="宋体"/>
          <w:color w:val="auto"/>
          <w:szCs w:val="21"/>
          <w:highlight w:val="none"/>
        </w:rPr>
        <w:t xml:space="preserve">6.4 </w:t>
      </w:r>
      <w:r>
        <w:rPr>
          <w:rFonts w:hint="eastAsia" w:ascii="宋体" w:hAnsi="宋体"/>
          <w:bCs/>
          <w:color w:val="auto"/>
          <w:szCs w:val="21"/>
          <w:highlight w:val="none"/>
        </w:rPr>
        <w:t xml:space="preserve">如标书制作工具中格式和内容与“江苏政府采购网”发布的招标文件不一致，以“江苏政府采购网”发布的招标文件为准。</w:t>
      </w:r>
      <w:r/>
    </w:p>
    <w:p>
      <w:pPr>
        <w:ind w:firstLine="420"/>
        <w:spacing w:line="288"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6.5 供应商应在投标文件中写清相应的项目编号、项目名称、供应商全称、地址、电话、传真等。</w:t>
      </w:r>
      <w:r/>
    </w:p>
    <w:p>
      <w:pPr>
        <w:ind w:firstLine="420"/>
        <w:spacing w:line="288" w:lineRule="auto"/>
        <w:rPr>
          <w:rFonts w:ascii="宋体" w:hAnsi="宋体" w:cs="宋体"/>
          <w:color w:val="auto"/>
          <w:szCs w:val="21"/>
          <w:highlight w:val="none"/>
        </w:rPr>
      </w:pPr>
      <w:r>
        <w:rPr>
          <w:rFonts w:hint="eastAsia" w:ascii="宋体" w:hAnsi="宋体" w:cs="宋体"/>
          <w:color w:val="auto"/>
          <w:szCs w:val="21"/>
          <w:highlight w:val="none"/>
        </w:rPr>
        <w:t xml:space="preserve">6.6 供应商所使用的技术标准应遵循国家最新标准及规范。</w:t>
      </w:r>
      <w:r/>
    </w:p>
    <w:p>
      <w:pPr>
        <w:ind w:firstLine="420"/>
        <w:rPr>
          <w:rFonts w:ascii="宋体" w:hAnsi="宋体" w:cs="宋体"/>
          <w:b/>
          <w:bCs/>
          <w:color w:val="auto"/>
          <w:szCs w:val="21"/>
          <w:highlight w:val="none"/>
          <w:lang w:val="zh-CN"/>
        </w:rPr>
      </w:pPr>
      <w:r>
        <w:rPr>
          <w:rFonts w:hint="eastAsia" w:ascii="宋体" w:hAnsi="宋体" w:cs="宋体"/>
          <w:color w:val="auto"/>
          <w:szCs w:val="21"/>
          <w:highlight w:val="none"/>
          <w:lang w:val="zh-CN"/>
        </w:rPr>
        <w:t xml:space="preserve">7</w:t>
      </w:r>
      <w:r>
        <w:rPr>
          <w:rFonts w:hint="eastAsia" w:ascii="宋体" w:hAnsi="宋体" w:cs="宋体"/>
          <w:b/>
          <w:bCs/>
          <w:color w:val="auto"/>
          <w:szCs w:val="21"/>
          <w:highlight w:val="none"/>
          <w:lang w:val="zh-CN"/>
        </w:rPr>
        <w:t xml:space="preserve">、联合投标</w:t>
      </w:r>
      <w:r/>
    </w:p>
    <w:p>
      <w:pPr>
        <w:ind w:firstLine="420"/>
        <w:rPr>
          <w:rFonts w:ascii="宋体" w:hAnsi="宋体" w:cs="宋体"/>
          <w:bCs/>
          <w:color w:val="auto"/>
          <w:szCs w:val="21"/>
          <w:highlight w:val="none"/>
        </w:rPr>
        <w:outlineLvl w:val="0"/>
      </w:pPr>
      <w:r>
        <w:rPr>
          <w:rFonts w:hint="eastAsia" w:ascii="宋体" w:hAnsi="宋体" w:cs="宋体"/>
          <w:bCs/>
          <w:color w:val="auto"/>
          <w:szCs w:val="21"/>
          <w:highlight w:val="none"/>
        </w:rPr>
        <w:t xml:space="preserve">本次招标不接受联合体投标。</w:t>
      </w:r>
      <w:r/>
    </w:p>
    <w:p>
      <w:pPr>
        <w:ind w:firstLine="420"/>
        <w:rPr>
          <w:rFonts w:ascii="宋体" w:hAnsi="宋体" w:cs="宋体"/>
          <w:b/>
          <w:bCs/>
          <w:color w:val="auto"/>
          <w:szCs w:val="21"/>
          <w:highlight w:val="none"/>
          <w:lang w:val="zh-CN"/>
        </w:rPr>
        <w:outlineLvl w:val="0"/>
      </w:pPr>
      <w:r>
        <w:rPr>
          <w:rFonts w:hint="eastAsia" w:ascii="宋体" w:hAnsi="宋体" w:cs="宋体"/>
          <w:b/>
          <w:bCs/>
          <w:color w:val="auto"/>
          <w:szCs w:val="21"/>
          <w:highlight w:val="none"/>
          <w:lang w:val="zh-CN"/>
        </w:rPr>
        <w:t xml:space="preserve">8、投标费用</w:t>
      </w:r>
      <w:r/>
    </w:p>
    <w:p>
      <w:pPr>
        <w:ind w:firstLine="420"/>
        <w:rPr>
          <w:color w:val="auto"/>
          <w:highlight w:val="none"/>
        </w:rPr>
      </w:pPr>
      <w:r>
        <w:rPr>
          <w:color w:val="auto"/>
          <w:highlight w:val="none"/>
        </w:rPr>
        <w:t xml:space="preserve">8.1 供应商应自行承担所有与准备和参加投标有关的费用。</w:t>
      </w:r>
      <w:r/>
    </w:p>
    <w:p>
      <w:pPr>
        <w:ind w:firstLine="420"/>
        <w:rPr>
          <w:color w:val="auto"/>
          <w:highlight w:val="none"/>
        </w:rPr>
      </w:pPr>
      <w:r>
        <w:rPr>
          <w:color w:val="auto"/>
          <w:highlight w:val="none"/>
        </w:rPr>
        <w:t xml:space="preserve">8.2</w:t>
      </w:r>
      <w:r>
        <w:rPr>
          <w:rFonts w:hint="eastAsia"/>
          <w:color w:val="auto"/>
          <w:highlight w:val="none"/>
        </w:rPr>
        <w:t xml:space="preserve"> 本次招标，中标人按《招标代理服务费管理暂行办法》（国家发展计划委员会计价格【2002】1980 号）代理服务招标收费标准的48%计算，超过18000元的按固定金额人民币18000元计算，在领取中标通知书前向采购代理机构支付招标服务费。该项费用请投标人综合考虑在投标报价中，后期采购人不单独列支，必须在领取中标通知书前向招标代理机构支付招标服务费。</w:t>
      </w:r>
      <w:r/>
    </w:p>
    <w:p>
      <w:pPr>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9、投标文件组成</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9.1 </w:t>
      </w:r>
      <w:r>
        <w:rPr>
          <w:rFonts w:hint="eastAsia" w:ascii="宋体" w:hAnsi="宋体" w:cs="宋体"/>
          <w:color w:val="auto"/>
          <w:szCs w:val="21"/>
          <w:highlight w:val="none"/>
        </w:rPr>
        <w:t xml:space="preserve">供应商应当根据招标文件要求编制投标文件，投标文件应对招标文件提出的要求和条件作出实质性响应，并在</w:t>
      </w:r>
      <w:r>
        <w:rPr>
          <w:rFonts w:hint="eastAsia" w:ascii="宋体" w:hAnsi="宋体" w:cs="宋体"/>
          <w:color w:val="auto"/>
          <w:szCs w:val="21"/>
          <w:highlight w:val="none"/>
          <w:lang w:val="zh-CN"/>
        </w:rPr>
        <w:t xml:space="preserve">《商务条款偏离表》和《技术条款偏离表》等处</w:t>
      </w:r>
      <w:r>
        <w:rPr>
          <w:rFonts w:hint="eastAsia" w:ascii="宋体" w:hAnsi="宋体" w:cs="宋体"/>
          <w:color w:val="auto"/>
          <w:szCs w:val="21"/>
          <w:highlight w:val="none"/>
        </w:rPr>
        <w:t xml:space="preserve">逐条标明满足与否。</w:t>
      </w:r>
      <w:r/>
    </w:p>
    <w:p>
      <w:pPr>
        <w:ind w:firstLine="411"/>
        <w:rPr>
          <w:rFonts w:ascii="宋体" w:hAnsi="宋体" w:cs="宋体"/>
          <w:b/>
          <w:color w:val="auto"/>
          <w:highlight w:val="none"/>
        </w:rPr>
      </w:pPr>
      <w:r>
        <w:rPr>
          <w:rFonts w:hint="eastAsia" w:ascii="宋体" w:hAnsi="宋体" w:cs="宋体"/>
          <w:color w:val="auto"/>
          <w:szCs w:val="21"/>
          <w:highlight w:val="none"/>
          <w:lang w:val="zh-CN"/>
        </w:rPr>
        <w:t xml:space="preserve">9.2 供应商根据招标文件载明的标的采购项目实际情况，拟在中标后将中标项目的非主体、非关键性工作交由他人完成的，应当在投标文件中载明。</w:t>
      </w:r>
      <w:r/>
    </w:p>
    <w:p>
      <w:pPr>
        <w:ind w:firstLine="420"/>
        <w:rPr>
          <w:rFonts w:ascii="宋体" w:hAnsi="宋体" w:cs="宋体"/>
          <w:color w:val="auto"/>
          <w:szCs w:val="21"/>
          <w:highlight w:val="none"/>
          <w:lang w:val="zh-CN"/>
        </w:rPr>
      </w:pP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.3 投标文件由商务部分、技术部分、价格部分，以及其他部分组成。</w:t>
      </w:r>
      <w:r/>
    </w:p>
    <w:p>
      <w:pPr>
        <w:ind w:firstLine="422"/>
        <w:rPr>
          <w:rFonts w:ascii="宋体" w:hAnsi="宋体" w:cs="宋体"/>
          <w:b/>
          <w:color w:val="auto"/>
          <w:highlight w:val="none"/>
        </w:rPr>
      </w:pPr>
      <w:r>
        <w:rPr>
          <w:rFonts w:hint="eastAsia" w:ascii="宋体" w:hAnsi="宋体" w:cs="宋体"/>
          <w:b/>
          <w:color w:val="auto"/>
          <w:highlight w:val="none"/>
        </w:rPr>
        <w:t xml:space="preserve">10、投标文件的商务部分</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10.1 商务部分是证明供应商有资格参加投标和中标后有能力履行合同的文件，</w:t>
      </w:r>
      <w:r>
        <w:rPr>
          <w:rFonts w:hint="eastAsia" w:ascii="宋体" w:hAnsi="宋体" w:cs="宋体"/>
          <w:color w:val="auto"/>
          <w:szCs w:val="21"/>
          <w:highlight w:val="none"/>
        </w:rPr>
        <w:t xml:space="preserve">这些文件应能满足招标的要求</w:t>
      </w:r>
      <w:r>
        <w:rPr>
          <w:rFonts w:hint="eastAsia" w:ascii="宋体" w:hAnsi="宋体" w:cs="宋体"/>
          <w:color w:val="auto"/>
          <w:szCs w:val="21"/>
          <w:highlight w:val="none"/>
          <w:lang w:val="zh-CN"/>
        </w:rPr>
        <w:t xml:space="preserve">，包括但不限于下列文件，其中加</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项目不得有缺失或无效。</w:t>
      </w:r>
      <w:r/>
    </w:p>
    <w:p>
      <w:pPr>
        <w:ind w:firstLine="420"/>
        <w:rPr>
          <w:color w:val="auto"/>
          <w:highlight w:val="none"/>
        </w:rPr>
      </w:pPr>
      <w:r>
        <w:rPr>
          <w:color w:val="auto"/>
          <w:highlight w:val="none"/>
        </w:rPr>
        <w:t xml:space="preserve">（1）</w:t>
      </w:r>
      <w:r>
        <w:rPr>
          <w:rFonts w:hint="eastAsia" w:ascii="宋体" w:hAnsi="宋体" w:cs="宋体"/>
          <w:color w:val="auto"/>
          <w:highlight w:val="none"/>
        </w:rPr>
        <w:t xml:space="preserve">★</w:t>
      </w:r>
      <w:r>
        <w:rPr>
          <w:color w:val="auto"/>
          <w:highlight w:val="none"/>
        </w:rPr>
        <w:t xml:space="preserve">投标函（投标申请及声明）；</w:t>
      </w:r>
      <w:r/>
    </w:p>
    <w:p>
      <w:pPr>
        <w:ind w:firstLine="420"/>
        <w:rPr>
          <w:color w:val="auto"/>
          <w:highlight w:val="none"/>
        </w:rPr>
      </w:pPr>
      <w:r>
        <w:rPr>
          <w:color w:val="auto"/>
          <w:highlight w:val="none"/>
        </w:rPr>
        <w:t xml:space="preserve">（2）</w:t>
      </w:r>
      <w:r>
        <w:rPr>
          <w:rFonts w:hint="eastAsia" w:ascii="宋体" w:hAnsi="宋体" w:cs="宋体"/>
          <w:color w:val="auto"/>
          <w:highlight w:val="none"/>
        </w:rPr>
        <w:t xml:space="preserve">★</w:t>
      </w:r>
      <w:r>
        <w:rPr>
          <w:color w:val="auto"/>
          <w:highlight w:val="none"/>
        </w:rPr>
        <w:t xml:space="preserve">法定代表人授权委托书及委托代理人的身份证复印件； </w:t>
      </w:r>
      <w:r/>
    </w:p>
    <w:p>
      <w:pPr>
        <w:ind w:firstLine="420"/>
        <w:rPr>
          <w:color w:val="auto"/>
          <w:highlight w:val="none"/>
        </w:rPr>
      </w:pPr>
      <w:r>
        <w:rPr>
          <w:color w:val="auto"/>
          <w:highlight w:val="none"/>
        </w:rPr>
        <w:t xml:space="preserve">（3）</w:t>
      </w:r>
      <w:r>
        <w:rPr>
          <w:rFonts w:hint="eastAsia" w:ascii="宋体" w:hAnsi="宋体" w:cs="宋体"/>
          <w:color w:val="auto"/>
          <w:highlight w:val="none"/>
        </w:rPr>
        <w:t xml:space="preserve">★</w:t>
      </w:r>
      <w:r>
        <w:rPr>
          <w:rFonts w:hint="eastAsia" w:ascii="宋体" w:hAnsi="宋体" w:cs="宋体"/>
          <w:color w:val="auto"/>
          <w:szCs w:val="21"/>
          <w:highlight w:val="none"/>
        </w:rPr>
        <w:t xml:space="preserve">第一章投标邀请中二、申请人的资格要求：1.《中华人民共和国政府采购法》规定的资格条件证明文件</w:t>
      </w:r>
      <w:r>
        <w:rPr>
          <w:color w:val="auto"/>
          <w:highlight w:val="none"/>
        </w:rPr>
        <w:t xml:space="preserve">； </w:t>
      </w:r>
      <w:r/>
    </w:p>
    <w:p>
      <w:pPr>
        <w:ind w:firstLine="420"/>
        <w:rPr>
          <w:color w:val="auto"/>
          <w:highlight w:val="none"/>
        </w:rPr>
      </w:pPr>
      <w:r>
        <w:rPr>
          <w:color w:val="auto"/>
          <w:highlight w:val="none"/>
        </w:rPr>
        <w:t xml:space="preserve">（4）</w:t>
      </w:r>
      <w:r>
        <w:rPr>
          <w:rFonts w:hint="eastAsia" w:ascii="宋体" w:hAnsi="宋体" w:cs="宋体"/>
          <w:color w:val="auto"/>
          <w:highlight w:val="none"/>
        </w:rPr>
        <w:t xml:space="preserve">★</w:t>
      </w:r>
      <w:r>
        <w:rPr>
          <w:rFonts w:hint="eastAsia" w:ascii="宋体" w:hAnsi="宋体" w:cs="宋体"/>
          <w:color w:val="auto"/>
          <w:szCs w:val="21"/>
          <w:highlight w:val="none"/>
          <w:lang w:val="zh-CN"/>
        </w:rPr>
        <w:t xml:space="preserve">第一章投标邀请中</w:t>
      </w:r>
      <w:r>
        <w:rPr>
          <w:rFonts w:hint="eastAsia" w:ascii="宋体" w:hAnsi="宋体" w:cs="宋体"/>
          <w:color w:val="auto"/>
          <w:szCs w:val="21"/>
          <w:highlight w:val="none"/>
        </w:rPr>
        <w:t xml:space="preserve">二、申请人的资格要求：3.本项目的特定资格要求</w:t>
      </w:r>
      <w:r>
        <w:rPr>
          <w:rFonts w:hint="eastAsia" w:ascii="宋体" w:hAnsi="宋体" w:cs="宋体"/>
          <w:color w:val="auto"/>
          <w:szCs w:val="21"/>
          <w:highlight w:val="none"/>
          <w:lang w:val="zh-CN"/>
        </w:rPr>
        <w:t xml:space="preserve">证明文件</w:t>
      </w:r>
      <w:r>
        <w:rPr>
          <w:rFonts w:hint="eastAsia"/>
          <w:color w:val="auto"/>
          <w:highlight w:val="none"/>
        </w:rPr>
        <w:t xml:space="preserve">（若有）</w:t>
      </w:r>
      <w:r>
        <w:rPr>
          <w:color w:val="auto"/>
          <w:highlight w:val="none"/>
        </w:rPr>
        <w:t xml:space="preserve">；  </w:t>
      </w:r>
      <w:r/>
    </w:p>
    <w:p>
      <w:pPr>
        <w:ind w:firstLine="420"/>
        <w:rPr>
          <w:color w:val="auto"/>
          <w:highlight w:val="none"/>
        </w:rPr>
      </w:pPr>
      <w:r>
        <w:rPr>
          <w:color w:val="auto"/>
          <w:highlight w:val="none"/>
        </w:rPr>
        <w:t xml:space="preserve">（</w:t>
      </w:r>
      <w:r>
        <w:rPr>
          <w:rFonts w:hint="eastAsia"/>
          <w:color w:val="auto"/>
          <w:highlight w:val="none"/>
        </w:rPr>
        <w:t xml:space="preserve">5</w:t>
      </w:r>
      <w:r>
        <w:rPr>
          <w:color w:val="auto"/>
          <w:highlight w:val="none"/>
        </w:rPr>
        <w:t xml:space="preserve">）</w:t>
      </w:r>
      <w:r>
        <w:rPr>
          <w:rFonts w:hint="eastAsia" w:ascii="宋体" w:hAnsi="宋体" w:cs="宋体"/>
          <w:color w:val="auto"/>
          <w:highlight w:val="none"/>
        </w:rPr>
        <w:t xml:space="preserve">★</w:t>
      </w:r>
      <w:r>
        <w:rPr>
          <w:color w:val="auto"/>
          <w:highlight w:val="none"/>
        </w:rPr>
        <w:t xml:space="preserve">开标一览表；</w:t>
      </w:r>
      <w:r/>
    </w:p>
    <w:p>
      <w:pPr>
        <w:ind w:firstLine="420"/>
        <w:rPr>
          <w:color w:val="auto"/>
          <w:highlight w:val="none"/>
        </w:rPr>
      </w:pPr>
      <w:r>
        <w:rPr>
          <w:color w:val="auto"/>
          <w:highlight w:val="none"/>
        </w:rPr>
        <w:t xml:space="preserve">（</w:t>
      </w:r>
      <w:r>
        <w:rPr>
          <w:rFonts w:hint="eastAsia"/>
          <w:color w:val="auto"/>
          <w:highlight w:val="none"/>
        </w:rPr>
        <w:t xml:space="preserve">6</w:t>
      </w:r>
      <w:r>
        <w:rPr>
          <w:color w:val="auto"/>
          <w:highlight w:val="none"/>
        </w:rPr>
        <w:t xml:space="preserve">）《商务条款偏离表》； </w:t>
      </w:r>
      <w:r/>
    </w:p>
    <w:p>
      <w:pPr>
        <w:ind w:firstLine="420"/>
        <w:spacing w:line="288" w:lineRule="auto"/>
        <w:rPr>
          <w:rFonts w:ascii="宋体" w:hAnsi="宋体" w:cs="宋体"/>
          <w:color w:val="auto"/>
          <w:szCs w:val="21"/>
          <w:highlight w:val="none"/>
        </w:rPr>
      </w:pPr>
      <w:r>
        <w:rPr>
          <w:color w:val="auto"/>
          <w:highlight w:val="none"/>
        </w:rPr>
        <w:t xml:space="preserve">（</w:t>
      </w:r>
      <w:r>
        <w:rPr>
          <w:rFonts w:hint="eastAsia"/>
          <w:color w:val="auto"/>
          <w:highlight w:val="none"/>
        </w:rPr>
        <w:t xml:space="preserve">7</w:t>
      </w:r>
      <w:r>
        <w:rPr>
          <w:color w:val="auto"/>
          <w:highlight w:val="none"/>
        </w:rPr>
        <w:t xml:space="preserve">）</w:t>
      </w:r>
      <w:r>
        <w:rPr>
          <w:rFonts w:hint="eastAsia" w:ascii="宋体" w:hAnsi="宋体" w:cs="宋体"/>
          <w:color w:val="auto"/>
          <w:szCs w:val="21"/>
          <w:highlight w:val="none"/>
        </w:rPr>
        <w:t xml:space="preserve">合同条款</w:t>
      </w:r>
      <w:r/>
    </w:p>
    <w:p>
      <w:pPr>
        <w:ind w:firstLine="420"/>
        <w:rPr>
          <w:color w:val="auto"/>
          <w:highlight w:val="none"/>
        </w:rPr>
      </w:pPr>
      <w:r>
        <w:rPr>
          <w:rFonts w:hint="eastAsia"/>
          <w:color w:val="auto"/>
          <w:highlight w:val="none"/>
        </w:rPr>
        <w:t xml:space="preserve">（8）</w:t>
      </w:r>
      <w:r>
        <w:rPr>
          <w:color w:val="auto"/>
          <w:highlight w:val="none"/>
        </w:rPr>
        <w:t xml:space="preserve">供应商认为需要提供的其他资格证明文件和商务资料。</w:t>
      </w:r>
      <w:r/>
    </w:p>
    <w:p>
      <w:pPr>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11、投标文件的技术部分</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11.1 技术部分是证明</w:t>
      </w:r>
      <w:r>
        <w:rPr>
          <w:rFonts w:hint="eastAsia" w:ascii="宋体" w:hAnsi="宋体" w:cs="宋体"/>
          <w:color w:val="auto"/>
          <w:szCs w:val="21"/>
          <w:highlight w:val="none"/>
        </w:rPr>
        <w:t xml:space="preserve">供应商提供的产品和服务是合格的、并符合招标文件要求的证明文件，以及</w:t>
      </w:r>
      <w:r>
        <w:rPr>
          <w:rFonts w:hint="eastAsia" w:ascii="宋体" w:hAnsi="宋体" w:cs="宋体"/>
          <w:color w:val="auto"/>
          <w:szCs w:val="21"/>
          <w:highlight w:val="none"/>
          <w:lang w:val="zh-CN"/>
        </w:rPr>
        <w:t xml:space="preserve">对投标报价表中的服务的详细说明，这些文件可以是文字资料、图纸和数据等。</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11.2 若技术性能无特殊说明，则按国家有关部门最新颁布的标准及规范为准；</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11.3 提供的服务如与招标文件要求有不符之处，应说明其差别之所在，并在《技术条款偏离表》中逐条予以说明。</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11.4 投标文件应按照招标文件要求提供技术资料、文件和有关证明，包括但不限于其中加</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项目不得有缺失或无效：</w:t>
      </w:r>
      <w:r/>
    </w:p>
    <w:p>
      <w:pPr>
        <w:ind w:firstLine="420"/>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（1）技术说明或服务方案；</w:t>
      </w:r>
      <w:r/>
    </w:p>
    <w:p>
      <w:pPr>
        <w:ind w:firstLine="420"/>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（2）《技术条款偏离表》； </w:t>
      </w:r>
      <w:r/>
    </w:p>
    <w:p>
      <w:pPr>
        <w:ind w:firstLine="420"/>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（3）服务承诺； </w:t>
      </w:r>
      <w:r/>
    </w:p>
    <w:p>
      <w:pPr>
        <w:ind w:firstLine="420"/>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（4）投标人拟投入本项目的设备、人员情况一览表； </w:t>
      </w:r>
      <w:r/>
    </w:p>
    <w:p>
      <w:pPr>
        <w:ind w:firstLine="420"/>
        <w:rPr>
          <w:rFonts w:ascii="宋体" w:hAnsi="宋体" w:cs="宋体"/>
          <w:color w:val="auto"/>
          <w:szCs w:val="21"/>
          <w:highlight w:val="none"/>
          <w:lang w:val="zh-CN"/>
        </w:rPr>
      </w:pPr>
      <w:r>
        <w:rPr>
          <w:rFonts w:hint="eastAsia" w:ascii="宋体" w:hAnsi="宋体" w:cs="宋体"/>
          <w:bCs/>
          <w:color w:val="auto"/>
          <w:szCs w:val="21"/>
          <w:highlight w:val="none"/>
          <w:lang w:val="zh-CN"/>
        </w:rPr>
        <w:t xml:space="preserve">（5）供应商认为需要提供的其他技术资料。</w:t>
      </w:r>
      <w:r/>
    </w:p>
    <w:p>
      <w:pPr>
        <w:ind w:firstLine="420"/>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12、投标文件的价格部分</w:t>
      </w:r>
      <w:r/>
    </w:p>
    <w:p>
      <w:pPr>
        <w:ind w:firstLine="420"/>
        <w:spacing w:line="288"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12.1价格部分是对投标服务价格构成的说明，</w:t>
      </w:r>
      <w:r>
        <w:rPr>
          <w:rFonts w:hint="eastAsia" w:ascii="宋体" w:hAnsi="宋体" w:cs="宋体"/>
          <w:color w:val="auto"/>
          <w:szCs w:val="21"/>
          <w:highlight w:val="none"/>
        </w:rPr>
        <w:t xml:space="preserve">招标文件如没有特别说明的话，</w:t>
      </w:r>
      <w:r>
        <w:rPr>
          <w:rFonts w:hint="eastAsia" w:ascii="宋体" w:hAnsi="宋体" w:cs="宋体"/>
          <w:color w:val="auto"/>
          <w:szCs w:val="21"/>
          <w:highlight w:val="none"/>
          <w:lang w:val="zh-CN"/>
        </w:rPr>
        <w:t xml:space="preserve">每一项服务仅接受一个价格。</w:t>
      </w:r>
      <w:r>
        <w:rPr>
          <w:rFonts w:hint="eastAsia" w:ascii="宋体" w:hAnsi="宋体" w:cs="宋体"/>
          <w:color w:val="auto"/>
          <w:szCs w:val="21"/>
          <w:highlight w:val="none"/>
        </w:rPr>
        <w:t xml:space="preserve">投标人应按照招标文件规定格式填报投标分项报价表。</w:t>
      </w:r>
      <w:r/>
    </w:p>
    <w:p>
      <w:pPr>
        <w:ind w:firstLine="420"/>
        <w:spacing w:line="288" w:lineRule="auto"/>
        <w:rPr>
          <w:rFonts w:ascii="宋体" w:hAnsi="宋体" w:cs="宋体"/>
          <w:b/>
          <w:color w:val="auto"/>
          <w:szCs w:val="21"/>
          <w:highlight w:val="none"/>
        </w:rPr>
      </w:pPr>
      <w:r>
        <w:rPr>
          <w:rFonts w:hint="eastAsia" w:ascii="宋体" w:hAnsi="宋体" w:cs="宋体"/>
          <w:color w:val="auto"/>
          <w:szCs w:val="21"/>
          <w:highlight w:val="none"/>
          <w:lang w:val="zh-CN"/>
        </w:rPr>
        <w:t xml:space="preserve">12.2</w:t>
      </w:r>
      <w:r>
        <w:rPr>
          <w:rFonts w:hint="eastAsia" w:ascii="宋体" w:hAnsi="宋体" w:cs="宋体"/>
          <w:color w:val="auto"/>
          <w:szCs w:val="21"/>
          <w:highlight w:val="none"/>
        </w:rPr>
        <w:t xml:space="preserve">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rPr>
          <w:rFonts w:hint="eastAsia" w:ascii="宋体" w:hAnsi="宋体" w:cs="宋体"/>
          <w:b/>
          <w:color w:val="auto"/>
          <w:szCs w:val="21"/>
          <w:highlight w:val="none"/>
        </w:rPr>
        <w:t xml:space="preserve">。</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12.3供应商的任何错漏、优惠、竞争性报价不得作为减轻责任、减少服务、增加收费、降低质量的理由。</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12.4供应商应在《开标一览表》、《分项报价</w:t>
      </w:r>
      <w:r>
        <w:rPr>
          <w:rFonts w:hint="eastAsia" w:ascii="宋体" w:hAnsi="宋体" w:cs="宋体"/>
          <w:color w:val="auto"/>
          <w:szCs w:val="21"/>
          <w:highlight w:val="none"/>
        </w:rPr>
        <w:t xml:space="preserve">表</w:t>
      </w:r>
      <w:r>
        <w:rPr>
          <w:rFonts w:hint="eastAsia" w:ascii="宋体" w:hAnsi="宋体" w:cs="宋体"/>
          <w:color w:val="auto"/>
          <w:szCs w:val="21"/>
          <w:highlight w:val="none"/>
          <w:lang w:val="zh-CN"/>
        </w:rPr>
        <w:t xml:space="preserve">》等标明提供</w:t>
      </w:r>
      <w:r>
        <w:rPr>
          <w:rFonts w:hint="eastAsia" w:ascii="宋体" w:hAnsi="宋体" w:cs="宋体"/>
          <w:color w:val="auto"/>
          <w:szCs w:val="21"/>
          <w:highlight w:val="none"/>
        </w:rPr>
        <w:t xml:space="preserve">货物和</w:t>
      </w:r>
      <w:r>
        <w:rPr>
          <w:rFonts w:hint="eastAsia" w:ascii="宋体" w:hAnsi="宋体" w:cs="宋体"/>
          <w:color w:val="auto"/>
          <w:szCs w:val="21"/>
          <w:highlight w:val="none"/>
          <w:lang w:val="zh-CN"/>
        </w:rPr>
        <w:t xml:space="preserve">服务的单价、总价以及分项报价。供应商系小企业（含小型、微型企业），并由本企业提供服务，须在《开标一览表》、《分项报价</w:t>
      </w:r>
      <w:r>
        <w:rPr>
          <w:rFonts w:hint="eastAsia" w:ascii="宋体" w:hAnsi="宋体" w:cs="宋体"/>
          <w:color w:val="auto"/>
          <w:szCs w:val="21"/>
          <w:highlight w:val="none"/>
        </w:rPr>
        <w:t xml:space="preserve">表</w:t>
      </w:r>
      <w:r>
        <w:rPr>
          <w:rFonts w:hint="eastAsia" w:ascii="宋体" w:hAnsi="宋体" w:cs="宋体"/>
          <w:color w:val="auto"/>
          <w:szCs w:val="21"/>
          <w:highlight w:val="none"/>
          <w:lang w:val="zh-CN"/>
        </w:rPr>
        <w:t xml:space="preserve">》中注明,供应商应当如实申报,否则评标委员会有权取消其小微企业优惠政策。</w:t>
      </w:r>
      <w:r/>
    </w:p>
    <w:p>
      <w:pPr>
        <w:ind w:firstLine="420"/>
        <w:spacing w:line="288" w:lineRule="auto"/>
        <w:rPr>
          <w:rFonts w:ascii="宋体" w:hAnsi="宋体" w:cs="宋体"/>
          <w:color w:val="auto"/>
          <w:szCs w:val="21"/>
          <w:highlight w:val="none"/>
          <w:lang w:val="zh-CN"/>
        </w:rPr>
      </w:pPr>
      <w:r>
        <w:rPr>
          <w:rFonts w:hint="eastAsia" w:ascii="宋体" w:hAnsi="宋体" w:cs="宋体"/>
          <w:color w:val="auto"/>
          <w:szCs w:val="21"/>
          <w:highlight w:val="none"/>
        </w:rPr>
        <w:t xml:space="preserve">12.5</w:t>
      </w:r>
      <w:r>
        <w:rPr>
          <w:rFonts w:hint="eastAsia" w:ascii="宋体" w:hAnsi="宋体" w:cs="宋体"/>
          <w:color w:val="auto"/>
          <w:szCs w:val="21"/>
          <w:highlight w:val="none"/>
          <w:lang w:val="zh-CN"/>
        </w:rPr>
        <w:t xml:space="preserve">《开标一览表》须加盖电子公章。</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12.6评审中出现下列情形之一的，评审委员会应当启动异常低价投标（响应）审查程序：</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（1）投标（响应）报价低于全部通过符合性审查供应商投标（响应）报价平均值50%的，即投标（响应）报价&lt;全部通过符合性审查供应商投标（响应）报价平均值×50%；</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（2）投标（响应）报价低于通过符合性审查的次低报价供应商投标（响应）报价50%的，即投标（响应）报价&lt;通过符合性审查的次低报价供应商投标（响应）报价×50%；</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（3）投标（响应）报价低于采购项目最高限价45%的，即投标（响应）报价&lt;采购项目最高限价×45%；</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（4）评审委员会基于专业判断，认为供应商报价过低，有可能影响产品质量或者不能诚信履约的其他情形。</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相关法律法规对供应商报价有规定的，从其规定。</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12.7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288" w:lineRule="auto"/>
        <w:rPr>
          <w:rFonts w:ascii="宋体" w:hAnsi="宋体" w:cs="宋体"/>
          <w:color w:val="auto"/>
          <w:szCs w:val="21"/>
          <w:highlight w:val="none"/>
          <w:lang w:val="zh-CN"/>
        </w:rPr>
      </w:pPr>
      <w:r>
        <w:rPr>
          <w:rFonts w:hint="eastAsia" w:ascii="宋体" w:hAnsi="宋体" w:cs="宋体"/>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12.8启动异常低价投标（响应）审查程序后，评标委员会将通过“苏采云”系统要求供应商作出必要的说明，并规定回复时间。供应商说明应当采用通过“苏采云”系统（使用“CA数字证书”，加盖电子签章）形式。</w:t>
      </w:r>
      <w:r/>
    </w:p>
    <w:p>
      <w:pPr>
        <w:ind w:firstLine="420"/>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13、投标文件的其他部分</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13.1其他部分由供应商根据编制投标文件需要提供的其他相关文件。</w:t>
      </w:r>
      <w:r/>
    </w:p>
    <w:p>
      <w:pPr>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14、投标保证金：无</w:t>
      </w:r>
      <w:r/>
    </w:p>
    <w:p>
      <w:pPr>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15、投标有效期</w:t>
      </w:r>
      <w:r/>
    </w:p>
    <w:p>
      <w:pPr>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15.1 自开标之日起60天内投标有效。</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15.2 在特殊情况下，在原投标有效期截止之前，招标代理可要求供应商同意延长投标有效期，这种要求与答复均以书面形式提交。供应商可拒绝这种要求，并且不影响保证金退还。接受延长投标有效期的供应商将不会要求和允许修正其投标。</w:t>
      </w:r>
      <w:r/>
    </w:p>
    <w:p>
      <w:pPr>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16、投标文件的份数、签署</w:t>
      </w:r>
      <w:r/>
    </w:p>
    <w:p>
      <w:pPr>
        <w:ind w:firstLine="420"/>
        <w:spacing w:line="288" w:lineRule="auto"/>
        <w:rPr>
          <w:rFonts w:ascii="宋体" w:hAnsi="宋体" w:cs="宋体"/>
          <w:color w:val="auto"/>
          <w:szCs w:val="21"/>
          <w:highlight w:val="none"/>
        </w:rPr>
      </w:pPr>
      <w:r>
        <w:rPr>
          <w:rFonts w:hint="eastAsia" w:ascii="宋体" w:hAnsi="宋体" w:cs="宋体"/>
          <w:color w:val="auto"/>
          <w:szCs w:val="21"/>
          <w:highlight w:val="none"/>
          <w:lang w:val="zh-CN"/>
        </w:rPr>
        <w:t xml:space="preserve">16.1 </w:t>
      </w:r>
      <w:r>
        <w:rPr>
          <w:rFonts w:hint="eastAsia" w:ascii="宋体" w:hAnsi="宋体" w:cs="宋体"/>
          <w:color w:val="auto"/>
          <w:szCs w:val="21"/>
          <w:highlight w:val="none"/>
        </w:rPr>
        <w:t xml:space="preserve">投标文件应加盖响应供应商公章，招标文件中注明须签字的地方应由供应商的法定代表人或委托代理人签字。</w:t>
      </w:r>
      <w:r/>
    </w:p>
    <w:p>
      <w:pPr>
        <w:ind w:firstLine="420"/>
        <w:rPr>
          <w:rFonts w:ascii="宋体" w:hAnsi="宋体" w:cs="宋体"/>
          <w:bCs/>
          <w:color w:val="auto"/>
          <w:highlight w:val="none"/>
        </w:rPr>
      </w:pPr>
      <w:r>
        <w:rPr>
          <w:rFonts w:hint="eastAsia" w:ascii="宋体" w:hAnsi="宋体" w:cs="宋体"/>
          <w:color w:val="auto"/>
          <w:szCs w:val="21"/>
          <w:highlight w:val="none"/>
          <w:lang w:val="zh-CN"/>
        </w:rPr>
        <w:t xml:space="preserve">16.2 </w:t>
      </w:r>
      <w:r>
        <w:rPr>
          <w:rFonts w:hint="eastAsia" w:ascii="宋体" w:hAnsi="宋体" w:cs="宋体"/>
          <w:bCs/>
          <w:color w:val="auto"/>
          <w:highlight w:val="none"/>
        </w:rPr>
        <w:t xml:space="preserve">除投标人对错处做必要修改外，投标文件不得行间插字、涂改或增删。如有修改错漏处，必须由投标文件签署人签字或盖章。</w:t>
      </w:r>
      <w:r/>
    </w:p>
    <w:p>
      <w:pPr>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17、投标文件的密封和递交</w:t>
      </w:r>
      <w:r/>
    </w:p>
    <w:p>
      <w:pPr>
        <w:ind w:firstLine="420"/>
        <w:spacing w:line="288" w:lineRule="auto"/>
        <w:rPr>
          <w:rFonts w:ascii="宋体" w:hAnsi="宋体" w:cs="宋体"/>
          <w:color w:val="auto"/>
          <w:szCs w:val="21"/>
          <w:highlight w:val="none"/>
        </w:rPr>
      </w:pPr>
      <w:r>
        <w:rPr>
          <w:rFonts w:hint="eastAsia" w:ascii="宋体" w:hAnsi="宋体" w:cs="宋体"/>
          <w:color w:val="auto"/>
          <w:szCs w:val="21"/>
          <w:highlight w:val="none"/>
          <w:lang w:val="zh-CN"/>
        </w:rPr>
        <w:t xml:space="preserve">17.1 </w:t>
      </w:r>
      <w:r>
        <w:rPr>
          <w:rFonts w:hint="eastAsia" w:ascii="宋体" w:hAnsi="宋体" w:cs="宋体"/>
          <w:color w:val="auto"/>
          <w:szCs w:val="21"/>
          <w:highlight w:val="none"/>
        </w:rPr>
        <w:t xml:space="preserve">投标人应当按照《操作手册》规定，在招标公告规定的投标截止时间前制作并上传电子投标文件。</w:t>
      </w:r>
      <w:r/>
    </w:p>
    <w:p>
      <w:pPr>
        <w:ind w:firstLine="420"/>
        <w:spacing w:line="288" w:lineRule="auto"/>
        <w:rPr>
          <w:rFonts w:ascii="宋体" w:hAnsi="宋体" w:cs="宋体"/>
          <w:color w:val="auto"/>
          <w:szCs w:val="21"/>
          <w:highlight w:val="none"/>
        </w:rPr>
      </w:pPr>
      <w:r>
        <w:rPr>
          <w:rFonts w:hint="eastAsia" w:ascii="宋体" w:hAnsi="宋体" w:cs="宋体"/>
          <w:color w:val="auto"/>
          <w:szCs w:val="21"/>
          <w:highlight w:val="none"/>
        </w:rPr>
        <w:t xml:space="preserve">17.2投标人应当按照《操作手册》规定，在苏采云系统规定的时间内对投标文件进行解密。</w:t>
      </w:r>
      <w:r/>
    </w:p>
    <w:p>
      <w:pPr>
        <w:ind w:firstLine="420"/>
        <w:spacing w:line="288" w:lineRule="auto"/>
        <w:rPr>
          <w:rFonts w:ascii="宋体" w:hAnsi="宋体" w:cs="宋体"/>
          <w:color w:val="auto"/>
          <w:szCs w:val="21"/>
          <w:highlight w:val="none"/>
        </w:rPr>
      </w:pPr>
      <w:r>
        <w:rPr>
          <w:rFonts w:hint="eastAsia" w:ascii="宋体" w:hAnsi="宋体" w:cs="宋体"/>
          <w:color w:val="auto"/>
          <w:szCs w:val="21"/>
          <w:highlight w:val="none"/>
        </w:rPr>
        <w:t xml:space="preserve">17.3 所有投标人使用 CA 证书在递交响应文件截止后，解密各自响应文件，投标人不足3家的，不得评标。</w:t>
      </w:r>
      <w:r/>
    </w:p>
    <w:p>
      <w:pPr>
        <w:ind w:firstLine="420"/>
        <w:spacing w:line="288" w:lineRule="auto"/>
        <w:rPr>
          <w:rFonts w:ascii="宋体" w:hAnsi="宋体" w:cs="宋体"/>
          <w:color w:val="auto"/>
          <w:szCs w:val="21"/>
          <w:highlight w:val="none"/>
        </w:rPr>
      </w:pPr>
      <w:r>
        <w:rPr>
          <w:rFonts w:hint="eastAsia" w:ascii="宋体" w:hAnsi="宋体" w:cs="宋体"/>
          <w:color w:val="auto"/>
          <w:szCs w:val="21"/>
          <w:highlight w:val="none"/>
        </w:rPr>
        <w:t xml:space="preserve">17.4 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部分投标文件未解密的，其他投标文件的评标可以继续进行。</w:t>
      </w:r>
      <w:r/>
    </w:p>
    <w:p>
      <w:pPr>
        <w:ind w:firstLine="420"/>
        <w:spacing w:line="288" w:lineRule="auto"/>
        <w:rPr>
          <w:rFonts w:ascii="宋体" w:hAnsi="宋体" w:cs="宋体"/>
          <w:color w:val="auto"/>
          <w:szCs w:val="21"/>
          <w:highlight w:val="none"/>
        </w:rPr>
      </w:pPr>
      <w:r>
        <w:rPr>
          <w:rFonts w:hint="eastAsia" w:ascii="宋体" w:hAnsi="宋体" w:cs="宋体"/>
          <w:color w:val="auto"/>
          <w:szCs w:val="21"/>
          <w:highlight w:val="none"/>
        </w:rPr>
        <w:t xml:space="preserve">17.5 代理机构有权通过修改招标文件酌情延长投标截止时间，在此情况下，投标人的所有权利和义务均以延长后新的截止时间为准。</w:t>
      </w:r>
      <w:r/>
    </w:p>
    <w:p>
      <w:pPr>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18、有下列情形之一的投标文件将拒收：</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18.1 在招标文件要求提交投标文件的截止时间之后</w:t>
      </w:r>
      <w:r>
        <w:rPr>
          <w:rFonts w:hint="eastAsia" w:ascii="宋体" w:hAnsi="宋体" w:cs="宋体"/>
          <w:color w:val="auto"/>
          <w:szCs w:val="21"/>
          <w:highlight w:val="none"/>
        </w:rPr>
        <w:t xml:space="preserve">上传</w:t>
      </w:r>
      <w:r>
        <w:rPr>
          <w:rFonts w:hint="eastAsia" w:ascii="宋体" w:hAnsi="宋体" w:cs="宋体"/>
          <w:color w:val="auto"/>
          <w:szCs w:val="21"/>
          <w:highlight w:val="none"/>
          <w:lang w:val="zh-CN"/>
        </w:rPr>
        <w:t xml:space="preserve">的。</w:t>
      </w:r>
      <w:r/>
    </w:p>
    <w:p>
      <w:pPr>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19、投标文件的修改和撤回</w:t>
      </w:r>
      <w:r/>
    </w:p>
    <w:p>
      <w:pPr>
        <w:ind w:firstLine="420"/>
        <w:spacing w:line="288" w:lineRule="auto"/>
        <w:rPr>
          <w:rFonts w:ascii="宋体" w:hAnsi="宋体" w:cs="宋体"/>
          <w:color w:val="auto"/>
          <w:szCs w:val="21"/>
          <w:highlight w:val="none"/>
        </w:rPr>
      </w:pPr>
      <w:r>
        <w:rPr>
          <w:rFonts w:hint="eastAsia" w:ascii="宋体" w:hAnsi="宋体" w:cs="宋体"/>
          <w:color w:val="auto"/>
          <w:szCs w:val="21"/>
          <w:highlight w:val="none"/>
          <w:lang w:val="zh-CN"/>
        </w:rPr>
        <w:t xml:space="preserve">19.1 </w:t>
      </w:r>
      <w:r>
        <w:rPr>
          <w:rFonts w:hint="eastAsia" w:ascii="宋体" w:hAnsi="宋体" w:cs="宋体"/>
          <w:color w:val="auto"/>
          <w:szCs w:val="21"/>
          <w:highlight w:val="none"/>
        </w:rPr>
        <w:t xml:space="preserve">投标文件的修改</w:t>
      </w:r>
      <w:r/>
    </w:p>
    <w:p>
      <w:pPr>
        <w:ind w:firstLine="420"/>
        <w:spacing w:line="288" w:lineRule="auto"/>
        <w:rPr>
          <w:rFonts w:ascii="宋体" w:hAnsi="宋体" w:cs="宋体"/>
          <w:color w:val="auto"/>
          <w:szCs w:val="21"/>
          <w:highlight w:val="none"/>
        </w:rPr>
      </w:pPr>
      <w:r>
        <w:rPr>
          <w:rFonts w:hint="eastAsia" w:ascii="宋体" w:hAnsi="宋体" w:cs="宋体"/>
          <w:color w:val="auto"/>
          <w:szCs w:val="21"/>
          <w:highlight w:val="none"/>
        </w:rPr>
        <w:t xml:space="preserve">19.1.1 投标人可在投标截止时间前对其电子投标文件进行修改，具体操作方法见《操作手册》。</w:t>
      </w:r>
      <w:r/>
    </w:p>
    <w:p>
      <w:pPr>
        <w:ind w:firstLine="420"/>
        <w:spacing w:line="288" w:lineRule="auto"/>
        <w:rPr>
          <w:rFonts w:ascii="宋体" w:hAnsi="宋体" w:cs="宋体"/>
          <w:color w:val="auto"/>
          <w:szCs w:val="21"/>
          <w:highlight w:val="none"/>
        </w:rPr>
      </w:pPr>
      <w:r>
        <w:rPr>
          <w:rFonts w:hint="eastAsia" w:ascii="宋体" w:hAnsi="宋体" w:cs="宋体"/>
          <w:color w:val="auto"/>
          <w:szCs w:val="21"/>
          <w:highlight w:val="none"/>
        </w:rPr>
        <w:t xml:space="preserve">19.1.2 投标截止时间之后，投标人不得对其电子投标文件作任何修改。</w:t>
      </w:r>
      <w:r/>
    </w:p>
    <w:p>
      <w:pPr>
        <w:ind w:firstLine="420"/>
        <w:spacing w:line="288" w:lineRule="auto"/>
        <w:rPr>
          <w:rFonts w:ascii="宋体" w:hAnsi="宋体" w:cs="宋体"/>
          <w:color w:val="auto"/>
          <w:szCs w:val="21"/>
          <w:highlight w:val="none"/>
        </w:rPr>
      </w:pPr>
      <w:r>
        <w:rPr>
          <w:rFonts w:hint="eastAsia" w:ascii="宋体" w:hAnsi="宋体" w:cs="宋体"/>
          <w:color w:val="auto"/>
          <w:szCs w:val="21"/>
          <w:highlight w:val="none"/>
        </w:rPr>
        <w:t xml:space="preserve">19.2 投标文件的撤回</w:t>
      </w:r>
      <w:r/>
    </w:p>
    <w:p>
      <w:pPr>
        <w:ind w:firstLine="420"/>
        <w:spacing w:line="288" w:lineRule="auto"/>
        <w:rPr>
          <w:rFonts w:ascii="宋体" w:hAnsi="宋体" w:cs="宋体"/>
          <w:color w:val="auto"/>
          <w:szCs w:val="21"/>
          <w:highlight w:val="none"/>
        </w:rPr>
      </w:pPr>
      <w:r>
        <w:rPr>
          <w:rFonts w:hint="eastAsia" w:ascii="宋体" w:hAnsi="宋体" w:cs="宋体"/>
          <w:color w:val="auto"/>
          <w:szCs w:val="21"/>
          <w:highlight w:val="none"/>
        </w:rPr>
        <w:t xml:space="preserve">19.2.1 投标人可在投标截止时间前撤回其电子投标文件，具体操作方法见《操作手册》。</w:t>
      </w:r>
      <w:r/>
    </w:p>
    <w:p>
      <w:pPr>
        <w:ind w:firstLine="420"/>
        <w:spacing w:line="288" w:lineRule="auto"/>
        <w:rPr>
          <w:rFonts w:ascii="宋体" w:hAnsi="宋体" w:cs="宋体"/>
          <w:color w:val="auto"/>
          <w:szCs w:val="21"/>
          <w:highlight w:val="none"/>
        </w:rPr>
      </w:pPr>
      <w:r>
        <w:rPr>
          <w:rFonts w:hint="eastAsia" w:ascii="宋体" w:hAnsi="宋体" w:cs="宋体"/>
          <w:color w:val="auto"/>
          <w:szCs w:val="21"/>
          <w:highlight w:val="none"/>
        </w:rPr>
        <w:t xml:space="preserve">19.2.2 投标人撤回电子投标文件，则认为其不再参与本项目投标活动。</w:t>
      </w:r>
      <w:r/>
    </w:p>
    <w:p>
      <w:pPr>
        <w:ind w:firstLine="420"/>
        <w:spacing w:line="288" w:lineRule="auto"/>
        <w:rPr>
          <w:rFonts w:ascii="宋体" w:hAnsi="宋体" w:cs="宋体"/>
          <w:color w:val="auto"/>
          <w:szCs w:val="21"/>
          <w:highlight w:val="none"/>
          <w:lang w:val="zh-CN"/>
        </w:rPr>
      </w:pPr>
      <w:r>
        <w:rPr>
          <w:rFonts w:hint="eastAsia" w:ascii="宋体" w:hAnsi="宋体" w:cs="宋体"/>
          <w:color w:val="auto"/>
          <w:szCs w:val="21"/>
          <w:highlight w:val="none"/>
        </w:rPr>
        <w:t xml:space="preserve">19.2.3 在投标截止时间至招标文件中规定的投标有效期满之间的这段时间内，投标人不得撤回其投标。</w:t>
      </w:r>
      <w:r/>
    </w:p>
    <w:p>
      <w:pPr>
        <w:ind w:firstLine="420"/>
        <w:rPr>
          <w:rFonts w:ascii="宋体" w:hAnsi="宋体" w:cs="宋体"/>
          <w:b/>
          <w:bCs/>
          <w:color w:val="auto"/>
          <w:szCs w:val="21"/>
          <w:highlight w:val="none"/>
          <w:lang w:val="zh-CN"/>
        </w:rPr>
        <w:outlineLvl w:val="0"/>
      </w:pPr>
      <w:r>
        <w:rPr>
          <w:rFonts w:hint="eastAsia" w:ascii="宋体" w:hAnsi="宋体" w:cs="宋体"/>
          <w:b/>
          <w:bCs/>
          <w:color w:val="auto"/>
          <w:szCs w:val="21"/>
          <w:highlight w:val="none"/>
          <w:lang w:val="zh-CN"/>
        </w:rPr>
        <w:t xml:space="preserve">四、开标、评标与</w:t>
      </w:r>
      <w:r>
        <w:rPr>
          <w:rFonts w:hint="eastAsia" w:ascii="宋体" w:hAnsi="宋体" w:cs="宋体"/>
          <w:b/>
          <w:bCs/>
          <w:color w:val="auto"/>
          <w:highlight w:val="none"/>
          <w:lang w:val="zh-CN"/>
        </w:rPr>
        <w:t xml:space="preserve">确定中标供应商</w:t>
      </w:r>
      <w:r/>
    </w:p>
    <w:p>
      <w:pPr>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20、开标</w:t>
      </w:r>
      <w:r/>
    </w:p>
    <w:p>
      <w:pPr>
        <w:ind w:firstLine="420"/>
        <w:spacing w:line="288" w:lineRule="auto"/>
        <w:rPr>
          <w:rFonts w:ascii="宋体" w:hAnsi="宋体" w:cs="宋体"/>
          <w:color w:val="auto"/>
          <w:szCs w:val="21"/>
          <w:highlight w:val="none"/>
        </w:rPr>
      </w:pPr>
      <w:r>
        <w:rPr>
          <w:rFonts w:hint="eastAsia" w:ascii="宋体" w:hAnsi="宋体" w:cs="宋体"/>
          <w:color w:val="auto"/>
          <w:szCs w:val="21"/>
          <w:highlight w:val="none"/>
          <w:lang w:val="zh-CN"/>
        </w:rPr>
        <w:t xml:space="preserve">20.1 </w:t>
      </w:r>
      <w:r>
        <w:rPr>
          <w:rFonts w:hint="eastAsia" w:ascii="宋体" w:hAnsi="宋体" w:cs="宋体"/>
          <w:color w:val="auto"/>
          <w:szCs w:val="21"/>
          <w:highlight w:val="none"/>
        </w:rPr>
        <w:t xml:space="preserve">代理机构将在招标文件确定的时间和地点进行公开开标。投标人按照《操作手册》规定参加开标活动，并在苏采云系统规定的时间内对投标文件进行解密。苏采云系统公布各投标人名称和投标价格。</w:t>
      </w:r>
      <w:r/>
    </w:p>
    <w:p>
      <w:pPr>
        <w:ind w:firstLine="420"/>
        <w:spacing w:line="288" w:lineRule="auto"/>
        <w:rPr>
          <w:rFonts w:ascii="宋体" w:hAnsi="宋体" w:cs="宋体"/>
          <w:color w:val="auto"/>
          <w:szCs w:val="21"/>
          <w:highlight w:val="none"/>
        </w:rPr>
      </w:pPr>
      <w:r>
        <w:rPr>
          <w:rFonts w:hint="eastAsia" w:ascii="宋体" w:hAnsi="宋体" w:cs="宋体"/>
          <w:color w:val="auto"/>
          <w:szCs w:val="21"/>
          <w:highlight w:val="none"/>
          <w:lang w:val="zh-CN"/>
        </w:rPr>
        <w:t xml:space="preserve">20.2 </w:t>
      </w:r>
      <w:r>
        <w:rPr>
          <w:rFonts w:hint="eastAsia" w:ascii="宋体" w:hAnsi="宋体" w:cs="宋体"/>
          <w:color w:val="auto"/>
          <w:szCs w:val="21"/>
          <w:highlight w:val="none"/>
        </w:rPr>
        <w:t xml:space="preserve">投标人在开标过程中涉及到的投标文件解密、开标结果确认等工作，应按照《操作手册》规定执行。</w:t>
      </w:r>
      <w:r/>
    </w:p>
    <w:p>
      <w:pPr>
        <w:ind w:firstLine="420"/>
        <w:spacing w:line="288" w:lineRule="auto"/>
        <w:rPr>
          <w:rFonts w:ascii="宋体" w:hAnsi="宋体" w:cs="宋体"/>
          <w:color w:val="auto"/>
          <w:szCs w:val="21"/>
          <w:highlight w:val="none"/>
        </w:rPr>
      </w:pPr>
      <w:r>
        <w:rPr>
          <w:rFonts w:hint="eastAsia" w:ascii="宋体" w:hAnsi="宋体" w:cs="宋体"/>
          <w:color w:val="auto"/>
          <w:szCs w:val="21"/>
          <w:highlight w:val="none"/>
        </w:rPr>
        <w:t xml:space="preserve">20</w:t>
      </w:r>
      <w:r>
        <w:rPr>
          <w:rFonts w:hint="eastAsia" w:ascii="宋体" w:hAnsi="宋体" w:cs="宋体"/>
          <w:color w:val="auto"/>
          <w:szCs w:val="21"/>
          <w:highlight w:val="none"/>
          <w:lang w:val="zh-CN"/>
        </w:rPr>
        <w:t xml:space="preserve">.3 </w:t>
      </w:r>
      <w:r>
        <w:rPr>
          <w:rFonts w:hint="eastAsia" w:ascii="宋体" w:hAnsi="宋体" w:cs="宋体"/>
          <w:color w:val="auto"/>
          <w:szCs w:val="21"/>
          <w:highlight w:val="none"/>
        </w:rPr>
        <w:t xml:space="preserve">投标人如果对开标过程和开标结果有疑义，应当根据《操作手册》规定提出，苏采云系统中《开标记录表》公布后5分钟内未提出的，视同认可开标结果。</w:t>
      </w:r>
      <w:r/>
    </w:p>
    <w:p>
      <w:pPr>
        <w:ind w:firstLine="420"/>
        <w:spacing w:line="288"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20.4 投标截止时间结束后参加投标的供应商不足三家的，除采购任务取消情形外，招标代理报经监管部门批准后，可变更为竞争性谈判、竞争性磋商或者单一来源方式采购。如果变更为竞争性谈判或竞争性磋商采购的，招标代理根据招标文件中的采购需求编制竞争性谈判文件或竞争性磋商文件，只与该两家供应商进行竞争性谈判采购或竞争性磋商。</w:t>
      </w:r>
      <w:r/>
    </w:p>
    <w:p>
      <w:pPr>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21、评标</w:t>
      </w:r>
      <w:r/>
    </w:p>
    <w:p>
      <w:pPr>
        <w:ind w:firstLine="420"/>
        <w:rPr>
          <w:rFonts w:ascii="宋体" w:hAnsi="宋体" w:cs="宋体"/>
          <w:b/>
          <w:bCs/>
          <w:color w:val="auto"/>
          <w:szCs w:val="21"/>
          <w:highlight w:val="none"/>
          <w:lang w:val="zh-CN"/>
        </w:rPr>
      </w:pPr>
      <w:r>
        <w:rPr>
          <w:rFonts w:hint="eastAsia" w:ascii="宋体" w:hAnsi="宋体" w:cs="宋体"/>
          <w:color w:val="auto"/>
          <w:szCs w:val="21"/>
          <w:highlight w:val="none"/>
          <w:lang w:val="zh-CN"/>
        </w:rPr>
        <w:t xml:space="preserve">21.1</w:t>
      </w:r>
      <w:r>
        <w:rPr>
          <w:rFonts w:hint="eastAsia" w:ascii="宋体" w:hAnsi="宋体" w:cs="宋体"/>
          <w:b/>
          <w:bCs/>
          <w:color w:val="auto"/>
          <w:szCs w:val="21"/>
          <w:highlight w:val="none"/>
          <w:lang w:val="zh-CN"/>
        </w:rPr>
        <w:t xml:space="preserve"> 评标组织</w:t>
      </w:r>
      <w:r/>
    </w:p>
    <w:p>
      <w:pPr>
        <w:ind w:firstLine="420"/>
        <w:rPr>
          <w:rFonts w:ascii="宋体" w:hAnsi="宋体" w:cs="宋体"/>
          <w:color w:val="auto"/>
          <w:szCs w:val="21"/>
          <w:highlight w:val="none"/>
        </w:rPr>
      </w:pPr>
      <w:r>
        <w:rPr>
          <w:rFonts w:hint="eastAsia" w:ascii="宋体" w:hAnsi="宋体" w:cs="宋体"/>
          <w:color w:val="auto"/>
          <w:szCs w:val="21"/>
          <w:highlight w:val="none"/>
          <w:lang w:val="zh-CN"/>
        </w:rPr>
        <w:t xml:space="preserve">21.1.1评标工作由招标代理负责组织，具体评标事务由依法组建的评标委员会负责，并独立履行</w:t>
      </w:r>
      <w:r>
        <w:rPr>
          <w:rFonts w:hint="eastAsia" w:ascii="宋体" w:hAnsi="宋体" w:cs="宋体"/>
          <w:color w:val="auto"/>
          <w:szCs w:val="21"/>
          <w:highlight w:val="none"/>
        </w:rPr>
        <w:t xml:space="preserve">下列职责：</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（1）审查、评价投标文件是否符合招标文件的商务、技术等实质性要求；</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（2）要求投标人对投标文件有关事项作出澄清或者说明；</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（3）对投标文件进行比较和评价；</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（4）推荐中标候选人或根据采购人委托协议直接确定中标人；</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（5）向采购人、财政部门报告评标中发现的违法行为。</w:t>
      </w:r>
      <w:r/>
    </w:p>
    <w:p>
      <w:pPr>
        <w:ind w:firstLine="420"/>
        <w:rPr>
          <w:rFonts w:ascii="宋体" w:hAnsi="宋体" w:cs="宋体"/>
          <w:color w:val="auto"/>
          <w:szCs w:val="21"/>
          <w:highlight w:val="none"/>
          <w:lang w:val="zh-CN"/>
        </w:rPr>
      </w:pPr>
      <w:r>
        <w:rPr>
          <w:rFonts w:hint="eastAsia" w:ascii="宋体" w:hAnsi="宋体" w:cs="宋体"/>
          <w:b/>
          <w:bCs/>
          <w:color w:val="auto"/>
          <w:szCs w:val="21"/>
          <w:highlight w:val="none"/>
          <w:lang w:val="zh-CN"/>
        </w:rPr>
        <w:t xml:space="preserve">21.1.2 </w:t>
      </w:r>
      <w:r>
        <w:rPr>
          <w:rFonts w:hint="eastAsia" w:ascii="宋体" w:hAnsi="宋体" w:cs="宋体"/>
          <w:color w:val="auto"/>
          <w:szCs w:val="21"/>
          <w:highlight w:val="none"/>
          <w:lang w:val="zh-CN"/>
        </w:rPr>
        <w:t xml:space="preserve">评标委员会由采购人代表和有关技术、经济等方面的专家组成，独立开展评审工作。</w:t>
      </w:r>
      <w:r/>
    </w:p>
    <w:p>
      <w:pPr>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21.2 评标程序</w:t>
      </w:r>
      <w:r/>
    </w:p>
    <w:p>
      <w:pPr>
        <w:ind w:firstLine="420"/>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21.2.1 投标文件的资格审查。</w:t>
      </w:r>
      <w:r/>
    </w:p>
    <w:p>
      <w:pPr>
        <w:ind w:firstLine="420"/>
        <w:rPr>
          <w:color w:val="auto"/>
          <w:highlight w:val="none"/>
        </w:rPr>
      </w:pPr>
      <w:r>
        <w:rPr>
          <w:color w:val="auto"/>
          <w:highlight w:val="none"/>
        </w:rPr>
        <w:t xml:space="preserve">21.2.1.1 采购人代表将依法对投标人的资格进行审查。</w:t>
      </w:r>
      <w:r/>
    </w:p>
    <w:p>
      <w:pPr>
        <w:ind w:firstLine="420"/>
        <w:rPr>
          <w:color w:val="auto"/>
          <w:highlight w:val="none"/>
        </w:rPr>
      </w:pPr>
      <w:r>
        <w:rPr>
          <w:color w:val="auto"/>
          <w:highlight w:val="none"/>
        </w:rPr>
        <w:t xml:space="preserve">21.2.1.2 资格性审查：依据法律法规和招标文件的规定，对投标文件中的资格证明文件进行审查，以 确定投标供应商是否具备投标资格。 </w:t>
      </w:r>
      <w:r/>
    </w:p>
    <w:p>
      <w:pPr>
        <w:ind w:firstLine="420"/>
        <w:rPr>
          <w:color w:val="auto"/>
          <w:highlight w:val="none"/>
        </w:rPr>
      </w:pPr>
      <w:r>
        <w:rPr>
          <w:color w:val="auto"/>
          <w:highlight w:val="none"/>
        </w:rPr>
        <w:t xml:space="preserve">21.2.1.3 在进行资格性审查的同时，将在“信用中国”网站（www.creditchina.gov.cn）、“中国政府采购网"(www.ccgp.gov.cn)对投标人是否被列入失信被执行人、重大税收违法失信主体、政府采购严重违法失信行为记录名单的情况进行查询，以确定投标供应商是否具备投标资格。查询结果将以网页打印的形式留存并归档。</w:t>
      </w:r>
      <w:r/>
    </w:p>
    <w:p>
      <w:pPr>
        <w:ind w:firstLine="420"/>
        <w:rPr>
          <w:color w:val="auto"/>
          <w:highlight w:val="none"/>
        </w:rPr>
      </w:pPr>
      <w:r>
        <w:rPr>
          <w:color w:val="auto"/>
          <w:highlight w:val="none"/>
        </w:rPr>
        <w:t xml:space="preserve"> 21.2.1.4 投标文件有下列情况之一的，在资格性审查时按照无效投标处理： </w:t>
      </w:r>
      <w:r/>
    </w:p>
    <w:p>
      <w:pPr>
        <w:ind w:firstLine="420"/>
        <w:rPr>
          <w:color w:val="auto"/>
          <w:highlight w:val="none"/>
        </w:rPr>
      </w:pPr>
      <w:r>
        <w:rPr>
          <w:color w:val="auto"/>
          <w:highlight w:val="none"/>
        </w:rPr>
        <w:t xml:space="preserve">（1）</w:t>
      </w:r>
      <w:r>
        <w:rPr>
          <w:rFonts w:hint="eastAsia"/>
          <w:color w:val="auto"/>
          <w:highlight w:val="none"/>
        </w:rPr>
        <w:t xml:space="preserve"> </w:t>
      </w:r>
      <w:r>
        <w:rPr>
          <w:color w:val="auto"/>
          <w:highlight w:val="none"/>
        </w:rPr>
        <w:t xml:space="preserve">不具备招标文件中规定资格条件的；</w:t>
      </w:r>
      <w:r/>
    </w:p>
    <w:p>
      <w:pPr>
        <w:ind w:firstLine="420"/>
        <w:rPr>
          <w:color w:val="auto"/>
          <w:highlight w:val="none"/>
        </w:rPr>
      </w:pPr>
      <w:r>
        <w:rPr>
          <w:color w:val="auto"/>
          <w:highlight w:val="none"/>
        </w:rPr>
        <w:t xml:space="preserve">（2） 供应商被“信用中国”网站（www.creditchina.gov.cn）、“中国政府采购网"(www.ccgp.gov.cn) 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 </w:t>
      </w:r>
      <w:r/>
    </w:p>
    <w:p>
      <w:pPr>
        <w:ind w:firstLine="420"/>
        <w:rPr>
          <w:rFonts w:ascii="宋体" w:hAnsi="宋体" w:cs="宋体"/>
          <w:b/>
          <w:bCs/>
          <w:color w:val="auto"/>
          <w:szCs w:val="21"/>
          <w:highlight w:val="none"/>
          <w:lang w:val="zh-CN"/>
        </w:rPr>
      </w:pPr>
      <w:r>
        <w:rPr>
          <w:rFonts w:ascii="宋体" w:hAnsi="宋体" w:cs="宋体"/>
          <w:b/>
          <w:bCs/>
          <w:color w:val="auto"/>
          <w:szCs w:val="21"/>
          <w:highlight w:val="none"/>
          <w:lang w:val="zh-CN"/>
        </w:rPr>
        <w:t xml:space="preserve">21.2.2 投标文件的符合性审查。</w:t>
      </w:r>
      <w:r/>
    </w:p>
    <w:p>
      <w:pPr>
        <w:ind w:firstLine="420"/>
        <w:rPr>
          <w:color w:val="auto"/>
          <w:highlight w:val="none"/>
        </w:rPr>
      </w:pPr>
      <w:r>
        <w:rPr>
          <w:color w:val="auto"/>
          <w:highlight w:val="none"/>
        </w:rPr>
        <w:t xml:space="preserve">21.2.2.1 评标委员会将依据法律法规和招标文件的规定，对投标文件的有效性、完整性和对招标文件 的响应程度进行审查，以确定是否对招标文件的实质性要求作出响应。</w:t>
      </w:r>
      <w:r/>
    </w:p>
    <w:p>
      <w:pPr>
        <w:ind w:firstLine="420"/>
        <w:rPr>
          <w:color w:val="auto"/>
          <w:highlight w:val="none"/>
        </w:rPr>
      </w:pPr>
      <w:r>
        <w:rPr>
          <w:color w:val="auto"/>
          <w:highlight w:val="none"/>
        </w:rPr>
        <w:t xml:space="preserve">21.2.2.2 实质性要求是指本招标文件中用带星号（“</w:t>
      </w:r>
      <w:r>
        <w:rPr>
          <w:rFonts w:hint="eastAsia" w:ascii="宋体" w:hAnsi="宋体" w:cs="宋体"/>
          <w:color w:val="auto"/>
          <w:highlight w:val="none"/>
        </w:rPr>
        <w:t xml:space="preserve">★</w:t>
      </w:r>
      <w:r>
        <w:rPr>
          <w:color w:val="auto"/>
          <w:highlight w:val="none"/>
        </w:rPr>
        <w:t xml:space="preserve">”）的商务和技术要求。 </w:t>
      </w:r>
      <w:r/>
    </w:p>
    <w:p>
      <w:pPr>
        <w:ind w:firstLine="420"/>
        <w:rPr>
          <w:color w:val="auto"/>
          <w:highlight w:val="none"/>
        </w:rPr>
      </w:pPr>
      <w:r>
        <w:rPr>
          <w:color w:val="auto"/>
          <w:highlight w:val="none"/>
        </w:rPr>
        <w:t xml:space="preserve">21.2.2.3 如果投标文件实质上没有响应招标文件的要求，评标委员会将予以拒绝，投标人不得通过修改或撤销不合要求的偏离或保留而使其投标成为实质性响应的投标。</w:t>
      </w:r>
      <w:r/>
    </w:p>
    <w:p>
      <w:pPr>
        <w:ind w:firstLine="420"/>
        <w:rPr>
          <w:color w:val="auto"/>
          <w:highlight w:val="none"/>
        </w:rPr>
      </w:pPr>
      <w:r>
        <w:rPr>
          <w:color w:val="auto"/>
          <w:highlight w:val="none"/>
        </w:rPr>
        <w:t xml:space="preserve"> 21.2.2.4 投标文件有下列情况之一的，在符合性审查时按照无效投标处理： </w:t>
      </w:r>
      <w:r/>
    </w:p>
    <w:p>
      <w:pPr>
        <w:ind w:firstLine="420"/>
        <w:spacing w:line="288" w:lineRule="auto"/>
        <w:rPr>
          <w:rFonts w:ascii="宋体" w:hAnsi="宋体" w:cs="宋体"/>
          <w:color w:val="auto"/>
          <w:szCs w:val="21"/>
          <w:highlight w:val="none"/>
        </w:rPr>
      </w:pPr>
      <w:r>
        <w:rPr>
          <w:rFonts w:hint="eastAsia" w:ascii="宋体" w:hAnsi="宋体" w:cs="宋体"/>
          <w:color w:val="auto"/>
          <w:szCs w:val="21"/>
          <w:highlight w:val="none"/>
        </w:rPr>
        <w:t xml:space="preserve">（1）供应商在苏采云系统规定的时间内未成功解密电子投标文件的。</w:t>
      </w:r>
      <w:r/>
    </w:p>
    <w:p>
      <w:pPr>
        <w:ind w:firstLine="420"/>
        <w:spacing w:line="288" w:lineRule="auto"/>
        <w:rPr>
          <w:rFonts w:ascii="宋体" w:hAnsi="宋体" w:cs="宋体"/>
          <w:color w:val="auto"/>
          <w:szCs w:val="21"/>
          <w:highlight w:val="none"/>
        </w:rPr>
      </w:pPr>
      <w:r>
        <w:rPr>
          <w:rFonts w:hint="eastAsia" w:ascii="宋体" w:hAnsi="宋体" w:cs="宋体"/>
          <w:color w:val="auto"/>
          <w:szCs w:val="21"/>
          <w:highlight w:val="none"/>
        </w:rPr>
        <w:t xml:space="preserve">（2）供应商未按照采购文件要求上传电子投标文件的。</w:t>
      </w:r>
      <w:r/>
    </w:p>
    <w:p>
      <w:pPr>
        <w:ind w:firstLine="420"/>
        <w:spacing w:line="288" w:lineRule="auto"/>
        <w:rPr>
          <w:rFonts w:ascii="宋体" w:hAnsi="宋体" w:cs="宋体"/>
          <w:color w:val="auto"/>
          <w:szCs w:val="21"/>
          <w:highlight w:val="none"/>
        </w:rPr>
      </w:pPr>
      <w:r>
        <w:rPr>
          <w:rFonts w:hint="eastAsia" w:ascii="宋体" w:hAnsi="宋体" w:cs="宋体"/>
          <w:color w:val="auto"/>
          <w:szCs w:val="21"/>
          <w:highlight w:val="none"/>
        </w:rPr>
        <w:t xml:space="preserve">（3）供应商不具备采购文件中规定资格要求的；</w:t>
      </w:r>
      <w:r/>
    </w:p>
    <w:p>
      <w:pPr>
        <w:ind w:firstLine="420"/>
        <w:spacing w:line="288" w:lineRule="auto"/>
        <w:rPr>
          <w:rFonts w:ascii="宋体" w:hAnsi="宋体" w:cs="宋体"/>
          <w:color w:val="auto"/>
          <w:szCs w:val="21"/>
          <w:highlight w:val="none"/>
        </w:rPr>
      </w:pPr>
      <w:r>
        <w:rPr>
          <w:rFonts w:hint="eastAsia" w:ascii="宋体" w:hAnsi="宋体" w:cs="宋体"/>
          <w:color w:val="auto"/>
          <w:szCs w:val="21"/>
          <w:highlight w:val="none"/>
        </w:rPr>
        <w:t xml:space="preserve">（4）供应商在报价时采用选择性报价；</w:t>
      </w:r>
      <w:r/>
    </w:p>
    <w:p>
      <w:pPr>
        <w:ind w:firstLine="420"/>
        <w:spacing w:line="288" w:lineRule="auto"/>
        <w:rPr>
          <w:rFonts w:ascii="宋体" w:hAnsi="宋体" w:cs="宋体"/>
          <w:color w:val="auto"/>
          <w:szCs w:val="21"/>
          <w:highlight w:val="none"/>
        </w:rPr>
      </w:pPr>
      <w:r>
        <w:rPr>
          <w:rFonts w:hint="eastAsia" w:ascii="宋体" w:hAnsi="宋体" w:cs="宋体"/>
          <w:color w:val="auto"/>
          <w:szCs w:val="21"/>
          <w:highlight w:val="none"/>
        </w:rPr>
        <w:t xml:space="preserve">（5）报价超过采购文件中规定的预算金额或者最高限价的；</w:t>
      </w:r>
      <w:r/>
    </w:p>
    <w:p>
      <w:pPr>
        <w:ind w:firstLine="420"/>
        <w:spacing w:line="288" w:lineRule="auto"/>
        <w:rPr>
          <w:rFonts w:ascii="宋体" w:hAnsi="宋体" w:cs="宋体"/>
          <w:color w:val="auto"/>
          <w:szCs w:val="21"/>
          <w:highlight w:val="none"/>
        </w:rPr>
      </w:pPr>
      <w:r>
        <w:rPr>
          <w:rFonts w:hint="eastAsia" w:ascii="宋体" w:hAnsi="宋体" w:cs="宋体"/>
          <w:color w:val="auto"/>
          <w:szCs w:val="21"/>
          <w:highlight w:val="none"/>
        </w:rPr>
        <w:t xml:space="preserve">（6）投标文件含有采购人不能接受的附加条件的；</w:t>
      </w:r>
      <w:r/>
    </w:p>
    <w:p>
      <w:pPr>
        <w:ind w:firstLine="420"/>
        <w:spacing w:line="288" w:lineRule="auto"/>
        <w:rPr>
          <w:rFonts w:ascii="宋体" w:hAnsi="宋体" w:cs="宋体"/>
          <w:color w:val="auto"/>
          <w:szCs w:val="21"/>
          <w:highlight w:val="none"/>
        </w:rPr>
      </w:pPr>
      <w:r>
        <w:rPr>
          <w:rFonts w:hint="eastAsia" w:ascii="宋体" w:hAnsi="宋体" w:cs="宋体"/>
          <w:color w:val="auto"/>
          <w:szCs w:val="21"/>
          <w:highlight w:val="none"/>
        </w:rPr>
        <w:t xml:space="preserve">（7）不同供应商的投标文件由同一单位或者个人编制；</w:t>
      </w:r>
      <w:r/>
    </w:p>
    <w:p>
      <w:pPr>
        <w:ind w:firstLine="420"/>
        <w:spacing w:line="288" w:lineRule="auto"/>
        <w:rPr>
          <w:rFonts w:ascii="宋体" w:hAnsi="宋体" w:cs="宋体"/>
          <w:color w:val="auto"/>
          <w:szCs w:val="21"/>
          <w:highlight w:val="none"/>
        </w:rPr>
      </w:pPr>
      <w:r>
        <w:rPr>
          <w:rFonts w:hint="eastAsia" w:ascii="宋体" w:hAnsi="宋体" w:cs="宋体"/>
          <w:color w:val="auto"/>
          <w:szCs w:val="21"/>
          <w:highlight w:val="none"/>
        </w:rPr>
        <w:t xml:space="preserve">（8）不同供应商委托同一单位或者个人办理投标事宜；</w:t>
      </w:r>
      <w:r/>
    </w:p>
    <w:p>
      <w:pPr>
        <w:ind w:firstLine="420"/>
        <w:spacing w:line="288" w:lineRule="auto"/>
        <w:rPr>
          <w:rFonts w:ascii="宋体" w:hAnsi="宋体" w:cs="宋体"/>
          <w:color w:val="auto"/>
          <w:szCs w:val="21"/>
          <w:highlight w:val="none"/>
        </w:rPr>
      </w:pPr>
      <w:r>
        <w:rPr>
          <w:rFonts w:hint="eastAsia" w:ascii="宋体" w:hAnsi="宋体" w:cs="宋体"/>
          <w:color w:val="auto"/>
          <w:szCs w:val="21"/>
          <w:highlight w:val="none"/>
        </w:rPr>
        <w:t xml:space="preserve">（9）不同供应商的投标文件载明的项目管理成员或联系人员为同一人；</w:t>
      </w:r>
      <w:r/>
    </w:p>
    <w:p>
      <w:pPr>
        <w:ind w:firstLine="420"/>
        <w:spacing w:line="288" w:lineRule="auto"/>
        <w:rPr>
          <w:rFonts w:ascii="宋体" w:hAnsi="宋体" w:cs="宋体"/>
          <w:color w:val="auto"/>
          <w:szCs w:val="21"/>
          <w:highlight w:val="none"/>
        </w:rPr>
      </w:pPr>
      <w:r>
        <w:rPr>
          <w:rFonts w:hint="eastAsia" w:ascii="宋体" w:hAnsi="宋体" w:cs="宋体"/>
          <w:color w:val="auto"/>
          <w:szCs w:val="21"/>
          <w:highlight w:val="none"/>
        </w:rPr>
        <w:t xml:space="preserve">（10）不同供应商的投标文件异常一致或者报价呈规律性差异；</w:t>
      </w:r>
      <w:r/>
    </w:p>
    <w:p>
      <w:pPr>
        <w:ind w:firstLine="420"/>
        <w:spacing w:line="288" w:lineRule="auto"/>
        <w:rPr>
          <w:rFonts w:ascii="宋体" w:hAnsi="宋体" w:cs="宋体"/>
          <w:color w:val="auto"/>
          <w:szCs w:val="21"/>
          <w:highlight w:val="none"/>
        </w:rPr>
      </w:pPr>
      <w:r>
        <w:rPr>
          <w:rFonts w:hint="eastAsia" w:ascii="宋体" w:hAnsi="宋体" w:cs="宋体"/>
          <w:color w:val="auto"/>
          <w:szCs w:val="21"/>
          <w:highlight w:val="none"/>
        </w:rPr>
        <w:t xml:space="preserve">（11）不同供应商的投标文件相互混装；</w:t>
      </w:r>
      <w:r/>
    </w:p>
    <w:p>
      <w:pPr>
        <w:ind w:firstLine="420"/>
        <w:spacing w:line="288" w:lineRule="auto"/>
        <w:rPr>
          <w:rFonts w:ascii="宋体" w:hAnsi="宋体" w:cs="宋体"/>
          <w:color w:val="auto"/>
          <w:szCs w:val="21"/>
          <w:highlight w:val="none"/>
        </w:rPr>
      </w:pPr>
      <w:r>
        <w:rPr>
          <w:rFonts w:hint="eastAsia" w:ascii="宋体" w:hAnsi="宋体" w:cs="宋体"/>
          <w:color w:val="auto"/>
          <w:szCs w:val="21"/>
          <w:highlight w:val="none"/>
        </w:rPr>
        <w:t xml:space="preserve">（12）不同供应商的负责人为同一人或者存在控股、管理关系的；</w:t>
      </w:r>
      <w:r/>
    </w:p>
    <w:p>
      <w:pPr>
        <w:ind w:firstLine="420"/>
        <w:spacing w:line="288" w:lineRule="auto"/>
        <w:rPr>
          <w:rFonts w:ascii="宋体" w:hAnsi="宋体" w:cs="宋体"/>
          <w:color w:val="auto"/>
          <w:szCs w:val="21"/>
          <w:highlight w:val="none"/>
        </w:rPr>
      </w:pPr>
      <w:r>
        <w:rPr>
          <w:rFonts w:hint="eastAsia" w:ascii="宋体" w:hAnsi="宋体" w:cs="宋体"/>
          <w:color w:val="auto"/>
          <w:szCs w:val="21"/>
          <w:highlight w:val="none"/>
        </w:rPr>
        <w:t xml:space="preserve">（13）未通过符合性检查的；</w:t>
      </w:r>
      <w:r/>
    </w:p>
    <w:p>
      <w:pPr>
        <w:ind w:firstLine="420"/>
        <w:spacing w:line="288" w:lineRule="auto"/>
        <w:rPr>
          <w:rFonts w:ascii="宋体" w:hAnsi="宋体" w:cs="宋体"/>
          <w:color w:val="auto"/>
          <w:szCs w:val="21"/>
          <w:highlight w:val="none"/>
        </w:rPr>
      </w:pPr>
      <w:r>
        <w:rPr>
          <w:rFonts w:hint="eastAsia" w:ascii="宋体" w:hAnsi="宋体" w:cs="宋体"/>
          <w:color w:val="auto"/>
          <w:szCs w:val="21"/>
          <w:highlight w:val="none"/>
        </w:rPr>
        <w:t xml:space="preserve">（14）磋商小组认定供应商的报价明显低于其他通过符合性审查供应商的报价，有可能影响产品质量或者不能诚信履约，且供应商不能应磋商小组要求在规定的回复时间内通过“苏采云”系统作出必要的说明证明其报价合理性的；</w:t>
      </w:r>
      <w:r/>
    </w:p>
    <w:p>
      <w:pPr>
        <w:ind w:firstLine="420"/>
        <w:spacing w:line="288" w:lineRule="auto"/>
        <w:rPr>
          <w:rFonts w:ascii="宋体" w:hAnsi="宋体" w:cs="宋体"/>
          <w:color w:val="auto"/>
          <w:szCs w:val="21"/>
          <w:highlight w:val="none"/>
        </w:rPr>
      </w:pPr>
      <w:r>
        <w:rPr>
          <w:rFonts w:hint="eastAsia" w:ascii="宋体" w:hAnsi="宋体" w:cs="宋体"/>
          <w:color w:val="auto"/>
          <w:szCs w:val="21"/>
          <w:highlight w:val="none"/>
        </w:rPr>
        <w:t xml:space="preserve">（15）未按文件要求签署、盖章的</w:t>
      </w:r>
      <w:r/>
    </w:p>
    <w:p>
      <w:pPr>
        <w:ind w:firstLine="420"/>
        <w:spacing w:line="288" w:lineRule="auto"/>
        <w:rPr>
          <w:rFonts w:ascii="宋体" w:hAnsi="宋体" w:cs="宋体"/>
          <w:color w:val="auto"/>
          <w:szCs w:val="21"/>
          <w:highlight w:val="none"/>
        </w:rPr>
      </w:pPr>
      <w:r>
        <w:rPr>
          <w:rFonts w:hint="eastAsia" w:ascii="宋体" w:hAnsi="宋体" w:cs="宋体"/>
          <w:color w:val="auto"/>
          <w:szCs w:val="21"/>
          <w:highlight w:val="none"/>
        </w:rPr>
        <w:t xml:space="preserve">（16）不符合采购文件中规定的其它实质性要求的；</w:t>
      </w:r>
      <w:r/>
    </w:p>
    <w:p>
      <w:pPr>
        <w:ind w:firstLine="420"/>
        <w:spacing w:line="288" w:lineRule="auto"/>
        <w:rPr>
          <w:rFonts w:ascii="宋体" w:hAnsi="宋体" w:cs="宋体"/>
          <w:color w:val="auto"/>
          <w:szCs w:val="21"/>
          <w:highlight w:val="none"/>
        </w:rPr>
      </w:pPr>
      <w:r>
        <w:rPr>
          <w:rFonts w:hint="eastAsia" w:ascii="宋体" w:hAnsi="宋体" w:cs="宋体"/>
          <w:color w:val="auto"/>
          <w:szCs w:val="21"/>
          <w:highlight w:val="none"/>
        </w:rPr>
        <w:t xml:space="preserve">（17）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 ，以一个供应商的身份共同参加政府采购活动的，联合体成员存在不良信用记录的，视同联合体存在不良信用记录；</w:t>
      </w:r>
      <w:r/>
    </w:p>
    <w:p>
      <w:pPr>
        <w:ind w:firstLine="420"/>
        <w:spacing w:line="288" w:lineRule="auto"/>
        <w:rPr>
          <w:rFonts w:ascii="宋体" w:hAnsi="宋体" w:cs="宋体"/>
          <w:color w:val="auto"/>
          <w:szCs w:val="21"/>
          <w:highlight w:val="none"/>
        </w:rPr>
      </w:pPr>
      <w:r>
        <w:rPr>
          <w:rFonts w:hint="eastAsia" w:ascii="宋体" w:hAnsi="宋体" w:cs="宋体"/>
          <w:color w:val="auto"/>
          <w:szCs w:val="21"/>
          <w:highlight w:val="none"/>
        </w:rPr>
        <w:t xml:space="preserve">（18）不符合法律、法规和磋商文件规定的其他实质性要求的。</w:t>
      </w:r>
      <w:r/>
    </w:p>
    <w:p>
      <w:pPr>
        <w:ind w:firstLine="420"/>
        <w:rPr>
          <w:color w:val="auto"/>
          <w:highlight w:val="none"/>
        </w:rPr>
      </w:pPr>
      <w:r>
        <w:rPr>
          <w:color w:val="auto"/>
          <w:highlight w:val="none"/>
        </w:rPr>
        <w:t xml:space="preserve">21.2.2.5 在评标期间，出现符合专业条件的供应商或者对招标文件作出实质性响应的供应商不足三 家情形的，比照 </w:t>
      </w:r>
      <w:r>
        <w:rPr>
          <w:rFonts w:hint="eastAsia"/>
          <w:color w:val="auto"/>
          <w:highlight w:val="none"/>
        </w:rPr>
        <w:t xml:space="preserve">20.4</w:t>
      </w:r>
      <w:r>
        <w:rPr>
          <w:color w:val="auto"/>
          <w:highlight w:val="none"/>
        </w:rPr>
        <w:t xml:space="preserve"> 款执行。 </w:t>
      </w:r>
      <w:r/>
    </w:p>
    <w:p>
      <w:pPr>
        <w:ind w:firstLine="420"/>
        <w:rPr>
          <w:color w:val="auto"/>
          <w:highlight w:val="none"/>
        </w:rPr>
      </w:pPr>
      <w:r>
        <w:rPr>
          <w:color w:val="auto"/>
          <w:highlight w:val="none"/>
        </w:rPr>
        <w:t xml:space="preserve">21.2.2.6 有下列情形之一的予以废标，同时将废标理由通知所有供应商： </w:t>
      </w:r>
      <w:r/>
    </w:p>
    <w:p>
      <w:pPr>
        <w:ind w:firstLine="420"/>
        <w:spacing w:line="288" w:lineRule="auto"/>
        <w:rPr>
          <w:color w:val="auto"/>
          <w:highlight w:val="none"/>
        </w:rPr>
      </w:pPr>
      <w:r>
        <w:rPr>
          <w:color w:val="auto"/>
          <w:highlight w:val="none"/>
        </w:rPr>
        <w:t xml:space="preserve">（1）符合专业条件的供应商或者对招标文件作实质性响应的供应商不足三家的； </w:t>
      </w:r>
      <w:r/>
    </w:p>
    <w:p>
      <w:pPr>
        <w:ind w:firstLine="420"/>
        <w:spacing w:line="288" w:lineRule="auto"/>
        <w:rPr>
          <w:color w:val="auto"/>
          <w:highlight w:val="none"/>
        </w:rPr>
      </w:pPr>
      <w:r>
        <w:rPr>
          <w:color w:val="auto"/>
          <w:highlight w:val="none"/>
        </w:rPr>
        <w:t xml:space="preserve">（2）出现影响采购公正的违法、违规行为的；</w:t>
      </w:r>
      <w:r/>
    </w:p>
    <w:p>
      <w:pPr>
        <w:ind w:firstLine="420"/>
        <w:spacing w:line="288" w:lineRule="auto"/>
        <w:rPr>
          <w:color w:val="auto"/>
          <w:highlight w:val="none"/>
        </w:rPr>
      </w:pPr>
      <w:r>
        <w:rPr>
          <w:color w:val="auto"/>
          <w:highlight w:val="none"/>
        </w:rPr>
        <w:t xml:space="preserve">（3）供应商的报价均超过了采购预算或最高限价的，采购人不能支付的； </w:t>
      </w:r>
      <w:r/>
    </w:p>
    <w:p>
      <w:pPr>
        <w:ind w:firstLine="420"/>
        <w:spacing w:line="288" w:lineRule="auto"/>
        <w:rPr>
          <w:color w:val="auto"/>
          <w:highlight w:val="none"/>
        </w:rPr>
      </w:pPr>
      <w:r>
        <w:rPr>
          <w:color w:val="auto"/>
          <w:highlight w:val="none"/>
        </w:rPr>
        <w:t xml:space="preserve">（4）因重大变故，采购任务取消的；</w:t>
      </w:r>
      <w:r/>
    </w:p>
    <w:p>
      <w:pPr>
        <w:ind w:firstLine="420"/>
        <w:spacing w:line="288" w:lineRule="auto"/>
        <w:widowControl/>
        <w:rPr>
          <w:rFonts w:ascii="宋体" w:hAnsi="宋体" w:cs="宋体"/>
          <w:color w:val="auto"/>
          <w:szCs w:val="21"/>
          <w:highlight w:val="none"/>
        </w:rPr>
      </w:pPr>
      <w:r>
        <w:rPr>
          <w:color w:val="auto"/>
          <w:highlight w:val="none"/>
        </w:rPr>
        <w:t xml:space="preserve">（5）</w:t>
      </w:r>
      <w:r>
        <w:rPr>
          <w:rFonts w:hint="eastAsia" w:ascii="宋体" w:hAnsi="宋体" w:cs="宋体"/>
          <w:color w:val="auto"/>
          <w:szCs w:val="21"/>
          <w:highlight w:val="none"/>
        </w:rPr>
        <w:t xml:space="preserve">评委会认定招标文件存在歧义、重大缺陷导致评审工作无法进行。</w:t>
      </w:r>
      <w:r/>
    </w:p>
    <w:p>
      <w:pPr>
        <w:ind w:firstLine="420"/>
        <w:spacing w:line="288" w:lineRule="auto"/>
        <w:widowControl/>
        <w:rPr>
          <w:rFonts w:ascii="宋体" w:hAnsi="宋体" w:cs="宋体"/>
          <w:color w:val="auto"/>
          <w:szCs w:val="21"/>
          <w:highlight w:val="none"/>
        </w:rPr>
      </w:pPr>
      <w:r>
        <w:rPr>
          <w:rFonts w:hint="eastAsia" w:ascii="宋体" w:hAnsi="宋体" w:cs="宋体"/>
          <w:color w:val="auto"/>
          <w:szCs w:val="21"/>
          <w:highlight w:val="none"/>
        </w:rPr>
        <w:t xml:space="preserve">（6）预留份额的采购项目或采购包，通过发布公告方式邀请供应商后，符合资格条件的中小企业数量不足3家的。</w:t>
      </w:r>
      <w:r/>
    </w:p>
    <w:p>
      <w:pPr>
        <w:ind w:firstLine="420"/>
        <w:spacing w:line="288" w:lineRule="auto"/>
        <w:widowControl/>
        <w:rPr>
          <w:color w:val="auto"/>
          <w:highlight w:val="none"/>
        </w:rPr>
      </w:pPr>
      <w:r>
        <w:rPr>
          <w:rFonts w:hint="eastAsia" w:ascii="宋体" w:hAnsi="宋体" w:cs="宋体"/>
          <w:color w:val="auto"/>
          <w:szCs w:val="21"/>
          <w:highlight w:val="none"/>
        </w:rPr>
        <w:t xml:space="preserve">（7）因苏采云系统故障造成开标不成功。</w:t>
      </w:r>
      <w:r/>
    </w:p>
    <w:p>
      <w:pPr>
        <w:ind w:firstLine="420"/>
        <w:rPr>
          <w:color w:val="auto"/>
          <w:highlight w:val="none"/>
        </w:rPr>
      </w:pPr>
      <w:r>
        <w:rPr>
          <w:color w:val="auto"/>
          <w:highlight w:val="none"/>
        </w:rPr>
        <w:t xml:space="preserve">21.2.3 投标文件的进一步评审。 </w:t>
      </w:r>
      <w:r/>
    </w:p>
    <w:p>
      <w:pPr>
        <w:ind w:firstLine="420"/>
        <w:spacing w:line="288" w:lineRule="auto"/>
        <w:rPr>
          <w:color w:val="auto"/>
          <w:highlight w:val="none"/>
        </w:rPr>
      </w:pPr>
      <w:r>
        <w:rPr>
          <w:color w:val="auto"/>
          <w:highlight w:val="none"/>
        </w:rPr>
        <w:t xml:space="preserve">21.2.3.1 评标委员会将对确定为实质性响应的投标文件进行进一步评审，看其是否有计算上或累加上 的算术错误，修正错误的原则如下：</w:t>
      </w:r>
      <w:r/>
    </w:p>
    <w:p>
      <w:pPr>
        <w:ind w:firstLine="420"/>
        <w:spacing w:line="288"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）《开标一览表》（报价表）内容与投标文件中相应内容不一致的，以《开标一览表》（报价表）为准。</w:t>
      </w:r>
      <w:r/>
    </w:p>
    <w:p>
      <w:pPr>
        <w:ind w:firstLine="420"/>
        <w:spacing w:line="288"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）投标文件、《开标一览表》（报价表）中报价的大写金额与小写金额不一致的，以大写金额为准。</w:t>
      </w:r>
      <w:r/>
    </w:p>
    <w:p>
      <w:pPr>
        <w:ind w:firstLine="420"/>
        <w:spacing w:line="288"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）单价金额小数点或者百分比有明显错位的，以《开标一览表》（报价表）的总价为准，并修改单价；</w:t>
      </w:r>
      <w:r/>
    </w:p>
    <w:p>
      <w:pPr>
        <w:ind w:firstLine="420"/>
        <w:spacing w:line="288"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）总价金额与按单价汇总金额不一致的，以单价金额计算结果为准；</w:t>
      </w:r>
      <w:r>
        <w:rPr>
          <w:color w:val="auto"/>
          <w:highlight w:val="none"/>
        </w:rPr>
        <w:t xml:space="preserve">只有在评委会认为单价有明显的小数点错误时，才能以标出的总价为准，并修改单价。</w:t>
      </w:r>
      <w:r/>
    </w:p>
    <w:p>
      <w:pPr>
        <w:ind w:firstLine="420"/>
        <w:spacing w:line="288"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）同时出现21.2.3.1中两种以上不一致的,按照（</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的顺序修正。</w:t>
      </w:r>
      <w:r/>
    </w:p>
    <w:p>
      <w:pPr>
        <w:ind w:firstLine="420"/>
        <w:spacing w:line="288"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）对不同文字文本投标文件的解释发生异议的，以中文文本为准。</w:t>
      </w:r>
      <w:r/>
    </w:p>
    <w:p>
      <w:pPr>
        <w:ind w:firstLine="420"/>
        <w:spacing w:line="288" w:lineRule="auto"/>
        <w:rPr>
          <w:color w:val="auto"/>
          <w:highlight w:val="none"/>
        </w:rPr>
      </w:pPr>
      <w:r>
        <w:rPr>
          <w:color w:val="auto"/>
          <w:highlight w:val="none"/>
        </w:rPr>
        <w:t xml:space="preserve">21.2.3.2 评标委员会将按上述修正错误的方法</w:t>
      </w:r>
      <w:r>
        <w:rPr>
          <w:rFonts w:hint="eastAsia"/>
          <w:color w:val="auto"/>
          <w:highlight w:val="none"/>
        </w:rPr>
        <w:t xml:space="preserve">修正</w:t>
      </w:r>
      <w:r>
        <w:rPr>
          <w:color w:val="auto"/>
          <w:highlight w:val="none"/>
        </w:rPr>
        <w:t xml:space="preserve">投标文件中的投标价，</w:t>
      </w:r>
      <w:r>
        <w:rPr>
          <w:rFonts w:hint="eastAsia" w:ascii="宋体" w:hAnsi="宋体" w:cs="宋体"/>
          <w:color w:val="auto"/>
          <w:szCs w:val="21"/>
          <w:highlight w:val="none"/>
          <w:lang w:val="zh-CN"/>
        </w:rPr>
        <w:t xml:space="preserve">修正后的报价由法定代表人或其授权的代表通过“苏采云”系统确认后产生约束力，投标人不确认的，投标无效。</w:t>
      </w:r>
      <w:r>
        <w:rPr>
          <w:color w:val="auto"/>
          <w:highlight w:val="none"/>
        </w:rPr>
        <w:t xml:space="preserve"> </w:t>
      </w:r>
      <w:r/>
    </w:p>
    <w:p>
      <w:pPr>
        <w:ind w:firstLine="420"/>
        <w:rPr>
          <w:color w:val="auto"/>
          <w:highlight w:val="none"/>
        </w:rPr>
      </w:pPr>
      <w:r>
        <w:rPr>
          <w:color w:val="auto"/>
          <w:highlight w:val="none"/>
        </w:rPr>
        <w:t xml:space="preserve">21.2.3.3 评委会将允许修正投标文件中不构成重大偏离的、微小的、非正规的、不一致的或不规则的地方，但这些修改不能影响任何投标人相应的名次排列。 </w:t>
      </w:r>
      <w:r/>
    </w:p>
    <w:p>
      <w:pPr>
        <w:ind w:firstLine="420"/>
        <w:rPr>
          <w:color w:val="auto"/>
          <w:highlight w:val="none"/>
        </w:rPr>
      </w:pPr>
      <w:r>
        <w:rPr>
          <w:color w:val="auto"/>
          <w:highlight w:val="none"/>
        </w:rPr>
        <w:t xml:space="preserve">21.2.3.4 澄清有关问题。对投标文件中含义不明确、同类问题表述不一致或者明显文字错误的内容， 评标委员会可以要求供应商作出必要的澄清、说明或者补正。供应商的澄清、说明、补正应当采用书面形 式，由其授权代表签字，但不得超出投标文件的范围或者改变投标文件的实质性内容。</w:t>
      </w:r>
      <w:r/>
    </w:p>
    <w:p>
      <w:pPr>
        <w:ind w:firstLine="420"/>
        <w:spacing w:line="288" w:lineRule="auto"/>
        <w:widowControl/>
        <w:rPr>
          <w:rFonts w:ascii="宋体" w:hAnsi="宋体" w:cs="宋体"/>
          <w:color w:val="auto"/>
          <w:szCs w:val="21"/>
          <w:highlight w:val="none"/>
        </w:rPr>
      </w:pPr>
      <w:r>
        <w:rPr>
          <w:color w:val="auto"/>
          <w:highlight w:val="none"/>
        </w:rPr>
        <w:t xml:space="preserve">21.2.3.5 </w:t>
      </w:r>
      <w:r>
        <w:rPr>
          <w:rFonts w:hint="eastAsia" w:ascii="宋体" w:hAnsi="宋体" w:cs="宋体"/>
          <w:color w:val="auto"/>
          <w:szCs w:val="21"/>
          <w:highlight w:val="none"/>
        </w:rPr>
        <w:t xml:space="preserve">需要供应商进行澄清、说明和补正的，评标委员会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spacing w:line="288" w:lineRule="auto"/>
        <w:widowControl/>
        <w:rPr>
          <w:rFonts w:ascii="宋体" w:hAnsi="宋体" w:cs="宋体"/>
          <w:color w:val="auto"/>
          <w:szCs w:val="21"/>
          <w:highlight w:val="none"/>
        </w:rPr>
      </w:pPr>
      <w:r>
        <w:rPr>
          <w:rFonts w:hint="eastAsia"/>
          <w:color w:val="auto"/>
          <w:highlight w:val="none"/>
        </w:rPr>
        <w:t xml:space="preserve">21.2.3.6</w:t>
      </w:r>
      <w:r>
        <w:rPr>
          <w:rFonts w:hint="eastAsia" w:ascii="宋体" w:hAnsi="宋体" w:cs="宋体"/>
          <w:color w:val="auto"/>
          <w:szCs w:val="21"/>
          <w:highlight w:val="none"/>
        </w:rPr>
        <w:t xml:space="preserve">接到评标委员会澄清、说明和补正要求的供应商如未按规定做出澄清、说明和补正，其风险由供应商自行承担。供应商拒不按照要求对响应件进行澄清、说明或者补正的，视其放弃该项权利。</w:t>
      </w:r>
      <w:r/>
    </w:p>
    <w:p>
      <w:pPr>
        <w:ind w:firstLine="420"/>
        <w:spacing w:line="288" w:lineRule="auto"/>
        <w:rPr>
          <w:color w:val="auto"/>
          <w:highlight w:val="none"/>
        </w:rPr>
      </w:pPr>
      <w:r>
        <w:rPr>
          <w:rFonts w:hint="eastAsia"/>
          <w:color w:val="auto"/>
          <w:highlight w:val="none"/>
        </w:rPr>
        <w:t xml:space="preserve">21.2.3.7 </w:t>
      </w:r>
      <w:r>
        <w:rPr>
          <w:color w:val="auto"/>
          <w:highlight w:val="none"/>
        </w:rPr>
        <w:t xml:space="preserve">比较与评价。按照招标文件中规定的评标方法和标准，对资格性检查和符合性检查合格的投 标文件进行商务和技术评估，综合比较与评价。</w:t>
      </w:r>
      <w:r/>
    </w:p>
    <w:p>
      <w:pPr>
        <w:ind w:firstLine="420"/>
        <w:spacing w:line="288" w:lineRule="auto"/>
        <w:widowControl/>
        <w:rPr>
          <w:rFonts w:ascii="宋体" w:hAnsi="宋体" w:cs="宋体"/>
          <w:color w:val="auto"/>
          <w:szCs w:val="21"/>
          <w:highlight w:val="none"/>
        </w:rPr>
      </w:pPr>
      <w:r>
        <w:rPr>
          <w:rFonts w:hint="eastAsia"/>
          <w:color w:val="auto"/>
          <w:highlight w:val="none"/>
        </w:rPr>
        <w:t xml:space="preserve">20.2.3.8 </w:t>
      </w:r>
      <w:r>
        <w:rPr>
          <w:rFonts w:hint="eastAsia" w:ascii="宋体" w:hAnsi="宋体" w:cs="宋体"/>
          <w:color w:val="auto"/>
          <w:szCs w:val="21"/>
          <w:highlight w:val="none"/>
        </w:rPr>
        <w:t xml:space="preserve">投标人在开、评标全过程中应保持通讯畅通，及时登录苏采云系统查阅、答复相关信息，并安排专人与代理机构及评委会联系。</w:t>
      </w:r>
      <w:r/>
    </w:p>
    <w:p>
      <w:pPr>
        <w:ind w:firstLine="420"/>
        <w:spacing w:line="288" w:lineRule="auto"/>
        <w:widowControl/>
        <w:rPr>
          <w:rFonts w:ascii="宋体" w:hAnsi="宋体" w:cs="宋体"/>
          <w:color w:val="auto"/>
          <w:szCs w:val="21"/>
          <w:highlight w:val="none"/>
        </w:rPr>
      </w:pPr>
      <w:r>
        <w:rPr>
          <w:rFonts w:hint="eastAsia"/>
          <w:color w:val="auto"/>
          <w:highlight w:val="none"/>
        </w:rPr>
        <w:t xml:space="preserve">20.2.3.9 </w:t>
      </w:r>
      <w:r>
        <w:rPr>
          <w:rFonts w:hint="eastAsia" w:ascii="宋体" w:hAnsi="宋体" w:cs="宋体"/>
          <w:color w:val="auto"/>
          <w:szCs w:val="21"/>
          <w:highlight w:val="none"/>
        </w:rPr>
        <w:t xml:space="preserve">如出现投标截止时间后参加投标的供应商或者对招标文件作出实质性响应的供应商不足三家的情况，按政府采购相关规定执行。</w:t>
      </w:r>
      <w:r/>
    </w:p>
    <w:p>
      <w:pPr>
        <w:ind w:firstLine="420"/>
        <w:spacing w:line="288" w:lineRule="auto"/>
        <w:rPr>
          <w:color w:val="auto"/>
          <w:highlight w:val="none"/>
        </w:rPr>
      </w:pPr>
      <w:r>
        <w:rPr>
          <w:color w:val="auto"/>
          <w:highlight w:val="none"/>
        </w:rPr>
        <w:t xml:space="preserve">21.3 评标方法和标准 </w:t>
      </w:r>
      <w:r/>
    </w:p>
    <w:p>
      <w:pPr>
        <w:ind w:firstLine="420"/>
        <w:spacing w:line="288" w:lineRule="auto"/>
        <w:rPr>
          <w:color w:val="auto"/>
          <w:highlight w:val="none"/>
        </w:rPr>
      </w:pPr>
      <w:r>
        <w:rPr>
          <w:color w:val="auto"/>
          <w:highlight w:val="none"/>
        </w:rPr>
        <w:t xml:space="preserve">21.3.1 采用综合评分法。即在投标文件满足招标文件全部实质性要求前提下，且按照评审因素的量化指标评审得分最高的投标人为中标人的评标方法。</w:t>
      </w:r>
      <w:r/>
    </w:p>
    <w:p>
      <w:pPr>
        <w:ind w:firstLine="420"/>
        <w:spacing w:line="288" w:lineRule="auto"/>
        <w:rPr>
          <w:color w:val="auto"/>
          <w:highlight w:val="none"/>
        </w:rPr>
      </w:pPr>
      <w:r>
        <w:rPr>
          <w:color w:val="auto"/>
          <w:highlight w:val="none"/>
        </w:rPr>
        <w:t xml:space="preserve">21.3.2 综合评分的主要因素是：价格、技术、商务等。 </w:t>
      </w:r>
      <w:r/>
    </w:p>
    <w:p>
      <w:pPr>
        <w:ind w:firstLine="420"/>
        <w:spacing w:line="288" w:lineRule="auto"/>
        <w:rPr>
          <w:color w:val="auto"/>
          <w:highlight w:val="none"/>
        </w:rPr>
      </w:pPr>
      <w:r>
        <w:rPr>
          <w:color w:val="auto"/>
          <w:highlight w:val="none"/>
        </w:rPr>
        <w:t xml:space="preserve">21.3.3</w:t>
      </w:r>
      <w:r>
        <w:rPr>
          <w:rFonts w:hint="eastAsia"/>
          <w:color w:val="auto"/>
          <w:highlight w:val="none"/>
        </w:rPr>
        <w:t xml:space="preserve"> </w:t>
      </w:r>
      <w:r>
        <w:rPr>
          <w:color w:val="auto"/>
          <w:highlight w:val="none"/>
        </w:rPr>
        <w:t xml:space="preserve">评分标准详见文件第三章。</w:t>
      </w:r>
      <w:r/>
    </w:p>
    <w:p>
      <w:pPr>
        <w:ind w:firstLine="422"/>
        <w:rPr>
          <w:rFonts w:ascii="宋体" w:hAnsi="宋体" w:cs="宋体"/>
          <w:b/>
          <w:bCs/>
          <w:color w:val="auto"/>
          <w:highlight w:val="none"/>
          <w:lang w:val="zh-CN"/>
        </w:rPr>
      </w:pPr>
      <w:r>
        <w:rPr>
          <w:rFonts w:hint="eastAsia" w:ascii="宋体" w:hAnsi="宋体" w:cs="宋体"/>
          <w:b/>
          <w:bCs/>
          <w:color w:val="auto"/>
          <w:highlight w:val="none"/>
          <w:lang w:val="zh-CN"/>
        </w:rPr>
        <w:t xml:space="preserve">22、确定中标供应商</w:t>
      </w:r>
      <w:r/>
    </w:p>
    <w:p>
      <w:pPr>
        <w:ind w:firstLine="420"/>
        <w:rPr>
          <w:rFonts w:ascii="宋体" w:hAnsi="宋体" w:cs="宋体"/>
          <w:color w:val="auto"/>
          <w:highlight w:val="none"/>
          <w:lang w:val="zh-CN"/>
        </w:rPr>
      </w:pPr>
      <w:r>
        <w:rPr>
          <w:rFonts w:hint="eastAsia" w:ascii="宋体" w:hAnsi="宋体" w:cs="宋体"/>
          <w:color w:val="auto"/>
          <w:highlight w:val="none"/>
          <w:lang w:val="zh-CN"/>
        </w:rPr>
        <w:t xml:space="preserve">22.1 在综合比较与评价后按照得分由高到低顺序对供应商进行排序。评标委员会按综合得分排名推荐3名中标候选人。得分相同的，按投标报价由低到高顺序排列。得分且报价相同的，按技术指标（</w:t>
      </w:r>
      <w:r>
        <w:rPr>
          <w:rFonts w:hint="eastAsia" w:ascii="宋体" w:hAnsi="宋体" w:cs="宋体"/>
          <w:color w:val="auto"/>
          <w:highlight w:val="none"/>
        </w:rPr>
        <w:t xml:space="preserve">技术部分</w:t>
      </w:r>
      <w:r>
        <w:rPr>
          <w:rFonts w:hint="eastAsia" w:ascii="宋体" w:hAnsi="宋体" w:cs="宋体"/>
          <w:color w:val="auto"/>
          <w:highlight w:val="none"/>
          <w:lang w:val="zh-CN"/>
        </w:rPr>
        <w:t xml:space="preserve">）优劣顺序排列。</w:t>
      </w:r>
      <w:r/>
    </w:p>
    <w:p>
      <w:pPr>
        <w:ind w:firstLine="420"/>
        <w:rPr>
          <w:rFonts w:ascii="宋体" w:hAnsi="宋体" w:cs="宋体"/>
          <w:color w:val="auto"/>
          <w:highlight w:val="none"/>
          <w:lang w:val="zh-CN"/>
        </w:rPr>
      </w:pPr>
      <w:r>
        <w:rPr>
          <w:rFonts w:hint="eastAsia" w:ascii="宋体" w:hAnsi="宋体" w:cs="宋体"/>
          <w:color w:val="auto"/>
          <w:highlight w:val="none"/>
          <w:lang w:val="zh-CN"/>
        </w:rPr>
        <w:t xml:space="preserve">22.2 按以下第（</w:t>
      </w:r>
      <w:r>
        <w:rPr>
          <w:rFonts w:hint="eastAsia" w:ascii="宋体" w:hAnsi="宋体" w:cs="宋体"/>
          <w:color w:val="auto"/>
          <w:highlight w:val="none"/>
        </w:rPr>
        <w:t xml:space="preserve">2</w:t>
      </w:r>
      <w:r>
        <w:rPr>
          <w:rFonts w:hint="eastAsia" w:ascii="宋体" w:hAnsi="宋体" w:cs="宋体"/>
          <w:color w:val="auto"/>
          <w:highlight w:val="none"/>
          <w:lang w:val="zh-CN"/>
        </w:rPr>
        <w:t xml:space="preserve">）种方式确定中标供应商</w:t>
      </w:r>
      <w:r/>
    </w:p>
    <w:p>
      <w:pPr>
        <w:ind w:firstLine="420"/>
        <w:rPr>
          <w:rFonts w:ascii="宋体" w:hAnsi="宋体" w:cs="宋体"/>
          <w:color w:val="auto"/>
          <w:highlight w:val="none"/>
          <w:lang w:val="zh-CN"/>
        </w:rPr>
      </w:pPr>
      <w:r>
        <w:rPr>
          <w:rFonts w:hint="eastAsia" w:ascii="宋体" w:hAnsi="宋体" w:cs="宋体"/>
          <w:color w:val="auto"/>
          <w:highlight w:val="none"/>
          <w:lang w:val="zh-CN"/>
        </w:rPr>
        <w:t xml:space="preserve">（1）评标委员会直接确定排名第一的中标候选人为中标供应商；</w:t>
      </w:r>
      <w:r/>
    </w:p>
    <w:p>
      <w:pPr>
        <w:ind w:firstLine="420"/>
        <w:rPr>
          <w:rFonts w:ascii="宋体" w:hAnsi="宋体" w:cs="宋体"/>
          <w:color w:val="auto"/>
          <w:highlight w:val="none"/>
          <w:lang w:val="zh-CN"/>
        </w:rPr>
      </w:pPr>
      <w:r>
        <w:rPr>
          <w:rFonts w:hint="eastAsia" w:ascii="宋体" w:hAnsi="宋体" w:cs="宋体"/>
          <w:color w:val="auto"/>
          <w:highlight w:val="none"/>
          <w:lang w:val="zh-CN"/>
        </w:rPr>
        <w:t xml:space="preserve">（2）采购人在评标委员会推荐的中标候选人中按顺序确定中标供应商。</w:t>
      </w:r>
      <w:r/>
    </w:p>
    <w:p>
      <w:pPr>
        <w:ind w:firstLine="420"/>
        <w:rPr>
          <w:rFonts w:ascii="宋体" w:hAnsi="宋体" w:cs="宋体"/>
          <w:color w:val="auto"/>
          <w:highlight w:val="none"/>
          <w:lang w:val="zh-CN"/>
        </w:rPr>
      </w:pPr>
      <w:r>
        <w:rPr>
          <w:rFonts w:hint="eastAsia" w:ascii="宋体" w:hAnsi="宋体" w:cs="宋体"/>
          <w:color w:val="auto"/>
          <w:highlight w:val="none"/>
          <w:lang w:val="zh-CN"/>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ind w:firstLine="420"/>
        <w:rPr>
          <w:rFonts w:ascii="宋体" w:hAnsi="宋体" w:cs="宋体"/>
          <w:color w:val="auto"/>
          <w:highlight w:val="none"/>
          <w:lang w:val="zh-CN"/>
        </w:rPr>
      </w:pPr>
      <w:r>
        <w:rPr>
          <w:rFonts w:hint="eastAsia" w:ascii="宋体" w:hAnsi="宋体" w:cs="宋体"/>
          <w:color w:val="auto"/>
          <w:highlight w:val="none"/>
          <w:lang w:val="zh-CN"/>
        </w:rPr>
        <w:t xml:space="preserve">22.3 中标供应商确定之日起两个工作日内，将在财政部门指定的政府采购信息发布媒体上公告。</w:t>
      </w:r>
      <w:r/>
    </w:p>
    <w:p>
      <w:pPr>
        <w:ind w:firstLine="420"/>
        <w:rPr>
          <w:rFonts w:ascii="宋体" w:hAnsi="宋体" w:cs="宋体"/>
          <w:color w:val="auto"/>
          <w:highlight w:val="none"/>
          <w:lang w:val="zh-CN"/>
        </w:rPr>
      </w:pPr>
      <w:r>
        <w:rPr>
          <w:rFonts w:hint="eastAsia" w:ascii="宋体" w:hAnsi="宋体" w:cs="宋体"/>
          <w:color w:val="auto"/>
          <w:highlight w:val="none"/>
          <w:lang w:val="zh-CN"/>
        </w:rPr>
        <w:t xml:space="preserve">22.4 《中标通知书》对采购人和中标供应商具有同等法律效力。</w:t>
      </w:r>
      <w:r/>
    </w:p>
    <w:p>
      <w:pPr>
        <w:ind w:firstLine="420"/>
        <w:rPr>
          <w:rFonts w:ascii="宋体" w:hAnsi="宋体" w:cs="宋体"/>
          <w:color w:val="auto"/>
          <w:highlight w:val="none"/>
          <w:lang w:val="zh-CN"/>
        </w:rPr>
      </w:pPr>
      <w:r>
        <w:rPr>
          <w:rFonts w:hint="eastAsia" w:ascii="宋体" w:hAnsi="宋体" w:cs="宋体"/>
          <w:color w:val="auto"/>
          <w:highlight w:val="none"/>
          <w:lang w:val="zh-CN"/>
        </w:rPr>
        <w:t xml:space="preserve">22.5 《中标通知书》发出后，中标供应商无正当理由不与采购人签订合同的，应当依法承担法律责任。</w:t>
      </w:r>
      <w:r/>
    </w:p>
    <w:p>
      <w:pPr>
        <w:ind w:firstLine="420"/>
        <w:rPr>
          <w:rFonts w:ascii="宋体" w:hAnsi="宋体" w:cs="宋体"/>
          <w:color w:val="auto"/>
          <w:highlight w:val="none"/>
        </w:rPr>
      </w:pPr>
      <w:r>
        <w:rPr>
          <w:rFonts w:hint="eastAsia" w:ascii="宋体" w:hAnsi="宋体" w:cs="宋体"/>
          <w:color w:val="auto"/>
          <w:highlight w:val="none"/>
          <w:lang w:val="zh-CN"/>
        </w:rPr>
        <w:t xml:space="preserve">22.6代理机构和评标委员会对未中标的供应商不作未中标原因的解释。</w:t>
      </w:r>
      <w:r/>
    </w:p>
    <w:p>
      <w:pPr>
        <w:ind w:firstLine="413"/>
        <w:rPr>
          <w:rFonts w:ascii="宋体" w:hAnsi="宋体" w:cs="宋体"/>
          <w:b/>
          <w:color w:val="auto"/>
          <w:szCs w:val="21"/>
          <w:highlight w:val="none"/>
        </w:rPr>
      </w:pPr>
      <w:r>
        <w:rPr>
          <w:rFonts w:hint="eastAsia" w:ascii="宋体" w:hAnsi="宋体" w:cs="宋体"/>
          <w:b/>
          <w:color w:val="auto"/>
          <w:szCs w:val="21"/>
          <w:highlight w:val="none"/>
        </w:rPr>
        <w:t xml:space="preserve">23</w:t>
      </w:r>
      <w:r>
        <w:rPr>
          <w:rFonts w:hint="eastAsia" w:ascii="宋体" w:hAnsi="宋体" w:cs="宋体"/>
          <w:b/>
          <w:bCs/>
          <w:color w:val="auto"/>
          <w:szCs w:val="21"/>
          <w:highlight w:val="none"/>
          <w:lang w:val="zh-CN"/>
        </w:rPr>
        <w:t xml:space="preserve">、</w:t>
      </w:r>
      <w:r>
        <w:rPr>
          <w:rFonts w:hint="eastAsia" w:ascii="宋体" w:hAnsi="宋体" w:cs="宋体"/>
          <w:b/>
          <w:color w:val="auto"/>
          <w:szCs w:val="21"/>
          <w:highlight w:val="none"/>
        </w:rPr>
        <w:t xml:space="preserve">编写评标报告</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23.1 评标委员会根据全体评标成员签字的原始评标记录和评标结果编写评标报告。</w:t>
      </w:r>
      <w:r/>
    </w:p>
    <w:p>
      <w:pPr>
        <w:ind w:firstLine="420"/>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24、评标过程的保密性</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24.1 招标代理将采取必要措施，保证评标在严格保密的情况下进行。</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 任何单位和个人不得非法干预、影响评标办法的确定，以及评标过程和结果。</w:t>
      </w:r>
      <w:r/>
    </w:p>
    <w:p>
      <w:pPr>
        <w:ind w:firstLine="420"/>
        <w:rPr>
          <w:rFonts w:ascii="宋体" w:hAnsi="宋体" w:cs="宋体"/>
          <w:b/>
          <w:color w:val="auto"/>
          <w:szCs w:val="21"/>
          <w:highlight w:val="none"/>
        </w:rPr>
      </w:pPr>
      <w:r>
        <w:rPr>
          <w:rFonts w:hint="eastAsia" w:ascii="宋体" w:hAnsi="宋体" w:cs="宋体"/>
          <w:color w:val="auto"/>
          <w:szCs w:val="21"/>
          <w:highlight w:val="none"/>
          <w:lang w:val="zh-CN"/>
        </w:rPr>
        <w:t xml:space="preserve">24.3 凡是与审查、澄清、评价和比较投标的有关资料等，均不向供应商及与评标无关的其他人员透露。</w:t>
      </w:r>
      <w:r/>
    </w:p>
    <w:p>
      <w:pPr>
        <w:ind w:firstLine="420"/>
        <w:rPr>
          <w:rFonts w:ascii="宋体" w:hAnsi="宋体" w:cs="宋体"/>
          <w:b/>
          <w:bCs/>
          <w:color w:val="auto"/>
          <w:szCs w:val="21"/>
          <w:highlight w:val="none"/>
          <w:lang w:val="zh-CN"/>
        </w:rPr>
        <w:outlineLvl w:val="0"/>
      </w:pPr>
      <w:r>
        <w:rPr>
          <w:rFonts w:hint="eastAsia" w:ascii="宋体" w:hAnsi="宋体" w:cs="宋体"/>
          <w:b/>
          <w:bCs/>
          <w:color w:val="auto"/>
          <w:szCs w:val="21"/>
          <w:highlight w:val="none"/>
          <w:lang w:val="zh-CN"/>
        </w:rPr>
        <w:t xml:space="preserve">五、签订合同</w:t>
      </w:r>
      <w:r/>
    </w:p>
    <w:p>
      <w:pPr>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25、签订合同</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25.1 采购人应当自中标通知书发出之日起30日内，按照招标文件和中标人投标文件的规定与中标人签订书面合同。所签订的合同不得对招标文件确定事项和中标人投标文件作实质性修改。</w:t>
      </w:r>
      <w:r/>
    </w:p>
    <w:p>
      <w:pPr>
        <w:ind w:firstLine="420"/>
        <w:rPr>
          <w:rFonts w:ascii="宋体" w:hAnsi="宋体" w:cs="宋体"/>
          <w:color w:val="auto"/>
          <w:szCs w:val="21"/>
          <w:highlight w:val="none"/>
        </w:rPr>
      </w:pPr>
      <w:r>
        <w:rPr>
          <w:rFonts w:hint="eastAsia" w:ascii="宋体" w:hAnsi="宋体" w:cs="宋体"/>
          <w:color w:val="auto"/>
          <w:szCs w:val="21"/>
          <w:highlight w:val="none"/>
          <w:lang w:val="zh-CN"/>
        </w:rPr>
        <w:t xml:space="preserve">25.2</w:t>
      </w:r>
      <w:r>
        <w:rPr>
          <w:rFonts w:hint="eastAsia" w:ascii="宋体" w:hAnsi="宋体" w:cs="宋体"/>
          <w:color w:val="auto"/>
          <w:szCs w:val="21"/>
          <w:highlight w:val="none"/>
        </w:rPr>
        <w:t xml:space="preserve">采购人不得向中标人提出任何不合理的要求作为签订合同的条件，不得与中标人私下订立背离合同实质性内容的协议。</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25.3中标人拒绝与采购人签订合同，或因不可抗力或者自身原因不能履行政府采购合同的，采购人可以按照评审报告中的得分高低顺序，确定下一顺序投标人为中标人，也可以重新开展政府采购活动。</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ind w:firstLine="420"/>
        <w:rPr>
          <w:rFonts w:ascii="宋体" w:hAnsi="宋体" w:cs="宋体"/>
          <w:b/>
          <w:bCs/>
          <w:color w:val="auto"/>
          <w:szCs w:val="21"/>
          <w:highlight w:val="none"/>
          <w:lang w:val="zh-CN"/>
        </w:rPr>
        <w:outlineLvl w:val="0"/>
      </w:pPr>
      <w:r>
        <w:rPr>
          <w:rFonts w:hint="eastAsia" w:ascii="宋体" w:hAnsi="宋体" w:cs="宋体"/>
          <w:b/>
          <w:bCs/>
          <w:color w:val="auto"/>
          <w:szCs w:val="21"/>
          <w:highlight w:val="none"/>
          <w:lang w:val="zh-CN"/>
        </w:rPr>
        <w:t xml:space="preserve">六、询问、质疑、投诉和诚实信用</w:t>
      </w:r>
      <w:r/>
    </w:p>
    <w:p>
      <w:pPr>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26、询问</w:t>
      </w:r>
      <w:r/>
    </w:p>
    <w:p>
      <w:pPr>
        <w:ind w:firstLine="420"/>
        <w:rPr>
          <w:rFonts w:ascii="宋体" w:hAnsi="宋体" w:cs="宋体"/>
          <w:b/>
          <w:color w:val="auto"/>
          <w:szCs w:val="21"/>
          <w:highlight w:val="none"/>
          <w:lang w:val="zh-CN"/>
        </w:rPr>
      </w:pPr>
      <w:r>
        <w:rPr>
          <w:rFonts w:hint="eastAsia" w:ascii="宋体" w:hAnsi="宋体" w:cs="宋体"/>
          <w:color w:val="auto"/>
          <w:szCs w:val="21"/>
          <w:highlight w:val="none"/>
          <w:lang w:val="zh-CN"/>
        </w:rPr>
        <w:t xml:space="preserve">26.1 供应商对招标活动事项有疑问的，可以向招标代理或采购人提出询问，招标代理或采购人将在两个工作日内作出答复，但答复的内容不涉及商业秘密</w:t>
      </w:r>
      <w:r>
        <w:rPr>
          <w:rFonts w:hint="eastAsia" w:ascii="宋体" w:hAnsi="宋体" w:cs="宋体"/>
          <w:b/>
          <w:color w:val="auto"/>
          <w:szCs w:val="21"/>
          <w:highlight w:val="none"/>
          <w:lang w:val="zh-CN"/>
        </w:rPr>
        <w:t xml:space="preserve">。</w:t>
      </w:r>
      <w:r/>
    </w:p>
    <w:p>
      <w:pPr>
        <w:ind w:firstLine="420"/>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27、质疑</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27.1 投标人认为招标文件、采购过程和中标结果使自己的合法权益受到损害的，可以在知道或者应当知道其权益受到损害之日起七个工作日内一次性提出针对同一采购程序环节的质疑，质疑文件原件以书面形式送达招标代理。</w:t>
      </w:r>
      <w:r/>
    </w:p>
    <w:p>
      <w:pPr>
        <w:ind w:firstLine="409"/>
        <w:rPr>
          <w:rFonts w:ascii="宋体" w:hAnsi="宋体" w:cs="宋体"/>
          <w:color w:val="auto"/>
          <w:szCs w:val="21"/>
          <w:highlight w:val="none"/>
          <w:lang w:val="zh-CN"/>
        </w:rPr>
      </w:pPr>
      <w:r>
        <w:rPr>
          <w:rFonts w:hint="eastAsia" w:ascii="宋体" w:hAnsi="宋体" w:cs="宋体"/>
          <w:color w:val="auto"/>
          <w:szCs w:val="21"/>
          <w:highlight w:val="none"/>
          <w:lang w:val="zh-CN"/>
        </w:rPr>
        <w:t xml:space="preserve">27.2 </w:t>
      </w:r>
      <w:r>
        <w:rPr>
          <w:rFonts w:hint="eastAsia" w:ascii="宋体" w:hAnsi="宋体" w:cs="宋体"/>
          <w:color w:val="auto"/>
          <w:szCs w:val="21"/>
          <w:highlight w:val="none"/>
        </w:rPr>
        <w:t xml:space="preserve">质疑供应商的质疑行为应符合财政部94号令相关规定，</w:t>
      </w:r>
      <w:r>
        <w:rPr>
          <w:rFonts w:hint="eastAsia" w:ascii="宋体" w:hAnsi="宋体" w:cs="宋体"/>
          <w:color w:val="auto"/>
          <w:szCs w:val="21"/>
          <w:highlight w:val="none"/>
          <w:lang w:val="zh-CN"/>
        </w:rPr>
        <w:t xml:space="preserve">质疑供应商是指直接参加本次投标活动的供应商，未参加投标活动的供应商或在投标活动中自身权益未受到损害的供应商所提出的质疑不予受理。</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27.3 质疑必须以参加投标供应商法定代表人或授权代表（投标文件中所确定的）原件送达的方式提交，否则，招标代理有权不予受理。</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27.4上述应知其权益受到损害之日是指：</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（1）对招标文件提出质疑的，为投标文件公告期限届满之日起计算；</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（2）对采购过程提出质疑的，自采购程序环节结束之日起计算；</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（3）对中标结果提出质疑的，自中标结果公告期限届满之日起计算。  </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27.5 质疑文件应包括以下主要内容，并按照“谁主张、谁举证”的原则，附上相关证明材料。否则，招标代理或采购人不予受理：</w:t>
      </w:r>
      <w:r/>
    </w:p>
    <w:p>
      <w:pPr>
        <w:ind w:left="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（1）质疑项目名称、项目编号、包号、招标公告发布时间、开标时间；</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（2）提起质疑的日期、具体的质疑事项及事实根据（具体条款）；</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（4）质疑供应商名称、地址、邮编、联系人、联系电话（包括座机、手机、传真号码等）；</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（5）质疑文件应当署名，质疑人为自然人的，应当由本人签字并附有效身份证明；质疑人为法人或其他组织的，应当由法定代表人签字并加盖单位公章。</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（6）供应商委托代理质疑的，应当向被质疑人提交授权委托书，并载明委托代理的具体权限和事项。</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27.6 招标代理在收到供应商的书面质疑后将及时组织调查核实，在七个工作日内作出答复，并以书面或在网站公告形式通知质疑供应商和其他有关供应商，答复的内容不涉及商业秘密。招标代理遵循“谁过错谁负担”的原则，有过错的一方承担调查论证费用。</w:t>
      </w:r>
      <w:r/>
    </w:p>
    <w:p>
      <w:pPr>
        <w:ind w:firstLine="420"/>
        <w:rPr>
          <w:rFonts w:ascii="宋体" w:hAnsi="宋体" w:cs="宋体"/>
          <w:color w:val="auto"/>
          <w:szCs w:val="21"/>
          <w:highlight w:val="none"/>
          <w:lang w:val="zh-CN"/>
        </w:rPr>
      </w:pPr>
      <w:r>
        <w:rPr>
          <w:rFonts w:hint="eastAsia" w:ascii="宋体" w:hAnsi="宋体" w:cs="宋体"/>
          <w:b/>
          <w:bCs/>
          <w:color w:val="auto"/>
          <w:szCs w:val="21"/>
          <w:highlight w:val="none"/>
          <w:lang w:val="zh-CN"/>
        </w:rPr>
        <w:t xml:space="preserve">28、投诉</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28.1 质疑供应商对招标代理的答复不满意，或招标代理未在规定的时间内作出答复的，可以在答复期满后</w:t>
      </w:r>
      <w:r>
        <w:rPr>
          <w:rFonts w:hint="eastAsia" w:ascii="宋体" w:hAnsi="宋体" w:cs="宋体"/>
          <w:b/>
          <w:bCs/>
          <w:color w:val="auto"/>
          <w:szCs w:val="21"/>
          <w:highlight w:val="none"/>
          <w:lang w:val="zh-CN"/>
        </w:rPr>
        <w:t xml:space="preserve">十五个工作日内</w:t>
      </w:r>
      <w:r>
        <w:rPr>
          <w:rFonts w:hint="eastAsia" w:ascii="宋体" w:hAnsi="宋体" w:cs="宋体"/>
          <w:color w:val="auto"/>
          <w:szCs w:val="21"/>
          <w:highlight w:val="none"/>
          <w:lang w:val="zh-CN"/>
        </w:rPr>
        <w:t xml:space="preserve">向采购项目同级财政部门投诉。</w:t>
      </w:r>
      <w:r/>
    </w:p>
    <w:p>
      <w:pPr>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29、诚实信用</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29.1 供应商之间不得相互串通投标报价，不得妨碍其他供应商的公平竞争，不得损害采购人和其他供应商的合法权益。</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29.2 供应商不得以向招标代理工作人员、评标委员会成员行贿或者采取其他不正当手段谋取中标。经查实供应商有此行为的，</w:t>
      </w:r>
      <w:r>
        <w:rPr>
          <w:rFonts w:hint="eastAsia" w:ascii="宋体" w:hAnsi="宋体" w:cs="宋体"/>
          <w:color w:val="auto"/>
          <w:highlight w:val="none"/>
        </w:rPr>
        <w:t xml:space="preserve">政府采购管理部门将供应商列入不良行为记录名单，按照《政府采购法》有关规定处理。</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29.3 供应商提出书面质疑必须有理、有据，不得虚假质疑和恶意质疑，并对质疑内容的真实性承担责任。一经查实，招标代理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招标代理将提请财政部门将其列入不良行为记录名单，并依法予以处罚。</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29.4 供应商不得虚假承诺，否则，按照提供虚假材料谋取中标成交处理。</w:t>
      </w:r>
      <w:r/>
    </w:p>
    <w:p>
      <w:pPr>
        <w:ind w:firstLine="420"/>
        <w:rPr>
          <w:rFonts w:ascii="宋体" w:hAnsi="宋体" w:cs="宋体"/>
          <w:b/>
          <w:color w:val="auto"/>
          <w:sz w:val="36"/>
          <w:szCs w:val="36"/>
          <w:highlight w:val="none"/>
        </w:rPr>
      </w:pPr>
      <w:r>
        <w:rPr>
          <w:rFonts w:hint="eastAsia" w:ascii="宋体" w:hAnsi="宋体" w:cs="宋体"/>
          <w:color w:val="auto"/>
          <w:szCs w:val="21"/>
          <w:highlight w:val="none"/>
          <w:lang w:val="zh-CN"/>
        </w:rPr>
        <w:t xml:space="preserve">29.5 供应商应自觉遵守开标、评标纪律，扰乱开标评标现场秩序的，属于失信行为，根据《江苏省政府采购供应商监督管理暂行办法》，失信行为将被记入供应商诚信档案。</w:t>
      </w:r>
      <w:r/>
    </w:p>
    <w:p>
      <w:pPr>
        <w:jc w:val="center"/>
        <w:rPr>
          <w:rFonts w:ascii="宋体" w:hAnsi="宋体" w:cs="宋体"/>
          <w:b/>
          <w:color w:val="auto"/>
          <w:sz w:val="36"/>
          <w:szCs w:val="36"/>
          <w:highlight w:val="none"/>
        </w:rPr>
      </w:pPr>
      <w:r>
        <w:rPr>
          <w:rFonts w:hint="eastAsia" w:ascii="宋体" w:hAnsi="宋体" w:cs="宋体"/>
          <w:color w:val="auto"/>
          <w:szCs w:val="21"/>
          <w:highlight w:val="none"/>
          <w:lang w:val="zh-CN"/>
        </w:rPr>
        <w:br w:type="page" w:clear="all"/>
      </w:r>
      <w:r>
        <w:rPr>
          <w:rFonts w:hint="eastAsia" w:ascii="宋体" w:hAnsi="宋体" w:cs="宋体"/>
          <w:b/>
          <w:color w:val="auto"/>
          <w:sz w:val="36"/>
          <w:szCs w:val="36"/>
          <w:highlight w:val="none"/>
        </w:rPr>
        <w:t xml:space="preserve">第三章 评标标准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在综合比较与评价后按照得分由高到低顺序对供应商进行排序。得分相同的，按投标报价由低到高顺序排列。得分且报价相同的，按技术指标（</w:t>
      </w:r>
      <w:r>
        <w:rPr>
          <w:rFonts w:hint="eastAsia" w:ascii="宋体" w:hAnsi="宋体" w:cs="宋体"/>
          <w:color w:val="auto"/>
          <w:szCs w:val="21"/>
          <w:highlight w:val="none"/>
        </w:rPr>
        <w:t xml:space="preserve">技术部分</w:t>
      </w:r>
      <w:r>
        <w:rPr>
          <w:rFonts w:hint="eastAsia" w:ascii="宋体" w:hAnsi="宋体" w:cs="宋体"/>
          <w:color w:val="auto"/>
          <w:szCs w:val="21"/>
          <w:highlight w:val="none"/>
          <w:lang w:val="zh-CN"/>
        </w:rPr>
        <w:t xml:space="preserve">）优劣顺序排列</w:t>
      </w:r>
      <w:r>
        <w:rPr>
          <w:rFonts w:ascii="宋体" w:hAnsi="宋体" w:cs="宋体"/>
          <w:color w:val="auto"/>
          <w:szCs w:val="21"/>
          <w:highlight w:val="none"/>
          <w:lang w:val="zh-CN"/>
        </w:rPr>
        <w:t xml:space="preserve">。</w:t>
      </w:r>
      <w:r/>
    </w:p>
    <w:tbl>
      <w:tblPr>
        <w:tblStyle w:val="847"/>
        <w:tblW w:w="93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733"/>
        <w:gridCol w:w="7337"/>
        <w:gridCol w:w="618"/>
      </w:tblGrid>
      <w:tr>
        <w:trPr>
          <w:trHeight w:val="602"/>
        </w:trPr>
        <w:tc>
          <w:tcPr>
            <w:tcW w:w="674"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
                <w:color w:val="auto"/>
                <w:szCs w:val="21"/>
                <w:highlight w:val="none"/>
              </w:rPr>
              <w:t xml:space="preserve">序号</w:t>
            </w:r>
            <w:r/>
          </w:p>
        </w:tc>
        <w:tc>
          <w:tcPr>
            <w:tcW w:w="733"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
                <w:color w:val="auto"/>
                <w:szCs w:val="21"/>
                <w:highlight w:val="none"/>
              </w:rPr>
              <w:t xml:space="preserve">评分因素</w:t>
            </w:r>
            <w:r/>
          </w:p>
        </w:tc>
        <w:tc>
          <w:tcPr>
            <w:tcW w:w="7337"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
                <w:color w:val="auto"/>
                <w:szCs w:val="21"/>
                <w:highlight w:val="none"/>
              </w:rPr>
              <w:t xml:space="preserve">评  分  细  则</w:t>
            </w:r>
            <w:r/>
          </w:p>
        </w:tc>
        <w:tc>
          <w:tcPr>
            <w:tcW w:w="618"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
                <w:color w:val="auto"/>
                <w:szCs w:val="21"/>
                <w:highlight w:val="none"/>
              </w:rPr>
              <w:t xml:space="preserve">分值</w:t>
            </w:r>
            <w:r/>
          </w:p>
        </w:tc>
      </w:tr>
      <w:tr>
        <w:trPr>
          <w:trHeight w:val="1559"/>
        </w:trPr>
        <w:tc>
          <w:tcPr>
            <w:tcW w:w="674" w:type="dxa"/>
            <w:vAlign w:val="center"/>
            <w:textDirection w:val="lrTb"/>
            <w:noWrap w:val="false"/>
          </w:tcPr>
          <w:p>
            <w:pPr>
              <w:jc w:val="center"/>
              <w:spacing w:before="62" w:after="4"/>
              <w:rPr>
                <w:rFonts w:ascii="宋体" w:hAnsi="宋体" w:cs="宋体"/>
                <w:b/>
                <w:color w:val="auto"/>
                <w:szCs w:val="21"/>
                <w:highlight w:val="none"/>
              </w:rPr>
            </w:pPr>
            <w:r>
              <w:rPr>
                <w:rFonts w:hint="eastAsia" w:ascii="宋体" w:hAnsi="宋体" w:cs="宋体"/>
                <w:b/>
                <w:color w:val="auto"/>
                <w:szCs w:val="21"/>
                <w:highlight w:val="none"/>
              </w:rPr>
              <w:t xml:space="preserve">1</w:t>
            </w:r>
            <w:r/>
          </w:p>
        </w:tc>
        <w:tc>
          <w:tcPr>
            <w:tcW w:w="73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价格</w:t>
            </w:r>
            <w:r/>
          </w:p>
          <w:p>
            <w:pPr>
              <w:jc w:val="center"/>
              <w:rPr>
                <w:rFonts w:ascii="宋体" w:hAnsi="宋体" w:cs="宋体"/>
                <w:bCs/>
                <w:color w:val="auto"/>
                <w:szCs w:val="21"/>
                <w:highlight w:val="none"/>
              </w:rPr>
            </w:pPr>
            <w:r>
              <w:rPr>
                <w:rFonts w:ascii="宋体" w:hAnsi="宋体" w:cs="宋体"/>
                <w:bCs/>
                <w:color w:val="auto"/>
                <w:szCs w:val="21"/>
                <w:highlight w:val="none"/>
              </w:rPr>
            </w:r>
            <w:r/>
          </w:p>
        </w:tc>
        <w:tc>
          <w:tcPr>
            <w:tcW w:w="7337" w:type="dxa"/>
            <w:vAlign w:val="center"/>
            <w:textDirection w:val="lrTb"/>
            <w:noWrap w:val="false"/>
          </w:tcPr>
          <w:p>
            <w:pP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本次招标，以进入详细评审的各投标人评标价的最低值为A值，A值为价格分的满分，即30分。其他投标人的价格分统一按照以下公式计算：投标人评标价得分=（A／该投标人评标价）×30。（保留小数点后两位）</w:t>
            </w:r>
            <w:r/>
          </w:p>
        </w:tc>
        <w:tc>
          <w:tcPr>
            <w:tcW w:w="618"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30</w:t>
            </w:r>
            <w:r/>
          </w:p>
        </w:tc>
      </w:tr>
      <w:tr>
        <w:trPr>
          <w:trHeight w:val="1559"/>
        </w:trPr>
        <w:tc>
          <w:tcPr>
            <w:tcW w:w="674" w:type="dxa"/>
            <w:vAlign w:val="center"/>
            <w:textDirection w:val="lrTb"/>
            <w:noWrap w:val="false"/>
          </w:tcPr>
          <w:p>
            <w:pPr>
              <w:jc w:val="center"/>
              <w:spacing w:before="62" w:after="4"/>
              <w:rPr>
                <w:rFonts w:ascii="宋体" w:hAnsi="宋体" w:cs="宋体"/>
                <w:b/>
                <w:color w:val="auto"/>
                <w:szCs w:val="21"/>
                <w:highlight w:val="none"/>
              </w:rPr>
            </w:pPr>
            <w:r>
              <w:rPr>
                <w:rFonts w:hint="eastAsia" w:ascii="宋体" w:hAnsi="宋体" w:cs="宋体"/>
                <w:b/>
                <w:color w:val="auto"/>
                <w:szCs w:val="21"/>
                <w:highlight w:val="none"/>
              </w:rPr>
              <w:t xml:space="preserve">2</w:t>
            </w:r>
            <w:r/>
          </w:p>
        </w:tc>
        <w:tc>
          <w:tcPr>
            <w:tcW w:w="733"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技术响应</w:t>
            </w:r>
            <w:r/>
          </w:p>
        </w:tc>
        <w:tc>
          <w:tcPr>
            <w:tcW w:w="7337" w:type="dxa"/>
            <w:vAlign w:val="center"/>
            <w:textDirection w:val="lrTb"/>
            <w:noWrap w:val="false"/>
          </w:tcPr>
          <w:p>
            <w:pP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投标产品对招标文件具体需求的响应程度能够满足招标文件“第四章 招标项目要求”的得32分。招标文件中标注“★”的内容为实质性要求，有一项不符合的，作无效投标处理。带“▲”条款为重要技术参数指标，如带“▲”条款存在负偏离的，负偏离1项扣2分，其他技术参数，负偏离1项扣1分，扣完为止。</w:t>
            </w:r>
            <w:r/>
          </w:p>
          <w:p>
            <w:pP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如文件中要求提供证明材料，建议采用箭头、标红或下划线等进行明显标注，并在偏离表中标明页码，方便评委查看。</w:t>
            </w:r>
            <w:r/>
          </w:p>
        </w:tc>
        <w:tc>
          <w:tcPr>
            <w:tcW w:w="618"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32</w:t>
            </w:r>
            <w:r/>
          </w:p>
        </w:tc>
      </w:tr>
      <w:tr>
        <w:trPr>
          <w:trHeight w:val="1396"/>
        </w:trPr>
        <w:tc>
          <w:tcPr>
            <w:tcW w:w="674" w:type="dxa"/>
            <w:vAlign w:val="center"/>
            <w:textDirection w:val="lrTb"/>
            <w:noWrap w:val="false"/>
          </w:tcPr>
          <w:p>
            <w:pPr>
              <w:jc w:val="center"/>
              <w:spacing w:before="62" w:after="4"/>
              <w:rPr>
                <w:rFonts w:ascii="宋体" w:hAnsi="宋体" w:cs="宋体"/>
                <w:b/>
                <w:color w:val="auto"/>
                <w:szCs w:val="21"/>
                <w:highlight w:val="none"/>
              </w:rPr>
            </w:pPr>
            <w:r>
              <w:rPr>
                <w:rFonts w:hint="eastAsia" w:ascii="宋体" w:hAnsi="宋体" w:cs="宋体"/>
                <w:b/>
                <w:color w:val="auto"/>
                <w:szCs w:val="21"/>
                <w:highlight w:val="none"/>
              </w:rPr>
              <w:t xml:space="preserve">3</w:t>
            </w:r>
            <w:r/>
          </w:p>
        </w:tc>
        <w:tc>
          <w:tcPr>
            <w:tcW w:w="733"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color w:val="auto"/>
                <w:szCs w:val="21"/>
                <w:highlight w:val="none"/>
              </w:rPr>
              <w:t xml:space="preserve">业绩</w:t>
            </w:r>
            <w:r/>
          </w:p>
        </w:tc>
        <w:tc>
          <w:tcPr>
            <w:tcW w:w="7337" w:type="dxa"/>
            <w:vAlign w:val="center"/>
            <w:textDirection w:val="lrTb"/>
            <w:noWrap w:val="false"/>
          </w:tcPr>
          <w:p>
            <w:pPr>
              <w:spacing w:line="300" w:lineRule="auto"/>
              <w:rPr>
                <w:rFonts w:hint="eastAsia" w:ascii="宋体" w:hAnsi="宋体" w:eastAsia="宋体" w:cs="宋体"/>
                <w:bCs/>
                <w:color w:val="auto"/>
                <w:szCs w:val="21"/>
                <w:highlight w:val="none"/>
                <w:lang w:val="en-US" w:eastAsia="zh-CN"/>
              </w:rPr>
            </w:pPr>
            <w:r>
              <w:rPr>
                <w:rFonts w:hint="eastAsia" w:ascii="宋体" w:hAnsi="宋体" w:cs="宋体"/>
                <w:color w:val="auto"/>
                <w:szCs w:val="21"/>
                <w:highlight w:val="none"/>
              </w:rPr>
              <w:t xml:space="preserve">提供自2023年1月1日以来（以合同签订日期为准）所投品牌同类项目成交案例，每提供一份案例得2分，最多得6分。（须提供</w:t>
            </w:r>
            <w:r>
              <w:rPr>
                <w:rFonts w:hint="eastAsia" w:ascii="宋体" w:hAnsi="宋体" w:cs="宋体"/>
                <w:color w:val="auto"/>
                <w:szCs w:val="21"/>
                <w:highlight w:val="none"/>
                <w:lang w:val="en-US" w:eastAsia="zh-CN"/>
              </w:rPr>
              <w:t xml:space="preserve">合同、</w:t>
            </w:r>
            <w:r>
              <w:rPr>
                <w:rFonts w:hint="eastAsia" w:ascii="宋体" w:hAnsi="宋体" w:cs="宋体"/>
                <w:color w:val="auto"/>
                <w:szCs w:val="21"/>
                <w:highlight w:val="none"/>
              </w:rPr>
              <w:t xml:space="preserve">中标（成交）通知书或中标（成交）结果公告网站截图，不提供不得分，时间以合同签订时间为准，原件备查），未提供或者提供不全不得分。</w:t>
            </w:r>
            <w:r>
              <w:rPr>
                <w:rFonts w:hint="eastAsia" w:ascii="宋体" w:hAnsi="宋体" w:cs="宋体"/>
                <w:color w:val="auto"/>
                <w:szCs w:val="21"/>
                <w:highlight w:val="none"/>
                <w:lang w:val="en-US" w:eastAsia="zh-CN"/>
              </w:rPr>
              <w:t xml:space="preserve"> </w:t>
            </w:r>
            <w:r/>
          </w:p>
        </w:tc>
        <w:tc>
          <w:tcPr>
            <w:tcW w:w="618"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6</w:t>
            </w:r>
            <w:r/>
          </w:p>
        </w:tc>
      </w:tr>
      <w:tr>
        <w:trPr>
          <w:trHeight w:val="668"/>
        </w:trPr>
        <w:tc>
          <w:tcPr>
            <w:tcW w:w="674" w:type="dxa"/>
            <w:vAlign w:val="center"/>
            <w:textDirection w:val="lrTb"/>
            <w:noWrap w:val="false"/>
          </w:tcPr>
          <w:p>
            <w:pPr>
              <w:jc w:val="center"/>
              <w:spacing w:before="62" w:after="4"/>
              <w:rPr>
                <w:rFonts w:ascii="宋体" w:hAnsi="宋体" w:cs="宋体"/>
                <w:b/>
                <w:color w:val="auto"/>
                <w:szCs w:val="21"/>
                <w:highlight w:val="none"/>
              </w:rPr>
            </w:pPr>
            <w:r>
              <w:rPr>
                <w:rFonts w:hint="eastAsia" w:ascii="宋体" w:hAnsi="宋体" w:cs="宋体"/>
                <w:b/>
                <w:color w:val="auto"/>
                <w:szCs w:val="21"/>
                <w:highlight w:val="none"/>
              </w:rPr>
              <w:t xml:space="preserve">4</w:t>
            </w:r>
            <w:r/>
          </w:p>
        </w:tc>
        <w:tc>
          <w:tcPr>
            <w:tcW w:w="733" w:type="dxa"/>
            <w:vAlign w:val="center"/>
            <w:textDirection w:val="lrTb"/>
            <w:noWrap w:val="false"/>
          </w:tcPr>
          <w:p>
            <w:pP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免费质保期</w:t>
            </w:r>
            <w:r/>
          </w:p>
        </w:tc>
        <w:tc>
          <w:tcPr>
            <w:tcW w:w="7337" w:type="dxa"/>
            <w:vAlign w:val="center"/>
            <w:textDirection w:val="lrTb"/>
            <w:noWrap w:val="false"/>
          </w:tcPr>
          <w:p>
            <w:pP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满足招标文件免费质保期要求（</w:t>
            </w:r>
            <w:r>
              <w:rPr>
                <w:rFonts w:ascii="宋体" w:hAnsi="宋体" w:cs="宋体"/>
                <w:color w:val="auto"/>
                <w:szCs w:val="21"/>
                <w:highlight w:val="none"/>
              </w:rPr>
              <w:t xml:space="preserve">1</w:t>
            </w:r>
            <w:r>
              <w:rPr>
                <w:rFonts w:hint="eastAsia" w:ascii="宋体" w:hAnsi="宋体" w:cs="宋体"/>
                <w:color w:val="auto"/>
                <w:szCs w:val="21"/>
                <w:highlight w:val="none"/>
              </w:rPr>
              <w:t xml:space="preserve">年）的基础上，免费质保每增加1年加</w:t>
            </w:r>
            <w:r>
              <w:rPr>
                <w:rFonts w:ascii="宋体" w:hAnsi="宋体" w:cs="宋体"/>
                <w:color w:val="auto"/>
                <w:szCs w:val="21"/>
                <w:highlight w:val="none"/>
              </w:rPr>
              <w:t xml:space="preserve">1</w:t>
            </w:r>
            <w:r>
              <w:rPr>
                <w:rFonts w:hint="eastAsia" w:ascii="宋体" w:hAnsi="宋体" w:cs="宋体"/>
                <w:color w:val="auto"/>
                <w:szCs w:val="21"/>
                <w:highlight w:val="none"/>
              </w:rPr>
              <w:t xml:space="preserve">分，本项最高得</w:t>
            </w:r>
            <w:r>
              <w:rPr>
                <w:rFonts w:ascii="宋体" w:hAnsi="宋体" w:cs="宋体"/>
                <w:color w:val="auto"/>
                <w:szCs w:val="21"/>
                <w:highlight w:val="none"/>
              </w:rPr>
              <w:t xml:space="preserve">2</w:t>
            </w:r>
            <w:r>
              <w:rPr>
                <w:rFonts w:hint="eastAsia" w:ascii="宋体" w:hAnsi="宋体" w:cs="宋体"/>
                <w:color w:val="auto"/>
                <w:szCs w:val="21"/>
                <w:highlight w:val="none"/>
              </w:rPr>
              <w:t xml:space="preserve">分。</w:t>
            </w:r>
            <w:r/>
          </w:p>
        </w:tc>
        <w:tc>
          <w:tcPr>
            <w:tcW w:w="618"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2</w:t>
            </w:r>
            <w:r/>
          </w:p>
        </w:tc>
      </w:tr>
      <w:tr>
        <w:trPr>
          <w:trHeight w:val="599"/>
        </w:trPr>
        <w:tc>
          <w:tcPr>
            <w:tcW w:w="674" w:type="dxa"/>
            <w:vAlign w:val="center"/>
            <w:textDirection w:val="lrTb"/>
            <w:noWrap w:val="false"/>
          </w:tcPr>
          <w:p>
            <w:pPr>
              <w:jc w:val="center"/>
              <w:spacing w:line="400" w:lineRule="exact"/>
              <w:rPr>
                <w:rFonts w:ascii="宋体" w:hAnsi="宋体" w:cs="宋体"/>
                <w:bCs/>
                <w:color w:val="auto"/>
                <w:szCs w:val="21"/>
                <w:highlight w:val="none"/>
              </w:rPr>
            </w:pPr>
            <w:r>
              <w:rPr>
                <w:rFonts w:hint="eastAsia" w:ascii="宋体" w:hAnsi="宋体" w:cs="宋体"/>
                <w:b/>
                <w:bCs/>
                <w:color w:val="auto"/>
                <w:szCs w:val="21"/>
                <w:highlight w:val="none"/>
              </w:rPr>
              <w:t xml:space="preserve">5</w:t>
            </w:r>
            <w:r/>
          </w:p>
        </w:tc>
        <w:tc>
          <w:tcPr>
            <w:gridSpan w:val="3"/>
            <w:tcW w:w="8688" w:type="dxa"/>
            <w:vAlign w:val="center"/>
            <w:textDirection w:val="lrTb"/>
            <w:noWrap w:val="false"/>
          </w:tcPr>
          <w:p>
            <w:pPr>
              <w:jc w:val="center"/>
              <w:spacing w:line="400" w:lineRule="exact"/>
              <w:rPr>
                <w:rFonts w:ascii="宋体" w:hAnsi="宋体" w:cs="宋体"/>
                <w:bCs/>
                <w:color w:val="auto"/>
                <w:szCs w:val="21"/>
                <w:highlight w:val="none"/>
              </w:rPr>
            </w:pPr>
            <w:r>
              <w:rPr>
                <w:rFonts w:hint="eastAsia" w:ascii="宋体" w:hAnsi="宋体" w:cs="宋体"/>
                <w:b/>
                <w:bCs/>
                <w:color w:val="auto"/>
                <w:szCs w:val="21"/>
                <w:highlight w:val="none"/>
              </w:rPr>
              <w:t xml:space="preserve">技术部分</w:t>
            </w:r>
            <w:r/>
          </w:p>
        </w:tc>
      </w:tr>
      <w:tr>
        <w:trPr>
          <w:trHeight w:val="816"/>
        </w:trPr>
        <w:tc>
          <w:tcPr>
            <w:tcW w:w="674" w:type="dxa"/>
            <w:vAlign w:val="center"/>
            <w:textDirection w:val="lrTb"/>
            <w:noWrap w:val="false"/>
          </w:tcPr>
          <w:p>
            <w:pPr>
              <w:jc w:val="center"/>
              <w:spacing w:line="400" w:lineRule="exact"/>
              <w:rPr>
                <w:rFonts w:ascii="宋体" w:hAnsi="宋体" w:cs="宋体"/>
                <w:bCs/>
                <w:color w:val="auto"/>
                <w:szCs w:val="21"/>
                <w:highlight w:val="none"/>
              </w:rPr>
            </w:pPr>
            <w:r>
              <w:rPr>
                <w:rFonts w:hint="eastAsia" w:ascii="宋体" w:hAnsi="宋体" w:cs="宋体"/>
                <w:b/>
                <w:bCs/>
                <w:color w:val="auto"/>
                <w:szCs w:val="21"/>
                <w:highlight w:val="none"/>
              </w:rPr>
              <w:t xml:space="preserve">5.1</w:t>
            </w:r>
            <w:r/>
          </w:p>
        </w:tc>
        <w:tc>
          <w:tcPr>
            <w:tcW w:w="73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实施方案</w:t>
            </w:r>
            <w:r/>
          </w:p>
        </w:tc>
        <w:tc>
          <w:tcPr>
            <w:tcW w:w="7337" w:type="dxa"/>
            <w:vAlign w:val="center"/>
            <w:textDirection w:val="lrTb"/>
            <w:noWrap w:val="false"/>
          </w:tcPr>
          <w:p>
            <w:pP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提供完善的项目实施计划和实施方案（包含安装、调试、验收等），根据投标单位项目组织实施管理方案的合理性、人员安排、现场应急处理方案等方面进行打分。</w:t>
            </w:r>
            <w:r/>
          </w:p>
          <w:p>
            <w:pP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方案全面，可操作性强的得7分；</w:t>
            </w:r>
            <w:r/>
          </w:p>
          <w:p>
            <w:pP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方案可行，具有可操作性的得4分；</w:t>
            </w:r>
            <w:r/>
          </w:p>
          <w:p>
            <w:pP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方案无实质性内容、服务响应及时性较差没有可操作性得1分；</w:t>
            </w:r>
            <w:r/>
          </w:p>
          <w:p>
            <w:pP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未提供的得0分。</w:t>
            </w:r>
            <w:r/>
          </w:p>
        </w:tc>
        <w:tc>
          <w:tcPr>
            <w:tcW w:w="618" w:type="dxa"/>
            <w:vAlign w:val="center"/>
            <w:textDirection w:val="lrTb"/>
            <w:noWrap w:val="false"/>
          </w:tcPr>
          <w:p>
            <w:pPr>
              <w:jc w:val="cente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7</w:t>
            </w:r>
            <w:r/>
          </w:p>
        </w:tc>
      </w:tr>
      <w:tr>
        <w:trPr>
          <w:trHeight w:val="574"/>
        </w:trPr>
        <w:tc>
          <w:tcPr>
            <w:tcW w:w="674" w:type="dxa"/>
            <w:vAlign w:val="center"/>
            <w:textDirection w:val="lrTb"/>
            <w:noWrap w:val="false"/>
          </w:tcPr>
          <w:p>
            <w:pPr>
              <w:jc w:val="center"/>
              <w:spacing w:line="400" w:lineRule="exact"/>
              <w:rPr>
                <w:rFonts w:ascii="宋体" w:hAnsi="宋体" w:cs="宋体"/>
                <w:bCs/>
                <w:color w:val="auto"/>
                <w:szCs w:val="21"/>
                <w:highlight w:val="none"/>
              </w:rPr>
            </w:pPr>
            <w:r>
              <w:rPr>
                <w:rFonts w:hint="eastAsia" w:ascii="宋体" w:hAnsi="宋体" w:cs="宋体"/>
                <w:b/>
                <w:bCs/>
                <w:color w:val="auto"/>
                <w:szCs w:val="21"/>
                <w:highlight w:val="none"/>
              </w:rPr>
              <w:t xml:space="preserve">5.2</w:t>
            </w:r>
            <w:r/>
          </w:p>
        </w:tc>
        <w:tc>
          <w:tcPr>
            <w:tcW w:w="733" w:type="dxa"/>
            <w:vAlign w:val="center"/>
            <w:textDirection w:val="lrTb"/>
            <w:noWrap w:val="false"/>
          </w:tcPr>
          <w:p>
            <w:pPr>
              <w:spacing w:line="300" w:lineRule="auto"/>
              <w:rPr>
                <w:rFonts w:ascii="宋体" w:hAnsi="宋体" w:cs="宋体"/>
                <w:bCs/>
                <w:color w:val="auto"/>
                <w:szCs w:val="21"/>
                <w:highlight w:val="none"/>
              </w:rPr>
            </w:pPr>
            <w:r>
              <w:rPr>
                <w:rFonts w:hint="eastAsia" w:ascii="宋体" w:hAnsi="宋体" w:cs="宋体"/>
                <w:color w:val="auto"/>
                <w:szCs w:val="21"/>
                <w:highlight w:val="none"/>
              </w:rPr>
              <w:t xml:space="preserve">供货计划及方案</w:t>
            </w:r>
            <w:r/>
          </w:p>
        </w:tc>
        <w:tc>
          <w:tcPr>
            <w:tcW w:w="7337" w:type="dxa"/>
            <w:vAlign w:val="center"/>
            <w:textDirection w:val="lrTb"/>
            <w:noWrap w:val="false"/>
          </w:tcPr>
          <w:p>
            <w:pP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提供完善的项目供货计划和供货方案，根据投标单位项目组织实施管理方案的合理性、人员安排、供货期等方面进行打分。</w:t>
            </w:r>
            <w:r/>
          </w:p>
          <w:p>
            <w:pP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方案全面、服务响应快，可操作性强的得7分；</w:t>
            </w:r>
            <w:r/>
          </w:p>
          <w:p>
            <w:pP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方案一般、服务响应一般，可操作性一般的得4分；</w:t>
            </w:r>
            <w:r/>
          </w:p>
          <w:p>
            <w:pP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方案无实质性内容、服务响应及时性较差得1分；</w:t>
            </w:r>
            <w:r/>
          </w:p>
          <w:p>
            <w:pP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没有可操作性或未提供的得0分。</w:t>
            </w:r>
            <w:r/>
          </w:p>
        </w:tc>
        <w:tc>
          <w:tcPr>
            <w:tcW w:w="618" w:type="dxa"/>
            <w:vAlign w:val="center"/>
            <w:textDirection w:val="lrTb"/>
            <w:noWrap w:val="false"/>
          </w:tcPr>
          <w:p>
            <w:pPr>
              <w:jc w:val="center"/>
              <w:spacing w:line="300" w:lineRule="auto"/>
              <w:rPr>
                <w:rFonts w:ascii="宋体" w:hAnsi="宋体" w:cs="宋体"/>
                <w:bCs/>
                <w:color w:val="auto"/>
                <w:szCs w:val="21"/>
                <w:highlight w:val="none"/>
              </w:rPr>
            </w:pPr>
            <w:r>
              <w:rPr>
                <w:rFonts w:hint="eastAsia" w:ascii="宋体" w:hAnsi="宋体" w:cs="宋体"/>
                <w:color w:val="auto"/>
                <w:szCs w:val="21"/>
                <w:highlight w:val="none"/>
              </w:rPr>
              <w:t xml:space="preserve">7</w:t>
            </w:r>
            <w:r/>
          </w:p>
        </w:tc>
      </w:tr>
      <w:tr>
        <w:trPr>
          <w:trHeight w:val="1117"/>
        </w:trPr>
        <w:tc>
          <w:tcPr>
            <w:tcW w:w="674" w:type="dxa"/>
            <w:vAlign w:val="center"/>
            <w:textDirection w:val="lrTb"/>
            <w:noWrap w:val="false"/>
          </w:tcPr>
          <w:p>
            <w:pPr>
              <w:jc w:val="center"/>
              <w:spacing w:line="400" w:lineRule="exact"/>
              <w:rPr>
                <w:rFonts w:ascii="宋体" w:hAnsi="宋体" w:cs="宋体"/>
                <w:bCs/>
                <w:color w:val="auto"/>
                <w:szCs w:val="21"/>
                <w:highlight w:val="none"/>
              </w:rPr>
            </w:pPr>
            <w:r>
              <w:rPr>
                <w:rFonts w:hint="eastAsia" w:ascii="宋体" w:hAnsi="宋体" w:cs="宋体"/>
                <w:b/>
                <w:bCs/>
                <w:color w:val="auto"/>
                <w:szCs w:val="21"/>
                <w:highlight w:val="none"/>
              </w:rPr>
              <w:t xml:space="preserve">5.3</w:t>
            </w:r>
            <w:r/>
          </w:p>
        </w:tc>
        <w:tc>
          <w:tcPr>
            <w:tcW w:w="733" w:type="dxa"/>
            <w:vAlign w:val="center"/>
            <w:textDirection w:val="lrTb"/>
            <w:noWrap w:val="false"/>
          </w:tcPr>
          <w:p>
            <w:pP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技术性能</w:t>
            </w:r>
            <w:r/>
          </w:p>
        </w:tc>
        <w:tc>
          <w:tcPr>
            <w:tcW w:w="7337" w:type="dxa"/>
            <w:vAlign w:val="center"/>
            <w:textDirection w:val="lrTb"/>
            <w:noWrap w:val="false"/>
          </w:tcPr>
          <w:p>
            <w:pP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对产品选型、规格、设计的科学性、合理性、材质选用、制造工艺水平等进行打分。</w:t>
            </w:r>
            <w:r/>
          </w:p>
          <w:p>
            <w:pP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选型、规格高、设计方案清楚合理可操作性强、材质选用、制造工艺水平高，得 8分；</w:t>
            </w:r>
            <w:r/>
          </w:p>
          <w:p>
            <w:pP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选型、规格一般、设计方案基本清楚合理可操作性一般、材质选用、制造工艺水平一般，得5分；</w:t>
            </w:r>
            <w:r/>
          </w:p>
          <w:p>
            <w:pP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选型、规格差、设计方案不清楚不合理可操作性差、材质选用、制造工艺水平差得2分；</w:t>
            </w:r>
            <w:r/>
          </w:p>
          <w:p>
            <w:pP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未提供得0分。</w:t>
            </w:r>
            <w:r/>
          </w:p>
        </w:tc>
        <w:tc>
          <w:tcPr>
            <w:tcW w:w="618" w:type="dxa"/>
            <w:vAlign w:val="center"/>
            <w:textDirection w:val="lrTb"/>
            <w:noWrap w:val="false"/>
          </w:tcPr>
          <w:p>
            <w:pPr>
              <w:jc w:val="center"/>
              <w:spacing w:line="300" w:lineRule="auto"/>
              <w:rPr>
                <w:rFonts w:ascii="宋体" w:hAnsi="宋体" w:cs="宋体"/>
                <w:color w:val="auto"/>
                <w:szCs w:val="21"/>
                <w:highlight w:val="none"/>
              </w:rPr>
            </w:pPr>
            <w:r>
              <w:rPr>
                <w:rFonts w:hint="eastAsia" w:ascii="宋体" w:hAnsi="宋体" w:cs="宋体"/>
                <w:bCs/>
                <w:color w:val="auto"/>
                <w:szCs w:val="21"/>
                <w:highlight w:val="none"/>
              </w:rPr>
              <w:t xml:space="preserve">8</w:t>
            </w:r>
            <w:r/>
          </w:p>
        </w:tc>
      </w:tr>
      <w:tr>
        <w:trPr>
          <w:trHeight w:val="305"/>
        </w:trPr>
        <w:tc>
          <w:tcPr>
            <w:tcW w:w="674" w:type="dxa"/>
            <w:vAlign w:val="center"/>
            <w:textDirection w:val="lrTb"/>
            <w:noWrap w:val="false"/>
          </w:tcPr>
          <w:p>
            <w:pPr>
              <w:jc w:val="center"/>
              <w:spacing w:line="400" w:lineRule="exact"/>
              <w:rPr>
                <w:rFonts w:ascii="宋体" w:hAnsi="宋体" w:cs="宋体"/>
                <w:bCs/>
                <w:color w:val="auto"/>
                <w:szCs w:val="21"/>
                <w:highlight w:val="none"/>
              </w:rPr>
            </w:pPr>
            <w:r>
              <w:rPr>
                <w:rFonts w:hint="eastAsia" w:ascii="宋体" w:hAnsi="宋体" w:cs="宋体"/>
                <w:b/>
                <w:bCs/>
                <w:color w:val="auto"/>
                <w:szCs w:val="21"/>
                <w:highlight w:val="none"/>
              </w:rPr>
              <w:t xml:space="preserve">5.4</w:t>
            </w:r>
            <w:r/>
          </w:p>
        </w:tc>
        <w:tc>
          <w:tcPr>
            <w:tcW w:w="733"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售后服务方案</w:t>
            </w:r>
            <w:r/>
          </w:p>
          <w:p>
            <w:pPr>
              <w:jc w:val="center"/>
              <w:spacing w:line="400" w:lineRule="exact"/>
              <w:rPr>
                <w:rFonts w:ascii="宋体" w:hAnsi="宋体" w:cs="宋体"/>
                <w:bCs/>
                <w:color w:val="auto"/>
                <w:szCs w:val="21"/>
                <w:highlight w:val="none"/>
              </w:rPr>
            </w:pPr>
            <w:r>
              <w:rPr>
                <w:rFonts w:ascii="宋体" w:hAnsi="宋体" w:cs="宋体"/>
                <w:bCs/>
                <w:color w:val="auto"/>
                <w:szCs w:val="21"/>
                <w:highlight w:val="none"/>
              </w:rPr>
            </w:r>
            <w:r/>
          </w:p>
        </w:tc>
        <w:tc>
          <w:tcPr>
            <w:tcW w:w="7337" w:type="dxa"/>
            <w:vAlign w:val="center"/>
            <w:textDirection w:val="lrTb"/>
            <w:noWrap w:val="false"/>
          </w:tcPr>
          <w:p>
            <w:pPr>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根据投标人针对本项目提供的售后服务方案（包括但不限于售后服务人员的配备、服务响应时间、质保期后服务等技术指导及该仪器的备品、配件、耗材、维修的明细、价格或折扣的承诺）进行综合评审：</w:t>
            </w:r>
            <w:r/>
          </w:p>
          <w:p>
            <w:pPr>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服务方案全面，细致，有针对性，且售后服务、质保期后服务等技术指导方案周全，备品、配件、耗材、维修的明细、价格或折扣合理，得8分；</w:t>
            </w:r>
            <w:r/>
          </w:p>
          <w:p>
            <w:pPr>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服务方案不够全面，无针对性，且售后服务、质保期后服务等技术指导方案内容不够周全，备品、配件、耗材、维修的明细、价格或折扣较为合理的，得5分；</w:t>
            </w:r>
            <w:r/>
          </w:p>
          <w:p>
            <w:pPr>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方案无实质性内容、没有可操作性，备品、配件、耗材、维修的明细、价格或折扣不太合理得2分；</w:t>
            </w:r>
            <w:r/>
          </w:p>
          <w:p>
            <w:pPr>
              <w:spacing w:line="300" w:lineRule="exact"/>
              <w:rPr>
                <w:rFonts w:ascii="宋体" w:hAnsi="宋体" w:cs="宋体"/>
                <w:bCs/>
                <w:color w:val="auto"/>
                <w:szCs w:val="21"/>
                <w:highlight w:val="none"/>
              </w:rPr>
            </w:pPr>
            <w:r>
              <w:rPr>
                <w:rFonts w:hint="eastAsia" w:ascii="宋体" w:hAnsi="宋体" w:cs="宋体"/>
                <w:color w:val="auto"/>
                <w:szCs w:val="21"/>
                <w:highlight w:val="none"/>
              </w:rPr>
              <w:t xml:space="preserve">未提供的得0分。</w:t>
            </w:r>
            <w:r/>
          </w:p>
        </w:tc>
        <w:tc>
          <w:tcPr>
            <w:tcW w:w="618" w:type="dxa"/>
            <w:vAlign w:val="center"/>
            <w:textDirection w:val="lrTb"/>
            <w:noWrap w:val="false"/>
          </w:tcPr>
          <w:p>
            <w:pPr>
              <w:jc w:val="center"/>
              <w:spacing w:line="300" w:lineRule="exact"/>
              <w:rPr>
                <w:rFonts w:ascii="宋体" w:hAnsi="宋体" w:cs="宋体"/>
                <w:bCs/>
                <w:color w:val="auto"/>
                <w:szCs w:val="21"/>
                <w:highlight w:val="none"/>
              </w:rPr>
            </w:pPr>
            <w:r>
              <w:rPr>
                <w:rFonts w:hint="eastAsia" w:ascii="宋体" w:hAnsi="宋体" w:cs="宋体"/>
                <w:color w:val="auto"/>
                <w:szCs w:val="21"/>
                <w:highlight w:val="none"/>
              </w:rPr>
              <w:t xml:space="preserve">8</w:t>
            </w:r>
            <w:r/>
          </w:p>
        </w:tc>
      </w:tr>
      <w:tr>
        <w:trPr>
          <w:trHeight w:val="521"/>
        </w:trPr>
        <w:tc>
          <w:tcPr>
            <w:gridSpan w:val="4"/>
            <w:tcBorders>
              <w:top w:val="single" w:color="auto" w:sz="4" w:space="0"/>
              <w:left w:val="single" w:color="auto" w:sz="4" w:space="0"/>
              <w:bottom w:val="single" w:color="auto" w:sz="4" w:space="0"/>
              <w:right w:val="single" w:color="auto" w:sz="4" w:space="0"/>
            </w:tcBorders>
            <w:tcW w:w="9362" w:type="dxa"/>
            <w:vAlign w:val="center"/>
            <w:textDirection w:val="lrTb"/>
            <w:noWrap w:val="false"/>
          </w:tcPr>
          <w:p>
            <w:pPr>
              <w:jc w:val="center"/>
              <w:spacing w:before="62" w:after="4"/>
              <w:rPr>
                <w:rFonts w:ascii="宋体" w:hAnsi="宋体" w:cs="宋体"/>
                <w:bCs/>
                <w:color w:val="auto"/>
                <w:szCs w:val="21"/>
                <w:highlight w:val="none"/>
              </w:rPr>
            </w:pPr>
            <w:r>
              <w:rPr>
                <w:rFonts w:hint="eastAsia" w:ascii="宋体" w:hAnsi="宋体" w:cs="宋体"/>
                <w:bCs/>
                <w:color w:val="auto"/>
                <w:szCs w:val="21"/>
                <w:highlight w:val="none"/>
              </w:rPr>
              <w:t xml:space="preserve">合计：100分</w:t>
            </w:r>
            <w:r/>
          </w:p>
        </w:tc>
      </w:tr>
    </w:tbl>
    <w:p>
      <w:pPr>
        <w:pStyle w:val="1056"/>
        <w:rPr>
          <w:color w:val="auto"/>
          <w:highlight w:val="none"/>
          <w:lang w:val="zh-CN"/>
        </w:rPr>
      </w:pPr>
      <w:r>
        <w:rPr>
          <w:color w:val="auto"/>
          <w:highlight w:val="none"/>
          <w:lang w:val="zh-CN"/>
        </w:rPr>
      </w:r>
      <w:r/>
    </w:p>
    <w:p>
      <w:pPr>
        <w:ind w:firstLine="420"/>
        <w:jc w:val="left"/>
        <w:spacing w:line="360" w:lineRule="auto"/>
        <w:shd w:val="clear" w:color="auto" w:fill="ffffff"/>
        <w:widowControl/>
        <w:rPr>
          <w:rFonts w:ascii="宋体" w:hAnsi="宋体" w:cs="宋体"/>
          <w:bCs/>
          <w:color w:val="auto"/>
          <w:highlight w:val="none"/>
        </w:rPr>
      </w:pPr>
      <w:r>
        <w:rPr>
          <w:rFonts w:hint="eastAsia" w:ascii="宋体" w:hAnsi="宋体" w:cs="宋体"/>
          <w:bCs/>
          <w:color w:val="auto"/>
          <w:highlight w:val="none"/>
        </w:rPr>
        <w:t xml:space="preserve">一、小微企业的价格扣除</w:t>
      </w:r>
      <w:r/>
    </w:p>
    <w:p>
      <w:pPr>
        <w:ind w:firstLine="420"/>
        <w:jc w:val="left"/>
        <w:spacing w:line="360" w:lineRule="auto"/>
        <w:shd w:val="clear" w:color="auto" w:fill="ffffff"/>
        <w:widowControl/>
        <w:rPr>
          <w:rFonts w:ascii="宋体" w:hAnsi="宋体" w:cs="宋体"/>
          <w:bCs/>
          <w:color w:val="auto"/>
          <w:highlight w:val="none"/>
        </w:rPr>
      </w:pPr>
      <w:r>
        <w:rPr>
          <w:rFonts w:hint="eastAsia" w:ascii="宋体" w:hAnsi="宋体" w:cs="宋体"/>
          <w:bCs/>
          <w:color w:val="auto"/>
          <w:highlight w:val="none"/>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firstLine="420"/>
        <w:jc w:val="left"/>
        <w:spacing w:line="360" w:lineRule="auto"/>
        <w:shd w:val="clear" w:color="auto" w:fill="ffffff"/>
        <w:widowControl/>
        <w:rPr>
          <w:rFonts w:ascii="宋体" w:hAnsi="宋体" w:cs="宋体"/>
          <w:bCs/>
          <w:color w:val="auto"/>
          <w:highlight w:val="none"/>
        </w:rPr>
      </w:pPr>
      <w:r>
        <w:rPr>
          <w:rFonts w:hint="eastAsia" w:ascii="宋体" w:hAnsi="宋体" w:cs="宋体"/>
          <w:bCs/>
          <w:color w:val="auto"/>
          <w:highlight w:val="none"/>
        </w:rPr>
        <w:t xml:space="preserve">2.价格扣除比例或者价格分加分比例对小型企业和微型企业同等对待，不作区分。</w:t>
      </w:r>
      <w:r/>
    </w:p>
    <w:p>
      <w:pPr>
        <w:ind w:firstLine="420"/>
        <w:jc w:val="left"/>
        <w:spacing w:line="360" w:lineRule="auto"/>
        <w:shd w:val="clear" w:color="auto" w:fill="ffffff"/>
        <w:widowControl/>
        <w:rPr>
          <w:rFonts w:ascii="宋体" w:hAnsi="宋体" w:cs="宋体"/>
          <w:bCs/>
          <w:color w:val="auto"/>
          <w:highlight w:val="none"/>
        </w:rPr>
      </w:pPr>
      <w:r>
        <w:rPr>
          <w:rFonts w:hint="eastAsia" w:ascii="宋体" w:hAnsi="宋体" w:cs="宋体"/>
          <w:bCs/>
          <w:color w:val="auto"/>
          <w:highlight w:val="none"/>
        </w:rPr>
        <w:t xml:space="preserve">二、监狱和戒毒企业的价格扣除</w:t>
      </w:r>
      <w:r/>
    </w:p>
    <w:p>
      <w:pPr>
        <w:ind w:firstLine="420"/>
        <w:jc w:val="left"/>
        <w:spacing w:line="360" w:lineRule="auto"/>
        <w:shd w:val="clear" w:color="auto" w:fill="ffffff"/>
        <w:widowControl/>
        <w:rPr>
          <w:rFonts w:ascii="宋体" w:hAnsi="宋体" w:cs="宋体"/>
          <w:bCs/>
          <w:color w:val="auto"/>
          <w:highlight w:val="none"/>
        </w:rPr>
      </w:pPr>
      <w:r>
        <w:rPr>
          <w:rFonts w:hint="eastAsia" w:ascii="宋体" w:hAnsi="宋体" w:cs="宋体"/>
          <w:bCs/>
          <w:color w:val="auto"/>
          <w:highlight w:val="none"/>
        </w:rPr>
        <w:t xml:space="preserve">1.本项目对监狱和戒毒企业（简称监狱企业）视同小型、微型企业，享受相同的价格扣除优惠政策。</w:t>
      </w:r>
      <w:r/>
    </w:p>
    <w:p>
      <w:pPr>
        <w:ind w:firstLine="420"/>
        <w:jc w:val="left"/>
        <w:spacing w:line="360" w:lineRule="auto"/>
        <w:shd w:val="clear" w:color="auto" w:fill="ffffff"/>
        <w:widowControl/>
        <w:rPr>
          <w:rFonts w:ascii="宋体" w:hAnsi="宋体" w:cs="宋体"/>
          <w:bCs/>
          <w:color w:val="auto"/>
          <w:highlight w:val="none"/>
        </w:rPr>
      </w:pPr>
      <w:r>
        <w:rPr>
          <w:rFonts w:hint="eastAsia" w:ascii="宋体" w:hAnsi="宋体" w:cs="宋体"/>
          <w:bCs/>
          <w:color w:val="auto"/>
          <w:highlight w:val="none"/>
        </w:rPr>
        <w:t xml:space="preserve">2.监狱企业需提供由省级以上监狱管理局、戒毒管理局（含新疆生产建设兵团）出具的属于监狱企业的证明文件。</w:t>
      </w:r>
      <w:r/>
    </w:p>
    <w:p>
      <w:pPr>
        <w:ind w:firstLine="420"/>
        <w:jc w:val="left"/>
        <w:spacing w:line="360" w:lineRule="auto"/>
        <w:shd w:val="clear" w:color="auto" w:fill="ffffff"/>
        <w:widowControl/>
        <w:rPr>
          <w:rFonts w:ascii="宋体" w:hAnsi="宋体" w:cs="宋体"/>
          <w:bCs/>
          <w:color w:val="auto"/>
          <w:highlight w:val="none"/>
        </w:rPr>
      </w:pPr>
      <w:r>
        <w:rPr>
          <w:rFonts w:hint="eastAsia" w:ascii="宋体" w:hAnsi="宋体" w:cs="宋体"/>
          <w:bCs/>
          <w:color w:val="auto"/>
          <w:highlight w:val="none"/>
        </w:rPr>
        <w:t xml:space="preserve">3.监狱企业标准请参照《关于政府采购支持监狱企业发展有关问题的通知》（财库〔2014〕68号）。</w:t>
      </w:r>
      <w:r/>
    </w:p>
    <w:p>
      <w:pPr>
        <w:ind w:firstLine="420"/>
        <w:jc w:val="left"/>
        <w:spacing w:line="360" w:lineRule="auto"/>
        <w:shd w:val="clear" w:color="auto" w:fill="ffffff"/>
        <w:widowControl/>
        <w:rPr>
          <w:rFonts w:ascii="宋体" w:hAnsi="宋体" w:cs="宋体"/>
          <w:bCs/>
          <w:color w:val="auto"/>
          <w:highlight w:val="none"/>
        </w:rPr>
      </w:pPr>
      <w:r>
        <w:rPr>
          <w:rFonts w:hint="eastAsia" w:ascii="宋体" w:hAnsi="宋体" w:cs="宋体"/>
          <w:bCs/>
          <w:color w:val="auto"/>
          <w:highlight w:val="none"/>
        </w:rPr>
        <w:t xml:space="preserve">三、残疾人福利性单位的价格扣除</w:t>
      </w:r>
      <w:r/>
    </w:p>
    <w:p>
      <w:pPr>
        <w:ind w:firstLine="420"/>
        <w:jc w:val="left"/>
        <w:spacing w:line="360" w:lineRule="auto"/>
        <w:shd w:val="clear" w:color="auto" w:fill="ffffff"/>
        <w:widowControl/>
        <w:rPr>
          <w:rFonts w:ascii="宋体" w:hAnsi="宋体" w:cs="宋体"/>
          <w:bCs/>
          <w:color w:val="auto"/>
          <w:highlight w:val="none"/>
        </w:rPr>
      </w:pPr>
      <w:r>
        <w:rPr>
          <w:rFonts w:hint="eastAsia" w:ascii="宋体" w:hAnsi="宋体" w:cs="宋体"/>
          <w:bCs/>
          <w:color w:val="auto"/>
          <w:highlight w:val="none"/>
        </w:rPr>
        <w:t xml:space="preserve">1.本项目对残疾人福利性单位视同小型、微型企业，享受相同的价格扣除优惠政策。</w:t>
      </w:r>
      <w:r/>
    </w:p>
    <w:p>
      <w:pPr>
        <w:ind w:firstLine="420"/>
        <w:jc w:val="left"/>
        <w:spacing w:line="360" w:lineRule="auto"/>
        <w:shd w:val="clear" w:color="auto" w:fill="ffffff"/>
        <w:widowControl/>
        <w:rPr>
          <w:rFonts w:ascii="宋体" w:hAnsi="宋体" w:cs="宋体"/>
          <w:bCs/>
          <w:color w:val="auto"/>
          <w:highlight w:val="none"/>
        </w:rPr>
      </w:pPr>
      <w:r>
        <w:rPr>
          <w:rFonts w:hint="eastAsia" w:ascii="宋体" w:hAnsi="宋体" w:cs="宋体"/>
          <w:bCs/>
          <w:color w:val="auto"/>
          <w:highlight w:val="none"/>
        </w:rPr>
        <w:t xml:space="preserve">2.残疾人福利性单位需按照招标文件的要求提供《残疾人福利性单位声明函》。</w:t>
      </w:r>
      <w:r/>
    </w:p>
    <w:p>
      <w:pPr>
        <w:ind w:firstLine="420"/>
        <w:jc w:val="left"/>
        <w:spacing w:line="360" w:lineRule="auto"/>
        <w:shd w:val="clear" w:color="auto" w:fill="ffffff"/>
        <w:widowControl/>
        <w:rPr>
          <w:rFonts w:ascii="宋体" w:hAnsi="宋体" w:cs="宋体"/>
          <w:bCs/>
          <w:color w:val="auto"/>
          <w:highlight w:val="none"/>
        </w:rPr>
      </w:pPr>
      <w:r>
        <w:rPr>
          <w:rFonts w:hint="eastAsia" w:ascii="宋体" w:hAnsi="宋体" w:cs="宋体"/>
          <w:bCs/>
          <w:color w:val="auto"/>
          <w:highlight w:val="none"/>
        </w:rPr>
        <w:t xml:space="preserve">3.残疾人福利性单位标准请参照《关于促进残疾人就业政府采购政策的通知》（财库〔2017〕141号）。</w:t>
      </w:r>
      <w:r/>
    </w:p>
    <w:p>
      <w:pPr>
        <w:ind w:firstLine="420"/>
        <w:jc w:val="left"/>
        <w:spacing w:line="360" w:lineRule="auto"/>
        <w:shd w:val="clear" w:color="auto" w:fill="ffffff"/>
        <w:widowControl/>
        <w:rPr>
          <w:rFonts w:ascii="宋体" w:hAnsi="宋体" w:cs="宋体"/>
          <w:bCs/>
          <w:color w:val="auto"/>
          <w:highlight w:val="none"/>
        </w:rPr>
      </w:pPr>
      <w:r>
        <w:rPr>
          <w:rFonts w:hint="eastAsia" w:ascii="宋体" w:hAnsi="宋体" w:cs="宋体"/>
          <w:bCs/>
          <w:color w:val="auto"/>
          <w:highlight w:val="none"/>
        </w:rPr>
        <w:t xml:space="preserve">四、监狱企业、残疾人福利性单位属于小型、微型企业的，不重复享受政策。</w:t>
      </w:r>
      <w:r/>
    </w:p>
    <w:p>
      <w:pPr>
        <w:ind w:firstLine="420"/>
        <w:jc w:val="left"/>
        <w:spacing w:line="360" w:lineRule="auto"/>
        <w:rPr>
          <w:rFonts w:ascii="宋体" w:hAnsi="宋体" w:cs="宋体"/>
          <w:bCs/>
          <w:color w:val="auto"/>
          <w:highlight w:val="none"/>
        </w:rPr>
      </w:pPr>
      <w:r>
        <w:rPr>
          <w:rFonts w:hint="eastAsia" w:ascii="宋体" w:hAnsi="宋体" w:cs="宋体"/>
          <w:bCs/>
          <w:color w:val="auto"/>
          <w:highlight w:val="none"/>
        </w:rPr>
        <w:t xml:space="preserve">五、采购本国产品的支持政策</w:t>
      </w:r>
      <w:r/>
    </w:p>
    <w:p>
      <w:pPr>
        <w:ind w:firstLine="420"/>
        <w:jc w:val="left"/>
        <w:spacing w:line="360" w:lineRule="auto"/>
        <w:rPr>
          <w:rFonts w:ascii="宋体" w:hAnsi="宋体" w:cs="宋体"/>
          <w:bCs/>
          <w:color w:val="auto"/>
          <w:highlight w:val="none"/>
        </w:rPr>
      </w:pPr>
      <w:r>
        <w:rPr>
          <w:rFonts w:hint="eastAsia" w:ascii="宋体" w:hAnsi="宋体" w:cs="宋体"/>
          <w:bCs/>
          <w:color w:val="auto"/>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20"/>
        <w:jc w:val="left"/>
        <w:spacing w:line="360" w:lineRule="auto"/>
        <w:rPr>
          <w:rFonts w:ascii="宋体" w:hAnsi="宋体" w:cs="宋体"/>
          <w:bCs/>
          <w:color w:val="auto"/>
          <w:highlight w:val="none"/>
        </w:rPr>
      </w:pPr>
      <w:r>
        <w:rPr>
          <w:rFonts w:hint="eastAsia" w:ascii="宋体" w:hAnsi="宋体" w:cs="宋体"/>
          <w:bCs/>
          <w:color w:val="auto"/>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及附件”中的“目录五、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spacing w:line="360" w:lineRule="auto"/>
        <w:rPr>
          <w:rFonts w:ascii="宋体" w:hAnsi="宋体" w:cs="宋体"/>
          <w:bCs/>
          <w:color w:val="auto"/>
          <w:highlight w:val="none"/>
        </w:rPr>
      </w:pPr>
      <w:r>
        <w:rPr>
          <w:rFonts w:hint="eastAsia" w:ascii="宋体" w:hAnsi="宋体" w:cs="宋体"/>
          <w:bCs/>
          <w:color w:val="auto"/>
          <w:highlight w:val="none"/>
        </w:rPr>
        <w:t xml:space="preserve">3、供应商需按照招标文件的要求提供《关于符合本国产品标准的声明函》（以下简称《声明函》），如不提供将不享受本国产品价格评审优惠。</w:t>
      </w:r>
      <w:r/>
    </w:p>
    <w:p>
      <w:pPr>
        <w:ind w:firstLine="420"/>
        <w:jc w:val="left"/>
        <w:spacing w:line="360" w:lineRule="auto"/>
        <w:rPr>
          <w:rFonts w:ascii="宋体" w:hAnsi="宋体" w:cs="宋体"/>
          <w:bCs/>
          <w:color w:val="auto"/>
          <w:highlight w:val="none"/>
        </w:rPr>
      </w:pPr>
      <w:r>
        <w:rPr>
          <w:rFonts w:hint="eastAsia" w:ascii="宋体" w:hAnsi="宋体" w:cs="宋体"/>
          <w:bCs/>
          <w:color w:val="auto"/>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spacing w:line="360" w:lineRule="auto"/>
        <w:rPr>
          <w:rFonts w:ascii="宋体" w:hAnsi="宋体" w:cs="宋体"/>
          <w:bCs/>
          <w:color w:val="auto"/>
          <w:highlight w:val="none"/>
        </w:rPr>
      </w:pPr>
      <w:r>
        <w:rPr>
          <w:rFonts w:hint="eastAsia" w:ascii="宋体" w:hAnsi="宋体" w:cs="宋体"/>
          <w:bCs/>
          <w:color w:val="auto"/>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jc w:val="left"/>
        <w:spacing w:line="360" w:lineRule="auto"/>
        <w:rPr>
          <w:rFonts w:ascii="宋体" w:hAnsi="宋体" w:cs="宋体"/>
          <w:bCs/>
          <w:color w:val="auto"/>
          <w:sz w:val="22"/>
          <w:szCs w:val="22"/>
          <w:highlight w:val="none"/>
        </w:rPr>
        <w:sectPr>
          <w:headerReference w:type="default" r:id="rId10"/>
          <w:footerReference w:type="default" r:id="rId12"/>
          <w:footnotePr/>
          <w:endnotePr/>
          <w:type w:val="nextPage"/>
          <w:pgSz w:w="11906" w:h="16838" w:orient="portrait"/>
          <w:pgMar w:top="850" w:right="850" w:bottom="850" w:left="1418" w:header="170" w:footer="397" w:gutter="0"/>
          <w:cols w:num="1" w:sep="0" w:space="720" w:equalWidth="1"/>
          <w:docGrid w:linePitch="360"/>
        </w:sectPr>
      </w:pPr>
      <w:r>
        <w:rPr>
          <w:rFonts w:hint="eastAsia" w:ascii="宋体" w:hAnsi="宋体" w:cs="宋体"/>
          <w:bCs/>
          <w:color w:val="auto"/>
          <w:highlight w:val="none"/>
        </w:rPr>
        <w:t xml:space="preserve">六、除评分标准中另有说明外，所有认证、证明和业绩均以有效的证明文件的复印件为依据。</w:t>
      </w:r>
      <w:r/>
    </w:p>
    <w:p>
      <w:pPr>
        <w:jc w:val="center"/>
        <w:spacing w:after="240"/>
        <w:rPr>
          <w:rFonts w:ascii="宋体" w:hAnsi="宋体"/>
          <w:b/>
          <w:bCs/>
          <w:color w:val="auto"/>
          <w:sz w:val="44"/>
          <w:szCs w:val="44"/>
          <w:highlight w:val="none"/>
          <w:lang w:val="zh-CN"/>
        </w:rPr>
        <w:outlineLvl w:val="0"/>
      </w:pPr>
      <w:r/>
      <w:bookmarkStart w:id="30" w:name="_Toc285612594"/>
      <w:r/>
      <w:bookmarkStart w:id="31" w:name="_Toc390713967"/>
      <w:r/>
      <w:bookmarkStart w:id="32" w:name="_Toc86950124"/>
      <w:r/>
      <w:bookmarkStart w:id="33" w:name="OLE_LINK12"/>
      <w:r/>
      <w:bookmarkStart w:id="34" w:name="OLE_LINK13"/>
      <w:r/>
      <w:bookmarkStart w:id="35" w:name="OLE_LINK4"/>
      <w:r/>
      <w:bookmarkStart w:id="36" w:name="OLE_LINK6"/>
      <w:r>
        <w:rPr>
          <w:rFonts w:ascii="宋体" w:hAnsi="宋体"/>
          <w:b/>
          <w:bCs/>
          <w:color w:val="auto"/>
          <w:sz w:val="44"/>
          <w:szCs w:val="44"/>
          <w:highlight w:val="none"/>
          <w:lang w:val="zh-CN"/>
        </w:rPr>
        <w:t xml:space="preserve">第</w:t>
      </w:r>
      <w:r>
        <w:rPr>
          <w:rFonts w:hint="eastAsia" w:ascii="宋体" w:hAnsi="宋体"/>
          <w:b/>
          <w:bCs/>
          <w:color w:val="auto"/>
          <w:sz w:val="44"/>
          <w:szCs w:val="44"/>
          <w:highlight w:val="none"/>
        </w:rPr>
        <w:t xml:space="preserve">四</w:t>
      </w:r>
      <w:r>
        <w:rPr>
          <w:rFonts w:hint="eastAsia" w:ascii="宋体" w:hAnsi="宋体"/>
          <w:b/>
          <w:bCs/>
          <w:color w:val="auto"/>
          <w:sz w:val="44"/>
          <w:szCs w:val="44"/>
          <w:highlight w:val="none"/>
          <w:lang w:val="zh-CN"/>
        </w:rPr>
        <w:t xml:space="preserve">章</w:t>
      </w:r>
      <w:r>
        <w:rPr>
          <w:rFonts w:ascii="宋体" w:hAnsi="宋体"/>
          <w:b/>
          <w:bCs/>
          <w:color w:val="auto"/>
          <w:sz w:val="44"/>
          <w:szCs w:val="44"/>
          <w:highlight w:val="none"/>
          <w:lang w:val="zh-CN"/>
        </w:rPr>
        <w:t xml:space="preserve">  </w:t>
      </w:r>
      <w:bookmarkEnd w:id="30"/>
      <w:r/>
      <w:bookmarkEnd w:id="31"/>
      <w:r/>
      <w:bookmarkEnd w:id="32"/>
      <w:r>
        <w:rPr>
          <w:rFonts w:hint="eastAsia" w:ascii="宋体" w:hAnsi="宋体"/>
          <w:b/>
          <w:bCs/>
          <w:color w:val="auto"/>
          <w:sz w:val="44"/>
          <w:szCs w:val="44"/>
          <w:highlight w:val="none"/>
          <w:lang w:val="zh-CN"/>
        </w:rPr>
        <w:t xml:space="preserve">招标项目要求</w:t>
      </w:r>
      <w:bookmarkEnd w:id="33"/>
      <w:r/>
      <w:bookmarkEnd w:id="34"/>
      <w:r/>
      <w:bookmarkEnd w:id="35"/>
      <w:r/>
      <w:bookmarkEnd w:id="36"/>
      <w:r/>
      <w:r/>
    </w:p>
    <w:p>
      <w:pPr>
        <w:spacing w:after="120" w:line="360" w:lineRule="auto"/>
        <w:rPr>
          <w:rFonts w:ascii="宋体" w:hAnsi="宋体"/>
          <w:b/>
          <w:bCs/>
          <w:color w:val="auto"/>
          <w:sz w:val="24"/>
          <w:highlight w:val="none"/>
        </w:rPr>
        <w:outlineLvl w:val="1"/>
      </w:pPr>
      <w:r>
        <w:rPr>
          <w:rFonts w:hint="eastAsia" w:ascii="宋体" w:hAnsi="宋体" w:cs="宋体"/>
          <w:b/>
          <w:bCs/>
          <w:color w:val="auto"/>
          <w:sz w:val="24"/>
          <w:highlight w:val="none"/>
        </w:rPr>
        <w:t xml:space="preserve">注：本章节需在《技术条款偏离表》或《商务条款偏离表》中进行响应，其中加“★”内容为实质性要求，供应商未对实质性要求响应或有负偏离的，按无效响应处理。</w:t>
      </w:r>
      <w:r/>
    </w:p>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（第一部分：技术部分要求）</w:t>
      </w:r>
      <w:r/>
    </w:p>
    <w:p>
      <w:pPr>
        <w:pStyle w:val="1104"/>
        <w:numPr>
          <w:ilvl w:val="0"/>
          <w:numId w:val="2"/>
        </w:numPr>
        <w:rPr>
          <w:rFonts w:ascii="宋体" w:hAnsi="宋体" w:cs="宋体"/>
          <w:b/>
          <w:color w:val="auto"/>
          <w:sz w:val="24"/>
          <w:highlight w:val="none"/>
        </w:rPr>
      </w:pPr>
      <w:r/>
      <w:bookmarkStart w:id="37" w:name="_Toc3932"/>
      <w:r/>
      <w:bookmarkStart w:id="38" w:name="_Toc27315"/>
      <w:r/>
      <w:bookmarkStart w:id="39" w:name="_Toc2652"/>
      <w:r/>
      <w:bookmarkStart w:id="40" w:name="_Toc9991"/>
      <w:r/>
      <w:bookmarkStart w:id="41" w:name="_Toc29315"/>
      <w:r>
        <w:rPr>
          <w:rFonts w:hint="eastAsia" w:ascii="宋体" w:hAnsi="宋体" w:cs="宋体"/>
          <w:b/>
          <w:color w:val="auto"/>
          <w:sz w:val="24"/>
          <w:highlight w:val="none"/>
        </w:rPr>
        <w:t xml:space="preserve">项目</w:t>
      </w:r>
      <w:bookmarkEnd w:id="37"/>
      <w:r>
        <w:rPr>
          <w:rFonts w:hint="eastAsia" w:ascii="宋体" w:hAnsi="宋体" w:cs="宋体"/>
          <w:b/>
          <w:color w:val="auto"/>
          <w:sz w:val="24"/>
          <w:highlight w:val="none"/>
        </w:rPr>
        <w:t xml:space="preserve">概述</w:t>
      </w:r>
      <w:bookmarkEnd w:id="38"/>
      <w:r/>
      <w:r/>
    </w:p>
    <w:p>
      <w:pPr>
        <w:pStyle w:val="1104"/>
        <w:ind w:left="240" w:firstLine="240"/>
        <w:rPr>
          <w:rFonts w:ascii="宋体" w:hAnsi="宋体" w:cs="宋体"/>
          <w:color w:val="auto"/>
          <w:sz w:val="24"/>
          <w:highlight w:val="none"/>
        </w:rPr>
      </w:pPr>
      <w:r/>
      <w:bookmarkStart w:id="42" w:name="_Toc32119"/>
      <w:r/>
      <w:bookmarkStart w:id="43" w:name="_Toc311"/>
      <w:r/>
      <w:bookmarkStart w:id="44" w:name="_Toc4968"/>
      <w:r/>
      <w:bookmarkStart w:id="45" w:name="_Toc18449"/>
      <w:r>
        <w:rPr>
          <w:rFonts w:hint="eastAsia" w:ascii="宋体" w:hAnsi="宋体" w:cs="宋体"/>
          <w:color w:val="auto"/>
          <w:sz w:val="24"/>
          <w:highlight w:val="none"/>
        </w:rPr>
        <w:t xml:space="preserve">南京医科大学为满足科研需要，需采购一套扫透一体电子显微显微系统，</w:t>
      </w:r>
      <w:r>
        <w:rPr>
          <w:rFonts w:ascii="宋体" w:hAnsi="宋体" w:cs="宋体"/>
          <w:color w:val="auto"/>
          <w:sz w:val="24"/>
          <w:highlight w:val="none"/>
        </w:rPr>
        <w:t xml:space="preserve">兼具扫描透射成像功能，</w:t>
      </w:r>
      <w:r>
        <w:rPr>
          <w:rFonts w:hint="eastAsia" w:ascii="宋体" w:hAnsi="宋体" w:cs="宋体"/>
          <w:color w:val="auto"/>
          <w:sz w:val="24"/>
          <w:highlight w:val="none"/>
        </w:rPr>
        <w:t xml:space="preserve">内置连续超薄切片机，支持</w:t>
      </w:r>
      <w:r>
        <w:rPr>
          <w:rFonts w:ascii="宋体" w:hAnsi="宋体" w:cs="宋体"/>
          <w:color w:val="auto"/>
          <w:sz w:val="24"/>
          <w:highlight w:val="none"/>
        </w:rPr>
        <w:t xml:space="preserve">连续切片自动化扫描</w:t>
      </w:r>
      <w:r>
        <w:rPr>
          <w:rFonts w:hint="eastAsia" w:ascii="宋体" w:hAnsi="宋体" w:cs="宋体"/>
          <w:color w:val="auto"/>
          <w:sz w:val="24"/>
          <w:highlight w:val="none"/>
        </w:rPr>
        <w:t xml:space="preserve">与数据</w:t>
      </w:r>
      <w:r>
        <w:rPr>
          <w:rFonts w:ascii="宋体" w:hAnsi="宋体" w:cs="宋体"/>
          <w:color w:val="auto"/>
          <w:sz w:val="24"/>
          <w:highlight w:val="none"/>
        </w:rPr>
        <w:t xml:space="preserve">采集。</w:t>
      </w:r>
      <w:bookmarkEnd w:id="42"/>
      <w:r/>
      <w:bookmarkEnd w:id="43"/>
      <w:r/>
      <w:r/>
    </w:p>
    <w:p>
      <w:pPr>
        <w:pStyle w:val="1439"/>
        <w:numPr>
          <w:ilvl w:val="0"/>
          <w:numId w:val="3"/>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技术参数要求</w:t>
      </w:r>
      <w:bookmarkEnd w:id="44"/>
      <w:r/>
      <w:bookmarkEnd w:id="45"/>
      <w:r/>
      <w:r/>
    </w:p>
    <w:p>
      <w:pPr>
        <w:pStyle w:val="889"/>
        <w:spacing w:before="0" w:beforeAutospacing="0" w:after="0" w:afterAutospacing="0" w:line="360" w:lineRule="auto"/>
        <w:widowControl w:val="off"/>
        <w:rPr>
          <w:color w:val="auto"/>
          <w:highlight w:val="none"/>
          <w:lang w:bidi="ar"/>
        </w:rPr>
      </w:pPr>
      <w:r>
        <w:rPr>
          <w:rFonts w:hint="eastAsia"/>
          <w:color w:val="auto"/>
          <w:highlight w:val="none"/>
          <w:lang w:bidi="ar"/>
        </w:rPr>
        <w:t xml:space="preserve">扫透一体电镜显微系统</w:t>
      </w:r>
      <w:r/>
    </w:p>
    <w:p>
      <w:pPr>
        <w:pStyle w:val="889"/>
        <w:ind w:firstLine="480"/>
        <w:spacing w:before="0" w:beforeAutospacing="0" w:after="0" w:afterAutospacing="0" w:line="360" w:lineRule="auto"/>
        <w:widowControl w:val="off"/>
        <w:rPr>
          <w:color w:val="auto"/>
          <w:highlight w:val="none"/>
        </w:rPr>
      </w:pPr>
      <w:r>
        <w:rPr>
          <w:rFonts w:hint="eastAsia"/>
          <w:color w:val="auto"/>
          <w:highlight w:val="none"/>
          <w:lang w:bidi="ar"/>
        </w:rPr>
        <w:t xml:space="preserve">1.电子光学系统</w:t>
      </w:r>
      <w:r/>
    </w:p>
    <w:p>
      <w:pPr>
        <w:pStyle w:val="889"/>
        <w:ind w:firstLine="480"/>
        <w:spacing w:before="0" w:beforeAutospacing="0" w:after="0" w:afterAutospacing="0" w:line="360" w:lineRule="auto"/>
        <w:widowControl w:val="off"/>
        <w:rPr>
          <w:color w:val="auto"/>
          <w:highlight w:val="none"/>
        </w:rPr>
      </w:pPr>
      <w:r>
        <w:rPr>
          <w:rFonts w:hint="eastAsia"/>
          <w:color w:val="auto"/>
          <w:highlight w:val="none"/>
          <w:lang w:bidi="ar"/>
        </w:rPr>
        <w:t xml:space="preserve">1.1 电子枪类型：肖特基热场发射电子枪；</w:t>
      </w:r>
      <w:r/>
    </w:p>
    <w:p>
      <w:pPr>
        <w:pStyle w:val="889"/>
        <w:ind w:firstLine="480"/>
        <w:spacing w:before="0" w:beforeAutospacing="0" w:after="0" w:afterAutospacing="0" w:line="360" w:lineRule="auto"/>
        <w:widowControl w:val="off"/>
        <w:rPr>
          <w:color w:val="auto"/>
          <w:highlight w:val="none"/>
          <w:lang w:bidi="ar"/>
        </w:rPr>
      </w:pPr>
      <w:r>
        <w:rPr>
          <w:rFonts w:hint="eastAsia"/>
          <w:color w:val="auto"/>
          <w:highlight w:val="none"/>
        </w:rPr>
        <w:t xml:space="preserve">★</w:t>
      </w:r>
      <w:r>
        <w:rPr>
          <w:rFonts w:hint="eastAsia"/>
          <w:color w:val="auto"/>
          <w:highlight w:val="none"/>
          <w:lang w:bidi="ar"/>
        </w:rPr>
        <w:t xml:space="preserve">1.2 高真空二次电子像：≤0.8 nm @15 kV，≤1.0 nm @1 kV（非样品台减速模式下）</w:t>
      </w:r>
      <w:r>
        <w:rPr>
          <w:b/>
          <w:bCs/>
          <w:color w:val="auto"/>
          <w:highlight w:val="none"/>
        </w:rPr>
        <w:t xml:space="preserve">提供相关证明材料并加盖投标单位公章（包括但不限于明确说明该技术内容的产品彩页或产品说明书或白皮书或功能截图或第三方检测机构的检测报告等）</w:t>
      </w:r>
      <w:r/>
    </w:p>
    <w:p>
      <w:pPr>
        <w:pStyle w:val="889"/>
        <w:ind w:firstLine="480"/>
        <w:spacing w:before="0" w:beforeAutospacing="0" w:after="0" w:afterAutospacing="0" w:line="360" w:lineRule="auto"/>
        <w:widowControl w:val="off"/>
        <w:rPr>
          <w:color w:val="auto"/>
          <w:highlight w:val="none"/>
        </w:rPr>
      </w:pPr>
      <w:r>
        <w:rPr>
          <w:rFonts w:hint="eastAsia"/>
          <w:color w:val="auto"/>
          <w:highlight w:val="none"/>
          <w:lang w:bidi="ar"/>
        </w:rPr>
        <w:t xml:space="preserve">1.3 STEM分辨率30kV下≤0.7nm；</w:t>
      </w:r>
      <w:r/>
    </w:p>
    <w:p>
      <w:pPr>
        <w:pStyle w:val="889"/>
        <w:ind w:firstLine="480"/>
        <w:spacing w:before="0" w:beforeAutospacing="0" w:after="0" w:afterAutospacing="0" w:line="360" w:lineRule="auto"/>
        <w:widowControl w:val="off"/>
        <w:rPr>
          <w:color w:val="auto"/>
          <w:highlight w:val="none"/>
          <w:lang w:bidi="ar"/>
        </w:rPr>
      </w:pPr>
      <w:r>
        <w:rPr>
          <w:rFonts w:hint="eastAsia"/>
          <w:color w:val="auto"/>
          <w:highlight w:val="none"/>
          <w:lang w:bidi="ar"/>
        </w:rPr>
        <w:t xml:space="preserve">1.4放大倍率范围不小于：10-2,000,000倍，根据加速电压和工作距离的改变，放大倍数自动校准；</w:t>
      </w:r>
      <w:r/>
    </w:p>
    <w:p>
      <w:pPr>
        <w:pStyle w:val="889"/>
        <w:ind w:firstLine="480"/>
        <w:spacing w:before="0" w:beforeAutospacing="0" w:after="0" w:afterAutospacing="0" w:line="360" w:lineRule="auto"/>
        <w:widowControl w:val="off"/>
        <w:rPr>
          <w:color w:val="auto"/>
          <w:highlight w:val="none"/>
        </w:rPr>
      </w:pPr>
      <w:r>
        <w:rPr>
          <w:rFonts w:hint="eastAsia"/>
          <w:bCs/>
          <w:color w:val="auto"/>
          <w:highlight w:val="none"/>
          <w:lang w:val="zh-CN"/>
        </w:rPr>
        <w:t xml:space="preserve">▲</w:t>
      </w:r>
      <w:r>
        <w:rPr>
          <w:rFonts w:hint="eastAsia"/>
          <w:color w:val="auto"/>
          <w:highlight w:val="none"/>
          <w:lang w:bidi="ar"/>
        </w:rPr>
        <w:t xml:space="preserve">1.5 低电压减速模式：镜筒内减速；</w:t>
      </w:r>
      <w:r>
        <w:rPr>
          <w:b/>
          <w:bCs/>
          <w:color w:val="auto"/>
          <w:highlight w:val="none"/>
        </w:rPr>
        <w:t xml:space="preserve">提供相关证明材料并加盖投标单位公章（包括但不限于明确说明该技术内容的产品彩页或产品说明书或白皮书或功能截图或第三方检测机构的检测报告等）</w:t>
      </w:r>
      <w:r>
        <w:rPr>
          <w:rFonts w:hint="eastAsia"/>
          <w:color w:val="auto"/>
          <w:highlight w:val="none"/>
          <w:lang w:bidi="ar"/>
        </w:rPr>
        <w:t xml:space="preserve">；</w:t>
      </w:r>
      <w:r/>
    </w:p>
    <w:p>
      <w:pPr>
        <w:pStyle w:val="865"/>
        <w:ind w:firstLine="480"/>
        <w:jc w:val="left"/>
        <w:spacing w:line="360" w:lineRule="auto"/>
        <w:rPr>
          <w:rFonts w:hAnsi="宋体" w:cs="宋体"/>
          <w:color w:val="auto"/>
          <w:sz w:val="24"/>
          <w:szCs w:val="24"/>
          <w:highlight w:val="none"/>
        </w:rPr>
      </w:pPr>
      <w:r>
        <w:rPr>
          <w:rFonts w:hint="eastAsia" w:hAnsi="宋体" w:cs="宋体"/>
          <w:bCs/>
          <w:color w:val="auto"/>
          <w:sz w:val="24"/>
          <w:highlight w:val="none"/>
          <w:lang w:val="zh-CN"/>
        </w:rPr>
        <w:t xml:space="preserve">▲</w:t>
      </w:r>
      <w:r>
        <w:rPr>
          <w:rFonts w:hint="eastAsia" w:hAnsi="宋体" w:cs="宋体"/>
          <w:color w:val="auto"/>
          <w:sz w:val="24"/>
          <w:szCs w:val="24"/>
          <w:highlight w:val="none"/>
          <w:lang w:bidi="ar"/>
        </w:rPr>
        <w:t xml:space="preserve">1.6 电子束加速电压范围不小于：0.02 kV-30 kV，以≤10V步进可调；</w:t>
      </w:r>
      <w:r>
        <w:rPr>
          <w:rFonts w:hAnsi="宋体" w:cs="宋体"/>
          <w:b/>
          <w:bCs/>
          <w:color w:val="auto"/>
          <w:sz w:val="24"/>
          <w:szCs w:val="24"/>
          <w:highlight w:val="none"/>
        </w:rPr>
        <w:t xml:space="preserve">提供相关证明材料并加盖投标单位公章（包括但不限于明确说明该技术内容的产品彩页或产品说明书或白皮书或功能截图或第三方检测机构的检测报告等）</w:t>
      </w:r>
      <w:r>
        <w:rPr>
          <w:rFonts w:hint="eastAsia" w:hAnsi="宋体" w:cs="宋体"/>
          <w:color w:val="auto"/>
          <w:sz w:val="24"/>
          <w:szCs w:val="24"/>
          <w:highlight w:val="none"/>
        </w:rPr>
        <w:t xml:space="preserve">；</w:t>
      </w:r>
      <w:r/>
    </w:p>
    <w:p>
      <w:pPr>
        <w:pStyle w:val="889"/>
        <w:ind w:firstLine="480"/>
        <w:spacing w:before="0" w:beforeAutospacing="0" w:after="0" w:afterAutospacing="0" w:line="360" w:lineRule="auto"/>
        <w:widowControl w:val="off"/>
        <w:rPr>
          <w:color w:val="auto"/>
          <w:highlight w:val="none"/>
        </w:rPr>
      </w:pPr>
      <w:r>
        <w:rPr>
          <w:rFonts w:hint="eastAsia"/>
          <w:color w:val="auto"/>
          <w:highlight w:val="none"/>
          <w:lang w:bidi="ar"/>
        </w:rPr>
        <w:t xml:space="preserve">1.7 图像控制：可自动对加速电压和工作距离进行补偿，具有动态聚焦，聚焦补偿功能；</w:t>
      </w:r>
      <w:r/>
    </w:p>
    <w:p>
      <w:pPr>
        <w:pStyle w:val="889"/>
        <w:ind w:firstLine="480"/>
        <w:spacing w:before="0" w:beforeAutospacing="0" w:after="0" w:afterAutospacing="0" w:line="360" w:lineRule="auto"/>
        <w:widowControl w:val="off"/>
        <w:rPr>
          <w:color w:val="auto"/>
          <w:highlight w:val="none"/>
        </w:rPr>
      </w:pPr>
      <w:r>
        <w:rPr>
          <w:rFonts w:hint="eastAsia"/>
          <w:color w:val="auto"/>
          <w:highlight w:val="none"/>
          <w:lang w:bidi="ar"/>
        </w:rPr>
        <w:t xml:space="preserve">1.8 电子束流：最大束流≥20 nA；</w:t>
      </w:r>
      <w:r/>
    </w:p>
    <w:p>
      <w:pPr>
        <w:pStyle w:val="889"/>
        <w:ind w:firstLine="480"/>
        <w:spacing w:before="0" w:beforeAutospacing="0" w:after="0" w:afterAutospacing="0" w:line="360" w:lineRule="auto"/>
        <w:widowControl w:val="off"/>
        <w:rPr>
          <w:color w:val="auto"/>
          <w:highlight w:val="none"/>
          <w:lang w:bidi="ar"/>
        </w:rPr>
      </w:pPr>
      <w:r>
        <w:rPr>
          <w:rFonts w:hint="eastAsia"/>
          <w:color w:val="auto"/>
          <w:highlight w:val="none"/>
          <w:lang w:bidi="ar"/>
        </w:rPr>
        <w:t xml:space="preserve">1.9 具有双通道模式，可以在同一区域同时进行镜筒内二次电子和背散射两个探测器拍照，一次得到同区域的二次电子和背散射的图片；</w:t>
      </w:r>
      <w:r/>
    </w:p>
    <w:p>
      <w:pPr>
        <w:pStyle w:val="889"/>
        <w:ind w:firstLine="480"/>
        <w:spacing w:before="0" w:beforeAutospacing="0" w:after="0" w:afterAutospacing="0" w:line="360" w:lineRule="auto"/>
        <w:widowControl w:val="off"/>
        <w:rPr>
          <w:color w:val="auto"/>
          <w:highlight w:val="none"/>
        </w:rPr>
      </w:pPr>
      <w:r>
        <w:rPr>
          <w:rFonts w:hint="eastAsia"/>
          <w:color w:val="auto"/>
          <w:highlight w:val="none"/>
          <w:lang w:bidi="ar"/>
        </w:rPr>
        <w:t xml:space="preserve">1.10 具有双方大功能，在图片中任意位置框出目标区域可以的到自动放大的图像；</w:t>
      </w:r>
      <w:r/>
    </w:p>
    <w:p>
      <w:pPr>
        <w:pStyle w:val="889"/>
        <w:ind w:firstLine="480"/>
        <w:spacing w:before="0" w:beforeAutospacing="0" w:after="0" w:afterAutospacing="0" w:line="360" w:lineRule="auto"/>
        <w:widowControl w:val="off"/>
        <w:rPr>
          <w:color w:val="auto"/>
          <w:highlight w:val="none"/>
        </w:rPr>
      </w:pPr>
      <w:r>
        <w:rPr>
          <w:rFonts w:hint="eastAsia"/>
          <w:color w:val="auto"/>
          <w:highlight w:val="none"/>
          <w:lang w:bidi="ar"/>
        </w:rPr>
        <w:t xml:space="preserve">1.11 扫描方式：全屏、快捷方式、选区、定点方式、线扫描、面扫描、线轮廓、扫描旋转、倾斜校正；</w:t>
      </w:r>
      <w:r/>
    </w:p>
    <w:p>
      <w:pPr>
        <w:pStyle w:val="889"/>
        <w:ind w:firstLine="480"/>
        <w:spacing w:before="0" w:beforeAutospacing="0" w:after="0" w:afterAutospacing="0" w:line="360" w:lineRule="auto"/>
        <w:widowControl w:val="off"/>
        <w:rPr>
          <w:color w:val="auto"/>
          <w:highlight w:val="none"/>
          <w:lang w:bidi="ar"/>
        </w:rPr>
      </w:pPr>
      <w:r>
        <w:rPr>
          <w:rFonts w:hint="eastAsia"/>
          <w:color w:val="auto"/>
          <w:highlight w:val="none"/>
          <w:lang w:bidi="ar"/>
        </w:rPr>
        <w:t xml:space="preserve">1.12物镜光阑孔数量≥4，可通过软件自动控制光阑孔径更换，无需手动调节。</w:t>
      </w:r>
      <w:r/>
    </w:p>
    <w:p>
      <w:pPr>
        <w:pStyle w:val="889"/>
        <w:ind w:firstLine="480"/>
        <w:spacing w:before="0" w:beforeAutospacing="0" w:after="0" w:afterAutospacing="0" w:line="360" w:lineRule="auto"/>
        <w:widowControl w:val="off"/>
        <w:rPr>
          <w:color w:val="auto"/>
          <w:highlight w:val="none"/>
        </w:rPr>
      </w:pPr>
      <w:r>
        <w:rPr>
          <w:rFonts w:hint="eastAsia"/>
          <w:color w:val="auto"/>
          <w:highlight w:val="none"/>
          <w:lang w:bidi="ar"/>
        </w:rPr>
        <w:t xml:space="preserve">2 样品室及样品台：</w:t>
      </w:r>
      <w:r/>
    </w:p>
    <w:p>
      <w:pPr>
        <w:pStyle w:val="889"/>
        <w:ind w:firstLine="480"/>
        <w:spacing w:before="0" w:beforeAutospacing="0" w:after="0" w:afterAutospacing="0" w:line="360" w:lineRule="auto"/>
        <w:widowControl w:val="off"/>
        <w:rPr>
          <w:color w:val="auto"/>
          <w:highlight w:val="none"/>
        </w:rPr>
      </w:pPr>
      <w:r>
        <w:rPr>
          <w:rFonts w:hint="eastAsia"/>
          <w:color w:val="auto"/>
          <w:highlight w:val="none"/>
          <w:lang w:bidi="ar"/>
        </w:rPr>
        <w:t xml:space="preserve">2.1样品台类型：</w:t>
      </w:r>
      <w:r>
        <w:rPr>
          <w:rFonts w:hAnsi="Courier New" w:cs="Times New Roman"/>
          <w:color w:val="auto"/>
          <w:sz w:val="21"/>
          <w:szCs w:val="21"/>
          <w:highlight w:val="none"/>
          <w:lang w:bidi="ar"/>
        </w:rPr>
        <w:t xml:space="preserve">≥</w:t>
      </w:r>
      <w:r>
        <w:rPr>
          <w:rFonts w:hint="eastAsia"/>
          <w:color w:val="auto"/>
          <w:highlight w:val="none"/>
          <w:lang w:bidi="ar"/>
        </w:rPr>
        <w:t xml:space="preserve">5轴优中心马达驱动样品台；</w:t>
      </w:r>
      <w:r/>
    </w:p>
    <w:p>
      <w:pPr>
        <w:pStyle w:val="889"/>
        <w:ind w:firstLine="480"/>
        <w:spacing w:before="0" w:beforeAutospacing="0" w:after="0" w:afterAutospacing="0" w:line="360" w:lineRule="auto"/>
        <w:widowControl w:val="off"/>
        <w:rPr>
          <w:color w:val="auto"/>
          <w:highlight w:val="none"/>
        </w:rPr>
      </w:pPr>
      <w:r>
        <w:rPr>
          <w:rFonts w:hint="eastAsia"/>
          <w:color w:val="auto"/>
          <w:highlight w:val="none"/>
          <w:lang w:bidi="ar"/>
        </w:rPr>
        <w:t xml:space="preserve">2.2样品台马达移动范围：X≥100mm，Y≥100mm，Z轴≥50mm，倾斜范围不小于：-4-70°（倾斜），360°（旋转）；</w:t>
      </w:r>
      <w:r/>
    </w:p>
    <w:p>
      <w:pPr>
        <w:pStyle w:val="889"/>
        <w:ind w:firstLine="480"/>
        <w:spacing w:before="0" w:beforeAutospacing="0" w:after="0" w:afterAutospacing="0" w:line="360" w:lineRule="auto"/>
        <w:widowControl w:val="off"/>
        <w:rPr>
          <w:color w:val="auto"/>
          <w:highlight w:val="none"/>
        </w:rPr>
      </w:pPr>
      <w:r>
        <w:rPr>
          <w:rFonts w:hint="eastAsia"/>
          <w:color w:val="auto"/>
          <w:highlight w:val="none"/>
          <w:lang w:bidi="ar"/>
        </w:rPr>
        <w:t xml:space="preserve">2.3样品仓可直接放入的最大样品直径≥200 mm； </w:t>
      </w:r>
      <w:r/>
    </w:p>
    <w:p>
      <w:pPr>
        <w:pStyle w:val="889"/>
        <w:ind w:firstLine="480"/>
        <w:spacing w:before="0" w:beforeAutospacing="0" w:after="0" w:afterAutospacing="0" w:line="360" w:lineRule="auto"/>
        <w:widowControl w:val="off"/>
        <w:rPr>
          <w:color w:val="auto"/>
          <w:highlight w:val="none"/>
        </w:rPr>
      </w:pPr>
      <w:r>
        <w:rPr>
          <w:rFonts w:hint="eastAsia"/>
          <w:color w:val="auto"/>
          <w:highlight w:val="none"/>
          <w:lang w:bidi="ar"/>
        </w:rPr>
        <w:t xml:space="preserve">2.4 样品台最大承载重量：≥0.5kg；</w:t>
      </w:r>
      <w:r/>
    </w:p>
    <w:p>
      <w:pPr>
        <w:pStyle w:val="889"/>
        <w:ind w:firstLine="480"/>
        <w:spacing w:before="0" w:beforeAutospacing="0" w:after="0" w:afterAutospacing="0" w:line="360" w:lineRule="auto"/>
        <w:widowControl w:val="off"/>
        <w:rPr>
          <w:color w:val="auto"/>
          <w:highlight w:val="none"/>
        </w:rPr>
      </w:pPr>
      <w:r>
        <w:rPr>
          <w:rFonts w:hint="eastAsia"/>
          <w:color w:val="auto"/>
          <w:highlight w:val="none"/>
          <w:lang w:bidi="ar"/>
        </w:rPr>
        <w:t xml:space="preserve">2.5 样品台控制：配备鼠标、操纵杆；</w:t>
      </w:r>
      <w:r/>
    </w:p>
    <w:p>
      <w:pPr>
        <w:pStyle w:val="889"/>
        <w:ind w:firstLine="480"/>
        <w:spacing w:before="0" w:beforeAutospacing="0" w:after="0" w:afterAutospacing="0" w:line="360" w:lineRule="auto"/>
        <w:widowControl w:val="off"/>
        <w:rPr>
          <w:color w:val="auto"/>
          <w:highlight w:val="none"/>
          <w:lang w:bidi="ar"/>
        </w:rPr>
      </w:pPr>
      <w:r>
        <w:rPr>
          <w:rFonts w:hint="eastAsia"/>
          <w:color w:val="auto"/>
          <w:highlight w:val="none"/>
          <w:lang w:bidi="ar"/>
        </w:rPr>
        <w:t xml:space="preserve">2.6样品台配备接触报警与自停功能；</w:t>
      </w:r>
      <w:r/>
    </w:p>
    <w:p>
      <w:pPr>
        <w:pStyle w:val="889"/>
        <w:ind w:firstLine="480"/>
        <w:spacing w:before="0" w:beforeAutospacing="0" w:after="0" w:afterAutospacing="0" w:line="360" w:lineRule="auto"/>
        <w:widowControl w:val="off"/>
        <w:rPr>
          <w:color w:val="auto"/>
          <w:highlight w:val="none"/>
          <w:lang w:bidi="ar"/>
        </w:rPr>
      </w:pPr>
      <w:r>
        <w:rPr>
          <w:rFonts w:hint="eastAsia"/>
          <w:color w:val="auto"/>
          <w:highlight w:val="none"/>
          <w:lang w:bidi="ar"/>
        </w:rPr>
        <w:t xml:space="preserve">2.7 配置体式镜两套：光学变倍比≥8， 观察视野数≥23；</w:t>
      </w:r>
      <w:r/>
    </w:p>
    <w:p>
      <w:pPr>
        <w:pStyle w:val="889"/>
        <w:ind w:firstLine="480"/>
        <w:spacing w:before="0" w:beforeAutospacing="0" w:after="0" w:afterAutospacing="0" w:line="360" w:lineRule="auto"/>
        <w:widowControl w:val="off"/>
        <w:rPr>
          <w:color w:val="auto"/>
          <w:highlight w:val="none"/>
        </w:rPr>
      </w:pPr>
      <w:r>
        <w:rPr>
          <w:rFonts w:hint="eastAsia"/>
          <w:color w:val="auto"/>
          <w:highlight w:val="none"/>
          <w:lang w:bidi="ar"/>
        </w:rPr>
        <w:t xml:space="preserve">3 探测器：</w:t>
      </w:r>
      <w:r/>
    </w:p>
    <w:p>
      <w:pPr>
        <w:pStyle w:val="889"/>
        <w:ind w:firstLine="480"/>
        <w:spacing w:before="0" w:beforeAutospacing="0" w:after="0" w:afterAutospacing="0" w:line="360" w:lineRule="auto"/>
        <w:widowControl w:val="off"/>
        <w:rPr>
          <w:color w:val="auto"/>
          <w:highlight w:val="none"/>
        </w:rPr>
      </w:pPr>
      <w:r>
        <w:rPr>
          <w:rFonts w:hint="eastAsia"/>
          <w:color w:val="auto"/>
          <w:highlight w:val="none"/>
          <w:lang w:bidi="ar"/>
        </w:rPr>
        <w:t xml:space="preserve">3.1样品室二次电子探测器；</w:t>
      </w:r>
      <w:r/>
    </w:p>
    <w:p>
      <w:pPr>
        <w:pStyle w:val="889"/>
        <w:ind w:firstLine="480"/>
        <w:spacing w:before="0" w:beforeAutospacing="0" w:after="0" w:afterAutospacing="0" w:line="360" w:lineRule="auto"/>
        <w:widowControl w:val="off"/>
        <w:rPr>
          <w:color w:val="auto"/>
          <w:highlight w:val="none"/>
        </w:rPr>
      </w:pPr>
      <w:r>
        <w:rPr>
          <w:rFonts w:hint="eastAsia"/>
          <w:bCs/>
          <w:color w:val="auto"/>
          <w:highlight w:val="none"/>
          <w:lang w:val="zh-CN"/>
        </w:rPr>
        <w:t xml:space="preserve">▲</w:t>
      </w:r>
      <w:r>
        <w:rPr>
          <w:rFonts w:hint="eastAsia"/>
          <w:color w:val="auto"/>
          <w:highlight w:val="none"/>
          <w:lang w:bidi="ar"/>
        </w:rPr>
        <w:t xml:space="preserve">3.2 电子镜筒采用复合透镜设计，确保镜筒无漏磁，可以在1kV，≤2mm工作距离下进行底片倍率≥200,000x 磁性样品拍摄。电子束物镜系统采用复合物镜结构设计，物镜极靴下方安装静电透镜，具备无磁场泄露设计，能够对磁性材料进行近距离（WD≤2mm）高分辨观测，且需要配置磁场调控技术。 </w:t>
      </w:r>
      <w:r>
        <w:rPr>
          <w:b/>
          <w:bCs/>
          <w:color w:val="auto"/>
          <w:highlight w:val="none"/>
        </w:rPr>
        <w:t xml:space="preserve">（需要提供配置前后样品测试结果对比图，需要截图证明在同一</w:t>
      </w:r>
      <w:r>
        <w:rPr>
          <w:rFonts w:hint="eastAsia"/>
          <w:b/>
          <w:bCs/>
          <w:color w:val="auto"/>
          <w:highlight w:val="none"/>
        </w:rPr>
        <w:t xml:space="preserve">XYZ</w:t>
      </w:r>
      <w:r>
        <w:rPr>
          <w:b/>
          <w:bCs/>
          <w:color w:val="auto"/>
          <w:highlight w:val="none"/>
        </w:rPr>
        <w:t xml:space="preserve">坐标）</w:t>
      </w:r>
      <w:r>
        <w:rPr>
          <w:rFonts w:hint="eastAsia"/>
          <w:color w:val="auto"/>
          <w:highlight w:val="none"/>
          <w:lang w:bidi="ar"/>
        </w:rPr>
        <w:t xml:space="preserve">；</w:t>
      </w:r>
      <w:r/>
    </w:p>
    <w:p>
      <w:pPr>
        <w:pStyle w:val="889"/>
        <w:ind w:firstLine="480"/>
        <w:spacing w:before="0" w:beforeAutospacing="0" w:after="0" w:afterAutospacing="0" w:line="360" w:lineRule="auto"/>
        <w:widowControl w:val="off"/>
        <w:rPr>
          <w:color w:val="auto"/>
          <w:highlight w:val="none"/>
        </w:rPr>
      </w:pPr>
      <w:r>
        <w:rPr>
          <w:rFonts w:hint="eastAsia"/>
          <w:color w:val="auto"/>
          <w:highlight w:val="none"/>
          <w:lang w:bidi="ar"/>
        </w:rPr>
        <w:t xml:space="preserve">3.3镜筒内部位于正光轴上的二次电子探测器，环形设计；</w:t>
      </w:r>
      <w:r/>
    </w:p>
    <w:p>
      <w:pPr>
        <w:pStyle w:val="889"/>
        <w:ind w:firstLine="480"/>
        <w:spacing w:before="0" w:beforeAutospacing="0" w:after="0" w:afterAutospacing="0" w:line="360" w:lineRule="auto"/>
        <w:widowControl w:val="off"/>
        <w:rPr>
          <w:color w:val="auto"/>
          <w:highlight w:val="none"/>
        </w:rPr>
      </w:pPr>
      <w:r>
        <w:rPr>
          <w:rFonts w:hint="eastAsia"/>
          <w:color w:val="auto"/>
          <w:highlight w:val="none"/>
          <w:lang w:bidi="ar"/>
        </w:rPr>
        <w:t xml:space="preserve">3.4</w:t>
      </w:r>
      <w:r>
        <w:rPr>
          <w:rFonts w:hint="eastAsia"/>
          <w:bCs/>
          <w:color w:val="auto"/>
          <w:highlight w:val="none"/>
          <w:lang w:val="zh-CN" w:bidi="ar"/>
        </w:rPr>
        <w:t xml:space="preserve">样品室内伸缩式环形高灵敏背散射探测器：气动可伸缩式，低电压高速固态背散射电子探测器</w:t>
      </w:r>
      <w:r>
        <w:rPr>
          <w:rFonts w:hint="eastAsia"/>
          <w:color w:val="auto"/>
          <w:highlight w:val="none"/>
          <w:lang w:bidi="ar"/>
        </w:rPr>
        <w:t xml:space="preserve">；</w:t>
      </w:r>
      <w:r/>
    </w:p>
    <w:p>
      <w:pPr>
        <w:pStyle w:val="889"/>
        <w:ind w:firstLine="480"/>
        <w:spacing w:before="0" w:beforeAutospacing="0" w:after="0" w:afterAutospacing="0" w:line="360" w:lineRule="auto"/>
        <w:widowControl w:val="off"/>
        <w:rPr>
          <w:rFonts w:hint="eastAsia"/>
          <w:color w:val="auto"/>
          <w:highlight w:val="none"/>
          <w:lang w:eastAsia="zh-CN" w:bidi="ar"/>
        </w:rPr>
      </w:pPr>
      <w:r>
        <w:rPr>
          <w:rFonts w:hint="eastAsia"/>
          <w:color w:val="auto"/>
          <w:highlight w:val="none"/>
          <w:lang w:bidi="ar"/>
        </w:rPr>
        <w:t xml:space="preserve">3.5 配置扫描透射电子探测器：</w:t>
      </w:r>
      <w:r>
        <w:rPr>
          <w:rFonts w:hint="eastAsia"/>
          <w:bCs/>
          <w:color w:val="auto"/>
          <w:highlight w:val="none"/>
          <w:lang w:val="zh-CN" w:bidi="ar"/>
        </w:rPr>
        <w:t xml:space="preserve">样品台≥12孔</w:t>
      </w:r>
      <w:r>
        <w:rPr>
          <w:rFonts w:hint="eastAsia"/>
          <w:color w:val="auto"/>
          <w:highlight w:val="none"/>
          <w:lang w:bidi="ar"/>
        </w:rPr>
        <w:t xml:space="preserve">，可以进行明场，暗场，高角暗场，取向衬度等多种拍照方式</w:t>
      </w:r>
      <w:r>
        <w:rPr>
          <w:rFonts w:hint="eastAsia"/>
          <w:color w:val="auto"/>
          <w:highlight w:val="none"/>
          <w:lang w:eastAsia="zh-CN" w:bidi="ar"/>
        </w:rPr>
        <w:t xml:space="preserve">；</w:t>
      </w:r>
      <w:r/>
    </w:p>
    <w:p>
      <w:pPr>
        <w:pStyle w:val="889"/>
        <w:ind w:firstLine="480"/>
        <w:spacing w:before="0" w:beforeAutospacing="0" w:after="0" w:afterAutospacing="0" w:line="360" w:lineRule="auto"/>
        <w:widowControl w:val="off"/>
        <w:rPr>
          <w:color w:val="auto"/>
          <w:highlight w:val="none"/>
        </w:rPr>
      </w:pPr>
      <w:r>
        <w:rPr>
          <w:rFonts w:hint="eastAsia"/>
          <w:color w:val="auto"/>
          <w:highlight w:val="none"/>
          <w:lang w:bidi="ar"/>
        </w:rPr>
        <w:t xml:space="preserve">3.6样品室内红外CCD相机观察系统，与图像采集软件集成一体，拍摄时可同时CCD监控样品台情况；</w:t>
      </w:r>
      <w:r/>
    </w:p>
    <w:p>
      <w:pPr>
        <w:pStyle w:val="889"/>
        <w:ind w:firstLine="480"/>
        <w:spacing w:before="0" w:beforeAutospacing="0" w:after="0" w:afterAutospacing="0" w:line="360" w:lineRule="auto"/>
        <w:widowControl w:val="off"/>
        <w:rPr>
          <w:color w:val="auto"/>
          <w:highlight w:val="none"/>
        </w:rPr>
      </w:pPr>
      <w:r>
        <w:rPr>
          <w:rFonts w:hint="eastAsia"/>
          <w:color w:val="auto"/>
          <w:highlight w:val="none"/>
          <w:lang w:bidi="ar"/>
        </w:rPr>
        <w:t xml:space="preserve">3.7配置样品电流监视器；</w:t>
      </w:r>
      <w:r/>
    </w:p>
    <w:p>
      <w:pPr>
        <w:pStyle w:val="889"/>
        <w:ind w:firstLine="480"/>
        <w:spacing w:before="0" w:beforeAutospacing="0" w:after="0" w:afterAutospacing="0" w:line="360" w:lineRule="auto"/>
        <w:widowControl w:val="off"/>
        <w:rPr>
          <w:color w:val="auto"/>
          <w:highlight w:val="none"/>
        </w:rPr>
      </w:pPr>
      <w:r>
        <w:rPr>
          <w:rFonts w:hint="eastAsia"/>
          <w:color w:val="auto"/>
          <w:highlight w:val="none"/>
          <w:lang w:bidi="ar"/>
        </w:rPr>
        <w:t xml:space="preserve">4 真空系统：</w:t>
      </w:r>
      <w:r/>
    </w:p>
    <w:p>
      <w:pPr>
        <w:pStyle w:val="889"/>
        <w:ind w:firstLine="480"/>
        <w:spacing w:before="0" w:beforeAutospacing="0" w:after="0" w:afterAutospacing="0" w:line="360" w:lineRule="auto"/>
        <w:widowControl w:val="off"/>
        <w:rPr>
          <w:color w:val="auto"/>
          <w:highlight w:val="none"/>
        </w:rPr>
      </w:pPr>
      <w:r>
        <w:rPr>
          <w:rFonts w:hint="eastAsia"/>
          <w:color w:val="auto"/>
          <w:highlight w:val="none"/>
          <w:lang w:bidi="ar"/>
        </w:rPr>
        <w:t xml:space="preserve">4.1 真空系统：无油机械泵，磁悬浮涡轮分子泵和离子泵；</w:t>
      </w:r>
      <w:r/>
    </w:p>
    <w:p>
      <w:pPr>
        <w:pStyle w:val="889"/>
        <w:ind w:firstLine="480"/>
        <w:spacing w:before="0" w:beforeAutospacing="0" w:after="0" w:afterAutospacing="0" w:line="360" w:lineRule="auto"/>
        <w:widowControl w:val="off"/>
        <w:rPr>
          <w:color w:val="auto"/>
          <w:highlight w:val="none"/>
        </w:rPr>
      </w:pPr>
      <w:r>
        <w:rPr>
          <w:rFonts w:hint="eastAsia"/>
          <w:bCs/>
          <w:color w:val="auto"/>
          <w:highlight w:val="none"/>
          <w:lang w:val="zh-CN"/>
        </w:rPr>
        <w:t xml:space="preserve">▲</w:t>
      </w:r>
      <w:r>
        <w:rPr>
          <w:rFonts w:hint="eastAsia"/>
          <w:color w:val="auto"/>
          <w:highlight w:val="none"/>
          <w:lang w:bidi="ar"/>
        </w:rPr>
        <w:t xml:space="preserve">4.2 配置：涡轮分子泵≥260 立升/秒。样品室真空度≤2.5×10</w:t>
      </w:r>
      <w:r>
        <w:rPr>
          <w:rFonts w:hint="eastAsia"/>
          <w:color w:val="auto"/>
          <w:highlight w:val="none"/>
          <w:vertAlign w:val="superscript"/>
          <w:lang w:bidi="ar"/>
        </w:rPr>
        <w:t xml:space="preserve">-4</w:t>
      </w:r>
      <w:r>
        <w:rPr>
          <w:rFonts w:hint="eastAsia"/>
          <w:color w:val="auto"/>
          <w:highlight w:val="none"/>
          <w:lang w:bidi="ar"/>
        </w:rPr>
        <w:t xml:space="preserve"> Pa；</w:t>
      </w:r>
      <w:r>
        <w:rPr>
          <w:b/>
          <w:bCs/>
          <w:color w:val="auto"/>
          <w:highlight w:val="none"/>
          <w:lang w:bidi="ar"/>
        </w:rPr>
        <w:t xml:space="preserve">提供相关证明材料并加盖投标单位公章（包括但不限于明确说明该技术内容的产品彩页或产品说明书或白皮书或功能截图或第三方检测机构的检测报告等）</w:t>
      </w:r>
      <w:r/>
    </w:p>
    <w:p>
      <w:pPr>
        <w:pStyle w:val="889"/>
        <w:ind w:firstLine="480"/>
        <w:spacing w:before="0" w:beforeAutospacing="0" w:after="0" w:afterAutospacing="0" w:line="360" w:lineRule="auto"/>
        <w:widowControl w:val="off"/>
        <w:rPr>
          <w:color w:val="auto"/>
          <w:highlight w:val="none"/>
        </w:rPr>
      </w:pPr>
      <w:r>
        <w:rPr>
          <w:rFonts w:hint="eastAsia"/>
          <w:color w:val="auto"/>
          <w:highlight w:val="none"/>
          <w:lang w:bidi="ar"/>
        </w:rPr>
        <w:t xml:space="preserve">4.3 真空系统控制：全自动；</w:t>
      </w:r>
      <w:r/>
    </w:p>
    <w:p>
      <w:pPr>
        <w:pStyle w:val="889"/>
        <w:ind w:firstLine="480"/>
        <w:spacing w:before="0" w:beforeAutospacing="0" w:after="0" w:afterAutospacing="0" w:line="360" w:lineRule="auto"/>
        <w:widowControl w:val="off"/>
        <w:rPr>
          <w:color w:val="auto"/>
          <w:highlight w:val="none"/>
        </w:rPr>
      </w:pPr>
      <w:r>
        <w:rPr>
          <w:rFonts w:hint="eastAsia"/>
          <w:bCs/>
          <w:color w:val="auto"/>
          <w:highlight w:val="none"/>
          <w:lang w:val="zh-CN"/>
        </w:rPr>
        <w:t xml:space="preserve">▲</w:t>
      </w:r>
      <w:r>
        <w:rPr>
          <w:rFonts w:hint="eastAsia"/>
          <w:color w:val="auto"/>
          <w:highlight w:val="none"/>
          <w:lang w:bidi="ar"/>
        </w:rPr>
        <w:t xml:space="preserve">4.4 配置局部电子中和器：自动适配样品，实现除荷电功能；</w:t>
      </w:r>
      <w:r>
        <w:rPr>
          <w:b/>
          <w:bCs/>
          <w:color w:val="auto"/>
          <w:highlight w:val="none"/>
        </w:rPr>
        <w:t xml:space="preserve">提供相关证明材料并加盖投标单位公章（包括但不限于明确说明该技术内容的产品彩页或产品说明书或白皮书或功能截图或第三方检测机构的检测报告等）</w:t>
      </w:r>
      <w:r>
        <w:rPr>
          <w:rFonts w:hint="eastAsia"/>
          <w:color w:val="auto"/>
          <w:highlight w:val="none"/>
          <w:lang w:bidi="ar"/>
        </w:rPr>
        <w:t xml:space="preserve">。</w:t>
      </w:r>
      <w:r/>
    </w:p>
    <w:p>
      <w:pPr>
        <w:pStyle w:val="889"/>
        <w:ind w:firstLine="480"/>
        <w:spacing w:before="0" w:beforeAutospacing="0" w:after="0" w:afterAutospacing="0" w:line="360" w:lineRule="auto"/>
        <w:widowControl w:val="off"/>
        <w:rPr>
          <w:color w:val="auto"/>
          <w:highlight w:val="none"/>
        </w:rPr>
      </w:pPr>
      <w:r>
        <w:rPr>
          <w:rFonts w:hint="eastAsia"/>
          <w:color w:val="auto"/>
          <w:highlight w:val="none"/>
          <w:lang w:bidi="ar"/>
        </w:rPr>
        <w:t xml:space="preserve">5 数字图像记录系统：</w:t>
      </w:r>
      <w:r/>
    </w:p>
    <w:p>
      <w:pPr>
        <w:pStyle w:val="889"/>
        <w:ind w:firstLine="480"/>
        <w:spacing w:before="0" w:beforeAutospacing="0" w:after="0" w:afterAutospacing="0" w:line="360" w:lineRule="auto"/>
        <w:widowControl w:val="off"/>
        <w:rPr>
          <w:color w:val="auto"/>
          <w:highlight w:val="none"/>
        </w:rPr>
      </w:pPr>
      <w:r>
        <w:rPr>
          <w:rFonts w:hint="eastAsia"/>
          <w:color w:val="auto"/>
          <w:highlight w:val="none"/>
        </w:rPr>
        <w:t xml:space="preserve">★</w:t>
      </w:r>
      <w:r>
        <w:rPr>
          <w:rFonts w:hint="eastAsia"/>
          <w:color w:val="auto"/>
          <w:highlight w:val="none"/>
          <w:lang w:bidi="ar"/>
        </w:rPr>
        <w:t xml:space="preserve">5.1 单张图片最大图像存储分辨率≥32k×24k像素，≥16位 ；</w:t>
      </w:r>
      <w:r>
        <w:rPr>
          <w:b/>
          <w:bCs/>
          <w:color w:val="auto"/>
          <w:highlight w:val="none"/>
        </w:rPr>
        <w:t xml:space="preserve">提供相关证明材料并加盖投标单位公章（包括但不限于明确说明该技术内容的产品彩页或产品说明书或白皮书或功能截图或第三方检测机构的检测报告等）</w:t>
      </w:r>
      <w:r>
        <w:rPr>
          <w:rFonts w:hint="eastAsia"/>
          <w:color w:val="auto"/>
          <w:highlight w:val="none"/>
          <w:lang w:bidi="ar"/>
        </w:rPr>
        <w:t xml:space="preserve">；</w:t>
      </w:r>
      <w:r/>
    </w:p>
    <w:p>
      <w:pPr>
        <w:pStyle w:val="889"/>
        <w:ind w:firstLine="480"/>
        <w:spacing w:before="0" w:beforeAutospacing="0" w:after="0" w:afterAutospacing="0" w:line="360" w:lineRule="auto"/>
        <w:widowControl w:val="off"/>
        <w:rPr>
          <w:color w:val="auto"/>
          <w:highlight w:val="none"/>
        </w:rPr>
      </w:pPr>
      <w:r>
        <w:rPr>
          <w:rFonts w:hint="eastAsia"/>
          <w:color w:val="auto"/>
          <w:highlight w:val="none"/>
          <w:lang w:bidi="ar"/>
        </w:rPr>
        <w:t xml:space="preserve">5.2 图像显示：≥1920x1200像素，≥2台24英寸LCD显示器；</w:t>
      </w:r>
      <w:r/>
    </w:p>
    <w:p>
      <w:pPr>
        <w:pStyle w:val="889"/>
        <w:ind w:firstLine="480"/>
        <w:spacing w:before="0" w:beforeAutospacing="0" w:after="0" w:afterAutospacing="0" w:line="360" w:lineRule="auto"/>
        <w:widowControl w:val="off"/>
        <w:rPr>
          <w:color w:val="auto"/>
          <w:highlight w:val="none"/>
        </w:rPr>
      </w:pPr>
      <w:r>
        <w:rPr>
          <w:rFonts w:hint="eastAsia"/>
          <w:color w:val="auto"/>
          <w:highlight w:val="none"/>
          <w:lang w:bidi="ar"/>
        </w:rPr>
        <w:t xml:space="preserve">5.3 图像记录：TIFF，BMP或JPEG；</w:t>
      </w:r>
      <w:r/>
    </w:p>
    <w:p>
      <w:pPr>
        <w:pStyle w:val="889"/>
        <w:ind w:firstLine="480"/>
        <w:spacing w:before="0" w:beforeAutospacing="0" w:after="0" w:afterAutospacing="0" w:line="360" w:lineRule="auto"/>
        <w:widowControl w:val="off"/>
        <w:rPr>
          <w:color w:val="auto"/>
          <w:highlight w:val="none"/>
        </w:rPr>
      </w:pPr>
      <w:r>
        <w:rPr>
          <w:rFonts w:hint="eastAsia"/>
          <w:color w:val="auto"/>
          <w:highlight w:val="none"/>
          <w:lang w:bidi="ar"/>
        </w:rPr>
        <w:t xml:space="preserve">5.4 具有漂移校正软件和中心点功能；</w:t>
      </w:r>
      <w:r/>
    </w:p>
    <w:p>
      <w:pPr>
        <w:pStyle w:val="889"/>
        <w:ind w:firstLine="480"/>
        <w:spacing w:before="0" w:beforeAutospacing="0" w:after="0" w:afterAutospacing="0" w:line="360" w:lineRule="auto"/>
        <w:widowControl w:val="off"/>
        <w:rPr>
          <w:color w:val="auto"/>
          <w:highlight w:val="none"/>
        </w:rPr>
      </w:pPr>
      <w:r>
        <w:rPr>
          <w:rFonts w:hint="eastAsia"/>
          <w:color w:val="auto"/>
          <w:highlight w:val="none"/>
          <w:lang w:bidi="ar"/>
        </w:rPr>
        <w:t xml:space="preserve">5.5 可自动调节：电子枪对中、真空控制、亮度与衬度、调焦和象散、动态聚焦、倾斜补偿；</w:t>
      </w:r>
      <w:r/>
    </w:p>
    <w:p>
      <w:pPr>
        <w:pStyle w:val="889"/>
        <w:ind w:firstLine="480"/>
        <w:spacing w:before="0" w:beforeAutospacing="0" w:after="0" w:afterAutospacing="0" w:line="360" w:lineRule="auto"/>
        <w:widowControl w:val="off"/>
        <w:rPr>
          <w:color w:val="auto"/>
          <w:highlight w:val="none"/>
        </w:rPr>
      </w:pPr>
      <w:r>
        <w:rPr>
          <w:rFonts w:hint="eastAsia"/>
          <w:color w:val="auto"/>
          <w:highlight w:val="none"/>
          <w:lang w:bidi="ar"/>
        </w:rPr>
        <w:t xml:space="preserve">5.6 测量功能：可对图像中的形貌进行点间距、角度、直径等测量。</w:t>
      </w:r>
      <w:r/>
    </w:p>
    <w:p>
      <w:pPr>
        <w:jc w:val="left"/>
        <w:spacing w:line="360" w:lineRule="auto"/>
        <w:rPr>
          <w:rFonts w:ascii="宋体" w:hAnsi="宋体" w:cs="宋体"/>
          <w:bCs/>
          <w:color w:val="auto"/>
          <w:sz w:val="24"/>
          <w:highlight w:val="none"/>
        </w:rPr>
      </w:pPr>
      <w:r>
        <w:rPr>
          <w:rFonts w:hint="eastAsia" w:ascii="宋体" w:hAnsi="宋体" w:cs="宋体"/>
          <w:bCs/>
          <w:color w:val="auto"/>
          <w:sz w:val="24"/>
          <w:highlight w:val="none"/>
          <w:lang w:bidi="ar"/>
        </w:rPr>
        <w:t xml:space="preserve">6 系统工作站和软件配置：</w:t>
      </w:r>
      <w:r/>
    </w:p>
    <w:p>
      <w:pPr>
        <w:ind w:firstLine="420"/>
        <w:jc w:val="left"/>
        <w:spacing w:line="360" w:lineRule="auto"/>
        <w:rPr>
          <w:rFonts w:ascii="宋体" w:hAnsi="宋体" w:cs="宋体"/>
          <w:bCs/>
          <w:color w:val="auto"/>
          <w:sz w:val="24"/>
          <w:highlight w:val="none"/>
        </w:rPr>
      </w:pPr>
      <w:r>
        <w:rPr>
          <w:rFonts w:hint="eastAsia" w:ascii="宋体" w:hAnsi="宋体" w:cs="宋体"/>
          <w:bCs/>
          <w:color w:val="auto"/>
          <w:sz w:val="24"/>
          <w:highlight w:val="none"/>
          <w:lang w:bidi="ar"/>
        </w:rPr>
        <w:t xml:space="preserve">6.1 </w:t>
      </w:r>
      <w:r>
        <w:rPr>
          <w:rFonts w:hint="eastAsia" w:ascii="宋体" w:hAnsi="宋体" w:cs="宋体"/>
          <w:bCs/>
          <w:color w:val="auto"/>
          <w:sz w:val="24"/>
          <w:highlight w:val="none"/>
          <w:lang w:val="zh-CN" w:bidi="ar"/>
        </w:rPr>
        <w:t xml:space="preserve">系统控制工作站</w:t>
      </w:r>
      <w:r>
        <w:rPr>
          <w:rFonts w:hint="eastAsia" w:ascii="宋体" w:hAnsi="宋体" w:cs="宋体"/>
          <w:bCs/>
          <w:color w:val="auto"/>
          <w:sz w:val="24"/>
          <w:highlight w:val="none"/>
          <w:lang w:bidi="ar"/>
        </w:rPr>
        <w:t xml:space="preserve">：</w:t>
      </w:r>
      <w:r>
        <w:rPr>
          <w:rFonts w:hint="eastAsia" w:ascii="宋体" w:hAnsi="宋体" w:cs="宋体"/>
          <w:bCs/>
          <w:color w:val="auto"/>
          <w:sz w:val="24"/>
          <w:highlight w:val="none"/>
          <w:lang w:val="zh-CN" w:bidi="ar"/>
        </w:rPr>
        <w:t xml:space="preserve">双核处理器</w:t>
      </w:r>
      <w:r>
        <w:rPr>
          <w:rFonts w:hint="eastAsia" w:ascii="宋体" w:hAnsi="宋体" w:cs="宋体"/>
          <w:bCs/>
          <w:color w:val="auto"/>
          <w:sz w:val="24"/>
          <w:highlight w:val="none"/>
          <w:lang w:bidi="ar"/>
        </w:rPr>
        <w:t xml:space="preserve">，</w:t>
      </w:r>
      <w:r>
        <w:rPr>
          <w:rFonts w:hint="eastAsia" w:ascii="宋体" w:hAnsi="宋体" w:cs="宋体"/>
          <w:bCs/>
          <w:color w:val="auto"/>
          <w:sz w:val="24"/>
          <w:highlight w:val="none"/>
          <w:lang w:val="zh-CN" w:bidi="ar"/>
        </w:rPr>
        <w:t xml:space="preserve">内存</w:t>
      </w:r>
      <w:r>
        <w:rPr>
          <w:rFonts w:hint="eastAsia" w:ascii="宋体" w:hAnsi="宋体" w:cs="宋体"/>
          <w:bCs/>
          <w:color w:val="auto"/>
          <w:sz w:val="24"/>
          <w:highlight w:val="none"/>
          <w:lang w:bidi="ar"/>
        </w:rPr>
        <w:t xml:space="preserve">≥</w:t>
      </w:r>
      <w:r>
        <w:rPr>
          <w:rFonts w:hint="eastAsia" w:ascii="宋体" w:hAnsi="宋体" w:cs="宋体"/>
          <w:bCs/>
          <w:color w:val="auto"/>
          <w:sz w:val="24"/>
          <w:highlight w:val="none"/>
          <w:lang w:bidi="ar"/>
        </w:rPr>
        <w:t xml:space="preserve">128GB DDR</w:t>
      </w:r>
      <w:r>
        <w:rPr>
          <w:rFonts w:hint="eastAsia" w:ascii="宋体" w:hAnsi="宋体" w:cs="宋体"/>
          <w:bCs/>
          <w:color w:val="auto"/>
          <w:sz w:val="24"/>
          <w:highlight w:val="none"/>
          <w:lang w:bidi="ar"/>
        </w:rPr>
        <w:t xml:space="preserve">，操作系统</w:t>
      </w:r>
      <w:r>
        <w:rPr>
          <w:rFonts w:hint="eastAsia" w:ascii="宋体" w:hAnsi="宋体" w:cs="宋体"/>
          <w:color w:val="auto"/>
          <w:sz w:val="24"/>
          <w:highlight w:val="none"/>
          <w:lang w:bidi="ar"/>
        </w:rPr>
        <w:t xml:space="preserve">Microsoft® Window 11同等级或以上，</w:t>
      </w:r>
      <w:r>
        <w:rPr>
          <w:rFonts w:hint="eastAsia" w:ascii="宋体" w:hAnsi="宋体" w:cs="宋体"/>
          <w:bCs/>
          <w:color w:val="auto"/>
          <w:sz w:val="24"/>
          <w:highlight w:val="none"/>
          <w:lang w:val="zh-CN" w:bidi="ar"/>
        </w:rPr>
        <w:t xml:space="preserve">硬盘</w:t>
      </w:r>
      <w:r>
        <w:rPr>
          <w:rFonts w:hint="eastAsia" w:ascii="宋体" w:hAnsi="宋体" w:cs="宋体"/>
          <w:bCs/>
          <w:color w:val="auto"/>
          <w:sz w:val="24"/>
          <w:highlight w:val="none"/>
          <w:lang w:bidi="ar"/>
        </w:rPr>
        <w:t xml:space="preserve">≥</w:t>
      </w:r>
      <w:r>
        <w:rPr>
          <w:rFonts w:hint="eastAsia" w:ascii="宋体" w:hAnsi="宋体" w:cs="宋体"/>
          <w:bCs/>
          <w:color w:val="auto"/>
          <w:sz w:val="24"/>
          <w:highlight w:val="none"/>
          <w:lang w:bidi="ar"/>
        </w:rPr>
        <w:t xml:space="preserve">4T SATA </w:t>
      </w:r>
      <w:r>
        <w:rPr>
          <w:rFonts w:hint="eastAsia" w:ascii="宋体" w:hAnsi="宋体" w:cs="宋体"/>
          <w:bCs/>
          <w:color w:val="auto"/>
          <w:sz w:val="24"/>
          <w:highlight w:val="none"/>
          <w:lang w:val="zh-CN" w:bidi="ar"/>
        </w:rPr>
        <w:t xml:space="preserve">硬盘</w:t>
      </w:r>
      <w:r>
        <w:rPr>
          <w:rFonts w:hint="eastAsia" w:ascii="宋体" w:hAnsi="宋体" w:cs="宋体"/>
          <w:bCs/>
          <w:color w:val="auto"/>
          <w:sz w:val="24"/>
          <w:highlight w:val="none"/>
          <w:lang w:bidi="ar"/>
        </w:rPr>
        <w:t xml:space="preserve">； </w:t>
      </w:r>
      <w:r/>
    </w:p>
    <w:p>
      <w:pPr>
        <w:ind w:firstLine="420"/>
        <w:jc w:val="left"/>
        <w:spacing w:line="360" w:lineRule="auto"/>
        <w:rPr>
          <w:rFonts w:hint="eastAsia" w:ascii="宋体" w:hAnsi="宋体" w:cs="宋体"/>
          <w:bCs/>
          <w:color w:val="auto"/>
          <w:sz w:val="24"/>
          <w:highlight w:val="none"/>
          <w:lang w:bidi="ar"/>
        </w:rPr>
      </w:pPr>
      <w:r>
        <w:rPr>
          <w:rFonts w:hint="eastAsia" w:ascii="宋体" w:hAnsi="宋体" w:cs="宋体"/>
          <w:bCs/>
          <w:color w:val="auto"/>
          <w:sz w:val="24"/>
          <w:highlight w:val="none"/>
          <w:lang w:bidi="ar"/>
        </w:rPr>
        <w:t xml:space="preserve">6.2 图像处理软件系统：多维图像可视化功能及分析功能：可支持≥</w:t>
      </w:r>
      <w:r>
        <w:rPr>
          <w:rFonts w:hint="eastAsia" w:ascii="宋体" w:hAnsi="宋体" w:cs="宋体"/>
          <w:bCs/>
          <w:color w:val="auto"/>
          <w:sz w:val="24"/>
          <w:highlight w:val="none"/>
          <w:lang w:bidi="ar"/>
        </w:rPr>
        <w:t xml:space="preserve">3TB</w:t>
      </w:r>
      <w:r>
        <w:rPr>
          <w:rFonts w:hint="eastAsia" w:ascii="宋体" w:hAnsi="宋体" w:cs="宋体"/>
          <w:bCs/>
          <w:color w:val="auto"/>
          <w:sz w:val="24"/>
          <w:highlight w:val="none"/>
          <w:lang w:bidi="ar"/>
        </w:rPr>
        <w:t xml:space="preserve">级大数据量显微图像数据的</w:t>
      </w:r>
      <w:r>
        <w:rPr>
          <w:rFonts w:hint="eastAsia" w:ascii="宋体" w:hAnsi="宋体" w:cs="宋体"/>
          <w:bCs/>
          <w:color w:val="auto"/>
          <w:sz w:val="24"/>
          <w:highlight w:val="none"/>
          <w:lang w:bidi="ar"/>
        </w:rPr>
        <w:t xml:space="preserve">2D</w:t>
      </w:r>
      <w:r>
        <w:rPr>
          <w:rFonts w:hint="eastAsia" w:ascii="宋体" w:hAnsi="宋体" w:cs="宋体"/>
          <w:bCs/>
          <w:color w:val="auto"/>
          <w:sz w:val="24"/>
          <w:highlight w:val="none"/>
          <w:lang w:bidi="ar"/>
        </w:rPr>
        <w:t xml:space="preserve">或</w:t>
      </w:r>
      <w:r>
        <w:rPr>
          <w:rFonts w:hint="eastAsia" w:ascii="宋体" w:hAnsi="宋体" w:cs="宋体"/>
          <w:bCs/>
          <w:color w:val="auto"/>
          <w:sz w:val="24"/>
          <w:highlight w:val="none"/>
          <w:lang w:bidi="ar"/>
        </w:rPr>
        <w:t xml:space="preserve">3D</w:t>
      </w:r>
      <w:r>
        <w:rPr>
          <w:rFonts w:hint="eastAsia" w:ascii="宋体" w:hAnsi="宋体" w:cs="宋体"/>
          <w:bCs/>
          <w:color w:val="auto"/>
          <w:sz w:val="24"/>
          <w:highlight w:val="none"/>
          <w:lang w:bidi="ar"/>
        </w:rPr>
        <w:t xml:space="preserve">或者</w:t>
      </w:r>
      <w:r>
        <w:rPr>
          <w:rFonts w:hint="eastAsia" w:ascii="宋体" w:hAnsi="宋体" w:cs="宋体"/>
          <w:bCs/>
          <w:color w:val="auto"/>
          <w:sz w:val="24"/>
          <w:highlight w:val="none"/>
          <w:lang w:bidi="ar"/>
        </w:rPr>
        <w:t xml:space="preserve">4D</w:t>
      </w:r>
      <w:r>
        <w:rPr>
          <w:rFonts w:hint="eastAsia" w:ascii="宋体" w:hAnsi="宋体" w:cs="宋体"/>
          <w:bCs/>
          <w:color w:val="auto"/>
          <w:sz w:val="24"/>
          <w:highlight w:val="none"/>
          <w:lang w:bidi="ar"/>
        </w:rPr>
        <w:t xml:space="preserve">可视化，数据处理和图像渲染不依赖于计算机内存，提供≥</w:t>
      </w:r>
      <w:r>
        <w:rPr>
          <w:rFonts w:hint="eastAsia" w:ascii="宋体" w:hAnsi="宋体" w:cs="宋体"/>
          <w:bCs/>
          <w:color w:val="auto"/>
          <w:sz w:val="24"/>
          <w:highlight w:val="none"/>
          <w:lang w:bidi="ar"/>
        </w:rPr>
        <w:t xml:space="preserve">3</w:t>
      </w:r>
      <w:r>
        <w:rPr>
          <w:rFonts w:hint="eastAsia" w:ascii="宋体" w:hAnsi="宋体" w:cs="宋体"/>
          <w:bCs/>
          <w:color w:val="auto"/>
          <w:sz w:val="24"/>
          <w:highlight w:val="none"/>
          <w:lang w:bidi="ar"/>
        </w:rPr>
        <w:t xml:space="preserve">种图像三维渲染模式 ；</w:t>
      </w:r>
      <w:r/>
    </w:p>
    <w:p>
      <w:pPr>
        <w:ind w:firstLine="420"/>
        <w:jc w:val="left"/>
        <w:spacing w:line="360" w:lineRule="auto"/>
        <w:rPr>
          <w:rFonts w:ascii="宋体" w:hAnsi="宋体" w:cs="宋体"/>
          <w:color w:val="auto"/>
          <w:sz w:val="24"/>
          <w:highlight w:val="none"/>
        </w:rPr>
      </w:pPr>
      <w:r>
        <w:rPr>
          <w:rFonts w:hint="eastAsia" w:hAnsi="宋体" w:cs="宋体"/>
          <w:bCs/>
          <w:color w:val="auto"/>
          <w:sz w:val="24"/>
          <w:highlight w:val="none"/>
          <w:lang w:val="zh-CN"/>
        </w:rPr>
        <w:t xml:space="preserve">▲</w:t>
      </w:r>
      <w:r>
        <w:rPr>
          <w:rFonts w:hint="eastAsia" w:ascii="宋体" w:hAnsi="宋体" w:cs="宋体"/>
          <w:color w:val="auto"/>
          <w:sz w:val="24"/>
          <w:highlight w:val="none"/>
          <w:lang w:bidi="ar"/>
        </w:rPr>
        <w:t xml:space="preserve">6.3 AI数据处理功能：软件内置基于机器学习的图像分割和图像分类，不需接入第三方软件，即可进行AI图像分割。且支持云端深度学习模型训练功能，利用浏览器访问云端服务器，即可训练深度学习模型；</w:t>
      </w:r>
      <w:r>
        <w:rPr>
          <w:rFonts w:ascii="宋体" w:hAnsi="宋体" w:cs="宋体"/>
          <w:b/>
          <w:bCs/>
          <w:color w:val="auto"/>
          <w:sz w:val="24"/>
          <w:highlight w:val="none"/>
        </w:rPr>
        <w:t xml:space="preserve">提供相关证明材料并加盖投标单位公章（包括但不限于明确说明该技术内容的产品彩页或产品说明书或白皮书或功能截图或第三方检测机构的检测报告等）</w:t>
      </w:r>
      <w:r>
        <w:rPr>
          <w:rFonts w:hint="eastAsia" w:ascii="宋体" w:hAnsi="宋体" w:cs="宋体"/>
          <w:color w:val="auto"/>
          <w:sz w:val="24"/>
          <w:highlight w:val="none"/>
          <w:lang w:bidi="ar"/>
        </w:rPr>
        <w:t xml:space="preserve">；</w:t>
      </w:r>
      <w:r/>
    </w:p>
    <w:p>
      <w:pPr>
        <w:ind w:firstLine="420"/>
        <w:jc w:val="left"/>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6.4 结构的分离及渲染：能够对分离得到的物体，根据其不同的表面积、体积、空间位置、圆球度、椭球度等参数在3D视觉可视化中进行颜色编码。可以对3D渲染的不同物体之间的关系进行定量分析。可在三维层面上对任意角度获取的两个大数据体积图像进行拼接、融合，产生新的图像数据，从而进一步处理、三维渲染和分析。用于融合的体积图像可以基于表面或者标记点进行调整和对齐，合并的体积图像可以作为新的通道数据保存在现有的图像集中。</w:t>
      </w:r>
      <w:r/>
    </w:p>
    <w:p>
      <w:pPr>
        <w:jc w:val="left"/>
        <w:spacing w:line="360" w:lineRule="auto"/>
        <w:rPr>
          <w:rFonts w:ascii="宋体" w:hAnsi="宋体" w:cs="宋体"/>
          <w:bCs/>
          <w:color w:val="auto"/>
          <w:sz w:val="24"/>
          <w:highlight w:val="none"/>
        </w:rPr>
      </w:pPr>
      <w:r>
        <w:rPr>
          <w:rFonts w:hint="eastAsia" w:ascii="宋体" w:hAnsi="宋体" w:cs="宋体"/>
          <w:color w:val="auto"/>
          <w:sz w:val="24"/>
          <w:highlight w:val="none"/>
          <w:lang w:bidi="ar"/>
        </w:rPr>
        <w:t xml:space="preserve">7</w:t>
      </w:r>
      <w:r>
        <w:rPr>
          <w:rFonts w:hint="eastAsia" w:ascii="宋体" w:hAnsi="宋体" w:cs="宋体"/>
          <w:bCs/>
          <w:color w:val="auto"/>
          <w:sz w:val="24"/>
          <w:highlight w:val="none"/>
          <w:lang w:bidi="ar"/>
        </w:rPr>
        <w:t xml:space="preserve">.内置连续超薄切片机：</w:t>
      </w:r>
      <w:r/>
    </w:p>
    <w:p>
      <w:pPr>
        <w:ind w:firstLine="240"/>
        <w:jc w:val="left"/>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w:t>
      </w:r>
      <w:r>
        <w:rPr>
          <w:rFonts w:hint="eastAsia" w:ascii="宋体" w:hAnsi="宋体" w:cs="宋体"/>
          <w:bCs/>
          <w:color w:val="auto"/>
          <w:sz w:val="24"/>
          <w:highlight w:val="none"/>
          <w:lang w:bidi="ar"/>
        </w:rPr>
        <w:t xml:space="preserve">7.1 切片厚度范围满足：</w:t>
      </w:r>
      <w:r>
        <w:rPr>
          <w:rFonts w:hint="eastAsia" w:ascii="宋体" w:hAnsi="宋体" w:cs="宋体"/>
          <w:bCs/>
          <w:color w:val="auto"/>
          <w:sz w:val="24"/>
          <w:highlight w:val="none"/>
          <w:lang w:bidi="ar"/>
        </w:rPr>
        <w:t xml:space="preserve">25nm-200nm</w:t>
      </w:r>
      <w:r>
        <w:rPr>
          <w:rFonts w:hint="eastAsia" w:ascii="宋体" w:hAnsi="宋体" w:cs="宋体"/>
          <w:bCs/>
          <w:color w:val="auto"/>
          <w:sz w:val="24"/>
          <w:highlight w:val="none"/>
          <w:lang w:bidi="ar"/>
        </w:rPr>
        <w:t xml:space="preserve">；步进精度不大于：</w:t>
      </w:r>
      <w:r>
        <w:rPr>
          <w:rFonts w:hint="eastAsia" w:ascii="宋体" w:hAnsi="宋体" w:cs="宋体"/>
          <w:bCs/>
          <w:color w:val="auto"/>
          <w:sz w:val="24"/>
          <w:highlight w:val="none"/>
          <w:lang w:bidi="ar"/>
        </w:rPr>
        <w:t xml:space="preserve">1nm</w:t>
      </w:r>
      <w:r>
        <w:rPr>
          <w:rFonts w:hint="eastAsia" w:ascii="宋体" w:hAnsi="宋体" w:cs="宋体"/>
          <w:bCs/>
          <w:color w:val="auto"/>
          <w:sz w:val="24"/>
          <w:highlight w:val="none"/>
          <w:lang w:bidi="ar"/>
        </w:rPr>
        <w:t xml:space="preserve">；</w:t>
      </w:r>
      <w:r/>
    </w:p>
    <w:p>
      <w:pPr>
        <w:ind w:firstLine="240"/>
        <w:jc w:val="left"/>
        <w:spacing w:line="360" w:lineRule="auto"/>
        <w:rPr>
          <w:rFonts w:ascii="宋体" w:hAnsi="宋体" w:cs="宋体"/>
          <w:bCs/>
          <w:color w:val="auto"/>
          <w:sz w:val="24"/>
          <w:highlight w:val="none"/>
        </w:rPr>
      </w:pPr>
      <w:r>
        <w:rPr>
          <w:rFonts w:hint="eastAsia" w:ascii="宋体" w:hAnsi="宋体" w:cs="宋体"/>
          <w:bCs/>
          <w:color w:val="auto"/>
          <w:sz w:val="24"/>
          <w:highlight w:val="none"/>
          <w:lang w:bidi="ar"/>
        </w:rPr>
        <w:t xml:space="preserve">7.2 Z轴行程范围：不小于</w:t>
      </w:r>
      <w:r>
        <w:rPr>
          <w:rFonts w:hint="eastAsia" w:ascii="宋体" w:hAnsi="宋体" w:cs="宋体"/>
          <w:bCs/>
          <w:color w:val="auto"/>
          <w:sz w:val="24"/>
          <w:highlight w:val="none"/>
          <w:lang w:bidi="ar"/>
        </w:rPr>
        <w:t xml:space="preserve">1.2mm</w:t>
      </w:r>
      <w:r/>
    </w:p>
    <w:p>
      <w:pPr>
        <w:jc w:val="left"/>
        <w:spacing w:line="360" w:lineRule="auto"/>
        <w:rPr>
          <w:rFonts w:ascii="宋体" w:hAnsi="宋体" w:cs="宋体"/>
          <w:bCs/>
          <w:color w:val="auto"/>
          <w:sz w:val="24"/>
          <w:highlight w:val="none"/>
        </w:rPr>
      </w:pPr>
      <w:r>
        <w:rPr>
          <w:rFonts w:hint="eastAsia" w:ascii="宋体" w:hAnsi="宋体" w:cs="宋体"/>
          <w:bCs/>
          <w:color w:val="auto"/>
          <w:sz w:val="24"/>
          <w:highlight w:val="none"/>
          <w:lang w:bidi="ar"/>
        </w:rPr>
        <w:t xml:space="preserve">  </w:t>
      </w:r>
      <w:r>
        <w:rPr>
          <w:rFonts w:hint="eastAsia" w:ascii="宋体" w:hAnsi="宋体" w:cs="宋体"/>
          <w:bCs/>
          <w:color w:val="auto"/>
          <w:sz w:val="24"/>
          <w:highlight w:val="none"/>
          <w:lang w:bidi="ar"/>
        </w:rPr>
        <w:t xml:space="preserve">7.3 钻石刀数量：不少于</w:t>
      </w:r>
      <w:r>
        <w:rPr>
          <w:rFonts w:hint="eastAsia" w:ascii="宋体" w:hAnsi="宋体" w:cs="宋体"/>
          <w:bCs/>
          <w:color w:val="auto"/>
          <w:sz w:val="24"/>
          <w:highlight w:val="none"/>
          <w:lang w:bidi="ar"/>
        </w:rPr>
        <w:t xml:space="preserve">2</w:t>
      </w:r>
      <w:r>
        <w:rPr>
          <w:rFonts w:hint="eastAsia" w:ascii="宋体" w:hAnsi="宋体" w:cs="宋体"/>
          <w:bCs/>
          <w:color w:val="auto"/>
          <w:sz w:val="24"/>
          <w:highlight w:val="none"/>
          <w:lang w:bidi="ar"/>
        </w:rPr>
        <w:t xml:space="preserve">个</w:t>
      </w:r>
      <w:r/>
    </w:p>
    <w:p>
      <w:pPr>
        <w:ind w:firstLine="240"/>
        <w:jc w:val="left"/>
        <w:spacing w:line="360" w:lineRule="auto"/>
        <w:rPr>
          <w:rFonts w:ascii="宋体" w:hAnsi="宋体" w:cs="宋体"/>
          <w:bCs/>
          <w:color w:val="auto"/>
          <w:sz w:val="24"/>
          <w:highlight w:val="none"/>
        </w:rPr>
      </w:pPr>
      <w:r>
        <w:rPr>
          <w:rFonts w:hint="eastAsia" w:ascii="宋体" w:hAnsi="宋体" w:cs="宋体"/>
          <w:bCs/>
          <w:color w:val="auto"/>
          <w:sz w:val="24"/>
          <w:highlight w:val="none"/>
          <w:lang w:bidi="ar"/>
        </w:rPr>
        <w:t xml:space="preserve">7.4 钻石刀宽度：≥</w:t>
      </w:r>
      <w:r>
        <w:rPr>
          <w:rFonts w:hint="eastAsia" w:ascii="宋体" w:hAnsi="宋体" w:cs="宋体"/>
          <w:bCs/>
          <w:color w:val="auto"/>
          <w:sz w:val="24"/>
          <w:highlight w:val="none"/>
          <w:lang w:bidi="ar"/>
        </w:rPr>
        <w:t xml:space="preserve">1.5mm </w:t>
      </w:r>
      <w:r/>
    </w:p>
    <w:p>
      <w:pPr>
        <w:ind w:firstLine="240"/>
        <w:jc w:val="left"/>
        <w:spacing w:line="360" w:lineRule="auto"/>
        <w:rPr>
          <w:rFonts w:ascii="宋体" w:hAnsi="宋体" w:cs="宋体"/>
          <w:bCs/>
          <w:color w:val="auto"/>
          <w:sz w:val="24"/>
          <w:highlight w:val="none"/>
        </w:rPr>
      </w:pPr>
      <w:r>
        <w:rPr>
          <w:rFonts w:hint="eastAsia" w:ascii="宋体" w:hAnsi="宋体" w:cs="宋体"/>
          <w:bCs/>
          <w:color w:val="auto"/>
          <w:sz w:val="24"/>
          <w:highlight w:val="none"/>
          <w:lang w:bidi="ar"/>
        </w:rPr>
        <w:t xml:space="preserve">7.5 最小工作距离：≤</w:t>
      </w:r>
      <w:r>
        <w:rPr>
          <w:rFonts w:hint="eastAsia" w:ascii="宋体" w:hAnsi="宋体" w:cs="宋体"/>
          <w:bCs/>
          <w:color w:val="auto"/>
          <w:sz w:val="24"/>
          <w:highlight w:val="none"/>
          <w:lang w:bidi="ar"/>
        </w:rPr>
        <w:t xml:space="preserve">5mm</w:t>
      </w:r>
      <w:r/>
    </w:p>
    <w:p>
      <w:pPr>
        <w:pStyle w:val="889"/>
        <w:ind w:firstLine="240"/>
        <w:spacing w:before="0" w:beforeAutospacing="0" w:after="0" w:afterAutospacing="0" w:line="360" w:lineRule="auto"/>
        <w:widowControl w:val="off"/>
        <w:rPr>
          <w:color w:val="auto"/>
          <w:highlight w:val="none"/>
        </w:rPr>
      </w:pPr>
      <w:r>
        <w:rPr>
          <w:rFonts w:hint="eastAsia"/>
          <w:bCs/>
          <w:color w:val="auto"/>
          <w:highlight w:val="none"/>
          <w:lang w:bidi="ar"/>
        </w:rPr>
        <w:t xml:space="preserve">7.6 可切割样品最大截面尺寸：</w:t>
      </w:r>
      <w:r>
        <w:rPr>
          <w:rFonts w:hint="eastAsia"/>
          <w:color w:val="auto"/>
          <w:highlight w:val="none"/>
        </w:rPr>
        <w:t xml:space="preserve">不小于</w:t>
      </w:r>
      <w:r>
        <w:rPr>
          <w:rFonts w:hint="eastAsia"/>
          <w:bCs/>
          <w:color w:val="auto"/>
          <w:highlight w:val="none"/>
          <w:lang w:bidi="ar"/>
        </w:rPr>
        <w:t xml:space="preserve">1mm x 1mm x 1mm</w:t>
      </w:r>
      <w:r/>
    </w:p>
    <w:p>
      <w:pPr>
        <w:pStyle w:val="1439"/>
        <w:numPr>
          <w:ilvl w:val="0"/>
          <w:numId w:val="0"/>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三、服务要求</w:t>
      </w:r>
      <w:bookmarkEnd w:id="39"/>
      <w:r/>
      <w:bookmarkEnd w:id="40"/>
      <w:r/>
      <w:bookmarkEnd w:id="41"/>
      <w:r/>
      <w:r/>
    </w:p>
    <w:p>
      <w:pPr>
        <w:ind w:firstLine="241"/>
        <w:spacing w:line="360" w:lineRule="auto"/>
        <w:rPr>
          <w:rFonts w:ascii="宋体" w:hAnsi="宋体"/>
          <w:color w:val="auto"/>
          <w:sz w:val="24"/>
          <w:highlight w:val="none"/>
        </w:rPr>
      </w:pPr>
      <w:r>
        <w:rPr>
          <w:rFonts w:hint="eastAsia" w:ascii="宋体" w:hAnsi="宋体"/>
          <w:b/>
          <w:bCs/>
          <w:color w:val="auto"/>
          <w:sz w:val="24"/>
          <w:highlight w:val="none"/>
        </w:rPr>
        <w:t xml:space="preserve">（1）技术培训：</w:t>
      </w:r>
      <w:r>
        <w:rPr>
          <w:rFonts w:hint="eastAsia" w:ascii="宋体" w:hAnsi="宋体"/>
          <w:color w:val="auto"/>
          <w:sz w:val="24"/>
          <w:highlight w:val="none"/>
        </w:rPr>
        <w:t xml:space="preserve">供应商负责派专业技术人员到采购人处进行不少于</w:t>
      </w:r>
      <w:r>
        <w:rPr>
          <w:color w:val="auto"/>
          <w:sz w:val="24"/>
          <w:highlight w:val="none"/>
        </w:rPr>
        <w:t xml:space="preserve">10</w:t>
      </w:r>
      <w:r>
        <w:rPr>
          <w:rFonts w:hint="eastAsia" w:ascii="宋体" w:hAnsi="宋体"/>
          <w:color w:val="auto"/>
          <w:sz w:val="24"/>
          <w:highlight w:val="none"/>
        </w:rPr>
        <w:t xml:space="preserve">次的设备操作培训，培训人员数量不低于</w:t>
      </w:r>
      <w:r>
        <w:rPr>
          <w:rFonts w:hint="eastAsia"/>
          <w:color w:val="auto"/>
          <w:sz w:val="24"/>
          <w:highlight w:val="none"/>
        </w:rPr>
        <w:t xml:space="preserve">3</w:t>
      </w:r>
      <w:r>
        <w:rPr>
          <w:rFonts w:hint="eastAsia" w:ascii="宋体" w:hAnsi="宋体"/>
          <w:color w:val="auto"/>
          <w:sz w:val="24"/>
          <w:highlight w:val="none"/>
        </w:rPr>
        <w:t xml:space="preserve">人，使其能熟练掌握仪器的各项性能（包括硬件和软件）。在设备操作培训以后，若有采购人仍有技术问题，供应商在任何时候，都应在</w:t>
      </w:r>
      <w:r>
        <w:rPr>
          <w:rFonts w:ascii="宋体" w:hAnsi="宋体"/>
          <w:color w:val="auto"/>
          <w:sz w:val="24"/>
          <w:highlight w:val="none"/>
        </w:rPr>
        <w:t xml:space="preserve">24</w:t>
      </w:r>
      <w:r>
        <w:rPr>
          <w:rFonts w:hint="eastAsia" w:ascii="宋体" w:hAnsi="宋体"/>
          <w:color w:val="auto"/>
          <w:sz w:val="24"/>
          <w:highlight w:val="none"/>
        </w:rPr>
        <w:t xml:space="preserve">小时以内提供详细技术方案并予以解决。</w:t>
      </w:r>
      <w:r/>
    </w:p>
    <w:p>
      <w:pPr>
        <w:ind w:firstLine="241"/>
        <w:spacing w:line="360" w:lineRule="auto"/>
        <w:rPr>
          <w:rFonts w:ascii="宋体" w:hAnsi="宋体"/>
          <w:color w:val="auto"/>
          <w:sz w:val="24"/>
          <w:highlight w:val="none"/>
        </w:rPr>
      </w:pPr>
      <w:r>
        <w:rPr>
          <w:rFonts w:hint="eastAsia" w:ascii="宋体" w:hAnsi="宋体"/>
          <w:b/>
          <w:bCs/>
          <w:color w:val="auto"/>
          <w:sz w:val="24"/>
          <w:highlight w:val="none"/>
        </w:rPr>
        <w:t xml:space="preserve">（2）保修期：</w:t>
      </w:r>
      <w:r>
        <w:rPr>
          <w:rFonts w:hint="eastAsia" w:ascii="宋体" w:hAnsi="宋体"/>
          <w:color w:val="auto"/>
          <w:sz w:val="24"/>
          <w:highlight w:val="none"/>
        </w:rPr>
        <w:t xml:space="preserve">不低于</w:t>
      </w:r>
      <w:r>
        <w:rPr>
          <w:rFonts w:ascii="宋体" w:hAnsi="宋体"/>
          <w:color w:val="auto"/>
          <w:sz w:val="24"/>
          <w:highlight w:val="none"/>
        </w:rPr>
        <w:t xml:space="preserve">1</w:t>
      </w:r>
      <w:r>
        <w:rPr>
          <w:rFonts w:hint="eastAsia" w:ascii="宋体" w:hAnsi="宋体"/>
          <w:color w:val="auto"/>
          <w:sz w:val="24"/>
          <w:highlight w:val="none"/>
        </w:rPr>
        <w:t xml:space="preserve">年，自验收合格次日起算。质保期内发生任何设备损坏，所需要的维修费用（包括零部件费用、维修费用）均由供应商承担（人为操作不当造成的损坏除外）。</w:t>
      </w:r>
      <w:r/>
    </w:p>
    <w:p>
      <w:pPr>
        <w:ind w:firstLine="241"/>
        <w:spacing w:line="360" w:lineRule="auto"/>
        <w:rPr>
          <w:rFonts w:ascii="宋体" w:hAnsi="宋体"/>
          <w:color w:val="auto"/>
          <w:sz w:val="24"/>
          <w:highlight w:val="none"/>
        </w:rPr>
      </w:pPr>
      <w:r>
        <w:rPr>
          <w:rFonts w:hint="eastAsia" w:ascii="宋体" w:hAnsi="宋体"/>
          <w:b/>
          <w:bCs/>
          <w:color w:val="auto"/>
          <w:sz w:val="24"/>
          <w:highlight w:val="none"/>
        </w:rPr>
        <w:t xml:space="preserve">（3）售后技术服务要求：</w:t>
      </w:r>
      <w:r>
        <w:rPr>
          <w:rFonts w:hint="eastAsia" w:ascii="宋体" w:hAnsi="宋体"/>
          <w:color w:val="auto"/>
          <w:sz w:val="24"/>
          <w:highlight w:val="none"/>
        </w:rPr>
        <w:t xml:space="preserve">供应商应在国内有专门负责的维修工程师或技术支持工程师。供应商应在</w:t>
      </w:r>
      <w:r>
        <w:rPr>
          <w:rFonts w:ascii="宋体" w:hAnsi="宋体"/>
          <w:color w:val="auto"/>
          <w:sz w:val="24"/>
          <w:highlight w:val="none"/>
        </w:rPr>
        <w:t xml:space="preserve">1</w:t>
      </w:r>
      <w:r>
        <w:rPr>
          <w:rFonts w:hint="eastAsia" w:ascii="宋体" w:hAnsi="宋体"/>
          <w:color w:val="auto"/>
          <w:sz w:val="24"/>
          <w:highlight w:val="none"/>
        </w:rPr>
        <w:t xml:space="preserve">小时内电话响应，在</w:t>
      </w:r>
      <w:r>
        <w:rPr>
          <w:rFonts w:ascii="宋体" w:hAnsi="宋体"/>
          <w:color w:val="auto"/>
          <w:sz w:val="24"/>
          <w:highlight w:val="none"/>
        </w:rPr>
        <w:t xml:space="preserve">24</w:t>
      </w:r>
      <w:r>
        <w:rPr>
          <w:rFonts w:hint="eastAsia" w:ascii="宋体" w:hAnsi="宋体"/>
          <w:color w:val="auto"/>
          <w:sz w:val="24"/>
          <w:highlight w:val="none"/>
        </w:rPr>
        <w:t xml:space="preserve">小时内对采购人的服务要求提出解决方案，经确认如有需要，技术人员须在</w:t>
      </w:r>
      <w:r>
        <w:rPr>
          <w:rFonts w:ascii="宋体" w:hAnsi="宋体"/>
          <w:color w:val="auto"/>
          <w:sz w:val="24"/>
          <w:highlight w:val="none"/>
        </w:rPr>
        <w:t xml:space="preserve">48</w:t>
      </w:r>
      <w:r>
        <w:rPr>
          <w:rFonts w:hint="eastAsia" w:ascii="宋体" w:hAnsi="宋体"/>
          <w:color w:val="auto"/>
          <w:sz w:val="24"/>
          <w:highlight w:val="none"/>
        </w:rPr>
        <w:t xml:space="preserve">小时内到达现场；重大问题或其他无法迅速解决的问题应在一周内解决或提出明确解决方案，否则供应商应赔偿相应损失。</w:t>
      </w:r>
      <w:r/>
    </w:p>
    <w:p>
      <w:pPr>
        <w:pStyle w:val="862"/>
        <w:ind w:left="0"/>
        <w:spacing w:line="440" w:lineRule="exact"/>
        <w:rPr>
          <w:color w:val="auto"/>
          <w:sz w:val="24"/>
          <w:highlight w:val="none"/>
        </w:rPr>
      </w:pPr>
      <w:r>
        <w:rPr>
          <w:rFonts w:hint="eastAsia" w:ascii="宋体" w:hAnsi="宋体"/>
          <w:b/>
          <w:bCs/>
          <w:color w:val="auto"/>
          <w:spacing w:val="8"/>
          <w:sz w:val="24"/>
          <w:highlight w:val="none"/>
        </w:rPr>
        <w:t xml:space="preserve">四、安装要求：</w:t>
      </w:r>
      <w:r/>
    </w:p>
    <w:p>
      <w:pPr>
        <w:pStyle w:val="862"/>
        <w:ind w:left="0" w:firstLine="480"/>
        <w:spacing w:line="440" w:lineRule="exact"/>
        <w:rPr>
          <w:color w:val="auto"/>
          <w:sz w:val="24"/>
          <w:highlight w:val="none"/>
        </w:rPr>
      </w:pPr>
      <w:r>
        <w:rPr>
          <w:rFonts w:hint="eastAsia" w:cs="Calibri"/>
          <w:color w:val="auto"/>
          <w:sz w:val="24"/>
          <w:highlight w:val="none"/>
        </w:rPr>
        <w:t xml:space="preserve">1</w:t>
      </w:r>
      <w:r>
        <w:rPr>
          <w:rFonts w:hint="eastAsia" w:ascii="宋体" w:hAnsi="宋体"/>
          <w:color w:val="auto"/>
          <w:sz w:val="24"/>
          <w:highlight w:val="none"/>
        </w:rPr>
        <w:t xml:space="preserve">、按照国家现行业规范标准进行安装，符合国家或行业质量检验评定标准，没有行业标准的产品，供应商应提供相关制造商标准。</w:t>
      </w:r>
      <w:r/>
    </w:p>
    <w:p>
      <w:pPr>
        <w:pStyle w:val="862"/>
        <w:ind w:left="0" w:firstLine="480"/>
        <w:spacing w:line="440" w:lineRule="exact"/>
        <w:rPr>
          <w:color w:val="auto"/>
          <w:sz w:val="24"/>
          <w:highlight w:val="none"/>
        </w:rPr>
      </w:pPr>
      <w:r>
        <w:rPr>
          <w:rFonts w:hint="eastAsia" w:cs="Calibri"/>
          <w:color w:val="auto"/>
          <w:sz w:val="24"/>
          <w:highlight w:val="none"/>
        </w:rPr>
        <w:t xml:space="preserve">2</w:t>
      </w:r>
      <w:r>
        <w:rPr>
          <w:rFonts w:hint="eastAsia" w:ascii="宋体" w:hAnsi="宋体"/>
          <w:color w:val="auto"/>
          <w:sz w:val="24"/>
          <w:highlight w:val="none"/>
        </w:rPr>
        <w:t xml:space="preserve">、设备安装调试：设备到货后，供应商在接到通知的</w:t>
      </w:r>
      <w:r>
        <w:rPr>
          <w:color w:val="auto"/>
          <w:sz w:val="24"/>
          <w:highlight w:val="none"/>
        </w:rPr>
        <w:t xml:space="preserve"> 5</w:t>
      </w:r>
      <w:r>
        <w:rPr>
          <w:rFonts w:hint="eastAsia" w:ascii="宋体" w:hAnsi="宋体"/>
          <w:color w:val="auto"/>
          <w:sz w:val="24"/>
          <w:highlight w:val="none"/>
        </w:rPr>
        <w:t xml:space="preserve">个工作日内派人前往负责该设备的安装、调试和操作培训，直至达到各项验收指标合格。</w:t>
      </w:r>
      <w:r/>
    </w:p>
    <w:p>
      <w:pPr>
        <w:pStyle w:val="862"/>
        <w:ind w:left="0" w:firstLine="480"/>
        <w:spacing w:line="440" w:lineRule="exact"/>
        <w:rPr>
          <w:color w:val="auto"/>
          <w:sz w:val="24"/>
          <w:szCs w:val="32"/>
          <w:highlight w:val="none"/>
        </w:rPr>
      </w:pPr>
      <w:r>
        <w:rPr>
          <w:color w:val="auto"/>
          <w:sz w:val="24"/>
          <w:szCs w:val="32"/>
          <w:highlight w:val="none"/>
        </w:rPr>
      </w:r>
      <w:r/>
    </w:p>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（第二部分：商务部分要求）</w:t>
      </w:r>
      <w:r/>
    </w:p>
    <w:p>
      <w:pPr>
        <w:spacing w:line="360" w:lineRule="auto"/>
        <w:rPr>
          <w:rFonts w:ascii="宋体" w:hAnsi="宋体" w:cs="宋体"/>
          <w:color w:val="auto"/>
          <w:sz w:val="24"/>
          <w:highlight w:val="none"/>
          <w:lang w:val="zh-CN"/>
        </w:rPr>
      </w:pPr>
      <w:r>
        <w:rPr>
          <w:rFonts w:hint="eastAsia" w:ascii="宋体" w:hAnsi="宋体" w:cs="宋体"/>
          <w:b/>
          <w:bCs/>
          <w:color w:val="auto"/>
          <w:sz w:val="24"/>
          <w:highlight w:val="none"/>
          <w:lang w:val="zh-CN"/>
        </w:rPr>
        <w:t xml:space="preserve">五、交货期、交货方式及交货地点</w:t>
      </w:r>
      <w:r/>
    </w:p>
    <w:p>
      <w:pPr>
        <w:ind w:firstLine="42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 交货期：合同签订生效后，进口设备（免税）三个月内、国产设备及进口设备（非免税）一个月内全部设备、材料运抵现场，并安装、调试结束，验收合格</w:t>
      </w:r>
      <w:r>
        <w:rPr>
          <w:rFonts w:hint="eastAsia" w:ascii="宋体" w:hAnsi="宋体"/>
          <w:color w:val="auto"/>
          <w:sz w:val="24"/>
          <w:highlight w:val="none"/>
          <w:lang w:val="zh-CN"/>
        </w:rPr>
        <w:t xml:space="preserve">，交付采购方使用。</w:t>
      </w:r>
      <w:r/>
    </w:p>
    <w:p>
      <w:pPr>
        <w:ind w:firstLine="42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 交货方式：中标人在</w:t>
      </w:r>
      <w:r>
        <w:rPr>
          <w:rFonts w:hint="eastAsia" w:ascii="宋体" w:hAnsi="宋体" w:cs="宋体"/>
          <w:color w:val="auto"/>
          <w:sz w:val="24"/>
          <w:highlight w:val="none"/>
        </w:rPr>
        <w:t xml:space="preserve">采购方</w:t>
      </w:r>
      <w:r>
        <w:rPr>
          <w:rFonts w:hint="eastAsia" w:ascii="宋体" w:hAnsi="宋体" w:cs="宋体"/>
          <w:color w:val="auto"/>
          <w:sz w:val="24"/>
          <w:highlight w:val="none"/>
          <w:lang w:val="zh-CN"/>
        </w:rPr>
        <w:t xml:space="preserve">指定地点交货，并完成安装、调试。</w:t>
      </w:r>
      <w:r/>
    </w:p>
    <w:p>
      <w:pPr>
        <w:ind w:firstLine="42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3. 交货地点：</w:t>
      </w:r>
      <w:r>
        <w:rPr>
          <w:rFonts w:hint="eastAsia" w:hAnsi="宋体"/>
          <w:color w:val="auto"/>
          <w:sz w:val="24"/>
          <w:highlight w:val="none"/>
          <w:lang w:val="zh-CN"/>
        </w:rPr>
        <w:t xml:space="preserve">南京医科大学指定地点。</w:t>
      </w:r>
      <w:r/>
    </w:p>
    <w:p>
      <w:pPr>
        <w:pStyle w:val="865"/>
        <w:spacing w:line="360" w:lineRule="auto"/>
        <w:rPr>
          <w:rFonts w:hAnsi="宋体" w:cs="宋体"/>
          <w:b/>
          <w:bCs/>
          <w:color w:val="auto"/>
          <w:spacing w:val="8"/>
          <w:sz w:val="24"/>
          <w:szCs w:val="24"/>
          <w:highlight w:val="none"/>
        </w:rPr>
      </w:pPr>
      <w:r>
        <w:rPr>
          <w:rFonts w:hint="eastAsia" w:hAnsi="宋体" w:cs="宋体"/>
          <w:b/>
          <w:bCs/>
          <w:color w:val="auto"/>
          <w:spacing w:val="8"/>
          <w:sz w:val="24"/>
          <w:highlight w:val="none"/>
        </w:rPr>
        <w:t xml:space="preserve">六、</w:t>
      </w:r>
      <w:r>
        <w:rPr>
          <w:rFonts w:hint="eastAsia" w:hAnsi="宋体" w:cs="宋体"/>
          <w:b/>
          <w:bCs/>
          <w:color w:val="auto"/>
          <w:spacing w:val="8"/>
          <w:sz w:val="24"/>
          <w:szCs w:val="24"/>
          <w:highlight w:val="none"/>
        </w:rPr>
        <w:t xml:space="preserve">项目的验收方案</w:t>
      </w:r>
      <w:r/>
    </w:p>
    <w:p>
      <w:pPr>
        <w:pStyle w:val="865"/>
        <w:ind w:firstLine="480"/>
        <w:spacing w:line="360" w:lineRule="auto"/>
        <w:rPr>
          <w:rFonts w:hAnsi="宋体"/>
          <w:bCs/>
          <w:color w:val="auto"/>
          <w:sz w:val="24"/>
          <w:highlight w:val="none"/>
        </w:rPr>
      </w:pPr>
      <w:r>
        <w:rPr>
          <w:rFonts w:hint="eastAsia" w:hAnsi="宋体"/>
          <w:bCs/>
          <w:color w:val="auto"/>
          <w:sz w:val="24"/>
          <w:highlight w:val="none"/>
        </w:rPr>
        <w:t xml:space="preserve">投标人应根据招标文件要求及本项目特点，制订项目验收方案。</w:t>
      </w:r>
      <w:bookmarkStart w:id="46" w:name="_Hlk47438576"/>
      <w:r>
        <w:rPr>
          <w:rFonts w:hint="eastAsia" w:hAnsi="宋体"/>
          <w:bCs/>
          <w:color w:val="auto"/>
          <w:sz w:val="24"/>
          <w:highlight w:val="none"/>
        </w:rPr>
        <w:t xml:space="preserve">验收方案要体现项目的全过程质量管控，对包括产品进场、安装过程、系统调试等实施验收并进行全过程记录，以及收集整理包括设备合格证、技术文档等的全套材料</w:t>
      </w:r>
      <w:bookmarkEnd w:id="46"/>
      <w:r>
        <w:rPr>
          <w:rFonts w:hint="eastAsia" w:hAnsi="宋体"/>
          <w:bCs/>
          <w:color w:val="auto"/>
          <w:sz w:val="24"/>
          <w:highlight w:val="none"/>
        </w:rPr>
        <w:t xml:space="preserve">，确保本项目达到投标人的各项响应承诺要求，货物交付、安装、调试，准备验收前，中标人需提前一周提交验收申请通知单至南京医科大学资产处。</w:t>
      </w:r>
      <w:r/>
    </w:p>
    <w:p>
      <w:pPr>
        <w:pStyle w:val="862"/>
        <w:ind w:left="0"/>
        <w:spacing w:line="440" w:lineRule="exact"/>
        <w:rPr>
          <w:rFonts w:ascii="宋体" w:hAnsi="宋体" w:cs="宋体"/>
          <w:b/>
          <w:bCs/>
          <w:color w:val="auto"/>
          <w:spacing w:val="8"/>
          <w:sz w:val="24"/>
          <w:highlight w:val="none"/>
        </w:rPr>
      </w:pPr>
      <w:r>
        <w:rPr>
          <w:rFonts w:hint="eastAsia" w:hAnsi="宋体" w:cs="宋体"/>
          <w:b/>
          <w:bCs/>
          <w:color w:val="auto"/>
          <w:spacing w:val="8"/>
          <w:sz w:val="24"/>
          <w:highlight w:val="none"/>
        </w:rPr>
        <w:t xml:space="preserve">七、</w:t>
      </w:r>
      <w:r>
        <w:rPr>
          <w:rFonts w:hint="eastAsia" w:ascii="宋体" w:hAnsi="宋体" w:cs="宋体"/>
          <w:b/>
          <w:bCs/>
          <w:color w:val="auto"/>
          <w:spacing w:val="8"/>
          <w:sz w:val="24"/>
          <w:highlight w:val="none"/>
        </w:rPr>
        <w:t xml:space="preserve">其他技术服务要求：</w:t>
      </w:r>
      <w:r/>
    </w:p>
    <w:p>
      <w:pPr>
        <w:pStyle w:val="862"/>
        <w:ind w:left="0" w:firstLine="480"/>
        <w:spacing w:line="440" w:lineRule="exact"/>
        <w:rPr>
          <w:color w:val="auto"/>
          <w:sz w:val="24"/>
          <w:szCs w:val="32"/>
          <w:highlight w:val="none"/>
        </w:rPr>
      </w:pPr>
      <w:r>
        <w:rPr>
          <w:rFonts w:hint="eastAsia"/>
          <w:color w:val="auto"/>
          <w:sz w:val="24"/>
          <w:szCs w:val="32"/>
          <w:highlight w:val="none"/>
        </w:rPr>
        <w:t xml:space="preserve">1、</w:t>
      </w:r>
      <w:bookmarkStart w:id="47" w:name="OLE_LINK10"/>
      <w:r>
        <w:rPr>
          <w:rFonts w:hint="eastAsia"/>
          <w:color w:val="auto"/>
          <w:sz w:val="24"/>
          <w:szCs w:val="32"/>
          <w:highlight w:val="none"/>
        </w:rPr>
        <w:t xml:space="preserve">供应商须保证本次投标产品系优质材料和先进工艺制成新出厂的产品，且完全与投标响应文件所述相符。</w:t>
      </w:r>
      <w:bookmarkEnd w:id="47"/>
      <w:r/>
      <w:r/>
    </w:p>
    <w:p>
      <w:pPr>
        <w:pStyle w:val="862"/>
        <w:ind w:left="0" w:firstLine="480"/>
        <w:spacing w:line="440" w:lineRule="exact"/>
        <w:rPr>
          <w:color w:val="auto"/>
          <w:sz w:val="24"/>
          <w:szCs w:val="32"/>
          <w:highlight w:val="none"/>
        </w:rPr>
      </w:pPr>
      <w:r>
        <w:rPr>
          <w:rFonts w:hint="eastAsia"/>
          <w:color w:val="auto"/>
          <w:sz w:val="24"/>
          <w:szCs w:val="32"/>
          <w:highlight w:val="none"/>
        </w:rPr>
        <w:t xml:space="preserve">2、交付使用前发生的产品硬件损坏和不合格，一律退换新品。在质保期开始的前三个月内，若发生产品损坏和性能不合格（非使用不当原因造成），除采购人同意修理之外，亦应退换新品。</w:t>
      </w:r>
      <w:r/>
    </w:p>
    <w:p>
      <w:pPr>
        <w:rPr>
          <w:rFonts w:ascii="宋体" w:hAnsi="宋体" w:cs="宋体"/>
          <w:b/>
          <w:bCs/>
          <w:color w:val="auto"/>
          <w:spacing w:val="8"/>
          <w:sz w:val="24"/>
          <w:highlight w:val="none"/>
        </w:rPr>
      </w:pPr>
      <w:r>
        <w:rPr>
          <w:rFonts w:ascii="宋体" w:hAnsi="宋体" w:cs="宋体"/>
          <w:b/>
          <w:bCs/>
          <w:color w:val="auto"/>
          <w:spacing w:val="8"/>
          <w:sz w:val="24"/>
          <w:highlight w:val="none"/>
        </w:rPr>
      </w:r>
      <w:r/>
    </w:p>
    <w:p>
      <w:pPr>
        <w:pStyle w:val="865"/>
        <w:spacing w:line="360" w:lineRule="auto"/>
        <w:rPr>
          <w:rFonts w:hAnsi="宋体" w:cs="宋体"/>
          <w:b/>
          <w:bCs/>
          <w:color w:val="auto"/>
          <w:spacing w:val="8"/>
          <w:sz w:val="24"/>
          <w:szCs w:val="24"/>
          <w:highlight w:val="none"/>
        </w:rPr>
      </w:pPr>
      <w:r>
        <w:rPr>
          <w:rFonts w:hint="eastAsia" w:hAnsi="宋体" w:cs="宋体"/>
          <w:b/>
          <w:bCs/>
          <w:color w:val="auto"/>
          <w:sz w:val="24"/>
          <w:szCs w:val="24"/>
          <w:highlight w:val="none"/>
        </w:rPr>
        <w:t xml:space="preserve">八</w:t>
      </w:r>
      <w:r>
        <w:rPr>
          <w:rFonts w:hint="eastAsia" w:hAnsi="宋体" w:cs="宋体"/>
          <w:b/>
          <w:bCs/>
          <w:color w:val="auto"/>
          <w:sz w:val="24"/>
          <w:szCs w:val="24"/>
          <w:highlight w:val="none"/>
          <w:lang w:val="zh-CN"/>
        </w:rPr>
        <w:t xml:space="preserve">、</w:t>
      </w:r>
      <w:r>
        <w:rPr>
          <w:rFonts w:hint="eastAsia" w:hAnsi="宋体" w:cs="宋体"/>
          <w:b/>
          <w:bCs/>
          <w:color w:val="auto"/>
          <w:spacing w:val="8"/>
          <w:sz w:val="24"/>
          <w:szCs w:val="24"/>
          <w:highlight w:val="none"/>
        </w:rPr>
        <w:t xml:space="preserve">结算方式</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1、国产设备及进口设备（非免税）：货物交付、安装、调试且通过验收后一周内（遇寒暑假和法定节假日顺延），学校支付合同总金额的100%，付款之前需收到中标供应商开具的合法有效的相应全额发票。</w:t>
      </w:r>
      <w:r/>
    </w:p>
    <w:p>
      <w:pPr>
        <w:pStyle w:val="865"/>
        <w:ind w:firstLine="480"/>
        <w:spacing w:before="120" w:after="120" w:line="330" w:lineRule="atLeast"/>
        <w:rPr>
          <w:rFonts w:hAnsi="宋体" w:cs="宋体"/>
          <w:color w:val="auto"/>
          <w:sz w:val="24"/>
          <w:szCs w:val="24"/>
          <w:highlight w:val="none"/>
        </w:rPr>
      </w:pPr>
      <w:r>
        <w:rPr>
          <w:rFonts w:hint="eastAsia" w:hAnsi="宋体" w:cs="宋体"/>
          <w:color w:val="auto"/>
          <w:sz w:val="24"/>
          <w:szCs w:val="24"/>
          <w:highlight w:val="none"/>
        </w:rPr>
        <w:t xml:space="preserve">2、进口设备（免税）：</w:t>
      </w:r>
      <w:bookmarkStart w:id="48" w:name="_Toc30691"/>
      <w:r/>
      <w:bookmarkStart w:id="49" w:name="_Toc5640"/>
      <w:r/>
      <w:r/>
    </w:p>
    <w:p>
      <w:pPr>
        <w:pStyle w:val="865"/>
        <w:ind w:firstLine="480"/>
        <w:spacing w:before="120" w:after="120" w:line="330" w:lineRule="atLeast"/>
        <w:rPr>
          <w:rFonts w:hAnsi="宋体" w:cs="宋体"/>
          <w:color w:val="auto"/>
          <w:sz w:val="24"/>
          <w:szCs w:val="24"/>
          <w:highlight w:val="none"/>
        </w:rPr>
      </w:pPr>
      <w:r>
        <w:rPr>
          <w:rFonts w:hint="eastAsia" w:hAnsi="宋体" w:cs="宋体"/>
          <w:color w:val="auto"/>
          <w:sz w:val="24"/>
          <w:szCs w:val="24"/>
          <w:highlight w:val="none"/>
        </w:rPr>
        <w:t xml:space="preserve">（1）合同签订后，外贸代理公司提供受益人为南京医科大学的100%合同金额的预付款银行保函，保函有效期为</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天（供货期＋2个月），银行保函服务费由中标单位承担。</w:t>
      </w:r>
      <w:r/>
    </w:p>
    <w:p>
      <w:pPr>
        <w:pStyle w:val="865"/>
        <w:ind w:firstLine="480"/>
        <w:spacing w:before="120" w:after="120" w:line="330" w:lineRule="atLeast"/>
        <w:rPr>
          <w:rFonts w:hAnsi="宋体" w:cs="宋体"/>
          <w:color w:val="auto"/>
          <w:sz w:val="24"/>
          <w:szCs w:val="24"/>
          <w:highlight w:val="none"/>
        </w:rPr>
      </w:pPr>
      <w:r>
        <w:rPr>
          <w:rFonts w:hint="eastAsia" w:hAnsi="宋体" w:cs="宋体"/>
          <w:color w:val="auto"/>
          <w:sz w:val="24"/>
          <w:szCs w:val="24"/>
          <w:highlight w:val="none"/>
        </w:rPr>
        <w:t xml:space="preserve">（2）外贸代理公司收到100%货款后按照合同办理相关进口手续，货到验收合格后由学校通知外贸代理公司一周内开具合法有效的全额发票，并支付100%货款至境外厂家。</w:t>
      </w:r>
      <w:bookmarkEnd w:id="48"/>
      <w:r/>
      <w:bookmarkEnd w:id="49"/>
      <w:r/>
      <w:r/>
    </w:p>
    <w:p>
      <w:pPr>
        <w:pStyle w:val="865"/>
        <w:spacing w:line="360" w:lineRule="auto"/>
        <w:rPr>
          <w:rFonts w:hAnsi="宋体" w:cs="宋体"/>
          <w:b/>
          <w:bCs/>
          <w:color w:val="auto"/>
          <w:spacing w:val="8"/>
          <w:sz w:val="24"/>
          <w:szCs w:val="24"/>
          <w:highlight w:val="none"/>
        </w:rPr>
      </w:pPr>
      <w:r>
        <w:rPr>
          <w:rFonts w:hint="eastAsia" w:hAnsi="宋体" w:cs="宋体"/>
          <w:b/>
          <w:bCs/>
          <w:color w:val="auto"/>
          <w:spacing w:val="8"/>
          <w:sz w:val="24"/>
          <w:szCs w:val="24"/>
          <w:highlight w:val="none"/>
        </w:rPr>
        <w:t xml:space="preserve">九、履约保证金</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1、缴纳履约保证金</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中标后7个工作日内，将中标合同金额10%的履约保证金以银行对公转账形式支付至学校指定账户，并将加盖单位公章的银行回执单或网银截图递交至学校，学校凭付款凭证及财务处到款情况办理合同签订相关手续。</w:t>
      </w:r>
      <w:r/>
    </w:p>
    <w:p>
      <w:pPr>
        <w:ind w:firstLine="482"/>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南京医科大学指定账户信息具体如下：</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单位名称：南京医科大学</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开 户 行：南京市工行汉中门支行                          </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账    号：4301010109001038622</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注：请在转账时备注“项目名称+履约保证金”字样。</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若供应商中标后无故拖延、拒绝缴纳或逾期缴纳履约保证金，则视为中标供应商放弃中标资格，学校有权取消其中标结果，按照评审报告推荐的中标或者成交候选人名单排序，确定下一候选人为中标或者成交供应商，或者重新组织招标。</w:t>
      </w:r>
      <w:r/>
    </w:p>
    <w:p>
      <w:pPr>
        <w:ind w:firstLine="480"/>
        <w:jc w:val="left"/>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3、合同履行过程中，若经学校核实存在货物质量问题或中标供应商违约情形，学校有权在通知中标供应商后，从履约保证金中抵扣相应的补偿或赔偿款项。</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4、履约保证金退还流程</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（1）自货物验收合格之日起12个月后，中标供应商可向学校出具货物最终验收单，并同步提交填写完整的《履约保证金退还申请单》。</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（2）经最终用户签字确认，核实无质量问题且供应商无违约情形后，学校于确认完成后一个月内，将履约保证金一次性无息退还中标供应商。</w:t>
      </w:r>
      <w:r/>
    </w:p>
    <w:p>
      <w:pPr>
        <w:pStyle w:val="865"/>
        <w:spacing w:line="360" w:lineRule="auto"/>
        <w:rPr>
          <w:rFonts w:hAnsi="宋体" w:cs="宋体"/>
          <w:b/>
          <w:bCs/>
          <w:color w:val="auto"/>
          <w:sz w:val="28"/>
          <w:szCs w:val="28"/>
          <w:highlight w:val="none"/>
        </w:rPr>
      </w:pPr>
      <w:r>
        <w:rPr>
          <w:rFonts w:hint="eastAsia" w:hAnsi="宋体" w:cs="宋体"/>
          <w:b/>
          <w:bCs/>
          <w:color w:val="auto"/>
          <w:spacing w:val="8"/>
          <w:sz w:val="24"/>
          <w:szCs w:val="24"/>
          <w:highlight w:val="none"/>
        </w:rPr>
        <w:t xml:space="preserve">十、投标报价</w:t>
      </w:r>
      <w:r/>
    </w:p>
    <w:p>
      <w:pPr>
        <w:pStyle w:val="862"/>
        <w:ind w:left="0" w:firstLine="512"/>
        <w:jc w:val="left"/>
        <w:spacing w:line="440" w:lineRule="exact"/>
        <w:rPr>
          <w:rFonts w:ascii="宋体" w:hAnsi="宋体" w:cs="宋体"/>
          <w:color w:val="auto"/>
          <w:spacing w:val="8"/>
          <w:sz w:val="24"/>
          <w:highlight w:val="none"/>
        </w:rPr>
      </w:pPr>
      <w:r>
        <w:rPr>
          <w:rFonts w:hint="eastAsia" w:ascii="宋体" w:hAnsi="宋体" w:cs="宋体"/>
          <w:color w:val="auto"/>
          <w:spacing w:val="8"/>
          <w:sz w:val="24"/>
          <w:highlight w:val="none"/>
        </w:rPr>
        <w:t xml:space="preserve">1、所有投标响应均以人民币报价。供应商的投标响应报价应遵守“中华人民共和国价格法”。该报价为到采购人指定地点现场的全部费用，含相关税费，运输费，保险费，安装费及相关服务费等一切可能发生的费用。如投标产品为进口产品，投标响应报价必须报进口免税价。进口免税价须包含在采购人指定地点交货的,除进口关税和进口增值税外的全部费用,并包含进口代理服务费、安装、调试、培训和检测等的全部费用。</w:t>
      </w:r>
      <w:r/>
    </w:p>
    <w:p>
      <w:pPr>
        <w:pStyle w:val="862"/>
        <w:ind w:left="0" w:firstLine="512"/>
        <w:jc w:val="left"/>
        <w:spacing w:line="440" w:lineRule="exact"/>
        <w:rPr>
          <w:rFonts w:ascii="宋体" w:hAnsi="宋体" w:cs="宋体"/>
          <w:color w:val="auto"/>
          <w:spacing w:val="8"/>
          <w:sz w:val="24"/>
          <w:highlight w:val="none"/>
        </w:rPr>
      </w:pPr>
      <w:r>
        <w:rPr>
          <w:rFonts w:hint="eastAsia" w:ascii="宋体" w:hAnsi="宋体" w:cs="宋体"/>
          <w:color w:val="auto"/>
          <w:spacing w:val="8"/>
          <w:sz w:val="24"/>
          <w:highlight w:val="none"/>
        </w:rPr>
        <w:t xml:space="preserve">如进口免税货物在国务院税委会公告的加征关税商品清单中，加征的关税应包含在投标总价中，即采购人在按照政府采购合同规定的付款方式和金额支付完货款后，不承担任何其他的或后续的费用。</w:t>
      </w:r>
      <w:r/>
    </w:p>
    <w:p>
      <w:pPr>
        <w:pStyle w:val="862"/>
        <w:ind w:left="0" w:firstLine="512"/>
        <w:jc w:val="left"/>
        <w:spacing w:line="440" w:lineRule="exact"/>
        <w:rPr>
          <w:rFonts w:ascii="宋体" w:hAnsi="宋体" w:cs="宋体"/>
          <w:color w:val="auto"/>
          <w:spacing w:val="8"/>
          <w:sz w:val="24"/>
          <w:highlight w:val="none"/>
        </w:rPr>
      </w:pPr>
      <w:r>
        <w:rPr>
          <w:rFonts w:hint="eastAsia" w:ascii="宋体" w:hAnsi="宋体" w:cs="宋体"/>
          <w:color w:val="auto"/>
          <w:spacing w:val="8"/>
          <w:sz w:val="24"/>
          <w:highlight w:val="none"/>
        </w:rPr>
        <w:t xml:space="preserve">2、报价时应充分考虑所有可能影响到报价的因素，一旦评审结束最终成交，如发生漏、缺、少项都将被认为是成交供应商的报价让利行为，损失自负。</w:t>
      </w:r>
      <w:r/>
    </w:p>
    <w:p>
      <w:pPr>
        <w:pStyle w:val="862"/>
        <w:ind w:left="0" w:firstLine="512"/>
        <w:jc w:val="left"/>
        <w:spacing w:line="440" w:lineRule="exact"/>
        <w:rPr>
          <w:rFonts w:ascii="宋体" w:hAnsi="宋体" w:cs="宋体"/>
          <w:color w:val="auto"/>
          <w:spacing w:val="8"/>
          <w:sz w:val="24"/>
          <w:highlight w:val="none"/>
        </w:rPr>
      </w:pPr>
      <w:r>
        <w:rPr>
          <w:rFonts w:hint="eastAsia" w:ascii="宋体" w:hAnsi="宋体" w:cs="宋体"/>
          <w:color w:val="auto"/>
          <w:spacing w:val="8"/>
          <w:sz w:val="24"/>
          <w:highlight w:val="none"/>
        </w:rPr>
        <w:t xml:space="preserve">3、采购人已通过招标方式确定了为其办理进口免税及进口手续的外贸代理服务供应商。若该项目下的进口设备需要办理进口免税及相关进口手续，则须由采购人指定的外贸代理服务供应商办理，否则由此产生的一切责任及后果均由中标供应商自行承担。外贸代理进口包干费用包含：银行费用、报关费用等进口相关费用，但是货款、税除外。</w:t>
      </w:r>
      <w:r/>
    </w:p>
    <w:p>
      <w:pPr>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各档代理费率为：</w:t>
      </w:r>
      <w:r/>
    </w:p>
    <w:tbl>
      <w:tblPr>
        <w:tblStyle w:val="8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4291"/>
        <w:gridCol w:w="2109"/>
      </w:tblGrid>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862"/>
              <w:ind w:left="0"/>
              <w:jc w:val="center"/>
              <w:spacing w:line="320" w:lineRule="exact"/>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档列</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862"/>
              <w:ind w:left="0"/>
              <w:jc w:val="center"/>
              <w:spacing w:line="320" w:lineRule="exact"/>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合同价（单位：美元）</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862"/>
              <w:ind w:left="0"/>
              <w:jc w:val="center"/>
              <w:spacing w:line="320" w:lineRule="exact"/>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每段代理费率</w:t>
            </w:r>
            <w:r/>
          </w:p>
        </w:tc>
      </w:tr>
      <w:tr>
        <w:trPr>
          <w:jc w:val="center"/>
          <w:trHeight w:val="460"/>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862"/>
              <w:ind w:left="0"/>
              <w:jc w:val="center"/>
              <w:spacing w:line="320" w:lineRule="exact"/>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862"/>
              <w:ind w:left="0"/>
              <w:jc w:val="center"/>
              <w:spacing w:line="320" w:lineRule="exact"/>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合同价＜10000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862"/>
              <w:ind w:left="0"/>
              <w:jc w:val="center"/>
              <w:spacing w:line="320" w:lineRule="exact"/>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0.13</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862"/>
              <w:ind w:left="0"/>
              <w:jc w:val="center"/>
              <w:spacing w:line="320" w:lineRule="exact"/>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862"/>
              <w:ind w:left="0"/>
              <w:jc w:val="center"/>
              <w:spacing w:line="320" w:lineRule="exact"/>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10，000≤合同价＜30，000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862"/>
              <w:ind w:left="0"/>
              <w:jc w:val="center"/>
              <w:spacing w:line="320" w:lineRule="exact"/>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0.11</w:t>
            </w:r>
            <w:r/>
          </w:p>
        </w:tc>
      </w:tr>
      <w:tr>
        <w:trPr>
          <w:jc w:val="center"/>
          <w:trHeight w:val="431"/>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862"/>
              <w:ind w:left="0"/>
              <w:jc w:val="center"/>
              <w:spacing w:line="320" w:lineRule="exact"/>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862"/>
              <w:ind w:left="0"/>
              <w:jc w:val="center"/>
              <w:spacing w:line="320" w:lineRule="exact"/>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30，000≤合同价＜50，000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862"/>
              <w:ind w:left="0"/>
              <w:jc w:val="center"/>
              <w:spacing w:line="320" w:lineRule="exact"/>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0.07       </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862"/>
              <w:ind w:left="0"/>
              <w:jc w:val="center"/>
              <w:spacing w:line="320" w:lineRule="exact"/>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862"/>
              <w:ind w:left="0"/>
              <w:jc w:val="center"/>
              <w:spacing w:line="320" w:lineRule="exact"/>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50，000≤合同价＜100，000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862"/>
              <w:ind w:left="0"/>
              <w:jc w:val="center"/>
              <w:spacing w:line="320" w:lineRule="exact"/>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0.05</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862"/>
              <w:ind w:left="0"/>
              <w:jc w:val="center"/>
              <w:spacing w:line="320" w:lineRule="exact"/>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862"/>
              <w:ind w:left="0"/>
              <w:jc w:val="center"/>
              <w:spacing w:line="320" w:lineRule="exact"/>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100，000≤合同价＜200，000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862"/>
              <w:ind w:left="0"/>
              <w:jc w:val="center"/>
              <w:spacing w:line="320" w:lineRule="exact"/>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0.04</w:t>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7660" w:type="dxa"/>
            <w:vAlign w:val="center"/>
            <w:textDirection w:val="lrTb"/>
            <w:noWrap w:val="false"/>
          </w:tcPr>
          <w:p>
            <w:pPr>
              <w:pStyle w:val="862"/>
              <w:ind w:left="0"/>
              <w:spacing w:line="320" w:lineRule="exact"/>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合同价为20万美元及以上的，代理费率不高于上述代理费中最低一档。</w:t>
            </w:r>
            <w:r/>
          </w:p>
        </w:tc>
      </w:tr>
    </w:tbl>
    <w:p>
      <w:pPr>
        <w:ind w:firstLine="211"/>
        <w:jc w:val="left"/>
        <w:widowControl/>
        <w:rPr>
          <w:rFonts w:ascii="宋体" w:hAnsi="宋体" w:cs="宋体"/>
          <w:b/>
          <w:bCs/>
          <w:color w:val="auto"/>
          <w:szCs w:val="21"/>
          <w:highlight w:val="none"/>
          <w:lang w:bidi="ar"/>
        </w:rPr>
      </w:pPr>
      <w:r>
        <w:rPr>
          <w:rFonts w:ascii="宋体" w:hAnsi="宋体" w:cs="宋体"/>
          <w:b/>
          <w:bCs/>
          <w:color w:val="auto"/>
          <w:szCs w:val="21"/>
          <w:highlight w:val="none"/>
          <w:lang w:bidi="ar"/>
        </w:rPr>
      </w:r>
      <w:r/>
    </w:p>
    <w:p>
      <w:pPr>
        <w:ind w:firstLine="480"/>
        <w:spacing w:line="360" w:lineRule="auto"/>
        <w:widowControl/>
        <w:rPr>
          <w:rFonts w:ascii="宋体" w:hAnsi="宋体" w:cs="宋体"/>
          <w:b/>
          <w:bCs/>
          <w:color w:val="auto"/>
          <w:szCs w:val="21"/>
          <w:highlight w:val="none"/>
          <w:lang w:val="zh-CN"/>
        </w:rPr>
      </w:pPr>
      <w:r>
        <w:rPr>
          <w:rFonts w:hint="eastAsia"/>
          <w:color w:val="auto"/>
          <w:sz w:val="24"/>
          <w:szCs w:val="32"/>
          <w:highlight w:val="none"/>
        </w:rPr>
        <w:t xml:space="preserve">如潜在供应商所投产品为进口（免税）产品，请自行综合考虑外贸代理费等报价事宜。</w:t>
      </w:r>
      <w:r/>
    </w:p>
    <w:p>
      <w:pPr>
        <w:ind w:firstLine="720"/>
        <w:spacing w:line="360" w:lineRule="auto"/>
        <w:widowControl/>
        <w:rPr>
          <w:rFonts w:ascii="宋体" w:hAnsi="宋体" w:cs="宋体"/>
          <w:color w:val="auto"/>
          <w:sz w:val="36"/>
          <w:szCs w:val="36"/>
          <w:highlight w:val="none"/>
          <w:lang w:val="zh-CN"/>
        </w:rPr>
      </w:pPr>
      <w:r>
        <w:rPr>
          <w:rFonts w:hint="eastAsia" w:ascii="宋体" w:hAnsi="宋体" w:cs="宋体"/>
          <w:color w:val="auto"/>
          <w:sz w:val="36"/>
          <w:szCs w:val="36"/>
          <w:highlight w:val="none"/>
          <w:lang w:val="zh-CN"/>
        </w:rPr>
        <w:br w:type="page" w:clear="all"/>
      </w:r>
      <w:r/>
    </w:p>
    <w:p>
      <w:pPr>
        <w:pStyle w:val="837"/>
        <w:jc w:val="center"/>
        <w:spacing w:line="360" w:lineRule="auto"/>
        <w:rPr>
          <w:rFonts w:ascii="宋体" w:hAnsi="宋体" w:cs="宋体"/>
          <w:color w:val="auto"/>
          <w:sz w:val="32"/>
          <w:szCs w:val="32"/>
          <w:highlight w:val="none"/>
        </w:rPr>
      </w:pPr>
      <w:r>
        <w:rPr>
          <w:rFonts w:hint="eastAsia" w:ascii="宋体" w:hAnsi="宋体" w:cs="宋体"/>
          <w:color w:val="auto"/>
          <w:sz w:val="36"/>
          <w:szCs w:val="36"/>
          <w:highlight w:val="none"/>
          <w:lang w:val="zh-CN"/>
        </w:rPr>
        <w:t xml:space="preserve">第五章  </w:t>
      </w:r>
      <w:bookmarkStart w:id="50" w:name="_Toc13969"/>
      <w:r>
        <w:rPr>
          <w:rFonts w:hint="eastAsia" w:ascii="宋体" w:hAnsi="宋体" w:cs="宋体"/>
          <w:color w:val="auto"/>
          <w:sz w:val="32"/>
          <w:szCs w:val="32"/>
          <w:highlight w:val="none"/>
        </w:rPr>
        <w:t xml:space="preserve"> </w:t>
      </w:r>
      <w:bookmarkEnd w:id="50"/>
      <w:r>
        <w:rPr>
          <w:rFonts w:hint="eastAsia" w:ascii="宋体" w:hAnsi="宋体" w:cs="宋体"/>
          <w:color w:val="auto"/>
          <w:sz w:val="36"/>
          <w:szCs w:val="36"/>
          <w:highlight w:val="none"/>
          <w:lang w:val="zh-CN"/>
        </w:rPr>
        <w:t xml:space="preserve">合同主要条款及格式</w:t>
      </w:r>
      <w:r>
        <w:rPr>
          <w:rFonts w:hint="eastAsia" w:ascii="宋体" w:hAnsi="宋体" w:cs="宋体"/>
          <w:color w:val="auto"/>
          <w:sz w:val="36"/>
          <w:szCs w:val="36"/>
          <w:highlight w:val="none"/>
        </w:rPr>
        <w:t xml:space="preserve"> </w:t>
      </w:r>
      <w:r/>
    </w:p>
    <w:p>
      <w:pPr>
        <w:pStyle w:val="865"/>
        <w:jc w:val="center"/>
        <w:spacing w:before="120" w:after="120" w:line="360" w:lineRule="auto"/>
        <w:rPr>
          <w:rFonts w:hAnsi="宋体" w:cs="宋体"/>
          <w:b/>
          <w:bCs/>
          <w:color w:val="auto"/>
          <w:sz w:val="24"/>
          <w:highlight w:val="none"/>
          <w:u w:val="single"/>
        </w:rPr>
      </w:pPr>
      <w:r>
        <w:rPr>
          <w:rFonts w:hint="eastAsia" w:hAnsi="宋体" w:cs="宋体"/>
          <w:b/>
          <w:bCs/>
          <w:color w:val="auto"/>
          <w:sz w:val="24"/>
          <w:highlight w:val="none"/>
          <w:u w:val="single"/>
        </w:rPr>
        <w:t xml:space="preserve">南京医科大学疫苗平台扫透一体电子显微系统采购项目合同</w:t>
      </w:r>
      <w:r/>
    </w:p>
    <w:p>
      <w:pPr>
        <w:pStyle w:val="865"/>
        <w:ind w:firstLine="420"/>
        <w:spacing w:before="120" w:after="120"/>
        <w:rPr>
          <w:rFonts w:hAnsi="宋体" w:cs="宋体"/>
          <w:color w:val="auto"/>
          <w:highlight w:val="none"/>
        </w:rPr>
      </w:pPr>
      <w:r>
        <w:rPr>
          <w:rFonts w:hint="eastAsia" w:hAnsi="宋体" w:cs="宋体"/>
          <w:color w:val="auto"/>
          <w:highlight w:val="none"/>
        </w:rPr>
        <w:t xml:space="preserve">甲方：（买方）_________         乙方：（卖方）_________ </w:t>
      </w:r>
      <w:r/>
    </w:p>
    <w:p>
      <w:pPr>
        <w:pStyle w:val="865"/>
        <w:ind w:firstLine="420"/>
        <w:spacing w:before="120" w:after="120"/>
        <w:rPr>
          <w:rFonts w:hAnsi="宋体" w:cs="宋体"/>
          <w:color w:val="auto"/>
          <w:highlight w:val="none"/>
          <w:u w:val="single"/>
        </w:rPr>
      </w:pPr>
      <w:r>
        <w:rPr>
          <w:rFonts w:hint="eastAsia" w:hAnsi="宋体" w:cs="宋体"/>
          <w:color w:val="auto"/>
          <w:highlight w:val="none"/>
        </w:rPr>
        <w:t xml:space="preserve">法定代表人：</w:t>
      </w:r>
      <w:r>
        <w:rPr>
          <w:rFonts w:hint="eastAsia" w:hAnsi="宋体" w:cs="宋体"/>
          <w:color w:val="auto"/>
          <w:highlight w:val="none"/>
          <w:u w:val="single"/>
        </w:rPr>
        <w:t xml:space="preserve">          </w:t>
      </w:r>
      <w:r>
        <w:rPr>
          <w:rFonts w:hint="eastAsia" w:hAnsi="宋体" w:cs="宋体"/>
          <w:color w:val="auto"/>
          <w:highlight w:val="none"/>
        </w:rPr>
        <w:t xml:space="preserve">         法定代表人：</w:t>
      </w:r>
      <w:r>
        <w:rPr>
          <w:rFonts w:hint="eastAsia" w:hAnsi="宋体" w:cs="宋体"/>
          <w:color w:val="auto"/>
          <w:highlight w:val="none"/>
          <w:u w:val="single"/>
        </w:rPr>
        <w:t xml:space="preserve">           </w:t>
      </w:r>
      <w:r/>
    </w:p>
    <w:p>
      <w:pPr>
        <w:pStyle w:val="865"/>
        <w:ind w:firstLine="420"/>
        <w:spacing w:before="120" w:after="120"/>
        <w:rPr>
          <w:rFonts w:hAnsi="宋体" w:cs="宋体"/>
          <w:color w:val="auto"/>
          <w:highlight w:val="none"/>
          <w:u w:val="single"/>
        </w:rPr>
      </w:pPr>
      <w:r>
        <w:rPr>
          <w:rFonts w:hint="eastAsia" w:hAnsi="宋体" w:cs="宋体"/>
          <w:color w:val="auto"/>
          <w:highlight w:val="none"/>
        </w:rPr>
        <w:t xml:space="preserve">地址：</w:t>
      </w:r>
      <w:r>
        <w:rPr>
          <w:rFonts w:hint="eastAsia" w:hAnsi="宋体" w:cs="宋体"/>
          <w:color w:val="auto"/>
          <w:highlight w:val="none"/>
          <w:u w:val="single"/>
        </w:rPr>
        <w:t xml:space="preserve">                </w:t>
      </w:r>
      <w:r>
        <w:rPr>
          <w:rFonts w:hint="eastAsia" w:hAnsi="宋体" w:cs="宋体"/>
          <w:color w:val="auto"/>
          <w:highlight w:val="none"/>
        </w:rPr>
        <w:t xml:space="preserve">         地址：</w:t>
      </w:r>
      <w:r>
        <w:rPr>
          <w:rFonts w:hint="eastAsia" w:hAnsi="宋体" w:cs="宋体"/>
          <w:color w:val="auto"/>
          <w:highlight w:val="none"/>
          <w:u w:val="single"/>
        </w:rPr>
        <w:t xml:space="preserve">                 </w:t>
      </w:r>
      <w:r/>
    </w:p>
    <w:p>
      <w:pPr>
        <w:pStyle w:val="865"/>
        <w:ind w:firstLine="420"/>
        <w:spacing w:before="120" w:after="120"/>
        <w:rPr>
          <w:rFonts w:hAnsi="宋体" w:cs="宋体"/>
          <w:color w:val="auto"/>
          <w:highlight w:val="none"/>
          <w:u w:val="single"/>
        </w:rPr>
      </w:pPr>
      <w:r>
        <w:rPr>
          <w:rFonts w:hint="eastAsia" w:hAnsi="宋体" w:cs="宋体"/>
          <w:color w:val="auto"/>
          <w:highlight w:val="none"/>
        </w:rPr>
        <w:t xml:space="preserve">联系人：</w:t>
      </w:r>
      <w:r>
        <w:rPr>
          <w:rFonts w:hint="eastAsia" w:hAnsi="宋体" w:cs="宋体"/>
          <w:color w:val="auto"/>
          <w:highlight w:val="none"/>
          <w:u w:val="single"/>
        </w:rPr>
        <w:t xml:space="preserve">              </w:t>
      </w:r>
      <w:r>
        <w:rPr>
          <w:rFonts w:hint="eastAsia" w:hAnsi="宋体" w:cs="宋体"/>
          <w:color w:val="auto"/>
          <w:highlight w:val="none"/>
        </w:rPr>
        <w:t xml:space="preserve">         联系人：</w:t>
      </w:r>
      <w:r>
        <w:rPr>
          <w:rFonts w:hint="eastAsia" w:hAnsi="宋体" w:cs="宋体"/>
          <w:color w:val="auto"/>
          <w:highlight w:val="none"/>
          <w:u w:val="single"/>
        </w:rPr>
        <w:t xml:space="preserve">                </w:t>
      </w:r>
      <w:r/>
    </w:p>
    <w:p>
      <w:pPr>
        <w:pStyle w:val="865"/>
        <w:ind w:firstLine="420"/>
        <w:spacing w:before="120" w:after="120"/>
        <w:rPr>
          <w:rFonts w:hAnsi="宋体" w:cs="宋体"/>
          <w:color w:val="auto"/>
          <w:highlight w:val="none"/>
        </w:rPr>
      </w:pPr>
      <w:r>
        <w:rPr>
          <w:rFonts w:hint="eastAsia" w:hAnsi="宋体" w:cs="宋体"/>
          <w:color w:val="auto"/>
          <w:highlight w:val="none"/>
        </w:rPr>
        <w:t xml:space="preserve">联系方式：</w:t>
      </w:r>
      <w:r>
        <w:rPr>
          <w:rFonts w:hint="eastAsia" w:hAnsi="宋体" w:cs="宋体"/>
          <w:color w:val="auto"/>
          <w:highlight w:val="none"/>
          <w:u w:val="single"/>
        </w:rPr>
        <w:t xml:space="preserve">            </w:t>
      </w:r>
      <w:r>
        <w:rPr>
          <w:rFonts w:hint="eastAsia" w:hAnsi="宋体" w:cs="宋体"/>
          <w:color w:val="auto"/>
          <w:highlight w:val="none"/>
        </w:rPr>
        <w:t xml:space="preserve">         联系方式：</w:t>
      </w:r>
      <w:r>
        <w:rPr>
          <w:rFonts w:hint="eastAsia" w:hAnsi="宋体" w:cs="宋体"/>
          <w:color w:val="auto"/>
          <w:highlight w:val="none"/>
          <w:u w:val="single"/>
        </w:rPr>
        <w:t xml:space="preserve">             </w:t>
      </w:r>
      <w:r>
        <w:rPr>
          <w:rFonts w:hint="eastAsia" w:hAnsi="宋体" w:cs="宋体"/>
          <w:color w:val="auto"/>
          <w:highlight w:val="none"/>
        </w:rPr>
        <w:t xml:space="preserve">  </w:t>
      </w:r>
      <w:r/>
    </w:p>
    <w:p>
      <w:pPr>
        <w:pStyle w:val="865"/>
        <w:ind w:firstLine="420"/>
        <w:spacing w:before="120" w:after="120"/>
        <w:rPr>
          <w:rFonts w:hAnsi="宋体"/>
          <w:color w:val="auto"/>
          <w:sz w:val="24"/>
          <w:szCs w:val="28"/>
          <w:highlight w:val="none"/>
        </w:rPr>
      </w:pPr>
      <w:r>
        <w:rPr>
          <w:rFonts w:hint="eastAsia" w:hAnsi="宋体" w:cs="宋体"/>
          <w:color w:val="auto"/>
          <w:highlight w:val="none"/>
        </w:rPr>
        <w:t xml:space="preserve">甲、乙双方根据南京医科大学 </w:t>
      </w:r>
      <w:r>
        <w:rPr>
          <w:rFonts w:hint="eastAsia" w:hAnsi="宋体" w:cs="宋体"/>
          <w:color w:val="auto"/>
          <w:highlight w:val="none"/>
          <w:u w:val="single"/>
        </w:rPr>
        <w:t xml:space="preserve">                    项目 </w:t>
      </w:r>
      <w:r>
        <w:rPr>
          <w:rFonts w:hint="eastAsia" w:hAnsi="宋体" w:cs="宋体"/>
          <w:color w:val="auto"/>
          <w:highlight w:val="none"/>
        </w:rPr>
        <w:t xml:space="preserve">公开招标的结果，本着自愿及平等互利的原则，就甲方向乙方购买本合同约定的货物事宜，签署本合同。</w:t>
      </w:r>
      <w:r/>
    </w:p>
    <w:p>
      <w:pPr>
        <w:pStyle w:val="865"/>
        <w:ind w:firstLine="482"/>
        <w:spacing w:before="120" w:after="120" w:line="330" w:lineRule="atLeast"/>
        <w:rPr>
          <w:rFonts w:hAnsi="宋体"/>
          <w:b/>
          <w:color w:val="auto"/>
          <w:sz w:val="24"/>
          <w:szCs w:val="24"/>
          <w:highlight w:val="none"/>
        </w:rPr>
      </w:pPr>
      <w:r>
        <w:rPr>
          <w:rFonts w:hAnsi="宋体"/>
          <w:b/>
          <w:color w:val="auto"/>
          <w:sz w:val="24"/>
          <w:szCs w:val="24"/>
          <w:highlight w:val="none"/>
        </w:rPr>
        <w:t xml:space="preserve">一、货物内容</w:t>
      </w:r>
      <w:r>
        <w:rPr>
          <w:rFonts w:hint="eastAsia" w:hAnsi="宋体"/>
          <w:b/>
          <w:color w:val="auto"/>
          <w:sz w:val="24"/>
          <w:szCs w:val="24"/>
          <w:highlight w:val="none"/>
        </w:rPr>
        <w:t xml:space="preserve">、数量及金额</w:t>
      </w:r>
      <w:r/>
    </w:p>
    <w:tbl>
      <w:tblPr>
        <w:tblStyle w:val="847"/>
        <w:tblW w:w="5000"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1460"/>
        <w:gridCol w:w="1029"/>
        <w:gridCol w:w="1029"/>
        <w:gridCol w:w="1029"/>
        <w:gridCol w:w="1037"/>
        <w:gridCol w:w="1623"/>
        <w:gridCol w:w="1628"/>
      </w:tblGrid>
      <w:tr>
        <w:trPr>
          <w:jc w:val="center"/>
        </w:trPr>
        <w:tc>
          <w:tcPr>
            <w:shd w:val="pct10" w:color="auto" w:fill="ffffff"/>
            <w:tcBorders>
              <w:top w:val="single" w:color="auto" w:sz="12" w:space="0"/>
              <w:left w:val="single" w:color="auto" w:sz="12" w:space="0"/>
              <w:bottom w:val="single" w:color="auto" w:sz="4" w:space="0"/>
              <w:right w:val="single" w:color="auto" w:sz="4" w:space="0"/>
            </w:tcBorders>
            <w:tcW w:w="882"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编号</w:t>
            </w:r>
            <w:r/>
          </w:p>
        </w:tc>
        <w:tc>
          <w:tcPr>
            <w:shd w:val="pct10" w:color="auto" w:fill="ffffff"/>
            <w:tcBorders>
              <w:top w:val="single" w:color="auto" w:sz="12" w:space="0"/>
              <w:left w:val="single" w:color="auto" w:sz="4" w:space="0"/>
              <w:bottom w:val="single" w:color="auto" w:sz="4" w:space="0"/>
              <w:right w:val="single" w:color="auto" w:sz="4" w:space="0"/>
            </w:tcBorders>
            <w:tcW w:w="1262"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货物名称</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品牌</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型号</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制造商和国别</w:t>
            </w:r>
            <w:r/>
          </w:p>
        </w:tc>
        <w:tc>
          <w:tcPr>
            <w:shd w:val="pct10" w:color="auto" w:fill="ffffff"/>
            <w:tcBorders>
              <w:top w:val="single" w:color="auto" w:sz="12" w:space="0"/>
              <w:left w:val="single" w:color="auto" w:sz="4" w:space="0"/>
              <w:bottom w:val="single" w:color="auto" w:sz="4" w:space="0"/>
              <w:right w:val="single" w:color="auto" w:sz="4" w:space="0"/>
            </w:tcBorders>
            <w:tcW w:w="897"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数量</w:t>
            </w:r>
            <w:r/>
          </w:p>
        </w:tc>
        <w:tc>
          <w:tcPr>
            <w:shd w:val="pct10" w:color="auto" w:fill="ffffff"/>
            <w:tcBorders>
              <w:top w:val="single" w:color="auto" w:sz="12" w:space="0"/>
              <w:left w:val="single" w:color="auto" w:sz="4" w:space="0"/>
              <w:bottom w:val="single" w:color="auto" w:sz="4" w:space="0"/>
              <w:right w:val="single" w:color="auto" w:sz="4" w:space="0"/>
            </w:tcBorders>
            <w:tcW w:w="1403"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单价（元）</w:t>
            </w:r>
            <w:r/>
          </w:p>
        </w:tc>
        <w:tc>
          <w:tcPr>
            <w:shd w:val="pct10" w:color="auto" w:fill="ffffff"/>
            <w:tcBorders>
              <w:top w:val="single" w:color="auto" w:sz="12" w:space="0"/>
              <w:left w:val="single" w:color="auto" w:sz="4" w:space="0"/>
              <w:bottom w:val="single" w:color="auto" w:sz="4" w:space="0"/>
              <w:right w:val="single" w:color="auto" w:sz="12" w:space="0"/>
            </w:tcBorders>
            <w:tcW w:w="1408" w:type="dxa"/>
            <w:vAlign w:val="center"/>
            <w:textDirection w:val="lrTb"/>
            <w:noWrap w:val="false"/>
          </w:tcPr>
          <w:p>
            <w:pPr>
              <w:rPr>
                <w:rFonts w:ascii="宋体" w:hAnsi="宋体" w:cs="宋体"/>
                <w:b/>
                <w:color w:val="auto"/>
                <w:szCs w:val="21"/>
                <w:highlight w:val="none"/>
              </w:rPr>
            </w:pPr>
            <w:r>
              <w:rPr>
                <w:rFonts w:hint="eastAsia" w:ascii="宋体" w:hAnsi="宋体" w:cs="宋体"/>
                <w:b/>
                <w:color w:val="auto"/>
                <w:szCs w:val="21"/>
                <w:highlight w:val="none"/>
              </w:rPr>
              <w:t xml:space="preserve">总价（元）</w:t>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600" w:lineRule="atLeast"/>
              <w:rPr>
                <w:rFonts w:ascii="宋体" w:hAnsi="宋体" w:cs="宋体"/>
                <w:b/>
                <w:color w:val="auto"/>
                <w:szCs w:val="21"/>
                <w:highlight w:val="none"/>
              </w:rPr>
            </w:pPr>
            <w:r>
              <w:rPr>
                <w:rFonts w:hint="eastAsia" w:ascii="宋体" w:hAnsi="宋体" w:cs="宋体"/>
                <w:b/>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600" w:lineRule="atLeas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600" w:lineRule="atLeast"/>
              <w:rPr>
                <w:rFonts w:ascii="宋体" w:hAnsi="宋体" w:cs="宋体"/>
                <w:b/>
                <w:color w:val="auto"/>
                <w:szCs w:val="21"/>
                <w:highlight w:val="none"/>
              </w:rPr>
            </w:pPr>
            <w:r>
              <w:rPr>
                <w:rFonts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ascii="宋体" w:hAnsi="宋体" w:cs="宋体"/>
                <w:b/>
                <w:color w:val="auto"/>
                <w:szCs w:val="21"/>
                <w:highlight w:val="none"/>
              </w:rPr>
            </w:pPr>
            <w:r>
              <w:rPr>
                <w:rFonts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600" w:lineRule="atLeast"/>
              <w:rPr>
                <w:rFonts w:ascii="宋体" w:hAnsi="宋体" w:cs="宋体"/>
                <w:b/>
                <w:color w:val="auto"/>
                <w:szCs w:val="21"/>
                <w:highlight w:val="none"/>
              </w:rPr>
            </w:pPr>
            <w:r>
              <w:rPr>
                <w:rFonts w:hint="eastAsia" w:ascii="宋体" w:hAnsi="宋体" w:cs="宋体"/>
                <w:b/>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600" w:lineRule="atLeas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600" w:lineRule="atLeast"/>
              <w:rPr>
                <w:rFonts w:ascii="宋体" w:hAnsi="宋体" w:cs="宋体"/>
                <w:b/>
                <w:color w:val="auto"/>
                <w:szCs w:val="21"/>
                <w:highlight w:val="none"/>
              </w:rPr>
            </w:pPr>
            <w:r>
              <w:rPr>
                <w:rFonts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ascii="宋体" w:hAnsi="宋体" w:cs="宋体"/>
                <w:b/>
                <w:color w:val="auto"/>
                <w:szCs w:val="21"/>
                <w:highlight w:val="none"/>
              </w:rPr>
            </w:pPr>
            <w:r>
              <w:rPr>
                <w:rFonts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90"/>
        </w:trPr>
        <w:tc>
          <w:tcPr>
            <w:gridSpan w:val="8"/>
            <w:tcBorders>
              <w:top w:val="single" w:color="auto" w:sz="4" w:space="0"/>
              <w:left w:val="single" w:color="auto" w:sz="12" w:space="0"/>
              <w:bottom w:val="single" w:color="auto" w:sz="4" w:space="0"/>
              <w:right w:val="single" w:color="auto" w:sz="12" w:space="0"/>
            </w:tcBorders>
            <w:tcW w:w="8522" w:type="dxa"/>
            <w:vAlign w:val="center"/>
            <w:textDirection w:val="lrTb"/>
            <w:noWrap w:val="false"/>
          </w:tcPr>
          <w:p>
            <w:pPr>
              <w:spacing w:line="300" w:lineRule="exact"/>
              <w:rPr>
                <w:rFonts w:ascii="宋体" w:hAnsi="宋体" w:cs="宋体"/>
                <w:color w:val="auto"/>
                <w:szCs w:val="21"/>
                <w:highlight w:val="none"/>
              </w:rPr>
            </w:pPr>
            <w:r>
              <w:rPr>
                <w:rFonts w:hint="eastAsia" w:ascii="宋体" w:hAnsi="宋体" w:cs="宋体"/>
                <w:b/>
                <w:color w:val="auto"/>
                <w:szCs w:val="21"/>
                <w:highlight w:val="none"/>
              </w:rPr>
              <w:t xml:space="preserve">总价（人民币大写）：                         </w:t>
            </w:r>
            <w:r>
              <w:rPr>
                <w:rFonts w:hint="eastAsia" w:ascii="宋体" w:hAnsi="宋体" w:cs="宋体"/>
                <w:color w:val="auto"/>
                <w:szCs w:val="21"/>
                <w:highlight w:val="none"/>
              </w:rPr>
              <w:t xml:space="preserve">合计（小写）：</w:t>
            </w:r>
            <w:r/>
          </w:p>
          <w:p>
            <w:pPr>
              <w:jc w:val="center"/>
              <w:spacing w:line="300" w:lineRule="exact"/>
              <w:rPr>
                <w:rFonts w:ascii="宋体" w:hAnsi="宋体" w:cs="宋体"/>
                <w:color w:val="auto"/>
                <w:szCs w:val="21"/>
                <w:highlight w:val="none"/>
              </w:rPr>
            </w:pPr>
            <w:r>
              <w:rPr>
                <w:rFonts w:ascii="宋体" w:hAnsi="宋体" w:cs="宋体"/>
                <w:color w:val="auto"/>
                <w:szCs w:val="21"/>
                <w:highlight w:val="none"/>
              </w:rPr>
            </w:r>
            <w:r/>
          </w:p>
          <w:p>
            <w:pPr>
              <w:jc w:val="center"/>
              <w:spacing w:line="3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gridSpan w:val="8"/>
            <w:tcBorders>
              <w:top w:val="single" w:color="auto" w:sz="4" w:space="0"/>
              <w:left w:val="single" w:color="auto" w:sz="12" w:space="0"/>
              <w:bottom w:val="single" w:color="auto" w:sz="12" w:space="0"/>
              <w:right w:val="single" w:color="auto" w:sz="12" w:space="0"/>
            </w:tcBorders>
            <w:tcW w:w="8522" w:type="dxa"/>
            <w:vAlign w:val="center"/>
            <w:textDirection w:val="lrTb"/>
            <w:noWrap w:val="false"/>
          </w:tcPr>
          <w:p>
            <w:pPr>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说明：</w:t>
            </w:r>
            <w:r/>
          </w:p>
          <w:p>
            <w:pPr>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1、本合同总价款涵盖货物从设计、制造、包装、仓储、运输、安装直至验收合格之前的全部含税费用，以及保修期内备品备件相关的所有含税费用。乙方依约应提供的伴随服务及售后服务所涉费用，亦包含在本合同总价款内 。</w:t>
            </w:r>
            <w:r/>
          </w:p>
          <w:p>
            <w:pPr>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此外，</w:t>
            </w:r>
            <w:r/>
          </w:p>
          <w:p>
            <w:pPr>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（1）若合同在履行过程中因国家政策调整，不在进口货物免税清单内，加征的关税亦包含在本合同总价款中。</w:t>
            </w:r>
            <w:r/>
          </w:p>
          <w:p>
            <w:pPr>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2）若货物为进口免税货物且在国务院关税税则委员会公告的加征关税商品清单范围内，加征的关税亦包含在本合同总价款中。因乙方自身原因导致本合同项下进口货物被加征、补征的一切关税、滞纳金、罚款等，均由乙方承担，甲方有权从履约保证金中直接抵扣。</w:t>
            </w:r>
            <w:r/>
          </w:p>
          <w:p>
            <w:pPr>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以上两种情况，甲方按照采购合同约定的付款方式支付给委托的外贸公司后，甲方即完成向乙方付款义务，乙方不得再向甲方追索本项目款项。</w:t>
            </w:r>
            <w:r/>
          </w:p>
          <w:p>
            <w:pPr>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2、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w:t>
            </w:r>
            <w:r/>
          </w:p>
          <w:p>
            <w:pPr>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该外贸代理进口包干费用包含：银行费用、报关费用等进口相关费用，但是货款、税款除外。具体收费标准根据采购人与指定的外贸代理服务供应商签署的《南京医科大学进口产品委托代理服务协议》中约定的外贸代理费率执行。</w:t>
            </w:r>
            <w:r/>
          </w:p>
        </w:tc>
      </w:tr>
    </w:tbl>
    <w:p>
      <w:pPr>
        <w:pStyle w:val="865"/>
        <w:ind w:firstLine="482"/>
        <w:spacing w:before="120" w:after="120" w:line="330" w:lineRule="atLeast"/>
        <w:rPr>
          <w:rFonts w:hAnsi="宋体"/>
          <w:b/>
          <w:color w:val="auto"/>
          <w:sz w:val="24"/>
          <w:szCs w:val="24"/>
          <w:highlight w:val="none"/>
        </w:rPr>
      </w:pPr>
      <w:r>
        <w:rPr>
          <w:rFonts w:hAnsi="宋体"/>
          <w:b/>
          <w:color w:val="auto"/>
          <w:sz w:val="24"/>
          <w:szCs w:val="24"/>
          <w:highlight w:val="none"/>
        </w:rPr>
        <w:t xml:space="preserve">二、</w:t>
      </w:r>
      <w:r>
        <w:rPr>
          <w:rFonts w:hint="eastAsia" w:hAnsi="宋体"/>
          <w:b/>
          <w:color w:val="auto"/>
          <w:sz w:val="24"/>
          <w:szCs w:val="24"/>
          <w:highlight w:val="none"/>
        </w:rPr>
        <w:t xml:space="preserve">结算方式</w:t>
      </w:r>
      <w:r/>
    </w:p>
    <w:p>
      <w:pPr>
        <w:pStyle w:val="865"/>
        <w:ind w:firstLine="480"/>
        <w:spacing w:before="120" w:after="120" w:line="330" w:lineRule="atLeast"/>
        <w:rPr>
          <w:rFonts w:hAnsi="宋体"/>
          <w:color w:val="auto"/>
          <w:sz w:val="24"/>
          <w:szCs w:val="28"/>
          <w:highlight w:val="none"/>
        </w:rPr>
      </w:pPr>
      <w:r>
        <w:rPr>
          <w:rFonts w:hAnsi="宋体"/>
          <w:color w:val="auto"/>
          <w:sz w:val="24"/>
          <w:szCs w:val="28"/>
          <w:highlight w:val="none"/>
        </w:rPr>
        <w:t xml:space="preserve">2.1结算方式：</w:t>
      </w:r>
      <w:r/>
    </w:p>
    <w:p>
      <w:pPr>
        <w:pStyle w:val="865"/>
        <w:ind w:firstLine="480"/>
        <w:spacing w:before="120" w:after="120" w:line="330" w:lineRule="atLeast"/>
        <w:rPr>
          <w:rFonts w:hAnsi="宋体" w:cstheme="minorBidi"/>
          <w:color w:val="auto"/>
          <w:sz w:val="24"/>
          <w:szCs w:val="22"/>
          <w:highlight w:val="none"/>
        </w:rPr>
      </w:pPr>
      <w:r>
        <w:rPr>
          <w:rFonts w:hint="eastAsia" w:hAnsi="宋体" w:cstheme="minorBidi"/>
          <w:color w:val="auto"/>
          <w:sz w:val="24"/>
          <w:szCs w:val="22"/>
          <w:highlight w:val="none"/>
        </w:rPr>
        <w:t xml:space="preserve">A【</w:t>
      </w:r>
      <w:r>
        <w:rPr>
          <w:rFonts w:hint="eastAsia" w:hAnsi="宋体" w:cs="宋体"/>
          <w:color w:val="auto"/>
          <w:spacing w:val="8"/>
          <w:sz w:val="24"/>
          <w:highlight w:val="none"/>
        </w:rPr>
        <w:t xml:space="preserve">国产设备及进口设备（非免税）</w:t>
      </w:r>
      <w:r>
        <w:rPr>
          <w:rFonts w:hint="eastAsia" w:hAnsi="宋体" w:cstheme="minorBidi"/>
          <w:color w:val="auto"/>
          <w:sz w:val="24"/>
          <w:szCs w:val="22"/>
          <w:highlight w:val="none"/>
        </w:rPr>
        <w:t xml:space="preserve">】：货物交付、安装、调试且通过验收后一周内（遇寒暑假和法定节假日顺延），学校支付合同总金额的100%，付款之前需收到中标供应商开具的合法有效的相应全额发票。</w:t>
      </w:r>
      <w:r/>
    </w:p>
    <w:p>
      <w:pPr>
        <w:pStyle w:val="865"/>
        <w:ind w:firstLine="480"/>
        <w:spacing w:before="120" w:after="120" w:line="330" w:lineRule="atLeast"/>
        <w:rPr>
          <w:rFonts w:hAnsi="宋体" w:cstheme="minorBidi"/>
          <w:color w:val="auto"/>
          <w:sz w:val="24"/>
          <w:szCs w:val="22"/>
          <w:highlight w:val="none"/>
        </w:rPr>
      </w:pPr>
      <w:r>
        <w:rPr>
          <w:rFonts w:hint="eastAsia" w:hAnsi="宋体" w:cstheme="minorBidi"/>
          <w:color w:val="auto"/>
          <w:sz w:val="24"/>
          <w:szCs w:val="22"/>
          <w:highlight w:val="none"/>
        </w:rPr>
        <w:t xml:space="preserve">B【</w:t>
      </w:r>
      <w:r>
        <w:rPr>
          <w:rFonts w:hint="eastAsia" w:hAnsi="宋体" w:cs="宋体"/>
          <w:color w:val="auto"/>
          <w:spacing w:val="8"/>
          <w:sz w:val="24"/>
          <w:highlight w:val="none"/>
        </w:rPr>
        <w:t xml:space="preserve">进口设备（免税）</w:t>
      </w:r>
      <w:r>
        <w:rPr>
          <w:rFonts w:hint="eastAsia" w:hAnsi="宋体" w:cstheme="minorBidi"/>
          <w:color w:val="auto"/>
          <w:sz w:val="24"/>
          <w:szCs w:val="22"/>
          <w:highlight w:val="none"/>
        </w:rPr>
        <w:t xml:space="preserve">】：</w:t>
      </w:r>
      <w:r/>
    </w:p>
    <w:p>
      <w:pPr>
        <w:pStyle w:val="865"/>
        <w:numPr>
          <w:ilvl w:val="0"/>
          <w:numId w:val="4"/>
        </w:numPr>
        <w:ind w:firstLine="480"/>
        <w:spacing w:before="120" w:after="120" w:line="330" w:lineRule="atLeast"/>
        <w:rPr>
          <w:rFonts w:hAnsi="宋体" w:cstheme="minorBidi"/>
          <w:color w:val="auto"/>
          <w:sz w:val="24"/>
          <w:szCs w:val="22"/>
          <w:highlight w:val="none"/>
        </w:rPr>
      </w:pPr>
      <w:r>
        <w:rPr>
          <w:rFonts w:hint="eastAsia" w:hAnsi="宋体" w:cstheme="minorBidi"/>
          <w:color w:val="auto"/>
          <w:sz w:val="24"/>
          <w:szCs w:val="22"/>
          <w:highlight w:val="none"/>
        </w:rPr>
        <w:t xml:space="preserve">合同签订后，外贸代理公司提供受益人为南京医科大学的100%合同金额的预付款银行保函，保函有效期为</w:t>
      </w:r>
      <w:r>
        <w:rPr>
          <w:rFonts w:hint="eastAsia" w:hAnsi="宋体" w:cstheme="minorBidi"/>
          <w:color w:val="auto"/>
          <w:sz w:val="24"/>
          <w:szCs w:val="22"/>
          <w:highlight w:val="none"/>
          <w:u w:val="single"/>
        </w:rPr>
        <w:t xml:space="preserve">     天（</w:t>
      </w:r>
      <w:r>
        <w:rPr>
          <w:rFonts w:hint="eastAsia" w:hAnsi="宋体" w:cstheme="minorBidi"/>
          <w:color w:val="auto"/>
          <w:sz w:val="24"/>
          <w:szCs w:val="22"/>
          <w:highlight w:val="none"/>
        </w:rPr>
        <w:t xml:space="preserve">供货期</w:t>
      </w:r>
      <w:r>
        <w:rPr>
          <w:rFonts w:hint="eastAsia" w:hAnsi="宋体" w:cs="宋体"/>
          <w:color w:val="auto"/>
          <w:sz w:val="24"/>
          <w:szCs w:val="22"/>
          <w:highlight w:val="none"/>
        </w:rPr>
        <w:t xml:space="preserve">＋2</w:t>
      </w:r>
      <w:r>
        <w:rPr>
          <w:rFonts w:hint="eastAsia" w:hAnsi="宋体" w:cstheme="minorBidi"/>
          <w:color w:val="auto"/>
          <w:sz w:val="24"/>
          <w:szCs w:val="22"/>
          <w:highlight w:val="none"/>
        </w:rPr>
        <w:t xml:space="preserve">个月），银行保函服务费由中标单位承担。</w:t>
      </w:r>
      <w:r/>
    </w:p>
    <w:p>
      <w:pPr>
        <w:pStyle w:val="865"/>
        <w:ind w:firstLine="480"/>
        <w:spacing w:before="120" w:after="120" w:line="330" w:lineRule="atLeast"/>
        <w:rPr>
          <w:rFonts w:hAnsi="宋体" w:cstheme="minorBidi"/>
          <w:color w:val="auto"/>
          <w:sz w:val="24"/>
          <w:szCs w:val="22"/>
          <w:highlight w:val="none"/>
        </w:rPr>
      </w:pPr>
      <w:r>
        <w:rPr>
          <w:rFonts w:hint="eastAsia" w:hAnsi="宋体" w:cstheme="minorBidi"/>
          <w:color w:val="auto"/>
          <w:sz w:val="24"/>
          <w:szCs w:val="22"/>
          <w:highlight w:val="none"/>
        </w:rPr>
        <w:t xml:space="preserve">（2）外贸代理公司收到100%货款后按照合同办理相关进口手续，货到验收合格后由学校通知外贸代理公司一周内开具合法有效的全额发票，并支付100%货款至境外厂家。</w:t>
      </w:r>
      <w:r/>
    </w:p>
    <w:p>
      <w:pPr>
        <w:pStyle w:val="865"/>
        <w:ind w:firstLine="480"/>
        <w:rPr>
          <w:rFonts w:hAnsi="宋体"/>
          <w:color w:val="auto"/>
          <w:sz w:val="24"/>
          <w:szCs w:val="28"/>
          <w:highlight w:val="none"/>
        </w:rPr>
      </w:pPr>
      <w:r>
        <w:rPr>
          <w:rFonts w:hint="eastAsia" w:hAnsi="宋体"/>
          <w:color w:val="auto"/>
          <w:sz w:val="24"/>
          <w:szCs w:val="28"/>
          <w:highlight w:val="none"/>
        </w:rPr>
        <w:t xml:space="preserve">2.2履约保证金（根据招标文件要求选用）</w:t>
      </w:r>
      <w:r/>
    </w:p>
    <w:p>
      <w:pPr>
        <w:pStyle w:val="865"/>
        <w:ind w:firstLine="480"/>
        <w:rPr>
          <w:rFonts w:hAnsi="宋体"/>
          <w:color w:val="auto"/>
          <w:sz w:val="24"/>
          <w:szCs w:val="28"/>
          <w:highlight w:val="none"/>
        </w:rPr>
      </w:pPr>
      <w:r>
        <w:rPr>
          <w:rFonts w:ascii="Wingdings 2" w:hAnsi="Wingdings 2" w:eastAsia="Wingdings 2" w:cs="Wingdings 2"/>
          <w:color w:val="auto"/>
          <w:sz w:val="24"/>
          <w:szCs w:val="28"/>
          <w:highlight w:val="none"/>
        </w:rPr>
        <w:t xml:space="preserve"></w:t>
      </w:r>
      <w:r>
        <w:rPr>
          <w:rFonts w:hint="eastAsia" w:hAnsi="宋体"/>
          <w:color w:val="auto"/>
          <w:sz w:val="24"/>
          <w:szCs w:val="28"/>
          <w:highlight w:val="none"/>
        </w:rPr>
        <w:t xml:space="preserve">本项目不需要缴纳履约保证金。</w:t>
      </w:r>
      <w:r/>
    </w:p>
    <w:p>
      <w:pPr>
        <w:pStyle w:val="865"/>
        <w:ind w:firstLine="480"/>
        <w:rPr>
          <w:rFonts w:hAnsi="宋体"/>
          <w:color w:val="auto"/>
          <w:sz w:val="24"/>
          <w:szCs w:val="28"/>
          <w:highlight w:val="none"/>
        </w:rPr>
      </w:pPr>
      <w:r>
        <w:rPr>
          <w:rFonts w:ascii="Wingdings 2" w:hAnsi="Wingdings 2" w:eastAsia="Wingdings 2" w:cs="Wingdings 2"/>
          <w:color w:val="auto"/>
          <w:sz w:val="24"/>
          <w:szCs w:val="28"/>
          <w:highlight w:val="none"/>
        </w:rPr>
        <w:t xml:space="preserve"></w:t>
      </w:r>
      <w:r>
        <w:rPr>
          <w:rFonts w:hint="eastAsia" w:hAnsi="宋体"/>
          <w:color w:val="auto"/>
          <w:sz w:val="24"/>
          <w:szCs w:val="28"/>
          <w:highlight w:val="none"/>
        </w:rPr>
        <w:t xml:space="preserve">本项目需要缴纳履约保证金，具体要求如下：</w:t>
      </w:r>
      <w:r/>
    </w:p>
    <w:p>
      <w:pPr>
        <w:pStyle w:val="865"/>
        <w:ind w:firstLine="480"/>
        <w:rPr>
          <w:rFonts w:hAnsi="宋体"/>
          <w:color w:val="auto"/>
          <w:sz w:val="24"/>
          <w:szCs w:val="28"/>
          <w:highlight w:val="none"/>
        </w:rPr>
      </w:pPr>
      <w:r>
        <w:rPr>
          <w:rFonts w:hint="eastAsia" w:hAnsi="宋体"/>
          <w:color w:val="auto"/>
          <w:sz w:val="24"/>
          <w:szCs w:val="28"/>
          <w:highlight w:val="none"/>
        </w:rPr>
        <w:t xml:space="preserve">（1）供应商中标后7个工作日内，将中标合同金额10%的履约保证金以银行对公转账形式支付至甲方指定账户，并将加盖单位公章的银行回执单或网银截图递交至甲方，甲方凭付款凭证及到款情况办理合同签订相关手续。</w:t>
      </w:r>
      <w:r/>
    </w:p>
    <w:p>
      <w:pPr>
        <w:pStyle w:val="865"/>
        <w:ind w:firstLine="480"/>
        <w:rPr>
          <w:rFonts w:hAnsi="宋体"/>
          <w:color w:val="auto"/>
          <w:sz w:val="24"/>
          <w:szCs w:val="28"/>
          <w:highlight w:val="none"/>
        </w:rPr>
      </w:pPr>
      <w:r>
        <w:rPr>
          <w:rFonts w:hint="eastAsia" w:hAnsi="宋体"/>
          <w:color w:val="auto"/>
          <w:sz w:val="24"/>
          <w:szCs w:val="28"/>
          <w:highlight w:val="none"/>
        </w:rPr>
        <w:t xml:space="preserve">南京医科大学指定账户信息具体如下：</w:t>
      </w:r>
      <w:r/>
    </w:p>
    <w:p>
      <w:pPr>
        <w:pStyle w:val="865"/>
        <w:ind w:firstLine="480"/>
        <w:rPr>
          <w:rFonts w:hAnsi="宋体"/>
          <w:color w:val="auto"/>
          <w:sz w:val="24"/>
          <w:szCs w:val="28"/>
          <w:highlight w:val="none"/>
        </w:rPr>
      </w:pPr>
      <w:r>
        <w:rPr>
          <w:rFonts w:hint="eastAsia" w:hAnsi="宋体"/>
          <w:color w:val="auto"/>
          <w:sz w:val="24"/>
          <w:szCs w:val="28"/>
          <w:highlight w:val="none"/>
        </w:rPr>
        <w:t xml:space="preserve">单位名称：南京医科大学</w:t>
      </w:r>
      <w:r/>
    </w:p>
    <w:p>
      <w:pPr>
        <w:pStyle w:val="865"/>
        <w:ind w:firstLine="480"/>
        <w:rPr>
          <w:rFonts w:hAnsi="宋体"/>
          <w:color w:val="auto"/>
          <w:sz w:val="24"/>
          <w:szCs w:val="28"/>
          <w:highlight w:val="none"/>
        </w:rPr>
      </w:pPr>
      <w:r>
        <w:rPr>
          <w:rFonts w:hint="eastAsia" w:hAnsi="宋体"/>
          <w:color w:val="auto"/>
          <w:sz w:val="24"/>
          <w:szCs w:val="28"/>
          <w:highlight w:val="none"/>
        </w:rPr>
        <w:t xml:space="preserve">开 户 行：南京市工行汉中门支行                          </w:t>
      </w:r>
      <w:r/>
    </w:p>
    <w:p>
      <w:pPr>
        <w:pStyle w:val="865"/>
        <w:ind w:firstLine="480"/>
        <w:rPr>
          <w:rFonts w:hAnsi="宋体"/>
          <w:color w:val="auto"/>
          <w:sz w:val="24"/>
          <w:szCs w:val="28"/>
          <w:highlight w:val="none"/>
        </w:rPr>
      </w:pPr>
      <w:r>
        <w:rPr>
          <w:rFonts w:hint="eastAsia" w:hAnsi="宋体"/>
          <w:color w:val="auto"/>
          <w:sz w:val="24"/>
          <w:szCs w:val="28"/>
          <w:highlight w:val="none"/>
        </w:rPr>
        <w:t xml:space="preserve">账    号：4301010109001038622</w:t>
      </w:r>
      <w:r/>
    </w:p>
    <w:p>
      <w:pPr>
        <w:pStyle w:val="865"/>
        <w:ind w:firstLine="480"/>
        <w:rPr>
          <w:rFonts w:hAnsi="宋体"/>
          <w:color w:val="auto"/>
          <w:sz w:val="24"/>
          <w:szCs w:val="28"/>
          <w:highlight w:val="none"/>
        </w:rPr>
      </w:pPr>
      <w:r>
        <w:rPr>
          <w:rFonts w:hint="eastAsia" w:hAnsi="宋体"/>
          <w:color w:val="auto"/>
          <w:sz w:val="24"/>
          <w:szCs w:val="28"/>
          <w:highlight w:val="none"/>
        </w:rPr>
        <w:t xml:space="preserve">注：请在转账时备注“项目名称+履约保证保金”字样。</w:t>
      </w:r>
      <w:r/>
    </w:p>
    <w:p>
      <w:pPr>
        <w:pStyle w:val="865"/>
        <w:ind w:firstLine="480"/>
        <w:rPr>
          <w:rFonts w:hAnsi="宋体"/>
          <w:color w:val="auto"/>
          <w:sz w:val="24"/>
          <w:szCs w:val="28"/>
          <w:highlight w:val="none"/>
        </w:rPr>
      </w:pPr>
      <w:r>
        <w:rPr>
          <w:rFonts w:hint="eastAsia" w:hAnsi="宋体"/>
          <w:color w:val="auto"/>
          <w:sz w:val="24"/>
          <w:szCs w:val="28"/>
          <w:highlight w:val="none"/>
        </w:rPr>
        <w:t xml:space="preserve">（2）合同履行过程中，若经甲方核实存在货物质量问题或乙方违约情形，甲方有权在通知乙方后，从履约保证金中抵扣相应的补偿或赔偿款项。</w:t>
      </w:r>
      <w:r/>
    </w:p>
    <w:p>
      <w:pPr>
        <w:pStyle w:val="865"/>
        <w:ind w:firstLine="480"/>
        <w:rPr>
          <w:rFonts w:hAnsi="宋体"/>
          <w:color w:val="auto"/>
          <w:sz w:val="24"/>
          <w:szCs w:val="28"/>
          <w:highlight w:val="none"/>
        </w:rPr>
      </w:pPr>
      <w:r>
        <w:rPr>
          <w:rFonts w:hint="eastAsia" w:hAnsi="宋体"/>
          <w:color w:val="auto"/>
          <w:sz w:val="24"/>
          <w:szCs w:val="28"/>
          <w:highlight w:val="none"/>
        </w:rPr>
        <w:t xml:space="preserve">（3）履约保证金退还流程：自货物验收合格之日起12个月后，乙方可向甲方出具货物最终验收单，并同步提交填写完整的《履约保证金退还申请单》。经最终用户签字确认，核实无质量问题且乙方无违约情形后，甲方于确认完成后一个月内，将履约保证金一次性无息退还乙方。</w:t>
      </w:r>
      <w:r/>
    </w:p>
    <w:p>
      <w:pPr>
        <w:pStyle w:val="865"/>
        <w:ind w:firstLine="480"/>
        <w:rPr>
          <w:rFonts w:hAnsi="宋体"/>
          <w:color w:val="auto"/>
          <w:sz w:val="24"/>
          <w:szCs w:val="28"/>
          <w:highlight w:val="none"/>
        </w:rPr>
      </w:pPr>
      <w:r>
        <w:rPr>
          <w:rFonts w:hint="eastAsia" w:hAnsi="宋体"/>
          <w:color w:val="auto"/>
          <w:sz w:val="24"/>
          <w:szCs w:val="28"/>
          <w:highlight w:val="none"/>
        </w:rPr>
        <w:t xml:space="preserve">2.3当采购数量与实际使用数量不一致时，乙方应根据实际使用量供货，合同的最终结算金额按实际使用量乘以本合同约定的成交单价进行计算。</w:t>
      </w:r>
      <w:r/>
    </w:p>
    <w:p>
      <w:pPr>
        <w:pStyle w:val="865"/>
        <w:ind w:firstLine="480"/>
        <w:rPr>
          <w:rFonts w:hAnsi="宋体"/>
          <w:color w:val="auto"/>
          <w:sz w:val="24"/>
          <w:szCs w:val="28"/>
          <w:highlight w:val="none"/>
        </w:rPr>
      </w:pPr>
      <w:r>
        <w:rPr>
          <w:rFonts w:hint="eastAsia" w:hAnsi="宋体"/>
          <w:color w:val="auto"/>
          <w:sz w:val="24"/>
          <w:szCs w:val="28"/>
          <w:highlight w:val="none"/>
        </w:rPr>
        <w:t xml:space="preserve">2.4乙方指定账户信息：</w:t>
      </w:r>
      <w:r/>
    </w:p>
    <w:p>
      <w:pPr>
        <w:pStyle w:val="865"/>
        <w:ind w:firstLine="480"/>
        <w:rPr>
          <w:rFonts w:hAnsi="宋体"/>
          <w:color w:val="auto"/>
          <w:sz w:val="24"/>
          <w:szCs w:val="28"/>
          <w:highlight w:val="none"/>
        </w:rPr>
      </w:pPr>
      <w:r>
        <w:rPr>
          <w:rFonts w:hint="eastAsia" w:hAnsi="宋体"/>
          <w:color w:val="auto"/>
          <w:sz w:val="24"/>
          <w:szCs w:val="28"/>
          <w:highlight w:val="none"/>
        </w:rPr>
        <w:t xml:space="preserve">开户行：</w:t>
      </w:r>
      <w:r/>
    </w:p>
    <w:p>
      <w:pPr>
        <w:pStyle w:val="865"/>
        <w:ind w:firstLine="480"/>
        <w:rPr>
          <w:rFonts w:hAnsi="宋体"/>
          <w:color w:val="auto"/>
          <w:sz w:val="24"/>
          <w:szCs w:val="28"/>
          <w:highlight w:val="none"/>
        </w:rPr>
      </w:pPr>
      <w:r>
        <w:rPr>
          <w:rFonts w:hint="eastAsia" w:hAnsi="宋体"/>
          <w:color w:val="auto"/>
          <w:sz w:val="24"/>
          <w:szCs w:val="28"/>
          <w:highlight w:val="none"/>
        </w:rPr>
        <w:t xml:space="preserve">户名：</w:t>
      </w:r>
      <w:r/>
    </w:p>
    <w:p>
      <w:pPr>
        <w:pStyle w:val="865"/>
        <w:ind w:firstLine="480"/>
        <w:rPr>
          <w:rFonts w:hAnsi="宋体"/>
          <w:color w:val="auto"/>
          <w:sz w:val="24"/>
          <w:szCs w:val="28"/>
          <w:highlight w:val="none"/>
        </w:rPr>
      </w:pPr>
      <w:r>
        <w:rPr>
          <w:rFonts w:hint="eastAsia" w:hAnsi="宋体"/>
          <w:color w:val="auto"/>
          <w:sz w:val="24"/>
          <w:szCs w:val="28"/>
          <w:highlight w:val="none"/>
        </w:rPr>
        <w:t xml:space="preserve">账号：</w:t>
      </w:r>
      <w:r/>
    </w:p>
    <w:p>
      <w:pPr>
        <w:pStyle w:val="865"/>
        <w:ind w:firstLine="480"/>
        <w:rPr>
          <w:rFonts w:hAnsi="宋体"/>
          <w:color w:val="auto"/>
          <w:sz w:val="24"/>
          <w:szCs w:val="24"/>
          <w:highlight w:val="none"/>
        </w:rPr>
      </w:pPr>
      <w:r>
        <w:rPr>
          <w:rFonts w:hint="eastAsia" w:hAnsi="宋体"/>
          <w:color w:val="auto"/>
          <w:sz w:val="24"/>
          <w:szCs w:val="28"/>
          <w:highlight w:val="none"/>
        </w:rPr>
        <w:t xml:space="preserve">上述账户信息，如有变更，乙方应在变更前3日内书面通知甲方。否则，由此产生的后果由乙方承担。</w:t>
      </w:r>
      <w:r/>
    </w:p>
    <w:p>
      <w:pPr>
        <w:pStyle w:val="865"/>
        <w:ind w:firstLine="482"/>
        <w:spacing w:before="120" w:after="120" w:line="330" w:lineRule="atLeast"/>
        <w:rPr>
          <w:rFonts w:hAnsi="宋体"/>
          <w:b/>
          <w:color w:val="auto"/>
          <w:sz w:val="24"/>
          <w:szCs w:val="24"/>
          <w:highlight w:val="none"/>
        </w:rPr>
      </w:pPr>
      <w:r>
        <w:rPr>
          <w:rFonts w:hint="eastAsia" w:hAnsi="宋体"/>
          <w:b/>
          <w:color w:val="auto"/>
          <w:sz w:val="24"/>
          <w:szCs w:val="24"/>
          <w:highlight w:val="none"/>
        </w:rPr>
        <w:t xml:space="preserve">三、交付方式、时间及地点</w:t>
      </w:r>
      <w:r/>
    </w:p>
    <w:p>
      <w:pPr>
        <w:ind w:firstLine="480"/>
        <w:rPr>
          <w:rFonts w:ascii="宋体" w:hAnsi="宋体"/>
          <w:color w:val="auto"/>
          <w:sz w:val="24"/>
          <w:highlight w:val="none"/>
          <w:lang w:val="zh-CN"/>
        </w:rPr>
      </w:pPr>
      <w:r>
        <w:rPr>
          <w:rFonts w:hint="eastAsia" w:ascii="宋体" w:hAnsi="宋体"/>
          <w:color w:val="auto"/>
          <w:sz w:val="24"/>
          <w:highlight w:val="none"/>
          <w:lang w:val="zh-CN"/>
        </w:rPr>
        <w:t xml:space="preserve">（</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）交货期：</w:t>
      </w:r>
      <w:r>
        <w:rPr>
          <w:rFonts w:hint="eastAsia" w:ascii="宋体" w:hAnsi="宋体" w:cs="宋体"/>
          <w:color w:val="auto"/>
          <w:sz w:val="24"/>
          <w:highlight w:val="none"/>
          <w:lang w:val="zh-CN"/>
        </w:rPr>
        <w:t xml:space="preserve">合同签订生效后，进口设备（免税）三个月内、国产设备及进口设备（非免税）一个月内全部设备、材料运抵现场，并安装、调试结束，验收合格</w:t>
      </w:r>
      <w:r>
        <w:rPr>
          <w:rFonts w:hint="eastAsia" w:ascii="宋体" w:hAnsi="宋体"/>
          <w:color w:val="auto"/>
          <w:sz w:val="24"/>
          <w:highlight w:val="none"/>
          <w:lang w:val="zh-CN"/>
        </w:rPr>
        <w:t xml:space="preserve">，交付采购方使用。</w:t>
      </w:r>
      <w:r/>
    </w:p>
    <w:p>
      <w:pPr>
        <w:ind w:firstLine="480"/>
        <w:rPr>
          <w:rFonts w:ascii="宋体" w:hAnsi="宋体"/>
          <w:color w:val="auto"/>
          <w:sz w:val="24"/>
          <w:highlight w:val="none"/>
          <w:lang w:val="zh-CN"/>
        </w:rPr>
      </w:pPr>
      <w:r>
        <w:rPr>
          <w:rFonts w:hint="eastAsia" w:ascii="宋体" w:hAnsi="宋体"/>
          <w:color w:val="auto"/>
          <w:sz w:val="24"/>
          <w:highlight w:val="none"/>
          <w:lang w:val="zh-CN"/>
        </w:rPr>
        <w:t xml:space="preserve">（</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）交货方式：中标人在采购方指定地点交货，并完成安装、调试。</w:t>
      </w:r>
      <w:r/>
    </w:p>
    <w:p>
      <w:pPr>
        <w:pStyle w:val="865"/>
        <w:ind w:firstLine="480"/>
        <w:spacing w:before="120" w:after="120" w:line="330" w:lineRule="atLeast"/>
        <w:rPr>
          <w:rFonts w:hAnsi="宋体"/>
          <w:b/>
          <w:bCs/>
          <w:color w:val="auto"/>
          <w:sz w:val="24"/>
          <w:highlight w:val="none"/>
          <w:lang w:val="zh-CN"/>
        </w:rPr>
      </w:pPr>
      <w:r>
        <w:rPr>
          <w:rFonts w:hint="eastAsia" w:hAnsi="宋体"/>
          <w:color w:val="auto"/>
          <w:sz w:val="24"/>
          <w:highlight w:val="none"/>
          <w:lang w:val="zh-CN"/>
        </w:rPr>
        <w:t xml:space="preserve">（</w:t>
      </w:r>
      <w:r>
        <w:rPr>
          <w:rFonts w:hint="eastAsia" w:hAnsi="宋体"/>
          <w:color w:val="auto"/>
          <w:sz w:val="24"/>
          <w:highlight w:val="none"/>
        </w:rPr>
        <w:t xml:space="preserve">3</w:t>
      </w:r>
      <w:r>
        <w:rPr>
          <w:rFonts w:hint="eastAsia" w:hAnsi="宋体"/>
          <w:color w:val="auto"/>
          <w:sz w:val="24"/>
          <w:highlight w:val="none"/>
          <w:lang w:val="zh-CN"/>
        </w:rPr>
        <w:t xml:space="preserve">）交货地点：南京医科大学指定地点。</w:t>
      </w:r>
      <w:r/>
    </w:p>
    <w:p>
      <w:pPr>
        <w:pStyle w:val="865"/>
        <w:ind w:firstLine="482"/>
        <w:spacing w:before="120" w:after="120" w:line="330" w:lineRule="atLeast"/>
        <w:rPr>
          <w:rFonts w:hAnsi="宋体"/>
          <w:b/>
          <w:color w:val="auto"/>
          <w:sz w:val="24"/>
          <w:szCs w:val="24"/>
          <w:highlight w:val="none"/>
        </w:rPr>
      </w:pPr>
      <w:r>
        <w:rPr>
          <w:rFonts w:hAnsi="宋体"/>
          <w:b/>
          <w:color w:val="auto"/>
          <w:sz w:val="24"/>
          <w:szCs w:val="24"/>
          <w:highlight w:val="none"/>
        </w:rPr>
        <w:t xml:space="preserve">四、货物包装、发运及运输</w:t>
      </w:r>
      <w:r/>
    </w:p>
    <w:p>
      <w:pPr>
        <w:pStyle w:val="865"/>
        <w:ind w:firstLine="480"/>
        <w:spacing w:before="120" w:after="120" w:line="330" w:lineRule="atLeast"/>
        <w:rPr>
          <w:rFonts w:hAnsi="宋体"/>
          <w:color w:val="auto"/>
          <w:sz w:val="24"/>
          <w:szCs w:val="24"/>
          <w:highlight w:val="none"/>
        </w:rPr>
      </w:pPr>
      <w:r>
        <w:rPr>
          <w:rFonts w:hAnsi="宋体"/>
          <w:color w:val="auto"/>
          <w:sz w:val="24"/>
          <w:szCs w:val="24"/>
          <w:highlight w:val="none"/>
        </w:rPr>
        <w:t xml:space="preserve">4.1 乙方应在货物发运前</w:t>
      </w:r>
      <w:r>
        <w:rPr>
          <w:rFonts w:hint="eastAsia" w:hAnsi="宋体"/>
          <w:color w:val="auto"/>
          <w:sz w:val="24"/>
          <w:szCs w:val="24"/>
          <w:highlight w:val="none"/>
        </w:rPr>
        <w:t xml:space="preserve">根据</w:t>
      </w:r>
      <w:r>
        <w:rPr>
          <w:rFonts w:hAnsi="宋体"/>
          <w:color w:val="auto"/>
          <w:sz w:val="24"/>
          <w:szCs w:val="24"/>
          <w:highlight w:val="none"/>
        </w:rPr>
        <w:t xml:space="preserve">运输距离、防潮、防震、防锈和防破损装卸等要求</w:t>
      </w:r>
      <w:r>
        <w:rPr>
          <w:rFonts w:hint="eastAsia" w:hAnsi="宋体"/>
          <w:color w:val="auto"/>
          <w:sz w:val="24"/>
          <w:szCs w:val="24"/>
          <w:highlight w:val="none"/>
        </w:rPr>
        <w:t xml:space="preserve">进行相应的</w:t>
      </w:r>
      <w:r>
        <w:rPr>
          <w:rFonts w:hAnsi="宋体"/>
          <w:color w:val="auto"/>
          <w:sz w:val="24"/>
          <w:szCs w:val="24"/>
          <w:highlight w:val="none"/>
        </w:rPr>
        <w:t xml:space="preserve">包装，以保证货物安全运达甲方指定地点。</w:t>
      </w:r>
      <w:r/>
    </w:p>
    <w:p>
      <w:pPr>
        <w:pStyle w:val="865"/>
        <w:ind w:firstLine="480"/>
        <w:spacing w:before="120" w:after="120" w:line="330" w:lineRule="atLeast"/>
        <w:rPr>
          <w:rFonts w:hAnsi="宋体"/>
          <w:color w:val="auto"/>
          <w:sz w:val="24"/>
          <w:szCs w:val="24"/>
          <w:highlight w:val="none"/>
        </w:rPr>
      </w:pPr>
      <w:r>
        <w:rPr>
          <w:rFonts w:hAnsi="宋体"/>
          <w:color w:val="auto"/>
          <w:sz w:val="24"/>
          <w:szCs w:val="24"/>
          <w:highlight w:val="none"/>
        </w:rPr>
        <w:t xml:space="preserve">4.2 使用说明书、质量检验证明书、随配附件和工具以及清单一并附于货物内。</w:t>
      </w:r>
      <w:r/>
    </w:p>
    <w:p>
      <w:pPr>
        <w:pStyle w:val="865"/>
        <w:ind w:firstLine="480"/>
        <w:spacing w:before="120" w:after="120" w:line="330" w:lineRule="atLeast"/>
        <w:rPr>
          <w:rFonts w:hAnsi="宋体"/>
          <w:color w:val="auto"/>
          <w:sz w:val="24"/>
          <w:szCs w:val="24"/>
          <w:highlight w:val="none"/>
        </w:rPr>
      </w:pPr>
      <w:r>
        <w:rPr>
          <w:rFonts w:hAnsi="宋体"/>
          <w:color w:val="auto"/>
          <w:sz w:val="24"/>
          <w:szCs w:val="24"/>
          <w:highlight w:val="none"/>
        </w:rPr>
        <w:t xml:space="preserve">4.3 乙方在货物发运手续办理完毕后24小时内或货到甲方48小时前通知甲方，以准备接货。</w:t>
      </w:r>
      <w:r/>
    </w:p>
    <w:p>
      <w:pPr>
        <w:pStyle w:val="865"/>
        <w:ind w:firstLine="480"/>
        <w:spacing w:before="120" w:after="120" w:line="330" w:lineRule="atLeast"/>
        <w:rPr>
          <w:rFonts w:hAnsi="宋体"/>
          <w:color w:val="auto"/>
          <w:sz w:val="24"/>
          <w:szCs w:val="24"/>
          <w:highlight w:val="none"/>
        </w:rPr>
      </w:pPr>
      <w:r>
        <w:rPr>
          <w:rFonts w:hAnsi="宋体"/>
          <w:color w:val="auto"/>
          <w:sz w:val="24"/>
          <w:szCs w:val="24"/>
          <w:highlight w:val="none"/>
        </w:rPr>
        <w:t xml:space="preserve">4.4 货物在交付甲方前发生的风险均由乙方负责。</w:t>
      </w:r>
      <w:r/>
    </w:p>
    <w:p>
      <w:pPr>
        <w:pStyle w:val="865"/>
        <w:ind w:firstLine="482"/>
        <w:spacing w:before="120" w:after="120" w:line="330" w:lineRule="atLeast"/>
        <w:rPr>
          <w:rFonts w:hAnsi="宋体"/>
          <w:color w:val="auto"/>
          <w:sz w:val="24"/>
          <w:szCs w:val="24"/>
          <w:highlight w:val="none"/>
        </w:rPr>
      </w:pPr>
      <w:r>
        <w:rPr>
          <w:rFonts w:hint="eastAsia" w:hAnsi="宋体"/>
          <w:b/>
          <w:color w:val="auto"/>
          <w:sz w:val="24"/>
          <w:szCs w:val="24"/>
          <w:highlight w:val="none"/>
        </w:rPr>
        <w:t xml:space="preserve">五、</w:t>
      </w:r>
      <w:r>
        <w:rPr>
          <w:rFonts w:hAnsi="宋体"/>
          <w:b/>
          <w:color w:val="auto"/>
          <w:sz w:val="24"/>
          <w:szCs w:val="24"/>
          <w:highlight w:val="none"/>
        </w:rPr>
        <w:t xml:space="preserve">质量保证及售后服务</w:t>
      </w:r>
      <w:r/>
    </w:p>
    <w:p>
      <w:pPr>
        <w:pStyle w:val="865"/>
        <w:ind w:firstLine="480"/>
        <w:spacing w:before="120" w:after="120" w:line="330" w:lineRule="atLeast"/>
        <w:rPr>
          <w:rFonts w:hAnsi="宋体"/>
          <w:color w:val="auto"/>
          <w:sz w:val="24"/>
          <w:szCs w:val="24"/>
          <w:highlight w:val="none"/>
        </w:rPr>
      </w:pPr>
      <w:r>
        <w:rPr>
          <w:rFonts w:hAnsi="宋体"/>
          <w:color w:val="auto"/>
          <w:sz w:val="24"/>
          <w:szCs w:val="24"/>
          <w:highlight w:val="none"/>
        </w:rPr>
        <w:t xml:space="preserve">5.1 乙方应按招标文件规定的货物性能、技术要求、质量标准向甲方提供全新</w:t>
      </w:r>
      <w:r>
        <w:rPr>
          <w:rFonts w:hint="eastAsia" w:hAnsi="宋体"/>
          <w:color w:val="auto"/>
          <w:sz w:val="24"/>
          <w:szCs w:val="24"/>
          <w:highlight w:val="none"/>
        </w:rPr>
        <w:t xml:space="preserve">货物，乙方所供货物应符合国家相关的法律规定、技术规格和质量标准；如是进口商品，则需是获得国家相关部门颁布安全许可证的出厂原装合格产品。</w:t>
      </w:r>
      <w:r/>
    </w:p>
    <w:p>
      <w:pPr>
        <w:pStyle w:val="865"/>
        <w:ind w:firstLine="480"/>
        <w:spacing w:before="120" w:after="120" w:line="330" w:lineRule="atLeast"/>
        <w:rPr>
          <w:rFonts w:hAnsi="宋体"/>
          <w:color w:val="auto"/>
          <w:sz w:val="24"/>
          <w:szCs w:val="24"/>
          <w:highlight w:val="none"/>
        </w:rPr>
      </w:pPr>
      <w:r>
        <w:rPr>
          <w:rFonts w:hAnsi="宋体"/>
          <w:color w:val="auto"/>
          <w:sz w:val="24"/>
          <w:szCs w:val="24"/>
          <w:highlight w:val="none"/>
        </w:rPr>
        <w:t xml:space="preserve">5.2 乙方提供的货物在</w:t>
      </w:r>
      <w:r>
        <w:rPr>
          <w:rFonts w:hint="eastAsia" w:hAnsi="宋体"/>
          <w:color w:val="auto"/>
          <w:sz w:val="24"/>
          <w:szCs w:val="24"/>
          <w:highlight w:val="none"/>
        </w:rPr>
        <w:t xml:space="preserve">质保期</w:t>
      </w:r>
      <w:r>
        <w:rPr>
          <w:rFonts w:hAnsi="宋体"/>
          <w:color w:val="auto"/>
          <w:sz w:val="24"/>
          <w:szCs w:val="24"/>
          <w:highlight w:val="none"/>
        </w:rPr>
        <w:t xml:space="preserve">内因货物本身的质量问题发生故障，乙方应负责免费更换</w:t>
      </w:r>
      <w:r>
        <w:rPr>
          <w:rFonts w:hint="eastAsia" w:hAnsi="宋体"/>
          <w:color w:val="auto"/>
          <w:sz w:val="24"/>
          <w:szCs w:val="24"/>
          <w:highlight w:val="none"/>
        </w:rPr>
        <w:t xml:space="preserve">，并承担所发生的全部费用</w:t>
      </w:r>
      <w:r>
        <w:rPr>
          <w:rFonts w:hAnsi="宋体"/>
          <w:color w:val="auto"/>
          <w:sz w:val="24"/>
          <w:szCs w:val="24"/>
          <w:highlight w:val="none"/>
        </w:rPr>
        <w:t xml:space="preserve">。</w:t>
      </w:r>
      <w:r>
        <w:rPr>
          <w:rFonts w:hint="eastAsia" w:hAnsi="宋体"/>
          <w:color w:val="auto"/>
          <w:sz w:val="24"/>
          <w:szCs w:val="24"/>
          <w:highlight w:val="none"/>
        </w:rPr>
        <w:t xml:space="preserve">更换后仍</w:t>
      </w:r>
      <w:r>
        <w:rPr>
          <w:rFonts w:hAnsi="宋体"/>
          <w:color w:val="auto"/>
          <w:sz w:val="24"/>
          <w:szCs w:val="24"/>
          <w:highlight w:val="none"/>
        </w:rPr>
        <w:t xml:space="preserve">达不到技术要求</w:t>
      </w:r>
      <w:r>
        <w:rPr>
          <w:rFonts w:hint="eastAsia" w:hAnsi="宋体"/>
          <w:color w:val="auto"/>
          <w:sz w:val="24"/>
          <w:szCs w:val="24"/>
          <w:highlight w:val="none"/>
        </w:rPr>
        <w:t xml:space="preserve">的，</w:t>
      </w:r>
      <w:r>
        <w:rPr>
          <w:rFonts w:hAnsi="宋体"/>
          <w:color w:val="auto"/>
          <w:sz w:val="24"/>
          <w:szCs w:val="24"/>
          <w:highlight w:val="none"/>
        </w:rPr>
        <w:t xml:space="preserve">乙方应退还甲方支付的合同款，同时应承担该货物的直接费用（运输、保险、检验、货款利息及银行手续费等）。</w:t>
      </w:r>
      <w:r/>
    </w:p>
    <w:p>
      <w:pPr>
        <w:pStyle w:val="865"/>
        <w:ind w:firstLine="480"/>
        <w:spacing w:before="120" w:after="120" w:line="330" w:lineRule="atLeast"/>
        <w:rPr>
          <w:rFonts w:hAnsi="宋体"/>
          <w:color w:val="auto"/>
          <w:sz w:val="24"/>
          <w:szCs w:val="24"/>
          <w:highlight w:val="none"/>
        </w:rPr>
      </w:pPr>
      <w:r>
        <w:rPr>
          <w:rFonts w:hAnsi="宋体"/>
          <w:color w:val="auto"/>
          <w:sz w:val="24"/>
          <w:szCs w:val="24"/>
          <w:highlight w:val="none"/>
        </w:rPr>
        <w:t xml:space="preserve">5.3</w:t>
      </w:r>
      <w:r>
        <w:rPr>
          <w:rFonts w:hint="eastAsia" w:hAnsi="宋体"/>
          <w:color w:val="auto"/>
          <w:sz w:val="24"/>
          <w:szCs w:val="24"/>
          <w:highlight w:val="none"/>
        </w:rPr>
        <w:t xml:space="preserve">上述货物的</w:t>
      </w:r>
      <w:r>
        <w:rPr>
          <w:rFonts w:hAnsi="宋体"/>
          <w:color w:val="auto"/>
          <w:sz w:val="24"/>
          <w:szCs w:val="24"/>
          <w:highlight w:val="none"/>
        </w:rPr>
        <w:t xml:space="preserve">质保期</w:t>
      </w:r>
      <w:r>
        <w:rPr>
          <w:rFonts w:hint="eastAsia" w:hAnsi="宋体"/>
          <w:color w:val="auto"/>
          <w:sz w:val="24"/>
          <w:szCs w:val="24"/>
          <w:highlight w:val="none"/>
          <w:u w:val="single"/>
        </w:rPr>
        <w:t xml:space="preserve">     </w:t>
      </w:r>
      <w:r>
        <w:rPr>
          <w:rFonts w:hAnsi="宋体"/>
          <w:color w:val="auto"/>
          <w:sz w:val="24"/>
          <w:szCs w:val="24"/>
          <w:highlight w:val="none"/>
        </w:rPr>
        <w:t xml:space="preserve">年</w:t>
      </w:r>
      <w:r>
        <w:rPr>
          <w:rFonts w:hint="eastAsia" w:hAnsi="宋体"/>
          <w:color w:val="auto"/>
          <w:sz w:val="24"/>
          <w:szCs w:val="24"/>
          <w:highlight w:val="none"/>
        </w:rPr>
        <w:t xml:space="preserve">。</w:t>
      </w:r>
      <w:r>
        <w:rPr>
          <w:rFonts w:hAnsi="宋体"/>
          <w:color w:val="auto"/>
          <w:sz w:val="24"/>
          <w:szCs w:val="24"/>
          <w:highlight w:val="none"/>
        </w:rPr>
        <w:t xml:space="preserve">（自交货验收合格</w:t>
      </w:r>
      <w:r>
        <w:rPr>
          <w:rFonts w:hint="eastAsia" w:hAnsi="宋体"/>
          <w:color w:val="auto"/>
          <w:sz w:val="24"/>
          <w:szCs w:val="24"/>
          <w:highlight w:val="none"/>
        </w:rPr>
        <w:t xml:space="preserve">次日</w:t>
      </w:r>
      <w:r>
        <w:rPr>
          <w:rFonts w:hAnsi="宋体"/>
          <w:color w:val="auto"/>
          <w:sz w:val="24"/>
          <w:szCs w:val="24"/>
          <w:highlight w:val="none"/>
        </w:rPr>
        <w:t xml:space="preserve">起</w:t>
      </w:r>
      <w:r>
        <w:rPr>
          <w:rFonts w:hint="eastAsia" w:hAnsi="宋体"/>
          <w:color w:val="auto"/>
          <w:sz w:val="24"/>
          <w:szCs w:val="24"/>
          <w:highlight w:val="none"/>
        </w:rPr>
        <w:t xml:space="preserve">计算</w:t>
      </w:r>
      <w:r>
        <w:rPr>
          <w:rFonts w:hAnsi="宋体"/>
          <w:color w:val="auto"/>
          <w:sz w:val="24"/>
          <w:szCs w:val="24"/>
          <w:highlight w:val="none"/>
        </w:rPr>
        <w:t xml:space="preserve">），因人为因素出现的故障不在免费保修范围内。</w:t>
      </w:r>
      <w:r/>
    </w:p>
    <w:p>
      <w:pPr>
        <w:pStyle w:val="865"/>
        <w:ind w:firstLine="480"/>
        <w:spacing w:before="120" w:after="120" w:line="330" w:lineRule="atLeast"/>
        <w:rPr>
          <w:rFonts w:hAnsi="宋体"/>
          <w:color w:val="auto"/>
          <w:sz w:val="24"/>
          <w:szCs w:val="24"/>
          <w:highlight w:val="none"/>
        </w:rPr>
      </w:pPr>
      <w:r>
        <w:rPr>
          <w:rFonts w:hAnsi="宋体"/>
          <w:color w:val="auto"/>
          <w:sz w:val="24"/>
          <w:szCs w:val="24"/>
          <w:highlight w:val="none"/>
        </w:rPr>
        <w:t xml:space="preserve">5.4</w:t>
      </w:r>
      <w:r>
        <w:rPr>
          <w:rFonts w:hint="eastAsia" w:hAnsi="宋体"/>
          <w:color w:val="auto"/>
          <w:sz w:val="24"/>
          <w:szCs w:val="24"/>
          <w:highlight w:val="none"/>
        </w:rPr>
        <w:t xml:space="preserve">在质保期内，如在使用过程中发生质量问题，乙方在接到甲方通知后在_________小时内响应，并在_________小时内赶到甲方现场，免费予以排除故障、修复或者更换零部件。如未及时维修的，甲方委托他人维修，维修费优先从履约保证金中直接扣除，履约保证金不足的，甲方有权向乙方追偿；甲方无需经乙方同意即可单方委托第三方维修，维修费用按实际发生额计算。</w:t>
      </w:r>
      <w:r/>
    </w:p>
    <w:p>
      <w:pPr>
        <w:pStyle w:val="865"/>
        <w:ind w:firstLine="480"/>
        <w:spacing w:before="120" w:after="120" w:line="330" w:lineRule="atLeast"/>
        <w:rPr>
          <w:rFonts w:hAnsi="宋体"/>
          <w:color w:val="auto"/>
          <w:sz w:val="24"/>
          <w:szCs w:val="24"/>
          <w:highlight w:val="none"/>
        </w:rPr>
      </w:pPr>
      <w:r>
        <w:rPr>
          <w:rFonts w:hAnsi="宋体"/>
          <w:color w:val="auto"/>
          <w:sz w:val="24"/>
          <w:szCs w:val="24"/>
          <w:highlight w:val="none"/>
        </w:rPr>
        <w:t xml:space="preserve">5.5 在质保期内，乙方应对货物出现的质量及安全问题负责处理解决并承担一切费用。</w:t>
      </w:r>
      <w:r/>
    </w:p>
    <w:p>
      <w:pPr>
        <w:pStyle w:val="865"/>
        <w:ind w:firstLine="480"/>
        <w:spacing w:before="120" w:after="120" w:line="330" w:lineRule="atLeast"/>
        <w:rPr>
          <w:rFonts w:hAnsi="宋体"/>
          <w:color w:val="auto"/>
          <w:sz w:val="24"/>
          <w:szCs w:val="24"/>
          <w:highlight w:val="none"/>
        </w:rPr>
      </w:pPr>
      <w:r>
        <w:rPr>
          <w:rFonts w:hAnsi="宋体"/>
          <w:color w:val="auto"/>
          <w:sz w:val="24"/>
          <w:szCs w:val="24"/>
          <w:highlight w:val="none"/>
        </w:rPr>
        <w:t xml:space="preserve">5.6 </w:t>
      </w:r>
      <w:r>
        <w:rPr>
          <w:rFonts w:hint="eastAsia" w:hAnsi="宋体"/>
          <w:color w:val="auto"/>
          <w:sz w:val="24"/>
          <w:szCs w:val="24"/>
          <w:highlight w:val="none"/>
        </w:rPr>
        <w:t xml:space="preserve">质保期满后，如设备出现故障，乙方在接到甲方通知后，仍应在上述时间内响应，派人赶到甲方现场，免费帮助甲方排除故障、修复或者更换零部件；若需购买零部件，乙方可酌情收取成本费，但需免收上门费、人工费等费用</w:t>
      </w:r>
      <w:r>
        <w:rPr>
          <w:rFonts w:hAnsi="宋体"/>
          <w:color w:val="auto"/>
          <w:sz w:val="24"/>
          <w:szCs w:val="24"/>
          <w:highlight w:val="none"/>
        </w:rPr>
        <w:t xml:space="preserve">。</w:t>
      </w:r>
      <w:r/>
    </w:p>
    <w:p>
      <w:pPr>
        <w:pStyle w:val="865"/>
        <w:ind w:firstLine="480"/>
        <w:spacing w:before="120" w:after="120" w:line="330" w:lineRule="atLeast"/>
        <w:rPr>
          <w:rFonts w:hAnsi="宋体"/>
          <w:color w:val="auto"/>
          <w:sz w:val="24"/>
          <w:szCs w:val="24"/>
          <w:highlight w:val="none"/>
        </w:rPr>
      </w:pPr>
      <w:r>
        <w:rPr>
          <w:rFonts w:hint="eastAsia" w:hAnsi="宋体"/>
          <w:color w:val="auto"/>
          <w:sz w:val="24"/>
          <w:szCs w:val="24"/>
          <w:highlight w:val="none"/>
        </w:rPr>
        <w:t xml:space="preserve">5.7 技术培训：乙方负责派专业技术人员到甲方处进行   次的设备操作培训，培训人员数量  人，使其能熟练掌握仪器的各项性能（包括硬件和软件）。在设备操作培训以后，若有甲方仍有技术问题，乙方在任何时候，都应在  小时以内提供详细技术方案并予以解决。</w:t>
      </w:r>
      <w:r/>
    </w:p>
    <w:p>
      <w:pPr>
        <w:pStyle w:val="865"/>
        <w:ind w:firstLine="482"/>
        <w:spacing w:before="120" w:after="120" w:line="330" w:lineRule="atLeast"/>
        <w:rPr>
          <w:rFonts w:hAnsi="宋体"/>
          <w:b/>
          <w:color w:val="auto"/>
          <w:sz w:val="24"/>
          <w:szCs w:val="24"/>
          <w:highlight w:val="none"/>
        </w:rPr>
      </w:pPr>
      <w:r>
        <w:rPr>
          <w:rFonts w:hint="eastAsia" w:hAnsi="宋体"/>
          <w:b/>
          <w:color w:val="auto"/>
          <w:sz w:val="24"/>
          <w:szCs w:val="24"/>
          <w:highlight w:val="none"/>
        </w:rPr>
        <w:t xml:space="preserve">六</w:t>
      </w:r>
      <w:r>
        <w:rPr>
          <w:rFonts w:hAnsi="宋体"/>
          <w:b/>
          <w:color w:val="auto"/>
          <w:sz w:val="24"/>
          <w:szCs w:val="24"/>
          <w:highlight w:val="none"/>
        </w:rPr>
        <w:t xml:space="preserve">、调试和验收</w:t>
      </w:r>
      <w:r/>
    </w:p>
    <w:p>
      <w:pPr>
        <w:pStyle w:val="865"/>
        <w:ind w:firstLine="480"/>
        <w:spacing w:before="120" w:after="120" w:line="330" w:lineRule="atLeast"/>
        <w:rPr>
          <w:rFonts w:hAnsi="宋体"/>
          <w:color w:val="auto"/>
          <w:sz w:val="24"/>
          <w:szCs w:val="24"/>
          <w:highlight w:val="none"/>
        </w:rPr>
      </w:pPr>
      <w:r>
        <w:rPr>
          <w:rFonts w:hAnsi="宋体"/>
          <w:color w:val="auto"/>
          <w:sz w:val="24"/>
          <w:szCs w:val="24"/>
          <w:highlight w:val="none"/>
        </w:rPr>
        <w:t xml:space="preserve">6.1 乙方交货前应对</w:t>
      </w:r>
      <w:r>
        <w:rPr>
          <w:rFonts w:hint="eastAsia" w:hAnsi="宋体"/>
          <w:color w:val="auto"/>
          <w:sz w:val="24"/>
          <w:szCs w:val="24"/>
          <w:highlight w:val="none"/>
        </w:rPr>
        <w:t xml:space="preserve">货物</w:t>
      </w:r>
      <w:r>
        <w:rPr>
          <w:rFonts w:hAnsi="宋体"/>
          <w:color w:val="auto"/>
          <w:sz w:val="24"/>
          <w:szCs w:val="24"/>
          <w:highlight w:val="none"/>
        </w:rPr>
        <w:t xml:space="preserve">全面检查</w:t>
      </w:r>
      <w:r>
        <w:rPr>
          <w:rFonts w:hint="eastAsia" w:hAnsi="宋体"/>
          <w:color w:val="auto"/>
          <w:sz w:val="24"/>
          <w:szCs w:val="24"/>
          <w:highlight w:val="none"/>
        </w:rPr>
        <w:t xml:space="preserve">并</w:t>
      </w:r>
      <w:r>
        <w:rPr>
          <w:rFonts w:hAnsi="宋体"/>
          <w:color w:val="auto"/>
          <w:sz w:val="24"/>
          <w:szCs w:val="24"/>
          <w:highlight w:val="none"/>
        </w:rPr>
        <w:t xml:space="preserve">对验收文件进行整理，列出清单</w:t>
      </w:r>
      <w:r>
        <w:rPr>
          <w:rFonts w:hint="eastAsia" w:hAnsi="宋体"/>
          <w:color w:val="auto"/>
          <w:sz w:val="24"/>
          <w:szCs w:val="24"/>
          <w:highlight w:val="none"/>
        </w:rPr>
        <w:t xml:space="preserve">提交甲方</w:t>
      </w:r>
      <w:r>
        <w:rPr>
          <w:rFonts w:hAnsi="宋体"/>
          <w:color w:val="auto"/>
          <w:sz w:val="24"/>
          <w:szCs w:val="24"/>
          <w:highlight w:val="none"/>
        </w:rPr>
        <w:t xml:space="preserve">，检验的结果</w:t>
      </w:r>
      <w:r>
        <w:rPr>
          <w:rFonts w:hint="eastAsia" w:hAnsi="宋体"/>
          <w:color w:val="auto"/>
          <w:sz w:val="24"/>
          <w:szCs w:val="24"/>
          <w:highlight w:val="none"/>
        </w:rPr>
        <w:t xml:space="preserve">亦</w:t>
      </w:r>
      <w:r>
        <w:rPr>
          <w:rFonts w:hAnsi="宋体"/>
          <w:color w:val="auto"/>
          <w:sz w:val="24"/>
          <w:szCs w:val="24"/>
          <w:highlight w:val="none"/>
        </w:rPr>
        <w:t xml:space="preserve">应随货物交甲方。</w:t>
      </w:r>
      <w:r/>
    </w:p>
    <w:p>
      <w:pPr>
        <w:pStyle w:val="865"/>
        <w:ind w:firstLine="480"/>
        <w:spacing w:before="120" w:after="120" w:line="330" w:lineRule="atLeast"/>
        <w:rPr>
          <w:rFonts w:hAnsi="宋体"/>
          <w:color w:val="auto"/>
          <w:sz w:val="24"/>
          <w:szCs w:val="24"/>
          <w:highlight w:val="none"/>
          <w:u w:val="single"/>
        </w:rPr>
      </w:pPr>
      <w:r>
        <w:rPr>
          <w:rFonts w:hAnsi="宋体"/>
          <w:color w:val="auto"/>
          <w:sz w:val="24"/>
          <w:szCs w:val="24"/>
          <w:highlight w:val="none"/>
        </w:rPr>
        <w:t xml:space="preserve">6.2 甲方对乙方提供的货物在使用前进行调试时，乙方需负责安装并培训甲方的使用操作人员，并协助甲方一起调试，直到符合技术要求。</w:t>
      </w:r>
      <w:r/>
    </w:p>
    <w:p>
      <w:pPr>
        <w:pStyle w:val="865"/>
        <w:ind w:firstLine="480"/>
        <w:spacing w:before="120" w:after="120" w:line="330" w:lineRule="atLeast"/>
        <w:rPr>
          <w:rFonts w:hAnsi="宋体"/>
          <w:color w:val="auto"/>
          <w:sz w:val="24"/>
          <w:szCs w:val="24"/>
          <w:highlight w:val="none"/>
        </w:rPr>
      </w:pPr>
      <w:r>
        <w:rPr>
          <w:rFonts w:hAnsi="宋体"/>
          <w:color w:val="auto"/>
          <w:sz w:val="24"/>
          <w:szCs w:val="24"/>
          <w:highlight w:val="none"/>
        </w:rPr>
        <w:t xml:space="preserve">6.3 </w:t>
      </w:r>
      <w:r>
        <w:rPr>
          <w:rFonts w:hint="eastAsia" w:hAnsi="宋体"/>
          <w:color w:val="auto"/>
          <w:sz w:val="24"/>
          <w:szCs w:val="24"/>
          <w:highlight w:val="none"/>
        </w:rPr>
        <w:t xml:space="preserve">在安装、调试和验收过程中，如发现有漏件、缺件，乙方应无条件、无偿补齐，所发生的一切费用，视为已包含在投标时的投标报价中，且并不因此而影响交付甲方使用的时间。</w:t>
      </w:r>
      <w:r/>
    </w:p>
    <w:p>
      <w:pPr>
        <w:pStyle w:val="865"/>
        <w:ind w:firstLine="480"/>
        <w:spacing w:before="120" w:after="120" w:line="330" w:lineRule="atLeast"/>
        <w:rPr>
          <w:rFonts w:hAnsi="宋体"/>
          <w:color w:val="auto"/>
          <w:sz w:val="24"/>
          <w:szCs w:val="24"/>
          <w:highlight w:val="none"/>
        </w:rPr>
      </w:pPr>
      <w:r>
        <w:rPr>
          <w:rFonts w:hAnsi="宋体"/>
          <w:color w:val="auto"/>
          <w:sz w:val="24"/>
          <w:szCs w:val="24"/>
          <w:highlight w:val="none"/>
        </w:rPr>
        <w:t xml:space="preserve">6.4 甲方对乙方提交的货物依据招标文件上的技术规格要求和国家有关质量标准进行现场初步验收</w:t>
      </w:r>
      <w:r>
        <w:rPr>
          <w:rFonts w:hint="eastAsia" w:hAnsi="宋体"/>
          <w:color w:val="auto"/>
          <w:sz w:val="24"/>
          <w:szCs w:val="24"/>
          <w:highlight w:val="none"/>
        </w:rPr>
        <w:t xml:space="preserve">。</w:t>
      </w:r>
      <w:r>
        <w:rPr>
          <w:rFonts w:hAnsi="宋体"/>
          <w:color w:val="auto"/>
          <w:sz w:val="24"/>
          <w:szCs w:val="24"/>
          <w:highlight w:val="none"/>
        </w:rPr>
        <w:t xml:space="preserve">外观、说明书符合招标文件技术要求的，给予签收，初步验收不合格的不予签收。货到后，甲方需在10个工作日内</w:t>
      </w:r>
      <w:r>
        <w:rPr>
          <w:rFonts w:hint="eastAsia" w:hAnsi="宋体"/>
          <w:color w:val="auto"/>
          <w:sz w:val="24"/>
          <w:szCs w:val="24"/>
          <w:highlight w:val="none"/>
        </w:rPr>
        <w:t xml:space="preserve">完成初步</w:t>
      </w:r>
      <w:r>
        <w:rPr>
          <w:rFonts w:hAnsi="宋体"/>
          <w:color w:val="auto"/>
          <w:sz w:val="24"/>
          <w:szCs w:val="24"/>
          <w:highlight w:val="none"/>
        </w:rPr>
        <w:t xml:space="preserve">验收。</w:t>
      </w:r>
      <w:r>
        <w:rPr>
          <w:rFonts w:hint="eastAsia" w:hAnsi="宋体"/>
          <w:color w:val="auto"/>
          <w:sz w:val="24"/>
          <w:szCs w:val="24"/>
          <w:highlight w:val="none"/>
        </w:rPr>
        <w:t xml:space="preserve">验收不合格的，乙方应在收到甲方书面整改通知后完成整改并重新申请验收，整改后仍不合格的，甲方有权单方解除合同，乙方按9.3条承担违约责任。</w:t>
      </w:r>
      <w:r/>
    </w:p>
    <w:p>
      <w:pPr>
        <w:pStyle w:val="865"/>
        <w:ind w:firstLine="480"/>
        <w:spacing w:before="120" w:after="120" w:line="330" w:lineRule="atLeast"/>
        <w:rPr>
          <w:rFonts w:hAnsi="宋体"/>
          <w:color w:val="auto"/>
          <w:sz w:val="24"/>
          <w:szCs w:val="24"/>
          <w:highlight w:val="none"/>
        </w:rPr>
      </w:pPr>
      <w:r>
        <w:rPr>
          <w:rFonts w:hAnsi="宋体"/>
          <w:color w:val="auto"/>
          <w:sz w:val="24"/>
          <w:szCs w:val="24"/>
          <w:highlight w:val="none"/>
        </w:rPr>
        <w:t xml:space="preserve">6.5 </w:t>
      </w:r>
      <w:r>
        <w:rPr>
          <w:rFonts w:hint="eastAsia" w:hAnsi="宋体"/>
          <w:color w:val="auto"/>
          <w:sz w:val="24"/>
          <w:szCs w:val="24"/>
          <w:highlight w:val="none"/>
        </w:rPr>
        <w:t xml:space="preserve">设备、材料安装、调试结束，甲、</w:t>
      </w:r>
      <w:r>
        <w:rPr>
          <w:rFonts w:hAnsi="宋体"/>
          <w:color w:val="auto"/>
          <w:sz w:val="24"/>
          <w:szCs w:val="24"/>
          <w:highlight w:val="none"/>
        </w:rPr>
        <w:t xml:space="preserve">乙</w:t>
      </w:r>
      <w:r>
        <w:rPr>
          <w:rFonts w:hint="eastAsia" w:hAnsi="宋体"/>
          <w:color w:val="auto"/>
          <w:sz w:val="24"/>
          <w:szCs w:val="24"/>
          <w:highlight w:val="none"/>
        </w:rPr>
        <w:t xml:space="preserve">双</w:t>
      </w:r>
      <w:r>
        <w:rPr>
          <w:rFonts w:hAnsi="宋体"/>
          <w:color w:val="auto"/>
          <w:sz w:val="24"/>
          <w:szCs w:val="24"/>
          <w:highlight w:val="none"/>
        </w:rPr>
        <w:t xml:space="preserve">方</w:t>
      </w:r>
      <w:r>
        <w:rPr>
          <w:rFonts w:hint="eastAsia" w:hAnsi="宋体"/>
          <w:color w:val="auto"/>
          <w:sz w:val="24"/>
          <w:szCs w:val="24"/>
          <w:highlight w:val="none"/>
        </w:rPr>
        <w:t xml:space="preserve">派员共同验收</w:t>
      </w:r>
      <w:r>
        <w:rPr>
          <w:rFonts w:hAnsi="宋体"/>
          <w:color w:val="auto"/>
          <w:sz w:val="24"/>
          <w:szCs w:val="24"/>
          <w:highlight w:val="none"/>
        </w:rPr>
        <w:t xml:space="preserve">，</w:t>
      </w:r>
      <w:r>
        <w:rPr>
          <w:rFonts w:hint="eastAsia" w:hAnsi="宋体"/>
          <w:color w:val="auto"/>
          <w:sz w:val="24"/>
          <w:szCs w:val="24"/>
          <w:highlight w:val="none"/>
        </w:rPr>
        <w:t xml:space="preserve">达到验收标准则验收合格。</w:t>
      </w:r>
      <w:r>
        <w:rPr>
          <w:rFonts w:hAnsi="宋体"/>
          <w:color w:val="auto"/>
          <w:sz w:val="24"/>
          <w:szCs w:val="24"/>
          <w:highlight w:val="none"/>
        </w:rPr>
        <w:t xml:space="preserve">验收完毕后</w:t>
      </w:r>
      <w:r>
        <w:rPr>
          <w:rFonts w:hint="eastAsia" w:hAnsi="宋体"/>
          <w:color w:val="auto"/>
          <w:sz w:val="24"/>
          <w:szCs w:val="24"/>
          <w:highlight w:val="none"/>
        </w:rPr>
        <w:t xml:space="preserve">出具</w:t>
      </w:r>
      <w:r>
        <w:rPr>
          <w:rFonts w:hAnsi="宋体"/>
          <w:color w:val="auto"/>
          <w:sz w:val="24"/>
          <w:szCs w:val="24"/>
          <w:highlight w:val="none"/>
        </w:rPr>
        <w:t xml:space="preserve">验收结果报告</w:t>
      </w:r>
      <w:r>
        <w:rPr>
          <w:rFonts w:hint="eastAsia" w:hAnsi="宋体"/>
          <w:color w:val="auto"/>
          <w:sz w:val="24"/>
          <w:szCs w:val="24"/>
          <w:highlight w:val="none"/>
        </w:rPr>
        <w:t xml:space="preserve">并经双方签字确认</w:t>
      </w:r>
      <w:r>
        <w:rPr>
          <w:rFonts w:hAnsi="宋体"/>
          <w:color w:val="auto"/>
          <w:sz w:val="24"/>
          <w:szCs w:val="24"/>
          <w:highlight w:val="none"/>
        </w:rPr>
        <w:t xml:space="preserve">；验收</w:t>
      </w:r>
      <w:r>
        <w:rPr>
          <w:rFonts w:hint="eastAsia" w:hAnsi="宋体"/>
          <w:color w:val="auto"/>
          <w:sz w:val="24"/>
          <w:szCs w:val="24"/>
          <w:highlight w:val="none"/>
        </w:rPr>
        <w:t xml:space="preserve">相关</w:t>
      </w:r>
      <w:r>
        <w:rPr>
          <w:rFonts w:hAnsi="宋体"/>
          <w:color w:val="auto"/>
          <w:sz w:val="24"/>
          <w:szCs w:val="24"/>
          <w:highlight w:val="none"/>
        </w:rPr>
        <w:t xml:space="preserve">费用由</w:t>
      </w:r>
      <w:r>
        <w:rPr>
          <w:rFonts w:hint="eastAsia" w:hAnsi="宋体"/>
          <w:color w:val="auto"/>
          <w:sz w:val="24"/>
          <w:szCs w:val="24"/>
          <w:highlight w:val="none"/>
        </w:rPr>
        <w:t xml:space="preserve">乙方承担。</w:t>
      </w:r>
      <w:r/>
    </w:p>
    <w:p>
      <w:pPr>
        <w:pStyle w:val="865"/>
        <w:ind w:firstLine="480"/>
        <w:spacing w:before="120" w:after="120" w:line="330" w:lineRule="atLeast"/>
        <w:rPr>
          <w:rFonts w:hAnsi="宋体"/>
          <w:color w:val="auto"/>
          <w:sz w:val="24"/>
          <w:szCs w:val="24"/>
          <w:highlight w:val="none"/>
        </w:rPr>
      </w:pPr>
      <w:r>
        <w:rPr>
          <w:rFonts w:hAnsi="宋体"/>
          <w:color w:val="auto"/>
          <w:sz w:val="24"/>
          <w:szCs w:val="24"/>
          <w:highlight w:val="none"/>
        </w:rPr>
        <w:t xml:space="preserve">6.6 对技术复杂的货物，甲方</w:t>
      </w:r>
      <w:r>
        <w:rPr>
          <w:rFonts w:hint="eastAsia" w:hAnsi="宋体"/>
          <w:color w:val="auto"/>
          <w:sz w:val="24"/>
          <w:szCs w:val="24"/>
          <w:highlight w:val="none"/>
        </w:rPr>
        <w:t xml:space="preserve">可聘</w:t>
      </w:r>
      <w:r>
        <w:rPr>
          <w:rFonts w:hAnsi="宋体"/>
          <w:color w:val="auto"/>
          <w:sz w:val="24"/>
          <w:szCs w:val="24"/>
          <w:highlight w:val="none"/>
        </w:rPr>
        <w:t xml:space="preserve">请国家认可的专业检测机构参与初步验收及最终验收，</w:t>
      </w:r>
      <w:r>
        <w:rPr>
          <w:rFonts w:hint="eastAsia" w:hAnsi="宋体"/>
          <w:color w:val="auto"/>
          <w:sz w:val="24"/>
          <w:szCs w:val="24"/>
          <w:highlight w:val="none"/>
        </w:rPr>
        <w:t xml:space="preserve">专业检测机构</w:t>
      </w:r>
      <w:r>
        <w:rPr>
          <w:rFonts w:hAnsi="宋体"/>
          <w:color w:val="auto"/>
          <w:sz w:val="24"/>
          <w:szCs w:val="24"/>
          <w:highlight w:val="none"/>
        </w:rPr>
        <w:t xml:space="preserve">出具</w:t>
      </w:r>
      <w:r>
        <w:rPr>
          <w:rFonts w:hint="eastAsia" w:hAnsi="宋体"/>
          <w:color w:val="auto"/>
          <w:sz w:val="24"/>
          <w:szCs w:val="24"/>
          <w:highlight w:val="none"/>
        </w:rPr>
        <w:t xml:space="preserve">的</w:t>
      </w:r>
      <w:r>
        <w:rPr>
          <w:rFonts w:hAnsi="宋体"/>
          <w:color w:val="auto"/>
          <w:sz w:val="24"/>
          <w:szCs w:val="24"/>
          <w:highlight w:val="none"/>
        </w:rPr>
        <w:t xml:space="preserve">质量检测报告</w:t>
      </w:r>
      <w:r>
        <w:rPr>
          <w:rFonts w:hint="eastAsia" w:hAnsi="宋体"/>
          <w:color w:val="auto"/>
          <w:sz w:val="24"/>
          <w:szCs w:val="24"/>
          <w:highlight w:val="none"/>
        </w:rPr>
        <w:t xml:space="preserve">作为甲方判断乙方的货物能否通过验收的条件之一，无论是否通过验收，相关检测费用均由乙方承担。</w:t>
      </w:r>
      <w:r/>
    </w:p>
    <w:p>
      <w:pPr>
        <w:pStyle w:val="865"/>
        <w:ind w:firstLine="482"/>
        <w:spacing w:before="120" w:after="120" w:line="330" w:lineRule="atLeast"/>
        <w:rPr>
          <w:rFonts w:hAnsi="宋体"/>
          <w:b/>
          <w:color w:val="auto"/>
          <w:sz w:val="24"/>
          <w:szCs w:val="24"/>
          <w:highlight w:val="none"/>
        </w:rPr>
      </w:pPr>
      <w:r>
        <w:rPr>
          <w:rFonts w:hint="eastAsia" w:hAnsi="宋体"/>
          <w:b/>
          <w:color w:val="auto"/>
          <w:sz w:val="24"/>
          <w:szCs w:val="24"/>
          <w:highlight w:val="none"/>
        </w:rPr>
        <w:t xml:space="preserve">七</w:t>
      </w:r>
      <w:r>
        <w:rPr>
          <w:rFonts w:hAnsi="宋体"/>
          <w:b/>
          <w:color w:val="auto"/>
          <w:sz w:val="24"/>
          <w:szCs w:val="24"/>
          <w:highlight w:val="none"/>
        </w:rPr>
        <w:t xml:space="preserve">、技术资料</w:t>
      </w:r>
      <w:r/>
    </w:p>
    <w:p>
      <w:pPr>
        <w:pStyle w:val="865"/>
        <w:ind w:firstLine="480"/>
        <w:spacing w:before="120" w:after="120" w:line="330" w:lineRule="atLeast"/>
        <w:rPr>
          <w:rFonts w:hAnsi="宋体"/>
          <w:b/>
          <w:color w:val="auto"/>
          <w:sz w:val="24"/>
          <w:szCs w:val="24"/>
          <w:highlight w:val="none"/>
        </w:rPr>
      </w:pPr>
      <w:r>
        <w:rPr>
          <w:rFonts w:hAnsi="宋体"/>
          <w:color w:val="auto"/>
          <w:sz w:val="24"/>
          <w:szCs w:val="24"/>
          <w:highlight w:val="none"/>
        </w:rPr>
        <w:t xml:space="preserve">7.1乙方应按招标文件规定的时间向甲方提供使用货物的有关技术资料。</w:t>
      </w:r>
      <w:r/>
    </w:p>
    <w:p>
      <w:pPr>
        <w:pStyle w:val="865"/>
        <w:ind w:firstLine="480"/>
        <w:spacing w:before="120" w:after="120" w:line="330" w:lineRule="atLeast"/>
        <w:rPr>
          <w:rFonts w:hAnsi="宋体"/>
          <w:color w:val="auto"/>
          <w:sz w:val="24"/>
          <w:szCs w:val="24"/>
          <w:highlight w:val="none"/>
        </w:rPr>
      </w:pPr>
      <w:r>
        <w:rPr>
          <w:rFonts w:hAnsi="宋体"/>
          <w:color w:val="auto"/>
          <w:sz w:val="24"/>
          <w:szCs w:val="24"/>
          <w:highlight w:val="none"/>
        </w:rPr>
        <w:t xml:space="preserve">7.2 </w:t>
      </w:r>
      <w:r>
        <w:rPr>
          <w:rFonts w:hint="eastAsia" w:hAnsi="宋体"/>
          <w:color w:val="auto"/>
          <w:sz w:val="24"/>
          <w:szCs w:val="24"/>
          <w:highlight w:val="none"/>
        </w:rPr>
        <w:t xml:space="preserve">未经</w:t>
      </w:r>
      <w:r>
        <w:rPr>
          <w:rFonts w:hAnsi="宋体"/>
          <w:color w:val="auto"/>
          <w:sz w:val="24"/>
          <w:szCs w:val="24"/>
          <w:highlight w:val="none"/>
        </w:rPr>
        <w:t xml:space="preserve">甲方书面同意，乙方不得将由甲方提供的有关合同或任何合同条文、规格、计划、图纸、样品或资料提供给与履行本合同无关的任何人。即使向履行本合同有关的人员提供，也应注意保密并限于履行合同的必需范围。</w:t>
      </w:r>
      <w:r/>
    </w:p>
    <w:p>
      <w:pPr>
        <w:pStyle w:val="865"/>
        <w:ind w:firstLine="482"/>
        <w:spacing w:before="120" w:after="120" w:line="330" w:lineRule="atLeast"/>
        <w:rPr>
          <w:rFonts w:hAnsi="宋体"/>
          <w:b/>
          <w:color w:val="auto"/>
          <w:sz w:val="24"/>
          <w:szCs w:val="24"/>
          <w:highlight w:val="none"/>
        </w:rPr>
      </w:pPr>
      <w:r>
        <w:rPr>
          <w:rFonts w:hint="eastAsia" w:hAnsi="宋体"/>
          <w:b/>
          <w:color w:val="auto"/>
          <w:sz w:val="24"/>
          <w:szCs w:val="24"/>
          <w:highlight w:val="none"/>
        </w:rPr>
        <w:t xml:space="preserve">八</w:t>
      </w:r>
      <w:r>
        <w:rPr>
          <w:rFonts w:hAnsi="宋体"/>
          <w:b/>
          <w:color w:val="auto"/>
          <w:sz w:val="24"/>
          <w:szCs w:val="24"/>
          <w:highlight w:val="none"/>
        </w:rPr>
        <w:t xml:space="preserve">、知识产权</w:t>
      </w:r>
      <w:r/>
    </w:p>
    <w:p>
      <w:pPr>
        <w:ind w:firstLine="480"/>
        <w:spacing w:line="330" w:lineRule="atLeast"/>
        <w:rPr>
          <w:rFonts w:ascii="宋体" w:hAnsi="宋体"/>
          <w:color w:val="auto"/>
          <w:sz w:val="24"/>
          <w:highlight w:val="none"/>
        </w:rPr>
      </w:pPr>
      <w:r>
        <w:rPr>
          <w:rFonts w:ascii="宋体" w:hAnsi="宋体"/>
          <w:color w:val="auto"/>
          <w:sz w:val="24"/>
          <w:highlight w:val="none"/>
        </w:rPr>
        <w:t xml:space="preserve">乙</w:t>
      </w:r>
      <w:r>
        <w:rPr>
          <w:rFonts w:hint="eastAsia" w:ascii="宋体" w:hAnsi="宋体"/>
          <w:color w:val="auto"/>
          <w:sz w:val="24"/>
          <w:highlight w:val="none"/>
        </w:rPr>
        <w:t xml:space="preserve">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p>
    <w:p>
      <w:pPr>
        <w:pStyle w:val="865"/>
        <w:ind w:firstLine="482"/>
        <w:spacing w:before="120" w:after="120" w:line="330" w:lineRule="atLeast"/>
        <w:rPr>
          <w:rFonts w:hAnsi="宋体"/>
          <w:b/>
          <w:color w:val="auto"/>
          <w:sz w:val="24"/>
          <w:szCs w:val="24"/>
          <w:highlight w:val="none"/>
        </w:rPr>
      </w:pPr>
      <w:r>
        <w:rPr>
          <w:rFonts w:hint="eastAsia" w:hAnsi="宋体"/>
          <w:b/>
          <w:color w:val="auto"/>
          <w:sz w:val="24"/>
          <w:szCs w:val="24"/>
          <w:highlight w:val="none"/>
        </w:rPr>
        <w:t xml:space="preserve">九</w:t>
      </w:r>
      <w:r>
        <w:rPr>
          <w:rFonts w:hAnsi="宋体"/>
          <w:b/>
          <w:color w:val="auto"/>
          <w:sz w:val="24"/>
          <w:szCs w:val="24"/>
          <w:highlight w:val="none"/>
        </w:rPr>
        <w:t xml:space="preserve">、违约责任</w:t>
      </w:r>
      <w:r/>
    </w:p>
    <w:p>
      <w:pPr>
        <w:pStyle w:val="865"/>
        <w:ind w:firstLine="480"/>
        <w:spacing w:before="120" w:after="120" w:line="330" w:lineRule="atLeast"/>
        <w:rPr>
          <w:rFonts w:hAnsi="宋体"/>
          <w:color w:val="auto"/>
          <w:sz w:val="24"/>
          <w:szCs w:val="24"/>
          <w:highlight w:val="none"/>
        </w:rPr>
      </w:pPr>
      <w:r>
        <w:rPr>
          <w:rFonts w:hint="eastAsia" w:hAnsi="宋体"/>
          <w:color w:val="auto"/>
          <w:sz w:val="24"/>
          <w:szCs w:val="24"/>
          <w:highlight w:val="none"/>
        </w:rPr>
        <w:t xml:space="preserve">9.1 乙方履约的前提下，甲方无正当理由拒收货物的，甲方向乙方偿付拒收货款总值的万分之五违约金。甲方未按合同规定的时间和要求向乙方提供相关安装条件，乙方交付时间顺延。</w:t>
      </w:r>
      <w:r/>
    </w:p>
    <w:p>
      <w:pPr>
        <w:pStyle w:val="865"/>
        <w:ind w:firstLine="480"/>
        <w:spacing w:before="120" w:after="120" w:line="330" w:lineRule="atLeast"/>
        <w:rPr>
          <w:rFonts w:hAnsi="宋体"/>
          <w:color w:val="auto"/>
          <w:sz w:val="24"/>
          <w:szCs w:val="24"/>
          <w:highlight w:val="none"/>
        </w:rPr>
      </w:pPr>
      <w:r>
        <w:rPr>
          <w:rFonts w:hint="eastAsia" w:hAnsi="宋体"/>
          <w:color w:val="auto"/>
          <w:sz w:val="24"/>
          <w:szCs w:val="24"/>
          <w:highlight w:val="none"/>
        </w:rPr>
        <w:t xml:space="preserve">9.2 乙方履约的前提下，甲方无故迟延支付货款的,甲方应按逾期付款总额每日万分之五向乙方支付违约金。</w:t>
      </w:r>
      <w:r/>
    </w:p>
    <w:p>
      <w:pPr>
        <w:pStyle w:val="865"/>
        <w:ind w:firstLine="480"/>
        <w:spacing w:before="120" w:after="120" w:line="330" w:lineRule="atLeast"/>
        <w:rPr>
          <w:rFonts w:hAnsi="宋体"/>
          <w:color w:val="auto"/>
          <w:sz w:val="24"/>
          <w:szCs w:val="24"/>
          <w:highlight w:val="none"/>
        </w:rPr>
      </w:pPr>
      <w:r>
        <w:rPr>
          <w:rFonts w:hint="eastAsia" w:hAnsi="宋体"/>
          <w:color w:val="auto"/>
          <w:sz w:val="24"/>
          <w:szCs w:val="24"/>
          <w:highlight w:val="none"/>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p>
    <w:p>
      <w:pPr>
        <w:pStyle w:val="865"/>
        <w:ind w:firstLine="480"/>
        <w:spacing w:before="120" w:after="120" w:line="330" w:lineRule="atLeast"/>
        <w:rPr>
          <w:rFonts w:hAnsi="宋体"/>
          <w:color w:val="auto"/>
          <w:sz w:val="24"/>
          <w:szCs w:val="24"/>
          <w:highlight w:val="none"/>
        </w:rPr>
      </w:pPr>
      <w:r>
        <w:rPr>
          <w:rFonts w:hint="eastAsia" w:hAnsi="宋体"/>
          <w:color w:val="auto"/>
          <w:sz w:val="24"/>
          <w:szCs w:val="24"/>
          <w:highlight w:val="none"/>
        </w:rPr>
        <w:t xml:space="preserve">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p>
    <w:p>
      <w:pPr>
        <w:pStyle w:val="865"/>
        <w:ind w:firstLine="480"/>
        <w:spacing w:before="120" w:after="120" w:line="330" w:lineRule="atLeast"/>
        <w:rPr>
          <w:rFonts w:hAnsi="宋体"/>
          <w:color w:val="auto"/>
          <w:sz w:val="24"/>
          <w:szCs w:val="24"/>
          <w:highlight w:val="none"/>
        </w:rPr>
      </w:pPr>
      <w:r>
        <w:rPr>
          <w:rFonts w:hint="eastAsia" w:hAnsi="宋体"/>
          <w:color w:val="auto"/>
          <w:sz w:val="24"/>
          <w:szCs w:val="24"/>
          <w:highlight w:val="none"/>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865"/>
        <w:ind w:firstLine="480"/>
        <w:spacing w:before="120" w:after="120" w:line="330" w:lineRule="atLeast"/>
        <w:rPr>
          <w:rFonts w:hAnsi="宋体"/>
          <w:color w:val="auto"/>
          <w:sz w:val="24"/>
          <w:szCs w:val="24"/>
          <w:highlight w:val="none"/>
        </w:rPr>
      </w:pPr>
      <w:r>
        <w:rPr>
          <w:rFonts w:hint="eastAsia" w:hAnsi="宋体"/>
          <w:color w:val="auto"/>
          <w:sz w:val="24"/>
          <w:szCs w:val="24"/>
          <w:highlight w:val="none"/>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p>
    <w:p>
      <w:pPr>
        <w:pStyle w:val="865"/>
        <w:ind w:firstLine="480"/>
        <w:spacing w:before="120" w:after="120" w:line="330" w:lineRule="atLeast"/>
        <w:rPr>
          <w:rFonts w:hAnsi="宋体"/>
          <w:color w:val="auto"/>
          <w:sz w:val="24"/>
          <w:szCs w:val="24"/>
          <w:highlight w:val="none"/>
        </w:rPr>
      </w:pPr>
      <w:r>
        <w:rPr>
          <w:rFonts w:hint="eastAsia" w:hAnsi="宋体"/>
          <w:color w:val="auto"/>
          <w:sz w:val="24"/>
          <w:szCs w:val="24"/>
          <w:highlight w:val="none"/>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r/>
    </w:p>
    <w:p>
      <w:pPr>
        <w:pStyle w:val="865"/>
        <w:ind w:firstLine="480"/>
        <w:spacing w:before="120" w:after="120" w:line="330" w:lineRule="atLeast"/>
        <w:rPr>
          <w:rFonts w:hAnsi="宋体"/>
          <w:color w:val="auto"/>
          <w:sz w:val="24"/>
          <w:szCs w:val="24"/>
          <w:highlight w:val="none"/>
        </w:rPr>
      </w:pPr>
      <w:r>
        <w:rPr>
          <w:rFonts w:hint="eastAsia" w:hAnsi="宋体"/>
          <w:color w:val="auto"/>
          <w:sz w:val="24"/>
          <w:szCs w:val="24"/>
          <w:highlight w:val="none"/>
        </w:rPr>
        <w:t xml:space="preserve">9.8 乙方履行义务不符合合同约定时，甲方有权扣减总货款的10%作为违约金。</w:t>
      </w:r>
      <w:r/>
    </w:p>
    <w:p>
      <w:pPr>
        <w:pStyle w:val="865"/>
        <w:ind w:firstLine="480"/>
        <w:spacing w:before="120" w:after="120" w:line="330" w:lineRule="atLeast"/>
        <w:rPr>
          <w:rFonts w:hAnsi="宋体"/>
          <w:color w:val="auto"/>
          <w:sz w:val="24"/>
          <w:szCs w:val="24"/>
          <w:highlight w:val="none"/>
        </w:rPr>
      </w:pPr>
      <w:r>
        <w:rPr>
          <w:rFonts w:hint="eastAsia" w:hAnsi="宋体"/>
          <w:color w:val="auto"/>
          <w:sz w:val="24"/>
          <w:szCs w:val="24"/>
          <w:highlight w:val="none"/>
        </w:rPr>
        <w:t xml:space="preserve">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r/>
    </w:p>
    <w:p>
      <w:pPr>
        <w:pStyle w:val="865"/>
        <w:ind w:firstLine="482"/>
        <w:spacing w:before="120" w:after="120" w:line="330" w:lineRule="atLeast"/>
        <w:rPr>
          <w:rFonts w:hAnsi="宋体"/>
          <w:b/>
          <w:color w:val="auto"/>
          <w:sz w:val="24"/>
          <w:szCs w:val="24"/>
          <w:highlight w:val="none"/>
        </w:rPr>
      </w:pPr>
      <w:r>
        <w:rPr>
          <w:rFonts w:hint="eastAsia" w:hAnsi="宋体"/>
          <w:b/>
          <w:color w:val="auto"/>
          <w:sz w:val="24"/>
          <w:szCs w:val="24"/>
          <w:highlight w:val="none"/>
        </w:rPr>
        <w:t xml:space="preserve">十</w:t>
      </w:r>
      <w:r>
        <w:rPr>
          <w:rFonts w:hAnsi="宋体"/>
          <w:b/>
          <w:color w:val="auto"/>
          <w:sz w:val="24"/>
          <w:szCs w:val="24"/>
          <w:highlight w:val="none"/>
        </w:rPr>
        <w:t xml:space="preserve">、不可抗力事件处理</w:t>
      </w:r>
      <w:r/>
    </w:p>
    <w:p>
      <w:pPr>
        <w:pStyle w:val="865"/>
        <w:ind w:firstLine="480"/>
        <w:spacing w:before="120" w:after="120" w:line="330" w:lineRule="atLeast"/>
        <w:rPr>
          <w:rFonts w:hAnsi="宋体"/>
          <w:color w:val="auto"/>
          <w:sz w:val="24"/>
          <w:szCs w:val="24"/>
          <w:highlight w:val="none"/>
        </w:rPr>
      </w:pPr>
      <w:r>
        <w:rPr>
          <w:rFonts w:hAnsi="宋体"/>
          <w:color w:val="auto"/>
          <w:sz w:val="24"/>
          <w:szCs w:val="24"/>
          <w:highlight w:val="none"/>
        </w:rPr>
        <w:t xml:space="preserve">10.1 在合同有效期内，任何一方因不可抗力事件导致不能履行合同，则合同履行期可延长，其延长期与不可抗力影响期相同。</w:t>
      </w:r>
      <w:r/>
    </w:p>
    <w:p>
      <w:pPr>
        <w:pStyle w:val="865"/>
        <w:ind w:firstLine="480"/>
        <w:spacing w:before="120" w:after="120" w:line="330" w:lineRule="atLeast"/>
        <w:rPr>
          <w:rFonts w:hAnsi="宋体"/>
          <w:color w:val="auto"/>
          <w:sz w:val="24"/>
          <w:szCs w:val="24"/>
          <w:highlight w:val="none"/>
        </w:rPr>
      </w:pPr>
      <w:r>
        <w:rPr>
          <w:rFonts w:hAnsi="宋体"/>
          <w:color w:val="auto"/>
          <w:sz w:val="24"/>
          <w:szCs w:val="24"/>
          <w:highlight w:val="none"/>
        </w:rPr>
        <w:t xml:space="preserve">10.2 不可抗力事件发生后</w:t>
      </w:r>
      <w:r>
        <w:rPr>
          <w:rFonts w:hint="eastAsia" w:hAnsi="宋体"/>
          <w:color w:val="auto"/>
          <w:sz w:val="24"/>
          <w:szCs w:val="24"/>
          <w:highlight w:val="none"/>
        </w:rPr>
        <w:t xml:space="preserve">，</w:t>
      </w:r>
      <w:r>
        <w:rPr>
          <w:rFonts w:hAnsi="宋体"/>
          <w:color w:val="auto"/>
          <w:sz w:val="24"/>
          <w:szCs w:val="24"/>
          <w:highlight w:val="none"/>
        </w:rPr>
        <w:t xml:space="preserve">应立即通知对方，并寄送有关权威机构出具的证明。</w:t>
      </w:r>
      <w:r/>
    </w:p>
    <w:p>
      <w:pPr>
        <w:pStyle w:val="865"/>
        <w:ind w:firstLine="480"/>
        <w:spacing w:before="120" w:after="120" w:line="330" w:lineRule="atLeast"/>
        <w:rPr>
          <w:rFonts w:hAnsi="宋体"/>
          <w:color w:val="auto"/>
          <w:sz w:val="24"/>
          <w:szCs w:val="24"/>
          <w:highlight w:val="none"/>
        </w:rPr>
      </w:pPr>
      <w:r>
        <w:rPr>
          <w:rFonts w:hAnsi="宋体"/>
          <w:color w:val="auto"/>
          <w:sz w:val="24"/>
          <w:szCs w:val="24"/>
          <w:highlight w:val="none"/>
        </w:rPr>
        <w:t xml:space="preserve">10.3 不可抗力事件延续30天以上，双方应通过友好协商，确定是否继续履行合同。</w:t>
      </w:r>
      <w:r/>
    </w:p>
    <w:p>
      <w:pPr>
        <w:pStyle w:val="865"/>
        <w:ind w:firstLine="482"/>
        <w:spacing w:before="120" w:after="120" w:line="330" w:lineRule="atLeas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一</w:t>
      </w:r>
      <w:r>
        <w:rPr>
          <w:rFonts w:hAnsi="宋体"/>
          <w:b/>
          <w:color w:val="auto"/>
          <w:sz w:val="24"/>
          <w:szCs w:val="24"/>
          <w:highlight w:val="none"/>
        </w:rPr>
        <w:t xml:space="preserve">、诉讼</w:t>
      </w:r>
      <w:r/>
    </w:p>
    <w:p>
      <w:pPr>
        <w:pStyle w:val="865"/>
        <w:ind w:firstLine="480"/>
        <w:spacing w:before="120" w:after="120" w:line="330" w:lineRule="atLeast"/>
        <w:rPr>
          <w:rFonts w:hAnsi="宋体"/>
          <w:color w:val="auto"/>
          <w:sz w:val="24"/>
          <w:szCs w:val="24"/>
          <w:highlight w:val="none"/>
        </w:rPr>
      </w:pPr>
      <w:r>
        <w:rPr>
          <w:rFonts w:hint="eastAsia" w:hAnsi="宋体"/>
          <w:color w:val="auto"/>
          <w:sz w:val="24"/>
          <w:szCs w:val="24"/>
          <w:highlight w:val="none"/>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p>
    <w:p>
      <w:pPr>
        <w:pStyle w:val="865"/>
        <w:ind w:firstLine="482"/>
        <w:spacing w:before="120" w:after="120" w:line="330" w:lineRule="atLeas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二</w:t>
      </w:r>
      <w:r>
        <w:rPr>
          <w:rFonts w:hAnsi="宋体"/>
          <w:b/>
          <w:color w:val="auto"/>
          <w:sz w:val="24"/>
          <w:szCs w:val="24"/>
          <w:highlight w:val="none"/>
        </w:rPr>
        <w:t xml:space="preserve">、合同生效及其它</w:t>
      </w:r>
      <w:r/>
    </w:p>
    <w:p>
      <w:pPr>
        <w:pStyle w:val="865"/>
        <w:ind w:firstLine="480"/>
        <w:spacing w:before="120" w:after="120" w:line="330" w:lineRule="atLeast"/>
        <w:rPr>
          <w:rFonts w:hAnsi="宋体"/>
          <w:color w:val="auto"/>
          <w:sz w:val="24"/>
          <w:szCs w:val="24"/>
          <w:highlight w:val="none"/>
        </w:rPr>
      </w:pPr>
      <w:r>
        <w:rPr>
          <w:rFonts w:hint="eastAsia" w:hAnsi="宋体"/>
          <w:color w:val="auto"/>
          <w:sz w:val="24"/>
          <w:szCs w:val="24"/>
          <w:highlight w:val="none"/>
        </w:rPr>
        <w:t xml:space="preserve">12.1招投标文件、中标通知书作为合同的附件，与本合同具有同等法律效力。合同经双方法定代表人或授权委托代表人签字、盖章后生效。</w:t>
      </w:r>
      <w:r/>
    </w:p>
    <w:p>
      <w:pPr>
        <w:pStyle w:val="865"/>
        <w:ind w:firstLine="480"/>
        <w:spacing w:before="120" w:after="120"/>
        <w:rPr>
          <w:rFonts w:hAnsi="宋体" w:cs="宋体"/>
          <w:color w:val="auto"/>
          <w:sz w:val="24"/>
          <w:szCs w:val="24"/>
          <w:highlight w:val="none"/>
        </w:rPr>
      </w:pPr>
      <w:r>
        <w:rPr>
          <w:rFonts w:hint="eastAsia" w:hAnsi="宋体" w:cs="宋体"/>
          <w:color w:val="auto"/>
          <w:sz w:val="24"/>
          <w:szCs w:val="24"/>
          <w:highlight w:val="none"/>
        </w:rPr>
        <w:t xml:space="preserve">12.2本合同未尽事宜，遵照《中华人民共和国民法典》有关条文执行。</w:t>
      </w:r>
      <w:r/>
    </w:p>
    <w:p>
      <w:pPr>
        <w:pStyle w:val="865"/>
        <w:ind w:firstLine="480"/>
        <w:spacing w:before="120" w:after="120"/>
        <w:rPr>
          <w:rFonts w:hAnsi="宋体" w:cs="宋体"/>
          <w:color w:val="auto"/>
          <w:sz w:val="24"/>
          <w:szCs w:val="24"/>
          <w:highlight w:val="none"/>
        </w:rPr>
      </w:pPr>
      <w:r>
        <w:rPr>
          <w:rFonts w:hint="eastAsia" w:hAnsi="宋体" w:cs="宋体"/>
          <w:color w:val="auto"/>
          <w:sz w:val="24"/>
          <w:szCs w:val="24"/>
          <w:highlight w:val="none"/>
        </w:rPr>
        <w:t xml:space="preserve">12.3 本合同正本一式</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份，甲方</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份，乙方</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份，具有同等法律效力。</w:t>
      </w:r>
      <w:r/>
    </w:p>
    <w:p>
      <w:pPr>
        <w:pStyle w:val="865"/>
        <w:ind w:firstLine="480"/>
        <w:spacing w:before="120" w:after="120"/>
        <w:rPr>
          <w:rFonts w:hAnsi="宋体" w:cs="宋体"/>
          <w:color w:val="auto"/>
          <w:sz w:val="24"/>
          <w:szCs w:val="24"/>
          <w:highlight w:val="none"/>
        </w:rPr>
      </w:pPr>
      <w:r>
        <w:rPr>
          <w:rFonts w:hint="eastAsia" w:hAnsi="宋体" w:cs="宋体"/>
          <w:color w:val="auto"/>
          <w:sz w:val="24"/>
          <w:szCs w:val="24"/>
          <w:highlight w:val="none"/>
        </w:rPr>
        <w:t xml:space="preserve">12.4 其他：</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 </w:t>
      </w:r>
      <w:r/>
    </w:p>
    <w:p>
      <w:pPr>
        <w:pStyle w:val="865"/>
        <w:ind w:firstLine="480"/>
        <w:spacing w:before="120" w:after="120" w:line="400" w:lineRule="exact"/>
        <w:rPr>
          <w:rFonts w:hAnsi="宋体" w:cs="宋体"/>
          <w:color w:val="auto"/>
          <w:sz w:val="24"/>
          <w:szCs w:val="24"/>
          <w:highlight w:val="none"/>
        </w:rPr>
      </w:pPr>
      <w:r>
        <w:rPr>
          <w:rFonts w:hint="eastAsia" w:hAnsi="宋体" w:cs="宋体"/>
          <w:color w:val="auto"/>
          <w:sz w:val="24"/>
          <w:szCs w:val="24"/>
          <w:highlight w:val="none"/>
        </w:rPr>
        <w:t xml:space="preserve">（以下无正文，为签字盖章处）</w:t>
      </w:r>
      <w:r/>
    </w:p>
    <w:p>
      <w:pPr>
        <w:pStyle w:val="865"/>
        <w:ind w:firstLine="480"/>
        <w:spacing w:before="120" w:after="120"/>
        <w:rPr>
          <w:rFonts w:hAnsi="宋体" w:cs="宋体"/>
          <w:color w:val="auto"/>
          <w:sz w:val="24"/>
          <w:szCs w:val="24"/>
          <w:highlight w:val="none"/>
        </w:rPr>
      </w:pPr>
      <w:r>
        <w:rPr>
          <w:rFonts w:hint="eastAsia" w:hAnsi="宋体" w:cs="宋体"/>
          <w:color w:val="auto"/>
          <w:sz w:val="24"/>
          <w:szCs w:val="24"/>
          <w:highlight w:val="none"/>
        </w:rPr>
        <w:t xml:space="preserve">   </w:t>
      </w:r>
      <w:r/>
    </w:p>
    <w:p>
      <w:pPr>
        <w:pStyle w:val="865"/>
        <w:spacing w:before="120" w:after="120" w:line="240" w:lineRule="atLeast"/>
        <w:rPr>
          <w:rFonts w:hAnsi="宋体" w:cs="宋体"/>
          <w:color w:val="auto"/>
          <w:sz w:val="24"/>
          <w:szCs w:val="24"/>
          <w:highlight w:val="none"/>
        </w:rPr>
      </w:pPr>
      <w:r>
        <w:rPr>
          <w:rFonts w:hAnsi="宋体" w:cs="宋体"/>
          <w:color w:val="auto"/>
          <w:sz w:val="24"/>
          <w:szCs w:val="24"/>
          <w:highlight w:val="none"/>
        </w:rPr>
      </w:r>
      <w:r/>
    </w:p>
    <w:p>
      <w:pPr>
        <w:pStyle w:val="865"/>
        <w:spacing w:before="120" w:after="120" w:line="300" w:lineRule="auto"/>
        <w:rPr>
          <w:rFonts w:hAnsi="宋体" w:cs="宋体"/>
          <w:color w:val="auto"/>
          <w:sz w:val="24"/>
          <w:szCs w:val="24"/>
          <w:highlight w:val="none"/>
        </w:rPr>
      </w:pPr>
      <w:r>
        <w:rPr>
          <w:rFonts w:hint="eastAsia" w:hAnsi="宋体" w:cs="宋体"/>
          <w:color w:val="auto"/>
          <w:sz w:val="24"/>
          <w:szCs w:val="24"/>
          <w:highlight w:val="none"/>
        </w:rPr>
        <w:t xml:space="preserve">甲方： 南京医科大学（盖章）                 乙方： （盖章）</w:t>
      </w:r>
      <w:r/>
    </w:p>
    <w:p>
      <w:pPr>
        <w:pStyle w:val="865"/>
        <w:spacing w:before="120" w:after="120" w:line="300" w:lineRule="auto"/>
        <w:rPr>
          <w:rFonts w:hAnsi="宋体" w:cs="宋体"/>
          <w:color w:val="auto"/>
          <w:sz w:val="24"/>
          <w:szCs w:val="24"/>
          <w:highlight w:val="none"/>
        </w:rPr>
      </w:pPr>
      <w:r>
        <w:rPr>
          <w:rFonts w:hint="eastAsia" w:hAnsi="宋体" w:cs="宋体"/>
          <w:color w:val="auto"/>
          <w:sz w:val="24"/>
          <w:szCs w:val="24"/>
          <w:highlight w:val="none"/>
        </w:rPr>
        <w:t xml:space="preserve">地址：南京市江宁区龙眠大道101号            地址： </w:t>
      </w:r>
      <w:r/>
    </w:p>
    <w:p>
      <w:pPr>
        <w:pStyle w:val="865"/>
        <w:spacing w:before="120" w:after="120" w:line="300" w:lineRule="auto"/>
        <w:rPr>
          <w:rFonts w:hAnsi="宋体" w:cs="宋体"/>
          <w:color w:val="auto"/>
          <w:sz w:val="24"/>
          <w:szCs w:val="24"/>
          <w:highlight w:val="none"/>
        </w:rPr>
      </w:pPr>
      <w:r>
        <w:rPr>
          <w:rFonts w:hint="eastAsia" w:hAnsi="宋体" w:cs="宋体"/>
          <w:color w:val="auto"/>
          <w:sz w:val="24"/>
          <w:szCs w:val="24"/>
          <w:highlight w:val="none"/>
        </w:rPr>
        <w:t xml:space="preserve">法定代表人/授权代表：（签字）               法定代表人/授权代表：（签字）</w:t>
      </w:r>
      <w:r/>
    </w:p>
    <w:p>
      <w:pPr>
        <w:pStyle w:val="865"/>
        <w:spacing w:before="120" w:after="120" w:line="300" w:lineRule="auto"/>
        <w:rPr>
          <w:rFonts w:asciiTheme="minorEastAsia" w:hAnsiTheme="minorEastAsia" w:eastAsiaTheme="minorEastAsia"/>
          <w:color w:val="auto"/>
          <w:sz w:val="28"/>
          <w:szCs w:val="28"/>
          <w:highlight w:val="none"/>
        </w:rPr>
      </w:pPr>
      <w:r>
        <w:rPr>
          <w:rFonts w:hint="eastAsia" w:hAnsi="宋体" w:cs="宋体"/>
          <w:color w:val="auto"/>
          <w:sz w:val="24"/>
          <w:szCs w:val="24"/>
          <w:highlight w:val="none"/>
        </w:rPr>
        <w:t xml:space="preserve">签订日期：   年    月    日                 签订日期：   年    月    日</w:t>
      </w:r>
      <w:r/>
    </w:p>
    <w:p>
      <w:pPr>
        <w:jc w:val="left"/>
        <w:spacing w:line="560" w:lineRule="exact"/>
        <w:rPr>
          <w:rFonts w:eastAsia="仿宋"/>
          <w:color w:val="auto"/>
          <w:sz w:val="28"/>
          <w:szCs w:val="28"/>
          <w:highlight w:val="none"/>
          <w:lang w:val="zh-CN"/>
        </w:rPr>
      </w:pPr>
      <w:r>
        <w:rPr>
          <w:rFonts w:hint="eastAsia" w:eastAsia="仿宋"/>
          <w:color w:val="auto"/>
          <w:sz w:val="28"/>
          <w:szCs w:val="28"/>
          <w:highlight w:val="none"/>
        </w:rPr>
        <w:t xml:space="preserve">附件1：分项报价表</w:t>
      </w:r>
      <w:r/>
    </w:p>
    <w:tbl>
      <w:tblPr>
        <w:tblStyle w:val="8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096"/>
        <w:gridCol w:w="656"/>
        <w:gridCol w:w="656"/>
        <w:gridCol w:w="656"/>
        <w:gridCol w:w="1096"/>
        <w:gridCol w:w="1096"/>
        <w:gridCol w:w="1096"/>
      </w:tblGrid>
      <w:tr>
        <w:trPr>
          <w:trHeight w:val="677"/>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auto"/>
                <w:highlight w:val="none"/>
              </w:rPr>
            </w:pPr>
            <w:r>
              <w:rPr>
                <w:rFonts w:hint="eastAsia"/>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auto"/>
                <w:highlight w:val="none"/>
              </w:rPr>
            </w:pPr>
            <w:r>
              <w:rPr>
                <w:rFonts w:hint="eastAsia"/>
                <w:color w:val="auto"/>
                <w:highlight w:val="none"/>
              </w:rPr>
              <w:t xml:space="preserve">标的名称</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auto"/>
                <w:highlight w:val="none"/>
              </w:rPr>
            </w:pPr>
            <w:r>
              <w:rPr>
                <w:rFonts w:hint="eastAsia"/>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auto"/>
                <w:highlight w:val="none"/>
              </w:rPr>
            </w:pPr>
            <w:r>
              <w:rPr>
                <w:rFonts w:hint="eastAsia"/>
                <w:color w:val="auto"/>
                <w:highlight w:val="none"/>
              </w:rPr>
              <w:t xml:space="preserve">单位</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auto"/>
                <w:highlight w:val="none"/>
              </w:rPr>
            </w:pPr>
            <w:r>
              <w:rPr>
                <w:rFonts w:hint="eastAsia"/>
                <w:color w:val="auto"/>
                <w:highlight w:val="none"/>
              </w:rPr>
              <w:t xml:space="preserve">品牌</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auto"/>
                <w:highlight w:val="none"/>
              </w:rPr>
            </w:pPr>
            <w:r>
              <w:rPr>
                <w:rFonts w:hint="eastAsia"/>
                <w:color w:val="auto"/>
                <w:highlight w:val="none"/>
              </w:rPr>
              <w:t xml:space="preserve">规格型号</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auto"/>
                <w:highlight w:val="none"/>
              </w:rPr>
            </w:pPr>
            <w:r>
              <w:rPr>
                <w:rFonts w:hint="eastAsia"/>
                <w:color w:val="auto"/>
                <w:highlight w:val="none"/>
              </w:rPr>
              <w:t xml:space="preserve">单价</w:t>
            </w:r>
            <w:r/>
          </w:p>
          <w:p>
            <w:pPr>
              <w:jc w:val="center"/>
              <w:rPr>
                <w:color w:val="auto"/>
                <w:highlight w:val="none"/>
              </w:rPr>
            </w:pPr>
            <w:r>
              <w:rPr>
                <w:rFonts w:hint="eastAsia"/>
                <w:color w:val="auto"/>
                <w:highlight w:val="none"/>
              </w:rPr>
              <w:t xml:space="preserve">（万元）</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auto"/>
                <w:highlight w:val="none"/>
              </w:rPr>
            </w:pPr>
            <w:r>
              <w:rPr>
                <w:rFonts w:hint="eastAsia"/>
                <w:color w:val="auto"/>
                <w:highlight w:val="none"/>
              </w:rPr>
              <w:t xml:space="preserve">总价</w:t>
            </w:r>
            <w:r/>
          </w:p>
          <w:p>
            <w:pPr>
              <w:jc w:val="center"/>
              <w:rPr>
                <w:color w:val="auto"/>
                <w:highlight w:val="none"/>
              </w:rPr>
            </w:pPr>
            <w:r>
              <w:rPr>
                <w:rFonts w:hint="eastAsia"/>
                <w:color w:val="auto"/>
                <w:highlight w:val="none"/>
              </w:rPr>
              <w:t xml:space="preserve">（万元）</w:t>
            </w:r>
            <w:r/>
          </w:p>
        </w:tc>
      </w:tr>
      <w:tr>
        <w:trPr>
          <w:trHeight w:val="547"/>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auto"/>
                <w:highlight w:val="none"/>
              </w:rPr>
            </w:pPr>
            <w:r>
              <w:rPr>
                <w:color w:val="auto"/>
                <w:highlight w:val="none"/>
              </w:rPr>
            </w:r>
            <w:r/>
          </w:p>
        </w:tc>
      </w:tr>
      <w:tr>
        <w:trPr>
          <w:trHeight w:val="547"/>
        </w:trPr>
        <w:tc>
          <w:tcPr>
            <w:gridSpan w:val="4"/>
            <w:tcBorders>
              <w:top w:val="single" w:color="auto" w:sz="4" w:space="0"/>
              <w:left w:val="single" w:color="auto" w:sz="4" w:space="0"/>
              <w:bottom w:val="single" w:color="auto" w:sz="4" w:space="0"/>
              <w:right w:val="single" w:color="auto" w:sz="4" w:space="0"/>
            </w:tcBorders>
            <w:tcW w:w="3064" w:type="dxa"/>
            <w:vAlign w:val="center"/>
            <w:textDirection w:val="lrTb"/>
            <w:noWrap w:val="false"/>
          </w:tcPr>
          <w:p>
            <w:pPr>
              <w:jc w:val="center"/>
              <w:rPr>
                <w:color w:val="auto"/>
                <w:highlight w:val="none"/>
              </w:rPr>
            </w:pPr>
            <w:r>
              <w:rPr>
                <w:rFonts w:hint="eastAsia"/>
                <w:color w:val="auto"/>
                <w:highlight w:val="none"/>
              </w:rPr>
              <w:t xml:space="preserve">合计</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auto"/>
                <w:highlight w:val="none"/>
              </w:rPr>
            </w:pPr>
            <w:r>
              <w:rPr>
                <w:color w:val="auto"/>
                <w:highlight w:val="none"/>
              </w:rPr>
            </w:r>
            <w:r/>
          </w:p>
        </w:tc>
      </w:tr>
    </w:tbl>
    <w:p>
      <w:pPr>
        <w:rPr>
          <w:color w:val="auto"/>
          <w:highlight w:val="none"/>
        </w:rPr>
      </w:pPr>
      <w:r>
        <w:rPr>
          <w:color w:val="auto"/>
          <w:highlight w:val="none"/>
        </w:rPr>
      </w:r>
      <w:r/>
    </w:p>
    <w:p>
      <w:pPr>
        <w:jc w:val="left"/>
        <w:spacing w:line="560" w:lineRule="exact"/>
        <w:rPr>
          <w:rFonts w:eastAsia="仿宋"/>
          <w:color w:val="auto"/>
          <w:sz w:val="28"/>
          <w:szCs w:val="28"/>
          <w:highlight w:val="none"/>
        </w:rPr>
      </w:pPr>
      <w:r>
        <w:rPr>
          <w:rFonts w:hint="eastAsia" w:eastAsia="仿宋"/>
          <w:color w:val="auto"/>
          <w:sz w:val="28"/>
          <w:szCs w:val="28"/>
          <w:highlight w:val="none"/>
        </w:rPr>
        <w:t xml:space="preserve">附件2：货物配置清单</w:t>
      </w:r>
      <w:r/>
    </w:p>
    <w:p>
      <w:pPr>
        <w:pStyle w:val="862"/>
        <w:ind w:left="0"/>
        <w:rPr>
          <w:rFonts w:ascii="Times New Roman" w:hAnsi="Times New Roman" w:eastAsia="仿宋"/>
          <w:color w:val="auto"/>
          <w:sz w:val="28"/>
          <w:szCs w:val="28"/>
          <w:highlight w:val="none"/>
        </w:rPr>
      </w:pPr>
      <w:r>
        <w:rPr>
          <w:rFonts w:hint="eastAsia" w:ascii="Times New Roman" w:hAnsi="Times New Roman" w:eastAsia="仿宋"/>
          <w:color w:val="auto"/>
          <w:sz w:val="28"/>
          <w:szCs w:val="28"/>
          <w:highlight w:val="none"/>
        </w:rPr>
        <w:t xml:space="preserve">附件3：履约保证金退还申请单</w:t>
      </w:r>
      <w:r/>
    </w:p>
    <w:p>
      <w:pPr>
        <w:spacing w:line="480" w:lineRule="auto"/>
        <w:rPr>
          <w:color w:val="auto"/>
          <w:sz w:val="24"/>
          <w:highlight w:val="none"/>
        </w:rPr>
      </w:pPr>
      <w:r>
        <w:rPr>
          <w:rFonts w:hint="eastAsia"/>
          <w:color w:val="auto"/>
          <w:sz w:val="24"/>
          <w:highlight w:val="none"/>
        </w:rPr>
        <w:t xml:space="preserve">制表单位：</w:t>
      </w:r>
      <w:r>
        <w:rPr>
          <w:color w:val="auto"/>
          <w:sz w:val="24"/>
          <w:highlight w:val="none"/>
        </w:rPr>
        <w:t xml:space="preserve">                                               </w:t>
      </w:r>
      <w:r/>
    </w:p>
    <w:tbl>
      <w:tblPr>
        <w:tblStyle w:val="847"/>
        <w:tblW w:w="8583" w:type="dxa"/>
        <w:tblInd w:w="0" w:type="dxa"/>
        <w:tblLayout w:type="autofit"/>
        <w:tblCellMar>
          <w:left w:w="108" w:type="dxa"/>
          <w:top w:w="0" w:type="dxa"/>
          <w:right w:w="108" w:type="dxa"/>
          <w:bottom w:w="0" w:type="dxa"/>
        </w:tblCellMar>
        <w:tblLook w:val="04A0" w:firstRow="1" w:lastRow="0" w:firstColumn="1" w:lastColumn="0" w:noHBand="0" w:noVBand="1"/>
      </w:tblPr>
      <w:tblGrid>
        <w:gridCol w:w="2647"/>
        <w:gridCol w:w="5936"/>
      </w:tblGrid>
      <w:tr>
        <w:trPr>
          <w:trHeight w:val="759"/>
        </w:trPr>
        <w:tc>
          <w:tcPr>
            <w:gridSpan w:val="2"/>
            <w:tcBorders>
              <w:top w:val="single" w:color="000000" w:sz="4" w:space="0"/>
              <w:left w:val="single" w:color="000000" w:sz="4" w:space="0"/>
              <w:bottom w:val="single" w:color="000000" w:sz="4" w:space="0"/>
              <w:right w:val="single" w:color="000000" w:sz="4" w:space="0"/>
            </w:tcBorders>
            <w:tcW w:w="8583" w:type="dxa"/>
            <w:vAlign w:val="center"/>
            <w:textDirection w:val="lrTb"/>
            <w:noWrap w:val="false"/>
          </w:tcPr>
          <w:p>
            <w:pPr>
              <w:jc w:val="center"/>
              <w:rPr>
                <w:color w:val="auto"/>
                <w:sz w:val="24"/>
                <w:highlight w:val="none"/>
              </w:rPr>
            </w:pPr>
            <w:r>
              <w:rPr>
                <w:rFonts w:hint="eastAsia"/>
                <w:color w:val="auto"/>
                <w:sz w:val="32"/>
                <w:szCs w:val="32"/>
                <w:highlight w:val="none"/>
              </w:rPr>
              <w:t xml:space="preserve">南京医科大学履约保证金退还申请单</w:t>
            </w:r>
            <w:r/>
          </w:p>
        </w:tc>
      </w:tr>
      <w:tr>
        <w:trPr>
          <w:trHeight w:val="54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auto"/>
                <w:sz w:val="24"/>
                <w:highlight w:val="none"/>
              </w:rPr>
            </w:pPr>
            <w:r>
              <w:rPr>
                <w:rFonts w:hint="eastAsia"/>
                <w:color w:val="auto"/>
                <w:sz w:val="24"/>
                <w:highlight w:val="none"/>
              </w:rPr>
              <w:t xml:space="preserve">采购项目</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auto"/>
                <w:sz w:val="24"/>
                <w:highlight w:val="none"/>
              </w:rPr>
            </w:pPr>
            <w:r>
              <w:rPr>
                <w:color w:val="auto"/>
                <w:sz w:val="24"/>
                <w:highlight w:val="none"/>
              </w:rPr>
            </w:r>
            <w:r/>
          </w:p>
        </w:tc>
      </w:tr>
      <w:tr>
        <w:trPr>
          <w:trHeight w:val="630"/>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auto"/>
                <w:sz w:val="24"/>
                <w:highlight w:val="none"/>
              </w:rPr>
            </w:pPr>
            <w:r>
              <w:rPr>
                <w:rFonts w:hint="eastAsia"/>
                <w:color w:val="auto"/>
                <w:sz w:val="24"/>
                <w:highlight w:val="none"/>
              </w:rPr>
              <w:t xml:space="preserve">合同编号</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auto"/>
                <w:sz w:val="24"/>
                <w:highlight w:val="none"/>
              </w:rPr>
            </w:pPr>
            <w:r>
              <w:rPr>
                <w:color w:val="auto"/>
                <w:sz w:val="24"/>
                <w:highlight w:val="none"/>
              </w:rPr>
            </w:r>
            <w:r/>
          </w:p>
        </w:tc>
      </w:tr>
      <w:tr>
        <w:trPr>
          <w:trHeight w:val="928"/>
        </w:trPr>
        <w:tc>
          <w:tcPr>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color w:val="auto"/>
                <w:sz w:val="24"/>
                <w:highlight w:val="none"/>
              </w:rPr>
            </w:pPr>
            <w:r>
              <w:rPr>
                <w:rFonts w:hint="eastAsia"/>
                <w:color w:val="auto"/>
                <w:sz w:val="24"/>
                <w:highlight w:val="none"/>
              </w:rPr>
              <w:t xml:space="preserve">合同总货款</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auto"/>
                <w:sz w:val="24"/>
                <w:highlight w:val="none"/>
              </w:rPr>
            </w:pPr>
            <w:r>
              <w:rPr>
                <w:rFonts w:hint="eastAsia"/>
                <w:color w:val="auto"/>
                <w:sz w:val="24"/>
                <w:highlight w:val="none"/>
              </w:rPr>
              <w:t xml:space="preserve">人民币：             元</w:t>
            </w:r>
            <w:r/>
          </w:p>
        </w:tc>
      </w:tr>
      <w:tr>
        <w:trPr>
          <w:trHeight w:val="86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auto"/>
                <w:sz w:val="24"/>
                <w:highlight w:val="none"/>
              </w:rPr>
            </w:pPr>
            <w:r>
              <w:rPr>
                <w:rFonts w:hint="eastAsia"/>
                <w:color w:val="auto"/>
                <w:sz w:val="24"/>
                <w:highlight w:val="none"/>
              </w:rPr>
              <w:t xml:space="preserve">履约保证金金额</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auto"/>
                <w:sz w:val="24"/>
                <w:highlight w:val="none"/>
              </w:rPr>
            </w:pPr>
            <w:r>
              <w:rPr>
                <w:rFonts w:hint="eastAsia"/>
                <w:color w:val="auto"/>
                <w:sz w:val="24"/>
                <w:highlight w:val="none"/>
              </w:rPr>
              <w:t xml:space="preserve">人民币：             元</w:t>
            </w:r>
            <w:r/>
          </w:p>
        </w:tc>
      </w:tr>
      <w:tr>
        <w:trPr>
          <w:trHeight w:val="551"/>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auto"/>
                <w:sz w:val="24"/>
                <w:highlight w:val="none"/>
              </w:rPr>
            </w:pPr>
            <w:r>
              <w:rPr>
                <w:rFonts w:hint="eastAsia"/>
                <w:color w:val="auto"/>
                <w:sz w:val="24"/>
                <w:highlight w:val="none"/>
              </w:rPr>
              <w:t xml:space="preserve">收款单位</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auto"/>
                <w:sz w:val="24"/>
                <w:highlight w:val="none"/>
              </w:rPr>
            </w:pPr>
            <w:r>
              <w:rPr>
                <w:color w:val="auto"/>
                <w:sz w:val="24"/>
                <w:highlight w:val="none"/>
              </w:rPr>
            </w:r>
            <w:r/>
          </w:p>
        </w:tc>
      </w:tr>
      <w:tr>
        <w:trPr>
          <w:trHeight w:val="586"/>
        </w:trPr>
        <w:tc>
          <w:tcPr>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color w:val="auto"/>
                <w:sz w:val="24"/>
                <w:highlight w:val="none"/>
              </w:rPr>
            </w:pPr>
            <w:r>
              <w:rPr>
                <w:rFonts w:hint="eastAsia"/>
                <w:color w:val="auto"/>
                <w:sz w:val="24"/>
                <w:highlight w:val="none"/>
              </w:rPr>
              <w:t xml:space="preserve">开户行账号</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auto"/>
                <w:sz w:val="24"/>
                <w:highlight w:val="none"/>
              </w:rPr>
            </w:pPr>
            <w:r>
              <w:rPr>
                <w:rFonts w:hint="eastAsia"/>
                <w:color w:val="auto"/>
                <w:sz w:val="24"/>
                <w:highlight w:val="none"/>
              </w:rPr>
              <w:t xml:space="preserve">开户行： </w:t>
            </w:r>
            <w:r/>
          </w:p>
        </w:tc>
      </w:tr>
      <w:tr>
        <w:trPr>
          <w:trHeight w:val="594"/>
        </w:trPr>
        <w:tc>
          <w:tcPr>
            <w:tcBorders>
              <w:top w:val="single" w:color="000000" w:sz="4" w:space="0"/>
              <w:left w:val="single" w:color="000000" w:sz="4" w:space="0"/>
              <w:bottom w:val="single" w:color="000000" w:sz="4" w:space="0"/>
              <w:right w:val="single" w:color="000000" w:sz="4" w:space="0"/>
            </w:tcBorders>
            <w:tcW w:w="2647" w:type="dxa"/>
            <w:vAlign w:val="center"/>
            <w:vMerge w:val="continue"/>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auto"/>
                <w:sz w:val="24"/>
                <w:highlight w:val="none"/>
              </w:rPr>
            </w:pPr>
            <w:r>
              <w:rPr>
                <w:rFonts w:hint="eastAsia"/>
                <w:color w:val="auto"/>
                <w:sz w:val="24"/>
                <w:highlight w:val="none"/>
              </w:rPr>
              <w:t xml:space="preserve">账  号</w:t>
            </w:r>
            <w:r>
              <w:rPr>
                <w:color w:val="auto"/>
                <w:sz w:val="24"/>
                <w:highlight w:val="none"/>
              </w:rPr>
              <w:t xml:space="preserve">：</w:t>
            </w:r>
            <w:r/>
          </w:p>
        </w:tc>
      </w:tr>
      <w:tr>
        <w:trPr>
          <w:trHeight w:val="1488"/>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auto"/>
                <w:sz w:val="24"/>
                <w:highlight w:val="none"/>
              </w:rPr>
            </w:pPr>
            <w:r>
              <w:rPr>
                <w:rFonts w:hint="eastAsia"/>
                <w:color w:val="auto"/>
                <w:sz w:val="24"/>
                <w:highlight w:val="none"/>
              </w:rPr>
              <w:t xml:space="preserve">实验室（系）意见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ind w:firstLine="480"/>
              <w:rPr>
                <w:color w:val="auto"/>
                <w:sz w:val="24"/>
                <w:highlight w:val="none"/>
              </w:rPr>
            </w:pPr>
            <w:r>
              <w:rPr>
                <w:rFonts w:hint="eastAsia"/>
                <w:color w:val="auto"/>
                <w:sz w:val="24"/>
                <w:highlight w:val="none"/>
              </w:rPr>
              <w:t xml:space="preserve">自验收合格之日起，已正常使用满一年且无违约情况发生。</w:t>
            </w:r>
            <w:r/>
          </w:p>
          <w:p>
            <w:pPr>
              <w:rPr>
                <w:color w:val="auto"/>
                <w:sz w:val="24"/>
                <w:highlight w:val="none"/>
              </w:rPr>
            </w:pPr>
            <w:r>
              <w:rPr>
                <w:color w:val="auto"/>
                <w:sz w:val="24"/>
                <w:highlight w:val="none"/>
              </w:rPr>
            </w:r>
            <w:r/>
          </w:p>
          <w:p>
            <w:pPr>
              <w:ind w:right="960" w:firstLine="360"/>
              <w:jc w:val="center"/>
              <w:rPr>
                <w:color w:val="auto"/>
                <w:sz w:val="24"/>
                <w:highlight w:val="none"/>
              </w:rPr>
            </w:pPr>
            <w:r>
              <w:rPr>
                <w:rFonts w:hint="eastAsia"/>
                <w:color w:val="auto"/>
                <w:sz w:val="24"/>
                <w:highlight w:val="none"/>
              </w:rPr>
              <w:t xml:space="preserve">                           签名：</w:t>
            </w:r>
            <w:r/>
          </w:p>
        </w:tc>
      </w:tr>
      <w:tr>
        <w:trPr>
          <w:trHeight w:val="127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auto"/>
                <w:sz w:val="24"/>
                <w:highlight w:val="none"/>
              </w:rPr>
            </w:pPr>
            <w:r>
              <w:rPr>
                <w:rFonts w:hint="eastAsia"/>
                <w:color w:val="auto"/>
                <w:sz w:val="24"/>
                <w:highlight w:val="none"/>
              </w:rPr>
              <w:t xml:space="preserve">物资保障科意见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auto"/>
                <w:sz w:val="24"/>
                <w:highlight w:val="none"/>
              </w:rPr>
            </w:pPr>
            <w:r>
              <w:rPr>
                <w:color w:val="auto"/>
                <w:sz w:val="24"/>
                <w:highlight w:val="none"/>
              </w:rPr>
            </w:r>
            <w:r/>
          </w:p>
        </w:tc>
      </w:tr>
      <w:tr>
        <w:trPr>
          <w:trHeight w:val="1525"/>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auto"/>
                <w:sz w:val="24"/>
                <w:highlight w:val="none"/>
              </w:rPr>
            </w:pPr>
            <w:r>
              <w:rPr>
                <w:rFonts w:hint="eastAsia"/>
                <w:color w:val="auto"/>
                <w:sz w:val="24"/>
                <w:highlight w:val="none"/>
              </w:rPr>
              <w:t xml:space="preserve">资产与产业管理处意见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ind w:firstLine="3960"/>
              <w:rPr>
                <w:color w:val="auto"/>
                <w:sz w:val="24"/>
                <w:highlight w:val="none"/>
              </w:rPr>
            </w:pPr>
            <w:r>
              <w:rPr>
                <w:color w:val="auto"/>
                <w:sz w:val="24"/>
                <w:highlight w:val="none"/>
              </w:rPr>
            </w:r>
            <w:r/>
          </w:p>
        </w:tc>
      </w:tr>
    </w:tbl>
    <w:p>
      <w:pPr>
        <w:rPr>
          <w:rFonts w:ascii="宋体" w:hAnsi="宋体" w:cs="宋体"/>
          <w:color w:val="auto"/>
          <w:sz w:val="36"/>
          <w:szCs w:val="36"/>
          <w:highlight w:val="none"/>
          <w:lang w:val="zh-CN"/>
        </w:rPr>
      </w:pPr>
      <w:r>
        <w:rPr>
          <w:rFonts w:hint="eastAsia" w:ascii="宋体" w:hAnsi="宋体" w:cs="宋体"/>
          <w:color w:val="auto"/>
          <w:sz w:val="36"/>
          <w:szCs w:val="36"/>
          <w:highlight w:val="none"/>
          <w:lang w:val="zh-CN"/>
        </w:rPr>
        <w:br w:type="page" w:clear="all"/>
      </w:r>
      <w:r/>
    </w:p>
    <w:p>
      <w:pPr>
        <w:jc w:val="center"/>
        <w:rPr>
          <w:rFonts w:ascii="宋体" w:hAnsi="宋体" w:cs="宋体"/>
          <w:color w:val="auto"/>
          <w:sz w:val="36"/>
          <w:szCs w:val="36"/>
          <w:highlight w:val="none"/>
          <w:lang w:val="zh-CN"/>
        </w:rPr>
      </w:pPr>
      <w:r>
        <w:rPr>
          <w:rFonts w:hint="eastAsia" w:ascii="宋体" w:hAnsi="宋体" w:cs="宋体"/>
          <w:color w:val="auto"/>
          <w:sz w:val="36"/>
          <w:szCs w:val="36"/>
          <w:highlight w:val="none"/>
          <w:lang w:val="zh-CN"/>
        </w:rPr>
        <w:t xml:space="preserve">第六章 投标文件格式及附件</w:t>
      </w:r>
      <w:r/>
    </w:p>
    <w:p>
      <w:pPr>
        <w:ind w:left="560"/>
        <w:jc w:val="center"/>
        <w:spacing w:line="240" w:lineRule="atLeast"/>
        <w:rPr>
          <w:rFonts w:ascii="宋体" w:hAnsi="宋体" w:cs="宋体"/>
          <w:b/>
          <w:bCs/>
          <w:color w:val="auto"/>
          <w:sz w:val="36"/>
          <w:szCs w:val="36"/>
          <w:highlight w:val="none"/>
          <w:lang w:val="zh-CN"/>
        </w:rPr>
        <w:outlineLvl w:val="0"/>
      </w:pPr>
      <w:r>
        <w:rPr>
          <w:rFonts w:ascii="宋体" w:hAnsi="宋体" w:cs="宋体"/>
          <w:b/>
          <w:bCs/>
          <w:color w:val="auto"/>
          <w:sz w:val="36"/>
          <w:szCs w:val="36"/>
          <w:highlight w:val="none"/>
          <w:lang w:val="zh-CN"/>
        </w:rPr>
      </w:r>
      <w:r/>
    </w:p>
    <w:p>
      <w:pPr>
        <w:jc w:val="center"/>
        <w:rPr>
          <w:rFonts w:ascii="宋体" w:hAnsi="宋体" w:cs="宋体"/>
          <w:b/>
          <w:color w:val="auto"/>
          <w:sz w:val="72"/>
          <w:highlight w:val="none"/>
        </w:rPr>
      </w:pPr>
      <w:r>
        <w:rPr>
          <w:rFonts w:hint="eastAsia" w:ascii="宋体" w:hAnsi="宋体" w:cs="宋体"/>
          <w:b/>
          <w:color w:val="auto"/>
          <w:sz w:val="72"/>
          <w:highlight w:val="none"/>
        </w:rPr>
        <w:t xml:space="preserve">投  标  文  件</w:t>
      </w:r>
      <w:r/>
    </w:p>
    <w:p>
      <w:pPr>
        <w:ind w:firstLine="3708"/>
        <w:rPr>
          <w:rFonts w:ascii="宋体" w:hAnsi="宋体" w:cs="宋体"/>
          <w:b/>
          <w:color w:val="auto"/>
          <w:sz w:val="36"/>
          <w:highlight w:val="none"/>
        </w:rPr>
      </w:pPr>
      <w:r>
        <w:rPr>
          <w:rFonts w:ascii="宋体" w:hAnsi="宋体" w:cs="宋体"/>
          <w:b/>
          <w:color w:val="auto"/>
          <w:sz w:val="36"/>
          <w:highlight w:val="none"/>
        </w:rPr>
      </w:r>
      <w:r/>
    </w:p>
    <w:p>
      <w:pPr>
        <w:jc w:val="center"/>
        <w:rPr>
          <w:rFonts w:ascii="宋体" w:hAnsi="宋体" w:cs="宋体"/>
          <w:b/>
          <w:color w:val="auto"/>
          <w:sz w:val="72"/>
          <w:highlight w:val="none"/>
        </w:rPr>
      </w:pPr>
      <w:r>
        <w:rPr>
          <w:rFonts w:ascii="宋体" w:hAnsi="宋体" w:cs="宋体"/>
          <w:b/>
          <w:color w:val="auto"/>
          <w:sz w:val="72"/>
          <w:highlight w:val="none"/>
        </w:rPr>
      </w:r>
      <w:r/>
    </w:p>
    <w:p>
      <w:pPr>
        <w:jc w:val="center"/>
        <w:rPr>
          <w:rFonts w:ascii="宋体" w:hAnsi="宋体" w:cs="宋体"/>
          <w:b/>
          <w:color w:val="auto"/>
          <w:sz w:val="36"/>
          <w:highlight w:val="none"/>
        </w:rPr>
      </w:pPr>
      <w:r>
        <w:rPr>
          <w:rFonts w:ascii="宋体" w:hAnsi="宋体" w:cs="宋体"/>
          <w:b/>
          <w:color w:val="auto"/>
          <w:sz w:val="36"/>
          <w:highlight w:val="none"/>
        </w:rPr>
      </w:r>
      <w:r/>
    </w:p>
    <w:p>
      <w:pPr>
        <w:jc w:val="center"/>
        <w:rPr>
          <w:rFonts w:ascii="宋体" w:hAnsi="宋体" w:cs="宋体"/>
          <w:b/>
          <w:color w:val="auto"/>
          <w:sz w:val="36"/>
          <w:highlight w:val="none"/>
        </w:rPr>
      </w:pPr>
      <w:r>
        <w:rPr>
          <w:rFonts w:ascii="宋体" w:hAnsi="宋体" w:cs="宋体"/>
          <w:b/>
          <w:color w:val="auto"/>
          <w:sz w:val="36"/>
          <w:highlight w:val="none"/>
        </w:rPr>
      </w:r>
      <w:r/>
    </w:p>
    <w:p>
      <w:pPr>
        <w:jc w:val="center"/>
        <w:rPr>
          <w:rFonts w:ascii="宋体" w:hAnsi="宋体" w:cs="宋体"/>
          <w:b/>
          <w:color w:val="auto"/>
          <w:sz w:val="36"/>
          <w:highlight w:val="none"/>
        </w:rPr>
      </w:pPr>
      <w:r>
        <w:rPr>
          <w:rFonts w:ascii="宋体" w:hAnsi="宋体" w:cs="宋体"/>
          <w:b/>
          <w:color w:val="auto"/>
          <w:sz w:val="36"/>
          <w:highlight w:val="none"/>
        </w:rPr>
      </w:r>
      <w:r/>
    </w:p>
    <w:p>
      <w:pPr>
        <w:ind w:firstLine="1084"/>
        <w:rPr>
          <w:rFonts w:ascii="宋体" w:hAnsi="宋体" w:cs="宋体"/>
          <w:b/>
          <w:color w:val="auto"/>
          <w:sz w:val="36"/>
          <w:highlight w:val="none"/>
        </w:rPr>
      </w:pPr>
      <w:r>
        <w:rPr>
          <w:rFonts w:hint="eastAsia" w:ascii="宋体" w:hAnsi="宋体" w:cs="宋体"/>
          <w:b/>
          <w:color w:val="auto"/>
          <w:sz w:val="36"/>
          <w:highlight w:val="none"/>
        </w:rPr>
        <w:t xml:space="preserve">项 目 编号： </w:t>
      </w:r>
      <w:r/>
    </w:p>
    <w:p>
      <w:pPr>
        <w:ind w:firstLine="1084"/>
        <w:rPr>
          <w:rFonts w:ascii="宋体" w:hAnsi="宋体" w:cs="宋体"/>
          <w:b/>
          <w:color w:val="auto"/>
          <w:sz w:val="36"/>
          <w:highlight w:val="none"/>
          <w:u w:val="single"/>
        </w:rPr>
      </w:pPr>
      <w:r>
        <w:rPr>
          <w:rFonts w:hint="eastAsia" w:ascii="宋体" w:hAnsi="宋体" w:cs="宋体"/>
          <w:b/>
          <w:color w:val="auto"/>
          <w:sz w:val="36"/>
          <w:highlight w:val="none"/>
        </w:rPr>
        <w:t xml:space="preserve">项 目 名称： </w:t>
      </w:r>
      <w:r/>
    </w:p>
    <w:p>
      <w:pPr>
        <w:rPr>
          <w:rFonts w:ascii="宋体" w:hAnsi="宋体" w:cs="宋体"/>
          <w:b/>
          <w:color w:val="auto"/>
          <w:sz w:val="36"/>
          <w:highlight w:val="none"/>
        </w:rPr>
      </w:pPr>
      <w:r>
        <w:rPr>
          <w:rFonts w:ascii="宋体" w:hAnsi="宋体" w:cs="宋体"/>
          <w:b/>
          <w:color w:val="auto"/>
          <w:sz w:val="36"/>
          <w:highlight w:val="none"/>
        </w:rPr>
      </w:r>
      <w:r/>
    </w:p>
    <w:p>
      <w:pPr>
        <w:rPr>
          <w:rFonts w:ascii="宋体" w:hAnsi="宋体" w:cs="宋体"/>
          <w:b/>
          <w:color w:val="auto"/>
          <w:sz w:val="36"/>
          <w:highlight w:val="none"/>
        </w:rPr>
      </w:pPr>
      <w:r>
        <w:rPr>
          <w:rFonts w:ascii="宋体" w:hAnsi="宋体" w:cs="宋体"/>
          <w:b/>
          <w:color w:val="auto"/>
          <w:sz w:val="36"/>
          <w:highlight w:val="none"/>
        </w:rPr>
      </w:r>
      <w:r/>
    </w:p>
    <w:p>
      <w:pPr>
        <w:rPr>
          <w:rFonts w:ascii="宋体" w:hAnsi="宋体" w:cs="宋体"/>
          <w:b/>
          <w:color w:val="auto"/>
          <w:sz w:val="36"/>
          <w:highlight w:val="none"/>
        </w:rPr>
      </w:pPr>
      <w:r>
        <w:rPr>
          <w:rFonts w:ascii="宋体" w:hAnsi="宋体" w:cs="宋体"/>
          <w:b/>
          <w:color w:val="auto"/>
          <w:sz w:val="36"/>
          <w:highlight w:val="none"/>
        </w:rPr>
      </w:r>
      <w:r/>
    </w:p>
    <w:p>
      <w:pPr>
        <w:rPr>
          <w:rFonts w:ascii="宋体" w:hAnsi="宋体" w:cs="宋体"/>
          <w:b/>
          <w:color w:val="auto"/>
          <w:sz w:val="36"/>
          <w:highlight w:val="none"/>
        </w:rPr>
      </w:pPr>
      <w:r>
        <w:rPr>
          <w:rFonts w:ascii="宋体" w:hAnsi="宋体" w:cs="宋体"/>
          <w:b/>
          <w:color w:val="auto"/>
          <w:sz w:val="36"/>
          <w:highlight w:val="none"/>
        </w:rPr>
      </w:r>
      <w:r/>
    </w:p>
    <w:p>
      <w:pPr>
        <w:rPr>
          <w:rFonts w:ascii="宋体" w:hAnsi="宋体" w:cs="宋体"/>
          <w:b/>
          <w:color w:val="auto"/>
          <w:sz w:val="36"/>
          <w:highlight w:val="none"/>
        </w:rPr>
      </w:pPr>
      <w:r>
        <w:rPr>
          <w:rFonts w:ascii="宋体" w:hAnsi="宋体" w:cs="宋体"/>
          <w:b/>
          <w:color w:val="auto"/>
          <w:sz w:val="36"/>
          <w:highlight w:val="none"/>
        </w:rPr>
      </w:r>
      <w:r/>
    </w:p>
    <w:p>
      <w:pPr>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       投标人名称 ：（加盖CA电子公章）</w:t>
      </w:r>
      <w:r/>
    </w:p>
    <w:p>
      <w:pPr>
        <w:rPr>
          <w:rFonts w:ascii="宋体" w:hAnsi="宋体" w:cs="宋体"/>
          <w:b/>
          <w:color w:val="auto"/>
          <w:sz w:val="36"/>
          <w:highlight w:val="none"/>
        </w:rPr>
      </w:pPr>
      <w:r>
        <w:rPr>
          <w:rFonts w:hint="eastAsia" w:ascii="宋体" w:hAnsi="宋体" w:cs="宋体"/>
          <w:b/>
          <w:color w:val="auto"/>
          <w:sz w:val="36"/>
          <w:highlight w:val="none"/>
        </w:rPr>
        <w:t xml:space="preserve">       日      期 ：</w:t>
      </w:r>
      <w:r/>
    </w:p>
    <w:p>
      <w:pPr>
        <w:jc w:val="center"/>
        <w:rPr>
          <w:rFonts w:ascii="宋体" w:hAnsi="宋体" w:cs="宋体"/>
          <w:b/>
          <w:bCs/>
          <w:color w:val="auto"/>
          <w:sz w:val="44"/>
          <w:highlight w:val="none"/>
        </w:rPr>
        <w:outlineLvl w:val="0"/>
      </w:pPr>
      <w:r>
        <w:rPr>
          <w:rFonts w:ascii="宋体" w:hAnsi="宋体" w:cs="宋体"/>
          <w:b/>
          <w:bCs/>
          <w:color w:val="auto"/>
          <w:sz w:val="44"/>
          <w:highlight w:val="none"/>
        </w:rPr>
      </w:r>
      <w:r/>
    </w:p>
    <w:p>
      <w:pPr>
        <w:jc w:val="center"/>
        <w:rPr>
          <w:rFonts w:ascii="宋体" w:hAnsi="宋体" w:cs="宋体"/>
          <w:b/>
          <w:bCs/>
          <w:color w:val="auto"/>
          <w:sz w:val="32"/>
          <w:szCs w:val="32"/>
          <w:highlight w:val="none"/>
        </w:rPr>
      </w:pPr>
      <w:r>
        <w:rPr>
          <w:rFonts w:hint="eastAsia" w:ascii="宋体" w:hAnsi="宋体" w:cs="宋体"/>
          <w:b/>
          <w:bCs/>
          <w:color w:val="auto"/>
          <w:sz w:val="36"/>
          <w:highlight w:val="none"/>
        </w:rPr>
        <w:br w:type="page" w:clear="all"/>
      </w:r>
      <w:bookmarkStart w:id="51" w:name="_Toc489655320"/>
      <w:r/>
      <w:bookmarkStart w:id="52" w:name="_Toc405408732"/>
      <w:r>
        <w:rPr>
          <w:rFonts w:hint="eastAsia" w:ascii="宋体" w:hAnsi="宋体" w:cs="宋体"/>
          <w:b/>
          <w:bCs/>
          <w:color w:val="auto"/>
          <w:sz w:val="32"/>
          <w:szCs w:val="32"/>
          <w:highlight w:val="none"/>
        </w:rPr>
        <w:t xml:space="preserve">投标文件主要目录</w:t>
      </w:r>
      <w:bookmarkEnd w:id="51"/>
      <w:r/>
      <w:bookmarkEnd w:id="52"/>
      <w:r>
        <w:rPr>
          <w:rFonts w:hint="eastAsia" w:ascii="宋体" w:hAnsi="宋体" w:cs="宋体"/>
          <w:b/>
          <w:bCs/>
          <w:color w:val="auto"/>
          <w:sz w:val="32"/>
          <w:szCs w:val="32"/>
          <w:highlight w:val="none"/>
        </w:rPr>
        <w:t xml:space="preserve">及相关证明材料格式、附件</w:t>
      </w:r>
      <w:r/>
    </w:p>
    <w:p>
      <w:pPr>
        <w:rPr>
          <w:rFonts w:ascii="宋体" w:hAnsi="宋体" w:cs="宋体"/>
          <w:color w:val="auto"/>
          <w:sz w:val="28"/>
          <w:szCs w:val="28"/>
          <w:highlight w:val="none"/>
        </w:rPr>
      </w:pPr>
      <w:r>
        <w:rPr>
          <w:rFonts w:ascii="宋体" w:hAnsi="宋体" w:cs="宋体"/>
          <w:color w:val="auto"/>
          <w:sz w:val="28"/>
          <w:szCs w:val="28"/>
          <w:highlight w:val="none"/>
        </w:rPr>
      </w:r>
      <w:r/>
    </w:p>
    <w:p>
      <w:pPr>
        <w:numPr>
          <w:ilvl w:val="0"/>
          <w:numId w:val="5"/>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投标申请及声明</w:t>
      </w:r>
      <w:r/>
    </w:p>
    <w:p>
      <w:pPr>
        <w:numPr>
          <w:ilvl w:val="0"/>
          <w:numId w:val="5"/>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法定代表人授权书</w:t>
      </w:r>
      <w:r/>
    </w:p>
    <w:p>
      <w:pPr>
        <w:numPr>
          <w:ilvl w:val="0"/>
          <w:numId w:val="5"/>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开标一览表</w:t>
      </w:r>
      <w:r/>
    </w:p>
    <w:p>
      <w:pPr>
        <w:numPr>
          <w:ilvl w:val="0"/>
          <w:numId w:val="5"/>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分项报价表</w:t>
      </w:r>
      <w:r/>
    </w:p>
    <w:p>
      <w:pPr>
        <w:numPr>
          <w:ilvl w:val="0"/>
          <w:numId w:val="5"/>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技术条款偏离表</w:t>
      </w:r>
      <w:r/>
    </w:p>
    <w:p>
      <w:pPr>
        <w:numPr>
          <w:ilvl w:val="0"/>
          <w:numId w:val="5"/>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商务条款偏离表</w:t>
      </w:r>
      <w:r/>
    </w:p>
    <w:p>
      <w:pPr>
        <w:numPr>
          <w:ilvl w:val="0"/>
          <w:numId w:val="5"/>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服务与承诺</w:t>
      </w:r>
      <w:r/>
    </w:p>
    <w:p>
      <w:pPr>
        <w:numPr>
          <w:ilvl w:val="0"/>
          <w:numId w:val="5"/>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投标人类似业绩情况表</w:t>
      </w:r>
      <w:r/>
    </w:p>
    <w:p>
      <w:pPr>
        <w:numPr>
          <w:ilvl w:val="0"/>
          <w:numId w:val="5"/>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投标需要的其他证明文件及材料（若有)</w:t>
      </w:r>
      <w:r/>
    </w:p>
    <w:p>
      <w:pP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            附件一、中小企业声明函格式</w:t>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            附件二、关于符合本国产品标准的声明函格式</w:t>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            附件三、无重大违法记录声明格式</w:t>
      </w:r>
      <w:r/>
    </w:p>
    <w:p>
      <w:pPr>
        <w:ind w:left="2796" w:hanging="112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附件四、具备履行合同所必需的设备和专业技术能力的声明格式及证明材料</w:t>
      </w:r>
      <w:r/>
    </w:p>
    <w:p>
      <w:pPr>
        <w:pStyle w:val="858"/>
        <w:ind w:firstLine="1680"/>
        <w:rPr>
          <w:rFonts w:ascii="宋体" w:hAnsi="宋体" w:cs="宋体"/>
          <w:color w:val="auto"/>
          <w:sz w:val="28"/>
          <w:szCs w:val="28"/>
          <w:highlight w:val="none"/>
        </w:rPr>
      </w:pPr>
      <w:r>
        <w:rPr>
          <w:rFonts w:hint="eastAsia" w:ascii="宋体" w:hAnsi="宋体" w:cs="宋体"/>
          <w:color w:val="auto"/>
          <w:sz w:val="28"/>
          <w:szCs w:val="28"/>
          <w:highlight w:val="none"/>
        </w:rPr>
        <w:t xml:space="preserve">附件五、残疾人福利性单位声明函格式</w:t>
      </w:r>
      <w:r/>
    </w:p>
    <w:p>
      <w:pPr>
        <w:pStyle w:val="858"/>
        <w:ind w:firstLine="1680"/>
        <w:rPr>
          <w:rFonts w:ascii="宋体" w:hAnsi="宋体" w:cs="宋体"/>
          <w:color w:val="auto"/>
          <w:sz w:val="28"/>
          <w:szCs w:val="28"/>
          <w:highlight w:val="none"/>
        </w:rPr>
      </w:pPr>
      <w:r>
        <w:rPr>
          <w:rFonts w:hint="eastAsia" w:ascii="宋体" w:hAnsi="宋体" w:cs="宋体"/>
          <w:color w:val="auto"/>
          <w:sz w:val="28"/>
          <w:szCs w:val="28"/>
          <w:highlight w:val="none"/>
        </w:rPr>
        <w:t xml:space="preserve">附件六、属于监狱企业的证明文件</w:t>
      </w:r>
      <w:r/>
    </w:p>
    <w:p>
      <w:pPr>
        <w:jc w:val="left"/>
        <w:spacing w:line="360" w:lineRule="auto"/>
        <w:rPr>
          <w:rFonts w:ascii="宋体" w:hAnsi="宋体" w:cs="宋体"/>
          <w:b/>
          <w:color w:val="auto"/>
          <w:szCs w:val="21"/>
          <w:highlight w:val="none"/>
          <w:lang w:val="zh-CN"/>
        </w:rPr>
        <w:sectPr>
          <w:footnotePr/>
          <w:endnotePr>
            <w:numFmt w:val="decimal"/>
          </w:endnotePr>
          <w:type w:val="nextPage"/>
          <w:pgSz w:w="11906" w:h="16838" w:orient="portrait"/>
          <w:pgMar w:top="850" w:right="850" w:bottom="850" w:left="1418" w:header="170" w:footer="720" w:gutter="0"/>
          <w:cols w:num="1" w:sep="0" w:space="720" w:equalWidth="1"/>
          <w:docGrid w:linePitch="360"/>
        </w:sectPr>
      </w:pPr>
      <w:r>
        <w:rPr>
          <w:rFonts w:ascii="宋体" w:hAnsi="宋体" w:cs="宋体"/>
          <w:b/>
          <w:color w:val="auto"/>
          <w:szCs w:val="21"/>
          <w:highlight w:val="none"/>
          <w:lang w:val="zh-CN"/>
        </w:rPr>
      </w:r>
      <w:r/>
    </w:p>
    <w:p>
      <w:pPr>
        <w:jc w:val="left"/>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目录一、投标申请及声明格式</w:t>
      </w:r>
      <w:r/>
    </w:p>
    <w:p>
      <w:pPr>
        <w:jc w:val="center"/>
        <w:spacing w:line="360" w:lineRule="auto"/>
        <w:rPr>
          <w:rFonts w:ascii="宋体" w:hAnsi="宋体" w:cs="宋体"/>
          <w:color w:val="auto"/>
          <w:sz w:val="36"/>
          <w:szCs w:val="36"/>
          <w:highlight w:val="none"/>
          <w:lang w:val="zh-CN"/>
        </w:rPr>
        <w:outlineLvl w:val="0"/>
      </w:pPr>
      <w:r>
        <w:rPr>
          <w:rFonts w:hint="eastAsia" w:ascii="宋体" w:hAnsi="宋体" w:cs="宋体"/>
          <w:color w:val="auto"/>
          <w:sz w:val="36"/>
          <w:szCs w:val="36"/>
          <w:highlight w:val="none"/>
          <w:lang w:val="zh-CN"/>
        </w:rPr>
        <w:t xml:space="preserve">投标申请及声明</w:t>
      </w:r>
      <w:r/>
    </w:p>
    <w:p>
      <w:pPr>
        <w:spacing w:line="360" w:lineRule="auto"/>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致：南京医科大学</w:t>
      </w:r>
      <w:r/>
    </w:p>
    <w:p>
      <w:pPr>
        <w:ind w:firstLine="420"/>
        <w:spacing w:line="360" w:lineRule="auto"/>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根据贵方（项目名称）（项目编号）投标邀请，正式授权下述签字人(姓名和职务)代表投标人（投标人名称），提交投标文件。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据此函，签字人兹宣布声明和承诺如下：</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1、</w:t>
      </w:r>
      <w:r>
        <w:rPr>
          <w:rFonts w:hint="eastAsia" w:ascii="宋体" w:hAnsi="宋体" w:cs="宋体"/>
          <w:b/>
          <w:color w:val="auto"/>
          <w:szCs w:val="21"/>
          <w:highlight w:val="none"/>
          <w:lang w:val="zh-CN"/>
        </w:rPr>
        <w:t xml:space="preserve">我们的资格条件完全符合政府采购法和本次招标要求</w:t>
      </w:r>
      <w:r>
        <w:rPr>
          <w:rFonts w:hint="eastAsia" w:ascii="宋体" w:hAnsi="宋体" w:cs="宋体"/>
          <w:color w:val="auto"/>
          <w:szCs w:val="21"/>
          <w:highlight w:val="none"/>
          <w:lang w:val="zh-CN"/>
        </w:rPr>
        <w:t xml:space="preserve">，</w:t>
      </w:r>
      <w:r>
        <w:rPr>
          <w:rFonts w:hint="eastAsia" w:ascii="宋体" w:hAnsi="宋体" w:cs="宋体"/>
          <w:color w:val="auto"/>
          <w:highlight w:val="none"/>
        </w:rPr>
        <w:t xml:space="preserve">我们</w:t>
      </w:r>
      <w:r>
        <w:rPr>
          <w:rFonts w:hint="eastAsia" w:ascii="宋体" w:hAnsi="宋体" w:cs="宋体"/>
          <w:color w:val="auto"/>
          <w:szCs w:val="21"/>
          <w:highlight w:val="none"/>
          <w:lang w:val="zh-CN"/>
        </w:rPr>
        <w:t xml:space="preserve">同意并向贵方提供了与投标有关的所有证据和资料。</w:t>
      </w:r>
      <w:r/>
    </w:p>
    <w:p>
      <w:pPr>
        <w:ind w:firstLine="420"/>
        <w:spacing w:line="360" w:lineRule="auto"/>
        <w:rPr>
          <w:rFonts w:ascii="宋体" w:hAnsi="宋体" w:cs="宋体"/>
          <w:color w:val="auto"/>
          <w:szCs w:val="21"/>
          <w:highlight w:val="none"/>
          <w:u w:val="single"/>
          <w:lang w:val="zh-CN"/>
        </w:rPr>
      </w:pPr>
      <w:r>
        <w:rPr>
          <w:rFonts w:hint="eastAsia" w:ascii="宋体" w:hAnsi="宋体" w:cs="宋体"/>
          <w:color w:val="auto"/>
          <w:szCs w:val="21"/>
          <w:highlight w:val="none"/>
          <w:lang w:val="zh-CN"/>
        </w:rPr>
        <w:t xml:space="preserve">2、按招标要求，我们的投标总报价为（小写）元（大写）元人民币。其中，小</w:t>
      </w:r>
      <w:r>
        <w:rPr>
          <w:rFonts w:hint="eastAsia" w:ascii="宋体" w:hAnsi="宋体" w:cs="宋体"/>
          <w:color w:val="auto"/>
          <w:szCs w:val="21"/>
          <w:highlight w:val="none"/>
        </w:rPr>
        <w:t xml:space="preserve">微</w:t>
      </w:r>
      <w:r>
        <w:rPr>
          <w:rFonts w:hint="eastAsia" w:ascii="宋体" w:hAnsi="宋体" w:cs="宋体"/>
          <w:color w:val="auto"/>
          <w:szCs w:val="21"/>
          <w:highlight w:val="none"/>
          <w:lang w:val="zh-CN"/>
        </w:rPr>
        <w:t xml:space="preserve">型企业的产品为（大写）元人民币</w:t>
      </w:r>
      <w:r>
        <w:rPr>
          <w:rFonts w:ascii="宋体" w:hAnsi="宋体" w:cs="宋体"/>
          <w:color w:val="auto"/>
          <w:szCs w:val="21"/>
          <w:highlight w:val="none"/>
        </w:rPr>
        <w:t xml:space="preserve">,</w:t>
      </w:r>
      <w:r>
        <w:rPr>
          <w:rFonts w:hint="eastAsia" w:ascii="宋体" w:hAnsi="宋体" w:cs="宋体"/>
          <w:color w:val="auto"/>
          <w:szCs w:val="21"/>
          <w:highlight w:val="none"/>
        </w:rPr>
        <w:t xml:space="preserve">交货期：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3、我们已详细审核全部招标文件及其有效补充文件，我们放弃对招标文件任何误解的权利，提交投标文件后，</w:t>
      </w:r>
      <w:r>
        <w:rPr>
          <w:rFonts w:hint="eastAsia" w:ascii="宋体" w:hAnsi="宋体" w:cs="宋体"/>
          <w:b/>
          <w:color w:val="auto"/>
          <w:szCs w:val="21"/>
          <w:highlight w:val="none"/>
          <w:lang w:val="zh-CN"/>
        </w:rPr>
        <w:t xml:space="preserve">不对招标文件本身提出质疑</w:t>
      </w:r>
      <w:r>
        <w:rPr>
          <w:rFonts w:hint="eastAsia" w:ascii="宋体" w:hAnsi="宋体" w:cs="宋体"/>
          <w:color w:val="auto"/>
          <w:szCs w:val="21"/>
          <w:highlight w:val="none"/>
          <w:lang w:val="zh-CN"/>
        </w:rPr>
        <w:t xml:space="preserve">。否则，属于不诚信和故意扰乱政府采购活动行为，我们将无条件接受处罚。</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4、我们同意从规定的开标日期起遵循本投标文件，并在规定的投标有效期期满之前均具有约束力。</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5、一旦我方中标，我方将根据招标文件的规定严格履行合同，并保证于承诺的时间完成服务的启动/集成、调试等服务，交付采购人验收、使用。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6、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、与本投标有关的正式联系方式为：</w:t>
      </w:r>
      <w:r/>
    </w:p>
    <w:p>
      <w:pPr>
        <w:ind w:firstLine="420"/>
        <w:spacing w:line="360" w:lineRule="auto"/>
        <w:rPr>
          <w:rFonts w:ascii="宋体" w:hAnsi="宋体" w:cs="宋体"/>
          <w:color w:val="auto"/>
          <w:szCs w:val="21"/>
          <w:highlight w:val="none"/>
          <w:u w:val="single"/>
          <w:lang w:val="zh-CN"/>
        </w:rPr>
      </w:pPr>
      <w:r>
        <w:rPr>
          <w:rFonts w:hint="eastAsia" w:ascii="宋体" w:hAnsi="宋体" w:cs="宋体"/>
          <w:color w:val="auto"/>
          <w:szCs w:val="21"/>
          <w:highlight w:val="none"/>
          <w:lang w:val="zh-CN"/>
        </w:rPr>
        <w:t xml:space="preserve">地址：</w:t>
      </w:r>
      <w:r/>
    </w:p>
    <w:p>
      <w:pPr>
        <w:ind w:firstLine="420"/>
        <w:spacing w:line="360" w:lineRule="auto"/>
        <w:rPr>
          <w:rFonts w:ascii="宋体" w:hAnsi="宋体" w:cs="宋体"/>
          <w:color w:val="auto"/>
          <w:szCs w:val="21"/>
          <w:highlight w:val="none"/>
          <w:u w:val="single"/>
          <w:lang w:val="zh-CN"/>
        </w:rPr>
      </w:pPr>
      <w:r>
        <w:rPr>
          <w:rFonts w:hint="eastAsia" w:ascii="宋体" w:hAnsi="宋体" w:cs="宋体"/>
          <w:color w:val="auto"/>
          <w:szCs w:val="21"/>
          <w:highlight w:val="none"/>
          <w:lang w:val="zh-CN"/>
        </w:rPr>
        <w:t xml:space="preserve">电话：</w:t>
      </w:r>
      <w:r/>
    </w:p>
    <w:p>
      <w:pPr>
        <w:ind w:firstLine="420"/>
        <w:spacing w:line="360" w:lineRule="auto"/>
        <w:rPr>
          <w:rFonts w:ascii="宋体" w:hAnsi="宋体" w:cs="宋体"/>
          <w:color w:val="auto"/>
          <w:szCs w:val="21"/>
          <w:highlight w:val="none"/>
          <w:u w:val="single"/>
          <w:lang w:val="zh-CN"/>
        </w:rPr>
      </w:pPr>
      <w:r>
        <w:rPr>
          <w:rFonts w:hint="eastAsia" w:ascii="宋体" w:hAnsi="宋体" w:cs="宋体"/>
          <w:color w:val="auto"/>
          <w:szCs w:val="21"/>
          <w:highlight w:val="none"/>
          <w:lang w:val="zh-CN"/>
        </w:rPr>
        <w:t xml:space="preserve">传真：</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开户银行：</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银行账号：</w:t>
      </w:r>
      <w:r/>
    </w:p>
    <w:p>
      <w:pPr>
        <w:ind w:firstLine="420"/>
        <w:spacing w:line="360" w:lineRule="auto"/>
        <w:rPr>
          <w:rFonts w:ascii="宋体" w:hAnsi="宋体" w:cs="宋体"/>
          <w:color w:val="auto"/>
          <w:szCs w:val="21"/>
          <w:highlight w:val="none"/>
          <w:u w:val="single"/>
          <w:lang w:val="zh-CN"/>
        </w:rPr>
      </w:pPr>
      <w:r>
        <w:rPr>
          <w:rFonts w:hint="eastAsia" w:ascii="宋体" w:hAnsi="宋体" w:cs="宋体"/>
          <w:color w:val="auto"/>
          <w:szCs w:val="21"/>
          <w:highlight w:val="none"/>
          <w:lang w:val="zh-CN"/>
        </w:rPr>
        <w:t xml:space="preserve">供应商授权代表姓名（签字）：</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rPr>
        <w:t xml:space="preserve">加盖CA电子公章</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b/>
          <w:color w:val="auto"/>
          <w:szCs w:val="21"/>
          <w:highlight w:val="none"/>
          <w:lang w:val="zh-CN"/>
        </w:rPr>
      </w:pPr>
      <w:r>
        <w:rPr>
          <w:rFonts w:hint="eastAsia" w:ascii="宋体" w:hAnsi="宋体" w:cs="宋体"/>
          <w:color w:val="auto"/>
          <w:szCs w:val="21"/>
          <w:highlight w:val="none"/>
          <w:lang w:val="zh-CN"/>
        </w:rPr>
        <w:t xml:space="preserve">日期：年月日</w:t>
      </w:r>
      <w:r/>
    </w:p>
    <w:p>
      <w:pPr>
        <w:jc w:val="left"/>
        <w:spacing w:line="360" w:lineRule="auto"/>
        <w:widowControl/>
        <w:rPr>
          <w:rFonts w:ascii="宋体" w:hAnsi="宋体" w:cs="宋体"/>
          <w:b/>
          <w:color w:val="auto"/>
          <w:szCs w:val="21"/>
          <w:highlight w:val="none"/>
          <w:lang w:val="zh-CN"/>
        </w:rPr>
        <w:sectPr>
          <w:footnotePr/>
          <w:endnotePr>
            <w:numFmt w:val="decimal"/>
          </w:endnotePr>
          <w:type w:val="nextPage"/>
          <w:pgSz w:w="11906" w:h="16838" w:orient="portrait"/>
          <w:pgMar w:top="850" w:right="850" w:bottom="850" w:left="1418" w:header="340" w:footer="720" w:gutter="0"/>
          <w:cols w:num="1" w:sep="0" w:space="720" w:equalWidth="1"/>
          <w:docGrid w:linePitch="360"/>
        </w:sectPr>
      </w:pPr>
      <w:r>
        <w:rPr>
          <w:rFonts w:ascii="宋体" w:hAnsi="宋体" w:cs="宋体"/>
          <w:b/>
          <w:color w:val="auto"/>
          <w:szCs w:val="21"/>
          <w:highlight w:val="none"/>
          <w:lang w:val="zh-CN"/>
        </w:rPr>
      </w:r>
      <w:r/>
    </w:p>
    <w:p>
      <w:pPr>
        <w:jc w:val="left"/>
        <w:spacing w:line="360" w:lineRule="auto"/>
        <w:widowControl/>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目录二、法定代表人授权书格式</w:t>
      </w:r>
      <w:r/>
    </w:p>
    <w:p>
      <w:pPr>
        <w:ind w:firstLine="720"/>
        <w:jc w:val="center"/>
        <w:spacing w:line="360" w:lineRule="auto"/>
        <w:widowControl/>
        <w:rPr>
          <w:rFonts w:ascii="宋体" w:hAnsi="宋体" w:cs="宋体"/>
          <w:color w:val="auto"/>
          <w:sz w:val="36"/>
          <w:szCs w:val="36"/>
          <w:highlight w:val="none"/>
          <w:lang w:val="zh-CN"/>
        </w:rPr>
        <w:outlineLvl w:val="0"/>
      </w:pPr>
      <w:r>
        <w:rPr>
          <w:rFonts w:hint="eastAsia" w:ascii="宋体" w:hAnsi="宋体" w:cs="宋体"/>
          <w:color w:val="auto"/>
          <w:sz w:val="36"/>
          <w:szCs w:val="36"/>
          <w:highlight w:val="none"/>
          <w:lang w:val="zh-CN"/>
        </w:rPr>
        <w:t xml:space="preserve">法定代表人授权委托书</w:t>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南京医科大学：</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授权书声明：注册于（投标人住址）的（投标人名称）法定代表人（法定代表人姓名、职务）代表本公司授权在下面签字的（投标人代表姓名、职务）为本公司的合法代理人，就贵方组织的（项目名称），（项目编号）投标，以本公司名义处理一切与之有关的事务。</w:t>
      </w:r>
      <w:r/>
    </w:p>
    <w:p>
      <w:pPr>
        <w:ind w:firstLine="408"/>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本授权书于年月日签字生效，特此声明。</w:t>
      </w:r>
      <w:r/>
    </w:p>
    <w:p>
      <w:pPr>
        <w:ind w:firstLine="408"/>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法定代表人（签字或盖章）：</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授权委托人（签字）：</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rPr>
        <w:t xml:space="preserve">加盖CA电子公章</w:t>
      </w:r>
      <w:r>
        <w:rPr>
          <w:rFonts w:hint="eastAsia" w:ascii="宋体" w:hAnsi="宋体" w:cs="宋体"/>
          <w:color w:val="auto"/>
          <w:szCs w:val="21"/>
          <w:highlight w:val="none"/>
          <w:lang w:val="zh-CN"/>
        </w:rPr>
        <w:t xml:space="preserve">）：</w:t>
      </w:r>
      <w:r/>
    </w:p>
    <w:p>
      <w:pPr>
        <w:ind w:firstLine="420"/>
        <w:jc w:val="left"/>
        <w:spacing w:line="360" w:lineRule="auto"/>
        <w:widowControl/>
        <w:tabs>
          <w:tab w:val="left" w:pos="1440"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日期：年月日</w:t>
      </w:r>
      <w:r/>
    </w:p>
    <w:p>
      <w:pPr>
        <w:ind w:firstLine="420"/>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法定代表人身份证复印件：</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授权委托人身份证复印件：</w:t>
      </w:r>
      <w:r/>
    </w:p>
    <w:p>
      <w:pPr>
        <w:jc w:val="left"/>
        <w:spacing w:line="360" w:lineRule="auto"/>
        <w:widowControl/>
        <w:rPr>
          <w:rFonts w:ascii="宋体" w:hAnsi="宋体" w:cs="宋体"/>
          <w:b/>
          <w:color w:val="auto"/>
          <w:szCs w:val="21"/>
          <w:highlight w:val="none"/>
          <w:lang w:val="zh-CN"/>
        </w:rPr>
        <w:sectPr>
          <w:footnotePr/>
          <w:endnotePr>
            <w:numFmt w:val="decimal"/>
          </w:endnotePr>
          <w:type w:val="nextPage"/>
          <w:pgSz w:w="11906" w:h="16838" w:orient="portrait"/>
          <w:pgMar w:top="850" w:right="850" w:bottom="850" w:left="1418" w:header="340" w:footer="720" w:gutter="0"/>
          <w:cols w:num="1" w:sep="0" w:space="720" w:equalWidth="1"/>
          <w:docGrid w:linePitch="360"/>
        </w:sectPr>
      </w:pPr>
      <w:r>
        <w:rPr>
          <w:rFonts w:ascii="宋体" w:hAnsi="宋体" w:cs="宋体"/>
          <w:b/>
          <w:color w:val="auto"/>
          <w:szCs w:val="21"/>
          <w:highlight w:val="none"/>
          <w:lang w:val="zh-CN"/>
        </w:rPr>
      </w:r>
      <w:r/>
    </w:p>
    <w:p>
      <w:pPr>
        <w:jc w:val="left"/>
        <w:spacing w:line="360" w:lineRule="auto"/>
        <w:widowControl/>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目录三、开标一览表格式</w:t>
      </w:r>
      <w:r/>
    </w:p>
    <w:p>
      <w:pPr>
        <w:pStyle w:val="837"/>
        <w:jc w:val="center"/>
        <w:keepLines w:val="0"/>
        <w:keepNext w:val="0"/>
        <w:widowControl/>
        <w:rPr>
          <w:color w:val="auto"/>
          <w:highlight w:val="none"/>
        </w:rPr>
      </w:pPr>
      <w:r>
        <w:rPr>
          <w:rStyle w:val="896"/>
          <w:b/>
          <w:color w:val="auto"/>
          <w:highlight w:val="none"/>
        </w:rPr>
        <w:t xml:space="preserve">开标一览表 </w:t>
      </w:r>
      <w:r/>
    </w:p>
    <w:p>
      <w:pPr>
        <w:pStyle w:val="889"/>
        <w:rPr>
          <w:color w:val="auto"/>
          <w:highlight w:val="none"/>
        </w:rPr>
      </w:pPr>
      <w:r>
        <w:rPr>
          <w:color w:val="auto"/>
          <w:highlight w:val="none"/>
        </w:rPr>
        <w:t xml:space="preserve">投标人全称（CA公章）：供应商名称 </w:t>
      </w:r>
      <w:r/>
    </w:p>
    <w:p>
      <w:pPr>
        <w:pStyle w:val="889"/>
        <w:rPr>
          <w:color w:val="auto"/>
          <w:highlight w:val="none"/>
        </w:rPr>
      </w:pPr>
      <w:r>
        <w:rPr>
          <w:color w:val="auto"/>
          <w:highlight w:val="none"/>
        </w:rPr>
        <w:t xml:space="preserve">项目名称： 项目名称 </w:t>
      </w:r>
      <w:r/>
    </w:p>
    <w:p>
      <w:pPr>
        <w:pStyle w:val="889"/>
        <w:rPr>
          <w:color w:val="auto"/>
          <w:highlight w:val="none"/>
        </w:rPr>
      </w:pPr>
      <w:r>
        <w:rPr>
          <w:color w:val="auto"/>
          <w:highlight w:val="none"/>
        </w:rPr>
        <w:t xml:space="preserve">项目编号：项目编号 </w:t>
      </w:r>
      <w:r/>
    </w:p>
    <w:p>
      <w:pPr>
        <w:pStyle w:val="889"/>
        <w:rPr>
          <w:color w:val="auto"/>
          <w:highlight w:val="none"/>
        </w:rPr>
      </w:pPr>
      <w:r>
        <w:rPr>
          <w:color w:val="auto"/>
          <w:highlight w:val="none"/>
        </w:rPr>
        <w:t xml:space="preserve">分包号 ：分包号 </w:t>
      </w:r>
      <w:r/>
    </w:p>
    <w:tbl>
      <w:tblPr>
        <w:tblStyle w:val="847"/>
        <w:tblW w:w="4515" w:type="pct"/>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716"/>
        <w:gridCol w:w="8086"/>
      </w:tblGrid>
      <w:tr>
        <w:trPr>
          <w:tblCellSpacing w:w="15" w:type="dxa"/>
          <w:trHeight w:val="810"/>
        </w:trPr>
        <w:tc>
          <w:tcPr>
            <w:tcW w:w="385" w:type="pct"/>
            <w:vAlign w:val="center"/>
            <w:textDirection w:val="lrTb"/>
            <w:noWrap w:val="false"/>
          </w:tcPr>
          <w:p>
            <w:pPr>
              <w:jc w:val="left"/>
              <w:widowControl/>
              <w:rPr>
                <w:color w:val="auto"/>
                <w:highlight w:val="none"/>
              </w:rPr>
            </w:pPr>
            <w:r>
              <w:rPr>
                <w:rFonts w:ascii="宋体" w:hAnsi="宋体" w:cs="宋体"/>
                <w:color w:val="auto"/>
                <w:sz w:val="24"/>
                <w:highlight w:val="none"/>
                <w:lang w:bidi="ar"/>
              </w:rPr>
              <w:t xml:space="preserve"> </w:t>
            </w:r>
            <w:r/>
          </w:p>
        </w:tc>
        <w:tc>
          <w:tcPr>
            <w:tcW w:w="4612" w:type="pct"/>
            <w:vAlign w:val="center"/>
            <w:textDirection w:val="lrTb"/>
            <w:noWrap w:val="false"/>
          </w:tcPr>
          <w:p>
            <w:pPr>
              <w:pStyle w:val="889"/>
              <w:jc w:val="center"/>
              <w:rPr>
                <w:color w:val="auto"/>
                <w:highlight w:val="none"/>
              </w:rPr>
            </w:pPr>
            <w:r>
              <w:rPr>
                <w:rFonts w:hint="eastAsia" w:cs="Times New Roman"/>
                <w:color w:val="auto"/>
                <w:highlight w:val="none"/>
                <w:lang w:bidi="ar"/>
              </w:rPr>
              <w:t xml:space="preserve">总报价</w:t>
            </w:r>
            <w:r/>
          </w:p>
        </w:tc>
      </w:tr>
      <w:tr>
        <w:trPr>
          <w:tblCellSpacing w:w="15" w:type="dxa"/>
          <w:trHeight w:val="825"/>
        </w:trPr>
        <w:tc>
          <w:tcPr>
            <w:tcW w:w="385" w:type="pct"/>
            <w:vAlign w:val="center"/>
            <w:textDirection w:val="lrTb"/>
            <w:noWrap w:val="false"/>
          </w:tcPr>
          <w:p>
            <w:pPr>
              <w:pStyle w:val="889"/>
              <w:rPr>
                <w:color w:val="auto"/>
                <w:highlight w:val="none"/>
              </w:rPr>
            </w:pPr>
            <w:r>
              <w:rPr>
                <w:color w:val="auto"/>
                <w:highlight w:val="none"/>
              </w:rPr>
              <w:t xml:space="preserve"> </w:t>
            </w:r>
            <w:r/>
          </w:p>
        </w:tc>
        <w:tc>
          <w:tcPr>
            <w:tcW w:w="4612" w:type="pct"/>
            <w:vAlign w:val="center"/>
            <w:textDirection w:val="lrTb"/>
            <w:noWrap w:val="false"/>
          </w:tcPr>
          <w:p>
            <w:pPr>
              <w:pStyle w:val="889"/>
              <w:rPr>
                <w:color w:val="auto"/>
                <w:highlight w:val="none"/>
              </w:rPr>
            </w:pPr>
            <w:r>
              <w:rPr>
                <w:color w:val="auto"/>
                <w:highlight w:val="none"/>
              </w:rPr>
              <w:t xml:space="preserve">小写：</w:t>
            </w:r>
            <w:r>
              <w:rPr>
                <w:rFonts w:hint="eastAsia"/>
                <w:color w:val="auto"/>
                <w:highlight w:val="none"/>
                <w:u w:val="single"/>
              </w:rPr>
              <w:t xml:space="preserve">             </w:t>
            </w:r>
            <w:r>
              <w:rPr>
                <w:color w:val="auto"/>
                <w:highlight w:val="none"/>
              </w:rPr>
              <w:t xml:space="preserve">元</w:t>
            </w:r>
            <w:r/>
          </w:p>
        </w:tc>
      </w:tr>
    </w:tbl>
    <w:p>
      <w:pPr>
        <w:pStyle w:val="889"/>
        <w:jc w:val="right"/>
        <w:rPr>
          <w:color w:val="auto"/>
          <w:highlight w:val="none"/>
        </w:rPr>
      </w:pPr>
      <w:r>
        <w:rPr>
          <w:color w:val="auto"/>
          <w:highlight w:val="none"/>
        </w:rPr>
        <w:t xml:space="preserve">   </w:t>
      </w:r>
      <w:r>
        <w:rPr>
          <w:rFonts w:hint="eastAsia"/>
          <w:color w:val="auto"/>
          <w:highlight w:val="none"/>
          <w:u w:val="single"/>
        </w:rPr>
        <w:t xml:space="preserve">       </w:t>
      </w:r>
      <w:r>
        <w:rPr>
          <w:color w:val="auto"/>
          <w:highlight w:val="none"/>
        </w:rPr>
        <w:t xml:space="preserve"> 年</w:t>
      </w:r>
      <w:r>
        <w:rPr>
          <w:rFonts w:hint="eastAsia"/>
          <w:color w:val="auto"/>
          <w:highlight w:val="none"/>
          <w:u w:val="single"/>
        </w:rPr>
        <w:t xml:space="preserve">       </w:t>
      </w:r>
      <w:r>
        <w:rPr>
          <w:color w:val="auto"/>
          <w:highlight w:val="none"/>
        </w:rPr>
        <w:t xml:space="preserve">月</w:t>
      </w:r>
      <w:r>
        <w:rPr>
          <w:rFonts w:hint="eastAsia"/>
          <w:color w:val="auto"/>
          <w:highlight w:val="none"/>
          <w:u w:val="single"/>
        </w:rPr>
        <w:t xml:space="preserve">       </w:t>
      </w:r>
      <w:r>
        <w:rPr>
          <w:color w:val="auto"/>
          <w:highlight w:val="none"/>
        </w:rPr>
        <w:t xml:space="preserve">日</w:t>
      </w:r>
      <w:r/>
    </w:p>
    <w:p>
      <w:pPr>
        <w:ind w:firstLine="420"/>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360" w:lineRule="auto"/>
        <w:widowControl/>
        <w:rPr>
          <w:rFonts w:ascii="宋体" w:hAnsi="宋体" w:cs="宋体"/>
          <w:b/>
          <w:color w:val="auto"/>
          <w:szCs w:val="21"/>
          <w:highlight w:val="none"/>
          <w:lang w:val="zh-CN"/>
        </w:rPr>
        <w:sectPr>
          <w:footnotePr/>
          <w:endnotePr>
            <w:numFmt w:val="decimal"/>
          </w:endnotePr>
          <w:type w:val="nextPage"/>
          <w:pgSz w:w="11906" w:h="16838" w:orient="portrait"/>
          <w:pgMar w:top="850" w:right="850" w:bottom="850" w:left="1418" w:header="340" w:footer="720" w:gutter="0"/>
          <w:cols w:num="1" w:sep="0" w:space="0" w:equalWidth="1"/>
          <w:docGrid w:linePitch="360"/>
        </w:sectPr>
      </w:pPr>
      <w:r>
        <w:rPr>
          <w:rFonts w:ascii="宋体" w:hAnsi="宋体" w:cs="宋体"/>
          <w:b/>
          <w:color w:val="auto"/>
          <w:szCs w:val="21"/>
          <w:highlight w:val="none"/>
          <w:lang w:val="zh-CN"/>
        </w:rPr>
      </w:r>
      <w:r/>
    </w:p>
    <w:p>
      <w:pPr>
        <w:jc w:val="left"/>
        <w:spacing w:line="240" w:lineRule="atLeast"/>
        <w:widowControl/>
        <w:rPr>
          <w:rFonts w:ascii="宋体" w:hAnsi="宋体" w:cs="宋体"/>
          <w:b/>
          <w:color w:val="auto"/>
          <w:szCs w:val="21"/>
          <w:highlight w:val="none"/>
          <w:lang w:val="zh-CN"/>
        </w:rPr>
      </w:pPr>
      <w:r>
        <w:rPr>
          <w:rFonts w:hint="eastAsia"/>
          <w:b/>
          <w:bCs/>
          <w:color w:val="auto"/>
          <w:szCs w:val="21"/>
          <w:highlight w:val="none"/>
        </w:rPr>
        <w:t xml:space="preserve">目录四、</w:t>
      </w:r>
      <w:r>
        <w:rPr>
          <w:rFonts w:hint="eastAsia" w:ascii="宋体" w:hAnsi="宋体" w:cs="宋体"/>
          <w:b/>
          <w:color w:val="auto"/>
          <w:szCs w:val="21"/>
          <w:highlight w:val="none"/>
          <w:lang w:val="zh-CN"/>
        </w:rPr>
        <w:t xml:space="preserve">分项报价表格式</w:t>
      </w:r>
      <w:r/>
    </w:p>
    <w:p>
      <w:pPr>
        <w:pStyle w:val="840"/>
        <w:rPr>
          <w:color w:val="auto"/>
          <w:highlight w:val="none"/>
          <w:lang w:val="zh-CN"/>
        </w:rPr>
      </w:pPr>
      <w:r>
        <w:rPr>
          <w:color w:val="auto"/>
          <w:highlight w:val="none"/>
          <w:lang w:val="zh-CN"/>
        </w:rPr>
      </w:r>
      <w:r/>
    </w:p>
    <w:p>
      <w:pPr>
        <w:ind w:left="420"/>
        <w:jc w:val="center"/>
        <w:spacing w:line="360" w:lineRule="auto"/>
        <w:widowControl/>
        <w:rPr>
          <w:rFonts w:ascii="宋体" w:hAnsi="宋体" w:cs="宋体"/>
          <w:color w:val="auto"/>
          <w:sz w:val="36"/>
          <w:szCs w:val="36"/>
          <w:highlight w:val="none"/>
          <w:lang w:val="zh-CN"/>
        </w:rPr>
        <w:outlineLvl w:val="0"/>
      </w:pPr>
      <w:r>
        <w:rPr>
          <w:rFonts w:hint="eastAsia" w:ascii="宋体" w:hAnsi="宋体" w:cs="宋体"/>
          <w:color w:val="auto"/>
          <w:sz w:val="36"/>
          <w:szCs w:val="36"/>
          <w:highlight w:val="none"/>
          <w:lang w:val="zh-CN"/>
        </w:rPr>
        <w:t xml:space="preserve">分项报价表</w:t>
      </w:r>
      <w:r/>
    </w:p>
    <w:tbl>
      <w:tblPr>
        <w:tblStyle w:val="89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8"/>
        <w:gridCol w:w="994"/>
        <w:gridCol w:w="765"/>
        <w:gridCol w:w="1080"/>
        <w:gridCol w:w="855"/>
        <w:gridCol w:w="915"/>
        <w:gridCol w:w="1374"/>
        <w:gridCol w:w="1890"/>
        <w:gridCol w:w="1208"/>
      </w:tblGrid>
      <w:tr>
        <w:trPr>
          <w:trHeight w:val="626"/>
        </w:trPr>
        <w:tc>
          <w:tcPr>
            <w:gridSpan w:val="6"/>
            <w:tcW w:w="5277" w:type="dxa"/>
            <w:vAlign w:val="center"/>
            <w:textDirection w:val="lrTb"/>
            <w:noWrap w:val="false"/>
          </w:tcPr>
          <w:p>
            <w:pP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p>
        </w:tc>
        <w:tc>
          <w:tcPr>
            <w:gridSpan w:val="3"/>
            <w:tcW w:w="4472" w:type="dxa"/>
            <w:vAlign w:val="center"/>
            <w:textDirection w:val="lrTb"/>
            <w:noWrap w:val="false"/>
          </w:tcPr>
          <w:p>
            <w:pP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项目编号：</w:t>
            </w:r>
            <w:r/>
          </w:p>
        </w:tc>
      </w:tr>
      <w:tr>
        <w:trPr>
          <w:trHeight w:val="827"/>
        </w:trPr>
        <w:tc>
          <w:tcPr>
            <w:tcW w:w="668" w:type="dxa"/>
            <w:vAlign w:val="center"/>
            <w:textDirection w:val="lrTb"/>
            <w:noWrap w:val="false"/>
          </w:tcPr>
          <w:p>
            <w:pPr>
              <w:widowControl/>
              <w:tabs>
                <w:tab w:val="left" w:pos="15" w:leader="none"/>
              </w:tabs>
              <w:rPr>
                <w:rFonts w:ascii="宋体" w:hAnsi="宋体" w:cs="宋体"/>
                <w:color w:val="auto"/>
                <w:szCs w:val="21"/>
                <w:highlight w:val="none"/>
                <w:lang w:val="zh-CN"/>
              </w:rPr>
            </w:pPr>
            <w:r>
              <w:rPr>
                <w:rFonts w:ascii="宋体" w:hAnsi="宋体" w:cs="宋体"/>
                <w:color w:val="auto"/>
                <w:szCs w:val="21"/>
                <w:highlight w:val="none"/>
                <w:lang w:val="zh-CN"/>
              </w:rPr>
              <w:tab/>
            </w:r>
            <w:r>
              <w:rPr>
                <w:rFonts w:hint="eastAsia" w:ascii="宋体" w:hAnsi="宋体" w:cs="宋体"/>
                <w:color w:val="auto"/>
                <w:szCs w:val="21"/>
                <w:highlight w:val="none"/>
                <w:lang w:val="zh-CN"/>
              </w:rPr>
              <w:t xml:space="preserve">序号</w:t>
            </w:r>
            <w:r/>
          </w:p>
        </w:tc>
        <w:tc>
          <w:tcPr>
            <w:tcW w:w="994" w:type="dxa"/>
            <w:vAlign w:val="center"/>
            <w:textDirection w:val="lrTb"/>
            <w:noWrap w:val="false"/>
          </w:tcPr>
          <w:p>
            <w:pPr>
              <w:widowControl/>
              <w:tabs>
                <w:tab w:val="left" w:pos="225" w:leader="none"/>
              </w:tabs>
              <w:rPr>
                <w:rFonts w:ascii="宋体" w:hAnsi="宋体" w:cs="宋体"/>
                <w:color w:val="auto"/>
                <w:szCs w:val="21"/>
                <w:highlight w:val="none"/>
                <w:lang w:val="zh-CN"/>
              </w:rPr>
            </w:pPr>
            <w:r>
              <w:rPr>
                <w:rFonts w:ascii="宋体" w:hAnsi="宋体" w:cs="宋体"/>
                <w:color w:val="auto"/>
                <w:szCs w:val="21"/>
                <w:highlight w:val="none"/>
                <w:lang w:val="zh-CN"/>
              </w:rPr>
              <w:tab/>
            </w:r>
            <w:r>
              <w:rPr>
                <w:rFonts w:hint="eastAsia" w:ascii="宋体" w:hAnsi="宋体" w:cs="宋体"/>
                <w:color w:val="auto"/>
                <w:szCs w:val="21"/>
                <w:highlight w:val="none"/>
                <w:lang w:val="zh-CN"/>
              </w:rPr>
              <w:t xml:space="preserve">名称</w:t>
            </w:r>
            <w:r/>
          </w:p>
        </w:tc>
        <w:tc>
          <w:tcPr>
            <w:tcW w:w="765" w:type="dxa"/>
            <w:vAlign w:val="center"/>
            <w:textDirection w:val="lrTb"/>
            <w:noWrap w:val="false"/>
          </w:tcPr>
          <w:p>
            <w:pPr>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品牌</w:t>
            </w:r>
            <w:r/>
          </w:p>
        </w:tc>
        <w:tc>
          <w:tcPr>
            <w:tcW w:w="1080" w:type="dxa"/>
            <w:vAlign w:val="center"/>
            <w:textDirection w:val="lrTb"/>
            <w:noWrap w:val="false"/>
          </w:tcPr>
          <w:p>
            <w:pPr>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规格型号</w:t>
            </w:r>
            <w:r/>
          </w:p>
        </w:tc>
        <w:tc>
          <w:tcPr>
            <w:tcW w:w="855" w:type="dxa"/>
            <w:vAlign w:val="center"/>
            <w:textDirection w:val="lrTb"/>
            <w:noWrap w:val="false"/>
          </w:tcPr>
          <w:p>
            <w:pPr>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产地</w:t>
            </w:r>
            <w:r/>
          </w:p>
        </w:tc>
        <w:tc>
          <w:tcPr>
            <w:tcW w:w="915" w:type="dxa"/>
            <w:vAlign w:val="center"/>
            <w:textDirection w:val="lrTb"/>
            <w:noWrap w:val="false"/>
          </w:tcPr>
          <w:p>
            <w:pPr>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数量</w:t>
            </w:r>
            <w:r/>
          </w:p>
        </w:tc>
        <w:tc>
          <w:tcPr>
            <w:tcW w:w="1374" w:type="dxa"/>
            <w:vAlign w:val="center"/>
            <w:textDirection w:val="lrTb"/>
            <w:noWrap w:val="false"/>
          </w:tcPr>
          <w:p>
            <w:pPr>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投标单价</w:t>
            </w:r>
            <w:r/>
          </w:p>
        </w:tc>
        <w:tc>
          <w:tcPr>
            <w:tcW w:w="1890" w:type="dxa"/>
            <w:vAlign w:val="center"/>
            <w:textDirection w:val="lrTb"/>
            <w:noWrap w:val="false"/>
          </w:tcPr>
          <w:p>
            <w:pPr>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投标报价</w:t>
            </w:r>
            <w:r/>
          </w:p>
        </w:tc>
        <w:tc>
          <w:tcPr>
            <w:tcW w:w="1208"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val="zh-CN"/>
              </w:rPr>
              <w:t xml:space="preserve">是否属于小、微型企业的产品</w:t>
            </w:r>
            <w:r/>
          </w:p>
        </w:tc>
      </w:tr>
      <w:tr>
        <w:trPr>
          <w:trHeight w:val="626"/>
        </w:trPr>
        <w:tc>
          <w:tcPr>
            <w:tcW w:w="668"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994"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765"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080"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855"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915" w:type="dxa"/>
            <w:vAlign w:val="center"/>
            <w:textDirection w:val="lrTb"/>
            <w:noWrap w:val="false"/>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W w:w="1374"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890"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208"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trHeight w:val="626"/>
        </w:trPr>
        <w:tc>
          <w:tcPr>
            <w:tcW w:w="668"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994"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765"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080"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855"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915"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374"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890"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208"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trHeight w:val="626"/>
        </w:trPr>
        <w:tc>
          <w:tcPr>
            <w:tcW w:w="668"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994"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765"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080"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855"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915"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374"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890"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208"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trHeight w:val="626"/>
        </w:trPr>
        <w:tc>
          <w:tcPr>
            <w:tcW w:w="668"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994"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765"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080"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855"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915"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374"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890"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208"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trHeight w:val="626"/>
        </w:trPr>
        <w:tc>
          <w:tcPr>
            <w:tcW w:w="668"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994"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765"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080"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855"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915"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374"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890"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208"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trHeight w:val="626"/>
        </w:trPr>
        <w:tc>
          <w:tcPr>
            <w:tcW w:w="668"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994"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765"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080"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855"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915"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374"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890"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208"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trHeight w:val="650"/>
        </w:trPr>
        <w:tc>
          <w:tcPr>
            <w:gridSpan w:val="9"/>
            <w:tcW w:w="9749" w:type="dxa"/>
            <w:vAlign w:val="center"/>
            <w:textDirection w:val="lrTb"/>
            <w:noWrap w:val="false"/>
          </w:tcPr>
          <w:p>
            <w:pP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总价小计：</w:t>
            </w:r>
            <w:r/>
          </w:p>
        </w:tc>
      </w:tr>
      <w:tr>
        <w:trPr>
          <w:trHeight w:val="650"/>
        </w:trPr>
        <w:tc>
          <w:tcPr>
            <w:gridSpan w:val="9"/>
            <w:tcW w:w="9749" w:type="dxa"/>
            <w:vAlign w:val="center"/>
            <w:textDirection w:val="lrTb"/>
            <w:noWrap w:val="false"/>
          </w:tcPr>
          <w:p>
            <w:pP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本采购</w:t>
            </w:r>
            <w:r>
              <w:rPr>
                <w:rFonts w:hint="eastAsia" w:ascii="宋体" w:hAnsi="宋体" w:cs="宋体"/>
                <w:color w:val="auto"/>
                <w:szCs w:val="21"/>
                <w:highlight w:val="none"/>
              </w:rPr>
              <w:t xml:space="preserve">包</w:t>
            </w:r>
            <w:r>
              <w:rPr>
                <w:rFonts w:hint="eastAsia" w:ascii="宋体" w:hAnsi="宋体" w:cs="宋体"/>
                <w:color w:val="auto"/>
                <w:szCs w:val="21"/>
                <w:highlight w:val="none"/>
                <w:lang w:val="zh-CN"/>
              </w:rPr>
              <w:t xml:space="preserve">中提供的符合本国产品标准的产品成本之和占该采购包提供的全部产品成本之和的比例为</w:t>
            </w:r>
            <w:r>
              <w:rPr>
                <w:rFonts w:hint="eastAsia" w:ascii="宋体" w:hAnsi="宋体" w:cs="宋体"/>
                <w:color w:val="auto"/>
                <w:szCs w:val="21"/>
                <w:highlight w:val="none"/>
              </w:rPr>
              <w:t xml:space="preserve">______</w:t>
            </w:r>
            <w:r>
              <w:rPr>
                <w:rFonts w:hint="eastAsia" w:ascii="宋体" w:hAnsi="宋体" w:cs="宋体"/>
                <w:color w:val="auto"/>
                <w:szCs w:val="21"/>
                <w:highlight w:val="none"/>
                <w:lang w:val="zh-CN"/>
              </w:rPr>
              <w:t xml:space="preserve">%。</w:t>
            </w:r>
            <w:r/>
          </w:p>
        </w:tc>
      </w:tr>
    </w:tbl>
    <w:p>
      <w:pPr>
        <w:jc w:val="left"/>
        <w:spacing w:line="360" w:lineRule="auto"/>
        <w:widowControl/>
        <w:rPr>
          <w:color w:val="auto"/>
          <w:highlight w:val="none"/>
        </w:rPr>
      </w:pPr>
      <w:r>
        <w:rPr>
          <w:color w:val="auto"/>
          <w:highlight w:val="none"/>
        </w:rPr>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投标人名称：（加盖CA电子公章）</w:t>
      </w:r>
      <w:r/>
    </w:p>
    <w:p>
      <w:pPr>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360" w:lineRule="auto"/>
        <w:widowControl/>
        <w:rPr>
          <w:color w:val="auto"/>
          <w:highlight w:val="none"/>
        </w:rPr>
      </w:pPr>
      <w:r>
        <w:rPr>
          <w:color w:val="auto"/>
          <w:highlight w:val="none"/>
        </w:rPr>
        <w:t xml:space="preserve">说明：1、如果行数不够，请自行增加。</w:t>
      </w:r>
      <w:r/>
    </w:p>
    <w:p>
      <w:pPr>
        <w:jc w:val="left"/>
        <w:spacing w:line="360" w:lineRule="auto"/>
        <w:widowControl/>
        <w:rPr>
          <w:color w:val="auto"/>
          <w:highlight w:val="none"/>
        </w:rPr>
      </w:pPr>
      <w:r>
        <w:rPr>
          <w:color w:val="auto"/>
          <w:highlight w:val="none"/>
        </w:rPr>
        <w:t xml:space="preserve"> </w:t>
      </w:r>
      <w:r>
        <w:rPr>
          <w:rFonts w:hint="eastAsia"/>
          <w:color w:val="auto"/>
          <w:highlight w:val="none"/>
        </w:rPr>
        <w:t xml:space="preserve">     </w:t>
      </w:r>
      <w:r>
        <w:rPr>
          <w:color w:val="auto"/>
          <w:highlight w:val="none"/>
        </w:rPr>
        <w:t xml:space="preserve">2、在“是否属于小、微型企业的产品”栏内，填写“是”或“否”，如果小微型企业的产品报价无法划分计算的，评标时将不予认可。小型和微型企业产品是指供应商为小企业，且符合中小企业划分标准，提供本企业制造的货物，或者提供其他小企业制造的货物。如果提供的货物为大中型企业注册商标的货物，或者供应商为小型或微型企业，但提供的货物为大中型企业注册商标的货物，视同大中型企业。</w:t>
      </w:r>
      <w:r/>
    </w:p>
    <w:p>
      <w:pPr>
        <w:ind w:firstLine="630"/>
        <w:jc w:val="left"/>
        <w:spacing w:line="360" w:lineRule="auto"/>
        <w:widowControl/>
        <w:rPr>
          <w:color w:val="auto"/>
          <w:highlight w:val="none"/>
        </w:rPr>
      </w:pPr>
      <w:r>
        <w:rPr>
          <w:rFonts w:hint="eastAsia"/>
          <w:color w:val="auto"/>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widowControl/>
        <w:rPr>
          <w:rFonts w:ascii="宋体" w:hAnsi="宋体" w:cs="宋体"/>
          <w:b/>
          <w:color w:val="auto"/>
          <w:szCs w:val="21"/>
          <w:highlight w:val="none"/>
          <w:lang w:val="zh-CN"/>
        </w:rPr>
      </w:pPr>
      <w:r>
        <w:rPr>
          <w:rFonts w:ascii="宋体" w:hAnsi="宋体" w:cs="宋体"/>
          <w:b/>
          <w:color w:val="auto"/>
          <w:szCs w:val="21"/>
          <w:highlight w:val="none"/>
          <w:lang w:val="zh-CN"/>
        </w:rPr>
      </w:r>
      <w:r/>
    </w:p>
    <w:p>
      <w:pPr>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clear="all"/>
      </w:r>
      <w:r/>
    </w:p>
    <w:p>
      <w:pPr>
        <w:jc w:val="left"/>
        <w:spacing w:line="360" w:lineRule="auto"/>
        <w:widowControl/>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目录</w:t>
      </w:r>
      <w:r>
        <w:rPr>
          <w:rFonts w:hint="eastAsia" w:ascii="宋体" w:hAnsi="宋体" w:cs="宋体"/>
          <w:b/>
          <w:color w:val="auto"/>
          <w:szCs w:val="21"/>
          <w:highlight w:val="none"/>
        </w:rPr>
        <w:t xml:space="preserve">五</w:t>
      </w:r>
      <w:r>
        <w:rPr>
          <w:rFonts w:hint="eastAsia" w:ascii="宋体" w:hAnsi="宋体" w:cs="宋体"/>
          <w:b/>
          <w:color w:val="auto"/>
          <w:szCs w:val="21"/>
          <w:highlight w:val="none"/>
          <w:lang w:val="zh-CN"/>
        </w:rPr>
        <w:t xml:space="preserve">、技术条款偏离表格式</w:t>
      </w:r>
      <w:r/>
    </w:p>
    <w:p>
      <w:pPr>
        <w:ind w:left="420"/>
        <w:jc w:val="center"/>
        <w:spacing w:line="360" w:lineRule="auto"/>
        <w:widowControl/>
        <w:rPr>
          <w:rFonts w:ascii="宋体" w:hAnsi="宋体" w:cs="宋体"/>
          <w:color w:val="auto"/>
          <w:sz w:val="36"/>
          <w:szCs w:val="36"/>
          <w:highlight w:val="none"/>
          <w:lang w:val="zh-CN"/>
        </w:rPr>
        <w:outlineLvl w:val="0"/>
      </w:pPr>
      <w:r>
        <w:rPr>
          <w:rFonts w:hint="eastAsia" w:ascii="宋体" w:hAnsi="宋体" w:cs="宋体"/>
          <w:color w:val="auto"/>
          <w:sz w:val="36"/>
          <w:szCs w:val="36"/>
          <w:highlight w:val="none"/>
          <w:lang w:val="zh-CN"/>
        </w:rPr>
        <w:t xml:space="preserve">技术条款偏离表</w:t>
      </w:r>
      <w:r/>
    </w:p>
    <w:tbl>
      <w:tblPr>
        <w:tblStyle w:val="847"/>
        <w:tblW w:w="9435" w:type="dxa"/>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152"/>
        <w:gridCol w:w="1787"/>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val="false"/>
          </w:tcPr>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val="false"/>
          </w:tcPr>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招标文件要求的</w:t>
            </w:r>
            <w:r>
              <w:rPr>
                <w:rFonts w:hint="eastAsia" w:ascii="宋体" w:hAnsi="宋体" w:cs="宋体"/>
                <w:color w:val="auto"/>
                <w:szCs w:val="21"/>
                <w:highlight w:val="none"/>
              </w:rPr>
              <w:t xml:space="preserve">技术</w:t>
            </w:r>
            <w:r>
              <w:rPr>
                <w:rFonts w:hint="eastAsia" w:ascii="宋体" w:hAnsi="宋体" w:cs="宋体"/>
                <w:color w:val="auto"/>
                <w:szCs w:val="21"/>
                <w:highlight w:val="none"/>
                <w:lang w:val="zh-CN"/>
              </w:rPr>
              <w:t xml:space="preserve">条款</w:t>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投标响应</w:t>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bl>
    <w:p>
      <w:pPr>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供应商名称：（加盖CA电子公章）</w:t>
      </w:r>
      <w:r/>
    </w:p>
    <w:p>
      <w:pPr>
        <w:jc w:val="left"/>
        <w:spacing w:line="440" w:lineRule="exact"/>
        <w:widowControl/>
        <w:rPr>
          <w:rFonts w:cs="宋体"/>
          <w:color w:val="auto"/>
          <w:szCs w:val="21"/>
          <w:highlight w:val="none"/>
        </w:rPr>
      </w:pPr>
      <w:r>
        <w:rPr>
          <w:rFonts w:hint="eastAsia" w:cs="宋体"/>
          <w:color w:val="auto"/>
          <w:szCs w:val="21"/>
          <w:highlight w:val="none"/>
        </w:rPr>
        <w:t xml:space="preserve">1、如果行数不够，请自行增加。</w:t>
      </w:r>
      <w:r/>
    </w:p>
    <w:p>
      <w:pPr>
        <w:jc w:val="left"/>
        <w:spacing w:line="440" w:lineRule="exact"/>
        <w:widowControl/>
        <w:rPr>
          <w:rFonts w:cs="宋体"/>
          <w:color w:val="auto"/>
          <w:szCs w:val="21"/>
          <w:highlight w:val="none"/>
        </w:rPr>
      </w:pPr>
      <w:r>
        <w:rPr>
          <w:rFonts w:hint="eastAsia" w:cs="宋体"/>
          <w:color w:val="auto"/>
          <w:szCs w:val="21"/>
          <w:highlight w:val="none"/>
        </w:rPr>
        <w:t xml:space="preserve">2、供应商需在上表中对采购文件第四章“（第一部分：技术部分要求）”相关要求进行响应。</w:t>
      </w:r>
      <w:r/>
    </w:p>
    <w:p>
      <w:pPr>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360" w:lineRule="auto"/>
        <w:widowControl/>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目录</w:t>
      </w:r>
      <w:r>
        <w:rPr>
          <w:rFonts w:hint="eastAsia" w:ascii="宋体" w:hAnsi="宋体" w:cs="宋体"/>
          <w:b/>
          <w:color w:val="auto"/>
          <w:szCs w:val="21"/>
          <w:highlight w:val="none"/>
        </w:rPr>
        <w:t xml:space="preserve">六</w:t>
      </w:r>
      <w:r>
        <w:rPr>
          <w:rFonts w:hint="eastAsia" w:ascii="宋体" w:hAnsi="宋体" w:cs="宋体"/>
          <w:b/>
          <w:color w:val="auto"/>
          <w:szCs w:val="21"/>
          <w:highlight w:val="none"/>
          <w:lang w:val="zh-CN"/>
        </w:rPr>
        <w:t xml:space="preserve">、商务条款偏离表格式</w:t>
      </w:r>
      <w:r/>
    </w:p>
    <w:p>
      <w:pPr>
        <w:ind w:left="420"/>
        <w:jc w:val="center"/>
        <w:spacing w:line="360" w:lineRule="auto"/>
        <w:widowControl/>
        <w:rPr>
          <w:rFonts w:ascii="宋体" w:hAnsi="宋体" w:cs="宋体"/>
          <w:color w:val="auto"/>
          <w:sz w:val="36"/>
          <w:szCs w:val="36"/>
          <w:highlight w:val="none"/>
          <w:lang w:val="zh-CN"/>
        </w:rPr>
        <w:outlineLvl w:val="0"/>
      </w:pPr>
      <w:r>
        <w:rPr>
          <w:rFonts w:hint="eastAsia" w:ascii="宋体" w:hAnsi="宋体" w:cs="宋体"/>
          <w:color w:val="auto"/>
          <w:sz w:val="36"/>
          <w:szCs w:val="36"/>
          <w:highlight w:val="none"/>
          <w:lang w:val="zh-CN"/>
        </w:rPr>
        <w:t xml:space="preserve">商务条款偏离表</w:t>
      </w:r>
      <w:r/>
    </w:p>
    <w:tbl>
      <w:tblPr>
        <w:tblStyle w:val="847"/>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153"/>
        <w:gridCol w:w="1677"/>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162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招标文件条目号</w:t>
            </w:r>
            <w:r/>
          </w:p>
        </w:tc>
        <w:tc>
          <w:tcPr>
            <w:tcW w:w="270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招标文件要求的商务条款</w:t>
            </w:r>
            <w:r/>
          </w:p>
        </w:tc>
        <w:tc>
          <w:tcPr>
            <w:gridSpan w:val="2"/>
            <w:tcW w:w="2568"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投标响应</w:t>
            </w:r>
            <w:r/>
          </w:p>
        </w:tc>
        <w:tc>
          <w:tcPr>
            <w:tcW w:w="1677"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W w:w="2568"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67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W w:w="2568"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67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W w:w="2568"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67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W w:w="2568"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67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W w:w="2568"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67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W w:w="2568"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67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W w:w="651" w:type="dxa"/>
            <w:vAlign w:val="center"/>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W w:w="2700" w:type="dxa"/>
            <w:vAlign w:val="center"/>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gridSpan w:val="2"/>
            <w:tcW w:w="2568" w:type="dxa"/>
            <w:vAlign w:val="center"/>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W w:w="1677" w:type="dxa"/>
            <w:vAlign w:val="center"/>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bl>
    <w:p>
      <w:pPr>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供应商名称：（加盖CA电子公章）</w:t>
      </w:r>
      <w:r/>
    </w:p>
    <w:p>
      <w:pPr>
        <w:jc w:val="left"/>
        <w:spacing w:line="440" w:lineRule="exact"/>
        <w:widowControl/>
        <w:rPr>
          <w:rFonts w:cs="宋体"/>
          <w:color w:val="auto"/>
          <w:szCs w:val="21"/>
          <w:highlight w:val="none"/>
        </w:rPr>
      </w:pPr>
      <w:r>
        <w:rPr>
          <w:rFonts w:hint="eastAsia" w:cs="宋体"/>
          <w:color w:val="auto"/>
          <w:szCs w:val="21"/>
          <w:highlight w:val="none"/>
        </w:rPr>
        <w:t xml:space="preserve">1、如果行数不够，请自行增加。</w:t>
      </w:r>
      <w:r/>
    </w:p>
    <w:p>
      <w:pPr>
        <w:jc w:val="left"/>
        <w:spacing w:line="440" w:lineRule="exact"/>
        <w:widowControl/>
        <w:rPr>
          <w:rFonts w:cs="宋体"/>
          <w:color w:val="auto"/>
          <w:szCs w:val="21"/>
          <w:highlight w:val="none"/>
        </w:rPr>
      </w:pPr>
      <w:r>
        <w:rPr>
          <w:rFonts w:hint="eastAsia" w:cs="宋体"/>
          <w:color w:val="auto"/>
          <w:szCs w:val="21"/>
          <w:highlight w:val="none"/>
        </w:rPr>
        <w:t xml:space="preserve">2、供应商需在上表中对采购文件第四章“（第二部分：商务部分要求）”相关要求进行响应。</w:t>
      </w:r>
      <w:r/>
    </w:p>
    <w:p>
      <w:pPr>
        <w:jc w:val="left"/>
        <w:spacing w:line="240" w:lineRule="atLeast"/>
        <w:widowControl/>
        <w:rPr>
          <w:rFonts w:ascii="宋体" w:hAnsi="宋体" w:cs="宋体"/>
          <w:color w:val="auto"/>
          <w:szCs w:val="21"/>
          <w:highlight w:val="none"/>
          <w:lang w:val="zh-CN"/>
        </w:rPr>
      </w:pPr>
      <w:r>
        <w:rPr>
          <w:rFonts w:ascii="宋体" w:hAnsi="宋体" w:cs="宋体"/>
          <w:color w:val="auto"/>
          <w:szCs w:val="21"/>
          <w:highlight w:val="none"/>
          <w:lang w:val="zh-CN"/>
        </w:rPr>
      </w:r>
      <w:r/>
    </w:p>
    <w:p>
      <w:pPr>
        <w:spacing w:line="240" w:lineRule="atLeast"/>
        <w:rPr>
          <w:rFonts w:ascii="宋体" w:hAnsi="宋体" w:cs="宋体"/>
          <w:b/>
          <w:color w:val="auto"/>
          <w:highlight w:val="none"/>
        </w:rPr>
      </w:pPr>
      <w:r>
        <w:rPr>
          <w:rFonts w:ascii="宋体" w:hAnsi="宋体" w:cs="宋体"/>
          <w:b/>
          <w:color w:val="auto"/>
          <w:highlight w:val="none"/>
        </w:rPr>
      </w:r>
      <w:r/>
    </w:p>
    <w:p>
      <w:pPr>
        <w:spacing w:line="240" w:lineRule="atLeast"/>
        <w:rPr>
          <w:rFonts w:ascii="宋体" w:hAnsi="宋体" w:cs="宋体"/>
          <w:b/>
          <w:color w:val="auto"/>
          <w:highlight w:val="none"/>
        </w:rPr>
        <w:sectPr>
          <w:footnotePr/>
          <w:endnotePr>
            <w:numFmt w:val="decimal"/>
          </w:endnotePr>
          <w:type w:val="nextPage"/>
          <w:pgSz w:w="11906" w:h="16838" w:orient="portrait"/>
          <w:pgMar w:top="850" w:right="850" w:bottom="850" w:left="1418" w:header="340" w:footer="720" w:gutter="0"/>
          <w:cols w:num="1" w:sep="0" w:space="0" w:equalWidth="1"/>
          <w:docGrid w:linePitch="360"/>
        </w:sectPr>
      </w:pPr>
      <w:r>
        <w:rPr>
          <w:rFonts w:ascii="宋体" w:hAnsi="宋体" w:cs="宋体"/>
          <w:b/>
          <w:color w:val="auto"/>
          <w:highlight w:val="none"/>
        </w:rPr>
      </w:r>
      <w:r/>
    </w:p>
    <w:p>
      <w:pPr>
        <w:spacing w:line="360" w:lineRule="auto"/>
        <w:rPr>
          <w:rFonts w:ascii="宋体" w:hAnsi="宋体" w:cs="宋体"/>
          <w:b/>
          <w:color w:val="auto"/>
          <w:highlight w:val="none"/>
        </w:rPr>
      </w:pPr>
      <w:r>
        <w:rPr>
          <w:rFonts w:hint="eastAsia" w:ascii="宋体" w:hAnsi="宋体" w:cs="宋体"/>
          <w:b/>
          <w:color w:val="auto"/>
          <w:highlight w:val="none"/>
        </w:rPr>
        <w:t xml:space="preserve">目录七、服务与承诺</w:t>
      </w:r>
      <w:r/>
    </w:p>
    <w:p>
      <w:pPr>
        <w:spacing w:line="360" w:lineRule="auto"/>
        <w:rPr>
          <w:rFonts w:ascii="宋体" w:hAnsi="宋体" w:cs="宋体"/>
          <w:b/>
          <w:color w:val="auto"/>
          <w:highlight w:val="none"/>
        </w:rPr>
      </w:pPr>
      <w:r>
        <w:rPr>
          <w:rFonts w:ascii="宋体" w:hAnsi="宋体" w:cs="宋体"/>
          <w:b/>
          <w:color w:val="auto"/>
          <w:highlight w:val="none"/>
        </w:rPr>
      </w:r>
      <w:r/>
    </w:p>
    <w:p>
      <w:pPr>
        <w:jc w:val="center"/>
        <w:spacing w:line="360" w:lineRule="auto"/>
        <w:rPr>
          <w:rFonts w:ascii="宋体" w:hAnsi="宋体" w:cs="宋体"/>
          <w:color w:val="auto"/>
          <w:sz w:val="36"/>
          <w:szCs w:val="36"/>
          <w:highlight w:val="none"/>
          <w:lang w:val="zh-CN"/>
        </w:rPr>
      </w:pPr>
      <w:r>
        <w:rPr>
          <w:rFonts w:hint="eastAsia" w:ascii="宋体" w:hAnsi="宋体" w:cs="宋体"/>
          <w:color w:val="auto"/>
          <w:sz w:val="36"/>
          <w:szCs w:val="36"/>
          <w:highlight w:val="none"/>
          <w:lang w:val="zh-CN"/>
        </w:rPr>
        <w:t xml:space="preserve">服务与承诺</w:t>
      </w:r>
      <w:r/>
    </w:p>
    <w:p>
      <w:pPr>
        <w:spacing w:line="360" w:lineRule="auto"/>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spacing w:line="360" w:lineRule="auto"/>
        <w:rPr>
          <w:rFonts w:ascii="宋体" w:hAnsi="宋体" w:cs="宋体"/>
          <w:b/>
          <w:color w:val="auto"/>
          <w:highlight w:val="none"/>
        </w:rPr>
      </w:pPr>
      <w:r>
        <w:rPr>
          <w:rFonts w:hint="eastAsia" w:ascii="宋体" w:hAnsi="宋体" w:cs="宋体"/>
          <w:b/>
          <w:color w:val="auto"/>
          <w:highlight w:val="none"/>
        </w:rPr>
        <w:t xml:space="preserve">目录八、</w:t>
      </w:r>
      <w:r>
        <w:rPr>
          <w:rFonts w:ascii="宋体" w:hAnsi="宋体" w:cs="宋体"/>
          <w:b/>
          <w:color w:val="auto"/>
          <w:highlight w:val="none"/>
        </w:rPr>
        <w:t xml:space="preserve">投标人类似业绩情况表</w:t>
      </w:r>
      <w:r/>
    </w:p>
    <w:p>
      <w:pPr>
        <w:jc w:val="center"/>
        <w:spacing w:line="360" w:lineRule="auto"/>
        <w:rPr>
          <w:rFonts w:ascii="宋体" w:hAnsi="宋体" w:cs="宋体"/>
          <w:color w:val="auto"/>
          <w:sz w:val="36"/>
          <w:szCs w:val="36"/>
          <w:highlight w:val="none"/>
          <w:lang w:val="zh-CN"/>
        </w:rPr>
      </w:pPr>
      <w:r>
        <w:rPr>
          <w:rFonts w:hint="eastAsia" w:ascii="宋体" w:hAnsi="宋体" w:cs="宋体"/>
          <w:color w:val="auto"/>
          <w:sz w:val="36"/>
          <w:szCs w:val="36"/>
          <w:highlight w:val="none"/>
          <w:lang w:val="zh-CN"/>
        </w:rPr>
        <w:t xml:space="preserve">投标人类似业绩情况表</w:t>
      </w:r>
      <w:r/>
    </w:p>
    <w:p>
      <w:pPr>
        <w:pStyle w:val="840"/>
        <w:spacing w:line="360" w:lineRule="auto"/>
        <w:rPr>
          <w:color w:val="auto"/>
          <w:highlight w:val="none"/>
        </w:rPr>
      </w:pPr>
      <w:r>
        <w:rPr>
          <w:color w:val="auto"/>
          <w:highlight w:val="none"/>
        </w:rPr>
      </w:r>
      <w:r/>
    </w:p>
    <w:tbl>
      <w:tblPr>
        <w:tblStyle w:val="84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84"/>
        <w:gridCol w:w="1447"/>
        <w:gridCol w:w="1846"/>
        <w:gridCol w:w="1450"/>
        <w:gridCol w:w="379"/>
        <w:gridCol w:w="1267"/>
        <w:gridCol w:w="2093"/>
        <w:gridCol w:w="572"/>
      </w:tblGrid>
      <w:tr>
        <w:trPr>
          <w:jc w:val="center"/>
          <w:trHeight w:val="339"/>
          <w:tblHeader/>
        </w:trPr>
        <w:tc>
          <w:tcPr>
            <w:gridSpan w:val="5"/>
            <w:tcBorders>
              <w:top w:val="none" w:color="000000" w:sz="4" w:space="0"/>
              <w:left w:val="none" w:color="000000" w:sz="4" w:space="0"/>
              <w:right w:val="none" w:color="000000" w:sz="4" w:space="0"/>
            </w:tcBorders>
            <w:tcW w:w="6395" w:type="dxa"/>
            <w:vAlign w:val="center"/>
            <w:textDirection w:val="lrTb"/>
            <w:noWrap w:val="false"/>
          </w:tcPr>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p>
        </w:tc>
        <w:tc>
          <w:tcPr>
            <w:tcBorders>
              <w:top w:val="none" w:color="000000" w:sz="4" w:space="0"/>
              <w:left w:val="none" w:color="000000" w:sz="4" w:space="0"/>
              <w:right w:val="none" w:color="000000" w:sz="4" w:space="0"/>
            </w:tcBorders>
            <w:tcW w:w="1421" w:type="dxa"/>
            <w:vAlign w:val="center"/>
            <w:textDirection w:val="lrTb"/>
            <w:noWrap w:val="false"/>
          </w:tcPr>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项目编号：</w:t>
            </w:r>
            <w:r/>
          </w:p>
        </w:tc>
        <w:tc>
          <w:tcPr>
            <w:tcBorders>
              <w:top w:val="none" w:color="000000" w:sz="4" w:space="0"/>
              <w:left w:val="none" w:color="000000" w:sz="4" w:space="0"/>
              <w:right w:val="none" w:color="000000" w:sz="4" w:space="0"/>
            </w:tcBorders>
            <w:tcW w:w="2348" w:type="dxa"/>
            <w:textDirection w:val="lrTb"/>
            <w:noWrap w:val="false"/>
          </w:tcPr>
          <w:p>
            <w:pPr>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none" w:color="000000" w:sz="4" w:space="0"/>
              <w:left w:val="none" w:color="000000" w:sz="4" w:space="0"/>
              <w:right w:val="none" w:color="000000" w:sz="4" w:space="0"/>
            </w:tcBorders>
            <w:tcW w:w="639" w:type="dxa"/>
            <w:textDirection w:val="lrTb"/>
            <w:noWrap w:val="false"/>
          </w:tcPr>
          <w:p>
            <w:pPr>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339"/>
        </w:trPr>
        <w:tc>
          <w:tcPr>
            <w:tcW w:w="652"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1622"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p>
        </w:tc>
        <w:tc>
          <w:tcPr>
            <w:tcW w:w="207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业主方</w:t>
            </w:r>
            <w:r/>
          </w:p>
        </w:tc>
        <w:tc>
          <w:tcPr>
            <w:tcW w:w="1626"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项目规模</w:t>
            </w:r>
            <w:r/>
          </w:p>
        </w:tc>
        <w:tc>
          <w:tcPr>
            <w:gridSpan w:val="2"/>
            <w:tcW w:w="1846"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签约及服务时间</w:t>
            </w:r>
            <w:r/>
          </w:p>
        </w:tc>
        <w:tc>
          <w:tcPr>
            <w:tcW w:w="2348" w:type="dxa"/>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联系人及电话</w:t>
            </w:r>
            <w:r/>
          </w:p>
        </w:tc>
        <w:tc>
          <w:tcPr>
            <w:tcW w:w="639" w:type="dxa"/>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jc w:val="center"/>
          <w:trHeight w:val="340"/>
        </w:trPr>
        <w:tc>
          <w:tcPr>
            <w:tcW w:w="652"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622"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207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626"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W w:w="1846"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234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639"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339"/>
        </w:trPr>
        <w:tc>
          <w:tcPr>
            <w:tcW w:w="652"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622"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207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626"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W w:w="1846"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234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639"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339"/>
        </w:trPr>
        <w:tc>
          <w:tcPr>
            <w:tcW w:w="652"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622"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207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626"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W w:w="1846"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234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639"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339"/>
        </w:trPr>
        <w:tc>
          <w:tcPr>
            <w:tcW w:w="652"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622"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207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626"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W w:w="1846"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234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639"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339"/>
        </w:trPr>
        <w:tc>
          <w:tcPr>
            <w:tcW w:w="652"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622"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207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626"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W w:w="1846"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234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639"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339"/>
        </w:trPr>
        <w:tc>
          <w:tcPr>
            <w:tcW w:w="652"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622"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207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626"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W w:w="1846"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234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639"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483"/>
        </w:trPr>
        <w:tc>
          <w:tcPr>
            <w:tcW w:w="652" w:type="dxa"/>
            <w:vAlign w:val="center"/>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W w:w="1622" w:type="dxa"/>
            <w:vAlign w:val="center"/>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W w:w="2070" w:type="dxa"/>
            <w:vAlign w:val="center"/>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W w:w="1626" w:type="dxa"/>
            <w:vAlign w:val="center"/>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gridSpan w:val="2"/>
            <w:tcW w:w="1846" w:type="dxa"/>
            <w:vAlign w:val="center"/>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W w:w="2348" w:type="dxa"/>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W w:w="639" w:type="dxa"/>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t xml:space="preserve">投标人名称： （</w:t>
      </w:r>
      <w:r>
        <w:rPr>
          <w:rFonts w:hint="eastAsia" w:ascii="宋体" w:hAnsi="宋体" w:cs="宋体"/>
          <w:color w:val="auto"/>
          <w:szCs w:val="21"/>
          <w:highlight w:val="none"/>
          <w:lang w:val="zh-CN"/>
        </w:rPr>
        <w:t xml:space="preserve">加盖CA电子公章</w:t>
      </w:r>
      <w:r>
        <w:rPr>
          <w:color w:val="auto"/>
          <w:highlight w:val="none"/>
        </w:rPr>
        <w:t xml:space="preserve">）</w:t>
      </w:r>
      <w:r/>
    </w:p>
    <w:p>
      <w:pPr>
        <w:spacing w:line="360" w:lineRule="auto"/>
        <w:rPr>
          <w:color w:val="auto"/>
          <w:highlight w:val="none"/>
        </w:rPr>
      </w:pPr>
      <w:r>
        <w:rPr>
          <w:color w:val="auto"/>
          <w:highlight w:val="none"/>
        </w:rPr>
        <w:t xml:space="preserve"> 日 期： 年 月 日 </w:t>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t xml:space="preserve">说明： 1、如果行、列数不够，请自行增加。</w:t>
      </w:r>
      <w:r/>
    </w:p>
    <w:p>
      <w:pPr>
        <w:ind w:firstLine="630"/>
        <w:spacing w:line="360" w:lineRule="auto"/>
        <w:rPr>
          <w:color w:val="auto"/>
          <w:highlight w:val="none"/>
        </w:rPr>
      </w:pPr>
      <w:r>
        <w:rPr>
          <w:color w:val="auto"/>
          <w:highlight w:val="none"/>
        </w:rPr>
        <w:t xml:space="preserve"> 2、请投标人根据本格式要求如实填写业绩情况表，并附业绩合同复印件</w:t>
      </w:r>
      <w:r/>
    </w:p>
    <w:p>
      <w:pPr>
        <w:spacing w:line="360" w:lineRule="auto"/>
        <w:rPr>
          <w:rFonts w:ascii="宋体" w:hAnsi="宋体" w:cs="宋体"/>
          <w:b/>
          <w:color w:val="auto"/>
          <w:highlight w:val="none"/>
        </w:rPr>
      </w:pPr>
      <w:r>
        <w:rPr>
          <w:rFonts w:ascii="宋体" w:hAnsi="宋体" w:cs="宋体"/>
          <w:b/>
          <w:color w:val="auto"/>
          <w:highlight w:val="none"/>
        </w:rPr>
      </w:r>
      <w:r/>
    </w:p>
    <w:p>
      <w:pPr>
        <w:spacing w:line="360" w:lineRule="auto"/>
        <w:rPr>
          <w:rFonts w:ascii="宋体" w:hAnsi="宋体" w:cs="宋体"/>
          <w:b/>
          <w:color w:val="auto"/>
          <w:highlight w:val="none"/>
        </w:rPr>
      </w:pPr>
      <w:r>
        <w:rPr>
          <w:rFonts w:ascii="宋体" w:hAnsi="宋体" w:cs="宋体"/>
          <w:b/>
          <w:color w:val="auto"/>
          <w:highlight w:val="none"/>
        </w:rPr>
      </w:r>
      <w:r/>
    </w:p>
    <w:p>
      <w:pPr>
        <w:spacing w:line="360" w:lineRule="auto"/>
        <w:rPr>
          <w:rFonts w:ascii="宋体" w:hAnsi="宋体" w:cs="宋体"/>
          <w:b/>
          <w:color w:val="auto"/>
          <w:highlight w:val="none"/>
        </w:rPr>
      </w:pPr>
      <w:r>
        <w:rPr>
          <w:rFonts w:hint="eastAsia" w:ascii="宋体" w:hAnsi="宋体" w:cs="宋体"/>
          <w:b/>
          <w:color w:val="auto"/>
          <w:highlight w:val="none"/>
        </w:rPr>
        <w:t xml:space="preserve">目录九、投标需要的其他证明文件及材料</w:t>
      </w:r>
      <w:r/>
    </w:p>
    <w:p>
      <w:pPr>
        <w:jc w:val="center"/>
        <w:spacing w:line="240" w:lineRule="atLeast"/>
        <w:rPr>
          <w:rFonts w:ascii="宋体" w:hAnsi="宋体" w:cs="宋体"/>
          <w:color w:val="auto"/>
          <w:sz w:val="36"/>
          <w:szCs w:val="36"/>
          <w:highlight w:val="none"/>
          <w:lang w:val="zh-CN"/>
        </w:rPr>
      </w:pPr>
      <w:r>
        <w:rPr>
          <w:rFonts w:hint="eastAsia" w:ascii="宋体" w:hAnsi="宋体" w:cs="宋体"/>
          <w:color w:val="auto"/>
          <w:sz w:val="36"/>
          <w:szCs w:val="36"/>
          <w:highlight w:val="none"/>
          <w:lang w:val="zh-CN"/>
        </w:rPr>
        <w:t xml:space="preserve">投标需要的其他证明文件及材料（若有)</w:t>
      </w:r>
      <w:r/>
    </w:p>
    <w:p>
      <w:pPr>
        <w:spacing w:before="50" w:after="50" w:line="360" w:lineRule="auto"/>
        <w:rPr>
          <w:rFonts w:ascii="宋体" w:hAnsi="宋体" w:cs="宋体"/>
          <w:b/>
          <w:color w:val="auto"/>
          <w:highlight w:val="none"/>
        </w:rPr>
        <w:sectPr>
          <w:footnotePr/>
          <w:endnotePr>
            <w:numFmt w:val="decimal"/>
          </w:endnotePr>
          <w:type w:val="nextPage"/>
          <w:pgSz w:w="11906" w:h="16838" w:orient="portrait"/>
          <w:pgMar w:top="850" w:right="850" w:bottom="850" w:left="1418" w:header="340" w:footer="720" w:gutter="0"/>
          <w:cols w:num="1" w:sep="0" w:space="0" w:equalWidth="1"/>
          <w:docGrid w:linePitch="360"/>
        </w:sectPr>
      </w:pPr>
      <w:r>
        <w:rPr>
          <w:rFonts w:ascii="宋体" w:hAnsi="宋体" w:cs="宋体"/>
          <w:b/>
          <w:color w:val="auto"/>
          <w:highlight w:val="none"/>
        </w:rPr>
      </w:r>
      <w:r/>
    </w:p>
    <w:p>
      <w:pPr>
        <w:spacing w:line="360" w:lineRule="auto"/>
        <w:rPr>
          <w:rFonts w:ascii="宋体" w:hAnsi="宋体" w:cs="宋体"/>
          <w:b/>
          <w:color w:val="auto"/>
          <w:highlight w:val="none"/>
        </w:rPr>
      </w:pPr>
      <w:r>
        <w:rPr>
          <w:rFonts w:hint="eastAsia" w:ascii="宋体" w:hAnsi="宋体" w:cs="宋体"/>
          <w:b/>
          <w:color w:val="auto"/>
          <w:highlight w:val="none"/>
        </w:rPr>
        <w:t xml:space="preserve">附件一、中小企业声明函格式</w:t>
      </w:r>
      <w:r/>
    </w:p>
    <w:p>
      <w:pPr>
        <w:jc w:val="center"/>
        <w:rPr>
          <w:rFonts w:ascii="宋体" w:hAnsi="宋体" w:cs="宋体"/>
          <w:color w:val="auto"/>
          <w:highlight w:val="none"/>
        </w:rPr>
      </w:pPr>
      <w:r/>
      <w:bookmarkStart w:id="53" w:name="_bookmark0"/>
      <w:r/>
      <w:bookmarkEnd w:id="53"/>
      <w:r>
        <w:rPr>
          <w:rFonts w:hint="eastAsia" w:ascii="宋体" w:hAnsi="宋体" w:cs="宋体"/>
          <w:color w:val="auto"/>
          <w:sz w:val="36"/>
          <w:szCs w:val="36"/>
          <w:highlight w:val="none"/>
        </w:rPr>
        <w:t xml:space="preserve">中小企业声明函（货物）</w:t>
      </w:r>
      <w:r/>
    </w:p>
    <w:p>
      <w:pPr>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采购活动，提供的货物全部由符合政策要求的中小企业制造。相关企业（含联合体中的中小企业、签订分包意向协议的中小企业） 的具体情况如下：</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  工业 </w:t>
      </w:r>
      <w:r>
        <w:rPr>
          <w:rFonts w:hint="eastAsia" w:ascii="宋体" w:hAnsi="宋体" w:cs="宋体"/>
          <w:color w:val="auto"/>
          <w:highlight w:val="none"/>
        </w:rPr>
        <w:t xml:space="preserve">行业；制造商为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（企业名称），从业人员</w:t>
      </w:r>
      <w:r>
        <w:rPr>
          <w:rFonts w:hint="eastAsia" w:ascii="宋体" w:hAnsi="宋体" w:cs="宋体"/>
          <w:color w:val="auto"/>
          <w:highlight w:val="none"/>
          <w:u w:val="single"/>
        </w:rPr>
        <w:tab/>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ab/>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（中型企业、小型企业、微型企业）；</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  工业 </w:t>
      </w:r>
      <w:r>
        <w:rPr>
          <w:rFonts w:hint="eastAsia" w:ascii="宋体" w:hAnsi="宋体" w:cs="宋体"/>
          <w:color w:val="auto"/>
          <w:highlight w:val="none"/>
        </w:rPr>
        <w:t xml:space="preserve">行业；制造商为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（企业名称），从业人员</w:t>
      </w:r>
      <w:r>
        <w:rPr>
          <w:rFonts w:hint="eastAsia" w:ascii="宋体" w:hAnsi="宋体" w:cs="宋体"/>
          <w:color w:val="auto"/>
          <w:highlight w:val="none"/>
          <w:u w:val="single"/>
        </w:rPr>
        <w:tab/>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ab/>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（中型企业、小型企业、微型企业）；</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highlight w:val="none"/>
        </w:rPr>
      </w:pPr>
      <w:r>
        <w:rPr>
          <w:rFonts w:hint="eastAsia" w:ascii="宋体" w:hAnsi="宋体" w:cs="宋体"/>
          <w:color w:val="auto"/>
          <w:highlight w:val="none"/>
        </w:rPr>
        <w:t xml:space="preserve">                       企业名称（</w:t>
      </w:r>
      <w:r>
        <w:rPr>
          <w:rFonts w:hint="eastAsia" w:ascii="宋体" w:hAnsi="宋体" w:cs="宋体"/>
          <w:color w:val="auto"/>
          <w:szCs w:val="21"/>
          <w:highlight w:val="none"/>
        </w:rPr>
        <w:t xml:space="preserve">加盖CA电子公章</w:t>
      </w:r>
      <w:r>
        <w:rPr>
          <w:rFonts w:hint="eastAsia" w:ascii="宋体" w:hAnsi="宋体" w:cs="宋体"/>
          <w:color w:val="auto"/>
          <w:highlight w:val="none"/>
        </w:rPr>
        <w:t xml:space="preserve">）：</w:t>
      </w:r>
      <w:r/>
    </w:p>
    <w:p>
      <w:pPr>
        <w:jc w:val="center"/>
        <w:spacing w:line="360" w:lineRule="auto"/>
        <w:rPr>
          <w:rFonts w:ascii="宋体" w:hAnsi="宋体" w:cs="宋体"/>
          <w:color w:val="auto"/>
          <w:highlight w:val="none"/>
        </w:rPr>
      </w:pPr>
      <w:r>
        <w:rPr>
          <w:rFonts w:hint="eastAsia" w:ascii="宋体" w:hAnsi="宋体" w:cs="宋体"/>
          <w:color w:val="auto"/>
          <w:highlight w:val="none"/>
        </w:rPr>
        <w:t xml:space="preserve">日期：</w:t>
      </w:r>
      <w:r/>
    </w:p>
    <w:p>
      <w:pPr>
        <w:spacing w:line="240" w:lineRule="atLeast"/>
        <w:widowControl/>
        <w:rPr>
          <w:rFonts w:ascii="宋体" w:hAnsi="宋体" w:cs="宋体"/>
          <w:b/>
          <w:color w:val="auto"/>
          <w:highlight w:val="none"/>
        </w:rPr>
      </w:pPr>
      <w:r>
        <w:rPr>
          <w:rFonts w:ascii="宋体" w:hAnsi="宋体" w:cs="宋体"/>
          <w:b/>
          <w:color w:val="auto"/>
          <w:highlight w:val="none"/>
        </w:rPr>
      </w:r>
      <w:r/>
    </w:p>
    <w:p>
      <w:pPr>
        <w:jc w:val="left"/>
        <w:spacing w:line="360" w:lineRule="auto"/>
        <w:rPr>
          <w:rFonts w:ascii="宋体" w:hAnsi="宋体" w:cs="宋体"/>
          <w:b/>
          <w:bCs/>
          <w:color w:val="auto"/>
          <w:highlight w:val="none"/>
        </w:rPr>
      </w:pPr>
      <w:r>
        <w:rPr>
          <w:rFonts w:hint="eastAsia" w:ascii="宋体" w:hAnsi="宋体" w:cs="宋体"/>
          <w:b/>
          <w:bCs/>
          <w:color w:val="auto"/>
          <w:highlight w:val="none"/>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注2：从业人员、营业收入、资产总额填报上一年度数据，无上一年度数据的新成立企业可不填报。</w:t>
      </w:r>
      <w:r/>
    </w:p>
    <w:p>
      <w:pPr>
        <w:spacing w:line="240" w:lineRule="atLeast"/>
        <w:widowControl/>
        <w:rPr>
          <w:rFonts w:ascii="宋体" w:hAnsi="宋体" w:cs="宋体"/>
          <w:b/>
          <w:color w:val="auto"/>
          <w:highlight w:val="none"/>
        </w:rPr>
      </w:pPr>
      <w:r>
        <w:rPr>
          <w:rFonts w:hint="eastAsia" w:ascii="宋体" w:hAnsi="宋体" w:cs="宋体"/>
          <w:color w:val="auto"/>
          <w:highlight w:val="none"/>
        </w:rPr>
        <w:t xml:space="preserve">注3：投标人如不提供此声明函，价格将不做相应扣除。</w:t>
      </w:r>
      <w:r/>
    </w:p>
    <w:p>
      <w:pPr>
        <w:spacing w:line="360" w:lineRule="auto"/>
        <w:rPr>
          <w:rFonts w:ascii="宋体" w:hAnsi="宋体" w:cs="宋体"/>
          <w:color w:val="auto"/>
          <w:highlight w:val="none"/>
        </w:rPr>
      </w:pPr>
      <w:r>
        <w:rPr>
          <w:rFonts w:hint="eastAsia" w:ascii="宋体" w:hAnsi="宋体" w:cs="宋体"/>
          <w:color w:val="auto"/>
          <w:highlight w:val="none"/>
        </w:rPr>
        <w:t xml:space="preserve">注4：依据《关于印发中小企业划型标准规定的通知》（工信部联企业〔2011〕300号）：</w:t>
      </w:r>
      <w:r/>
    </w:p>
    <w:p>
      <w:pPr>
        <w:spacing w:line="240" w:lineRule="atLeast"/>
        <w:widowControl/>
        <w:rPr>
          <w:rFonts w:ascii="宋体" w:hAnsi="宋体" w:cs="宋体"/>
          <w:b/>
          <w:color w:val="auto"/>
          <w:highlight w:val="none"/>
        </w:rPr>
      </w:pPr>
      <w:r>
        <w:rPr>
          <w:rFonts w:hint="eastAsia" w:ascii="宋体" w:hAnsi="宋体" w:cs="宋体"/>
          <w:color w:val="auto"/>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r/>
    </w:p>
    <w:p>
      <w:pPr>
        <w:spacing w:line="240" w:lineRule="atLeast"/>
        <w:widowControl/>
        <w:rPr>
          <w:rFonts w:ascii="宋体" w:hAnsi="宋体" w:cs="宋体"/>
          <w:b/>
          <w:color w:val="auto"/>
          <w:highlight w:val="none"/>
        </w:rPr>
      </w:pPr>
      <w:r>
        <w:rPr>
          <w:rFonts w:ascii="宋体" w:hAnsi="宋体" w:cs="宋体"/>
          <w:b/>
          <w:color w:val="auto"/>
          <w:highlight w:val="none"/>
        </w:rPr>
      </w:r>
      <w:r/>
    </w:p>
    <w:p>
      <w:pPr>
        <w:spacing w:line="240" w:lineRule="atLeast"/>
        <w:widowControl/>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hint="eastAsia" w:ascii="宋体" w:hAnsi="宋体" w:cs="宋体"/>
          <w:b/>
          <w:color w:val="auto"/>
          <w:highlight w:val="none"/>
        </w:rPr>
        <w:br w:type="page" w:clear="all"/>
      </w:r>
      <w:r/>
    </w:p>
    <w:p>
      <w:pPr>
        <w:spacing w:line="240" w:lineRule="atLeast"/>
        <w:widowControl/>
        <w:rPr>
          <w:rFonts w:ascii="宋体" w:hAnsi="宋体" w:cs="宋体"/>
          <w:b/>
          <w:color w:val="auto"/>
          <w:highlight w:val="none"/>
        </w:rPr>
      </w:pPr>
      <w:r>
        <w:rPr>
          <w:rFonts w:hint="eastAsia" w:ascii="宋体" w:hAnsi="宋体" w:cs="宋体"/>
          <w:b/>
          <w:color w:val="auto"/>
          <w:highlight w:val="none"/>
        </w:rPr>
        <w:t xml:space="preserve">附件二、关于符合本国产品标准的声明函格式</w:t>
      </w:r>
      <w:r/>
    </w:p>
    <w:p>
      <w:pPr>
        <w:spacing w:line="240" w:lineRule="atLeast"/>
        <w:widowControl/>
        <w:rPr>
          <w:rFonts w:ascii="宋体" w:hAnsi="宋体" w:cs="宋体"/>
          <w:b/>
          <w:color w:val="auto"/>
          <w:highlight w:val="none"/>
        </w:rPr>
      </w:pPr>
      <w:r>
        <w:rPr>
          <w:rFonts w:ascii="宋体" w:hAnsi="宋体" w:cs="宋体"/>
          <w:b/>
          <w:color w:val="auto"/>
          <w:highlight w:val="none"/>
        </w:rPr>
      </w:r>
      <w:r/>
    </w:p>
    <w:p>
      <w:pPr>
        <w:jc w:val="center"/>
        <w:rPr>
          <w:rFonts w:ascii="宋体" w:hAnsi="宋体" w:cs="宋体"/>
          <w:color w:val="auto"/>
          <w:sz w:val="36"/>
          <w:szCs w:val="36"/>
          <w:highlight w:val="none"/>
        </w:rPr>
      </w:pPr>
      <w:r>
        <w:rPr>
          <w:rFonts w:hint="eastAsia" w:ascii="宋体" w:hAnsi="宋体" w:cs="宋体"/>
          <w:color w:val="auto"/>
          <w:sz w:val="36"/>
          <w:szCs w:val="36"/>
          <w:highlight w:val="none"/>
        </w:rPr>
        <w:t xml:space="preserve">关于符合本国产品标准的声明函</w:t>
      </w:r>
      <w:r/>
    </w:p>
    <w:p>
      <w:pPr>
        <w:jc w:val="center"/>
        <w:rPr>
          <w:rFonts w:ascii="宋体" w:hAnsi="宋体" w:cs="宋体"/>
          <w:color w:val="auto"/>
          <w:sz w:val="36"/>
          <w:szCs w:val="36"/>
          <w:highlight w:val="none"/>
        </w:rPr>
      </w:pPr>
      <w:r>
        <w:rPr>
          <w:rFonts w:ascii="宋体" w:hAnsi="宋体" w:cs="宋体"/>
          <w:color w:val="auto"/>
          <w:sz w:val="36"/>
          <w:szCs w:val="36"/>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（产品名称1），生产厂为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（厂名），厂址为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（生产厂址）。</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（产品名称1）的中国境内生产的组件成本占比≥</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（规定比例）。</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（产品名称1）的</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（关键组件）在中国境内生产。</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（产品名称1）的</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（关键工序）在中国境内完成。</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（产品名称2），生产厂为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（厂名），厂址为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（生产厂址）。</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（产品名称2）的中国境内生产的组件成本占比≥</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（规定比例）。</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（产品名称2）的</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（关键组件）在中国境内生产。</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（产品名称2）的</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（关键工序）在中国境内完成。</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本公司（单位）对上述声明内容的真实性负责。如有虚假，愿承担相应法律责任。</w:t>
      </w:r>
      <w:r/>
    </w:p>
    <w:p>
      <w:pPr>
        <w:ind w:firstLine="420"/>
        <w:spacing w:line="360" w:lineRule="auto"/>
        <w:rPr>
          <w:rFonts w:ascii="宋体" w:hAnsi="宋体" w:cs="宋体"/>
          <w:color w:val="auto"/>
          <w:highlight w:val="none"/>
        </w:rPr>
      </w:pPr>
      <w:r>
        <w:rPr>
          <w:rFonts w:ascii="宋体" w:hAnsi="宋体" w:cs="宋体"/>
          <w:color w:val="auto"/>
          <w:highlight w:val="none"/>
        </w:rPr>
      </w:r>
      <w:r/>
    </w:p>
    <w:p>
      <w:pPr>
        <w:jc w:val="right"/>
        <w:spacing w:line="360" w:lineRule="auto"/>
        <w:rPr>
          <w:rFonts w:ascii="宋体" w:hAnsi="宋体" w:cs="宋体"/>
          <w:color w:val="auto"/>
          <w:highlight w:val="none"/>
        </w:rPr>
      </w:pPr>
      <w:r>
        <w:rPr>
          <w:rFonts w:hint="eastAsia" w:ascii="宋体" w:hAnsi="宋体" w:cs="宋体"/>
          <w:color w:val="auto"/>
          <w:highlight w:val="none"/>
        </w:rPr>
        <w:t xml:space="preserve">         公司（单位）名称（</w:t>
      </w:r>
      <w:r>
        <w:rPr>
          <w:rFonts w:hint="eastAsia" w:ascii="宋体" w:hAnsi="宋体" w:cs="宋体"/>
          <w:color w:val="auto"/>
          <w:szCs w:val="21"/>
          <w:highlight w:val="none"/>
        </w:rPr>
        <w:t xml:space="preserve">加盖CA电子公章</w:t>
      </w:r>
      <w:r>
        <w:rPr>
          <w:rFonts w:hint="eastAsia" w:ascii="宋体" w:hAnsi="宋体" w:cs="宋体"/>
          <w:color w:val="auto"/>
          <w:highlight w:val="none"/>
        </w:rPr>
        <w:t xml:space="preserve">）：                    </w:t>
      </w:r>
      <w:r/>
    </w:p>
    <w:p>
      <w:pPr>
        <w:ind w:firstLine="420"/>
        <w:jc w:val="right"/>
        <w:spacing w:line="360" w:lineRule="auto"/>
        <w:rPr>
          <w:rFonts w:ascii="宋体" w:hAnsi="宋体" w:cs="宋体"/>
          <w:b/>
          <w:color w:val="auto"/>
          <w:highlight w:val="none"/>
        </w:rPr>
      </w:pPr>
      <w:r>
        <w:rPr>
          <w:rFonts w:hint="eastAsia" w:ascii="宋体" w:hAnsi="宋体" w:cs="宋体"/>
          <w:color w:val="auto"/>
          <w:highlight w:val="none"/>
        </w:rPr>
        <w:t xml:space="preserve">日期：　   年　  月　  日                               </w:t>
      </w:r>
      <w:r/>
    </w:p>
    <w:p>
      <w:pPr>
        <w:rPr>
          <w:rFonts w:ascii="宋体" w:hAnsi="宋体" w:cs="宋体"/>
          <w:b/>
          <w:color w:val="auto"/>
          <w:highlight w:val="none"/>
        </w:rPr>
      </w:pPr>
      <w:r>
        <w:rPr>
          <w:rFonts w:hint="eastAsia" w:ascii="宋体" w:hAnsi="宋体" w:cs="宋体"/>
          <w:b/>
          <w:color w:val="auto"/>
          <w:highlight w:val="none"/>
        </w:rPr>
        <w:t xml:space="preserve">注：</w:t>
      </w:r>
      <w:r/>
    </w:p>
    <w:p>
      <w:pPr>
        <w:rPr>
          <w:rFonts w:ascii="宋体" w:hAnsi="宋体" w:cs="宋体"/>
          <w:bCs/>
          <w:color w:val="auto"/>
          <w:highlight w:val="none"/>
        </w:rPr>
      </w:pPr>
      <w:r>
        <w:rPr>
          <w:rFonts w:hint="eastAsia" w:ascii="宋体" w:hAnsi="宋体" w:cs="宋体"/>
          <w:bCs/>
          <w:color w:val="auto"/>
          <w:highlight w:val="none"/>
        </w:rPr>
        <w:t xml:space="preserve">1.产品如有型号，请在“产品名称”栏一并填写。</w:t>
      </w:r>
      <w:r/>
    </w:p>
    <w:p>
      <w:pPr>
        <w:rPr>
          <w:rFonts w:ascii="宋体" w:hAnsi="宋体" w:cs="宋体"/>
          <w:bCs/>
          <w:color w:val="auto"/>
          <w:highlight w:val="none"/>
        </w:rPr>
      </w:pPr>
      <w:r>
        <w:rPr>
          <w:rFonts w:hint="eastAsia" w:ascii="宋体" w:hAnsi="宋体" w:cs="宋体"/>
          <w:bCs/>
          <w:color w:val="auto"/>
          <w:highlight w:val="none"/>
        </w:rPr>
        <w:t xml:space="preserve">2.生产厂名与厂址应与生产厂营业执照载明的相关信息保持一致。</w:t>
      </w:r>
      <w:r/>
    </w:p>
    <w:p>
      <w:pPr>
        <w:rPr>
          <w:rFonts w:ascii="宋体" w:hAnsi="宋体" w:cs="宋体"/>
          <w:bCs/>
          <w:color w:val="auto"/>
          <w:highlight w:val="none"/>
        </w:rPr>
      </w:pPr>
      <w:r>
        <w:rPr>
          <w:rFonts w:hint="eastAsia" w:ascii="宋体" w:hAnsi="宋体" w:cs="宋体"/>
          <w:bCs/>
          <w:color w:val="auto"/>
          <w:highlight w:val="none"/>
        </w:rPr>
        <w:t xml:space="preserve">3.该产品的中国境内生产的组件成本占比相关要求实施前，“规定比例”栏可不填，下同。</w:t>
      </w:r>
      <w:r/>
    </w:p>
    <w:p>
      <w:pPr>
        <w:rPr>
          <w:rFonts w:ascii="宋体" w:hAnsi="宋体" w:cs="宋体"/>
          <w:bCs/>
          <w:color w:val="auto"/>
          <w:highlight w:val="none"/>
        </w:rPr>
      </w:pPr>
      <w:r>
        <w:rPr>
          <w:rFonts w:hint="eastAsia" w:ascii="宋体" w:hAnsi="宋体" w:cs="宋体"/>
          <w:bCs/>
          <w:color w:val="auto"/>
          <w:highlight w:val="none"/>
        </w:rPr>
        <w:t xml:space="preserve">4.该产品的关键组件要求实施前，“关键组件”栏可不填，下同。</w:t>
      </w:r>
      <w:r/>
    </w:p>
    <w:p>
      <w:pPr>
        <w:rPr>
          <w:rFonts w:ascii="宋体" w:hAnsi="宋体" w:cs="宋体"/>
          <w:bCs/>
          <w:color w:val="auto"/>
          <w:highlight w:val="none"/>
        </w:rPr>
      </w:pPr>
      <w:r>
        <w:rPr>
          <w:rFonts w:hint="eastAsia" w:ascii="宋体" w:hAnsi="宋体" w:cs="宋体"/>
          <w:bCs/>
          <w:color w:val="auto"/>
          <w:highlight w:val="none"/>
        </w:rPr>
        <w:t xml:space="preserve">5.该产品的关键工序要求实施前，“关键工序”栏可不填，下同。</w:t>
      </w:r>
      <w:r/>
    </w:p>
    <w:p>
      <w:pPr>
        <w:rPr>
          <w:rFonts w:ascii="宋体" w:hAnsi="宋体" w:cs="宋体"/>
          <w:bCs/>
          <w:color w:val="auto"/>
          <w:highlight w:val="none"/>
        </w:rPr>
      </w:pPr>
      <w:r>
        <w:rPr>
          <w:rFonts w:hint="eastAsia" w:ascii="宋体" w:hAnsi="宋体" w:cs="宋体"/>
          <w:bCs/>
          <w:color w:val="auto"/>
          <w:highlight w:val="none"/>
        </w:rPr>
        <w:t xml:space="preserve">6.用斜线划除的地方无需填写。</w:t>
      </w:r>
      <w:r>
        <w:rPr>
          <w:rFonts w:hint="eastAsia" w:ascii="宋体" w:hAnsi="宋体" w:cs="宋体"/>
          <w:bCs/>
          <w:color w:val="auto"/>
          <w:highlight w:val="none"/>
        </w:rPr>
        <w:br w:type="page" w:clear="all"/>
      </w:r>
      <w:r/>
    </w:p>
    <w:p>
      <w:pPr>
        <w:spacing w:line="240" w:lineRule="atLeast"/>
        <w:widowControl/>
        <w:rPr>
          <w:rFonts w:ascii="宋体" w:hAnsi="宋体" w:cs="宋体"/>
          <w:b/>
          <w:color w:val="auto"/>
          <w:highlight w:val="none"/>
        </w:rPr>
      </w:pPr>
      <w:r>
        <w:rPr>
          <w:rFonts w:hint="eastAsia" w:ascii="宋体" w:hAnsi="宋体" w:cs="宋体"/>
          <w:b/>
          <w:color w:val="auto"/>
          <w:highlight w:val="none"/>
        </w:rPr>
        <w:t xml:space="preserve">附件三、无重大违法记录声明格式</w:t>
      </w:r>
      <w:r/>
    </w:p>
    <w:p>
      <w:pPr>
        <w:spacing w:line="240" w:lineRule="atLeast"/>
        <w:widowControl/>
        <w:rPr>
          <w:rFonts w:ascii="宋体" w:hAnsi="宋体" w:cs="宋体"/>
          <w:b/>
          <w:color w:val="auto"/>
          <w:highlight w:val="none"/>
        </w:rPr>
      </w:pPr>
      <w:r>
        <w:rPr>
          <w:rFonts w:ascii="宋体" w:hAnsi="宋体" w:cs="宋体"/>
          <w:b/>
          <w:color w:val="auto"/>
          <w:highlight w:val="none"/>
        </w:rPr>
      </w:r>
      <w:r/>
    </w:p>
    <w:p>
      <w:pPr>
        <w:jc w:val="center"/>
        <w:rPr>
          <w:rFonts w:ascii="宋体" w:hAnsi="宋体" w:cs="宋体"/>
          <w:color w:val="auto"/>
          <w:sz w:val="36"/>
          <w:szCs w:val="36"/>
          <w:highlight w:val="none"/>
        </w:rPr>
      </w:pPr>
      <w:r/>
      <w:bookmarkStart w:id="54" w:name="_Hlk179355627"/>
      <w:r>
        <w:rPr>
          <w:rFonts w:hint="eastAsia" w:ascii="宋体" w:hAnsi="宋体" w:cs="宋体"/>
          <w:color w:val="auto"/>
          <w:sz w:val="36"/>
          <w:szCs w:val="36"/>
          <w:highlight w:val="none"/>
        </w:rPr>
        <w:t xml:space="preserve">无重大违法记录声明</w:t>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hint="eastAsia" w:ascii="宋体" w:hAnsi="宋体" w:cs="宋体"/>
          <w:color w:val="auto"/>
          <w:highlight w:val="none"/>
        </w:rPr>
        <w:t xml:space="preserve">南京医科大学：</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我单位（供应商名称）郑重声明：</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参加政府采购活动前3年内在经营活动中______（在下划线上如实填写：有或没有）重大违法记录。</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ind w:firstLine="4620"/>
        <w:spacing w:line="360" w:lineRule="auto"/>
        <w:rPr>
          <w:rFonts w:ascii="宋体" w:hAnsi="宋体" w:cs="宋体"/>
          <w:color w:val="auto"/>
          <w:highlight w:val="none"/>
        </w:rPr>
      </w:pPr>
      <w:r>
        <w:rPr>
          <w:rFonts w:hint="eastAsia" w:ascii="宋体" w:hAnsi="宋体" w:cs="宋体"/>
          <w:color w:val="auto"/>
          <w:highlight w:val="none"/>
        </w:rPr>
        <w:t xml:space="preserve">声明人（</w:t>
      </w:r>
      <w:r>
        <w:rPr>
          <w:rFonts w:hint="eastAsia" w:ascii="宋体" w:hAnsi="宋体" w:cs="宋体"/>
          <w:color w:val="auto"/>
          <w:szCs w:val="21"/>
          <w:highlight w:val="none"/>
        </w:rPr>
        <w:t xml:space="preserve">加盖CA电子公章</w:t>
      </w:r>
      <w:r>
        <w:rPr>
          <w:rFonts w:hint="eastAsia" w:ascii="宋体" w:hAnsi="宋体" w:cs="宋体"/>
          <w:color w:val="auto"/>
          <w:highlight w:val="none"/>
        </w:rPr>
        <w:t xml:space="preserve">）：</w:t>
      </w:r>
      <w:r/>
    </w:p>
    <w:p>
      <w:pPr>
        <w:ind w:firstLine="4620"/>
        <w:spacing w:line="360" w:lineRule="auto"/>
        <w:rPr>
          <w:rFonts w:ascii="宋体" w:hAnsi="宋体" w:cs="宋体"/>
          <w:color w:val="auto"/>
          <w:highlight w:val="none"/>
        </w:rPr>
      </w:pPr>
      <w:r>
        <w:rPr>
          <w:rFonts w:hint="eastAsia" w:ascii="宋体" w:hAnsi="宋体" w:cs="宋体"/>
          <w:color w:val="auto"/>
          <w:highlight w:val="none"/>
        </w:rPr>
        <w:t xml:space="preserve">日　　　　期：          年     月    日</w:t>
      </w:r>
      <w:bookmarkEnd w:id="54"/>
      <w:r/>
      <w:r/>
    </w:p>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附件四、具备履行合同所必需的设备和专业技术能力的声明格式及证明材料</w:t>
      </w:r>
      <w:r/>
    </w:p>
    <w:p>
      <w:pPr>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具备履行合同所必需的设备和专业技术能力的声明</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南京医科大学：</w:t>
      </w:r>
      <w:r/>
    </w:p>
    <w:p>
      <w:pPr>
        <w:ind w:firstLine="49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我单位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（供应商名称）郑重声明：我公司具备履行本项采购合同所必需的设备和专业技术能力，为履行本项采购合同我单位具备如下主要设备和主要专业技术能力：</w:t>
      </w:r>
      <w:r/>
    </w:p>
    <w:p>
      <w:pPr>
        <w:ind w:firstLine="49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主要设备有：</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9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主要专业技术能力有：</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声明人：（加盖CA电子公章）</w:t>
      </w:r>
      <w:r/>
    </w:p>
    <w:p>
      <w:pPr>
        <w:ind w:firstLine="4410"/>
        <w:jc w:val="left"/>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日期：______年    月    日</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92"/>
        <w:spacing w:line="460" w:lineRule="exact"/>
        <w:rPr>
          <w:rFonts w:ascii="宋体" w:hAnsi="宋体" w:cs="宋体"/>
          <w:color w:val="auto"/>
          <w:szCs w:val="21"/>
          <w:highlight w:val="none"/>
          <w:lang w:val="zh-CN"/>
        </w:rPr>
      </w:pPr>
      <w:r>
        <w:rPr>
          <w:rFonts w:hint="eastAsia" w:ascii="宋体" w:hAnsi="宋体" w:cs="宋体"/>
          <w:color w:val="auto"/>
          <w:szCs w:val="21"/>
          <w:highlight w:val="none"/>
        </w:rPr>
        <w:t xml:space="preserve">其他证明材料及文件：（如果投标人认为需要提供的话）</w:t>
      </w:r>
      <w:r/>
    </w:p>
    <w:p>
      <w:pPr>
        <w:pStyle w:val="1423"/>
        <w:ind w:left="0"/>
        <w:spacing w:before="20"/>
        <w:rPr>
          <w:color w:val="auto"/>
          <w:sz w:val="21"/>
          <w:szCs w:val="21"/>
          <w:highlight w:val="none"/>
        </w:rPr>
      </w:pPr>
      <w:r>
        <w:rPr>
          <w:color w:val="auto"/>
          <w:sz w:val="21"/>
          <w:szCs w:val="21"/>
          <w:highlight w:val="none"/>
        </w:rPr>
      </w:r>
      <w:r/>
    </w:p>
    <w:p>
      <w:pPr>
        <w:pStyle w:val="1423"/>
        <w:ind w:left="0"/>
        <w:spacing w:before="20"/>
        <w:rPr>
          <w:color w:val="auto"/>
          <w:sz w:val="21"/>
          <w:szCs w:val="21"/>
          <w:highlight w:val="none"/>
        </w:rPr>
      </w:pPr>
      <w:r>
        <w:rPr>
          <w:rFonts w:hint="eastAsia"/>
          <w:color w:val="auto"/>
          <w:sz w:val="21"/>
          <w:szCs w:val="21"/>
          <w:highlight w:val="none"/>
        </w:rPr>
        <w:t xml:space="preserve">附件</w:t>
      </w:r>
      <w:r>
        <w:rPr>
          <w:rFonts w:hint="eastAsia"/>
          <w:color w:val="auto"/>
          <w:sz w:val="21"/>
          <w:szCs w:val="21"/>
          <w:highlight w:val="none"/>
          <w:lang w:val="en-US"/>
        </w:rPr>
        <w:t xml:space="preserve">五</w:t>
      </w:r>
      <w:r>
        <w:rPr>
          <w:rFonts w:hint="eastAsia"/>
          <w:color w:val="auto"/>
          <w:sz w:val="21"/>
          <w:szCs w:val="21"/>
          <w:highlight w:val="none"/>
        </w:rPr>
        <w:t xml:space="preserve">、残疾人福利性单位声明函格式</w:t>
      </w:r>
      <w:r/>
    </w:p>
    <w:p>
      <w:pPr>
        <w:pStyle w:val="858"/>
        <w:rPr>
          <w:rFonts w:ascii="宋体" w:hAnsi="宋体" w:cs="宋体"/>
          <w:b/>
          <w:color w:val="auto"/>
          <w:sz w:val="21"/>
          <w:szCs w:val="21"/>
          <w:highlight w:val="none"/>
        </w:rPr>
      </w:pPr>
      <w:r>
        <w:rPr>
          <w:rFonts w:ascii="宋体" w:hAnsi="宋体" w:cs="宋体"/>
          <w:b/>
          <w:color w:val="auto"/>
          <w:sz w:val="21"/>
          <w:szCs w:val="21"/>
          <w:highlight w:val="none"/>
        </w:rPr>
      </w:r>
      <w:r/>
    </w:p>
    <w:p>
      <w:pPr>
        <w:pStyle w:val="1423"/>
        <w:ind w:left="0"/>
        <w:jc w:val="center"/>
        <w:spacing w:before="167"/>
        <w:rPr>
          <w:color w:val="auto"/>
          <w:sz w:val="21"/>
          <w:szCs w:val="21"/>
          <w:highlight w:val="none"/>
        </w:rPr>
      </w:pPr>
      <w:r>
        <w:rPr>
          <w:rFonts w:hint="eastAsia"/>
          <w:color w:val="auto"/>
          <w:sz w:val="21"/>
          <w:szCs w:val="21"/>
          <w:highlight w:val="none"/>
        </w:rPr>
        <w:t xml:space="preserve">残疾人福利性单位声明函</w:t>
      </w:r>
      <w:r/>
    </w:p>
    <w:p>
      <w:pPr>
        <w:pStyle w:val="858"/>
        <w:spacing w:before="7"/>
        <w:rPr>
          <w:rFonts w:ascii="宋体" w:hAnsi="宋体" w:cs="宋体"/>
          <w:b/>
          <w:color w:val="auto"/>
          <w:sz w:val="21"/>
          <w:szCs w:val="21"/>
          <w:highlight w:val="none"/>
        </w:rPr>
      </w:pPr>
      <w:r>
        <w:rPr>
          <w:rFonts w:ascii="宋体" w:hAnsi="宋体" w:cs="宋体"/>
          <w:b/>
          <w:color w:val="auto"/>
          <w:sz w:val="21"/>
          <w:szCs w:val="21"/>
          <w:highlight w:val="none"/>
        </w:rPr>
      </w:r>
      <w:r/>
    </w:p>
    <w:p>
      <w:pPr>
        <w:pStyle w:val="858"/>
        <w:ind w:right="617" w:firstLine="480"/>
        <w:spacing w:line="424" w:lineRule="auto"/>
        <w:tabs>
          <w:tab w:val="left" w:pos="3711" w:leader="none"/>
          <w:tab w:val="left" w:pos="5151"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本单位郑重声明</w:t>
      </w:r>
      <w:r>
        <w:rPr>
          <w:rFonts w:hint="eastAsia" w:ascii="宋体" w:hAnsi="宋体" w:cs="宋体"/>
          <w:color w:val="auto"/>
          <w:spacing w:val="-27"/>
          <w:sz w:val="21"/>
          <w:szCs w:val="21"/>
          <w:highlight w:val="none"/>
        </w:rPr>
        <w:t xml:space="preserve">，</w:t>
      </w:r>
      <w:r>
        <w:rPr>
          <w:rFonts w:hint="eastAsia" w:ascii="宋体" w:hAnsi="宋体" w:cs="宋体"/>
          <w:color w:val="auto"/>
          <w:sz w:val="21"/>
          <w:szCs w:val="21"/>
          <w:highlight w:val="none"/>
        </w:rPr>
        <w:t xml:space="preserve">根</w:t>
      </w:r>
      <w:r>
        <w:rPr>
          <w:rFonts w:hint="eastAsia" w:ascii="宋体" w:hAnsi="宋体" w:cs="宋体"/>
          <w:color w:val="auto"/>
          <w:spacing w:val="-24"/>
          <w:sz w:val="21"/>
          <w:szCs w:val="21"/>
          <w:highlight w:val="none"/>
        </w:rPr>
        <w:t xml:space="preserve">据</w:t>
      </w:r>
      <w:r>
        <w:rPr>
          <w:rFonts w:hint="eastAsia" w:ascii="宋体" w:hAnsi="宋体" w:cs="宋体"/>
          <w:color w:val="auto"/>
          <w:sz w:val="21"/>
          <w:szCs w:val="21"/>
          <w:highlight w:val="none"/>
        </w:rPr>
        <w:t xml:space="preserve">《财政部 民政部 中国残疾人联合会关于促进残疾人就业</w:t>
      </w:r>
      <w:r>
        <w:rPr>
          <w:rFonts w:hint="eastAsia" w:ascii="宋体" w:hAnsi="宋体" w:cs="宋体"/>
          <w:color w:val="auto"/>
          <w:spacing w:val="-18"/>
          <w:sz w:val="21"/>
          <w:szCs w:val="21"/>
          <w:highlight w:val="none"/>
        </w:rPr>
        <w:t xml:space="preserve">政</w:t>
      </w:r>
      <w:r>
        <w:rPr>
          <w:rFonts w:hint="eastAsia" w:ascii="宋体" w:hAnsi="宋体" w:cs="宋体"/>
          <w:color w:val="auto"/>
          <w:sz w:val="21"/>
          <w:szCs w:val="21"/>
          <w:highlight w:val="none"/>
        </w:rPr>
        <w:t xml:space="preserve">府采购政策的通知</w:t>
      </w:r>
      <w:r>
        <w:rPr>
          <w:rFonts w:hint="eastAsia" w:ascii="宋体" w:hAnsi="宋体" w:cs="宋体"/>
          <w:color w:val="auto"/>
          <w:spacing w:val="-39"/>
          <w:sz w:val="21"/>
          <w:szCs w:val="21"/>
          <w:highlight w:val="none"/>
        </w:rPr>
        <w:t xml:space="preserve">》</w:t>
      </w:r>
      <w:r>
        <w:rPr>
          <w:rFonts w:hint="eastAsia" w:ascii="宋体" w:hAnsi="宋体" w:cs="宋体"/>
          <w:color w:val="auto"/>
          <w:sz w:val="21"/>
          <w:szCs w:val="21"/>
          <w:highlight w:val="none"/>
        </w:rPr>
        <w:t xml:space="preserve">（财</w:t>
      </w:r>
      <w:r>
        <w:rPr>
          <w:rFonts w:hint="eastAsia" w:ascii="宋体" w:hAnsi="宋体" w:cs="宋体"/>
          <w:color w:val="auto"/>
          <w:spacing w:val="-17"/>
          <w:sz w:val="21"/>
          <w:szCs w:val="21"/>
          <w:highlight w:val="none"/>
        </w:rPr>
        <w:t xml:space="preserve">库</w:t>
      </w:r>
      <w:r>
        <w:rPr>
          <w:rFonts w:hint="eastAsia" w:ascii="宋体" w:hAnsi="宋体" w:cs="宋体"/>
          <w:color w:val="auto"/>
          <w:sz w:val="21"/>
          <w:szCs w:val="21"/>
          <w:highlight w:val="none"/>
        </w:rPr>
        <w:t xml:space="preserve">〔2017〕141号</w:t>
      </w:r>
      <w:r>
        <w:rPr>
          <w:rFonts w:hint="eastAsia" w:ascii="宋体" w:hAnsi="宋体" w:cs="宋体"/>
          <w:color w:val="auto"/>
          <w:spacing w:val="-20"/>
          <w:sz w:val="21"/>
          <w:szCs w:val="21"/>
          <w:highlight w:val="none"/>
        </w:rPr>
        <w:t xml:space="preserve">）</w:t>
      </w:r>
      <w:r>
        <w:rPr>
          <w:rFonts w:hint="eastAsia" w:ascii="宋体" w:hAnsi="宋体" w:cs="宋体"/>
          <w:color w:val="auto"/>
          <w:sz w:val="21"/>
          <w:szCs w:val="21"/>
          <w:highlight w:val="none"/>
        </w:rPr>
        <w:t xml:space="preserve">的规定</w:t>
      </w:r>
      <w:r>
        <w:rPr>
          <w:rFonts w:hint="eastAsia" w:ascii="宋体" w:hAnsi="宋体" w:cs="宋体"/>
          <w:color w:val="auto"/>
          <w:spacing w:val="-17"/>
          <w:sz w:val="21"/>
          <w:szCs w:val="21"/>
          <w:highlight w:val="none"/>
        </w:rPr>
        <w:t xml:space="preserve">，</w:t>
      </w:r>
      <w:r>
        <w:rPr>
          <w:rFonts w:hint="eastAsia" w:ascii="宋体" w:hAnsi="宋体" w:cs="宋体"/>
          <w:color w:val="auto"/>
          <w:sz w:val="21"/>
          <w:szCs w:val="21"/>
          <w:highlight w:val="none"/>
        </w:rPr>
        <w:t xml:space="preserve">本单位为符合条件的残疾人福</w:t>
      </w:r>
      <w:r>
        <w:rPr>
          <w:rFonts w:hint="eastAsia" w:ascii="宋体" w:hAnsi="宋体" w:cs="宋体"/>
          <w:color w:val="auto"/>
          <w:spacing w:val="-16"/>
          <w:sz w:val="21"/>
          <w:szCs w:val="21"/>
          <w:highlight w:val="none"/>
        </w:rPr>
        <w:t xml:space="preserve">利</w:t>
      </w:r>
      <w:r>
        <w:rPr>
          <w:rFonts w:hint="eastAsia" w:ascii="宋体" w:hAnsi="宋体" w:cs="宋体"/>
          <w:color w:val="auto"/>
          <w:sz w:val="21"/>
          <w:szCs w:val="21"/>
          <w:highlight w:val="none"/>
        </w:rPr>
        <w:t xml:space="preserve">性单位</w:t>
      </w:r>
      <w:r>
        <w:rPr>
          <w:rFonts w:hint="eastAsia" w:ascii="宋体" w:hAnsi="宋体" w:cs="宋体"/>
          <w:color w:val="auto"/>
          <w:spacing w:val="-27"/>
          <w:sz w:val="21"/>
          <w:szCs w:val="21"/>
          <w:highlight w:val="none"/>
        </w:rPr>
        <w:t xml:space="preserve">，</w:t>
      </w:r>
      <w:r>
        <w:rPr>
          <w:rFonts w:hint="eastAsia" w:ascii="宋体" w:hAnsi="宋体" w:cs="宋体"/>
          <w:color w:val="auto"/>
          <w:sz w:val="21"/>
          <w:szCs w:val="21"/>
          <w:highlight w:val="none"/>
        </w:rPr>
        <w:t xml:space="preserve">且本单位参加</w:t>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rPr>
        <w:t xml:space="preserve">单位的</w:t>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rPr>
        <w:t xml:space="preserve">项目采购活动提供本单位制造的货</w:t>
      </w:r>
      <w:r>
        <w:rPr>
          <w:rFonts w:hint="eastAsia" w:ascii="宋体" w:hAnsi="宋体" w:cs="宋体"/>
          <w:color w:val="auto"/>
          <w:spacing w:val="-24"/>
          <w:sz w:val="21"/>
          <w:szCs w:val="21"/>
          <w:highlight w:val="none"/>
        </w:rPr>
        <w:t xml:space="preserve">物</w:t>
      </w:r>
      <w:r>
        <w:rPr>
          <w:rFonts w:hint="eastAsia" w:ascii="宋体" w:hAnsi="宋体" w:cs="宋体"/>
          <w:color w:val="auto"/>
          <w:sz w:val="21"/>
          <w:szCs w:val="21"/>
          <w:highlight w:val="none"/>
        </w:rPr>
        <w:t xml:space="preserve">（由</w:t>
      </w:r>
      <w:r>
        <w:rPr>
          <w:rFonts w:hint="eastAsia" w:ascii="宋体" w:hAnsi="宋体" w:cs="宋体"/>
          <w:color w:val="auto"/>
          <w:spacing w:val="-18"/>
          <w:sz w:val="21"/>
          <w:szCs w:val="21"/>
          <w:highlight w:val="none"/>
        </w:rPr>
        <w:t xml:space="preserve">本</w:t>
      </w:r>
      <w:r>
        <w:rPr>
          <w:rFonts w:hint="eastAsia" w:ascii="宋体" w:hAnsi="宋体" w:cs="宋体"/>
          <w:color w:val="auto"/>
          <w:sz w:val="21"/>
          <w:szCs w:val="21"/>
          <w:highlight w:val="none"/>
        </w:rPr>
        <w:t xml:space="preserve">单位承担工程/提供服务），或者提供其他残疾人福利性单位制造的货物（不包括使用非残疾人福利性单位注册商标的货物）。</w:t>
      </w:r>
      <w:r/>
    </w:p>
    <w:p>
      <w:pPr>
        <w:pStyle w:val="858"/>
        <w:ind w:left="1098"/>
        <w:spacing w:before="3"/>
        <w:rPr>
          <w:rFonts w:ascii="宋体" w:hAnsi="宋体" w:cs="宋体"/>
          <w:color w:val="auto"/>
          <w:sz w:val="21"/>
          <w:szCs w:val="21"/>
          <w:highlight w:val="none"/>
        </w:rPr>
      </w:pPr>
      <w:r>
        <w:rPr>
          <w:rFonts w:hint="eastAsia" w:ascii="宋体" w:hAnsi="宋体" w:cs="宋体"/>
          <w:color w:val="auto"/>
          <w:sz w:val="21"/>
          <w:szCs w:val="21"/>
          <w:highlight w:val="none"/>
        </w:rPr>
        <w:t xml:space="preserve">本单位对上述声明的真实性负责。如有虚假，将依法承担相应责任。</w:t>
      </w:r>
      <w:r/>
    </w:p>
    <w:p>
      <w:pPr>
        <w:pStyle w:val="858"/>
        <w:ind w:right="2725"/>
        <w:spacing w:line="422" w:lineRule="auto"/>
        <w:tabs>
          <w:tab w:val="left" w:pos="7098" w:leader="none"/>
        </w:tabs>
        <w:rPr>
          <w:rFonts w:ascii="宋体" w:hAnsi="宋体" w:cs="宋体"/>
          <w:color w:val="auto"/>
          <w:spacing w:val="-9"/>
          <w:sz w:val="21"/>
          <w:szCs w:val="21"/>
          <w:highlight w:val="none"/>
        </w:rPr>
      </w:pPr>
      <w:r>
        <w:rPr>
          <w:rFonts w:hint="eastAsia" w:ascii="宋体" w:hAnsi="宋体" w:cs="宋体"/>
          <w:color w:val="auto"/>
          <w:sz w:val="21"/>
          <w:szCs w:val="21"/>
          <w:highlight w:val="none"/>
        </w:rPr>
        <w:t xml:space="preserve">单位名称（</w:t>
      </w:r>
      <w:r>
        <w:rPr>
          <w:rFonts w:hint="eastAsia" w:ascii="宋体" w:hAnsi="宋体" w:cs="宋体"/>
          <w:color w:val="auto"/>
          <w:sz w:val="21"/>
          <w:szCs w:val="18"/>
          <w:highlight w:val="none"/>
        </w:rPr>
        <w:t xml:space="preserve">加盖CA电子公章</w:t>
      </w:r>
      <w:r>
        <w:rPr>
          <w:rFonts w:hint="eastAsia" w:ascii="宋体" w:hAnsi="宋体" w:cs="宋体"/>
          <w:color w:val="auto"/>
          <w:spacing w:val="-9"/>
          <w:sz w:val="21"/>
          <w:szCs w:val="21"/>
          <w:highlight w:val="none"/>
        </w:rPr>
        <w:t xml:space="preserve">）：</w:t>
      </w:r>
      <w:r/>
    </w:p>
    <w:p>
      <w:pPr>
        <w:pStyle w:val="858"/>
        <w:ind w:right="2725"/>
        <w:spacing w:line="422" w:lineRule="auto"/>
        <w:tabs>
          <w:tab w:val="left" w:pos="7098" w:leader="none"/>
        </w:tabs>
        <w:rPr>
          <w:rFonts w:ascii="宋体" w:hAnsi="宋体" w:cs="宋体"/>
          <w:color w:val="auto"/>
          <w:spacing w:val="-17"/>
          <w:sz w:val="21"/>
          <w:szCs w:val="21"/>
          <w:highlight w:val="none"/>
        </w:rPr>
      </w:pPr>
      <w:r>
        <w:rPr>
          <w:rFonts w:hint="eastAsia" w:ascii="宋体" w:hAnsi="宋体" w:cs="宋体"/>
          <w:color w:val="auto"/>
          <w:spacing w:val="-9"/>
          <w:sz w:val="21"/>
          <w:szCs w:val="21"/>
          <w:highlight w:val="none"/>
        </w:rPr>
        <w:t xml:space="preserve">日</w:t>
      </w:r>
      <w:r>
        <w:rPr>
          <w:rFonts w:hint="eastAsia" w:ascii="宋体" w:hAnsi="宋体" w:cs="宋体"/>
          <w:color w:val="auto"/>
          <w:sz w:val="21"/>
          <w:szCs w:val="21"/>
          <w:highlight w:val="none"/>
        </w:rPr>
        <w:t xml:space="preserve">期</w:t>
      </w:r>
      <w:r>
        <w:rPr>
          <w:rFonts w:hint="eastAsia" w:ascii="宋体" w:hAnsi="宋体" w:cs="宋体"/>
          <w:color w:val="auto"/>
          <w:spacing w:val="-17"/>
          <w:sz w:val="21"/>
          <w:szCs w:val="21"/>
          <w:highlight w:val="none"/>
        </w:rPr>
        <w:t xml:space="preserve">：</w:t>
      </w:r>
      <w:r/>
    </w:p>
    <w:p>
      <w:pPr>
        <w:pStyle w:val="858"/>
        <w:ind w:right="2725"/>
        <w:spacing w:line="422" w:lineRule="auto"/>
        <w:tabs>
          <w:tab w:val="left" w:pos="7098" w:leader="none"/>
        </w:tabs>
        <w:rPr>
          <w:rFonts w:ascii="宋体" w:hAnsi="宋体" w:cs="宋体"/>
          <w:color w:val="auto"/>
          <w:spacing w:val="-17"/>
          <w:sz w:val="21"/>
          <w:szCs w:val="21"/>
          <w:highlight w:val="none"/>
        </w:rPr>
      </w:pPr>
      <w:r>
        <w:rPr>
          <w:rFonts w:ascii="宋体" w:hAnsi="宋体" w:cs="宋体"/>
          <w:color w:val="auto"/>
          <w:spacing w:val="-17"/>
          <w:sz w:val="21"/>
          <w:szCs w:val="21"/>
          <w:highlight w:val="none"/>
        </w:rPr>
      </w:r>
      <w:r/>
    </w:p>
    <w:p>
      <w:pPr>
        <w:pStyle w:val="1423"/>
        <w:ind w:left="0"/>
        <w:rPr>
          <w:color w:val="auto"/>
          <w:sz w:val="21"/>
          <w:szCs w:val="21"/>
          <w:highlight w:val="none"/>
        </w:rPr>
      </w:pPr>
      <w:r>
        <w:rPr>
          <w:rFonts w:hint="eastAsia"/>
          <w:color w:val="auto"/>
          <w:sz w:val="21"/>
          <w:szCs w:val="21"/>
          <w:highlight w:val="none"/>
        </w:rPr>
        <w:t xml:space="preserve">附件</w:t>
      </w:r>
      <w:r>
        <w:rPr>
          <w:rFonts w:hint="eastAsia"/>
          <w:color w:val="auto"/>
          <w:sz w:val="21"/>
          <w:szCs w:val="21"/>
          <w:highlight w:val="none"/>
          <w:lang w:val="en-US"/>
        </w:rPr>
        <w:t xml:space="preserve">六</w:t>
      </w:r>
      <w:r>
        <w:rPr>
          <w:rFonts w:hint="eastAsia"/>
          <w:color w:val="auto"/>
          <w:sz w:val="21"/>
          <w:szCs w:val="21"/>
          <w:highlight w:val="none"/>
        </w:rPr>
        <w:t xml:space="preserve">、属于监狱企业的证明文件</w:t>
      </w:r>
      <w:r/>
    </w:p>
    <w:p>
      <w:pPr>
        <w:pStyle w:val="858"/>
        <w:rPr>
          <w:rFonts w:ascii="宋体" w:hAnsi="宋体" w:cs="宋体"/>
          <w:b/>
          <w:color w:val="auto"/>
          <w:sz w:val="21"/>
          <w:szCs w:val="21"/>
          <w:highlight w:val="none"/>
        </w:rPr>
      </w:pPr>
      <w:r>
        <w:rPr>
          <w:rFonts w:ascii="宋体" w:hAnsi="宋体" w:cs="宋体"/>
          <w:b/>
          <w:color w:val="auto"/>
          <w:sz w:val="21"/>
          <w:szCs w:val="21"/>
          <w:highlight w:val="none"/>
        </w:rPr>
      </w:r>
      <w:r/>
    </w:p>
    <w:p>
      <w:pPr>
        <w:jc w:val="left"/>
        <w:widowControl/>
        <w:rPr>
          <w:rFonts w:ascii="宋体" w:hAnsi="宋体" w:cs="宋体"/>
          <w:b/>
          <w:bCs/>
          <w:color w:val="auto"/>
          <w:szCs w:val="21"/>
          <w:highlight w:val="none"/>
          <w:lang w:val="zh-CN"/>
        </w:rPr>
      </w:pPr>
      <w:r>
        <w:rPr>
          <w:rFonts w:hint="eastAsia" w:ascii="宋体" w:hAnsi="宋体" w:cs="宋体"/>
          <w:color w:val="auto"/>
          <w:szCs w:val="21"/>
          <w:highlight w:val="none"/>
        </w:rPr>
        <w:t xml:space="preserve">提供由省级以上监狱管理局、戒毒管理局(含新疆生产建设兵团)出具的属于监狱企业的证明文件。</w:t>
      </w:r>
      <w:r/>
    </w:p>
    <w:p>
      <w:pPr>
        <w:jc w:val="left"/>
        <w:widowControl/>
        <w:rPr>
          <w:rFonts w:ascii="宋体" w:hAnsi="宋体" w:cs="宋体"/>
          <w:b/>
          <w:bCs/>
          <w:color w:val="auto"/>
          <w:szCs w:val="21"/>
          <w:highlight w:val="none"/>
          <w:lang w:val="zh-CN"/>
        </w:rPr>
      </w:pPr>
      <w:r>
        <w:rPr>
          <w:rFonts w:ascii="宋体" w:hAnsi="宋体" w:cs="宋体"/>
          <w:b/>
          <w:bCs/>
          <w:color w:val="auto"/>
          <w:szCs w:val="21"/>
          <w:highlight w:val="none"/>
          <w:lang w:val="zh-CN"/>
        </w:rPr>
      </w:r>
      <w:r/>
    </w:p>
    <w:sectPr>
      <w:footerReference w:type="default" r:id="rId13"/>
      <w:footnotePr/>
      <w:endnotePr/>
      <w:type w:val="nextPage"/>
      <w:pgSz w:w="11906" w:h="16838" w:orient="portrait"/>
      <w:pgMar w:top="850" w:right="850" w:bottom="85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KNLe">
    <w:panose1 w:val="020B0503020202020204"/>
  </w:font>
  <w:font w:name="仿宋">
    <w:panose1 w:val="02010609060101010101"/>
  </w:font>
  <w:font w:name="Arial Unicode MS">
    <w:panose1 w:val="020B0604020202020204"/>
  </w:font>
  <w:font w:name="Wingdings 2">
    <w:panose1 w:val="05020102010507070707"/>
  </w:font>
  <w:font w:name="方正小标宋_GBK">
    <w:panose1 w:val="020B0503020202020204"/>
  </w:font>
  <w:font w:name="Wingdings">
    <w:panose1 w:val="05000000000000000000"/>
  </w:font>
  <w:font w:name="华文楷体">
    <w:panose1 w:val="02010600040101010101"/>
  </w:font>
  <w:font w:name="华文细黑">
    <w:panose1 w:val="02010600040101010101"/>
  </w:font>
  <w:font w:name="汉仪大黑简">
    <w:panose1 w:val="020B0503020202020204"/>
  </w:font>
  <w:font w:name="楷体_GB2312">
    <w:panose1 w:val="02010609060101010101"/>
  </w:font>
  <w:font w:name="Tahoma">
    <w:panose1 w:val="020B0604030504040204"/>
  </w:font>
  <w:font w:name="Cambria">
    <w:panose1 w:val="02040503050406030204"/>
  </w:font>
  <w:font w:name="Courier New">
    <w:panose1 w:val="02070309020205020404"/>
  </w:font>
  <w:font w:name="Calibri">
    <w:panose1 w:val="020F0502020204030204"/>
  </w:font>
  <w:font w:name="微软雅黑">
    <w:panose1 w:val="020B0503020204020204"/>
  </w:font>
  <w:font w:name="方正大黑简体">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Ari">
    <w:panose1 w:val="020B0606020202030204"/>
  </w:font>
  <w:font w:name="Georgia">
    <w:panose1 w:val="02040502050405020303"/>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15035" cy="147955"/>
              <wp:effectExtent l="0" t="0" r="0" b="0"/>
              <wp:wrapNone/>
              <wp:docPr id="3"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15035" cy="147955"/>
                      </a:xfrm>
                      <a:prstGeom prst="rect">
                        <a:avLst/>
                      </a:prstGeom>
                      <a:noFill/>
                      <a:ln>
                        <a:noFill/>
                      </a:ln>
                      <a:effectLst/>
                    </wps:spPr>
                    <wps:txbx>
                      <w:txbxContent>
                        <w:p>
                          <w:pPr>
                            <w:pStyle w:val="87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72.0pt;height:11.6pt;mso-wrap-distance-left:9.0pt;mso-wrap-distance-top:0.0pt;mso-wrap-distance-right:9.0pt;mso-wrap-distance-bottom:0.0pt;v-text-anchor:top;visibility:visible;" filled="f" stroked="f">
              <v:textbox inset="0,0,0,0">
                <w:txbxContent>
                  <w:p>
                    <w:pPr>
                      <w:pStyle w:val="87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972185" cy="147955"/>
              <wp:effectExtent l="0" t="0" r="0" b="0"/>
              <wp:wrapNone/>
              <wp:docPr id="4" name="文本框 1028"/>
              <wp:cNvGraphicFramePr/>
              <a:graphic xmlns:a="http://schemas.openxmlformats.org/drawingml/2006/main">
                <a:graphicData uri="http://schemas.microsoft.com/office/word/2010/wordprocessingShape">
                  <wps:wsp>
                    <wps:cNvPr id="0" name=""/>
                    <wps:cNvSpPr>
                      <a:spLocks noChangeArrowheads="1"/>
                    </wps:cNvSpPr>
                    <wps:spPr bwMode="auto">
                      <a:xfrm>
                        <a:off x="0" y="0"/>
                        <a:ext cx="972185" cy="147955"/>
                      </a:xfrm>
                      <a:prstGeom prst="rect">
                        <a:avLst/>
                      </a:prstGeom>
                      <a:noFill/>
                      <a:ln>
                        <a:noFill/>
                      </a:ln>
                      <a:effectLst/>
                    </wps:spPr>
                    <wps:txbx>
                      <w:txbxContent>
                        <w:p>
                          <w:pPr>
                            <w:pStyle w:val="872"/>
                          </w:pPr>
                          <w:r>
                            <w:t xml:space="preserve">第 </w:t>
                          </w:r>
                          <w:r>
                            <w:fldChar w:fldCharType="begin"/>
                          </w:r>
                          <w:r>
                            <w:instrText xml:space="preserve"> PAGE  \* MERGEFORMAT </w:instrText>
                          </w:r>
                          <w:r>
                            <w:fldChar w:fldCharType="separate"/>
                          </w:r>
                          <w:r>
                            <w:t xml:space="preserve">21</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txbxContent>
                    </wps:txbx>
                    <wps:bodyPr wrap="none" lIns="0" tIns="0" rIns="0" bIns="0">
                      <a:spAutoFit/>
                    </wps:bodyPr>
                  </wps:wsp>
                </a:graphicData>
              </a:graphic>
            </wp:anchor>
          </w:drawing>
        </mc:Choice>
        <mc:Fallback>
          <w:pict>
            <v:shape id="shape 3" o:spid="_x0000_s3" o:spt="1" type="#_x0000_t1" style="position:absolute;z-index:251661312;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pPr>
                      <w:pStyle w:val="872"/>
                    </w:pPr>
                    <w:r>
                      <w:t xml:space="preserve">第 </w:t>
                    </w:r>
                    <w:r>
                      <w:fldChar w:fldCharType="begin"/>
                    </w:r>
                    <w:r>
                      <w:instrText xml:space="preserve"> PAGE  \* MERGEFORMAT </w:instrText>
                    </w:r>
                    <w:r>
                      <w:fldChar w:fldCharType="separate"/>
                    </w:r>
                    <w:r>
                      <w:t xml:space="preserve">21</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72185" cy="147955"/>
              <wp:effectExtent l="0" t="0" r="0" b="0"/>
              <wp:wrapNone/>
              <wp:docPr id="5" name="文本框 1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72185" cy="147955"/>
                      </a:xfrm>
                      <a:prstGeom prst="rect">
                        <a:avLst/>
                      </a:prstGeom>
                      <a:noFill/>
                      <a:ln>
                        <a:noFill/>
                      </a:ln>
                      <a:effectLst/>
                    </wps:spPr>
                    <wps:txbx>
                      <w:txbxContent>
                        <w:p>
                          <w:pPr>
                            <w:pStyle w:val="872"/>
                          </w:pPr>
                          <w:r>
                            <w:t xml:space="preserve">第 </w:t>
                          </w:r>
                          <w:r>
                            <w:fldChar w:fldCharType="begin"/>
                          </w:r>
                          <w:r>
                            <w:instrText xml:space="preserve"> PAGE  \* MERGEFORMAT </w:instrText>
                          </w:r>
                          <w:r>
                            <w:fldChar w:fldCharType="separate"/>
                          </w:r>
                          <w:r>
                            <w:t xml:space="preserve">41</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v:textbox inset="0,0,0,0">
                <w:txbxContent>
                  <w:p>
                    <w:pPr>
                      <w:pStyle w:val="872"/>
                    </w:pPr>
                    <w:r>
                      <w:t xml:space="preserve">第 </w:t>
                    </w:r>
                    <w:r>
                      <w:fldChar w:fldCharType="begin"/>
                    </w:r>
                    <w:r>
                      <w:instrText xml:space="preserve"> PAGE  \* MERGEFORMAT </w:instrText>
                    </w:r>
                    <w:r>
                      <w:fldChar w:fldCharType="separate"/>
                    </w:r>
                    <w:r>
                      <w:t xml:space="preserve">41</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both"/>
    </w:pPr>
    <w:r>
      <mc:AlternateContent>
        <mc:Choice Requires="wpg">
          <w:drawing>
            <wp:inline xmlns:wp="http://schemas.openxmlformats.org/drawingml/2006/wordprocessingDrawing" distT="0" distB="0" distL="0" distR="0">
              <wp:extent cx="1378585" cy="239395"/>
              <wp:effectExtent l="0" t="0" r="5715" b="1905"/>
              <wp:docPr id="1" name="图片 1"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826bae80687e3a7b3b8bc243736336"/>
                      <pic:cNvPicPr>
                        <a:picLocks noChangeAspect="1"/>
                      </pic:cNvPicPr>
                      <pic:nvPr/>
                    </pic:nvPicPr>
                    <pic:blipFill>
                      <a:blip r:embed="rId1"/>
                      <a:stretch/>
                    </pic:blipFill>
                    <pic:spPr bwMode="auto">
                      <a:xfrm>
                        <a:off x="0" y="0"/>
                        <a:ext cx="1378585" cy="239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5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left"/>
      <w:pBdr>
        <w:bottom w:val="none" w:color="auto" w:sz="0" w:space="1"/>
      </w:pBdr>
    </w:pPr>
    <w:r>
      <mc:AlternateContent>
        <mc:Choice Requires="wpg">
          <w:drawing>
            <wp:inline xmlns:wp="http://schemas.openxmlformats.org/drawingml/2006/wordprocessingDrawing" distT="0" distB="0" distL="0" distR="0">
              <wp:extent cx="1371600" cy="239395"/>
              <wp:effectExtent l="0" t="0" r="0" b="0"/>
              <wp:docPr id="2" name="图片 5"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c826bae80687e3a7b3b8bc243736336"/>
                      <pic:cNvPicPr>
                        <a:picLocks noChangeAspect="1"/>
                      </pic:cNvPicPr>
                      <pic:nvPr/>
                    </pic:nvPicPr>
                    <pic:blipFill>
                      <a:blip r:embed="rId1"/>
                      <a:stretch/>
                    </pic:blipFill>
                    <pic:spPr bwMode="auto">
                      <a:xfrm>
                        <a:off x="0" y="0"/>
                        <a:ext cx="1371600" cy="239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8.0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2138" w:hanging="720"/>
        <w:tabs>
          <w:tab w:val="left" w:pos="2138" w:leader="none"/>
        </w:tabs>
      </w:pPr>
      <w:rPr>
        <w:rFonts w:hint="eastAsia"/>
      </w:rPr>
    </w:lvl>
    <w:lvl w:ilvl="1">
      <w:start w:val="1"/>
      <w:numFmt w:val="lowerLetter"/>
      <w:isLgl w:val="false"/>
      <w:suff w:val="tab"/>
      <w:lvlText w:val="%2)"/>
      <w:lvlJc w:val="left"/>
      <w:pPr>
        <w:ind w:left="2400" w:hanging="420"/>
        <w:tabs>
          <w:tab w:val="left" w:pos="2400" w:leader="none"/>
        </w:tabs>
      </w:pPr>
    </w:lvl>
    <w:lvl w:ilvl="2">
      <w:start w:val="1"/>
      <w:numFmt w:val="lowerRoman"/>
      <w:isLgl w:val="false"/>
      <w:suff w:val="tab"/>
      <w:lvlText w:val="%3."/>
      <w:lvlJc w:val="right"/>
      <w:pPr>
        <w:ind w:left="2820" w:hanging="420"/>
        <w:tabs>
          <w:tab w:val="left" w:pos="2820" w:leader="none"/>
        </w:tabs>
      </w:pPr>
    </w:lvl>
    <w:lvl w:ilvl="3">
      <w:start w:val="1"/>
      <w:numFmt w:val="decimal"/>
      <w:isLgl w:val="false"/>
      <w:suff w:val="tab"/>
      <w:lvlText w:val="%4."/>
      <w:lvlJc w:val="left"/>
      <w:pPr>
        <w:ind w:left="3240" w:hanging="420"/>
        <w:tabs>
          <w:tab w:val="left" w:pos="3240" w:leader="none"/>
        </w:tabs>
      </w:pPr>
    </w:lvl>
    <w:lvl w:ilvl="4">
      <w:start w:val="1"/>
      <w:numFmt w:val="lowerLetter"/>
      <w:isLgl w:val="false"/>
      <w:suff w:val="tab"/>
      <w:lvlText w:val="%5)"/>
      <w:lvlJc w:val="left"/>
      <w:pPr>
        <w:ind w:left="3660" w:hanging="420"/>
        <w:tabs>
          <w:tab w:val="left" w:pos="3660" w:leader="none"/>
        </w:tabs>
      </w:pPr>
    </w:lvl>
    <w:lvl w:ilvl="5">
      <w:start w:val="1"/>
      <w:numFmt w:val="lowerRoman"/>
      <w:isLgl w:val="false"/>
      <w:suff w:val="tab"/>
      <w:lvlText w:val="%6."/>
      <w:lvlJc w:val="right"/>
      <w:pPr>
        <w:ind w:left="4080" w:hanging="420"/>
        <w:tabs>
          <w:tab w:val="left" w:pos="4080" w:leader="none"/>
        </w:tabs>
      </w:pPr>
    </w:lvl>
    <w:lvl w:ilvl="6">
      <w:start w:val="1"/>
      <w:numFmt w:val="decimal"/>
      <w:isLgl w:val="false"/>
      <w:suff w:val="tab"/>
      <w:lvlText w:val="%7."/>
      <w:lvlJc w:val="left"/>
      <w:pPr>
        <w:ind w:left="4500" w:hanging="420"/>
        <w:tabs>
          <w:tab w:val="left" w:pos="4500" w:leader="none"/>
        </w:tabs>
      </w:pPr>
    </w:lvl>
    <w:lvl w:ilvl="7">
      <w:start w:val="1"/>
      <w:numFmt w:val="lowerLetter"/>
      <w:isLgl w:val="false"/>
      <w:suff w:val="tab"/>
      <w:lvlText w:val="%8)"/>
      <w:lvlJc w:val="left"/>
      <w:pPr>
        <w:ind w:left="4920" w:hanging="420"/>
        <w:tabs>
          <w:tab w:val="left" w:pos="4920" w:leader="none"/>
        </w:tabs>
      </w:pPr>
    </w:lvl>
    <w:lvl w:ilvl="8">
      <w:start w:val="1"/>
      <w:numFmt w:val="lowerRoman"/>
      <w:isLgl w:val="false"/>
      <w:suff w:val="tab"/>
      <w:lvlText w:val="%9."/>
      <w:lvlJc w:val="right"/>
      <w:pPr>
        <w:ind w:left="5340" w:hanging="420"/>
        <w:tabs>
          <w:tab w:val="left" w:pos="5340" w:leader="none"/>
        </w:tabs>
      </w:pPr>
    </w:lvl>
  </w:abstractNum>
  <w:abstractNum w:abstractNumId="1">
    <w:multiLevelType w:val="hybridMultilevel"/>
    <w:lvl w:ilvl="0">
      <w:start w:val="1"/>
      <w:numFmt w:val="japaneseCounting"/>
      <w:pStyle w:val="1439"/>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2">
    <w:multiLevelType w:val="hybridMultilevel"/>
    <w:lvl w:ilvl="0">
      <w:start w:val="1"/>
      <w:numFmt w:val="japaneseCounting"/>
      <w:isLgl w:val="false"/>
      <w:suff w:val="tab"/>
      <w:lvlText w:val="%1、"/>
      <w:lvlJc w:val="left"/>
      <w:pPr>
        <w:ind w:left="510" w:hanging="51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16">
    <w:name w:val="Plain Table 1"/>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2"/>
    <w:basedOn w:val="8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3"/>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name w:val="Plain Table 4"/>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name w:val="Plain Table 5"/>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1">
    <w:name w:val="Grid Table 1 Light"/>
    <w:basedOn w:val="8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2">
    <w:name w:val="Grid Table 2"/>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3">
    <w:name w:val="Grid Table 3"/>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4"/>
    <w:basedOn w:val="8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name w:val="Grid Table 5 Dark"/>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6">
    <w:name w:val="Grid Table 6 Colorful"/>
    <w:basedOn w:val="8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7 Colorful"/>
    <w:basedOn w:val="8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8">
    <w:name w:val="List Table 1 Light"/>
    <w:basedOn w:val="8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name w:val="List Table 2"/>
    <w:basedOn w:val="8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0">
    <w:name w:val="List Table 3"/>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4"/>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5 Dark"/>
    <w:basedOn w:val="8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basedOn w:val="8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7 Colorful"/>
    <w:basedOn w:val="8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35">
    <w:name w:val="TOC Heading"/>
    <w:uiPriority w:val="39"/>
    <w:unhideWhenUsed/>
  </w:style>
  <w:style w:type="paragraph" w:styleId="83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37">
    <w:name w:val="Heading 1"/>
    <w:basedOn w:val="836"/>
    <w:next w:val="836"/>
    <w:link w:val="1052"/>
    <w:uiPriority w:val="99"/>
    <w:qFormat/>
    <w:pPr>
      <w:keepLines/>
      <w:keepNext/>
      <w:spacing w:before="340" w:after="330" w:line="576" w:lineRule="auto"/>
      <w:outlineLvl w:val="0"/>
    </w:pPr>
    <w:rPr>
      <w:b/>
      <w:bCs/>
      <w:sz w:val="44"/>
      <w:szCs w:val="44"/>
    </w:rPr>
  </w:style>
  <w:style w:type="paragraph" w:styleId="838">
    <w:name w:val="Heading 2"/>
    <w:basedOn w:val="836"/>
    <w:next w:val="836"/>
    <w:link w:val="1053"/>
    <w:uiPriority w:val="99"/>
    <w:qFormat/>
    <w:pPr>
      <w:keepLines/>
      <w:keepNext/>
      <w:spacing w:before="260" w:after="260" w:line="413" w:lineRule="auto"/>
      <w:outlineLvl w:val="1"/>
    </w:pPr>
    <w:rPr>
      <w:rFonts w:ascii="Arial" w:hAnsi="Arial" w:eastAsia="黑体"/>
      <w:b/>
      <w:bCs/>
      <w:sz w:val="32"/>
      <w:szCs w:val="32"/>
    </w:rPr>
  </w:style>
  <w:style w:type="paragraph" w:styleId="839">
    <w:name w:val="Heading 3"/>
    <w:basedOn w:val="836"/>
    <w:next w:val="836"/>
    <w:link w:val="1058"/>
    <w:uiPriority w:val="99"/>
    <w:qFormat/>
    <w:pPr>
      <w:keepLines/>
      <w:keepNext/>
      <w:spacing w:before="260" w:after="260" w:line="413" w:lineRule="auto"/>
      <w:outlineLvl w:val="2"/>
    </w:pPr>
    <w:rPr>
      <w:b/>
      <w:bCs/>
      <w:sz w:val="32"/>
      <w:szCs w:val="32"/>
    </w:rPr>
  </w:style>
  <w:style w:type="paragraph" w:styleId="840">
    <w:name w:val="Heading 4"/>
    <w:basedOn w:val="836"/>
    <w:next w:val="836"/>
    <w:link w:val="1059"/>
    <w:uiPriority w:val="99"/>
    <w:qFormat/>
    <w:pPr>
      <w:keepLines/>
      <w:keepNext/>
      <w:spacing w:before="120" w:after="120"/>
      <w:outlineLvl w:val="3"/>
    </w:pPr>
    <w:rPr>
      <w:rFonts w:ascii="Arial" w:hAnsi="Arial" w:eastAsia="黑体"/>
      <w:b/>
      <w:sz w:val="20"/>
      <w:szCs w:val="20"/>
    </w:rPr>
  </w:style>
  <w:style w:type="paragraph" w:styleId="841">
    <w:name w:val="Heading 5"/>
    <w:basedOn w:val="836"/>
    <w:next w:val="836"/>
    <w:link w:val="1060"/>
    <w:uiPriority w:val="99"/>
    <w:qFormat/>
    <w:pPr>
      <w:ind w:left="1008" w:hanging="1008"/>
      <w:keepLines/>
      <w:keepNext/>
      <w:spacing w:before="280" w:after="290" w:line="372" w:lineRule="auto"/>
      <w:tabs>
        <w:tab w:val="left" w:pos="1008" w:leader="none"/>
      </w:tabs>
      <w:outlineLvl w:val="4"/>
    </w:pPr>
    <w:rPr>
      <w:b/>
      <w:bCs/>
      <w:sz w:val="28"/>
      <w:szCs w:val="28"/>
    </w:rPr>
  </w:style>
  <w:style w:type="paragraph" w:styleId="842">
    <w:name w:val="Heading 6"/>
    <w:basedOn w:val="836"/>
    <w:next w:val="836"/>
    <w:link w:val="1061"/>
    <w:uiPriority w:val="9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843">
    <w:name w:val="Heading 7"/>
    <w:basedOn w:val="836"/>
    <w:next w:val="836"/>
    <w:link w:val="1062"/>
    <w:uiPriority w:val="99"/>
    <w:qFormat/>
    <w:pPr>
      <w:ind w:left="1296" w:hanging="1296"/>
      <w:keepLines/>
      <w:keepNext/>
      <w:spacing w:before="240" w:after="64" w:line="317" w:lineRule="auto"/>
      <w:tabs>
        <w:tab w:val="left" w:pos="1296" w:leader="none"/>
      </w:tabs>
      <w:outlineLvl w:val="6"/>
    </w:pPr>
    <w:rPr>
      <w:b/>
      <w:bCs/>
      <w:sz w:val="24"/>
    </w:rPr>
  </w:style>
  <w:style w:type="paragraph" w:styleId="844">
    <w:name w:val="Heading 8"/>
    <w:basedOn w:val="836"/>
    <w:next w:val="836"/>
    <w:link w:val="1063"/>
    <w:uiPriority w:val="9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845">
    <w:name w:val="Heading 9"/>
    <w:basedOn w:val="836"/>
    <w:next w:val="836"/>
    <w:link w:val="1064"/>
    <w:uiPriority w:val="9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846" w:default="1">
    <w:name w:val="Default Paragraph Font"/>
    <w:uiPriority w:val="1"/>
    <w:semiHidden/>
    <w:unhideWhenUsed/>
    <w:qFormat/>
  </w:style>
  <w:style w:type="table" w:styleId="847" w:default="1">
    <w:name w:val="Normal Table"/>
    <w:uiPriority w:val="99"/>
    <w:semiHidden/>
    <w:unhideWhenUsed/>
    <w:qFormat/>
    <w:tblPr>
      <w:tblCellMar>
        <w:left w:w="108" w:type="dxa"/>
        <w:top w:w="0" w:type="dxa"/>
        <w:right w:w="108" w:type="dxa"/>
        <w:bottom w:w="0" w:type="dxa"/>
      </w:tblCellMar>
    </w:tblPr>
  </w:style>
  <w:style w:type="paragraph" w:styleId="848">
    <w:name w:val="List 3"/>
    <w:basedOn w:val="836"/>
    <w:uiPriority w:val="99"/>
    <w:qFormat/>
    <w:pPr>
      <w:ind w:left="1260" w:hanging="420"/>
    </w:pPr>
    <w:rPr>
      <w:szCs w:val="20"/>
    </w:rPr>
  </w:style>
  <w:style w:type="paragraph" w:styleId="849">
    <w:name w:val="toc 7"/>
    <w:basedOn w:val="836"/>
    <w:next w:val="836"/>
    <w:uiPriority w:val="99"/>
    <w:semiHidden/>
    <w:qFormat/>
    <w:pPr>
      <w:ind w:left="1260"/>
      <w:jc w:val="left"/>
    </w:pPr>
    <w:rPr>
      <w:szCs w:val="21"/>
    </w:rPr>
  </w:style>
  <w:style w:type="paragraph" w:styleId="850">
    <w:name w:val="List Number 2"/>
    <w:basedOn w:val="836"/>
    <w:uiPriority w:val="99"/>
    <w:qFormat/>
    <w:pPr>
      <w:ind w:left="1440" w:hanging="1440"/>
      <w:spacing w:line="360" w:lineRule="auto"/>
      <w:tabs>
        <w:tab w:val="left" w:pos="1440" w:leader="none"/>
      </w:tabs>
    </w:pPr>
    <w:rPr>
      <w:sz w:val="24"/>
    </w:rPr>
  </w:style>
  <w:style w:type="paragraph" w:styleId="851">
    <w:name w:val="List Number"/>
    <w:basedOn w:val="836"/>
    <w:uiPriority w:val="99"/>
    <w:qFormat/>
    <w:pPr>
      <w:ind w:left="2952" w:hanging="432"/>
      <w:tabs>
        <w:tab w:val="left" w:pos="2952" w:leader="none"/>
      </w:tabs>
    </w:pPr>
  </w:style>
  <w:style w:type="paragraph" w:styleId="852">
    <w:name w:val="Normal Indent"/>
    <w:basedOn w:val="836"/>
    <w:uiPriority w:val="99"/>
    <w:qFormat/>
    <w:pPr>
      <w:ind w:firstLine="420"/>
    </w:pPr>
    <w:rPr>
      <w:szCs w:val="20"/>
    </w:rPr>
  </w:style>
  <w:style w:type="paragraph" w:styleId="853">
    <w:name w:val="Caption"/>
    <w:basedOn w:val="836"/>
    <w:next w:val="8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4">
    <w:name w:val="Document Map"/>
    <w:basedOn w:val="836"/>
    <w:link w:val="1065"/>
    <w:uiPriority w:val="99"/>
    <w:semiHidden/>
    <w:qFormat/>
    <w:pPr>
      <w:shd w:val="clear" w:color="auto" w:fill="000080"/>
    </w:pPr>
    <w:rPr>
      <w:sz w:val="24"/>
    </w:rPr>
  </w:style>
  <w:style w:type="paragraph" w:styleId="855">
    <w:name w:val="annotation text"/>
    <w:basedOn w:val="836"/>
    <w:link w:val="1066"/>
    <w:uiPriority w:val="0"/>
    <w:qFormat/>
    <w:pPr>
      <w:jc w:val="left"/>
    </w:pPr>
    <w:rPr>
      <w:sz w:val="20"/>
      <w:szCs w:val="20"/>
    </w:rPr>
  </w:style>
  <w:style w:type="paragraph" w:styleId="856">
    <w:name w:val="Salutation"/>
    <w:basedOn w:val="836"/>
    <w:next w:val="836"/>
    <w:link w:val="1067"/>
    <w:uiPriority w:val="99"/>
    <w:qFormat/>
    <w:rPr>
      <w:rFonts w:ascii="仿宋_GB2312" w:eastAsia="仿宋_GB2312"/>
      <w:sz w:val="20"/>
      <w:szCs w:val="20"/>
    </w:rPr>
  </w:style>
  <w:style w:type="paragraph" w:styleId="857">
    <w:name w:val="Body Text 3"/>
    <w:basedOn w:val="836"/>
    <w:link w:val="1068"/>
    <w:uiPriority w:val="99"/>
    <w:qFormat/>
    <w:pPr>
      <w:spacing w:after="120"/>
    </w:pPr>
    <w:rPr>
      <w:sz w:val="16"/>
      <w:szCs w:val="16"/>
    </w:rPr>
  </w:style>
  <w:style w:type="paragraph" w:styleId="858">
    <w:name w:val="Body Text"/>
    <w:basedOn w:val="836"/>
    <w:link w:val="1057"/>
    <w:uiPriority w:val="99"/>
    <w:qFormat/>
    <w:pPr>
      <w:spacing w:after="120"/>
    </w:pPr>
    <w:rPr>
      <w:sz w:val="24"/>
    </w:rPr>
  </w:style>
  <w:style w:type="paragraph" w:styleId="859">
    <w:name w:val="Body Text Indent"/>
    <w:basedOn w:val="836"/>
    <w:next w:val="860"/>
    <w:link w:val="1069"/>
    <w:uiPriority w:val="99"/>
    <w:qFormat/>
    <w:pPr>
      <w:ind w:left="420"/>
      <w:spacing w:after="120"/>
    </w:pPr>
    <w:rPr>
      <w:sz w:val="24"/>
    </w:rPr>
  </w:style>
  <w:style w:type="paragraph" w:styleId="860">
    <w:name w:val="envelope return"/>
    <w:basedOn w:val="836"/>
    <w:uiPriority w:val="99"/>
    <w:unhideWhenUsed/>
    <w:qFormat/>
    <w:rPr>
      <w:rFonts w:ascii="Arial" w:hAnsi="Arial"/>
    </w:rPr>
  </w:style>
  <w:style w:type="paragraph" w:styleId="861">
    <w:name w:val="List 2"/>
    <w:basedOn w:val="836"/>
    <w:uiPriority w:val="99"/>
    <w:qFormat/>
    <w:pPr>
      <w:ind w:left="100" w:hanging="200"/>
    </w:pPr>
    <w:rPr>
      <w:szCs w:val="21"/>
    </w:rPr>
  </w:style>
  <w:style w:type="paragraph" w:styleId="862">
    <w:name w:val="index 4"/>
    <w:basedOn w:val="836"/>
    <w:next w:val="836"/>
    <w:uiPriority w:val="99"/>
    <w:qFormat/>
    <w:pPr>
      <w:ind w:left="600"/>
    </w:pPr>
    <w:rPr>
      <w:rFonts w:ascii="Calibri" w:hAnsi="Calibri"/>
    </w:rPr>
  </w:style>
  <w:style w:type="paragraph" w:styleId="863">
    <w:name w:val="toc 5"/>
    <w:basedOn w:val="836"/>
    <w:next w:val="836"/>
    <w:uiPriority w:val="99"/>
    <w:semiHidden/>
    <w:qFormat/>
    <w:pPr>
      <w:ind w:left="840"/>
      <w:jc w:val="left"/>
    </w:pPr>
    <w:rPr>
      <w:szCs w:val="21"/>
    </w:rPr>
  </w:style>
  <w:style w:type="paragraph" w:styleId="864">
    <w:name w:val="toc 3"/>
    <w:basedOn w:val="836"/>
    <w:next w:val="836"/>
    <w:uiPriority w:val="99"/>
    <w:semiHidden/>
    <w:qFormat/>
    <w:pPr>
      <w:ind w:left="840"/>
    </w:pPr>
  </w:style>
  <w:style w:type="paragraph" w:styleId="865">
    <w:name w:val="Plain Text"/>
    <w:basedOn w:val="836"/>
    <w:link w:val="1070"/>
    <w:uiPriority w:val="99"/>
    <w:qFormat/>
    <w:rPr>
      <w:rFonts w:ascii="宋体" w:hAnsi="Courier New"/>
      <w:szCs w:val="21"/>
    </w:rPr>
  </w:style>
  <w:style w:type="paragraph" w:styleId="866">
    <w:name w:val="toc 8"/>
    <w:basedOn w:val="836"/>
    <w:next w:val="836"/>
    <w:uiPriority w:val="99"/>
    <w:semiHidden/>
    <w:qFormat/>
    <w:pPr>
      <w:ind w:left="1470"/>
      <w:jc w:val="left"/>
    </w:pPr>
    <w:rPr>
      <w:szCs w:val="21"/>
    </w:rPr>
  </w:style>
  <w:style w:type="paragraph" w:styleId="867">
    <w:name w:val="index 3"/>
    <w:basedOn w:val="836"/>
    <w:next w:val="836"/>
    <w:uiPriority w:val="99"/>
    <w:semiHidden/>
    <w:qFormat/>
    <w:pPr>
      <w:ind w:left="840"/>
    </w:pPr>
    <w:rPr>
      <w:szCs w:val="20"/>
    </w:rPr>
  </w:style>
  <w:style w:type="paragraph" w:styleId="868">
    <w:name w:val="Date"/>
    <w:basedOn w:val="836"/>
    <w:next w:val="836"/>
    <w:link w:val="1071"/>
    <w:uiPriority w:val="99"/>
    <w:qFormat/>
    <w:pPr>
      <w:ind w:left="100"/>
    </w:pPr>
    <w:rPr>
      <w:sz w:val="20"/>
      <w:szCs w:val="20"/>
    </w:rPr>
  </w:style>
  <w:style w:type="paragraph" w:styleId="869">
    <w:name w:val="Body Text Indent 2"/>
    <w:basedOn w:val="836"/>
    <w:link w:val="1072"/>
    <w:uiPriority w:val="99"/>
    <w:qFormat/>
    <w:pPr>
      <w:ind w:firstLine="480"/>
      <w:spacing w:line="400" w:lineRule="exact"/>
    </w:pPr>
    <w:rPr>
      <w:rFonts w:ascii="宋体" w:hAnsi="宋体"/>
      <w:sz w:val="24"/>
    </w:rPr>
  </w:style>
  <w:style w:type="paragraph" w:styleId="870">
    <w:name w:val="endnote text"/>
    <w:basedOn w:val="836"/>
    <w:link w:val="1073"/>
    <w:uiPriority w:val="99"/>
    <w:semiHidden/>
    <w:qFormat/>
    <w:pPr>
      <w:jc w:val="left"/>
    </w:pPr>
    <w:rPr>
      <w:sz w:val="24"/>
    </w:rPr>
  </w:style>
  <w:style w:type="paragraph" w:styleId="871">
    <w:name w:val="Balloon Text"/>
    <w:basedOn w:val="836"/>
    <w:link w:val="1074"/>
    <w:uiPriority w:val="99"/>
    <w:semiHidden/>
    <w:qFormat/>
    <w:rPr>
      <w:sz w:val="18"/>
      <w:szCs w:val="18"/>
    </w:rPr>
  </w:style>
  <w:style w:type="paragraph" w:styleId="872">
    <w:name w:val="Footer"/>
    <w:basedOn w:val="836"/>
    <w:link w:val="1075"/>
    <w:uiPriority w:val="0"/>
    <w:qFormat/>
    <w:pPr>
      <w:jc w:val="left"/>
      <w:tabs>
        <w:tab w:val="center" w:pos="4153" w:leader="none"/>
        <w:tab w:val="right" w:pos="8306" w:leader="none"/>
      </w:tabs>
    </w:pPr>
    <w:rPr>
      <w:sz w:val="18"/>
      <w:szCs w:val="18"/>
    </w:rPr>
  </w:style>
  <w:style w:type="paragraph" w:styleId="873">
    <w:name w:val="Header"/>
    <w:basedOn w:val="836"/>
    <w:link w:val="1076"/>
    <w:uiPriority w:val="0"/>
    <w:qFormat/>
    <w:pPr>
      <w:jc w:val="center"/>
      <w:tabs>
        <w:tab w:val="center" w:pos="4153" w:leader="none"/>
        <w:tab w:val="right" w:pos="8306" w:leader="none"/>
      </w:tabs>
      <w:pBdr>
        <w:bottom w:val="single" w:color="auto" w:sz="6" w:space="1"/>
      </w:pBdr>
    </w:pPr>
    <w:rPr>
      <w:sz w:val="18"/>
      <w:szCs w:val="18"/>
    </w:rPr>
  </w:style>
  <w:style w:type="paragraph" w:styleId="874">
    <w:name w:val="Signature"/>
    <w:basedOn w:val="836"/>
    <w:link w:val="1077"/>
    <w:uiPriority w:val="99"/>
    <w:qFormat/>
    <w:pPr>
      <w:jc w:val="center"/>
      <w:spacing w:after="600" w:line="312" w:lineRule="atLeast"/>
    </w:pPr>
    <w:rPr>
      <w:rFonts w:eastAsia="仿宋_GB2312"/>
      <w:sz w:val="20"/>
      <w:szCs w:val="20"/>
    </w:rPr>
  </w:style>
  <w:style w:type="paragraph" w:styleId="875">
    <w:name w:val="toc 1"/>
    <w:basedOn w:val="836"/>
    <w:next w:val="836"/>
    <w:uiPriority w:val="99"/>
    <w:semiHidden/>
    <w:qFormat/>
  </w:style>
  <w:style w:type="paragraph" w:styleId="876">
    <w:name w:val="toc 4"/>
    <w:basedOn w:val="836"/>
    <w:next w:val="836"/>
    <w:uiPriority w:val="99"/>
    <w:semiHidden/>
    <w:qFormat/>
    <w:pPr>
      <w:ind w:left="630"/>
      <w:jc w:val="left"/>
    </w:pPr>
    <w:rPr>
      <w:szCs w:val="21"/>
    </w:rPr>
  </w:style>
  <w:style w:type="paragraph" w:styleId="877">
    <w:name w:val="index heading"/>
    <w:basedOn w:val="836"/>
    <w:next w:val="878"/>
    <w:uiPriority w:val="99"/>
    <w:semiHidden/>
    <w:qFormat/>
    <w:rPr>
      <w:szCs w:val="20"/>
    </w:rPr>
  </w:style>
  <w:style w:type="paragraph" w:styleId="878">
    <w:name w:val="index 1"/>
    <w:basedOn w:val="836"/>
    <w:next w:val="836"/>
    <w:uiPriority w:val="99"/>
    <w:semiHidden/>
    <w:qFormat/>
    <w:pPr>
      <w:jc w:val="center"/>
      <w:tabs>
        <w:tab w:val="left" w:pos="1260" w:leader="none"/>
      </w:tabs>
    </w:pPr>
    <w:rPr>
      <w:rFonts w:ascii="仿宋_GB2312" w:hAnsi="宋体" w:eastAsia="仿宋_GB2312"/>
      <w:sz w:val="30"/>
      <w:szCs w:val="20"/>
    </w:rPr>
  </w:style>
  <w:style w:type="paragraph" w:styleId="879">
    <w:name w:val="Subtitle"/>
    <w:basedOn w:val="836"/>
    <w:next w:val="836"/>
    <w:link w:val="1078"/>
    <w:uiPriority w:val="99"/>
    <w:qFormat/>
    <w:pPr>
      <w:jc w:val="left"/>
      <w:spacing w:after="600" w:line="276" w:lineRule="auto"/>
      <w:widowControl/>
    </w:pPr>
    <w:rPr>
      <w:rFonts w:ascii="Cambria" w:hAnsi="Cambria"/>
      <w:i/>
      <w:iCs/>
      <w:spacing w:val="13"/>
      <w:sz w:val="24"/>
      <w:lang w:eastAsia="en-US"/>
    </w:rPr>
  </w:style>
  <w:style w:type="paragraph" w:styleId="880">
    <w:name w:val="List"/>
    <w:basedOn w:val="836"/>
    <w:uiPriority w:val="99"/>
    <w:qFormat/>
    <w:pPr>
      <w:ind w:left="200" w:hanging="200"/>
    </w:pPr>
    <w:rPr>
      <w:szCs w:val="21"/>
    </w:rPr>
  </w:style>
  <w:style w:type="paragraph" w:styleId="881">
    <w:name w:val="footnote text"/>
    <w:basedOn w:val="836"/>
    <w:link w:val="1079"/>
    <w:uiPriority w:val="99"/>
    <w:semiHidden/>
    <w:qFormat/>
    <w:pPr>
      <w:jc w:val="left"/>
    </w:pPr>
    <w:rPr>
      <w:sz w:val="18"/>
      <w:szCs w:val="18"/>
    </w:rPr>
  </w:style>
  <w:style w:type="paragraph" w:styleId="882">
    <w:name w:val="toc 6"/>
    <w:basedOn w:val="836"/>
    <w:next w:val="836"/>
    <w:uiPriority w:val="99"/>
    <w:semiHidden/>
    <w:qFormat/>
    <w:pPr>
      <w:ind w:left="1050"/>
      <w:jc w:val="left"/>
    </w:pPr>
    <w:rPr>
      <w:szCs w:val="21"/>
    </w:rPr>
  </w:style>
  <w:style w:type="paragraph" w:styleId="883">
    <w:name w:val="Body Text Indent 3"/>
    <w:basedOn w:val="836"/>
    <w:link w:val="1080"/>
    <w:uiPriority w:val="99"/>
    <w:qFormat/>
    <w:pPr>
      <w:ind w:left="480"/>
      <w:spacing w:before="120" w:after="120" w:line="264" w:lineRule="auto"/>
    </w:pPr>
    <w:rPr>
      <w:b/>
      <w:bCs/>
      <w:sz w:val="20"/>
      <w:szCs w:val="20"/>
    </w:rPr>
  </w:style>
  <w:style w:type="paragraph" w:styleId="884">
    <w:name w:val="table of figures"/>
    <w:basedOn w:val="836"/>
    <w:next w:val="836"/>
    <w:uiPriority w:val="99"/>
    <w:semiHidden/>
    <w:qFormat/>
    <w:pPr>
      <w:ind w:left="840" w:hanging="420"/>
    </w:pPr>
    <w:rPr>
      <w:szCs w:val="21"/>
    </w:rPr>
  </w:style>
  <w:style w:type="paragraph" w:styleId="885">
    <w:name w:val="toc 2"/>
    <w:basedOn w:val="836"/>
    <w:next w:val="836"/>
    <w:uiPriority w:val="99"/>
    <w:semiHidden/>
    <w:qFormat/>
    <w:pPr>
      <w:ind w:left="420"/>
    </w:pPr>
  </w:style>
  <w:style w:type="paragraph" w:styleId="886">
    <w:name w:val="toc 9"/>
    <w:basedOn w:val="836"/>
    <w:next w:val="836"/>
    <w:uiPriority w:val="99"/>
    <w:semiHidden/>
    <w:qFormat/>
    <w:pPr>
      <w:ind w:left="1680"/>
      <w:jc w:val="left"/>
    </w:pPr>
    <w:rPr>
      <w:szCs w:val="21"/>
    </w:rPr>
  </w:style>
  <w:style w:type="paragraph" w:styleId="887">
    <w:name w:val="Body Text 2"/>
    <w:basedOn w:val="836"/>
    <w:link w:val="1081"/>
    <w:uiPriority w:val="99"/>
    <w:qFormat/>
    <w:pPr>
      <w:jc w:val="center"/>
    </w:pPr>
    <w:rPr>
      <w:b/>
      <w:bCs/>
      <w:sz w:val="20"/>
      <w:szCs w:val="20"/>
    </w:rPr>
  </w:style>
  <w:style w:type="paragraph" w:styleId="888">
    <w:name w:val="HTML Preformatted"/>
    <w:basedOn w:val="836"/>
    <w:link w:val="108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89">
    <w:name w:val="Normal (Web)"/>
    <w:basedOn w:val="836"/>
    <w:uiPriority w:val="99"/>
    <w:qFormat/>
    <w:pPr>
      <w:jc w:val="left"/>
      <w:spacing w:before="100" w:beforeAutospacing="1" w:after="100" w:afterAutospacing="1"/>
      <w:widowControl/>
    </w:pPr>
    <w:rPr>
      <w:rFonts w:ascii="宋体" w:hAnsi="宋体" w:cs="宋体"/>
      <w:sz w:val="24"/>
    </w:rPr>
  </w:style>
  <w:style w:type="paragraph" w:styleId="890">
    <w:name w:val="index 2"/>
    <w:basedOn w:val="836"/>
    <w:next w:val="836"/>
    <w:uiPriority w:val="99"/>
    <w:semiHidden/>
    <w:qFormat/>
    <w:pPr>
      <w:ind w:left="420"/>
      <w:jc w:val="center"/>
    </w:pPr>
    <w:rPr>
      <w:rFonts w:ascii="宋体" w:hAnsi="宋体"/>
      <w:b/>
      <w:sz w:val="32"/>
      <w:szCs w:val="20"/>
    </w:rPr>
  </w:style>
  <w:style w:type="paragraph" w:styleId="891">
    <w:name w:val="Title"/>
    <w:basedOn w:val="836"/>
    <w:link w:val="1083"/>
    <w:uiPriority w:val="99"/>
    <w:qFormat/>
    <w:pPr>
      <w:jc w:val="center"/>
      <w:spacing w:line="420" w:lineRule="exact"/>
      <w:widowControl/>
    </w:pPr>
    <w:rPr>
      <w:rFonts w:eastAsia="黑体"/>
      <w:b/>
      <w:sz w:val="20"/>
      <w:szCs w:val="20"/>
      <w:lang w:val="en-GB"/>
    </w:rPr>
  </w:style>
  <w:style w:type="paragraph" w:styleId="892">
    <w:name w:val="annotation subject"/>
    <w:basedOn w:val="855"/>
    <w:next w:val="855"/>
    <w:link w:val="1084"/>
    <w:uiPriority w:val="99"/>
    <w:semiHidden/>
    <w:qFormat/>
    <w:rPr>
      <w:b/>
      <w:bCs/>
      <w:sz w:val="24"/>
    </w:rPr>
  </w:style>
  <w:style w:type="paragraph" w:styleId="893">
    <w:name w:val="Body Text First Indent"/>
    <w:basedOn w:val="858"/>
    <w:link w:val="1085"/>
    <w:uiPriority w:val="99"/>
    <w:qFormat/>
    <w:pPr>
      <w:ind w:firstLine="420"/>
    </w:pPr>
  </w:style>
  <w:style w:type="paragraph" w:styleId="894">
    <w:name w:val="Body Text First Indent 2"/>
    <w:basedOn w:val="859"/>
    <w:next w:val="836"/>
    <w:link w:val="1086"/>
    <w:uiPriority w:val="99"/>
    <w:qFormat/>
    <w:pPr>
      <w:ind w:left="0" w:firstLine="420"/>
      <w:spacing w:after="0" w:line="360" w:lineRule="auto"/>
    </w:pPr>
    <w:rPr>
      <w:rFonts w:ascii="宋体" w:hAnsi="宋体"/>
      <w:sz w:val="20"/>
      <w:szCs w:val="20"/>
    </w:rPr>
  </w:style>
  <w:style w:type="table" w:styleId="895">
    <w:name w:val="Table Grid"/>
    <w:basedOn w:val="847"/>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6">
    <w:name w:val="Strong"/>
    <w:uiPriority w:val="99"/>
    <w:qFormat/>
    <w:rPr>
      <w:rFonts w:cs="Times New Roman"/>
      <w:b/>
    </w:rPr>
  </w:style>
  <w:style w:type="character" w:styleId="897">
    <w:name w:val="endnote reference"/>
    <w:uiPriority w:val="99"/>
    <w:semiHidden/>
    <w:qFormat/>
    <w:rPr>
      <w:rFonts w:cs="Times New Roman"/>
      <w:vertAlign w:val="superscript"/>
    </w:rPr>
  </w:style>
  <w:style w:type="character" w:styleId="898">
    <w:name w:val="page number"/>
    <w:uiPriority w:val="99"/>
    <w:qFormat/>
    <w:rPr>
      <w:rFonts w:cs="Times New Roman"/>
    </w:rPr>
  </w:style>
  <w:style w:type="character" w:styleId="899">
    <w:name w:val="FollowedHyperlink"/>
    <w:uiPriority w:val="99"/>
    <w:qFormat/>
    <w:rPr>
      <w:rFonts w:cs="Times New Roman"/>
      <w:color w:val="auto"/>
      <w:u w:val="none"/>
    </w:rPr>
  </w:style>
  <w:style w:type="character" w:styleId="900">
    <w:name w:val="Emphasis"/>
    <w:uiPriority w:val="99"/>
    <w:qFormat/>
    <w:rPr>
      <w:rFonts w:cs="Times New Roman"/>
      <w:b/>
      <w:i/>
      <w:spacing w:val="10"/>
      <w:shd w:val="clear" w:color="auto" w:fill="auto"/>
    </w:rPr>
  </w:style>
  <w:style w:type="character" w:styleId="901">
    <w:name w:val="line number"/>
    <w:uiPriority w:val="99"/>
    <w:qFormat/>
    <w:rPr>
      <w:rFonts w:cs="Times New Roman"/>
    </w:rPr>
  </w:style>
  <w:style w:type="character" w:styleId="902">
    <w:name w:val="HTML Typewriter"/>
    <w:uiPriority w:val="99"/>
    <w:qFormat/>
    <w:rPr>
      <w:rFonts w:ascii="宋体" w:hAnsi="宋体" w:eastAsia="宋体" w:cs="Times New Roman"/>
      <w:sz w:val="24"/>
    </w:rPr>
  </w:style>
  <w:style w:type="character" w:styleId="903">
    <w:name w:val="Hyperlink"/>
    <w:uiPriority w:val="99"/>
    <w:qFormat/>
    <w:rPr>
      <w:rFonts w:cs="Times New Roman"/>
      <w:color w:val="auto"/>
      <w:u w:val="none"/>
    </w:rPr>
  </w:style>
  <w:style w:type="character" w:styleId="904">
    <w:name w:val="annotation reference"/>
    <w:uiPriority w:val="0"/>
    <w:qFormat/>
    <w:rPr>
      <w:rFonts w:cs="Times New Roman"/>
      <w:sz w:val="21"/>
    </w:rPr>
  </w:style>
  <w:style w:type="character" w:styleId="905">
    <w:name w:val="footnote reference"/>
    <w:uiPriority w:val="99"/>
    <w:semiHidden/>
    <w:qFormat/>
    <w:rPr>
      <w:rFonts w:cs="Times New Roman"/>
      <w:vertAlign w:val="superscript"/>
    </w:rPr>
  </w:style>
  <w:style w:type="character" w:styleId="906">
    <w:name w:val="HTML Sample"/>
    <w:uiPriority w:val="99"/>
    <w:qFormat/>
    <w:rPr>
      <w:rFonts w:ascii="Courier New" w:hAnsi="宋体" w:eastAsia="宋体" w:cs="Times New Roman"/>
    </w:rPr>
  </w:style>
  <w:style w:type="character" w:styleId="907" w:customStyle="1">
    <w:name w:val="Heading 1 Char"/>
    <w:basedOn w:val="846"/>
    <w:uiPriority w:val="9"/>
    <w:qFormat/>
    <w:rPr>
      <w:rFonts w:ascii="Arial" w:hAnsi="Arial" w:eastAsia="Arial" w:cs="Arial"/>
      <w:sz w:val="40"/>
      <w:szCs w:val="40"/>
    </w:rPr>
  </w:style>
  <w:style w:type="character" w:styleId="908" w:customStyle="1">
    <w:name w:val="Heading 2 Char"/>
    <w:basedOn w:val="846"/>
    <w:uiPriority w:val="9"/>
    <w:qFormat/>
    <w:rPr>
      <w:rFonts w:ascii="Arial" w:hAnsi="Arial" w:eastAsia="Arial" w:cs="Arial"/>
      <w:sz w:val="34"/>
    </w:rPr>
  </w:style>
  <w:style w:type="character" w:styleId="909" w:customStyle="1">
    <w:name w:val="Heading 3 Char"/>
    <w:basedOn w:val="846"/>
    <w:uiPriority w:val="9"/>
    <w:qFormat/>
    <w:rPr>
      <w:rFonts w:ascii="Arial" w:hAnsi="Arial" w:eastAsia="Arial" w:cs="Arial"/>
      <w:sz w:val="30"/>
      <w:szCs w:val="30"/>
    </w:rPr>
  </w:style>
  <w:style w:type="character" w:styleId="910" w:customStyle="1">
    <w:name w:val="Heading 4 Char"/>
    <w:basedOn w:val="846"/>
    <w:uiPriority w:val="9"/>
    <w:rPr>
      <w:rFonts w:ascii="Arial" w:hAnsi="Arial" w:eastAsia="Arial" w:cs="Arial"/>
      <w:b/>
      <w:bCs/>
      <w:sz w:val="26"/>
      <w:szCs w:val="26"/>
    </w:rPr>
  </w:style>
  <w:style w:type="character" w:styleId="911" w:customStyle="1">
    <w:name w:val="Heading 5 Char"/>
    <w:basedOn w:val="846"/>
    <w:uiPriority w:val="9"/>
    <w:rPr>
      <w:rFonts w:ascii="Arial" w:hAnsi="Arial" w:eastAsia="Arial" w:cs="Arial"/>
      <w:b/>
      <w:bCs/>
      <w:sz w:val="24"/>
      <w:szCs w:val="24"/>
    </w:rPr>
  </w:style>
  <w:style w:type="character" w:styleId="912" w:customStyle="1">
    <w:name w:val="Heading 6 Char"/>
    <w:basedOn w:val="846"/>
    <w:uiPriority w:val="9"/>
    <w:qFormat/>
    <w:rPr>
      <w:rFonts w:ascii="Arial" w:hAnsi="Arial" w:eastAsia="Arial" w:cs="Arial"/>
      <w:b/>
      <w:bCs/>
      <w:sz w:val="22"/>
      <w:szCs w:val="22"/>
    </w:rPr>
  </w:style>
  <w:style w:type="character" w:styleId="913" w:customStyle="1">
    <w:name w:val="Heading 7 Char"/>
    <w:basedOn w:val="846"/>
    <w:uiPriority w:val="9"/>
    <w:qFormat/>
    <w:rPr>
      <w:rFonts w:ascii="Arial" w:hAnsi="Arial" w:eastAsia="Arial" w:cs="Arial"/>
      <w:b/>
      <w:bCs/>
      <w:i/>
      <w:iCs/>
      <w:sz w:val="22"/>
      <w:szCs w:val="22"/>
    </w:rPr>
  </w:style>
  <w:style w:type="character" w:styleId="914" w:customStyle="1">
    <w:name w:val="Heading 8 Char"/>
    <w:basedOn w:val="846"/>
    <w:uiPriority w:val="9"/>
    <w:qFormat/>
    <w:rPr>
      <w:rFonts w:ascii="Arial" w:hAnsi="Arial" w:eastAsia="Arial" w:cs="Arial"/>
      <w:i/>
      <w:iCs/>
      <w:sz w:val="22"/>
      <w:szCs w:val="22"/>
    </w:rPr>
  </w:style>
  <w:style w:type="character" w:styleId="915" w:customStyle="1">
    <w:name w:val="Heading 9 Char"/>
    <w:basedOn w:val="846"/>
    <w:uiPriority w:val="9"/>
    <w:qFormat/>
    <w:rPr>
      <w:rFonts w:ascii="Arial" w:hAnsi="Arial" w:eastAsia="Arial" w:cs="Arial"/>
      <w:i/>
      <w:iCs/>
      <w:sz w:val="21"/>
      <w:szCs w:val="21"/>
    </w:rPr>
  </w:style>
  <w:style w:type="paragraph" w:styleId="916">
    <w:name w:val="No Spacing"/>
    <w:uiPriority w:val="1"/>
    <w:qFormat/>
    <w:rPr>
      <w:rFonts w:ascii="Times New Roman" w:hAnsi="Times New Roman" w:eastAsia="宋体" w:cs="Times New Roman"/>
      <w:lang w:val="en-US" w:eastAsia="zh-CN" w:bidi="ar-SA"/>
    </w:rPr>
  </w:style>
  <w:style w:type="character" w:styleId="917" w:customStyle="1">
    <w:name w:val="Title Char"/>
    <w:basedOn w:val="846"/>
    <w:uiPriority w:val="10"/>
    <w:qFormat/>
    <w:rPr>
      <w:sz w:val="48"/>
      <w:szCs w:val="48"/>
    </w:rPr>
  </w:style>
  <w:style w:type="character" w:styleId="918" w:customStyle="1">
    <w:name w:val="Subtitle Char"/>
    <w:basedOn w:val="846"/>
    <w:uiPriority w:val="11"/>
    <w:qFormat/>
    <w:rPr>
      <w:sz w:val="24"/>
      <w:szCs w:val="24"/>
    </w:rPr>
  </w:style>
  <w:style w:type="paragraph" w:styleId="919">
    <w:name w:val="Quote"/>
    <w:basedOn w:val="836"/>
    <w:next w:val="836"/>
    <w:uiPriority w:val="29"/>
    <w:qFormat/>
    <w:pPr>
      <w:ind w:left="720" w:right="720"/>
    </w:pPr>
    <w:rPr>
      <w:i/>
    </w:rPr>
  </w:style>
  <w:style w:type="paragraph" w:styleId="920">
    <w:name w:val="Intense Quote"/>
    <w:basedOn w:val="836"/>
    <w:next w:val="8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customStyle="1">
    <w:name w:val="Header Char"/>
    <w:basedOn w:val="846"/>
    <w:uiPriority w:val="99"/>
    <w:qFormat/>
  </w:style>
  <w:style w:type="character" w:styleId="922" w:customStyle="1">
    <w:name w:val="Footer Char"/>
    <w:basedOn w:val="846"/>
    <w:uiPriority w:val="99"/>
    <w:qFormat/>
  </w:style>
  <w:style w:type="character" w:styleId="923" w:customStyle="1">
    <w:name w:val="Caption Char"/>
    <w:uiPriority w:val="99"/>
    <w:qFormat/>
  </w:style>
  <w:style w:type="table" w:styleId="924" w:customStyle="1">
    <w:name w:val="Table Grid Light"/>
    <w:basedOn w:val="84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25" w:customStyle="1">
    <w:name w:val="无格式表格 11"/>
    <w:basedOn w:val="84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6" w:customStyle="1">
    <w:name w:val="无格式表格 21"/>
    <w:basedOn w:val="84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7" w:customStyle="1">
    <w:name w:val="无格式表格 31"/>
    <w:basedOn w:val="8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8" w:customStyle="1">
    <w:name w:val="无格式表格 41"/>
    <w:basedOn w:val="8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9" w:customStyle="1">
    <w:name w:val="无格式表格 51"/>
    <w:basedOn w:val="8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0" w:customStyle="1">
    <w:name w:val="网格表 1 浅色1"/>
    <w:basedOn w:val="84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1"/>
    <w:basedOn w:val="84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2"/>
    <w:basedOn w:val="84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3"/>
    <w:basedOn w:val="84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4"/>
    <w:basedOn w:val="84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5"/>
    <w:basedOn w:val="84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6"/>
    <w:basedOn w:val="84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7" w:customStyle="1">
    <w:name w:val="网格表 21"/>
    <w:basedOn w:val="8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8" w:customStyle="1">
    <w:name w:val="Grid Table 2 - Accent 1"/>
    <w:basedOn w:val="84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9" w:customStyle="1">
    <w:name w:val="Grid Table 2 - Accent 2"/>
    <w:basedOn w:val="84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0" w:customStyle="1">
    <w:name w:val="Grid Table 2 - Accent 3"/>
    <w:basedOn w:val="84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1" w:customStyle="1">
    <w:name w:val="Grid Table 2 - Accent 4"/>
    <w:basedOn w:val="84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Grid Table 2 - Accent 5"/>
    <w:basedOn w:val="84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3" w:customStyle="1">
    <w:name w:val="Grid Table 2 - Accent 6"/>
    <w:basedOn w:val="84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4" w:customStyle="1">
    <w:name w:val="网格表 31"/>
    <w:basedOn w:val="8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1"/>
    <w:basedOn w:val="84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2"/>
    <w:basedOn w:val="84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3"/>
    <w:basedOn w:val="84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4"/>
    <w:basedOn w:val="84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5"/>
    <w:basedOn w:val="84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6"/>
    <w:basedOn w:val="84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网格表 41"/>
    <w:basedOn w:val="84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2" w:customStyle="1">
    <w:name w:val="Grid Table 4 - Accent 1"/>
    <w:basedOn w:val="84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3" w:customStyle="1">
    <w:name w:val="Grid Table 4 - Accent 2"/>
    <w:basedOn w:val="84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4" w:customStyle="1">
    <w:name w:val="Grid Table 4 - Accent 3"/>
    <w:basedOn w:val="84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5" w:customStyle="1">
    <w:name w:val="Grid Table 4 - Accent 4"/>
    <w:basedOn w:val="84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6" w:customStyle="1">
    <w:name w:val="Grid Table 4 - Accent 5"/>
    <w:basedOn w:val="84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7" w:customStyle="1">
    <w:name w:val="Grid Table 4 - Accent 6"/>
    <w:basedOn w:val="84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8" w:customStyle="1">
    <w:name w:val="网格表 5 深色1"/>
    <w:basedOn w:val="8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9" w:customStyle="1">
    <w:name w:val="Grid Table 5 Dark- Accent 1"/>
    <w:basedOn w:val="8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0" w:customStyle="1">
    <w:name w:val="Grid Table 5 Dark - Accent 2"/>
    <w:basedOn w:val="8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1" w:customStyle="1">
    <w:name w:val="Grid Table 5 Dark - Accent 3"/>
    <w:basedOn w:val="8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2" w:customStyle="1">
    <w:name w:val="Grid Table 5 Dark- Accent 4"/>
    <w:basedOn w:val="8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3" w:customStyle="1">
    <w:name w:val="Grid Table 5 Dark - Accent 5"/>
    <w:basedOn w:val="8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4" w:customStyle="1">
    <w:name w:val="Grid Table 5 Dark - Accent 6"/>
    <w:basedOn w:val="8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5" w:customStyle="1">
    <w:name w:val="网格表 6 彩色1"/>
    <w:basedOn w:val="84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6" w:customStyle="1">
    <w:name w:val="Grid Table 6 Colorful - Accent 1"/>
    <w:basedOn w:val="84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7" w:customStyle="1">
    <w:name w:val="Grid Table 6 Colorful - Accent 2"/>
    <w:basedOn w:val="84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8" w:customStyle="1">
    <w:name w:val="Grid Table 6 Colorful - Accent 3"/>
    <w:basedOn w:val="84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69" w:customStyle="1">
    <w:name w:val="Grid Table 6 Colorful - Accent 4"/>
    <w:basedOn w:val="84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0" w:customStyle="1">
    <w:name w:val="Grid Table 6 Colorful - Accent 5"/>
    <w:basedOn w:val="84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1" w:customStyle="1">
    <w:name w:val="Grid Table 6 Colorful - Accent 6"/>
    <w:basedOn w:val="84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2" w:customStyle="1">
    <w:name w:val="网格表 7 彩色1"/>
    <w:basedOn w:val="84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3" w:customStyle="1">
    <w:name w:val="Grid Table 7 Colorful - Accent 1"/>
    <w:basedOn w:val="84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4" w:customStyle="1">
    <w:name w:val="Grid Table 7 Colorful - Accent 2"/>
    <w:basedOn w:val="84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5" w:customStyle="1">
    <w:name w:val="Grid Table 7 Colorful - Accent 3"/>
    <w:basedOn w:val="84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6" w:customStyle="1">
    <w:name w:val="Grid Table 7 Colorful - Accent 4"/>
    <w:basedOn w:val="84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7" w:customStyle="1">
    <w:name w:val="Grid Table 7 Colorful - Accent 5"/>
    <w:basedOn w:val="84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8" w:customStyle="1">
    <w:name w:val="Grid Table 7 Colorful - Accent 6"/>
    <w:basedOn w:val="84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9" w:customStyle="1">
    <w:name w:val="清单表 1 浅色1"/>
    <w:basedOn w:val="84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0" w:customStyle="1">
    <w:name w:val="List Table 1 Light - Accent 1"/>
    <w:basedOn w:val="84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1" w:customStyle="1">
    <w:name w:val="List Table 1 Light - Accent 2"/>
    <w:basedOn w:val="84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2" w:customStyle="1">
    <w:name w:val="List Table 1 Light - Accent 3"/>
    <w:basedOn w:val="84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3" w:customStyle="1">
    <w:name w:val="List Table 1 Light - Accent 4"/>
    <w:basedOn w:val="84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4" w:customStyle="1">
    <w:name w:val="List Table 1 Light - Accent 5"/>
    <w:basedOn w:val="84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5" w:customStyle="1">
    <w:name w:val="List Table 1 Light - Accent 6"/>
    <w:basedOn w:val="84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6" w:customStyle="1">
    <w:name w:val="清单表 21"/>
    <w:basedOn w:val="84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7" w:customStyle="1">
    <w:name w:val="List Table 2 - Accent 1"/>
    <w:basedOn w:val="84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8" w:customStyle="1">
    <w:name w:val="List Table 2 - Accent 2"/>
    <w:basedOn w:val="84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9" w:customStyle="1">
    <w:name w:val="List Table 2 - Accent 3"/>
    <w:basedOn w:val="84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0" w:customStyle="1">
    <w:name w:val="List Table 2 - Accent 4"/>
    <w:basedOn w:val="84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1" w:customStyle="1">
    <w:name w:val="List Table 2 - Accent 5"/>
    <w:basedOn w:val="84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2" w:customStyle="1">
    <w:name w:val="List Table 2 - Accent 6"/>
    <w:basedOn w:val="84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3" w:customStyle="1">
    <w:name w:val="清单表 31"/>
    <w:basedOn w:val="8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4" w:customStyle="1">
    <w:name w:val="List Table 3 - Accent 1"/>
    <w:basedOn w:val="84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5" w:customStyle="1">
    <w:name w:val="List Table 3 - Accent 2"/>
    <w:basedOn w:val="84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6" w:customStyle="1">
    <w:name w:val="List Table 3 - Accent 3"/>
    <w:basedOn w:val="84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7" w:customStyle="1">
    <w:name w:val="List Table 3 - Accent 4"/>
    <w:basedOn w:val="84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8" w:customStyle="1">
    <w:name w:val="List Table 3 - Accent 5"/>
    <w:basedOn w:val="84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9" w:customStyle="1">
    <w:name w:val="List Table 3 - Accent 6"/>
    <w:basedOn w:val="84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0" w:customStyle="1">
    <w:name w:val="清单表 41"/>
    <w:basedOn w:val="8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1" w:customStyle="1">
    <w:name w:val="List Table 4 - Accent 1"/>
    <w:basedOn w:val="84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2" w:customStyle="1">
    <w:name w:val="List Table 4 - Accent 2"/>
    <w:basedOn w:val="84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3" w:customStyle="1">
    <w:name w:val="List Table 4 - Accent 3"/>
    <w:basedOn w:val="84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4" w:customStyle="1">
    <w:name w:val="List Table 4 - Accent 4"/>
    <w:basedOn w:val="84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5" w:customStyle="1">
    <w:name w:val="List Table 4 - Accent 5"/>
    <w:basedOn w:val="84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6" w:customStyle="1">
    <w:name w:val="List Table 4 - Accent 6"/>
    <w:basedOn w:val="84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7" w:customStyle="1">
    <w:name w:val="清单表 5 深色1"/>
    <w:basedOn w:val="84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1"/>
    <w:basedOn w:val="84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2"/>
    <w:basedOn w:val="84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3"/>
    <w:basedOn w:val="84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4"/>
    <w:basedOn w:val="84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5"/>
    <w:basedOn w:val="84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6"/>
    <w:basedOn w:val="84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清单表 6 彩色1"/>
    <w:basedOn w:val="84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5" w:customStyle="1">
    <w:name w:val="List Table 6 Colorful - Accent 1"/>
    <w:basedOn w:val="84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6" w:customStyle="1">
    <w:name w:val="List Table 6 Colorful - Accent 2"/>
    <w:basedOn w:val="84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7" w:customStyle="1">
    <w:name w:val="List Table 6 Colorful - Accent 3"/>
    <w:basedOn w:val="84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8" w:customStyle="1">
    <w:name w:val="List Table 6 Colorful - Accent 4"/>
    <w:basedOn w:val="84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9" w:customStyle="1">
    <w:name w:val="List Table 6 Colorful - Accent 5"/>
    <w:basedOn w:val="84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0" w:customStyle="1">
    <w:name w:val="List Table 6 Colorful - Accent 6"/>
    <w:basedOn w:val="84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1" w:customStyle="1">
    <w:name w:val="清单表 7 彩色1"/>
    <w:basedOn w:val="84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2" w:customStyle="1">
    <w:name w:val="List Table 7 Colorful - Accent 1"/>
    <w:basedOn w:val="84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3" w:customStyle="1">
    <w:name w:val="List Table 7 Colorful - Accent 2"/>
    <w:basedOn w:val="84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4" w:customStyle="1">
    <w:name w:val="List Table 7 Colorful - Accent 3"/>
    <w:basedOn w:val="84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5" w:customStyle="1">
    <w:name w:val="List Table 7 Colorful - Accent 4"/>
    <w:basedOn w:val="84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6" w:customStyle="1">
    <w:name w:val="List Table 7 Colorful - Accent 5"/>
    <w:basedOn w:val="84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7" w:customStyle="1">
    <w:name w:val="List Table 7 Colorful - Accent 6"/>
    <w:basedOn w:val="84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8" w:customStyle="1">
    <w:name w:val="Lined - Accent"/>
    <w:basedOn w:val="8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9" w:customStyle="1">
    <w:name w:val="Lined - Accent 1"/>
    <w:basedOn w:val="8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0" w:customStyle="1">
    <w:name w:val="Lined - Accent 2"/>
    <w:basedOn w:val="8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1" w:customStyle="1">
    <w:name w:val="Lined - Accent 3"/>
    <w:basedOn w:val="8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2" w:customStyle="1">
    <w:name w:val="Lined - Accent 4"/>
    <w:basedOn w:val="8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3" w:customStyle="1">
    <w:name w:val="Lined - Accent 5"/>
    <w:basedOn w:val="8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4" w:customStyle="1">
    <w:name w:val="Lined - Accent 6"/>
    <w:basedOn w:val="8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5" w:customStyle="1">
    <w:name w:val="Bordered &amp; Lined - Accent"/>
    <w:basedOn w:val="84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6" w:customStyle="1">
    <w:name w:val="Bordered &amp; Lined - Accent 1"/>
    <w:basedOn w:val="84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7" w:customStyle="1">
    <w:name w:val="Bordered &amp; Lined - Accent 2"/>
    <w:basedOn w:val="84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8" w:customStyle="1">
    <w:name w:val="Bordered &amp; Lined - Accent 3"/>
    <w:basedOn w:val="84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9" w:customStyle="1">
    <w:name w:val="Bordered &amp; Lined - Accent 4"/>
    <w:basedOn w:val="84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0" w:customStyle="1">
    <w:name w:val="Bordered &amp; Lined - Accent 5"/>
    <w:basedOn w:val="84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1" w:customStyle="1">
    <w:name w:val="Bordered &amp; Lined - Accent 6"/>
    <w:basedOn w:val="84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2" w:customStyle="1">
    <w:name w:val="Bordered"/>
    <w:basedOn w:val="84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3" w:customStyle="1">
    <w:name w:val="Bordered - Accent 1"/>
    <w:basedOn w:val="84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4" w:customStyle="1">
    <w:name w:val="Bordered - Accent 2"/>
    <w:basedOn w:val="84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5" w:customStyle="1">
    <w:name w:val="Bordered - Accent 3"/>
    <w:basedOn w:val="84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6" w:customStyle="1">
    <w:name w:val="Bordered - Accent 4"/>
    <w:basedOn w:val="84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7" w:customStyle="1">
    <w:name w:val="Bordered - Accent 5"/>
    <w:basedOn w:val="84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8" w:customStyle="1">
    <w:name w:val="Bordered - Accent 6"/>
    <w:basedOn w:val="84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9" w:customStyle="1">
    <w:name w:val="Footnote Text Char"/>
    <w:uiPriority w:val="99"/>
    <w:qFormat/>
    <w:rPr>
      <w:sz w:val="18"/>
    </w:rPr>
  </w:style>
  <w:style w:type="character" w:styleId="1050" w:customStyle="1">
    <w:name w:val="Endnote Text Char"/>
    <w:uiPriority w:val="99"/>
    <w:qFormat/>
    <w:rPr>
      <w:sz w:val="20"/>
    </w:rPr>
  </w:style>
  <w:style w:type="paragraph" w:styleId="1051" w:customStyle="1">
    <w:name w:val="TOC 标题1"/>
    <w:uiPriority w:val="39"/>
    <w:unhideWhenUsed/>
    <w:qFormat/>
    <w:rPr>
      <w:rFonts w:ascii="Times New Roman" w:hAnsi="Times New Roman" w:eastAsia="宋体" w:cs="Times New Roman"/>
      <w:lang w:val="en-US" w:eastAsia="zh-CN" w:bidi="ar-SA"/>
    </w:rPr>
  </w:style>
  <w:style w:type="character" w:styleId="1052" w:customStyle="1">
    <w:name w:val="标题 1 字符"/>
    <w:link w:val="837"/>
    <w:uiPriority w:val="99"/>
    <w:qFormat/>
    <w:rPr>
      <w:rFonts w:ascii="Times New Roman" w:hAnsi="Times New Roman" w:eastAsia="宋体"/>
      <w:b/>
      <w:sz w:val="44"/>
    </w:rPr>
  </w:style>
  <w:style w:type="character" w:styleId="1053" w:customStyle="1">
    <w:name w:val="标题 2 字符"/>
    <w:link w:val="838"/>
    <w:uiPriority w:val="99"/>
    <w:qFormat/>
    <w:rPr>
      <w:rFonts w:ascii="Arial" w:hAnsi="Arial" w:eastAsia="黑体"/>
      <w:b/>
      <w:sz w:val="32"/>
    </w:rPr>
  </w:style>
  <w:style w:type="paragraph" w:styleId="1054" w:customStyle="1">
    <w:name w:val="正文首行缩进1"/>
    <w:basedOn w:val="1055"/>
    <w:uiPriority w:val="0"/>
    <w:qFormat/>
    <w:pPr>
      <w:ind w:firstLine="100"/>
    </w:pPr>
  </w:style>
  <w:style w:type="paragraph" w:styleId="1055" w:customStyle="1">
    <w:name w:val="正文文本1"/>
    <w:basedOn w:val="836"/>
    <w:next w:val="836"/>
    <w:uiPriority w:val="0"/>
    <w:qFormat/>
    <w:rPr>
      <w:rFonts w:ascii="宋体"/>
      <w:sz w:val="28"/>
    </w:rPr>
  </w:style>
  <w:style w:type="paragraph" w:styleId="1056" w:customStyle="1">
    <w:name w:val="列出段落1"/>
    <w:basedOn w:val="836"/>
    <w:uiPriority w:val="99"/>
    <w:qFormat/>
    <w:pPr>
      <w:ind w:firstLine="420"/>
    </w:pPr>
    <w:rPr>
      <w:rFonts w:ascii="Calibri" w:hAnsi="Calibri"/>
      <w:szCs w:val="22"/>
    </w:rPr>
  </w:style>
  <w:style w:type="character" w:styleId="1057" w:customStyle="1">
    <w:name w:val="正文文本 字符1"/>
    <w:link w:val="858"/>
    <w:uiPriority w:val="99"/>
    <w:qFormat/>
    <w:rPr>
      <w:rFonts w:ascii="Times New Roman" w:hAnsi="Times New Roman" w:eastAsia="宋体" w:cs="Times New Roman"/>
      <w:sz w:val="24"/>
      <w:szCs w:val="24"/>
    </w:rPr>
  </w:style>
  <w:style w:type="character" w:styleId="1058" w:customStyle="1">
    <w:name w:val="标题 3 字符"/>
    <w:link w:val="839"/>
    <w:uiPriority w:val="99"/>
    <w:qFormat/>
    <w:rPr>
      <w:rFonts w:ascii="Times New Roman" w:hAnsi="Times New Roman" w:eastAsia="宋体"/>
      <w:b/>
      <w:sz w:val="32"/>
    </w:rPr>
  </w:style>
  <w:style w:type="character" w:styleId="1059" w:customStyle="1">
    <w:name w:val="标题 4 字符"/>
    <w:link w:val="840"/>
    <w:uiPriority w:val="99"/>
    <w:qFormat/>
    <w:rPr>
      <w:rFonts w:ascii="Arial" w:hAnsi="Arial" w:eastAsia="黑体"/>
      <w:b/>
      <w:sz w:val="20"/>
    </w:rPr>
  </w:style>
  <w:style w:type="character" w:styleId="1060" w:customStyle="1">
    <w:name w:val="标题 5 字符"/>
    <w:link w:val="841"/>
    <w:uiPriority w:val="99"/>
    <w:qFormat/>
    <w:rPr>
      <w:rFonts w:ascii="Times New Roman" w:hAnsi="Times New Roman" w:eastAsia="宋体"/>
      <w:b/>
      <w:sz w:val="28"/>
    </w:rPr>
  </w:style>
  <w:style w:type="character" w:styleId="1061" w:customStyle="1">
    <w:name w:val="标题 6 字符"/>
    <w:link w:val="842"/>
    <w:uiPriority w:val="99"/>
    <w:qFormat/>
    <w:rPr>
      <w:rFonts w:ascii="Arial" w:hAnsi="Arial" w:eastAsia="黑体"/>
      <w:b/>
      <w:sz w:val="24"/>
    </w:rPr>
  </w:style>
  <w:style w:type="character" w:styleId="1062" w:customStyle="1">
    <w:name w:val="标题 7 字符"/>
    <w:link w:val="843"/>
    <w:uiPriority w:val="99"/>
    <w:qFormat/>
    <w:rPr>
      <w:rFonts w:ascii="Times New Roman" w:hAnsi="Times New Roman" w:eastAsia="宋体"/>
      <w:b/>
      <w:sz w:val="24"/>
    </w:rPr>
  </w:style>
  <w:style w:type="character" w:styleId="1063" w:customStyle="1">
    <w:name w:val="标题 8 字符"/>
    <w:link w:val="844"/>
    <w:uiPriority w:val="99"/>
    <w:qFormat/>
    <w:rPr>
      <w:rFonts w:ascii="Arial" w:hAnsi="Arial" w:eastAsia="黑体"/>
      <w:sz w:val="24"/>
    </w:rPr>
  </w:style>
  <w:style w:type="character" w:styleId="1064" w:customStyle="1">
    <w:name w:val="标题 9 字符"/>
    <w:link w:val="845"/>
    <w:uiPriority w:val="99"/>
    <w:qFormat/>
    <w:rPr>
      <w:rFonts w:ascii="Arial" w:hAnsi="Arial" w:eastAsia="黑体"/>
      <w:sz w:val="21"/>
    </w:rPr>
  </w:style>
  <w:style w:type="character" w:styleId="1065" w:customStyle="1">
    <w:name w:val="文档结构图 字符"/>
    <w:link w:val="854"/>
    <w:uiPriority w:val="99"/>
    <w:semiHidden/>
    <w:qFormat/>
    <w:rPr>
      <w:rFonts w:ascii="Times New Roman" w:hAnsi="Times New Roman" w:eastAsia="宋体"/>
      <w:sz w:val="24"/>
      <w:shd w:val="clear" w:color="auto" w:fill="000080"/>
    </w:rPr>
  </w:style>
  <w:style w:type="character" w:styleId="1066" w:customStyle="1">
    <w:name w:val="批注文字 字符1"/>
    <w:link w:val="855"/>
    <w:uiPriority w:val="0"/>
    <w:qFormat/>
    <w:rPr>
      <w:rFonts w:ascii="Times New Roman" w:hAnsi="Times New Roman" w:eastAsia="宋体" w:cs="Times New Roman"/>
      <w:sz w:val="24"/>
      <w:szCs w:val="24"/>
    </w:rPr>
  </w:style>
  <w:style w:type="character" w:styleId="1067" w:customStyle="1">
    <w:name w:val="称呼 字符"/>
    <w:link w:val="856"/>
    <w:uiPriority w:val="99"/>
    <w:qFormat/>
    <w:rPr>
      <w:rFonts w:ascii="仿宋_GB2312" w:hAnsi="Times New Roman" w:eastAsia="仿宋_GB2312"/>
      <w:sz w:val="20"/>
    </w:rPr>
  </w:style>
  <w:style w:type="character" w:styleId="1068" w:customStyle="1">
    <w:name w:val="正文文本 3 字符"/>
    <w:link w:val="857"/>
    <w:uiPriority w:val="99"/>
    <w:qFormat/>
    <w:rPr>
      <w:rFonts w:ascii="Times New Roman" w:hAnsi="Times New Roman" w:eastAsia="宋体"/>
      <w:sz w:val="16"/>
    </w:rPr>
  </w:style>
  <w:style w:type="character" w:styleId="1069" w:customStyle="1">
    <w:name w:val="正文文本缩进 字符"/>
    <w:link w:val="859"/>
    <w:uiPriority w:val="99"/>
    <w:qFormat/>
    <w:rPr>
      <w:rFonts w:ascii="Times New Roman" w:hAnsi="Times New Roman" w:eastAsia="宋体"/>
      <w:sz w:val="24"/>
    </w:rPr>
  </w:style>
  <w:style w:type="character" w:styleId="1070" w:customStyle="1">
    <w:name w:val="纯文本 字符"/>
    <w:link w:val="865"/>
    <w:uiPriority w:val="0"/>
    <w:qFormat/>
    <w:rPr>
      <w:rFonts w:ascii="宋体" w:hAnsi="Courier New" w:eastAsia="宋体"/>
      <w:sz w:val="21"/>
    </w:rPr>
  </w:style>
  <w:style w:type="character" w:styleId="1071" w:customStyle="1">
    <w:name w:val="日期 字符"/>
    <w:link w:val="868"/>
    <w:uiPriority w:val="99"/>
    <w:qFormat/>
    <w:rPr>
      <w:rFonts w:ascii="Times New Roman" w:hAnsi="Times New Roman" w:eastAsia="宋体"/>
      <w:sz w:val="20"/>
    </w:rPr>
  </w:style>
  <w:style w:type="character" w:styleId="1072" w:customStyle="1">
    <w:name w:val="正文文本缩进 2 字符"/>
    <w:link w:val="869"/>
    <w:uiPriority w:val="99"/>
    <w:qFormat/>
    <w:rPr>
      <w:rFonts w:ascii="宋体" w:hAnsi="宋体" w:eastAsia="宋体"/>
      <w:sz w:val="24"/>
    </w:rPr>
  </w:style>
  <w:style w:type="character" w:styleId="1073" w:customStyle="1">
    <w:name w:val="尾注文本 字符"/>
    <w:link w:val="870"/>
    <w:uiPriority w:val="99"/>
    <w:semiHidden/>
    <w:qFormat/>
    <w:rPr>
      <w:rFonts w:ascii="Times New Roman" w:hAnsi="Times New Roman" w:eastAsia="宋体"/>
      <w:sz w:val="24"/>
    </w:rPr>
  </w:style>
  <w:style w:type="character" w:styleId="1074" w:customStyle="1">
    <w:name w:val="批注框文本 字符"/>
    <w:link w:val="871"/>
    <w:uiPriority w:val="99"/>
    <w:semiHidden/>
    <w:qFormat/>
    <w:rPr>
      <w:rFonts w:ascii="Times New Roman" w:hAnsi="Times New Roman" w:eastAsia="宋体"/>
      <w:sz w:val="18"/>
    </w:rPr>
  </w:style>
  <w:style w:type="character" w:styleId="1075" w:customStyle="1">
    <w:name w:val="页脚 字符"/>
    <w:link w:val="872"/>
    <w:uiPriority w:val="99"/>
    <w:qFormat/>
    <w:rPr>
      <w:rFonts w:cs="Times New Roman"/>
      <w:sz w:val="18"/>
      <w:szCs w:val="18"/>
    </w:rPr>
  </w:style>
  <w:style w:type="character" w:styleId="1076" w:customStyle="1">
    <w:name w:val="页眉 字符"/>
    <w:link w:val="873"/>
    <w:uiPriority w:val="0"/>
    <w:qFormat/>
    <w:rPr>
      <w:sz w:val="18"/>
    </w:rPr>
  </w:style>
  <w:style w:type="character" w:styleId="1077" w:customStyle="1">
    <w:name w:val="签名 字符"/>
    <w:link w:val="874"/>
    <w:uiPriority w:val="99"/>
    <w:qFormat/>
    <w:rPr>
      <w:rFonts w:ascii="Times New Roman" w:hAnsi="Times New Roman" w:eastAsia="仿宋_GB2312"/>
      <w:sz w:val="20"/>
    </w:rPr>
  </w:style>
  <w:style w:type="character" w:styleId="1078" w:customStyle="1">
    <w:name w:val="副标题 字符"/>
    <w:link w:val="879"/>
    <w:uiPriority w:val="99"/>
    <w:qFormat/>
    <w:rPr>
      <w:rFonts w:ascii="Cambria" w:hAnsi="Cambria" w:eastAsia="宋体"/>
      <w:i/>
      <w:spacing w:val="13"/>
      <w:sz w:val="24"/>
      <w:lang w:eastAsia="en-US"/>
    </w:rPr>
  </w:style>
  <w:style w:type="character" w:styleId="1079" w:customStyle="1">
    <w:name w:val="脚注文本 字符"/>
    <w:link w:val="881"/>
    <w:uiPriority w:val="99"/>
    <w:semiHidden/>
    <w:qFormat/>
    <w:rPr>
      <w:rFonts w:ascii="Times New Roman" w:hAnsi="Times New Roman" w:eastAsia="宋体"/>
      <w:sz w:val="18"/>
    </w:rPr>
  </w:style>
  <w:style w:type="character" w:styleId="1080" w:customStyle="1">
    <w:name w:val="正文文本缩进 3 字符"/>
    <w:link w:val="883"/>
    <w:uiPriority w:val="99"/>
    <w:qFormat/>
    <w:rPr>
      <w:rFonts w:ascii="Times New Roman" w:hAnsi="Times New Roman" w:eastAsia="宋体"/>
      <w:b/>
      <w:sz w:val="20"/>
    </w:rPr>
  </w:style>
  <w:style w:type="character" w:styleId="1081" w:customStyle="1">
    <w:name w:val="正文文本 2 字符"/>
    <w:link w:val="887"/>
    <w:uiPriority w:val="99"/>
    <w:qFormat/>
    <w:rPr>
      <w:rFonts w:ascii="Times New Roman" w:hAnsi="Times New Roman" w:eastAsia="宋体"/>
      <w:b/>
      <w:sz w:val="20"/>
    </w:rPr>
  </w:style>
  <w:style w:type="character" w:styleId="1082" w:customStyle="1">
    <w:name w:val="HTML 预设格式 字符"/>
    <w:link w:val="888"/>
    <w:uiPriority w:val="99"/>
    <w:qFormat/>
    <w:rPr>
      <w:rFonts w:ascii="宋体" w:hAnsi="宋体" w:eastAsia="宋体"/>
      <w:sz w:val="24"/>
    </w:rPr>
  </w:style>
  <w:style w:type="character" w:styleId="1083" w:customStyle="1">
    <w:name w:val="标题 字符"/>
    <w:link w:val="891"/>
    <w:uiPriority w:val="99"/>
    <w:qFormat/>
    <w:rPr>
      <w:rFonts w:ascii="Times New Roman" w:hAnsi="Times New Roman" w:eastAsia="黑体"/>
      <w:b/>
      <w:sz w:val="20"/>
      <w:lang w:val="en-GB"/>
    </w:rPr>
  </w:style>
  <w:style w:type="character" w:styleId="1084" w:customStyle="1">
    <w:name w:val="批注主题 字符"/>
    <w:link w:val="892"/>
    <w:uiPriority w:val="99"/>
    <w:semiHidden/>
    <w:qFormat/>
    <w:rPr>
      <w:rFonts w:ascii="Times New Roman" w:hAnsi="Times New Roman" w:eastAsia="宋体" w:cs="Times New Roman"/>
      <w:b/>
      <w:sz w:val="24"/>
      <w:szCs w:val="24"/>
    </w:rPr>
  </w:style>
  <w:style w:type="character" w:styleId="1085" w:customStyle="1">
    <w:name w:val="正文首行缩进 字符"/>
    <w:link w:val="893"/>
    <w:uiPriority w:val="99"/>
    <w:qFormat/>
    <w:rPr>
      <w:rFonts w:ascii="Times New Roman" w:hAnsi="Times New Roman" w:eastAsia="宋体" w:cs="Times New Roman"/>
      <w:sz w:val="24"/>
      <w:szCs w:val="24"/>
    </w:rPr>
  </w:style>
  <w:style w:type="character" w:styleId="1086" w:customStyle="1">
    <w:name w:val="正文首行缩进 2 字符"/>
    <w:link w:val="894"/>
    <w:uiPriority w:val="99"/>
    <w:qFormat/>
    <w:rPr>
      <w:rFonts w:ascii="宋体" w:hAnsi="宋体" w:eastAsia="宋体"/>
      <w:sz w:val="20"/>
    </w:rPr>
  </w:style>
  <w:style w:type="paragraph" w:styleId="1087" w:customStyle="1">
    <w:name w:val="首行缩进"/>
    <w:basedOn w:val="836"/>
    <w:uiPriority w:val="0"/>
    <w:qFormat/>
    <w:pPr>
      <w:ind w:left="420" w:firstLine="480"/>
      <w:spacing w:line="400" w:lineRule="exact"/>
    </w:pPr>
    <w:rPr>
      <w:szCs w:val="20"/>
    </w:rPr>
  </w:style>
  <w:style w:type="character" w:styleId="1088" w:customStyle="1">
    <w:name w:val="方案文档 Char Char"/>
    <w:uiPriority w:val="99"/>
    <w:qFormat/>
    <w:rPr>
      <w:rFonts w:ascii="宋体" w:hAnsi="宋体" w:eastAsia="宋体"/>
      <w:sz w:val="24"/>
      <w:lang w:val="zh-CN" w:eastAsia="zh-CN"/>
    </w:rPr>
  </w:style>
  <w:style w:type="character" w:styleId="1089" w:customStyle="1">
    <w:name w:val="textcontents"/>
    <w:uiPriority w:val="99"/>
    <w:qFormat/>
  </w:style>
  <w:style w:type="character" w:styleId="1090" w:customStyle="1">
    <w:name w:val="Char Char28"/>
    <w:uiPriority w:val="99"/>
    <w:qFormat/>
    <w:rPr>
      <w:rFonts w:ascii="Arial" w:hAnsi="Arial" w:eastAsia="黑体"/>
      <w:b/>
      <w:sz w:val="32"/>
    </w:rPr>
  </w:style>
  <w:style w:type="character" w:styleId="1091" w:customStyle="1">
    <w:name w:val="Char Char23"/>
    <w:uiPriority w:val="99"/>
    <w:qFormat/>
    <w:rPr>
      <w:rFonts w:ascii="Arial" w:hAnsi="Arial" w:eastAsia="黑体"/>
      <w:b/>
      <w:sz w:val="24"/>
    </w:rPr>
  </w:style>
  <w:style w:type="character" w:styleId="1092" w:customStyle="1">
    <w:name w:val="纯文本 Char Char Char1"/>
    <w:uiPriority w:val="99"/>
    <w:qFormat/>
    <w:rPr>
      <w:rFonts w:ascii="宋体" w:hAnsi="Courier New" w:eastAsia="宋体"/>
      <w:sz w:val="21"/>
      <w:lang w:val="en-US" w:eastAsia="zh-CN"/>
    </w:rPr>
  </w:style>
  <w:style w:type="character" w:styleId="1093" w:customStyle="1">
    <w:name w:val="华宇段落1 Char Char Char"/>
    <w:uiPriority w:val="99"/>
    <w:qFormat/>
    <w:rPr>
      <w:rFonts w:eastAsia="宋体"/>
      <w:sz w:val="24"/>
      <w:lang w:val="en-US" w:eastAsia="zh-CN"/>
    </w:rPr>
  </w:style>
  <w:style w:type="character" w:styleId="1094" w:customStyle="1">
    <w:name w:val="Char Char6"/>
    <w:uiPriority w:val="99"/>
    <w:qFormat/>
    <w:rPr>
      <w:rFonts w:eastAsia="宋体"/>
      <w:sz w:val="24"/>
      <w:lang w:val="en-US" w:eastAsia="zh-CN"/>
    </w:rPr>
  </w:style>
  <w:style w:type="character" w:styleId="1095" w:customStyle="1">
    <w:name w:val="标准文本 Char"/>
    <w:uiPriority w:val="99"/>
    <w:qFormat/>
    <w:rPr>
      <w:rFonts w:eastAsia="宋体"/>
      <w:sz w:val="24"/>
      <w:lang w:val="en-US" w:eastAsia="zh-CN"/>
    </w:rPr>
  </w:style>
  <w:style w:type="character" w:styleId="1096" w:customStyle="1">
    <w:name w:val="listbenefit"/>
    <w:uiPriority w:val="99"/>
    <w:qFormat/>
  </w:style>
  <w:style w:type="character" w:styleId="1097" w:customStyle="1">
    <w:name w:val="Char Char18"/>
    <w:uiPriority w:val="99"/>
    <w:qFormat/>
    <w:rPr>
      <w:rFonts w:eastAsia="宋体"/>
      <w:b/>
      <w:sz w:val="24"/>
      <w:lang w:val="en-US" w:eastAsia="zh-CN"/>
    </w:rPr>
  </w:style>
  <w:style w:type="character" w:styleId="1098" w:customStyle="1">
    <w:name w:val="明显强调1"/>
    <w:uiPriority w:val="99"/>
    <w:qFormat/>
    <w:rPr>
      <w:b/>
    </w:rPr>
  </w:style>
  <w:style w:type="character" w:styleId="1099" w:customStyle="1">
    <w:name w:val="font5 Char Char"/>
    <w:uiPriority w:val="99"/>
    <w:qFormat/>
    <w:rPr>
      <w:rFonts w:ascii="宋体" w:hAnsi="宋体" w:eastAsia="宋体"/>
      <w:sz w:val="28"/>
      <w:lang w:val="en-US" w:eastAsia="zh-CN"/>
    </w:rPr>
  </w:style>
  <w:style w:type="character" w:styleId="1100" w:customStyle="1">
    <w:name w:val="Char Char11"/>
    <w:uiPriority w:val="99"/>
    <w:qFormat/>
    <w:rPr>
      <w:rFonts w:ascii="宋体" w:hAnsi="宋体" w:eastAsia="宋体"/>
      <w:sz w:val="24"/>
      <w:lang w:val="en-US" w:eastAsia="zh-CN"/>
    </w:rPr>
  </w:style>
  <w:style w:type="character" w:styleId="1101" w:customStyle="1">
    <w:name w:val="Char Char10"/>
    <w:uiPriority w:val="99"/>
    <w:qFormat/>
    <w:rPr>
      <w:rFonts w:eastAsia="宋体"/>
      <w:b/>
      <w:sz w:val="24"/>
      <w:lang w:val="en-US" w:eastAsia="zh-CN"/>
    </w:rPr>
  </w:style>
  <w:style w:type="character" w:styleId="1102" w:customStyle="1">
    <w:name w:val="特点 Char1"/>
    <w:uiPriority w:val="99"/>
    <w:qFormat/>
    <w:rPr>
      <w:rFonts w:eastAsia="宋体"/>
      <w:sz w:val="21"/>
      <w:lang w:val="en-US" w:eastAsia="zh-CN"/>
    </w:rPr>
  </w:style>
  <w:style w:type="character" w:styleId="1103" w:customStyle="1">
    <w:name w:val="列出段落 字符"/>
    <w:link w:val="1104"/>
    <w:uiPriority w:val="99"/>
    <w:qFormat/>
    <w:rPr>
      <w:rFonts w:ascii="Calibri" w:hAnsi="Calibri"/>
    </w:rPr>
  </w:style>
  <w:style w:type="paragraph" w:styleId="1104">
    <w:name w:val="List Paragraph"/>
    <w:basedOn w:val="836"/>
    <w:link w:val="1103"/>
    <w:uiPriority w:val="99"/>
    <w:qFormat/>
    <w:pPr>
      <w:ind w:firstLine="420"/>
      <w:spacing w:line="360" w:lineRule="auto"/>
    </w:pPr>
    <w:rPr>
      <w:rFonts w:ascii="Calibri" w:hAnsi="Calibri"/>
      <w:sz w:val="20"/>
      <w:szCs w:val="20"/>
    </w:rPr>
  </w:style>
  <w:style w:type="character" w:styleId="1105" w:customStyle="1">
    <w:name w:val="样式 非加粗"/>
    <w:uiPriority w:val="99"/>
    <w:qFormat/>
    <w:rPr>
      <w:rFonts w:eastAsia="宋体"/>
      <w:sz w:val="28"/>
    </w:rPr>
  </w:style>
  <w:style w:type="character" w:styleId="1106" w:customStyle="1">
    <w:name w:val="明显引用 Char"/>
    <w:uiPriority w:val="99"/>
    <w:qFormat/>
    <w:rPr>
      <w:rFonts w:ascii="Calibri" w:hAnsi="Calibri" w:eastAsia="宋体"/>
      <w:b/>
      <w:i/>
      <w:sz w:val="22"/>
      <w:lang w:val="en-US" w:eastAsia="en-US"/>
    </w:rPr>
  </w:style>
  <w:style w:type="character" w:styleId="1107" w:customStyle="1">
    <w:name w:val="content"/>
    <w:uiPriority w:val="99"/>
    <w:qFormat/>
  </w:style>
  <w:style w:type="character" w:styleId="1108" w:customStyle="1">
    <w:name w:val="Char Char14"/>
    <w:uiPriority w:val="99"/>
    <w:qFormat/>
    <w:rPr>
      <w:rFonts w:eastAsia="黑体"/>
      <w:b/>
      <w:sz w:val="28"/>
      <w:lang w:val="en-GB" w:eastAsia="zh-CN"/>
    </w:rPr>
  </w:style>
  <w:style w:type="character" w:styleId="1109" w:customStyle="1">
    <w:name w:val="标准小四 Char Char"/>
    <w:uiPriority w:val="99"/>
    <w:qFormat/>
    <w:rPr>
      <w:rFonts w:ascii="Arial" w:hAnsi="Arial" w:eastAsia="宋体"/>
      <w:sz w:val="21"/>
      <w:lang w:val="en-US" w:eastAsia="zh-CN"/>
    </w:rPr>
  </w:style>
  <w:style w:type="character" w:styleId="1110" w:customStyle="1">
    <w:name w:val="华宇段落1 Char Char"/>
    <w:uiPriority w:val="99"/>
    <w:qFormat/>
    <w:rPr>
      <w:rFonts w:eastAsia="宋体"/>
      <w:sz w:val="24"/>
      <w:lang w:val="en-US" w:eastAsia="zh-CN"/>
    </w:rPr>
  </w:style>
  <w:style w:type="character" w:styleId="1111" w:customStyle="1">
    <w:name w:val="书籍标题1"/>
    <w:uiPriority w:val="99"/>
    <w:qFormat/>
    <w:rPr>
      <w:i/>
      <w:smallCaps/>
      <w:spacing w:val="5"/>
    </w:rPr>
  </w:style>
  <w:style w:type="character" w:styleId="1112" w:customStyle="1">
    <w:name w:val="标准文本 Char Char"/>
    <w:uiPriority w:val="99"/>
    <w:qFormat/>
    <w:rPr>
      <w:rFonts w:eastAsia="宋体"/>
      <w:sz w:val="24"/>
      <w:lang w:val="en-US" w:eastAsia="zh-CN"/>
    </w:rPr>
  </w:style>
  <w:style w:type="character" w:styleId="1113" w:customStyle="1">
    <w:name w:val="纯文本 Char Char"/>
    <w:uiPriority w:val="99"/>
    <w:qFormat/>
    <w:rPr>
      <w:rFonts w:ascii="宋体" w:hAnsi="Courier New" w:eastAsia="宋体"/>
      <w:sz w:val="21"/>
      <w:lang w:val="en-US" w:eastAsia="zh-CN"/>
    </w:rPr>
  </w:style>
  <w:style w:type="character" w:styleId="1114" w:customStyle="1">
    <w:name w:val="h Char Char"/>
    <w:uiPriority w:val="99"/>
    <w:qFormat/>
    <w:rPr>
      <w:rFonts w:eastAsia="宋体"/>
      <w:sz w:val="18"/>
      <w:lang w:val="en-US" w:eastAsia="zh-CN"/>
    </w:rPr>
  </w:style>
  <w:style w:type="character" w:styleId="1115" w:customStyle="1">
    <w:name w:val="标题 Char1"/>
    <w:uiPriority w:val="99"/>
    <w:qFormat/>
    <w:rPr>
      <w:rFonts w:ascii="Cambria" w:eastAsia="宋体"/>
      <w:b/>
      <w:sz w:val="32"/>
    </w:rPr>
  </w:style>
  <w:style w:type="character" w:styleId="1116" w:customStyle="1">
    <w:name w:val="Char Char34"/>
    <w:uiPriority w:val="99"/>
    <w:qFormat/>
    <w:rPr>
      <w:rFonts w:eastAsia="宋体"/>
      <w:b/>
      <w:sz w:val="44"/>
      <w:lang w:val="en-US" w:eastAsia="zh-CN"/>
    </w:rPr>
  </w:style>
  <w:style w:type="character" w:styleId="1117" w:customStyle="1">
    <w:name w:val="不明显参考1"/>
    <w:uiPriority w:val="99"/>
    <w:qFormat/>
    <w:rPr>
      <w:smallCaps/>
    </w:rPr>
  </w:style>
  <w:style w:type="character" w:styleId="1118" w:customStyle="1">
    <w:name w:val="Intense Quote Char"/>
    <w:link w:val="1119"/>
    <w:uiPriority w:val="99"/>
    <w:qFormat/>
    <w:rPr>
      <w:rFonts w:ascii="Calibri" w:hAnsi="Calibri" w:eastAsia="宋体"/>
      <w:b/>
      <w:i/>
      <w:sz w:val="22"/>
      <w:lang w:eastAsia="en-US"/>
    </w:rPr>
  </w:style>
  <w:style w:type="paragraph" w:styleId="1119" w:customStyle="1">
    <w:name w:val="明显引用1"/>
    <w:basedOn w:val="836"/>
    <w:next w:val="836"/>
    <w:link w:val="1118"/>
    <w:uiPriority w:val="99"/>
    <w:qFormat/>
    <w:pPr>
      <w:ind w:left="1008" w:right="1152"/>
      <w:spacing w:before="200" w:after="280" w:line="276" w:lineRule="auto"/>
      <w:widowControl/>
      <w:pBdr>
        <w:bottom w:val="single" w:color="auto" w:sz="4" w:space="1"/>
      </w:pBdr>
    </w:pPr>
    <w:rPr>
      <w:rFonts w:ascii="Calibri" w:hAnsi="Calibri"/>
      <w:b/>
      <w:i/>
      <w:sz w:val="22"/>
      <w:szCs w:val="20"/>
      <w:lang w:eastAsia="en-US"/>
    </w:rPr>
  </w:style>
  <w:style w:type="character" w:styleId="1120" w:customStyle="1">
    <w:name w:val="font41"/>
    <w:uiPriority w:val="99"/>
    <w:qFormat/>
    <w:rPr>
      <w:rFonts w:ascii="宋体" w:hAnsi="宋体" w:eastAsia="宋体" w:cs="宋体"/>
      <w:color w:val="000000"/>
      <w:sz w:val="18"/>
      <w:szCs w:val="18"/>
      <w:u w:val="none"/>
    </w:rPr>
  </w:style>
  <w:style w:type="character" w:styleId="1121" w:customStyle="1">
    <w:name w:val="Title1 Char"/>
    <w:uiPriority w:val="99"/>
    <w:qFormat/>
    <w:rPr>
      <w:rFonts w:eastAsia="宋体"/>
      <w:b/>
      <w:sz w:val="44"/>
      <w:lang w:val="en-US" w:eastAsia="zh-CN"/>
    </w:rPr>
  </w:style>
  <w:style w:type="character" w:styleId="1122" w:customStyle="1">
    <w:name w:val="font21"/>
    <w:uiPriority w:val="99"/>
    <w:qFormat/>
    <w:rPr>
      <w:rFonts w:ascii="宋体" w:hAnsi="宋体" w:eastAsia="宋体"/>
      <w:color w:val="000000"/>
      <w:sz w:val="20"/>
      <w:u w:val="none"/>
    </w:rPr>
  </w:style>
  <w:style w:type="character" w:styleId="1123" w:customStyle="1">
    <w:name w:val="Char Char19"/>
    <w:uiPriority w:val="99"/>
    <w:qFormat/>
    <w:rPr>
      <w:rFonts w:ascii="Arial" w:hAnsi="Arial" w:eastAsia="黑体"/>
      <w:b/>
      <w:sz w:val="24"/>
      <w:lang w:val="en-US" w:eastAsia="zh-CN"/>
    </w:rPr>
  </w:style>
  <w:style w:type="character" w:styleId="1124" w:customStyle="1">
    <w:name w:val="style131"/>
    <w:uiPriority w:val="99"/>
    <w:qFormat/>
    <w:rPr>
      <w:sz w:val="18"/>
    </w:rPr>
  </w:style>
  <w:style w:type="character" w:styleId="1125" w:customStyle="1">
    <w:name w:val="Char Char4"/>
    <w:uiPriority w:val="99"/>
    <w:qFormat/>
    <w:rPr>
      <w:rFonts w:ascii="方正大黑简体" w:eastAsia="方正大黑简体"/>
      <w:position w:val="6"/>
      <w:sz w:val="30"/>
      <w:lang w:val="en-US" w:eastAsia="zh-CN"/>
    </w:rPr>
  </w:style>
  <w:style w:type="character" w:styleId="1126" w:customStyle="1">
    <w:name w:val="Char Char32"/>
    <w:uiPriority w:val="99"/>
    <w:qFormat/>
    <w:rPr>
      <w:rFonts w:eastAsia="宋体"/>
      <w:b/>
      <w:sz w:val="32"/>
      <w:lang w:val="en-US" w:eastAsia="zh-CN"/>
    </w:rPr>
  </w:style>
  <w:style w:type="character" w:styleId="1127" w:customStyle="1">
    <w:name w:val="case31"/>
    <w:uiPriority w:val="99"/>
    <w:qFormat/>
    <w:rPr>
      <w:sz w:val="21"/>
    </w:rPr>
  </w:style>
  <w:style w:type="character" w:styleId="1128" w:customStyle="1">
    <w:name w:val="标准小四 Char"/>
    <w:uiPriority w:val="99"/>
    <w:qFormat/>
    <w:rPr>
      <w:rFonts w:ascii="Arial" w:hAnsi="Arial" w:eastAsia="宋体"/>
      <w:sz w:val="21"/>
      <w:lang w:val="en-US" w:eastAsia="zh-CN"/>
    </w:rPr>
  </w:style>
  <w:style w:type="character" w:styleId="1129" w:customStyle="1">
    <w:name w:val="apple-style-span"/>
    <w:uiPriority w:val="99"/>
    <w:qFormat/>
  </w:style>
  <w:style w:type="character" w:styleId="1130" w:customStyle="1">
    <w:name w:val="纯文本 Char Char Char"/>
    <w:uiPriority w:val="99"/>
    <w:qFormat/>
    <w:rPr>
      <w:rFonts w:ascii="宋体" w:hAnsi="Courier New" w:eastAsia="宋体"/>
      <w:sz w:val="21"/>
      <w:lang w:val="en-US" w:eastAsia="zh-CN"/>
    </w:rPr>
  </w:style>
  <w:style w:type="character" w:styleId="1131" w:customStyle="1">
    <w:name w:val="2nd level Char"/>
    <w:uiPriority w:val="99"/>
    <w:qFormat/>
    <w:rPr>
      <w:rFonts w:ascii="Arial" w:hAnsi="Arial" w:eastAsia="黑体"/>
      <w:b/>
      <w:sz w:val="32"/>
      <w:lang w:val="en-US" w:eastAsia="zh-CN"/>
    </w:rPr>
  </w:style>
  <w:style w:type="character" w:styleId="1132" w:customStyle="1">
    <w:name w:val="A2"/>
    <w:uiPriority w:val="99"/>
    <w:qFormat/>
    <w:rPr>
      <w:color w:val="000000"/>
      <w:sz w:val="18"/>
    </w:rPr>
  </w:style>
  <w:style w:type="character" w:styleId="1133" w:customStyle="1">
    <w:name w:val="Char Char30"/>
    <w:uiPriority w:val="99"/>
    <w:qFormat/>
    <w:rPr>
      <w:rFonts w:eastAsia="宋体"/>
      <w:b/>
      <w:sz w:val="28"/>
      <w:lang w:val="en-US" w:eastAsia="zh-CN"/>
    </w:rPr>
  </w:style>
  <w:style w:type="character" w:styleId="1134" w:customStyle="1">
    <w:name w:val="小四 段落 宋体 Char1"/>
    <w:uiPriority w:val="99"/>
    <w:qFormat/>
    <w:rPr>
      <w:rFonts w:eastAsia="宋体"/>
      <w:sz w:val="24"/>
      <w:lang w:val="en-US" w:eastAsia="zh-CN"/>
    </w:rPr>
  </w:style>
  <w:style w:type="character" w:styleId="1135" w:customStyle="1">
    <w:name w:val="普通文字 Char Char3"/>
    <w:uiPriority w:val="99"/>
    <w:qFormat/>
    <w:rPr>
      <w:rFonts w:ascii="宋体" w:hAnsi="Courier New" w:eastAsia="宋体"/>
      <w:sz w:val="21"/>
      <w:lang w:val="en-US" w:eastAsia="zh-CN"/>
    </w:rPr>
  </w:style>
  <w:style w:type="character" w:styleId="1136" w:customStyle="1">
    <w:name w:val="小四 段落 宋体 Char Char Char Char Char"/>
    <w:uiPriority w:val="99"/>
    <w:qFormat/>
    <w:rPr>
      <w:rFonts w:eastAsia="宋体"/>
      <w:sz w:val="24"/>
      <w:lang w:val="en-US" w:eastAsia="zh-CN"/>
    </w:rPr>
  </w:style>
  <w:style w:type="character" w:styleId="1137" w:customStyle="1">
    <w:name w:val="正文 + 宋体 Char"/>
    <w:uiPriority w:val="99"/>
    <w:qFormat/>
    <w:rPr>
      <w:rFonts w:eastAsia="宋体"/>
      <w:sz w:val="24"/>
      <w:lang w:val="en-US" w:eastAsia="zh-CN"/>
    </w:rPr>
  </w:style>
  <w:style w:type="character" w:styleId="1138" w:customStyle="1">
    <w:name w:val="Char Char5"/>
    <w:uiPriority w:val="99"/>
    <w:qFormat/>
    <w:rPr>
      <w:rFonts w:eastAsia="宋体"/>
      <w:sz w:val="24"/>
      <w:lang w:val="en-US" w:eastAsia="zh-CN"/>
    </w:rPr>
  </w:style>
  <w:style w:type="character" w:styleId="1139" w:customStyle="1">
    <w:name w:val="样式 首行缩进:  2 字符 Char"/>
    <w:uiPriority w:val="99"/>
    <w:qFormat/>
    <w:rPr>
      <w:rFonts w:eastAsia="宋体"/>
      <w:sz w:val="24"/>
      <w:lang w:val="en-US" w:eastAsia="zh-CN"/>
    </w:rPr>
  </w:style>
  <w:style w:type="character" w:styleId="1140" w:customStyle="1">
    <w:name w:val="已访问的超链接1"/>
    <w:uiPriority w:val="99"/>
    <w:qFormat/>
    <w:rPr>
      <w:color w:val="auto"/>
      <w:u w:val="none"/>
    </w:rPr>
  </w:style>
  <w:style w:type="character" w:styleId="1141" w:customStyle="1">
    <w:name w:val="正文文本 字符"/>
    <w:uiPriority w:val="99"/>
    <w:semiHidden/>
    <w:qFormat/>
    <w:rPr>
      <w:rFonts w:ascii="Times New Roman" w:hAnsi="Times New Roman" w:eastAsia="宋体"/>
      <w:sz w:val="24"/>
    </w:rPr>
  </w:style>
  <w:style w:type="character" w:styleId="1142" w:customStyle="1">
    <w:name w:val="normalfont1"/>
    <w:uiPriority w:val="99"/>
    <w:qFormat/>
    <w:rPr>
      <w:rFonts w:ascii="??" w:hAnsi="??"/>
      <w:sz w:val="18"/>
      <w:u w:val="none"/>
    </w:rPr>
  </w:style>
  <w:style w:type="character" w:styleId="1143" w:customStyle="1">
    <w:name w:val="小四 段落 宋体 Char Char Char Char1"/>
    <w:uiPriority w:val="99"/>
    <w:qFormat/>
    <w:rPr>
      <w:rFonts w:eastAsia="宋体"/>
      <w:sz w:val="24"/>
      <w:lang w:val="en-US" w:eastAsia="zh-CN"/>
    </w:rPr>
  </w:style>
  <w:style w:type="character" w:styleId="1144" w:customStyle="1">
    <w:name w:val="Quote Char"/>
    <w:link w:val="1145"/>
    <w:uiPriority w:val="99"/>
    <w:qFormat/>
    <w:rPr>
      <w:rFonts w:ascii="Calibri" w:hAnsi="Calibri" w:eastAsia="宋体"/>
      <w:i/>
      <w:sz w:val="22"/>
      <w:lang w:eastAsia="en-US"/>
    </w:rPr>
  </w:style>
  <w:style w:type="paragraph" w:styleId="1145" w:customStyle="1">
    <w:name w:val="引用1"/>
    <w:basedOn w:val="836"/>
    <w:next w:val="836"/>
    <w:link w:val="1144"/>
    <w:uiPriority w:val="99"/>
    <w:qFormat/>
    <w:pPr>
      <w:ind w:left="360" w:right="360"/>
      <w:jc w:val="left"/>
      <w:spacing w:before="200" w:line="276" w:lineRule="auto"/>
      <w:widowControl/>
    </w:pPr>
    <w:rPr>
      <w:rFonts w:ascii="Calibri" w:hAnsi="Calibri"/>
      <w:i/>
      <w:sz w:val="22"/>
      <w:szCs w:val="20"/>
      <w:lang w:eastAsia="en-US"/>
    </w:rPr>
  </w:style>
  <w:style w:type="character" w:styleId="1146" w:customStyle="1">
    <w:name w:val="样式 宋体 小四"/>
    <w:uiPriority w:val="99"/>
    <w:qFormat/>
    <w:rPr>
      <w:rFonts w:ascii="宋体" w:eastAsia="宋体"/>
      <w:sz w:val="24"/>
    </w:rPr>
  </w:style>
  <w:style w:type="character" w:styleId="1147" w:customStyle="1">
    <w:name w:val="标题 3 Char Char"/>
    <w:uiPriority w:val="99"/>
    <w:qFormat/>
    <w:rPr>
      <w:rFonts w:eastAsia="仿宋_GB2312"/>
      <w:b/>
      <w:sz w:val="32"/>
      <w:lang w:val="en-US" w:eastAsia="zh-CN"/>
    </w:rPr>
  </w:style>
  <w:style w:type="character" w:styleId="1148" w:customStyle="1">
    <w:name w:val="font111"/>
    <w:uiPriority w:val="99"/>
    <w:qFormat/>
    <w:rPr>
      <w:rFonts w:ascii="宋体" w:hAnsi="宋体" w:eastAsia="宋体"/>
      <w:color w:val="000000"/>
      <w:sz w:val="20"/>
      <w:u w:val="none"/>
    </w:rPr>
  </w:style>
  <w:style w:type="character" w:styleId="1149" w:customStyle="1">
    <w:name w:val="标准文本 Char Char Char"/>
    <w:uiPriority w:val="99"/>
    <w:qFormat/>
    <w:rPr>
      <w:rFonts w:eastAsia="宋体"/>
      <w:sz w:val="24"/>
      <w:lang w:val="en-US" w:eastAsia="zh-CN"/>
    </w:rPr>
  </w:style>
  <w:style w:type="character" w:styleId="1150" w:customStyle="1">
    <w:name w:val="Char Char24"/>
    <w:uiPriority w:val="99"/>
    <w:qFormat/>
    <w:rPr>
      <w:b/>
      <w:sz w:val="28"/>
    </w:rPr>
  </w:style>
  <w:style w:type="character" w:styleId="1151" w:customStyle="1">
    <w:name w:val="样式 首行缩进:  2 字符 Char Char Char"/>
    <w:uiPriority w:val="99"/>
    <w:qFormat/>
    <w:rPr>
      <w:rFonts w:eastAsia="宋体"/>
      <w:sz w:val="24"/>
      <w:lang w:val="en-US" w:eastAsia="zh-CN"/>
    </w:rPr>
  </w:style>
  <w:style w:type="character" w:styleId="1152" w:customStyle="1">
    <w:name w:val="Char Char31"/>
    <w:uiPriority w:val="99"/>
    <w:qFormat/>
    <w:rPr>
      <w:rFonts w:ascii="Arial" w:hAnsi="Arial" w:eastAsia="黑体"/>
      <w:b/>
      <w:sz w:val="28"/>
      <w:lang w:val="en-US" w:eastAsia="zh-CN"/>
    </w:rPr>
  </w:style>
  <w:style w:type="character" w:styleId="1153" w:customStyle="1">
    <w:name w:val="小四 段落 宋体 Char Char Char1"/>
    <w:uiPriority w:val="99"/>
    <w:qFormat/>
    <w:rPr>
      <w:rFonts w:ascii="宋体" w:hAnsi="宋体" w:eastAsia="宋体"/>
      <w:sz w:val="24"/>
      <w:lang w:val="en-US" w:eastAsia="zh-CN"/>
    </w:rPr>
  </w:style>
  <w:style w:type="character" w:styleId="1154" w:customStyle="1">
    <w:name w:val="Char Char7"/>
    <w:uiPriority w:val="99"/>
    <w:qFormat/>
    <w:rPr>
      <w:rFonts w:eastAsia="宋体"/>
      <w:b/>
      <w:sz w:val="24"/>
      <w:lang w:val="en-US" w:eastAsia="zh-CN"/>
    </w:rPr>
  </w:style>
  <w:style w:type="character" w:styleId="1155" w:customStyle="1">
    <w:name w:val="concon"/>
    <w:uiPriority w:val="99"/>
    <w:qFormat/>
  </w:style>
  <w:style w:type="character" w:styleId="1156" w:customStyle="1">
    <w:name w:val="小四 段落 宋体 Char Char Char Char Char Char"/>
    <w:uiPriority w:val="99"/>
    <w:qFormat/>
    <w:rPr>
      <w:rFonts w:eastAsia="宋体"/>
      <w:sz w:val="24"/>
      <w:lang w:val="en-US" w:eastAsia="zh-CN"/>
    </w:rPr>
  </w:style>
  <w:style w:type="character" w:styleId="1157" w:customStyle="1">
    <w:name w:val="标题 3 Char1"/>
    <w:uiPriority w:val="99"/>
    <w:qFormat/>
    <w:rPr>
      <w:rFonts w:eastAsia="宋体"/>
      <w:b/>
      <w:sz w:val="32"/>
      <w:lang w:val="en-US" w:eastAsia="zh-CN"/>
    </w:rPr>
  </w:style>
  <w:style w:type="character" w:styleId="1158" w:customStyle="1">
    <w:name w:val="Char Char26"/>
    <w:uiPriority w:val="99"/>
    <w:qFormat/>
    <w:rPr>
      <w:b/>
      <w:sz w:val="32"/>
    </w:rPr>
  </w:style>
  <w:style w:type="character" w:styleId="1159" w:customStyle="1">
    <w:name w:val="Char Char33"/>
    <w:uiPriority w:val="99"/>
    <w:qFormat/>
    <w:rPr>
      <w:rFonts w:ascii="Arial" w:hAnsi="Arial" w:eastAsia="黑体"/>
      <w:b/>
      <w:sz w:val="32"/>
      <w:lang w:val="en-US" w:eastAsia="zh-CN"/>
    </w:rPr>
  </w:style>
  <w:style w:type="character" w:styleId="1160" w:customStyle="1">
    <w:name w:val="小四 段落 宋体 Char Char Char Char Char Char Char"/>
    <w:uiPriority w:val="99"/>
    <w:qFormat/>
    <w:rPr>
      <w:rFonts w:eastAsia="宋体"/>
      <w:sz w:val="24"/>
      <w:lang w:val="en-US" w:eastAsia="zh-CN"/>
    </w:rPr>
  </w:style>
  <w:style w:type="character" w:styleId="1161" w:customStyle="1">
    <w:name w:val="Char Char20"/>
    <w:uiPriority w:val="99"/>
    <w:qFormat/>
    <w:rPr>
      <w:rFonts w:ascii="Arial" w:hAnsi="Arial" w:eastAsia="黑体"/>
      <w:sz w:val="21"/>
    </w:rPr>
  </w:style>
  <w:style w:type="character" w:styleId="1162" w:customStyle="1">
    <w:name w:val="Char Char17"/>
    <w:uiPriority w:val="99"/>
    <w:qFormat/>
    <w:rPr>
      <w:rFonts w:ascii="宋体" w:hAnsi="Courier New"/>
      <w:sz w:val="21"/>
    </w:rPr>
  </w:style>
  <w:style w:type="character" w:styleId="1163" w:customStyle="1">
    <w:name w:val="subtitle1"/>
    <w:uiPriority w:val="99"/>
    <w:qFormat/>
    <w:rPr>
      <w:rFonts w:ascii="Georgia" w:hAnsi="Georgia"/>
      <w:b/>
      <w:color w:val="auto"/>
      <w:sz w:val="18"/>
    </w:rPr>
  </w:style>
  <w:style w:type="character" w:styleId="1164" w:customStyle="1">
    <w:name w:val="正文缩进 Char1"/>
    <w:uiPriority w:val="99"/>
    <w:qFormat/>
    <w:rPr>
      <w:rFonts w:eastAsia="宋体"/>
    </w:rPr>
  </w:style>
  <w:style w:type="character" w:styleId="1165" w:customStyle="1">
    <w:name w:val="Char Char12"/>
    <w:uiPriority w:val="99"/>
    <w:qFormat/>
    <w:rPr>
      <w:rFonts w:ascii="Arial" w:hAnsi="Arial" w:eastAsia="黑体"/>
      <w:sz w:val="21"/>
      <w:lang w:val="en-US" w:eastAsia="zh-CN"/>
    </w:rPr>
  </w:style>
  <w:style w:type="character" w:styleId="1166" w:customStyle="1">
    <w:name w:val="Char Char27"/>
    <w:uiPriority w:val="99"/>
    <w:qFormat/>
    <w:rPr>
      <w:b/>
      <w:sz w:val="44"/>
    </w:rPr>
  </w:style>
  <w:style w:type="character" w:styleId="1167" w:customStyle="1">
    <w:name w:val="页脚 Char"/>
    <w:uiPriority w:val="0"/>
    <w:qFormat/>
    <w:rPr>
      <w:sz w:val="18"/>
    </w:rPr>
  </w:style>
  <w:style w:type="character" w:styleId="1168" w:customStyle="1">
    <w:name w:val="明显参考1"/>
    <w:uiPriority w:val="99"/>
    <w:qFormat/>
    <w:rPr>
      <w:smallCaps/>
      <w:spacing w:val="5"/>
      <w:u w:val="single"/>
    </w:rPr>
  </w:style>
  <w:style w:type="character" w:styleId="1169" w:customStyle="1">
    <w:name w:val="apple-converted-space"/>
    <w:uiPriority w:val="99"/>
    <w:qFormat/>
  </w:style>
  <w:style w:type="character" w:styleId="1170" w:customStyle="1">
    <w:name w:val="Char Char22"/>
    <w:uiPriority w:val="99"/>
    <w:qFormat/>
    <w:rPr>
      <w:b/>
      <w:sz w:val="24"/>
    </w:rPr>
  </w:style>
  <w:style w:type="character" w:styleId="1171" w:customStyle="1">
    <w:name w:val="Char Char13"/>
    <w:uiPriority w:val="99"/>
    <w:qFormat/>
    <w:rPr>
      <w:rFonts w:ascii="宋体" w:hAnsi="宋体" w:eastAsia="宋体"/>
      <w:sz w:val="24"/>
      <w:lang w:val="en-US" w:eastAsia="zh-CN"/>
    </w:rPr>
  </w:style>
  <w:style w:type="character" w:styleId="1172" w:customStyle="1">
    <w:name w:val="content_lineheight1"/>
    <w:uiPriority w:val="99"/>
    <w:qFormat/>
  </w:style>
  <w:style w:type="character" w:styleId="1173" w:customStyle="1">
    <w:name w:val="ih151"/>
    <w:uiPriority w:val="99"/>
    <w:qFormat/>
    <w:rPr>
      <w:color w:val="auto"/>
      <w:sz w:val="18"/>
      <w:u w:val="none"/>
    </w:rPr>
  </w:style>
  <w:style w:type="character" w:styleId="1174" w:customStyle="1">
    <w:name w:val="样式 首行缩进:  2 字符 Char Char"/>
    <w:uiPriority w:val="99"/>
    <w:qFormat/>
    <w:rPr>
      <w:rFonts w:eastAsia="宋体"/>
      <w:sz w:val="24"/>
      <w:lang w:val="en-US" w:eastAsia="zh-CN"/>
    </w:rPr>
  </w:style>
  <w:style w:type="character" w:styleId="1175" w:customStyle="1">
    <w:name w:val="Char Char15"/>
    <w:uiPriority w:val="99"/>
    <w:qFormat/>
    <w:rPr>
      <w:rFonts w:ascii="Arial" w:hAnsi="Arial" w:eastAsia="黑体"/>
      <w:sz w:val="21"/>
      <w:lang w:val="en-US" w:eastAsia="zh-CN"/>
    </w:rPr>
  </w:style>
  <w:style w:type="character" w:styleId="1176" w:customStyle="1">
    <w:name w:val="引用 Char"/>
    <w:uiPriority w:val="99"/>
    <w:qFormat/>
    <w:rPr>
      <w:rFonts w:ascii="Calibri" w:hAnsi="Calibri" w:eastAsia="宋体"/>
      <w:i/>
      <w:sz w:val="22"/>
      <w:lang w:val="en-US" w:eastAsia="en-US"/>
    </w:rPr>
  </w:style>
  <w:style w:type="character" w:styleId="1177" w:customStyle="1">
    <w:name w:val="Char Char29"/>
    <w:uiPriority w:val="99"/>
    <w:qFormat/>
    <w:rPr>
      <w:rFonts w:ascii="Times New Roman" w:hAnsi="Times New Roman" w:eastAsia="宋体"/>
      <w:b/>
      <w:sz w:val="44"/>
    </w:rPr>
  </w:style>
  <w:style w:type="character" w:styleId="1178" w:customStyle="1">
    <w:name w:val="t1"/>
    <w:uiPriority w:val="99"/>
    <w:qFormat/>
  </w:style>
  <w:style w:type="character" w:styleId="1179" w:customStyle="1">
    <w:name w:val="title_emph1"/>
    <w:uiPriority w:val="99"/>
    <w:qFormat/>
    <w:rPr>
      <w:rFonts w:ascii="Arial"/>
      <w:b/>
      <w:sz w:val="18"/>
    </w:rPr>
  </w:style>
  <w:style w:type="character" w:styleId="1180" w:customStyle="1">
    <w:name w:val="Char Char21"/>
    <w:uiPriority w:val="99"/>
    <w:qFormat/>
    <w:rPr>
      <w:rFonts w:ascii="Arial" w:hAnsi="Arial" w:eastAsia="黑体"/>
      <w:sz w:val="24"/>
    </w:rPr>
  </w:style>
  <w:style w:type="character" w:styleId="1181" w:customStyle="1">
    <w:name w:val="纯文本 Char1"/>
    <w:uiPriority w:val="99"/>
    <w:qFormat/>
    <w:rPr>
      <w:rFonts w:ascii="宋体" w:hAnsi="Courier New"/>
      <w:sz w:val="21"/>
    </w:rPr>
  </w:style>
  <w:style w:type="character" w:styleId="1182" w:customStyle="1">
    <w:name w:val="Char Char25"/>
    <w:uiPriority w:val="99"/>
    <w:qFormat/>
    <w:rPr>
      <w:rFonts w:ascii="Arial" w:hAnsi="Arial" w:eastAsia="黑体"/>
      <w:b/>
      <w:sz w:val="28"/>
    </w:rPr>
  </w:style>
  <w:style w:type="character" w:styleId="1183" w:customStyle="1">
    <w:name w:val="无间隔 Char"/>
    <w:uiPriority w:val="99"/>
    <w:qFormat/>
    <w:rPr>
      <w:rFonts w:ascii="Calibri" w:hAnsi="Calibri" w:eastAsia="微软雅黑"/>
      <w:sz w:val="22"/>
      <w:lang w:val="en-US" w:eastAsia="zh-CN"/>
    </w:rPr>
  </w:style>
  <w:style w:type="character" w:styleId="1184" w:customStyle="1">
    <w:name w:val="Char Char2"/>
    <w:uiPriority w:val="99"/>
    <w:qFormat/>
    <w:rPr>
      <w:rFonts w:ascii="宋体" w:hAnsi="Courier New" w:eastAsia="宋体"/>
      <w:sz w:val="21"/>
      <w:lang w:val="en-US" w:eastAsia="zh-CN"/>
    </w:rPr>
  </w:style>
  <w:style w:type="character" w:styleId="118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99"/>
    <w:qFormat/>
    <w:rPr>
      <w:rFonts w:eastAsia="宋体"/>
      <w:b/>
      <w:sz w:val="32"/>
      <w:lang w:val="en-US" w:eastAsia="zh-CN"/>
    </w:rPr>
  </w:style>
  <w:style w:type="character" w:styleId="1186" w:customStyle="1">
    <w:name w:val="不明显强调1"/>
    <w:uiPriority w:val="99"/>
    <w:qFormat/>
    <w:rPr>
      <w:i/>
    </w:rPr>
  </w:style>
  <w:style w:type="character" w:styleId="1187" w:customStyle="1">
    <w:name w:val="111111 Char Char"/>
    <w:uiPriority w:val="99"/>
    <w:qFormat/>
    <w:rPr>
      <w:rFonts w:ascii="宋体" w:hAnsi="宋体" w:eastAsia="黑体"/>
      <w:b/>
      <w:sz w:val="21"/>
      <w:lang w:val="en-US" w:eastAsia="zh-CN"/>
    </w:rPr>
  </w:style>
  <w:style w:type="character" w:styleId="1188" w:customStyle="1">
    <w:name w:val="font61"/>
    <w:uiPriority w:val="0"/>
    <w:qFormat/>
    <w:rPr>
      <w:rFonts w:ascii="宋体" w:hAnsi="宋体" w:eastAsia="宋体"/>
      <w:color w:val="ff0000"/>
      <w:sz w:val="20"/>
      <w:u w:val="none"/>
    </w:rPr>
  </w:style>
  <w:style w:type="character" w:styleId="1189" w:customStyle="1">
    <w:name w:val="标准小四 Char Char Char"/>
    <w:uiPriority w:val="99"/>
    <w:qFormat/>
    <w:rPr>
      <w:rFonts w:ascii="Arial" w:hAnsi="Arial" w:eastAsia="宋体"/>
      <w:sz w:val="21"/>
      <w:lang w:val="en-US" w:eastAsia="zh-CN"/>
    </w:rPr>
  </w:style>
  <w:style w:type="character" w:styleId="1190" w:customStyle="1">
    <w:name w:val="Char Char9"/>
    <w:uiPriority w:val="99"/>
    <w:qFormat/>
    <w:rPr>
      <w:rFonts w:eastAsia="宋体"/>
      <w:sz w:val="21"/>
      <w:lang w:val="en-US" w:eastAsia="zh-CN"/>
    </w:rPr>
  </w:style>
  <w:style w:type="character" w:styleId="1191" w:customStyle="1">
    <w:name w:val="3zw"/>
    <w:uiPriority w:val="99"/>
    <w:qFormat/>
  </w:style>
  <w:style w:type="character" w:styleId="1192" w:customStyle="1">
    <w:name w:val="medium_text1"/>
    <w:uiPriority w:val="99"/>
    <w:qFormat/>
    <w:rPr>
      <w:sz w:val="24"/>
    </w:rPr>
  </w:style>
  <w:style w:type="character" w:styleId="1193" w:customStyle="1">
    <w:name w:val="Char Char16"/>
    <w:uiPriority w:val="99"/>
    <w:qFormat/>
    <w:rPr>
      <w:rFonts w:ascii="Arial" w:hAnsi="Arial" w:eastAsia="黑体"/>
      <w:sz w:val="24"/>
      <w:lang w:val="en-US" w:eastAsia="zh-CN"/>
    </w:rPr>
  </w:style>
  <w:style w:type="character" w:styleId="1194" w:customStyle="1">
    <w:name w:val="华宇段落1 Char Char Char Char"/>
    <w:uiPriority w:val="99"/>
    <w:qFormat/>
    <w:rPr>
      <w:rFonts w:eastAsia="宋体"/>
      <w:sz w:val="24"/>
      <w:lang w:val="en-US" w:eastAsia="zh-CN"/>
    </w:rPr>
  </w:style>
  <w:style w:type="character" w:styleId="1195" w:customStyle="1">
    <w:name w:val="font91"/>
    <w:uiPriority w:val="99"/>
    <w:qFormat/>
    <w:rPr>
      <w:rFonts w:ascii="宋体" w:hAnsi="宋体" w:eastAsia="宋体"/>
      <w:color w:val="000000"/>
      <w:sz w:val="20"/>
      <w:u w:val="none"/>
    </w:rPr>
  </w:style>
  <w:style w:type="character" w:styleId="1196" w:customStyle="1">
    <w:name w:val="Char Char3"/>
    <w:uiPriority w:val="99"/>
    <w:qFormat/>
    <w:rPr>
      <w:rFonts w:eastAsia="宋体"/>
      <w:sz w:val="18"/>
      <w:lang w:val="en-US" w:eastAsia="zh-CN"/>
    </w:rPr>
  </w:style>
  <w:style w:type="character" w:styleId="1197" w:customStyle="1">
    <w:name w:val="普通文字1 Char"/>
    <w:uiPriority w:val="99"/>
    <w:qFormat/>
    <w:rPr>
      <w:rFonts w:ascii="宋体" w:eastAsia="宋体"/>
      <w:sz w:val="21"/>
      <w:lang w:val="en-US" w:eastAsia="zh-CN"/>
    </w:rPr>
  </w:style>
  <w:style w:type="character" w:styleId="1198" w:customStyle="1">
    <w:name w:val="Char Char8"/>
    <w:uiPriority w:val="99"/>
    <w:qFormat/>
    <w:rPr>
      <w:rFonts w:eastAsia="宋体"/>
      <w:sz w:val="18"/>
      <w:lang w:val="en-US" w:eastAsia="zh-CN"/>
    </w:rPr>
  </w:style>
  <w:style w:type="character" w:styleId="1199" w:customStyle="1">
    <w:name w:val="msosubtleemphasis"/>
    <w:uiPriority w:val="99"/>
    <w:qFormat/>
    <w:rPr>
      <w:rFonts w:cs="Times New Roman"/>
      <w:i/>
      <w:color w:val="auto"/>
    </w:rPr>
  </w:style>
  <w:style w:type="character" w:styleId="1200" w:customStyle="1">
    <w:name w:val="小四 段落 宋体 Char Char Char Char Char Char Char Char"/>
    <w:uiPriority w:val="99"/>
    <w:qFormat/>
    <w:rPr>
      <w:rFonts w:eastAsia="宋体"/>
      <w:sz w:val="24"/>
      <w:lang w:val="en-US" w:eastAsia="zh-CN"/>
    </w:rPr>
  </w:style>
  <w:style w:type="character" w:styleId="1201" w:customStyle="1">
    <w:name w:val="批注文字 Char"/>
    <w:uiPriority w:val="0"/>
    <w:qFormat/>
    <w:rPr>
      <w:rFonts w:ascii="Times New Roman" w:hAnsi="Times New Roman" w:eastAsia="宋体"/>
      <w:sz w:val="20"/>
    </w:rPr>
  </w:style>
  <w:style w:type="character" w:styleId="1202" w:customStyle="1">
    <w:name w:val="批注文字 字符"/>
    <w:uiPriority w:val="99"/>
    <w:qFormat/>
    <w:rPr>
      <w:rFonts w:ascii="Times New Roman" w:hAnsi="Times New Roman" w:eastAsia="宋体" w:cs="Times New Roman"/>
      <w:sz w:val="24"/>
      <w:szCs w:val="24"/>
    </w:rPr>
  </w:style>
  <w:style w:type="paragraph" w:styleId="1203" w:customStyle="1">
    <w:name w:val="样式 加点正文 + 段前: 0.5 行 段后: 0.5 行1"/>
    <w:basedOn w:val="836"/>
    <w:uiPriority w:val="99"/>
    <w:qFormat/>
    <w:pPr>
      <w:ind w:left="1268" w:hanging="420"/>
      <w:spacing w:line="300" w:lineRule="auto"/>
      <w:tabs>
        <w:tab w:val="left" w:pos="1268" w:leader="none"/>
      </w:tabs>
    </w:pPr>
    <w:rPr>
      <w:sz w:val="24"/>
      <w:szCs w:val="20"/>
    </w:rPr>
  </w:style>
  <w:style w:type="paragraph" w:styleId="1204" w:customStyle="1">
    <w:name w:val="Char2"/>
    <w:basedOn w:val="854"/>
    <w:uiPriority w:val="99"/>
    <w:qFormat/>
    <w:rPr>
      <w:rFonts w:ascii="Tahoma" w:hAnsi="Tahoma"/>
    </w:rPr>
  </w:style>
  <w:style w:type="paragraph" w:styleId="1205" w:customStyle="1">
    <w:name w:val="正文缩进2字符"/>
    <w:basedOn w:val="836"/>
    <w:uiPriority w:val="99"/>
    <w:qFormat/>
    <w:pPr>
      <w:ind w:firstLine="200"/>
      <w:spacing w:line="300" w:lineRule="auto"/>
    </w:pPr>
    <w:rPr>
      <w:rFonts w:ascii="仿宋_GB2312" w:eastAsia="仿宋_GB2312"/>
      <w:sz w:val="32"/>
      <w:szCs w:val="32"/>
    </w:rPr>
  </w:style>
  <w:style w:type="paragraph" w:styleId="1206" w:customStyle="1">
    <w:name w:val="普通 (Web)"/>
    <w:basedOn w:val="836"/>
    <w:uiPriority w:val="99"/>
    <w:qFormat/>
    <w:pPr>
      <w:jc w:val="left"/>
      <w:spacing w:before="100" w:beforeAutospacing="1" w:after="100" w:afterAutospacing="1"/>
      <w:widowControl/>
    </w:pPr>
    <w:rPr>
      <w:rFonts w:ascii="宋体" w:hAnsi="宋体"/>
      <w:sz w:val="24"/>
    </w:rPr>
  </w:style>
  <w:style w:type="paragraph" w:styleId="1207" w:customStyle="1">
    <w:name w:val="table_lines"/>
    <w:basedOn w:val="836"/>
    <w:uiPriority w:val="99"/>
    <w:qFormat/>
    <w:pPr>
      <w:jc w:val="left"/>
      <w:widowControl/>
    </w:pPr>
    <w:rPr>
      <w:sz w:val="20"/>
      <w:szCs w:val="20"/>
      <w:lang w:val="de-DE" w:eastAsia="de-DE"/>
    </w:rPr>
  </w:style>
  <w:style w:type="paragraph" w:styleId="1208" w:customStyle="1">
    <w:name w:val="方案正文"/>
    <w:basedOn w:val="836"/>
    <w:uiPriority w:val="99"/>
    <w:qFormat/>
    <w:pPr>
      <w:ind w:firstLine="359"/>
      <w:jc w:val="left"/>
      <w:spacing w:before="156" w:line="360" w:lineRule="auto"/>
    </w:pPr>
    <w:rPr>
      <w:rFonts w:ascii="Arial" w:hAnsi="Arial" w:cs="宋体"/>
      <w:sz w:val="24"/>
      <w:szCs w:val="21"/>
    </w:rPr>
  </w:style>
  <w:style w:type="paragraph" w:styleId="1209" w:customStyle="1">
    <w:name w:val="xl37"/>
    <w:basedOn w:val="83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210" w:customStyle="1">
    <w:name w:val="标准文本"/>
    <w:basedOn w:val="836"/>
    <w:uiPriority w:val="99"/>
    <w:qFormat/>
    <w:pPr>
      <w:ind w:firstLine="480"/>
      <w:spacing w:line="360" w:lineRule="auto"/>
    </w:pPr>
    <w:rPr>
      <w:rFonts w:cs="宋体"/>
      <w:sz w:val="24"/>
    </w:rPr>
  </w:style>
  <w:style w:type="paragraph" w:styleId="1211" w:customStyle="1">
    <w:name w:val="正文 + 宋体"/>
    <w:basedOn w:val="836"/>
    <w:uiPriority w:val="99"/>
    <w:qFormat/>
    <w:pPr>
      <w:ind w:firstLine="420"/>
      <w:spacing w:line="360" w:lineRule="auto"/>
    </w:pPr>
  </w:style>
  <w:style w:type="paragraph" w:styleId="1212" w:customStyle="1">
    <w:name w:val="我的正文"/>
    <w:basedOn w:val="836"/>
    <w:uiPriority w:val="99"/>
    <w:qFormat/>
    <w:pPr>
      <w:ind w:firstLine="420"/>
      <w:jc w:val="left"/>
      <w:spacing w:line="360" w:lineRule="auto"/>
      <w:widowControl/>
    </w:pPr>
    <w:rPr>
      <w:rFonts w:ascii="宋体" w:hAnsi="宋体" w:cs="宋体"/>
      <w:szCs w:val="21"/>
    </w:rPr>
  </w:style>
  <w:style w:type="paragraph" w:styleId="1213" w:customStyle="1">
    <w:name w:val="Char Char Char Char Char Char Char"/>
    <w:basedOn w:val="836"/>
    <w:uiPriority w:val="99"/>
    <w:qFormat/>
    <w:pPr>
      <w:jc w:val="left"/>
    </w:pPr>
    <w:rPr>
      <w:rFonts w:ascii="Tahoma" w:hAnsi="Tahoma"/>
      <w:sz w:val="24"/>
      <w:szCs w:val="20"/>
    </w:rPr>
  </w:style>
  <w:style w:type="paragraph" w:styleId="1214" w:customStyle="1">
    <w:name w:val="公文正文"/>
    <w:basedOn w:val="859"/>
    <w:uiPriority w:val="99"/>
    <w:qFormat/>
    <w:pPr>
      <w:ind w:left="0" w:firstLine="200"/>
      <w:spacing w:after="0"/>
    </w:pPr>
    <w:rPr>
      <w:rFonts w:ascii="仿宋_GB2312" w:hAnsi="宋体" w:eastAsia="仿宋_GB2312"/>
      <w:sz w:val="28"/>
    </w:rPr>
  </w:style>
  <w:style w:type="paragraph" w:styleId="1215" w:customStyle="1">
    <w:name w:val="p0"/>
    <w:basedOn w:val="836"/>
    <w:uiPriority w:val="99"/>
    <w:qFormat/>
    <w:pPr>
      <w:jc w:val="left"/>
      <w:spacing w:before="100" w:beforeAutospacing="1" w:after="100" w:afterAutospacing="1"/>
      <w:widowControl/>
    </w:pPr>
    <w:rPr>
      <w:rFonts w:ascii="宋体" w:hAnsi="宋体" w:cs="宋体"/>
      <w:sz w:val="24"/>
    </w:rPr>
  </w:style>
  <w:style w:type="paragraph" w:styleId="1216" w:customStyle="1">
    <w:name w:val="Char Char Char Char Char Char Char Char Char Char Char"/>
    <w:basedOn w:val="836"/>
    <w:uiPriority w:val="99"/>
    <w:qFormat/>
    <w:rPr>
      <w:rFonts w:ascii="Tahoma" w:hAnsi="Tahoma"/>
      <w:sz w:val="24"/>
      <w:szCs w:val="20"/>
    </w:rPr>
  </w:style>
  <w:style w:type="paragraph" w:styleId="1217" w:customStyle="1">
    <w:name w:val="插图"/>
    <w:basedOn w:val="836"/>
    <w:uiPriority w:val="99"/>
    <w:qFormat/>
    <w:pPr>
      <w:jc w:val="center"/>
      <w:tabs>
        <w:tab w:val="left" w:pos="1620" w:leader="none"/>
      </w:tabs>
    </w:pPr>
    <w:rPr>
      <w:bCs/>
      <w:color w:val="000000"/>
      <w:szCs w:val="22"/>
    </w:rPr>
  </w:style>
  <w:style w:type="paragraph" w:styleId="1218" w:customStyle="1">
    <w:name w:val="样式1"/>
    <w:basedOn w:val="836"/>
    <w:uiPriority w:val="99"/>
    <w:qFormat/>
    <w:pPr>
      <w:ind w:firstLine="480"/>
      <w:spacing w:line="300" w:lineRule="auto"/>
    </w:pPr>
    <w:rPr>
      <w:sz w:val="24"/>
    </w:rPr>
  </w:style>
  <w:style w:type="paragraph" w:styleId="1219" w:customStyle="1">
    <w:name w:val="xl26"/>
    <w:basedOn w:val="83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20" w:customStyle="1">
    <w:name w:val="Char Char Char"/>
    <w:basedOn w:val="836"/>
    <w:uiPriority w:val="99"/>
    <w:qFormat/>
    <w:rPr>
      <w:rFonts w:ascii="Tahoma" w:hAnsi="Tahoma"/>
      <w:sz w:val="24"/>
      <w:szCs w:val="20"/>
    </w:rPr>
  </w:style>
  <w:style w:type="paragraph" w:styleId="1221" w:customStyle="1">
    <w:name w:val="马刚标题3"/>
    <w:basedOn w:val="836"/>
    <w:next w:val="836"/>
    <w:uiPriority w:val="9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222" w:customStyle="1">
    <w:name w:val="段"/>
    <w:uiPriority w:val="99"/>
    <w:qFormat/>
    <w:pPr>
      <w:ind w:firstLine="200"/>
      <w:jc w:val="both"/>
    </w:pPr>
    <w:rPr>
      <w:rFonts w:ascii="宋体" w:hAnsi="Times New Roman" w:eastAsia="宋体" w:cs="Times New Roman"/>
      <w:sz w:val="21"/>
      <w:lang w:val="en-US" w:eastAsia="zh-CN" w:bidi="ar-SA"/>
    </w:rPr>
  </w:style>
  <w:style w:type="paragraph" w:styleId="1223" w:customStyle="1">
    <w:name w:val="二级条标题"/>
    <w:basedOn w:val="836"/>
    <w:next w:val="1222"/>
    <w:uiPriority w:val="99"/>
    <w:qFormat/>
    <w:pPr>
      <w:ind w:hanging="420"/>
      <w:widowControl/>
      <w:tabs>
        <w:tab w:val="left" w:pos="2240" w:leader="none"/>
      </w:tabs>
      <w:outlineLvl w:val="3"/>
    </w:pPr>
    <w:rPr>
      <w:rFonts w:eastAsia="黑体"/>
      <w:szCs w:val="20"/>
    </w:rPr>
  </w:style>
  <w:style w:type="paragraph" w:styleId="1224" w:customStyle="1">
    <w:name w:val="Char Char1 Char Char Char Char1 Char Char Char Char Char Char"/>
    <w:basedOn w:val="836"/>
    <w:uiPriority w:val="99"/>
    <w:qFormat/>
    <w:rPr>
      <w:rFonts w:ascii="Tahoma" w:hAnsi="Tahoma"/>
      <w:sz w:val="24"/>
      <w:szCs w:val="20"/>
    </w:rPr>
  </w:style>
  <w:style w:type="paragraph" w:styleId="1225" w:customStyle="1">
    <w:name w:val="正文表标题"/>
    <w:next w:val="1222"/>
    <w:uiPriority w:val="99"/>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26" w:customStyle="1">
    <w:name w:val="xl44"/>
    <w:basedOn w:val="836"/>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227" w:customStyle="1">
    <w:name w:val="Char Char Char Char Char Char Char Char Char Char Char Char Char Char Char Char Char Char Char Char Char1"/>
    <w:basedOn w:val="836"/>
    <w:uiPriority w:val="99"/>
    <w:qFormat/>
    <w:rPr>
      <w:rFonts w:ascii="Tahoma" w:hAnsi="Tahoma"/>
      <w:sz w:val="24"/>
      <w:szCs w:val="20"/>
    </w:rPr>
  </w:style>
  <w:style w:type="paragraph" w:styleId="1228" w:customStyle="1">
    <w:name w:val="样式2"/>
    <w:basedOn w:val="836"/>
    <w:uiPriority w:val="99"/>
    <w:qFormat/>
    <w:pPr>
      <w:ind w:left="200"/>
      <w:spacing w:line="360" w:lineRule="auto"/>
    </w:pPr>
    <w:rPr>
      <w:rFonts w:ascii="宋体" w:hAnsi="宋体"/>
      <w:b/>
      <w:sz w:val="24"/>
    </w:rPr>
  </w:style>
  <w:style w:type="paragraph" w:styleId="1229" w:customStyle="1">
    <w:name w:val="部分1"/>
    <w:basedOn w:val="836"/>
    <w:uiPriority w:val="99"/>
    <w:qFormat/>
    <w:pPr>
      <w:jc w:val="center"/>
      <w:keepNext/>
      <w:pageBreakBefore/>
      <w:spacing w:line="360" w:lineRule="auto"/>
      <w:tabs>
        <w:tab w:val="left" w:pos="360" w:leader="none"/>
      </w:tabs>
      <w:outlineLvl w:val="0"/>
    </w:pPr>
    <w:rPr>
      <w:rFonts w:eastAsia="黑体"/>
      <w:b/>
      <w:sz w:val="36"/>
      <w:szCs w:val="20"/>
    </w:rPr>
  </w:style>
  <w:style w:type="paragraph" w:styleId="1230" w:customStyle="1">
    <w:name w:val="Item List Char Char"/>
    <w:uiPriority w:val="99"/>
    <w:qFormat/>
    <w:pPr>
      <w:jc w:val="both"/>
      <w:spacing w:line="288" w:lineRule="auto"/>
    </w:pPr>
    <w:rPr>
      <w:rFonts w:ascii="Arial" w:hAnsi="Arial" w:eastAsia="宋体" w:cs="Arial"/>
      <w:b/>
      <w:bCs/>
      <w:sz w:val="21"/>
      <w:szCs w:val="28"/>
      <w:lang w:val="en-US" w:eastAsia="zh-CN" w:bidi="ar-SA"/>
    </w:rPr>
  </w:style>
  <w:style w:type="paragraph" w:styleId="1231" w:customStyle="1">
    <w:name w:val="马刚标题4"/>
    <w:basedOn w:val="1221"/>
    <w:next w:val="836"/>
    <w:uiPriority w:val="99"/>
    <w:qFormat/>
    <w:pPr>
      <w:spacing w:before="100" w:after="40"/>
      <w:tabs>
        <w:tab w:val="left" w:pos="1050" w:leader="none"/>
      </w:tabs>
      <w:outlineLvl w:val="3"/>
    </w:pPr>
    <w:rPr>
      <w:b w:val="0"/>
    </w:rPr>
  </w:style>
  <w:style w:type="paragraph" w:styleId="1232" w:customStyle="1">
    <w:name w:val="xl27"/>
    <w:basedOn w:val="83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33" w:customStyle="1">
    <w:name w:val="xl31"/>
    <w:basedOn w:val="83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rPr>
  </w:style>
  <w:style w:type="paragraph" w:styleId="1234" w:customStyle="1">
    <w:name w:val="样式 标题 3H3sect1.2.3BOD 0Heading 3 - oldh3l3CTLevel 3 Head..."/>
    <w:basedOn w:val="839"/>
    <w:uiPriority w:val="99"/>
    <w:qFormat/>
    <w:pPr>
      <w:jc w:val="left"/>
      <w:spacing w:line="240" w:lineRule="auto"/>
    </w:pPr>
    <w:rPr>
      <w:rFonts w:cs="宋体"/>
      <w:sz w:val="30"/>
      <w:szCs w:val="20"/>
    </w:rPr>
  </w:style>
  <w:style w:type="paragraph" w:styleId="1235" w:customStyle="1">
    <w:name w:val="Table Text Char"/>
    <w:uiPriority w:val="99"/>
    <w:qFormat/>
    <w:pPr>
      <w:spacing w:before="80" w:after="80"/>
    </w:pPr>
    <w:rPr>
      <w:rFonts w:ascii="Arial" w:hAnsi="Arial" w:eastAsia="宋体" w:cs="Arial"/>
      <w:sz w:val="18"/>
      <w:szCs w:val="28"/>
      <w:lang w:val="en-US" w:eastAsia="zh-CN" w:bidi="ar-SA"/>
    </w:rPr>
  </w:style>
  <w:style w:type="paragraph" w:styleId="1236" w:customStyle="1">
    <w:name w:val="小四 段落 宋体 Char Char Char Char"/>
    <w:basedOn w:val="836"/>
    <w:uiPriority w:val="99"/>
    <w:qFormat/>
    <w:pPr>
      <w:ind w:right="-33" w:firstLine="480"/>
      <w:jc w:val="left"/>
      <w:spacing w:line="360" w:lineRule="auto"/>
    </w:pPr>
    <w:rPr>
      <w:sz w:val="24"/>
    </w:rPr>
  </w:style>
  <w:style w:type="paragraph" w:styleId="1237" w:customStyle="1">
    <w:name w:val="Pa5"/>
    <w:basedOn w:val="836"/>
    <w:next w:val="836"/>
    <w:uiPriority w:val="99"/>
    <w:qFormat/>
    <w:pPr>
      <w:jc w:val="left"/>
      <w:spacing w:line="241" w:lineRule="atLeast"/>
    </w:pPr>
    <w:rPr>
      <w:rFonts w:ascii="汉仪大黑简" w:eastAsia="汉仪大黑简"/>
      <w:sz w:val="24"/>
    </w:rPr>
  </w:style>
  <w:style w:type="paragraph" w:styleId="1238" w:customStyle="1">
    <w:name w:val="样式 段后: 0.25 行"/>
    <w:basedOn w:val="836"/>
    <w:uiPriority w:val="99"/>
    <w:qFormat/>
    <w:pPr>
      <w:ind w:firstLine="420"/>
      <w:jc w:val="left"/>
      <w:spacing w:line="300" w:lineRule="auto"/>
      <w:widowControl/>
    </w:pPr>
    <w:rPr>
      <w:rFonts w:ascii="Arial" w:hAnsi="Arial" w:cs="宋体"/>
      <w:sz w:val="22"/>
      <w:szCs w:val="20"/>
      <w:lang w:eastAsia="en-US"/>
    </w:rPr>
  </w:style>
  <w:style w:type="paragraph" w:styleId="1239" w:customStyle="1">
    <w:name w:val="flType"/>
    <w:basedOn w:val="1240"/>
    <w:uiPriority w:val="99"/>
    <w:qFormat/>
    <w:pPr>
      <w:spacing w:after="284"/>
    </w:pPr>
    <w:rPr>
      <w:rFonts w:eastAsia="宋体"/>
      <w:b w:val="0"/>
    </w:rPr>
  </w:style>
  <w:style w:type="paragraph" w:styleId="1240" w:customStyle="1">
    <w:name w:val="flName"/>
    <w:basedOn w:val="1241"/>
    <w:uiPriority w:val="99"/>
    <w:qFormat/>
    <w:pPr>
      <w:spacing w:before="0" w:line="113" w:lineRule="atLeast"/>
    </w:pPr>
  </w:style>
  <w:style w:type="paragraph" w:styleId="1241" w:customStyle="1">
    <w:name w:val="flNote"/>
    <w:basedOn w:val="836"/>
    <w:uiPriority w:val="99"/>
    <w:qFormat/>
    <w:pPr>
      <w:jc w:val="center"/>
      <w:spacing w:before="567" w:line="360" w:lineRule="atLeast"/>
    </w:pPr>
    <w:rPr>
      <w:rFonts w:eastAsia="黑体"/>
      <w:b/>
      <w:sz w:val="24"/>
      <w:szCs w:val="20"/>
    </w:rPr>
  </w:style>
  <w:style w:type="paragraph" w:styleId="1242" w:customStyle="1">
    <w:name w:val="qw"/>
    <w:uiPriority w:val="99"/>
    <w:qFormat/>
    <w:pPr>
      <w:jc w:val="both"/>
      <w:spacing w:line="312" w:lineRule="atLeast"/>
      <w:widowControl w:val="off"/>
    </w:pPr>
    <w:rPr>
      <w:rFonts w:ascii="宋体" w:hAnsi="Times New Roman" w:eastAsia="宋体" w:cs="Times New Roman"/>
      <w:sz w:val="24"/>
      <w:lang w:val="en-US" w:eastAsia="zh-CN" w:bidi="ar-SA"/>
    </w:rPr>
  </w:style>
  <w:style w:type="paragraph" w:styleId="1243" w:customStyle="1">
    <w:name w:val="样式 样式 首行缩进:  2 字符 + 行距: 1.5 倍行距"/>
    <w:basedOn w:val="836"/>
    <w:uiPriority w:val="99"/>
    <w:qFormat/>
    <w:pPr>
      <w:ind w:firstLine="470"/>
      <w:spacing w:line="360" w:lineRule="auto"/>
    </w:pPr>
    <w:rPr>
      <w:sz w:val="24"/>
      <w:szCs w:val="20"/>
    </w:rPr>
  </w:style>
  <w:style w:type="paragraph" w:styleId="1244" w:customStyle="1">
    <w:name w:val="_Style 82"/>
    <w:uiPriority w:val="99"/>
    <w:qFormat/>
    <w:rPr>
      <w:rFonts w:ascii="Times New Roman" w:hAnsi="Times New Roman" w:eastAsia="宋体" w:cs="Times New Roman"/>
      <w:sz w:val="22"/>
      <w:szCs w:val="22"/>
      <w:lang w:val="en-US" w:eastAsia="zh-CN" w:bidi="ar-SA"/>
    </w:rPr>
  </w:style>
  <w:style w:type="paragraph" w:styleId="1245" w:customStyle="1">
    <w:name w:val="xl52"/>
    <w:basedOn w:val="836"/>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246" w:customStyle="1">
    <w:name w:val="样式 样式 首行缩进:  0.74 厘米 行距: 1.5 倍行距 + 段后: 0.5 行"/>
    <w:basedOn w:val="836"/>
    <w:uiPriority w:val="99"/>
    <w:qFormat/>
    <w:pPr>
      <w:ind w:firstLine="420"/>
      <w:spacing w:line="360" w:lineRule="auto"/>
    </w:pPr>
    <w:rPr>
      <w:rFonts w:ascii="楷体_GB2312" w:eastAsia="楷体_GB2312"/>
      <w:bCs/>
      <w:sz w:val="24"/>
      <w:szCs w:val="20"/>
    </w:rPr>
  </w:style>
  <w:style w:type="paragraph" w:styleId="1247" w:customStyle="1">
    <w:name w:val="Char Char1"/>
    <w:basedOn w:val="836"/>
    <w:uiPriority w:val="99"/>
    <w:qFormat/>
    <w:rPr>
      <w:rFonts w:ascii="Tahoma" w:hAnsi="Tahoma"/>
      <w:sz w:val="24"/>
      <w:szCs w:val="20"/>
    </w:rPr>
  </w:style>
  <w:style w:type="paragraph" w:styleId="1248" w:customStyle="1">
    <w:name w:val="Char1 Char Char Char"/>
    <w:basedOn w:val="836"/>
    <w:uiPriority w:val="99"/>
    <w:qFormat/>
    <w:rPr>
      <w:rFonts w:ascii="Tahoma" w:hAnsi="Tahoma" w:cs="Tahoma"/>
      <w:sz w:val="24"/>
      <w:szCs w:val="20"/>
    </w:rPr>
  </w:style>
  <w:style w:type="paragraph" w:styleId="1249" w:customStyle="1">
    <w:name w:val="标题2，章节第二层"/>
    <w:basedOn w:val="836"/>
    <w:next w:val="1250"/>
    <w:uiPriority w:val="99"/>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250" w:customStyle="1">
    <w:name w:val="正文格式"/>
    <w:basedOn w:val="836"/>
    <w:uiPriority w:val="99"/>
    <w:qFormat/>
    <w:pPr>
      <w:ind w:left="178" w:right="44" w:hanging="178"/>
      <w:jc w:val="left"/>
      <w:spacing w:line="360" w:lineRule="auto"/>
      <w:widowControl/>
    </w:pPr>
    <w:rPr>
      <w:rFonts w:ascii="宋体" w:hAnsi="宋体"/>
      <w:bCs/>
      <w:szCs w:val="21"/>
    </w:rPr>
  </w:style>
  <w:style w:type="paragraph" w:styleId="1251" w:customStyle="1">
    <w:name w:val="Test2"/>
    <w:basedOn w:val="838"/>
    <w:uiPriority w:val="99"/>
    <w:qFormat/>
    <w:pPr>
      <w:jc w:val="center"/>
      <w:spacing w:line="480" w:lineRule="exact"/>
      <w:widowControl/>
    </w:pPr>
    <w:rPr>
      <w:rFonts w:ascii="黑体"/>
      <w:sz w:val="24"/>
      <w:szCs w:val="24"/>
    </w:rPr>
  </w:style>
  <w:style w:type="paragraph" w:styleId="1252" w:customStyle="1">
    <w:name w:val="xl36"/>
    <w:basedOn w:val="83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53" w:customStyle="1">
    <w:name w:val="font6"/>
    <w:basedOn w:val="836"/>
    <w:uiPriority w:val="99"/>
    <w:qFormat/>
    <w:pPr>
      <w:jc w:val="left"/>
      <w:spacing w:before="100" w:beforeAutospacing="1" w:after="100" w:afterAutospacing="1"/>
      <w:widowControl/>
    </w:pPr>
    <w:rPr>
      <w:rFonts w:ascii="宋体" w:hAnsi="宋体" w:cs="宋体"/>
      <w:b/>
      <w:bCs/>
      <w:sz w:val="20"/>
      <w:szCs w:val="20"/>
    </w:rPr>
  </w:style>
  <w:style w:type="paragraph" w:styleId="1254" w:customStyle="1">
    <w:name w:val="xl58"/>
    <w:basedOn w:val="836"/>
    <w:uiPriority w:val="99"/>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255" w:customStyle="1">
    <w:name w:val="font10"/>
    <w:basedOn w:val="836"/>
    <w:uiPriority w:val="99"/>
    <w:qFormat/>
    <w:pPr>
      <w:jc w:val="left"/>
      <w:spacing w:before="100" w:beforeAutospacing="1" w:after="100" w:afterAutospacing="1"/>
      <w:widowControl/>
    </w:pPr>
    <w:rPr>
      <w:rFonts w:ascii="楷体_GB2312" w:hAnsi="宋体" w:eastAsia="楷体_GB2312" w:cs="宋体"/>
      <w:b/>
      <w:bCs/>
      <w:sz w:val="18"/>
      <w:szCs w:val="18"/>
    </w:rPr>
  </w:style>
  <w:style w:type="paragraph" w:styleId="1256" w:customStyle="1">
    <w:name w:val="xl56"/>
    <w:basedOn w:val="836"/>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257" w:customStyle="1">
    <w:name w:val="样式"/>
    <w:basedOn w:val="836"/>
    <w:uiPriority w:val="99"/>
    <w:qFormat/>
    <w:pPr>
      <w:spacing w:before="120" w:after="120" w:line="360" w:lineRule="auto"/>
    </w:pPr>
    <w:rPr>
      <w:rFonts w:ascii="宋体"/>
      <w:sz w:val="24"/>
      <w:szCs w:val="20"/>
    </w:rPr>
  </w:style>
  <w:style w:type="paragraph" w:styleId="1258" w:customStyle="1">
    <w:name w:val="a0"/>
    <w:basedOn w:val="836"/>
    <w:uiPriority w:val="99"/>
    <w:qFormat/>
    <w:pPr>
      <w:spacing w:before="100" w:beforeAutospacing="1" w:after="100" w:afterAutospacing="1"/>
      <w:widowControl/>
    </w:pPr>
    <w:rPr>
      <w:rFonts w:ascii="宋体" w:hAnsi="宋体" w:cs="宋体"/>
      <w:sz w:val="24"/>
    </w:rPr>
  </w:style>
  <w:style w:type="paragraph" w:styleId="1259" w:customStyle="1">
    <w:name w:val="retrait3"/>
    <w:basedOn w:val="836"/>
    <w:uiPriority w:val="99"/>
    <w:qFormat/>
    <w:pPr>
      <w:ind w:left="851"/>
      <w:jc w:val="left"/>
      <w:spacing w:before="20" w:after="20"/>
      <w:widowControl/>
    </w:pPr>
    <w:rPr>
      <w:rFonts w:ascii="Arial" w:hAnsi="Arial"/>
      <w:sz w:val="24"/>
      <w:szCs w:val="20"/>
      <w:lang w:val="en-GB"/>
    </w:rPr>
  </w:style>
  <w:style w:type="paragraph" w:styleId="1260" w:customStyle="1">
    <w:name w:val="图标"/>
    <w:basedOn w:val="836"/>
    <w:next w:val="836"/>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61" w:customStyle="1">
    <w:name w:val="Char1 Char Char Char1"/>
    <w:basedOn w:val="836"/>
    <w:uiPriority w:val="99"/>
    <w:qFormat/>
    <w:rPr>
      <w:rFonts w:ascii="Tahoma" w:hAnsi="Tahoma"/>
      <w:sz w:val="24"/>
      <w:szCs w:val="20"/>
    </w:rPr>
  </w:style>
  <w:style w:type="paragraph" w:styleId="1262" w:customStyle="1">
    <w:name w:val="样式 样式 标题 3H3sect1.2.3BOD 0Heading 3 - oldh3l3CTLevel 3 Head... +..."/>
    <w:basedOn w:val="836"/>
    <w:uiPriority w:val="99"/>
    <w:qFormat/>
    <w:pPr>
      <w:jc w:val="left"/>
      <w:keepLines/>
      <w:keepNext/>
      <w:outlineLvl w:val="2"/>
    </w:pPr>
    <w:rPr>
      <w:rFonts w:cs="宋体"/>
      <w:b/>
      <w:bCs/>
      <w:sz w:val="24"/>
      <w:szCs w:val="20"/>
    </w:rPr>
  </w:style>
  <w:style w:type="paragraph" w:styleId="1263" w:customStyle="1">
    <w:name w:val="Char Char1 Char1"/>
    <w:basedOn w:val="836"/>
    <w:uiPriority w:val="99"/>
    <w:qFormat/>
    <w:pPr>
      <w:jc w:val="left"/>
      <w:spacing w:after="160" w:line="240" w:lineRule="exact"/>
      <w:widowControl/>
    </w:pPr>
    <w:rPr>
      <w:rFonts w:ascii="Verdana" w:hAnsi="Verdana"/>
      <w:sz w:val="20"/>
      <w:szCs w:val="20"/>
      <w:lang w:eastAsia="en-US"/>
    </w:rPr>
  </w:style>
  <w:style w:type="paragraph" w:styleId="1264"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265" w:customStyle="1">
    <w:name w:val="xl34"/>
    <w:basedOn w:val="83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66" w:customStyle="1">
    <w:name w:val="正文2"/>
    <w:basedOn w:val="836"/>
    <w:uiPriority w:val="99"/>
    <w:qFormat/>
    <w:pPr>
      <w:ind w:firstLine="510"/>
      <w:spacing w:before="156" w:line="360" w:lineRule="auto"/>
    </w:pPr>
    <w:rPr>
      <w:sz w:val="24"/>
      <w:szCs w:val="20"/>
    </w:rPr>
  </w:style>
  <w:style w:type="paragraph" w:styleId="1267" w:customStyle="1">
    <w:name w:val="7"/>
    <w:basedOn w:val="836"/>
    <w:next w:val="889"/>
    <w:uiPriority w:val="99"/>
    <w:qFormat/>
    <w:pPr>
      <w:jc w:val="left"/>
      <w:spacing w:before="100" w:beforeAutospacing="1" w:after="100" w:afterAutospacing="1"/>
      <w:widowControl/>
    </w:pPr>
    <w:rPr>
      <w:rFonts w:ascii="宋体" w:hAnsi="宋体"/>
      <w:sz w:val="24"/>
      <w:szCs w:val="20"/>
    </w:rPr>
  </w:style>
  <w:style w:type="paragraph" w:styleId="1268" w:customStyle="1">
    <w:name w:val="Char Char Char Char Char Char Char Char Char Char Char1 Char Char Char1"/>
    <w:basedOn w:val="836"/>
    <w:uiPriority w:val="99"/>
    <w:qFormat/>
    <w:pPr>
      <w:ind w:firstLine="200"/>
      <w:jc w:val="left"/>
    </w:pPr>
    <w:rPr>
      <w:rFonts w:ascii="Tahoma" w:hAnsi="Tahoma"/>
      <w:sz w:val="24"/>
    </w:rPr>
  </w:style>
  <w:style w:type="paragraph" w:styleId="1269" w:customStyle="1">
    <w:name w:val="font13"/>
    <w:basedOn w:val="836"/>
    <w:uiPriority w:val="99"/>
    <w:qFormat/>
    <w:pPr>
      <w:jc w:val="left"/>
      <w:spacing w:before="100" w:beforeAutospacing="1" w:after="100" w:afterAutospacing="1"/>
      <w:widowControl/>
    </w:pPr>
    <w:rPr>
      <w:i/>
      <w:iCs/>
      <w:sz w:val="36"/>
      <w:szCs w:val="36"/>
    </w:rPr>
  </w:style>
  <w:style w:type="paragraph" w:styleId="1270" w:customStyle="1">
    <w:name w:val="默认段落字体 Para Char"/>
    <w:basedOn w:val="836"/>
    <w:uiPriority w:val="99"/>
    <w:qFormat/>
    <w:pPr>
      <w:spacing w:line="360" w:lineRule="auto"/>
    </w:pPr>
    <w:rPr>
      <w:sz w:val="24"/>
    </w:rPr>
  </w:style>
  <w:style w:type="paragraph" w:styleId="1271" w:customStyle="1">
    <w:name w:val="xl24"/>
    <w:basedOn w:val="83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72" w:customStyle="1">
    <w:name w:val="xl29"/>
    <w:basedOn w:val="83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73" w:customStyle="1">
    <w:name w:val="无间隔1"/>
    <w:uiPriority w:val="99"/>
    <w:qFormat/>
    <w:pPr>
      <w:jc w:val="both"/>
      <w:widowControl w:val="off"/>
    </w:pPr>
    <w:rPr>
      <w:rFonts w:ascii="Times New Roman" w:hAnsi="Times New Roman" w:eastAsia="微软雅黑" w:cs="Times New Roman"/>
      <w:sz w:val="24"/>
      <w:szCs w:val="22"/>
      <w:lang w:val="en-US" w:eastAsia="zh-CN" w:bidi="ar-SA"/>
    </w:rPr>
  </w:style>
  <w:style w:type="paragraph" w:styleId="1274" w:customStyle="1">
    <w:name w:val="符号与编号 Char Char"/>
    <w:basedOn w:val="836"/>
    <w:uiPriority w:val="99"/>
    <w:qFormat/>
    <w:pPr>
      <w:ind w:left="839" w:hanging="419"/>
      <w:spacing w:line="400" w:lineRule="atLeast"/>
      <w:tabs>
        <w:tab w:val="left" w:pos="840" w:leader="none"/>
      </w:tabs>
    </w:pPr>
    <w:rPr>
      <w:sz w:val="24"/>
    </w:rPr>
  </w:style>
  <w:style w:type="paragraph" w:styleId="1275" w:customStyle="1">
    <w:name w:val="Char Char Char Char Char Char Char Char Char Char Char1"/>
    <w:basedOn w:val="836"/>
    <w:uiPriority w:val="99"/>
    <w:qFormat/>
    <w:rPr>
      <w:rFonts w:ascii="Tahoma" w:hAnsi="Tahoma" w:cs="Tahoma"/>
      <w:sz w:val="24"/>
      <w:szCs w:val="20"/>
    </w:rPr>
  </w:style>
  <w:style w:type="paragraph" w:styleId="1276" w:customStyle="1">
    <w:name w:val="标题1，章节第一层"/>
    <w:basedOn w:val="1250"/>
    <w:next w:val="1250"/>
    <w:uiPriority w:val="99"/>
    <w:qFormat/>
    <w:pPr>
      <w:ind w:left="482"/>
      <w:tabs>
        <w:tab w:val="left" w:pos="693" w:leader="none"/>
      </w:tabs>
      <w:outlineLvl w:val="0"/>
    </w:pPr>
    <w:rPr>
      <w:color w:val="000000"/>
      <w:sz w:val="24"/>
      <w:szCs w:val="24"/>
    </w:rPr>
  </w:style>
  <w:style w:type="paragraph" w:styleId="1277" w:customStyle="1">
    <w:name w:val="af17cgridlangnp1033langf"/>
    <w:uiPriority w:val="99"/>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278" w:customStyle="1">
    <w:name w:val="样式 首行缩进:  2 字符"/>
    <w:basedOn w:val="836"/>
    <w:uiPriority w:val="99"/>
    <w:qFormat/>
    <w:pPr>
      <w:ind w:firstLine="480"/>
      <w:spacing w:line="360" w:lineRule="auto"/>
    </w:pPr>
    <w:rPr>
      <w:rFonts w:cs="宋体"/>
      <w:sz w:val="24"/>
      <w:szCs w:val="20"/>
    </w:rPr>
  </w:style>
  <w:style w:type="paragraph" w:styleId="1279" w:customStyle="1">
    <w:name w:val="标题5，章节第五层"/>
    <w:basedOn w:val="836"/>
    <w:next w:val="836"/>
    <w:uiPriority w:val="99"/>
    <w:qFormat/>
    <w:pPr>
      <w:ind w:left="2100" w:hanging="420"/>
      <w:spacing w:before="78"/>
      <w:tabs>
        <w:tab w:val="left" w:pos="1050" w:leader="none"/>
        <w:tab w:val="left" w:pos="2100" w:leader="none"/>
      </w:tabs>
      <w:outlineLvl w:val="4"/>
    </w:pPr>
    <w:rPr>
      <w:rFonts w:ascii="Arial" w:hAnsi="Arial" w:eastAsia="华文细黑"/>
      <w:sz w:val="30"/>
    </w:rPr>
  </w:style>
  <w:style w:type="paragraph" w:styleId="1280" w:customStyle="1">
    <w:name w:val="表格"/>
    <w:basedOn w:val="836"/>
    <w:uiPriority w:val="99"/>
    <w:qFormat/>
    <w:pPr>
      <w:ind w:firstLine="21"/>
    </w:pPr>
    <w:rPr>
      <w:rFonts w:ascii="宋体" w:hAnsi="宋体" w:cs="宋体"/>
      <w:sz w:val="20"/>
      <w:szCs w:val="20"/>
    </w:rPr>
  </w:style>
  <w:style w:type="paragraph" w:styleId="1281" w:customStyle="1">
    <w:name w:val="正文1"/>
    <w:basedOn w:val="836"/>
    <w:next w:val="836"/>
    <w:uiPriority w:val="99"/>
    <w:qFormat/>
    <w:pPr>
      <w:ind w:firstLine="510"/>
      <w:spacing w:before="156" w:line="360" w:lineRule="auto"/>
    </w:pPr>
    <w:rPr>
      <w:sz w:val="24"/>
      <w:szCs w:val="20"/>
    </w:rPr>
  </w:style>
  <w:style w:type="paragraph" w:styleId="1282" w:customStyle="1">
    <w:name w:val="批注主题1"/>
    <w:basedOn w:val="855"/>
    <w:next w:val="855"/>
    <w:uiPriority w:val="99"/>
    <w:qFormat/>
    <w:rPr>
      <w:b/>
      <w:bCs/>
    </w:rPr>
  </w:style>
  <w:style w:type="paragraph" w:styleId="1283" w:customStyle="1">
    <w:name w:val="样式3"/>
    <w:basedOn w:val="836"/>
    <w:next w:val="836"/>
    <w:uiPriority w:val="99"/>
    <w:qFormat/>
    <w:pPr>
      <w:spacing w:line="360" w:lineRule="auto"/>
    </w:pPr>
    <w:rPr>
      <w:szCs w:val="20"/>
    </w:rPr>
  </w:style>
  <w:style w:type="paragraph" w:styleId="1284" w:customStyle="1">
    <w:name w:val="Char Char Char Char Char Char Char Char Char1"/>
    <w:basedOn w:val="836"/>
    <w:uiPriority w:val="99"/>
    <w:qFormat/>
    <w:pPr>
      <w:ind w:left="360" w:hanging="360"/>
      <w:tabs>
        <w:tab w:val="left" w:pos="360" w:leader="none"/>
      </w:tabs>
    </w:pPr>
    <w:rPr>
      <w:sz w:val="24"/>
    </w:rPr>
  </w:style>
  <w:style w:type="paragraph" w:styleId="1285" w:customStyle="1">
    <w:name w:val="正文--wdh"/>
    <w:basedOn w:val="836"/>
    <w:uiPriority w:val="99"/>
    <w:qFormat/>
    <w:pPr>
      <w:spacing w:line="360" w:lineRule="auto"/>
    </w:pPr>
    <w:rPr>
      <w:sz w:val="24"/>
    </w:rPr>
  </w:style>
  <w:style w:type="paragraph" w:styleId="1286" w:customStyle="1">
    <w:name w:val="Char Char Char Char Char Char Char Char Char Char Char Char Char Char Char Char Char Char Char Char Char Char Char"/>
    <w:basedOn w:val="836"/>
    <w:uiPriority w:val="99"/>
    <w:qFormat/>
    <w:rPr>
      <w:rFonts w:ascii="Tahoma" w:hAnsi="Tahoma"/>
      <w:sz w:val="24"/>
      <w:szCs w:val="20"/>
    </w:rPr>
  </w:style>
  <w:style w:type="paragraph" w:styleId="1287" w:customStyle="1">
    <w:name w:val="Char"/>
    <w:basedOn w:val="836"/>
    <w:uiPriority w:val="99"/>
    <w:qFormat/>
    <w:pPr>
      <w:spacing w:line="360" w:lineRule="auto"/>
    </w:pPr>
    <w:rPr>
      <w:rFonts w:ascii="Tahoma" w:hAnsi="Tahoma"/>
      <w:sz w:val="24"/>
      <w:szCs w:val="20"/>
    </w:rPr>
  </w:style>
  <w:style w:type="paragraph" w:styleId="1288" w:customStyle="1">
    <w:name w:val="Char1"/>
    <w:basedOn w:val="836"/>
    <w:uiPriority w:val="99"/>
    <w:qFormat/>
    <w:rPr>
      <w:rFonts w:ascii="仿宋_GB2312" w:hAnsi="宋体" w:eastAsia="仿宋_GB2312" w:cs="宋体"/>
      <w:b/>
      <w:sz w:val="32"/>
      <w:szCs w:val="32"/>
    </w:rPr>
  </w:style>
  <w:style w:type="paragraph" w:styleId="1289" w:customStyle="1">
    <w:name w:val="xl62"/>
    <w:basedOn w:val="836"/>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290" w:customStyle="1">
    <w:name w:val="xl41"/>
    <w:basedOn w:val="83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91" w:customStyle="1">
    <w:name w:val="xl40"/>
    <w:basedOn w:val="83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92" w:customStyle="1">
    <w:name w:val="xl48"/>
    <w:basedOn w:val="836"/>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293" w:customStyle="1">
    <w:name w:val="font14"/>
    <w:basedOn w:val="836"/>
    <w:uiPriority w:val="99"/>
    <w:qFormat/>
    <w:pPr>
      <w:jc w:val="left"/>
      <w:spacing w:before="100" w:beforeAutospacing="1" w:after="100" w:afterAutospacing="1"/>
      <w:widowControl/>
    </w:pPr>
    <w:rPr>
      <w:sz w:val="36"/>
      <w:szCs w:val="36"/>
    </w:rPr>
  </w:style>
  <w:style w:type="paragraph" w:styleId="1294" w:customStyle="1">
    <w:name w:val="xl53"/>
    <w:basedOn w:val="836"/>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295" w:customStyle="1">
    <w:name w:val="正文文本 21"/>
    <w:basedOn w:val="836"/>
    <w:uiPriority w:val="99"/>
    <w:qFormat/>
    <w:pPr>
      <w:ind w:left="720" w:hanging="720"/>
      <w:widowControl/>
    </w:pPr>
    <w:rPr>
      <w:sz w:val="24"/>
      <w:szCs w:val="20"/>
      <w:lang w:val="en-GB"/>
    </w:rPr>
  </w:style>
  <w:style w:type="paragraph" w:styleId="1296" w:customStyle="1">
    <w:name w:val="xl57"/>
    <w:basedOn w:val="836"/>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297" w:customStyle="1">
    <w:name w:val="Char Char Char Char Char Char Char Char Char Char Char Char Char Char Char Char Char Char Char Char Char Char Char1"/>
    <w:basedOn w:val="836"/>
    <w:uiPriority w:val="99"/>
    <w:qFormat/>
    <w:rPr>
      <w:rFonts w:ascii="Tahoma" w:hAnsi="Tahoma" w:cs="Tahoma"/>
      <w:sz w:val="24"/>
      <w:szCs w:val="20"/>
    </w:rPr>
  </w:style>
  <w:style w:type="paragraph" w:styleId="1298" w:customStyle="1">
    <w:name w:val="正文文本 New New"/>
    <w:basedOn w:val="836"/>
    <w:uiPriority w:val="99"/>
    <w:qFormat/>
    <w:pPr>
      <w:ind w:firstLine="200"/>
      <w:spacing w:before="60" w:after="60" w:line="360" w:lineRule="auto"/>
      <w:widowControl/>
    </w:pPr>
    <w:rPr>
      <w:rFonts w:eastAsia="华文楷体"/>
      <w:sz w:val="24"/>
    </w:rPr>
  </w:style>
  <w:style w:type="paragraph" w:styleId="1299" w:customStyle="1">
    <w:name w:val="Char Char110"/>
    <w:basedOn w:val="836"/>
    <w:uiPriority w:val="99"/>
    <w:qFormat/>
    <w:rPr>
      <w:rFonts w:ascii="Tahoma" w:hAnsi="Tahoma" w:cs="Tahoma"/>
      <w:sz w:val="24"/>
      <w:szCs w:val="20"/>
    </w:rPr>
  </w:style>
  <w:style w:type="paragraph" w:styleId="1300" w:customStyle="1">
    <w:name w:val="表头_5"/>
    <w:basedOn w:val="836"/>
    <w:uiPriority w:val="99"/>
    <w:qFormat/>
    <w:pPr>
      <w:spacing w:line="360" w:lineRule="auto"/>
    </w:pPr>
    <w:rPr>
      <w:b/>
      <w:bCs/>
      <w:sz w:val="28"/>
      <w:szCs w:val="21"/>
    </w:rPr>
  </w:style>
  <w:style w:type="paragraph" w:styleId="1301" w:customStyle="1">
    <w:name w:val="华宇段落1 Char"/>
    <w:basedOn w:val="836"/>
    <w:uiPriority w:val="99"/>
    <w:qFormat/>
    <w:pPr>
      <w:ind w:firstLine="200"/>
      <w:spacing w:line="360" w:lineRule="auto"/>
    </w:pPr>
    <w:rPr>
      <w:bCs/>
      <w:sz w:val="24"/>
    </w:rPr>
  </w:style>
  <w:style w:type="paragraph" w:styleId="1302" w:customStyle="1">
    <w:name w:val="Char Char Char Char Char Char Char Char Char Char Char Char Char Char1"/>
    <w:basedOn w:val="836"/>
    <w:uiPriority w:val="99"/>
    <w:qFormat/>
    <w:rPr>
      <w:rFonts w:ascii="Tahoma" w:hAnsi="Tahoma" w:cs="Tahoma"/>
      <w:sz w:val="24"/>
      <w:szCs w:val="20"/>
    </w:rPr>
  </w:style>
  <w:style w:type="paragraph" w:styleId="1303" w:customStyle="1">
    <w:name w:val="文档正文"/>
    <w:basedOn w:val="836"/>
    <w:uiPriority w:val="99"/>
    <w:qFormat/>
    <w:pPr>
      <w:spacing w:line="360" w:lineRule="auto"/>
    </w:pPr>
    <w:rPr>
      <w:rFonts w:ascii="宋体" w:hAnsi="宋体"/>
      <w:b/>
      <w:bCs/>
    </w:rPr>
  </w:style>
  <w:style w:type="paragraph" w:styleId="1304" w:customStyle="1">
    <w:name w:val="Default Text"/>
    <w:basedOn w:val="836"/>
    <w:uiPriority w:val="99"/>
    <w:qFormat/>
    <w:pPr>
      <w:jc w:val="left"/>
      <w:widowControl/>
    </w:pPr>
    <w:rPr>
      <w:sz w:val="24"/>
      <w:szCs w:val="20"/>
      <w:lang w:eastAsia="en-US"/>
    </w:rPr>
  </w:style>
  <w:style w:type="paragraph" w:styleId="1305" w:customStyle="1">
    <w:name w:val="xl63"/>
    <w:basedOn w:val="836"/>
    <w:uiPriority w:val="99"/>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306" w:customStyle="1">
    <w:name w:val="xl45"/>
    <w:basedOn w:val="836"/>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307" w:customStyle="1">
    <w:name w:val="Char Char Char Char Char"/>
    <w:basedOn w:val="836"/>
    <w:uiPriority w:val="99"/>
    <w:qFormat/>
    <w:rPr>
      <w:rFonts w:ascii="Tahoma" w:hAnsi="Tahoma"/>
      <w:sz w:val="24"/>
      <w:szCs w:val="20"/>
    </w:rPr>
  </w:style>
  <w:style w:type="paragraph" w:styleId="1308" w:customStyle="1">
    <w:name w:val="纯文本1"/>
    <w:basedOn w:val="836"/>
    <w:uiPriority w:val="99"/>
    <w:qFormat/>
    <w:rPr>
      <w:rFonts w:ascii="宋体" w:hAnsi="宋体" w:eastAsia="楷体_GB2312" w:cs="宋体"/>
      <w:sz w:val="28"/>
      <w:szCs w:val="20"/>
    </w:rPr>
  </w:style>
  <w:style w:type="paragraph" w:styleId="1309" w:customStyle="1">
    <w:name w:val="font5"/>
    <w:basedOn w:val="836"/>
    <w:uiPriority w:val="99"/>
    <w:qFormat/>
    <w:pPr>
      <w:jc w:val="left"/>
      <w:spacing w:before="100" w:beforeAutospacing="1" w:after="100" w:afterAutospacing="1"/>
      <w:widowControl/>
    </w:pPr>
    <w:rPr>
      <w:rFonts w:ascii="宋体" w:hAnsi="宋体" w:cs="宋体"/>
      <w:sz w:val="18"/>
      <w:szCs w:val="18"/>
    </w:rPr>
  </w:style>
  <w:style w:type="paragraph" w:styleId="1310" w:customStyle="1">
    <w:name w:val="章标题"/>
    <w:next w:val="1222"/>
    <w:uiPriority w:val="99"/>
    <w:qFormat/>
    <w:pPr>
      <w:jc w:val="both"/>
      <w:outlineLvl w:val="1"/>
    </w:pPr>
    <w:rPr>
      <w:rFonts w:ascii="Times New Roman" w:hAnsi="Times New Roman" w:eastAsia="黑体" w:cs="Times New Roman"/>
      <w:sz w:val="21"/>
      <w:lang w:val="en-US" w:eastAsia="zh-CN" w:bidi="ar-SA"/>
    </w:rPr>
  </w:style>
  <w:style w:type="paragraph" w:styleId="1311" w:customStyle="1">
    <w:name w:val="xl50"/>
    <w:basedOn w:val="83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312" w:customStyle="1">
    <w:name w:val="正文文本缩进1"/>
    <w:basedOn w:val="836"/>
    <w:uiPriority w:val="99"/>
    <w:qFormat/>
    <w:pPr>
      <w:ind w:left="420"/>
      <w:spacing w:after="120"/>
    </w:pPr>
  </w:style>
  <w:style w:type="paragraph" w:styleId="1313" w:customStyle="1">
    <w:name w:val="1"/>
    <w:basedOn w:val="836"/>
    <w:next w:val="887"/>
    <w:uiPriority w:val="99"/>
    <w:qFormat/>
    <w:pPr>
      <w:spacing w:line="360" w:lineRule="auto"/>
    </w:pPr>
    <w:rPr>
      <w:rFonts w:eastAsia="仿宋_GB2312"/>
      <w:sz w:val="24"/>
    </w:rPr>
  </w:style>
  <w:style w:type="paragraph" w:styleId="1314" w:customStyle="1">
    <w:name w:val="table_1stline"/>
    <w:basedOn w:val="836"/>
    <w:uiPriority w:val="99"/>
    <w:qFormat/>
    <w:pPr>
      <w:jc w:val="left"/>
      <w:spacing w:before="120"/>
      <w:widowControl/>
    </w:pPr>
    <w:rPr>
      <w:bCs/>
      <w:sz w:val="20"/>
      <w:szCs w:val="20"/>
      <w:lang w:val="de-DE" w:eastAsia="de-DE"/>
    </w:rPr>
  </w:style>
  <w:style w:type="paragraph" w:styleId="1315" w:customStyle="1">
    <w:name w:val="xl54"/>
    <w:basedOn w:val="836"/>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316" w:customStyle="1">
    <w:name w:val="111111"/>
    <w:basedOn w:val="836"/>
    <w:uiPriority w:val="99"/>
    <w:qFormat/>
    <w:pPr>
      <w:jc w:val="center"/>
      <w:spacing w:before="120" w:after="120"/>
    </w:pPr>
    <w:rPr>
      <w:rFonts w:ascii="宋体" w:hAnsi="宋体" w:eastAsia="黑体" w:cs="宋体"/>
      <w:b/>
      <w:bCs/>
      <w:szCs w:val="21"/>
    </w:rPr>
  </w:style>
  <w:style w:type="paragraph" w:styleId="1317" w:customStyle="1">
    <w:name w:val="丁华正文"/>
    <w:basedOn w:val="883"/>
    <w:uiPriority w:val="99"/>
    <w:qFormat/>
    <w:pPr>
      <w:ind w:left="0" w:firstLine="510"/>
      <w:spacing w:before="0" w:after="0" w:line="360" w:lineRule="auto"/>
    </w:pPr>
    <w:rPr>
      <w:rFonts w:ascii="宋体" w:hAnsi="Arial"/>
      <w:bCs w:val="0"/>
      <w:color w:val="000000"/>
      <w:szCs w:val="16"/>
    </w:rPr>
  </w:style>
  <w:style w:type="paragraph" w:styleId="1318" w:customStyle="1">
    <w:name w:val="条1"/>
    <w:basedOn w:val="836"/>
    <w:uiPriority w:val="99"/>
    <w:qFormat/>
    <w:pPr>
      <w:ind w:left="780" w:hanging="360"/>
      <w:spacing w:before="156" w:line="360" w:lineRule="auto"/>
      <w:tabs>
        <w:tab w:val="left" w:pos="780" w:leader="none"/>
      </w:tabs>
    </w:pPr>
    <w:rPr>
      <w:rFonts w:eastAsia="黑体"/>
      <w:sz w:val="24"/>
      <w:szCs w:val="20"/>
    </w:rPr>
  </w:style>
  <w:style w:type="paragraph" w:styleId="1319" w:customStyle="1">
    <w:name w:val="标题4，章节第四层"/>
    <w:basedOn w:val="836"/>
    <w:next w:val="836"/>
    <w:uiPriority w:val="99"/>
    <w:qFormat/>
    <w:pPr>
      <w:spacing w:line="360" w:lineRule="auto"/>
      <w:tabs>
        <w:tab w:val="left" w:pos="0" w:leader="none"/>
      </w:tabs>
      <w:outlineLvl w:val="3"/>
    </w:pPr>
    <w:rPr>
      <w:rFonts w:ascii="宋体" w:hAnsi="宋体"/>
      <w:b/>
      <w:sz w:val="24"/>
    </w:rPr>
  </w:style>
  <w:style w:type="paragraph" w:styleId="1320" w:customStyle="1">
    <w:name w:val="Char Char1 Char"/>
    <w:basedOn w:val="836"/>
    <w:uiPriority w:val="99"/>
    <w:qFormat/>
    <w:pPr>
      <w:jc w:val="left"/>
      <w:spacing w:after="160" w:line="240" w:lineRule="exact"/>
      <w:widowControl/>
    </w:pPr>
    <w:rPr>
      <w:rFonts w:ascii="Verdana" w:hAnsi="Verdana"/>
      <w:sz w:val="20"/>
      <w:szCs w:val="20"/>
      <w:lang w:eastAsia="en-US"/>
    </w:rPr>
  </w:style>
  <w:style w:type="paragraph" w:styleId="1321" w:customStyle="1">
    <w:name w:val="公文标题 2"/>
    <w:basedOn w:val="836"/>
    <w:next w:val="1214"/>
    <w:uiPriority w:val="99"/>
    <w:qFormat/>
    <w:pPr>
      <w:outlineLvl w:val="1"/>
    </w:pPr>
    <w:rPr>
      <w:rFonts w:ascii="仿宋_GB2312" w:hAnsi="宋体" w:eastAsia="仿宋_GB2312"/>
      <w:sz w:val="28"/>
    </w:rPr>
  </w:style>
  <w:style w:type="paragraph" w:styleId="1322" w:customStyle="1">
    <w:name w:val="项目符号，一级"/>
    <w:basedOn w:val="1250"/>
    <w:next w:val="1250"/>
    <w:uiPriority w:val="99"/>
    <w:qFormat/>
    <w:pPr>
      <w:ind w:left="376" w:firstLine="0"/>
      <w:spacing w:line="240" w:lineRule="atLeast"/>
      <w:tabs>
        <w:tab w:val="left" w:pos="1320" w:leader="none"/>
      </w:tabs>
    </w:pPr>
    <w:rPr>
      <w:bCs w:val="0"/>
      <w:color w:val="000000"/>
      <w:szCs w:val="24"/>
    </w:rPr>
  </w:style>
  <w:style w:type="paragraph" w:styleId="1323" w:customStyle="1">
    <w:name w:val="font11"/>
    <w:basedOn w:val="836"/>
    <w:uiPriority w:val="99"/>
    <w:qFormat/>
    <w:pPr>
      <w:jc w:val="left"/>
      <w:spacing w:before="100" w:beforeAutospacing="1" w:after="100" w:afterAutospacing="1"/>
      <w:widowControl/>
    </w:pPr>
    <w:rPr>
      <w:b/>
      <w:bCs/>
      <w:sz w:val="18"/>
      <w:szCs w:val="18"/>
    </w:rPr>
  </w:style>
  <w:style w:type="paragraph" w:styleId="1324" w:customStyle="1">
    <w:name w:val="样式 段后: 0.5 行 左  0.75 字符"/>
    <w:basedOn w:val="836"/>
    <w:uiPriority w:val="99"/>
    <w:qFormat/>
    <w:pPr>
      <w:ind w:firstLine="420"/>
      <w:spacing w:line="360" w:lineRule="auto"/>
      <w:widowControl/>
    </w:pPr>
    <w:rPr>
      <w:rFonts w:hAnsi="Arial" w:cs="Arial"/>
      <w:szCs w:val="21"/>
    </w:rPr>
  </w:style>
  <w:style w:type="paragraph" w:styleId="1325" w:customStyle="1">
    <w:name w:val="xl60"/>
    <w:basedOn w:val="836"/>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326" w:customStyle="1">
    <w:name w:val="表蕊"/>
    <w:basedOn w:val="836"/>
    <w:uiPriority w:val="99"/>
    <w:qFormat/>
    <w:pPr>
      <w:jc w:val="left"/>
      <w:spacing w:line="320" w:lineRule="atLeast"/>
    </w:pPr>
    <w:rPr>
      <w:rFonts w:eastAsia="楷体_GB2312"/>
      <w:spacing w:val="-10"/>
      <w:szCs w:val="20"/>
    </w:rPr>
  </w:style>
  <w:style w:type="paragraph" w:styleId="1327" w:customStyle="1">
    <w:name w:val="Char11"/>
    <w:basedOn w:val="836"/>
    <w:uiPriority w:val="99"/>
    <w:qFormat/>
    <w:rPr>
      <w:rFonts w:ascii="仿宋_GB2312" w:eastAsia="仿宋_GB2312"/>
      <w:b/>
      <w:sz w:val="32"/>
      <w:szCs w:val="32"/>
    </w:rPr>
  </w:style>
  <w:style w:type="paragraph" w:styleId="1328" w:customStyle="1">
    <w:name w:val="符号与编号 Char"/>
    <w:basedOn w:val="836"/>
    <w:uiPriority w:val="99"/>
    <w:qFormat/>
    <w:pPr>
      <w:ind w:left="720"/>
      <w:spacing w:line="400" w:lineRule="atLeast"/>
      <w:tabs>
        <w:tab w:val="left" w:pos="720" w:leader="none"/>
      </w:tabs>
    </w:pPr>
    <w:rPr>
      <w:sz w:val="24"/>
    </w:rPr>
  </w:style>
  <w:style w:type="paragraph" w:styleId="1329" w:customStyle="1">
    <w:name w:val="标题3"/>
    <w:basedOn w:val="839"/>
    <w:uiPriority w:val="99"/>
    <w:qFormat/>
    <w:pPr>
      <w:keepLines w:val="0"/>
      <w:keepNext w:val="0"/>
      <w:spacing w:before="0" w:after="0" w:line="360" w:lineRule="auto"/>
    </w:pPr>
    <w:rPr>
      <w:rFonts w:eastAsia="仿宋_GB2312"/>
      <w:b w:val="0"/>
      <w:sz w:val="30"/>
    </w:rPr>
  </w:style>
  <w:style w:type="paragraph" w:styleId="1330" w:customStyle="1">
    <w:name w:val="表格内文字"/>
    <w:basedOn w:val="836"/>
    <w:uiPriority w:val="99"/>
    <w:qFormat/>
    <w:pPr>
      <w:spacing w:line="300" w:lineRule="atLeast"/>
    </w:pPr>
    <w:rPr>
      <w:sz w:val="18"/>
    </w:rPr>
  </w:style>
  <w:style w:type="paragraph" w:styleId="1331" w:customStyle="1">
    <w:name w:val="xl59"/>
    <w:basedOn w:val="83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332" w:customStyle="1">
    <w:name w:val="正文 居中"/>
    <w:basedOn w:val="836"/>
    <w:uiPriority w:val="99"/>
    <w:qFormat/>
    <w:pPr>
      <w:jc w:val="center"/>
      <w:spacing w:line="360" w:lineRule="auto"/>
    </w:pPr>
    <w:rPr>
      <w:sz w:val="24"/>
      <w:szCs w:val="20"/>
    </w:rPr>
  </w:style>
  <w:style w:type="paragraph" w:styleId="1333" w:customStyle="1">
    <w:name w:val="正文 + Arial Char"/>
    <w:basedOn w:val="836"/>
    <w:uiPriority w:val="99"/>
    <w:qFormat/>
    <w:pPr>
      <w:ind w:left="315" w:hanging="315"/>
      <w:spacing w:line="300" w:lineRule="auto"/>
      <w:widowControl/>
      <w:tabs>
        <w:tab w:val="left" w:pos="315" w:leader="none"/>
      </w:tabs>
    </w:pPr>
    <w:rPr>
      <w:rFonts w:ascii="Arial" w:hAnsi="Arial" w:cs="Arial"/>
      <w:b/>
      <w:color w:val="000000"/>
      <w:szCs w:val="20"/>
    </w:rPr>
  </w:style>
  <w:style w:type="paragraph" w:styleId="1334" w:customStyle="1">
    <w:name w:val="xl35"/>
    <w:basedOn w:val="83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335" w:customStyle="1">
    <w:name w:val="列表内容"/>
    <w:basedOn w:val="836"/>
    <w:next w:val="836"/>
    <w:uiPriority w:val="99"/>
    <w:qFormat/>
    <w:pPr>
      <w:ind w:left="840" w:hanging="420"/>
      <w:jc w:val="left"/>
      <w:widowControl/>
      <w:tabs>
        <w:tab w:val="left" w:pos="840" w:leader="none"/>
      </w:tabs>
    </w:pPr>
    <w:rPr>
      <w:sz w:val="18"/>
    </w:rPr>
  </w:style>
  <w:style w:type="paragraph" w:styleId="1336" w:customStyle="1">
    <w:name w:val="Char Char1 Char Char2 Char Char"/>
    <w:basedOn w:val="836"/>
    <w:uiPriority w:val="99"/>
    <w:qFormat/>
    <w:pPr>
      <w:jc w:val="left"/>
      <w:spacing w:after="160" w:line="240" w:lineRule="exact"/>
      <w:widowControl/>
    </w:pPr>
  </w:style>
  <w:style w:type="paragraph" w:styleId="1337" w:customStyle="1">
    <w:name w:val="方案文档"/>
    <w:basedOn w:val="836"/>
    <w:uiPriority w:val="99"/>
    <w:qFormat/>
    <w:pPr>
      <w:jc w:val="center"/>
      <w:spacing w:before="60" w:after="60" w:line="360" w:lineRule="auto"/>
    </w:pPr>
    <w:rPr>
      <w:rFonts w:ascii="宋体" w:hAnsi="宋体"/>
      <w:sz w:val="24"/>
      <w:szCs w:val="20"/>
      <w:lang w:val="zh-CN"/>
    </w:rPr>
  </w:style>
  <w:style w:type="paragraph" w:styleId="1338" w:customStyle="1">
    <w:name w:val="tableau"/>
    <w:basedOn w:val="836"/>
    <w:uiPriority w:val="99"/>
    <w:qFormat/>
    <w:pPr>
      <w:jc w:val="center"/>
      <w:spacing w:before="20" w:after="20"/>
      <w:widowControl/>
    </w:pPr>
    <w:rPr>
      <w:rFonts w:ascii="Arial" w:hAnsi="Arial"/>
      <w:sz w:val="16"/>
      <w:szCs w:val="20"/>
      <w:lang w:val="en-GB" w:eastAsia="en-US"/>
    </w:rPr>
  </w:style>
  <w:style w:type="paragraph" w:styleId="1339" w:customStyle="1">
    <w:name w:val="样式 标题 2第一章 标题 2Heading 2 HiddenHeading 2 CCBSheading 2H2h2..."/>
    <w:basedOn w:val="838"/>
    <w:uiPriority w:val="99"/>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340" w:customStyle="1">
    <w:name w:val="Char Char Char Char1"/>
    <w:basedOn w:val="854"/>
    <w:uiPriority w:val="99"/>
    <w:qFormat/>
    <w:pPr>
      <w:spacing w:line="360" w:lineRule="auto"/>
    </w:pPr>
    <w:rPr>
      <w:rFonts w:ascii="Tahoma" w:hAnsi="Tahoma"/>
    </w:rPr>
  </w:style>
  <w:style w:type="paragraph" w:styleId="1341" w:customStyle="1">
    <w:name w:val="标题1"/>
    <w:basedOn w:val="836"/>
    <w:next w:val="836"/>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342" w:customStyle="1">
    <w:name w:val="Normal Indent1"/>
    <w:basedOn w:val="836"/>
    <w:uiPriority w:val="99"/>
    <w:qFormat/>
    <w:pPr>
      <w:ind w:firstLine="420"/>
    </w:pPr>
    <w:rPr>
      <w:sz w:val="20"/>
      <w:szCs w:val="20"/>
    </w:rPr>
  </w:style>
  <w:style w:type="paragraph" w:styleId="1343" w:customStyle="1">
    <w:name w:val="Char Char1 Char Char Char Char Char Char Char"/>
    <w:basedOn w:val="836"/>
    <w:uiPriority w:val="99"/>
    <w:qFormat/>
    <w:rPr>
      <w:rFonts w:ascii="Tahoma" w:hAnsi="Tahoma" w:cs="Tahoma"/>
      <w:sz w:val="24"/>
      <w:szCs w:val="20"/>
    </w:rPr>
  </w:style>
  <w:style w:type="paragraph" w:styleId="1344" w:customStyle="1">
    <w:name w:val="font9"/>
    <w:basedOn w:val="836"/>
    <w:uiPriority w:val="99"/>
    <w:qFormat/>
    <w:pPr>
      <w:jc w:val="left"/>
      <w:spacing w:before="100" w:beforeAutospacing="1" w:after="100" w:afterAutospacing="1"/>
      <w:widowControl/>
    </w:pPr>
    <w:rPr>
      <w:b/>
      <w:bCs/>
      <w:sz w:val="20"/>
      <w:szCs w:val="20"/>
    </w:rPr>
  </w:style>
  <w:style w:type="paragraph" w:styleId="1345" w:customStyle="1">
    <w:name w:val="正文 A"/>
    <w:uiPriority w:val="99"/>
    <w:qFormat/>
    <w:pPr>
      <w:jc w:val="both"/>
      <w:widowControl w:val="off"/>
      <w:pBdr>
        <w:top w:val="none" w:color="FFFFFF" w:sz="0" w:space="31"/>
        <w:left w:val="none" w:color="FFFFFF" w:sz="0" w:space="31"/>
        <w:bottom w:val="none" w:color="FFFFFF" w:sz="0" w:space="31"/>
        <w:right w:val="none" w:color="FFFFFF" w:sz="0" w:space="31"/>
      </w:pBdr>
    </w:pPr>
    <w:rPr>
      <w:rFonts w:ascii="Arial Unicode MS" w:hAnsi="Arial Unicode MS" w:eastAsia="宋体" w:cs="Arial Unicode MS"/>
      <w:color w:val="000000"/>
      <w:sz w:val="21"/>
      <w:szCs w:val="22"/>
      <w:lang w:val="en-US" w:eastAsia="zh-CN" w:bidi="ar-SA"/>
    </w:rPr>
  </w:style>
  <w:style w:type="paragraph" w:styleId="1346" w:customStyle="1">
    <w:name w:val="Char Char Char Char Char Char Char1 Char"/>
    <w:basedOn w:val="836"/>
    <w:uiPriority w:val="99"/>
    <w:qFormat/>
    <w:rPr>
      <w:rFonts w:ascii="Tahoma" w:hAnsi="Tahoma" w:cs="Tahoma"/>
      <w:sz w:val="24"/>
      <w:szCs w:val="20"/>
    </w:rPr>
  </w:style>
  <w:style w:type="paragraph" w:styleId="1347" w:customStyle="1">
    <w:name w:val="小四 段落 宋体 Char"/>
    <w:basedOn w:val="851"/>
    <w:uiPriority w:val="99"/>
    <w:qFormat/>
    <w:pPr>
      <w:ind w:left="0" w:right="-33" w:firstLine="600"/>
      <w:jc w:val="left"/>
      <w:tabs>
        <w:tab w:val="clear" w:pos="2952" w:leader="none"/>
      </w:tabs>
    </w:pPr>
    <w:rPr>
      <w:rFonts w:ascii="仿宋_GB2312" w:eastAsia="仿宋_GB2312"/>
      <w:sz w:val="30"/>
      <w:szCs w:val="30"/>
    </w:rPr>
  </w:style>
  <w:style w:type="paragraph" w:styleId="1348" w:customStyle="1">
    <w:name w:val="标准小四"/>
    <w:basedOn w:val="836"/>
    <w:uiPriority w:val="99"/>
    <w:qFormat/>
    <w:pPr>
      <w:ind w:firstLine="480"/>
      <w:spacing w:line="360" w:lineRule="auto"/>
    </w:pPr>
    <w:rPr>
      <w:rFonts w:ascii="Arial" w:hAnsi="Arial"/>
      <w:sz w:val="24"/>
      <w:szCs w:val="21"/>
    </w:rPr>
  </w:style>
  <w:style w:type="paragraph" w:styleId="1349" w:customStyle="1">
    <w:name w:val="xl47"/>
    <w:basedOn w:val="83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350" w:customStyle="1">
    <w:name w:val="xl25"/>
    <w:basedOn w:val="836"/>
    <w:uiPriority w:val="99"/>
    <w:qFormat/>
    <w:pPr>
      <w:jc w:val="center"/>
      <w:spacing w:before="100" w:beforeAutospacing="1" w:after="100" w:afterAutospacing="1"/>
      <w:widowControl/>
      <w:pBdr>
        <w:right w:val="single" w:color="auto" w:sz="4" w:space="0"/>
      </w:pBdr>
    </w:pPr>
    <w:rPr>
      <w:szCs w:val="21"/>
    </w:rPr>
  </w:style>
  <w:style w:type="paragraph" w:styleId="1351" w:customStyle="1">
    <w:name w:val="greytypebeni"/>
    <w:basedOn w:val="836"/>
    <w:uiPriority w:val="99"/>
    <w:qFormat/>
    <w:pPr>
      <w:jc w:val="left"/>
      <w:widowControl/>
    </w:pPr>
    <w:rPr>
      <w:rFonts w:ascii="宋体" w:hAnsi="宋体" w:cs="宋体"/>
      <w:sz w:val="24"/>
    </w:rPr>
  </w:style>
  <w:style w:type="paragraph" w:styleId="1352" w:customStyle="1">
    <w:name w:val="Body Text(ch)"/>
    <w:basedOn w:val="836"/>
    <w:next w:val="858"/>
    <w:uiPriority w:val="99"/>
    <w:qFormat/>
    <w:pPr>
      <w:spacing w:after="120"/>
    </w:pPr>
    <w:rPr>
      <w:rFonts w:ascii="宋体" w:hAnsi="Arial"/>
      <w:bCs/>
      <w:iCs/>
    </w:rPr>
  </w:style>
  <w:style w:type="paragraph" w:styleId="1353" w:customStyle="1">
    <w:name w:val="样式 标题 2H2h2sect 1.2Heading 2 HiddenHeading 2 CCBSheading 2..."/>
    <w:basedOn w:val="838"/>
    <w:uiPriority w:val="99"/>
    <w:qFormat/>
    <w:pPr>
      <w:ind w:left="576" w:hanging="36"/>
      <w:jc w:val="left"/>
      <w:spacing w:line="240" w:lineRule="auto"/>
      <w:tabs>
        <w:tab w:val="left" w:pos="576" w:leader="none"/>
      </w:tabs>
    </w:pPr>
    <w:rPr>
      <w:rFonts w:ascii="宋体" w:hAnsi="宋体" w:eastAsia="宋体"/>
      <w:sz w:val="28"/>
      <w:szCs w:val="20"/>
    </w:rPr>
  </w:style>
  <w:style w:type="paragraph" w:styleId="1354" w:customStyle="1">
    <w:name w:val="a"/>
    <w:basedOn w:val="836"/>
    <w:uiPriority w:val="99"/>
    <w:qFormat/>
    <w:pPr>
      <w:spacing w:before="100" w:beforeAutospacing="1" w:after="100" w:afterAutospacing="1"/>
      <w:widowControl/>
    </w:pPr>
    <w:rPr>
      <w:rFonts w:ascii="宋体" w:hAnsi="宋体" w:cs="宋体"/>
      <w:sz w:val="24"/>
    </w:rPr>
  </w:style>
  <w:style w:type="paragraph" w:styleId="1355" w:customStyle="1">
    <w:name w:val="小四 段落 宋体 Char Char Char"/>
    <w:basedOn w:val="851"/>
    <w:uiPriority w:val="99"/>
    <w:qFormat/>
    <w:pPr>
      <w:ind w:left="0" w:right="-33" w:firstLine="545"/>
      <w:jc w:val="left"/>
      <w:spacing w:line="360" w:lineRule="auto"/>
      <w:tabs>
        <w:tab w:val="clear" w:pos="2952" w:leader="none"/>
      </w:tabs>
    </w:pPr>
    <w:rPr>
      <w:sz w:val="24"/>
    </w:rPr>
  </w:style>
  <w:style w:type="paragraph" w:styleId="1356" w:customStyle="1">
    <w:name w:val="Body Text 211"/>
    <w:basedOn w:val="836"/>
    <w:uiPriority w:val="99"/>
    <w:qFormat/>
    <w:pPr>
      <w:ind w:left="720" w:hanging="720"/>
      <w:widowControl/>
    </w:pPr>
    <w:rPr>
      <w:sz w:val="24"/>
      <w:szCs w:val="20"/>
      <w:lang w:val="en-GB"/>
    </w:rPr>
  </w:style>
  <w:style w:type="paragraph" w:styleId="1357" w:customStyle="1">
    <w:name w:val="Char Char Char Char Char Char Char Char1"/>
    <w:basedOn w:val="836"/>
    <w:uiPriority w:val="99"/>
    <w:qFormat/>
    <w:pPr>
      <w:jc w:val="left"/>
      <w:spacing w:after="160" w:line="240" w:lineRule="exact"/>
      <w:widowControl/>
    </w:pPr>
    <w:rPr>
      <w:rFonts w:ascii="Verdana" w:hAnsi="Verdana"/>
      <w:sz w:val="20"/>
      <w:szCs w:val="20"/>
      <w:lang w:eastAsia="en-US"/>
    </w:rPr>
  </w:style>
  <w:style w:type="paragraph" w:styleId="1358" w:customStyle="1">
    <w:name w:val="xl28"/>
    <w:basedOn w:val="83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359" w:customStyle="1">
    <w:name w:val="标题3，章节第三层"/>
    <w:basedOn w:val="836"/>
    <w:next w:val="1250"/>
    <w:uiPriority w:val="99"/>
    <w:qFormat/>
    <w:pPr>
      <w:spacing w:before="78" w:line="300" w:lineRule="auto"/>
      <w:outlineLvl w:val="2"/>
    </w:pPr>
    <w:rPr>
      <w:rFonts w:ascii="Arial" w:hAnsi="Arial" w:eastAsia="华文细黑"/>
      <w:sz w:val="30"/>
    </w:rPr>
  </w:style>
  <w:style w:type="paragraph" w:styleId="1360" w:customStyle="1">
    <w:name w:val="样式4 Char"/>
    <w:basedOn w:val="836"/>
    <w:uiPriority w:val="99"/>
    <w:qFormat/>
    <w:pPr>
      <w:ind w:firstLine="480"/>
      <w:jc w:val="left"/>
      <w:spacing w:line="360" w:lineRule="auto"/>
      <w:widowControl/>
    </w:pPr>
    <w:rPr>
      <w:rFonts w:cs="宋体"/>
      <w:color w:val="000000"/>
      <w:sz w:val="24"/>
    </w:rPr>
  </w:style>
  <w:style w:type="paragraph" w:styleId="1361" w:customStyle="1">
    <w:name w:val="Body Text 21"/>
    <w:basedOn w:val="836"/>
    <w:uiPriority w:val="99"/>
    <w:qFormat/>
    <w:pPr>
      <w:ind w:left="720" w:hanging="720"/>
      <w:widowControl/>
    </w:pPr>
    <w:rPr>
      <w:sz w:val="24"/>
      <w:szCs w:val="20"/>
      <w:lang w:val="en-GB"/>
    </w:rPr>
  </w:style>
  <w:style w:type="paragraph" w:styleId="1362" w:customStyle="1">
    <w:name w:val="普通文字"/>
    <w:basedOn w:val="836"/>
    <w:next w:val="836"/>
    <w:uiPriority w:val="99"/>
    <w:qFormat/>
    <w:rPr>
      <w:rFonts w:ascii="宋体" w:hAnsi="宋体" w:cs="宋体"/>
      <w:sz w:val="24"/>
      <w:szCs w:val="20"/>
    </w:rPr>
  </w:style>
  <w:style w:type="paragraph" w:styleId="1363" w:customStyle="1">
    <w:name w:val="xl46"/>
    <w:basedOn w:val="836"/>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364" w:customStyle="1">
    <w:name w:val="正文 New"/>
    <w:uiPriority w:val="99"/>
    <w:qFormat/>
    <w:pPr>
      <w:jc w:val="both"/>
      <w:widowControl w:val="off"/>
    </w:pPr>
    <w:rPr>
      <w:rFonts w:ascii="Times New Roman" w:hAnsi="Times New Roman" w:eastAsia="宋体" w:cs="Times New Roman"/>
      <w:sz w:val="21"/>
      <w:lang w:val="en-US" w:eastAsia="zh-CN" w:bidi="ar-SA"/>
    </w:rPr>
  </w:style>
  <w:style w:type="paragraph" w:styleId="1365" w:customStyle="1">
    <w:name w:val="font12"/>
    <w:basedOn w:val="836"/>
    <w:uiPriority w:val="99"/>
    <w:qFormat/>
    <w:pPr>
      <w:jc w:val="left"/>
      <w:spacing w:before="100" w:beforeAutospacing="1" w:after="100" w:afterAutospacing="1"/>
      <w:widowControl/>
    </w:pPr>
    <w:rPr>
      <w:rFonts w:ascii="宋体" w:hAnsi="宋体" w:cs="宋体"/>
      <w:sz w:val="36"/>
      <w:szCs w:val="36"/>
    </w:rPr>
  </w:style>
  <w:style w:type="paragraph" w:styleId="1366" w:customStyle="1">
    <w:name w:val="马刚标题1"/>
    <w:basedOn w:val="837"/>
    <w:next w:val="836"/>
    <w:uiPriority w:val="99"/>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367" w:customStyle="1">
    <w:name w:val="Char Char Char Char Char Char Char Char Char Char Char Char Char Char Char Char Char Char Char Char Char"/>
    <w:basedOn w:val="836"/>
    <w:uiPriority w:val="99"/>
    <w:qFormat/>
    <w:rPr>
      <w:rFonts w:ascii="Tahoma" w:hAnsi="Tahoma" w:cs="Tahoma"/>
      <w:sz w:val="24"/>
      <w:szCs w:val="20"/>
    </w:rPr>
  </w:style>
  <w:style w:type="paragraph" w:styleId="1368" w:customStyle="1">
    <w:name w:val="xl30"/>
    <w:basedOn w:val="83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369" w:customStyle="1">
    <w:name w:val="Char Char1 Char Char Char Char"/>
    <w:basedOn w:val="854"/>
    <w:uiPriority w:val="99"/>
    <w:qFormat/>
    <w:pPr>
      <w:ind w:left="357"/>
      <w:jc w:val="left"/>
      <w:spacing w:line="436" w:lineRule="exact"/>
      <w:outlineLvl w:val="3"/>
    </w:pPr>
    <w:rPr>
      <w:rFonts w:ascii="Tahoma" w:hAnsi="Tahoma" w:cs="Tahoma"/>
      <w:b/>
    </w:rPr>
  </w:style>
  <w:style w:type="paragraph" w:styleId="1370" w:customStyle="1">
    <w:name w:val="普通正文"/>
    <w:basedOn w:val="836"/>
    <w:uiPriority w:val="99"/>
    <w:qFormat/>
    <w:pPr>
      <w:ind w:firstLine="480"/>
      <w:jc w:val="left"/>
      <w:spacing w:before="120" w:after="120" w:line="360" w:lineRule="auto"/>
    </w:pPr>
    <w:rPr>
      <w:rFonts w:ascii="Arial" w:hAnsi="Arial"/>
      <w:sz w:val="24"/>
    </w:rPr>
  </w:style>
  <w:style w:type="paragraph" w:styleId="1371" w:customStyle="1">
    <w:name w:val="Char Char Char Char Char Char Char Char Char Char Char Char Char Char"/>
    <w:basedOn w:val="836"/>
    <w:uiPriority w:val="99"/>
    <w:qFormat/>
    <w:rPr>
      <w:rFonts w:ascii="Tahoma" w:hAnsi="Tahoma"/>
      <w:sz w:val="24"/>
      <w:szCs w:val="20"/>
    </w:rPr>
  </w:style>
  <w:style w:type="paragraph" w:styleId="1372" w:customStyle="1">
    <w:name w:val="xl32"/>
    <w:basedOn w:val="83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373" w:customStyle="1">
    <w:name w:val="正文 首行缩进:  2 字符 Char Char"/>
    <w:basedOn w:val="836"/>
    <w:uiPriority w:val="99"/>
    <w:qFormat/>
    <w:pPr>
      <w:ind w:firstLine="480"/>
      <w:spacing w:line="360" w:lineRule="auto"/>
    </w:pPr>
    <w:rPr>
      <w:rFonts w:ascii="楷体_GB2312" w:eastAsia="楷体_GB2312"/>
      <w:bCs/>
      <w:sz w:val="24"/>
    </w:rPr>
  </w:style>
  <w:style w:type="paragraph" w:styleId="1374" w:customStyle="1">
    <w:name w:val="4"/>
    <w:basedOn w:val="836"/>
    <w:next w:val="883"/>
    <w:uiPriority w:val="99"/>
    <w:qFormat/>
    <w:pPr>
      <w:ind w:firstLine="420"/>
      <w:spacing w:line="360" w:lineRule="auto"/>
    </w:pPr>
    <w:rPr>
      <w:color w:val="ff0000"/>
      <w:sz w:val="24"/>
    </w:rPr>
  </w:style>
  <w:style w:type="paragraph" w:styleId="1375" w:customStyle="1">
    <w:name w:val="font7"/>
    <w:basedOn w:val="836"/>
    <w:uiPriority w:val="99"/>
    <w:qFormat/>
    <w:pPr>
      <w:jc w:val="left"/>
      <w:spacing w:before="100" w:beforeAutospacing="1" w:after="100" w:afterAutospacing="1"/>
      <w:widowControl/>
    </w:pPr>
    <w:rPr>
      <w:rFonts w:ascii="宋体" w:hAnsi="宋体"/>
      <w:b/>
      <w:bCs/>
      <w:sz w:val="24"/>
    </w:rPr>
  </w:style>
  <w:style w:type="paragraph" w:styleId="1376" w:customStyle="1">
    <w:name w:val="Char Char Char Char Char Char Char Char Char Char"/>
    <w:basedOn w:val="836"/>
    <w:uiPriority w:val="99"/>
    <w:qFormat/>
    <w:pPr>
      <w:spacing w:line="360" w:lineRule="auto"/>
    </w:pPr>
    <w:rPr>
      <w:sz w:val="24"/>
      <w:szCs w:val="20"/>
    </w:rPr>
  </w:style>
  <w:style w:type="paragraph" w:styleId="1377" w:customStyle="1">
    <w:name w:val="Char Char Char Char Char Char Char Char Char Char Char Char Char"/>
    <w:basedOn w:val="836"/>
    <w:uiPriority w:val="99"/>
    <w:qFormat/>
    <w:pPr>
      <w:jc w:val="left"/>
      <w:spacing w:after="160" w:line="240" w:lineRule="exact"/>
      <w:widowControl/>
    </w:pPr>
  </w:style>
  <w:style w:type="paragraph" w:styleId="1378" w:customStyle="1">
    <w:name w:val="xl43"/>
    <w:basedOn w:val="83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379" w:customStyle="1">
    <w:name w:val="列出段落2"/>
    <w:basedOn w:val="836"/>
    <w:uiPriority w:val="99"/>
    <w:qFormat/>
    <w:pPr>
      <w:ind w:left="720"/>
      <w:jc w:val="left"/>
      <w:widowControl/>
    </w:pPr>
    <w:rPr>
      <w:rFonts w:ascii="Arial" w:hAnsi="Arial" w:eastAsia="黑体" w:cs="Arial"/>
      <w:sz w:val="24"/>
      <w:lang w:eastAsia="en-US"/>
    </w:rPr>
  </w:style>
  <w:style w:type="paragraph" w:styleId="1380" w:customStyle="1">
    <w:name w:val="默认段落字体 Para Char Char Char Char Char Char Char"/>
    <w:basedOn w:val="836"/>
    <w:uiPriority w:val="99"/>
    <w:qFormat/>
    <w:rPr>
      <w:rFonts w:ascii="Tahoma" w:hAnsi="Tahoma"/>
      <w:sz w:val="24"/>
      <w:szCs w:val="20"/>
    </w:rPr>
  </w:style>
  <w:style w:type="paragraph" w:styleId="1381" w:customStyle="1">
    <w:name w:val="正文--表格内正文"/>
    <w:basedOn w:val="836"/>
    <w:uiPriority w:val="99"/>
    <w:qFormat/>
    <w:pPr>
      <w:jc w:val="center"/>
      <w:spacing w:line="240" w:lineRule="atLeast"/>
    </w:pPr>
    <w:rPr>
      <w:rFonts w:ascii="宋体" w:hAnsi="宋体"/>
      <w:color w:val="000000"/>
      <w:sz w:val="24"/>
    </w:rPr>
  </w:style>
  <w:style w:type="paragraph" w:styleId="1382" w:customStyle="1">
    <w:name w:val="标题 4宋体"/>
    <w:basedOn w:val="840"/>
    <w:uiPriority w:val="99"/>
    <w:qFormat/>
    <w:pPr>
      <w:jc w:val="left"/>
      <w:keepLines w:val="0"/>
      <w:spacing w:before="0" w:after="0" w:line="360" w:lineRule="auto"/>
    </w:pPr>
    <w:rPr>
      <w:rFonts w:ascii="宋体" w:hAnsi="宋体" w:eastAsia="宋体"/>
      <w:bCs/>
      <w:color w:val="000000"/>
      <w:sz w:val="24"/>
    </w:rPr>
  </w:style>
  <w:style w:type="paragraph" w:styleId="1383" w:customStyle="1">
    <w:name w:val="xl42"/>
    <w:basedOn w:val="83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84" w:customStyle="1">
    <w:name w:val="xl39"/>
    <w:basedOn w:val="83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85" w:customStyle="1">
    <w:name w:val="符号与编号"/>
    <w:basedOn w:val="836"/>
    <w:uiPriority w:val="99"/>
    <w:qFormat/>
    <w:pPr>
      <w:ind w:left="900" w:hanging="420"/>
      <w:spacing w:line="400" w:lineRule="atLeast"/>
      <w:tabs>
        <w:tab w:val="left" w:pos="900" w:leader="none"/>
      </w:tabs>
    </w:pPr>
    <w:rPr>
      <w:sz w:val="24"/>
    </w:rPr>
  </w:style>
  <w:style w:type="paragraph" w:styleId="1386" w:customStyle="1">
    <w:name w:val="zw"/>
    <w:basedOn w:val="836"/>
    <w:uiPriority w:val="99"/>
    <w:qFormat/>
    <w:pPr>
      <w:ind w:firstLine="480"/>
      <w:jc w:val="left"/>
      <w:spacing w:line="360" w:lineRule="auto"/>
      <w:widowControl/>
    </w:pPr>
    <w:rPr>
      <w:rFonts w:ascii="宋体" w:hAnsi="宋体"/>
      <w:bCs/>
      <w:sz w:val="24"/>
      <w:szCs w:val="20"/>
    </w:rPr>
  </w:style>
  <w:style w:type="paragraph" w:styleId="1387" w:customStyle="1">
    <w:name w:val="一级标题"/>
    <w:basedOn w:val="836"/>
    <w:uiPriority w:val="99"/>
    <w:qFormat/>
    <w:pPr>
      <w:ind w:left="900" w:hanging="420"/>
      <w:spacing w:line="360" w:lineRule="auto"/>
      <w:tabs>
        <w:tab w:val="left" w:pos="903" w:leader="none"/>
      </w:tabs>
    </w:pPr>
    <w:rPr>
      <w:rFonts w:ascii="Arial" w:hAnsi="Arial" w:cs="Arial"/>
      <w:sz w:val="24"/>
      <w:szCs w:val="20"/>
    </w:rPr>
  </w:style>
  <w:style w:type="paragraph" w:styleId="1388" w:customStyle="1">
    <w:name w:val="段落"/>
    <w:uiPriority w:val="99"/>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1389" w:customStyle="1">
    <w:name w:val="font8"/>
    <w:basedOn w:val="836"/>
    <w:uiPriority w:val="99"/>
    <w:qFormat/>
    <w:pPr>
      <w:jc w:val="left"/>
      <w:spacing w:before="100" w:beforeAutospacing="1" w:after="100" w:afterAutospacing="1"/>
      <w:widowControl/>
    </w:pPr>
    <w:rPr>
      <w:rFonts w:ascii="宋体" w:hAnsi="宋体" w:cs="宋体"/>
      <w:b/>
      <w:bCs/>
      <w:i/>
      <w:iCs/>
      <w:sz w:val="20"/>
      <w:szCs w:val="20"/>
    </w:rPr>
  </w:style>
  <w:style w:type="paragraph" w:styleId="1390" w:customStyle="1">
    <w:name w:val="丁华标题2"/>
    <w:basedOn w:val="838"/>
    <w:next w:val="1317"/>
    <w:uiPriority w:val="99"/>
    <w:qFormat/>
    <w:pPr>
      <w:ind w:left="567" w:hanging="567"/>
      <w:jc w:val="left"/>
      <w:spacing w:before="120" w:after="120"/>
      <w:tabs>
        <w:tab w:val="left" w:pos="567" w:leader="none"/>
      </w:tabs>
    </w:pPr>
    <w:rPr>
      <w:color w:val="000000"/>
      <w:sz w:val="28"/>
      <w:szCs w:val="20"/>
    </w:rPr>
  </w:style>
  <w:style w:type="paragraph" w:styleId="1391" w:customStyle="1">
    <w:name w:val="xl38"/>
    <w:basedOn w:val="83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92" w:customStyle="1">
    <w:name w:val="小四 段落 宋体"/>
    <w:basedOn w:val="851"/>
    <w:uiPriority w:val="99"/>
    <w:qFormat/>
    <w:pPr>
      <w:ind w:left="113" w:right="113" w:firstLine="425"/>
      <w:jc w:val="left"/>
      <w:spacing w:line="360" w:lineRule="auto"/>
      <w:tabs>
        <w:tab w:val="clear" w:pos="2952" w:leader="none"/>
      </w:tabs>
    </w:pPr>
    <w:rPr>
      <w:sz w:val="24"/>
    </w:rPr>
  </w:style>
  <w:style w:type="paragraph" w:styleId="1393" w:customStyle="1">
    <w:name w:val="xl51"/>
    <w:basedOn w:val="836"/>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394" w:customStyle="1">
    <w:name w:val="List Paragraph1"/>
    <w:basedOn w:val="836"/>
    <w:uiPriority w:val="99"/>
    <w:qFormat/>
    <w:pPr>
      <w:ind w:left="720"/>
      <w:jc w:val="left"/>
      <w:widowControl/>
    </w:pPr>
    <w:rPr>
      <w:rFonts w:ascii="Arial" w:hAnsi="Arial" w:eastAsia="黑体"/>
      <w:sz w:val="24"/>
      <w:lang w:eastAsia="en-US"/>
    </w:rPr>
  </w:style>
  <w:style w:type="paragraph" w:styleId="1395" w:customStyle="1">
    <w:name w:val="Char Char Char Char Char Char Char Char"/>
    <w:basedOn w:val="836"/>
    <w:uiPriority w:val="99"/>
    <w:qFormat/>
    <w:pPr>
      <w:jc w:val="left"/>
      <w:spacing w:after="160" w:line="240" w:lineRule="exact"/>
      <w:widowControl/>
    </w:pPr>
    <w:rPr>
      <w:rFonts w:ascii="Verdana" w:hAnsi="Verdana"/>
      <w:sz w:val="20"/>
      <w:szCs w:val="20"/>
      <w:lang w:eastAsia="en-US"/>
    </w:rPr>
  </w:style>
  <w:style w:type="paragraph" w:styleId="1396" w:customStyle="1">
    <w:name w:val="批注框文本1"/>
    <w:basedOn w:val="836"/>
    <w:uiPriority w:val="99"/>
    <w:qFormat/>
    <w:rPr>
      <w:sz w:val="18"/>
      <w:szCs w:val="18"/>
    </w:rPr>
  </w:style>
  <w:style w:type="paragraph" w:styleId="1397" w:customStyle="1">
    <w:name w:val="默认段落字体 Para Char Char Char Char Char Char Char Char Char1 Char Char Char Char Char Char Char"/>
    <w:basedOn w:val="854"/>
    <w:uiPriority w:val="99"/>
    <w:qFormat/>
    <w:rPr>
      <w:szCs w:val="20"/>
    </w:rPr>
  </w:style>
  <w:style w:type="paragraph" w:styleId="1398" w:customStyle="1">
    <w:name w:val="Pa6"/>
    <w:basedOn w:val="836"/>
    <w:next w:val="836"/>
    <w:uiPriority w:val="99"/>
    <w:qFormat/>
    <w:pPr>
      <w:jc w:val="left"/>
      <w:spacing w:line="241" w:lineRule="atLeast"/>
    </w:pPr>
    <w:rPr>
      <w:rFonts w:ascii="汉仪大黑简" w:eastAsia="汉仪大黑简"/>
      <w:sz w:val="24"/>
    </w:rPr>
  </w:style>
  <w:style w:type="paragraph" w:styleId="1399" w:customStyle="1">
    <w:name w:val="xl49"/>
    <w:basedOn w:val="836"/>
    <w:uiPriority w:val="99"/>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400" w:customStyle="1">
    <w:name w:val="列出段落11"/>
    <w:basedOn w:val="836"/>
    <w:uiPriority w:val="99"/>
    <w:qFormat/>
    <w:pPr>
      <w:ind w:firstLine="200"/>
    </w:pPr>
    <w:rPr>
      <w:rFonts w:ascii="Calibri" w:hAnsi="Calibri" w:cs="宋体"/>
      <w:szCs w:val="22"/>
    </w:rPr>
  </w:style>
  <w:style w:type="paragraph" w:styleId="1401" w:customStyle="1">
    <w:name w:val="Char Char Char Char Char Char Char1"/>
    <w:basedOn w:val="836"/>
    <w:uiPriority w:val="99"/>
    <w:qFormat/>
    <w:rPr>
      <w:rFonts w:ascii="Tahoma" w:hAnsi="Tahoma"/>
      <w:sz w:val="24"/>
      <w:szCs w:val="20"/>
    </w:rPr>
  </w:style>
  <w:style w:type="paragraph" w:styleId="1402" w:customStyle="1">
    <w:name w:val="大标题"/>
    <w:basedOn w:val="836"/>
    <w:next w:val="836"/>
    <w:uiPriority w:val="99"/>
    <w:qFormat/>
    <w:pPr>
      <w:ind w:hanging="420"/>
      <w:pageBreakBefore/>
      <w:spacing w:line="360" w:lineRule="auto"/>
      <w:tabs>
        <w:tab w:val="left" w:pos="420" w:leader="none"/>
      </w:tabs>
      <w:outlineLvl w:val="0"/>
    </w:pPr>
    <w:rPr>
      <w:b/>
      <w:iCs/>
      <w:sz w:val="44"/>
    </w:rPr>
  </w:style>
  <w:style w:type="paragraph" w:styleId="1403" w:customStyle="1">
    <w:name w:val="Char2 Char Char Char Char Char Char1"/>
    <w:basedOn w:val="836"/>
    <w:uiPriority w:val="99"/>
    <w:qFormat/>
    <w:pPr>
      <w:ind w:hanging="425"/>
      <w:keepNext/>
      <w:spacing w:before="80" w:after="80"/>
      <w:widowControl/>
      <w:tabs>
        <w:tab w:val="left" w:pos="425" w:leader="none"/>
      </w:tabs>
    </w:pPr>
    <w:rPr>
      <w:rFonts w:ascii="Arial" w:hAnsi="Arial" w:cs="Arial"/>
      <w:sz w:val="20"/>
      <w:szCs w:val="20"/>
    </w:rPr>
  </w:style>
  <w:style w:type="paragraph" w:styleId="1404" w:customStyle="1">
    <w:name w:val="Char Char"/>
    <w:basedOn w:val="836"/>
    <w:uiPriority w:val="99"/>
    <w:qFormat/>
    <w:rPr>
      <w:rFonts w:ascii="Tahoma" w:hAnsi="Tahoma"/>
      <w:sz w:val="24"/>
      <w:szCs w:val="20"/>
    </w:rPr>
  </w:style>
  <w:style w:type="paragraph" w:styleId="1405" w:customStyle="1">
    <w:name w:val="Char Char Char Char"/>
    <w:basedOn w:val="854"/>
    <w:uiPriority w:val="99"/>
    <w:qFormat/>
    <w:pPr>
      <w:spacing w:line="360" w:lineRule="auto"/>
    </w:pPr>
    <w:rPr>
      <w:rFonts w:ascii="Tahoma" w:hAnsi="Tahoma"/>
    </w:rPr>
  </w:style>
  <w:style w:type="paragraph" w:styleId="1406" w:customStyle="1">
    <w:name w:val="ewb-con-p2"/>
    <w:basedOn w:val="836"/>
    <w:uiPriority w:val="99"/>
    <w:qFormat/>
    <w:pPr>
      <w:jc w:val="left"/>
      <w:spacing w:before="100" w:beforeAutospacing="1" w:after="100" w:afterAutospacing="1"/>
      <w:widowControl/>
    </w:pPr>
    <w:rPr>
      <w:rFonts w:ascii="宋体" w:hAnsi="宋体" w:cs="宋体"/>
      <w:sz w:val="24"/>
    </w:rPr>
  </w:style>
  <w:style w:type="paragraph" w:styleId="1407" w:customStyle="1">
    <w:name w:val="xl61"/>
    <w:basedOn w:val="836"/>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408" w:customStyle="1">
    <w:name w:val="xl55"/>
    <w:basedOn w:val="836"/>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409" w:customStyle="1">
    <w:name w:val="Char Char Char1"/>
    <w:basedOn w:val="854"/>
    <w:uiPriority w:val="99"/>
    <w:qFormat/>
    <w:pPr>
      <w:spacing w:line="436" w:lineRule="exact"/>
    </w:pPr>
  </w:style>
  <w:style w:type="paragraph" w:styleId="1410" w:customStyle="1">
    <w:name w:val="段 Char"/>
    <w:uiPriority w:val="99"/>
    <w:qFormat/>
    <w:pPr>
      <w:ind w:firstLine="200"/>
      <w:jc w:val="both"/>
    </w:pPr>
    <w:rPr>
      <w:rFonts w:ascii="宋体" w:hAnsi="Times New Roman" w:eastAsia="宋体" w:cs="Times New Roman"/>
      <w:sz w:val="21"/>
      <w:lang w:val="en-US" w:eastAsia="zh-CN" w:bidi="ar-SA"/>
    </w:rPr>
  </w:style>
  <w:style w:type="paragraph" w:styleId="1411" w:customStyle="1">
    <w:name w:val="正文 首行缩进:  2 字符 Char"/>
    <w:basedOn w:val="836"/>
    <w:uiPriority w:val="99"/>
    <w:qFormat/>
    <w:pPr>
      <w:ind w:firstLine="480"/>
      <w:spacing w:line="360" w:lineRule="auto"/>
    </w:pPr>
    <w:rPr>
      <w:rFonts w:cs="宋体"/>
      <w:sz w:val="24"/>
      <w:szCs w:val="20"/>
    </w:rPr>
  </w:style>
  <w:style w:type="paragraph" w:styleId="1412" w:customStyle="1">
    <w:name w:val="正文 New New New New New"/>
    <w:uiPriority w:val="99"/>
    <w:qFormat/>
    <w:pPr>
      <w:jc w:val="both"/>
      <w:widowControl w:val="off"/>
    </w:pPr>
    <w:rPr>
      <w:rFonts w:ascii="Times New Roman" w:hAnsi="Times New Roman" w:eastAsia="宋体" w:cs="Times New Roman"/>
      <w:sz w:val="21"/>
      <w:szCs w:val="24"/>
      <w:lang w:val="en-US" w:eastAsia="zh-CN" w:bidi="ar-SA"/>
    </w:rPr>
  </w:style>
  <w:style w:type="paragraph" w:styleId="1413" w:customStyle="1">
    <w:name w:val="xl33"/>
    <w:basedOn w:val="83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14" w:customStyle="1">
    <w:name w:val="表格内容"/>
    <w:basedOn w:val="836"/>
    <w:uiPriority w:val="99"/>
    <w:qFormat/>
    <w:pPr>
      <w:jc w:val="center"/>
      <w:spacing w:before="60" w:line="300" w:lineRule="auto"/>
      <w:widowControl/>
    </w:pPr>
    <w:rPr>
      <w:szCs w:val="20"/>
    </w:rPr>
  </w:style>
  <w:style w:type="paragraph" w:styleId="1415" w:customStyle="1">
    <w:name w:val="正文lzq"/>
    <w:basedOn w:val="836"/>
    <w:uiPriority w:val="99"/>
    <w:qFormat/>
    <w:pPr>
      <w:ind w:firstLine="480"/>
      <w:spacing w:line="360" w:lineRule="auto"/>
    </w:pPr>
    <w:rPr>
      <w:sz w:val="24"/>
      <w:szCs w:val="20"/>
    </w:rPr>
  </w:style>
  <w:style w:type="paragraph" w:styleId="1416" w:customStyle="1">
    <w:name w:val="附录1"/>
    <w:uiPriority w:val="99"/>
    <w:qFormat/>
    <w:pPr>
      <w:ind w:left="902" w:hanging="420"/>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417" w:customStyle="1">
    <w:name w:val="Char Char Char Char Char Char Char Char Char"/>
    <w:basedOn w:val="836"/>
    <w:uiPriority w:val="99"/>
    <w:qFormat/>
    <w:pPr>
      <w:ind w:left="200" w:hanging="200"/>
      <w:tabs>
        <w:tab w:val="left" w:pos="360" w:leader="none"/>
      </w:tabs>
    </w:pPr>
    <w:rPr>
      <w:sz w:val="24"/>
    </w:rPr>
  </w:style>
  <w:style w:type="paragraph" w:styleId="1418" w:customStyle="1">
    <w:name w:val="项目符号：一级"/>
    <w:basedOn w:val="1250"/>
    <w:next w:val="1250"/>
    <w:uiPriority w:val="99"/>
    <w:qFormat/>
    <w:pPr>
      <w:ind w:right="-134"/>
    </w:pPr>
    <w:rPr>
      <w:bCs w:val="0"/>
    </w:rPr>
  </w:style>
  <w:style w:type="paragraph" w:styleId="1419" w:customStyle="1">
    <w:name w:val="content_lineheight"/>
    <w:basedOn w:val="836"/>
    <w:uiPriority w:val="99"/>
    <w:qFormat/>
    <w:pPr>
      <w:jc w:val="left"/>
      <w:spacing w:before="100" w:beforeAutospacing="1" w:after="100" w:afterAutospacing="1"/>
      <w:widowControl/>
    </w:pPr>
    <w:rPr>
      <w:rFonts w:ascii="宋体" w:hAnsi="宋体"/>
      <w:sz w:val="24"/>
    </w:rPr>
  </w:style>
  <w:style w:type="paragraph" w:styleId="1420" w:customStyle="1">
    <w:name w:val="项目符号，二级"/>
    <w:basedOn w:val="1250"/>
    <w:next w:val="1250"/>
    <w:uiPriority w:val="99"/>
    <w:qFormat/>
    <w:pPr>
      <w:ind w:left="1337" w:right="-27" w:firstLine="480"/>
      <w:tabs>
        <w:tab w:val="left" w:pos="1211" w:leader="none"/>
        <w:tab w:val="left" w:pos="1337" w:leader="none"/>
      </w:tabs>
    </w:pPr>
    <w:rPr>
      <w:bCs w:val="0"/>
      <w:color w:val="000000"/>
      <w:sz w:val="24"/>
      <w:szCs w:val="24"/>
    </w:rPr>
  </w:style>
  <w:style w:type="paragraph" w:styleId="1421" w:customStyle="1">
    <w:name w:val="小四 段落 宋体 Char Char"/>
    <w:basedOn w:val="836"/>
    <w:uiPriority w:val="99"/>
    <w:qFormat/>
    <w:pPr>
      <w:ind w:firstLine="480"/>
      <w:spacing w:line="360" w:lineRule="auto"/>
    </w:pPr>
    <w:rPr>
      <w:rFonts w:ascii="宋体" w:hAnsi="宋体"/>
      <w:sz w:val="24"/>
    </w:rPr>
  </w:style>
  <w:style w:type="paragraph" w:styleId="1422" w:customStyle="1">
    <w:name w:val="正文文本缩进 31"/>
    <w:basedOn w:val="836"/>
    <w:uiPriority w:val="99"/>
    <w:qFormat/>
    <w:pPr>
      <w:ind w:firstLine="504"/>
      <w:spacing w:line="360" w:lineRule="auto"/>
      <w:tabs>
        <w:tab w:val="left" w:pos="0" w:leader="none"/>
      </w:tabs>
    </w:pPr>
    <w:rPr>
      <w:rFonts w:ascii="宋体"/>
      <w:b/>
      <w:bCs/>
      <w:sz w:val="24"/>
    </w:rPr>
  </w:style>
  <w:style w:type="paragraph" w:styleId="1423" w:customStyle="1">
    <w:name w:val="标题 41"/>
    <w:basedOn w:val="836"/>
    <w:uiPriority w:val="99"/>
    <w:qFormat/>
    <w:pPr>
      <w:ind w:left="618"/>
      <w:jc w:val="left"/>
      <w:outlineLvl w:val="4"/>
    </w:pPr>
    <w:rPr>
      <w:rFonts w:ascii="宋体" w:hAnsi="宋体" w:cs="宋体"/>
      <w:b/>
      <w:bCs/>
      <w:sz w:val="24"/>
      <w:lang w:val="zh-CN"/>
    </w:rPr>
  </w:style>
  <w:style w:type="paragraph" w:styleId="1424" w:customStyle="1">
    <w:name w:val="msolistparagraph"/>
    <w:basedOn w:val="836"/>
    <w:uiPriority w:val="99"/>
    <w:qFormat/>
    <w:pPr>
      <w:ind w:left="420" w:firstLine="420"/>
      <w:spacing w:line="400" w:lineRule="exact"/>
    </w:pPr>
    <w:rPr>
      <w:rFonts w:ascii="Calibri" w:hAnsi="Calibri"/>
    </w:rPr>
  </w:style>
  <w:style w:type="paragraph" w:styleId="1425" w:customStyle="1">
    <w:name w:val="Blockquote"/>
    <w:basedOn w:val="836"/>
    <w:uiPriority w:val="99"/>
    <w:qFormat/>
    <w:pPr>
      <w:ind w:left="360" w:right="360"/>
      <w:jc w:val="left"/>
      <w:spacing w:before="100" w:after="100"/>
    </w:pPr>
    <w:rPr>
      <w:sz w:val="24"/>
    </w:rPr>
  </w:style>
  <w:style w:type="character" w:styleId="1426" w:customStyle="1">
    <w:name w:val="无"/>
    <w:uiPriority w:val="0"/>
    <w:qFormat/>
  </w:style>
  <w:style w:type="character" w:styleId="1427" w:customStyle="1">
    <w:name w:val="Hyperlink.1"/>
    <w:uiPriority w:val="0"/>
    <w:qFormat/>
    <w:rPr>
      <w:rFonts w:ascii="宋体" w:hAnsi="宋体" w:eastAsia="宋体" w:cs="宋体"/>
      <w:shd w:val="clear" w:color="auto" w:fill="auto"/>
      <w:lang w:val="zh-TW" w:eastAsia="zh-TW"/>
    </w:rPr>
  </w:style>
  <w:style w:type="table" w:styleId="1428"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character" w:styleId="1429" w:customStyle="1">
    <w:name w:val="not([class*=suffix])"/>
    <w:basedOn w:val="846"/>
    <w:uiPriority w:val="0"/>
    <w:qFormat/>
  </w:style>
  <w:style w:type="character" w:styleId="1430" w:customStyle="1">
    <w:name w:val="not([class*=suffix])1"/>
    <w:basedOn w:val="846"/>
    <w:uiPriority w:val="0"/>
    <w:qFormat/>
    <w:rPr>
      <w:sz w:val="13"/>
      <w:szCs w:val="13"/>
    </w:rPr>
  </w:style>
  <w:style w:type="paragraph" w:styleId="1431" w:customStyle="1">
    <w:name w:val="Table Paragraph"/>
    <w:basedOn w:val="836"/>
    <w:uiPriority w:val="1"/>
    <w:qFormat/>
    <w:pPr>
      <w:jc w:val="left"/>
    </w:pPr>
    <w:rPr>
      <w:rFonts w:ascii="宋体" w:hAnsi="宋体" w:cs="宋体"/>
      <w:sz w:val="22"/>
      <w:szCs w:val="22"/>
      <w:lang w:val="zh-CN" w:bidi="zh-CN"/>
    </w:rPr>
  </w:style>
  <w:style w:type="paragraph" w:styleId="1432" w:customStyle="1">
    <w:name w:val="BodyText"/>
    <w:basedOn w:val="836"/>
    <w:uiPriority w:val="0"/>
    <w:qFormat/>
    <w:pPr>
      <w:spacing w:after="120"/>
    </w:pPr>
    <w:rPr>
      <w:rFonts w:ascii="Calibri"/>
      <w:sz w:val="20"/>
      <w:szCs w:val="20"/>
    </w:rPr>
  </w:style>
  <w:style w:type="character" w:styleId="1433" w:customStyle="1">
    <w:name w:val="样式 仿宋"/>
    <w:uiPriority w:val="0"/>
    <w:qFormat/>
    <w:rPr>
      <w:rFonts w:ascii="仿宋" w:hAnsi="仿宋" w:eastAsia="仿宋"/>
    </w:rPr>
  </w:style>
  <w:style w:type="character" w:styleId="1434" w:customStyle="1">
    <w:name w:val="font51"/>
    <w:basedOn w:val="846"/>
    <w:uiPriority w:val="0"/>
    <w:qFormat/>
    <w:rPr>
      <w:rFonts w:hint="default" w:ascii="Times New Roman" w:hAnsi="Times New Roman" w:cs="Times New Roman"/>
      <w:color w:val="000000"/>
      <w:sz w:val="20"/>
      <w:szCs w:val="20"/>
      <w:u w:val="none"/>
    </w:rPr>
  </w:style>
  <w:style w:type="character" w:styleId="1435" w:customStyle="1">
    <w:name w:val="NormalCharacter"/>
    <w:uiPriority w:val="0"/>
    <w:qFormat/>
    <w:rPr>
      <w:rFonts w:ascii="KNLe" w:hAnsi="KNLe" w:eastAsia="Ari" w:cs="KNLe"/>
      <w:sz w:val="21"/>
      <w:szCs w:val="22"/>
      <w:lang w:val="en-US" w:eastAsia="zh-CN" w:bidi="ar-SA"/>
    </w:rPr>
  </w:style>
  <w:style w:type="paragraph" w:styleId="1436" w:customStyle="1">
    <w:name w:val="BodyText1I2"/>
    <w:basedOn w:val="1437"/>
    <w:next w:val="836"/>
    <w:uiPriority w:val="0"/>
    <w:qFormat/>
    <w:pPr>
      <w:ind w:firstLine="420"/>
    </w:pPr>
    <w:rPr>
      <w:rFonts w:ascii="Calibri" w:hAnsi="Calibri"/>
    </w:rPr>
  </w:style>
  <w:style w:type="paragraph" w:styleId="1437" w:customStyle="1">
    <w:name w:val="BodyTextIndent"/>
    <w:basedOn w:val="836"/>
    <w:next w:val="1438"/>
    <w:uiPriority w:val="0"/>
    <w:qFormat/>
    <w:pPr>
      <w:ind w:firstLine="403"/>
      <w:spacing w:line="440" w:lineRule="exact"/>
    </w:pPr>
    <w:rPr>
      <w:rFonts w:ascii="宋体" w:hAnsi="宋体"/>
      <w:szCs w:val="21"/>
    </w:rPr>
  </w:style>
  <w:style w:type="paragraph" w:styleId="1438" w:customStyle="1">
    <w:name w:val="EnvelopeReturn"/>
    <w:basedOn w:val="836"/>
    <w:uiPriority w:val="0"/>
    <w:qFormat/>
    <w:rPr>
      <w:rFonts w:ascii="Arial" w:hAnsi="Arial"/>
    </w:rPr>
  </w:style>
  <w:style w:type="paragraph" w:styleId="1439" w:customStyle="1">
    <w:name w:val="二级目录"/>
    <w:next w:val="836"/>
    <w:uiPriority w:val="99"/>
    <w:qFormat/>
    <w:pPr>
      <w:numPr>
        <w:ilvl w:val="0"/>
        <w:numId w:val="1"/>
      </w:numPr>
      <w:spacing w:after="160" w:line="259" w:lineRule="auto"/>
      <w:outlineLvl w:val="1"/>
    </w:pPr>
    <w:rPr>
      <w:rFonts w:ascii="Calibri" w:hAnsi="Calibri" w:eastAsia="宋体" w:cs="Times New Roman"/>
      <w:b/>
      <w:bCs/>
      <w:sz w:val="28"/>
      <w:szCs w:val="28"/>
      <w:lang w:val="en-US" w:eastAsia="zh-CN" w:bidi="ar-SA"/>
    </w:rPr>
  </w:style>
  <w:style w:type="paragraph" w:styleId="1440" w:customStyle="1">
    <w:name w:val="正文首行缩进 21"/>
    <w:basedOn w:val="1441"/>
    <w:next w:val="836"/>
    <w:uiPriority w:val="0"/>
    <w:qFormat/>
    <w:pPr>
      <w:ind w:firstLine="420"/>
      <w:spacing w:before="100" w:beforeAutospacing="1" w:after="200" w:line="440" w:lineRule="exact"/>
    </w:pPr>
    <w:rPr>
      <w:rFonts w:ascii="Calibri" w:hAnsi="Calibri" w:cs="Calibri"/>
      <w:szCs w:val="21"/>
    </w:rPr>
  </w:style>
  <w:style w:type="paragraph" w:styleId="1441" w:customStyle="1">
    <w:name w:val="正文文本缩进11"/>
    <w:basedOn w:val="836"/>
    <w:next w:val="1442"/>
    <w:uiPriority w:val="0"/>
    <w:qFormat/>
    <w:pPr>
      <w:ind w:firstLine="645"/>
    </w:pPr>
    <w:rPr>
      <w:rFonts w:ascii="楷体_GB2312" w:eastAsia="楷体_GB2312"/>
      <w:sz w:val="32"/>
    </w:rPr>
  </w:style>
  <w:style w:type="paragraph" w:styleId="1442" w:customStyle="1">
    <w:name w:val="寄信人地址1"/>
    <w:basedOn w:val="836"/>
    <w:uiPriority w:val="0"/>
    <w:qFormat/>
    <w:rPr>
      <w:rFonts w:ascii="Arial" w:hAnsi="Arial"/>
    </w:rPr>
  </w:style>
  <w:style w:type="character" w:styleId="1443" w:customStyle="1">
    <w:name w:val="15"/>
    <w:uiPriority w:val="0"/>
    <w:qFormat/>
    <w:rPr>
      <w:rFonts w:hint="default" w:ascii="Times New Roman" w:hAnsi="Times New Roman" w:cs="Times New Roman"/>
    </w:rPr>
  </w:style>
  <w:style w:type="paragraph" w:styleId="1444"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445"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446" w:customStyle="1">
    <w:name w:val="报告正文"/>
    <w:basedOn w:val="836"/>
    <w:uiPriority w:val="0"/>
    <w:qFormat/>
    <w:pPr>
      <w:ind w:firstLine="560"/>
    </w:pPr>
    <w:rPr>
      <w:szCs w:val="20"/>
      <w:lang w:val="zh-CN"/>
    </w:rPr>
  </w:style>
  <w:style w:type="paragraph" w:styleId="1447" w:customStyle="1">
    <w:name w:val="正文 + 行距: 固定值 20 磅"/>
    <w:basedOn w:val="836"/>
    <w:uiPriority w:val="0"/>
    <w:qFormat/>
    <w:pPr>
      <w:ind w:firstLine="716"/>
      <w:spacing w:line="400" w:lineRule="exact"/>
    </w:pPr>
    <w:rPr>
      <w:rFonts w:ascii="Calibri" w:hAnsi="Calibri"/>
      <w:szCs w:val="22"/>
    </w:rPr>
  </w:style>
  <w:style w:type="paragraph" w:styleId="1448" w:customStyle="1">
    <w:name w:val="_Style 55"/>
    <w:basedOn w:val="836"/>
    <w:next w:val="1104"/>
    <w:uiPriority w:val="1"/>
    <w:qFormat/>
    <w:pPr>
      <w:ind w:firstLine="420"/>
    </w:pPr>
    <w:rPr>
      <w:rFonts w:ascii="Calibri" w:hAnsi="Calibri"/>
    </w:rPr>
  </w:style>
  <w:style w:type="paragraph" w:styleId="1449"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450" w:customStyle="1">
    <w:name w:val="修订4"/>
    <w:hidden/>
    <w:uiPriority w:val="99"/>
    <w:semiHidden/>
    <w:qFormat/>
    <w:rPr>
      <w:rFonts w:ascii="Times New Roman" w:hAnsi="Times New Roman" w:eastAsia="宋体" w:cs="Times New Roman"/>
      <w:sz w:val="21"/>
      <w:szCs w:val="24"/>
      <w:lang w:val="en-US" w:eastAsia="zh-CN" w:bidi="ar-SA"/>
    </w:rPr>
  </w:style>
  <w:style w:type="numbering" w:styleId="14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焦翔</dc:creator>
  <cp:lastModifiedBy>李佳蓉</cp:lastModifiedBy>
  <cp:revision>5</cp:revision>
  <dcterms:created xsi:type="dcterms:W3CDTF">2026-06-23T06:18:00Z</dcterms:created>
  <dcterms:modified xsi:type="dcterms:W3CDTF">2026-07-03T02:04:47Z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AA2F948FA99041F3BB078CFBE8BDA101_13</vt:lpwstr>
  </property>
  <property fmtid="{D5CDD505-2E9C-101B-9397-08002B2CF9AE}" pid="4" name="commondata">
    <vt:lpwstr>eyJoZGlkIjoiMzRjYzhjMjM2MzIwNWZiYjI5ZGZjZjAyNjdmMTc5ZDgifQ==</vt:lpwstr>
  </property>
  <property fmtid="{D5CDD505-2E9C-101B-9397-08002B2CF9AE}" pid="5" name="MSIP_Label_e68a7eba-5507-4be7-87ab-be5a2ad9d7c1_Enabled">
    <vt:lpwstr>true</vt:lpwstr>
  </property>
  <property fmtid="{D5CDD505-2E9C-101B-9397-08002B2CF9AE}" pid="6" name="MSIP_Label_e68a7eba-5507-4be7-87ab-be5a2ad9d7c1_SetDate">
    <vt:lpwstr>2024-04-02T08:41:07Z</vt:lpwstr>
  </property>
  <property fmtid="{D5CDD505-2E9C-101B-9397-08002B2CF9AE}" pid="7" name="MSIP_Label_e68a7eba-5507-4be7-87ab-be5a2ad9d7c1_Method">
    <vt:lpwstr>Standard</vt:lpwstr>
  </property>
  <property fmtid="{D5CDD505-2E9C-101B-9397-08002B2CF9AE}" pid="8" name="MSIP_Label_e68a7eba-5507-4be7-87ab-be5a2ad9d7c1_Name">
    <vt:lpwstr>General</vt:lpwstr>
  </property>
  <property fmtid="{D5CDD505-2E9C-101B-9397-08002B2CF9AE}" pid="9" name="MSIP_Label_e68a7eba-5507-4be7-87ab-be5a2ad9d7c1_SiteId">
    <vt:lpwstr>da758f18-b6d4-4358-942a-60930627c405</vt:lpwstr>
  </property>
  <property fmtid="{D5CDD505-2E9C-101B-9397-08002B2CF9AE}" pid="10" name="MSIP_Label_e68a7eba-5507-4be7-87ab-be5a2ad9d7c1_ActionId">
    <vt:lpwstr>0a0251e7-f409-4f32-99cf-f4f77d48c927</vt:lpwstr>
  </property>
  <property fmtid="{D5CDD505-2E9C-101B-9397-08002B2CF9AE}" pid="11" name="MSIP_Label_e68a7eba-5507-4be7-87ab-be5a2ad9d7c1_ContentBits">
    <vt:lpwstr>0</vt:lpwstr>
  </property>
  <property fmtid="{D5CDD505-2E9C-101B-9397-08002B2CF9AE}" pid="12" name="MSIP_Label_73094ff5-79ca-456b-95f6-d578316a3809_Enabled">
    <vt:lpwstr>true</vt:lpwstr>
  </property>
  <property fmtid="{D5CDD505-2E9C-101B-9397-08002B2CF9AE}" pid="13" name="MSIP_Label_73094ff5-79ca-456b-95f6-d578316a3809_SetDate">
    <vt:lpwstr>2024-08-12T05:53:11Z</vt:lpwstr>
  </property>
  <property fmtid="{D5CDD505-2E9C-101B-9397-08002B2CF9AE}" pid="14" name="MSIP_Label_73094ff5-79ca-456b-95f6-d578316a3809_Method">
    <vt:lpwstr>Privileged</vt:lpwstr>
  </property>
  <property fmtid="{D5CDD505-2E9C-101B-9397-08002B2CF9AE}" pid="15" name="MSIP_Label_73094ff5-79ca-456b-95f6-d578316a3809_Name">
    <vt:lpwstr>Public</vt:lpwstr>
  </property>
  <property fmtid="{D5CDD505-2E9C-101B-9397-08002B2CF9AE}" pid="16" name="MSIP_Label_73094ff5-79ca-456b-95f6-d578316a3809_SiteId">
    <vt:lpwstr>771c9c47-7f24-44dc-958e-34f8713a8394</vt:lpwstr>
  </property>
  <property fmtid="{D5CDD505-2E9C-101B-9397-08002B2CF9AE}" pid="17" name="MSIP_Label_73094ff5-79ca-456b-95f6-d578316a3809_ActionId">
    <vt:lpwstr>937d6e77-aee8-4fad-a372-f6bffb848a7c</vt:lpwstr>
  </property>
  <property fmtid="{D5CDD505-2E9C-101B-9397-08002B2CF9AE}" pid="18" name="MSIP_Label_73094ff5-79ca-456b-95f6-d578316a3809_ContentBits">
    <vt:lpwstr>0</vt:lpwstr>
  </property>
  <property fmtid="{D5CDD505-2E9C-101B-9397-08002B2CF9AE}" pid="19" name="KSOTemplateDocerSaveRecord">
    <vt:lpwstr>eyJoZGlkIjoiMzYwM2E0OTM1MTNmYjdhZDYzZTk0ZmY4ODg5YjlmZWEiLCJ1c2VySWQiOiI0MzkyODMxNDkifQ==</vt:lpwstr>
  </property>
</Properties>
</file>