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1701B3">
      <w:pPr>
        <w:jc w:val="center"/>
        <w:rPr>
          <w:b/>
          <w:color w:val="auto"/>
          <w:sz w:val="36"/>
          <w:szCs w:val="36"/>
          <w:highlight w:val="none"/>
        </w:rPr>
      </w:pPr>
    </w:p>
    <w:p w14:paraId="4581C486">
      <w:pPr>
        <w:jc w:val="center"/>
        <w:rPr>
          <w:b/>
          <w:color w:val="auto"/>
          <w:sz w:val="36"/>
          <w:szCs w:val="36"/>
          <w:highlight w:val="none"/>
        </w:rPr>
      </w:pPr>
    </w:p>
    <w:p w14:paraId="2D627642">
      <w:pPr>
        <w:pStyle w:val="45"/>
        <w:spacing w:line="240" w:lineRule="auto"/>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如皋市政府采购公开招标文件</w:t>
      </w:r>
    </w:p>
    <w:p w14:paraId="6535C710">
      <w:pPr>
        <w:pStyle w:val="45"/>
        <w:spacing w:line="240" w:lineRule="auto"/>
        <w:ind w:firstLine="0"/>
        <w:jc w:val="center"/>
        <w:rPr>
          <w:rFonts w:ascii="方正小标宋简体" w:eastAsia="方正小标宋简体"/>
          <w:bCs/>
          <w:color w:val="auto"/>
          <w:sz w:val="44"/>
          <w:szCs w:val="44"/>
          <w:highlight w:val="none"/>
        </w:rPr>
      </w:pPr>
    </w:p>
    <w:p w14:paraId="60DE9B28">
      <w:pPr>
        <w:pStyle w:val="45"/>
        <w:spacing w:line="240" w:lineRule="auto"/>
        <w:ind w:left="0" w:leftChars="0" w:firstLine="0" w:firstLineChars="0"/>
        <w:jc w:val="center"/>
        <w:rPr>
          <w:b/>
          <w:bCs/>
          <w:color w:val="auto"/>
          <w:sz w:val="32"/>
          <w:highlight w:val="none"/>
          <w:u w:val="single"/>
        </w:rPr>
      </w:pPr>
      <w:r>
        <w:rPr>
          <w:rFonts w:hint="eastAsia"/>
          <w:b/>
          <w:bCs/>
          <w:color w:val="auto"/>
          <w:sz w:val="32"/>
          <w:highlight w:val="none"/>
          <w:lang w:val="en-US" w:eastAsia="zh-CN"/>
        </w:rPr>
        <w:t xml:space="preserve">  </w:t>
      </w:r>
      <w:r>
        <w:rPr>
          <w:b/>
          <w:bCs/>
          <w:color w:val="auto"/>
          <w:sz w:val="32"/>
          <w:highlight w:val="none"/>
        </w:rPr>
        <w:t>项目名称：</w:t>
      </w:r>
      <w:r>
        <w:rPr>
          <w:rFonts w:hint="eastAsia"/>
          <w:b/>
          <w:bCs/>
          <w:color w:val="auto"/>
          <w:sz w:val="32"/>
          <w:highlight w:val="none"/>
          <w:lang w:eastAsia="zh-CN"/>
        </w:rPr>
        <w:t>2026-2028年如皋市拟新增耕地土壤污染状况调查和补充耕地质量鉴定服务</w:t>
      </w:r>
    </w:p>
    <w:p w14:paraId="0774C77F">
      <w:pPr>
        <w:pStyle w:val="45"/>
        <w:spacing w:line="240" w:lineRule="auto"/>
        <w:ind w:left="0" w:leftChars="0" w:firstLine="321" w:firstLineChars="100"/>
        <w:rPr>
          <w:rFonts w:hint="eastAsia" w:eastAsia="宋体"/>
          <w:b/>
          <w:bCs/>
          <w:color w:val="auto"/>
          <w:sz w:val="32"/>
          <w:highlight w:val="none"/>
          <w:u w:val="single"/>
          <w:lang w:val="en-US" w:eastAsia="zh-CN"/>
        </w:rPr>
      </w:pPr>
      <w:r>
        <w:rPr>
          <w:rFonts w:hint="eastAsia"/>
          <w:b/>
          <w:bCs/>
          <w:color w:val="auto"/>
          <w:sz w:val="32"/>
          <w:highlight w:val="none"/>
        </w:rPr>
        <w:t>项目编号：JSZC-320682-NTWY-G2026-0001</w:t>
      </w:r>
      <w:r>
        <w:rPr>
          <w:rFonts w:hint="eastAsia"/>
          <w:b/>
          <w:bCs/>
          <w:color w:val="auto"/>
          <w:sz w:val="32"/>
          <w:highlight w:val="none"/>
          <w:lang w:val="en-US" w:eastAsia="zh-CN"/>
        </w:rPr>
        <w:t xml:space="preserve"> </w:t>
      </w:r>
    </w:p>
    <w:p w14:paraId="7669C181">
      <w:pPr>
        <w:pStyle w:val="45"/>
        <w:spacing w:line="240" w:lineRule="auto"/>
        <w:ind w:firstLine="0"/>
        <w:jc w:val="center"/>
        <w:rPr>
          <w:b/>
          <w:bCs/>
          <w:color w:val="auto"/>
          <w:sz w:val="32"/>
          <w:highlight w:val="none"/>
        </w:rPr>
      </w:pPr>
    </w:p>
    <w:p w14:paraId="221291C7">
      <w:pPr>
        <w:pStyle w:val="45"/>
        <w:spacing w:line="240" w:lineRule="auto"/>
        <w:ind w:firstLine="0"/>
        <w:jc w:val="center"/>
        <w:rPr>
          <w:b/>
          <w:bCs/>
          <w:color w:val="auto"/>
          <w:sz w:val="32"/>
          <w:highlight w:val="none"/>
        </w:rPr>
      </w:pPr>
    </w:p>
    <w:p w14:paraId="1E3C9F89">
      <w:pPr>
        <w:pStyle w:val="45"/>
        <w:spacing w:line="240" w:lineRule="auto"/>
        <w:ind w:firstLine="0"/>
        <w:jc w:val="center"/>
        <w:rPr>
          <w:b/>
          <w:bCs/>
          <w:color w:val="auto"/>
          <w:sz w:val="32"/>
          <w:highlight w:val="none"/>
        </w:rPr>
      </w:pPr>
    </w:p>
    <w:p w14:paraId="2F93E29B">
      <w:pPr>
        <w:pStyle w:val="45"/>
        <w:spacing w:line="240" w:lineRule="auto"/>
        <w:ind w:firstLine="0"/>
        <w:jc w:val="center"/>
        <w:rPr>
          <w:b/>
          <w:bCs/>
          <w:color w:val="auto"/>
          <w:sz w:val="32"/>
          <w:highlight w:val="none"/>
        </w:rPr>
      </w:pPr>
    </w:p>
    <w:p w14:paraId="68C3D9D5">
      <w:pPr>
        <w:pStyle w:val="45"/>
        <w:spacing w:line="240" w:lineRule="auto"/>
        <w:ind w:firstLine="0"/>
        <w:jc w:val="center"/>
        <w:rPr>
          <w:b/>
          <w:bCs/>
          <w:color w:val="auto"/>
          <w:sz w:val="32"/>
          <w:highlight w:val="none"/>
        </w:rPr>
      </w:pPr>
    </w:p>
    <w:p w14:paraId="58867AEE">
      <w:pPr>
        <w:pStyle w:val="45"/>
        <w:spacing w:line="240" w:lineRule="auto"/>
        <w:ind w:firstLine="0"/>
        <w:jc w:val="center"/>
        <w:rPr>
          <w:b/>
          <w:bCs/>
          <w:color w:val="auto"/>
          <w:sz w:val="32"/>
          <w:highlight w:val="none"/>
        </w:rPr>
      </w:pPr>
    </w:p>
    <w:p w14:paraId="0E205AF5">
      <w:pPr>
        <w:pStyle w:val="45"/>
        <w:spacing w:line="240" w:lineRule="auto"/>
        <w:ind w:firstLine="993" w:firstLineChars="309"/>
        <w:rPr>
          <w:b/>
          <w:bCs/>
          <w:color w:val="auto"/>
          <w:sz w:val="32"/>
          <w:highlight w:val="none"/>
          <w:u w:val="single"/>
        </w:rPr>
      </w:pPr>
      <w:r>
        <w:rPr>
          <w:rFonts w:hint="eastAsia"/>
          <w:b/>
          <w:bCs/>
          <w:color w:val="auto"/>
          <w:sz w:val="32"/>
          <w:highlight w:val="none"/>
        </w:rPr>
        <w:t>采购人名称：如皋市农业农村局</w:t>
      </w:r>
    </w:p>
    <w:p w14:paraId="47A020D1">
      <w:pPr>
        <w:pStyle w:val="45"/>
        <w:spacing w:line="240" w:lineRule="auto"/>
        <w:ind w:firstLine="993" w:firstLineChars="309"/>
        <w:rPr>
          <w:b/>
          <w:bCs/>
          <w:color w:val="auto"/>
          <w:sz w:val="32"/>
          <w:highlight w:val="none"/>
        </w:rPr>
      </w:pPr>
      <w:r>
        <w:rPr>
          <w:rFonts w:hint="eastAsia"/>
          <w:b/>
          <w:bCs/>
          <w:color w:val="auto"/>
          <w:sz w:val="32"/>
          <w:highlight w:val="none"/>
        </w:rPr>
        <w:t>采购代理机构名称：南通炜烨工程咨询有限公司</w:t>
      </w:r>
    </w:p>
    <w:p w14:paraId="5EF9F6A8">
      <w:pPr>
        <w:pStyle w:val="45"/>
        <w:spacing w:line="240" w:lineRule="auto"/>
        <w:ind w:firstLine="0"/>
        <w:jc w:val="center"/>
        <w:rPr>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07</w:t>
      </w:r>
      <w:r>
        <w:rPr>
          <w:rFonts w:hint="eastAsia"/>
          <w:b/>
          <w:bCs/>
          <w:color w:val="auto"/>
          <w:sz w:val="32"/>
          <w:highlight w:val="none"/>
        </w:rPr>
        <w:t>月</w:t>
      </w:r>
      <w:r>
        <w:rPr>
          <w:rFonts w:hint="eastAsia"/>
          <w:b/>
          <w:bCs/>
          <w:color w:val="auto"/>
          <w:sz w:val="32"/>
          <w:highlight w:val="none"/>
          <w:lang w:val="en-US" w:eastAsia="zh-CN"/>
        </w:rPr>
        <w:t>27</w:t>
      </w:r>
      <w:r>
        <w:rPr>
          <w:rFonts w:hint="eastAsia"/>
          <w:b/>
          <w:bCs/>
          <w:color w:val="auto"/>
          <w:sz w:val="32"/>
          <w:highlight w:val="none"/>
        </w:rPr>
        <w:t>日</w:t>
      </w:r>
    </w:p>
    <w:p w14:paraId="5FBE50F8">
      <w:pPr>
        <w:pStyle w:val="45"/>
        <w:spacing w:line="240" w:lineRule="auto"/>
        <w:ind w:firstLine="0"/>
        <w:jc w:val="center"/>
        <w:rPr>
          <w:rFonts w:ascii="方正小标宋简体" w:eastAsia="方正小标宋简体"/>
          <w:bCs/>
          <w:color w:val="auto"/>
          <w:sz w:val="32"/>
          <w:szCs w:val="32"/>
          <w:highlight w:val="none"/>
        </w:rPr>
      </w:pPr>
      <w:r>
        <w:rPr>
          <w:b/>
          <w:bCs/>
          <w:color w:val="auto"/>
          <w:sz w:val="32"/>
          <w:highlight w:val="none"/>
        </w:rPr>
        <w:br w:type="page"/>
      </w:r>
      <w:r>
        <w:rPr>
          <w:rFonts w:hint="eastAsia" w:ascii="方正小标宋简体" w:eastAsia="方正小标宋简体"/>
          <w:bCs/>
          <w:color w:val="auto"/>
          <w:sz w:val="32"/>
          <w:szCs w:val="32"/>
          <w:highlight w:val="none"/>
        </w:rPr>
        <w:t>第1章 公开招标公告</w:t>
      </w:r>
    </w:p>
    <w:p w14:paraId="7660F6F1">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0" w:name="_Toc35393629"/>
      <w:bookmarkStart w:id="1" w:name="_Toc28359089"/>
      <w:bookmarkStart w:id="2" w:name="_Toc28359012"/>
      <w:bookmarkStart w:id="3" w:name="_Toc35393798"/>
      <w:bookmarkStart w:id="4" w:name="OLE_LINK2"/>
      <w:r>
        <w:rPr>
          <w:rFonts w:hint="eastAsia" w:ascii="黑体" w:hAnsi="黑体" w:eastAsia="黑体"/>
          <w:color w:val="auto"/>
          <w:sz w:val="28"/>
          <w:szCs w:val="28"/>
          <w:highlight w:val="none"/>
        </w:rPr>
        <w:t>一、项目基本情况</w:t>
      </w:r>
      <w:bookmarkEnd w:id="0"/>
      <w:bookmarkEnd w:id="1"/>
      <w:bookmarkEnd w:id="2"/>
      <w:bookmarkEnd w:id="3"/>
    </w:p>
    <w:p w14:paraId="28951E16">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1. 项目名称：</w:t>
      </w:r>
      <w:r>
        <w:rPr>
          <w:rFonts w:hint="eastAsia" w:ascii="仿宋" w:hAnsi="仿宋" w:eastAsia="仿宋"/>
          <w:color w:val="auto"/>
          <w:sz w:val="28"/>
          <w:szCs w:val="28"/>
          <w:highlight w:val="none"/>
          <w:lang w:eastAsia="zh-CN"/>
        </w:rPr>
        <w:t>2026-2028年如皋市拟新增耕地土壤污染状况调查和补充耕地质量鉴定服务</w:t>
      </w:r>
    </w:p>
    <w:p w14:paraId="16E90A5E">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 项目编号：JSZC-320682-NTWY-G2026-0001</w:t>
      </w:r>
    </w:p>
    <w:p w14:paraId="73123411">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3. 预算金额：人民币</w:t>
      </w:r>
      <w:r>
        <w:rPr>
          <w:rFonts w:hint="eastAsia" w:ascii="仿宋" w:hAnsi="仿宋" w:eastAsia="仿宋"/>
          <w:color w:val="auto"/>
          <w:sz w:val="28"/>
          <w:szCs w:val="28"/>
          <w:highlight w:val="none"/>
          <w:lang w:val="en-US" w:eastAsia="zh-CN"/>
        </w:rPr>
        <w:t>810</w:t>
      </w:r>
      <w:r>
        <w:rPr>
          <w:rFonts w:hint="eastAsia" w:ascii="仿宋" w:hAnsi="仿宋" w:eastAsia="仿宋"/>
          <w:color w:val="auto"/>
          <w:sz w:val="28"/>
          <w:szCs w:val="28"/>
          <w:highlight w:val="none"/>
        </w:rPr>
        <w:t>万元</w:t>
      </w:r>
    </w:p>
    <w:p w14:paraId="4F2A0023">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b/>
          <w:bCs/>
          <w:color w:val="auto"/>
          <w:sz w:val="24"/>
          <w:szCs w:val="24"/>
          <w:highlight w:val="none"/>
          <w:lang w:eastAsia="zh-CN"/>
        </w:rPr>
      </w:pPr>
      <w:r>
        <w:rPr>
          <w:rFonts w:hint="eastAsia" w:ascii="仿宋" w:hAnsi="仿宋" w:eastAsia="仿宋"/>
          <w:color w:val="auto"/>
          <w:sz w:val="28"/>
          <w:szCs w:val="28"/>
          <w:highlight w:val="none"/>
        </w:rPr>
        <w:t>4. 最高限</w:t>
      </w:r>
      <w:r>
        <w:rPr>
          <w:rFonts w:hint="eastAsia" w:ascii="仿宋" w:hAnsi="仿宋" w:eastAsia="仿宋"/>
          <w:color w:val="auto"/>
          <w:sz w:val="28"/>
          <w:szCs w:val="28"/>
          <w:highlight w:val="none"/>
          <w:lang w:val="en-US" w:eastAsia="zh-CN"/>
        </w:rPr>
        <w:t>价：综合单价最高限价540元/亩，</w:t>
      </w:r>
      <w:r>
        <w:rPr>
          <w:rFonts w:hint="eastAsia" w:ascii="仿宋" w:hAnsi="仿宋" w:eastAsia="仿宋"/>
          <w:color w:val="auto"/>
          <w:sz w:val="28"/>
          <w:szCs w:val="28"/>
          <w:highlight w:val="none"/>
        </w:rPr>
        <w:t>超过最高限价的为无效响应文件。</w:t>
      </w:r>
    </w:p>
    <w:p w14:paraId="212A87CC">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5. 采购需求：2026-2028年如皋市拟新增耕地</w:t>
      </w:r>
      <w:r>
        <w:rPr>
          <w:rFonts w:hint="eastAsia" w:ascii="仿宋" w:hAnsi="仿宋" w:eastAsia="仿宋"/>
          <w:color w:val="auto"/>
          <w:sz w:val="28"/>
          <w:szCs w:val="28"/>
          <w:highlight w:val="none"/>
          <w:lang w:eastAsia="zh-CN"/>
        </w:rPr>
        <w:t>土壤污染</w:t>
      </w:r>
      <w:r>
        <w:rPr>
          <w:rFonts w:hint="eastAsia" w:ascii="仿宋" w:hAnsi="仿宋" w:eastAsia="仿宋"/>
          <w:color w:val="auto"/>
          <w:sz w:val="28"/>
          <w:szCs w:val="28"/>
          <w:highlight w:val="none"/>
        </w:rPr>
        <w:t>状况调查和补充耕地质量鉴定</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涉及</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个镇（街道）</w:t>
      </w:r>
      <w:r>
        <w:rPr>
          <w:rFonts w:hint="eastAsia" w:ascii="仿宋" w:hAnsi="仿宋" w:eastAsia="仿宋"/>
          <w:color w:val="auto"/>
          <w:sz w:val="28"/>
          <w:szCs w:val="28"/>
          <w:highlight w:val="none"/>
          <w:lang w:val="en-US" w:eastAsia="zh-CN"/>
        </w:rPr>
        <w:t>，</w:t>
      </w:r>
      <w:r>
        <w:rPr>
          <w:rFonts w:hint="eastAsia" w:ascii="仿宋" w:hAnsi="仿宋" w:eastAsia="仿宋"/>
          <w:color w:val="auto"/>
          <w:sz w:val="28"/>
          <w:szCs w:val="28"/>
          <w:highlight w:val="none"/>
        </w:rPr>
        <w:t>总面积约</w:t>
      </w:r>
      <w:r>
        <w:rPr>
          <w:rFonts w:hint="eastAsia" w:ascii="仿宋" w:hAnsi="仿宋" w:eastAsia="仿宋"/>
          <w:color w:val="auto"/>
          <w:sz w:val="28"/>
          <w:szCs w:val="28"/>
          <w:highlight w:val="none"/>
          <w:lang w:val="en-US" w:eastAsia="zh-CN"/>
        </w:rPr>
        <w:t>1.5万</w:t>
      </w:r>
      <w:r>
        <w:rPr>
          <w:rFonts w:hint="eastAsia" w:ascii="仿宋" w:hAnsi="仿宋" w:eastAsia="仿宋"/>
          <w:color w:val="auto"/>
          <w:sz w:val="28"/>
          <w:szCs w:val="28"/>
          <w:highlight w:val="none"/>
        </w:rPr>
        <w:t>亩</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分包情况如下：采购包1：</w:t>
      </w:r>
      <w:r>
        <w:rPr>
          <w:rFonts w:hint="eastAsia" w:ascii="仿宋" w:hAnsi="仿宋" w:eastAsia="仿宋"/>
          <w:color w:val="auto"/>
          <w:sz w:val="28"/>
          <w:szCs w:val="28"/>
          <w:highlight w:val="none"/>
          <w:lang w:val="en-US" w:eastAsia="zh-CN"/>
        </w:rPr>
        <w:t>7500亩；</w:t>
      </w:r>
      <w:r>
        <w:rPr>
          <w:rFonts w:hint="eastAsia" w:ascii="仿宋" w:hAnsi="仿宋" w:eastAsia="仿宋"/>
          <w:color w:val="auto"/>
          <w:sz w:val="28"/>
          <w:szCs w:val="28"/>
          <w:highlight w:val="none"/>
        </w:rPr>
        <w:t>采购包</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7500亩。</w:t>
      </w:r>
    </w:p>
    <w:p w14:paraId="5BDDD43F">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 合同履行期限：</w:t>
      </w:r>
      <w:r>
        <w:rPr>
          <w:rFonts w:hint="eastAsia" w:ascii="仿宋" w:hAnsi="仿宋" w:eastAsia="仿宋"/>
          <w:color w:val="auto"/>
          <w:sz w:val="28"/>
          <w:szCs w:val="28"/>
          <w:highlight w:val="none"/>
          <w:lang w:val="en-US" w:eastAsia="zh-CN"/>
        </w:rPr>
        <w:t>2026年8月-2028年12月。</w:t>
      </w:r>
    </w:p>
    <w:p w14:paraId="01AB59CA">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 本项目是否接受联合体：否</w:t>
      </w:r>
    </w:p>
    <w:p w14:paraId="4FD48E53">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 本项目是否专门面向中小企业采购：是</w:t>
      </w:r>
    </w:p>
    <w:p w14:paraId="2AEB5C82">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项目类型：服务</w:t>
      </w:r>
    </w:p>
    <w:p w14:paraId="56D6174B">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0</w:t>
      </w:r>
      <w:r>
        <w:rPr>
          <w:rFonts w:hint="eastAsia" w:ascii="仿宋" w:hAnsi="仿宋" w:eastAsia="仿宋"/>
          <w:color w:val="auto"/>
          <w:sz w:val="28"/>
          <w:szCs w:val="28"/>
          <w:highlight w:val="none"/>
        </w:rPr>
        <w:t>. 项目所属行业：其他未列明行业</w:t>
      </w:r>
    </w:p>
    <w:p w14:paraId="35D2AF50">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5" w:name="_Toc35393630"/>
      <w:bookmarkStart w:id="6" w:name="_Toc28359013"/>
      <w:bookmarkStart w:id="7" w:name="_Toc35393799"/>
      <w:bookmarkStart w:id="8" w:name="_Toc28359090"/>
      <w:r>
        <w:rPr>
          <w:rFonts w:hint="eastAsia" w:ascii="黑体" w:hAnsi="黑体" w:eastAsia="黑体"/>
          <w:color w:val="auto"/>
          <w:sz w:val="28"/>
          <w:szCs w:val="28"/>
          <w:highlight w:val="none"/>
        </w:rPr>
        <w:t>二、投标人的资格要求</w:t>
      </w:r>
      <w:bookmarkEnd w:id="5"/>
      <w:bookmarkEnd w:id="6"/>
      <w:bookmarkEnd w:id="7"/>
      <w:bookmarkEnd w:id="8"/>
    </w:p>
    <w:p w14:paraId="4412F5C9">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27B2A440">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bookmarkStart w:id="9" w:name="_Toc28359091"/>
      <w:bookmarkStart w:id="10" w:name="_Toc28359014"/>
      <w:r>
        <w:rPr>
          <w:rFonts w:hint="eastAsia" w:ascii="仿宋" w:hAnsi="仿宋" w:eastAsia="仿宋" w:cs="Times New Roman"/>
          <w:color w:val="auto"/>
          <w:kern w:val="2"/>
          <w:sz w:val="28"/>
          <w:szCs w:val="28"/>
          <w:highlight w:val="none"/>
        </w:rPr>
        <w:t>（1）具有独立承担民事责任的能力;</w:t>
      </w:r>
    </w:p>
    <w:p w14:paraId="61E1BF79">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（2）具有良好的商业信誉和健全的财务会计制度;</w:t>
      </w:r>
    </w:p>
    <w:p w14:paraId="6ED8E2EA">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（3）具有履行合同所必需的设备和专业技术能力;</w:t>
      </w:r>
    </w:p>
    <w:p w14:paraId="519721A4">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（4）有依法缴纳税收和社会保障资金的良好记录;</w:t>
      </w:r>
    </w:p>
    <w:p w14:paraId="5454D339">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（5）参加政府采购活动前三年内，在经营活动中没有重大违法记录;</w:t>
      </w:r>
    </w:p>
    <w:p w14:paraId="79251AEE">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（6）法律、行政法规规定的其他条件。</w:t>
      </w:r>
    </w:p>
    <w:p w14:paraId="7156EDDA">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4D067161">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482"/>
        <w:textAlignment w:val="baseline"/>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rPr>
        <w:t>属于</w:t>
      </w:r>
      <w:r>
        <w:rPr>
          <w:rFonts w:ascii="仿宋" w:hAnsi="仿宋" w:eastAsia="仿宋" w:cs="Times New Roman"/>
          <w:color w:val="auto"/>
          <w:kern w:val="2"/>
          <w:sz w:val="28"/>
          <w:szCs w:val="28"/>
          <w:highlight w:val="none"/>
        </w:rPr>
        <w:t>小微企业</w:t>
      </w:r>
      <w:r>
        <w:rPr>
          <w:rFonts w:hint="eastAsia" w:ascii="仿宋" w:hAnsi="仿宋" w:eastAsia="仿宋" w:cs="Times New Roman"/>
          <w:color w:val="auto"/>
          <w:kern w:val="2"/>
          <w:sz w:val="28"/>
          <w:szCs w:val="28"/>
          <w:highlight w:val="none"/>
        </w:rPr>
        <w:t>、</w:t>
      </w:r>
      <w:r>
        <w:rPr>
          <w:rFonts w:ascii="仿宋" w:hAnsi="仿宋" w:eastAsia="仿宋" w:cs="Times New Roman"/>
          <w:color w:val="auto"/>
          <w:kern w:val="2"/>
          <w:sz w:val="28"/>
          <w:szCs w:val="28"/>
          <w:highlight w:val="none"/>
        </w:rPr>
        <w:t>监狱企业</w:t>
      </w:r>
      <w:r>
        <w:rPr>
          <w:rFonts w:hint="eastAsia" w:ascii="仿宋" w:hAnsi="仿宋" w:eastAsia="仿宋" w:cs="Times New Roman"/>
          <w:color w:val="auto"/>
          <w:kern w:val="2"/>
          <w:sz w:val="28"/>
          <w:szCs w:val="28"/>
          <w:highlight w:val="none"/>
        </w:rPr>
        <w:t>或者</w:t>
      </w:r>
      <w:r>
        <w:rPr>
          <w:rFonts w:ascii="仿宋" w:hAnsi="仿宋" w:eastAsia="仿宋" w:cs="Times New Roman"/>
          <w:color w:val="auto"/>
          <w:kern w:val="2"/>
          <w:sz w:val="28"/>
          <w:szCs w:val="28"/>
          <w:highlight w:val="none"/>
        </w:rPr>
        <w:t>残疾人福利性单位的</w:t>
      </w:r>
      <w:r>
        <w:rPr>
          <w:rFonts w:hint="eastAsia" w:ascii="仿宋" w:hAnsi="仿宋" w:eastAsia="仿宋" w:cs="Times New Roman"/>
          <w:color w:val="auto"/>
          <w:kern w:val="2"/>
          <w:sz w:val="28"/>
          <w:szCs w:val="28"/>
          <w:highlight w:val="none"/>
        </w:rPr>
        <w:t>，享受价格扣除优惠。</w:t>
      </w:r>
    </w:p>
    <w:p w14:paraId="6FBB23C0">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7"/>
        <w:textAlignment w:val="baseline"/>
        <w:rPr>
          <w:rFonts w:ascii="仿宋" w:hAnsi="仿宋" w:eastAsia="仿宋"/>
          <w:color w:val="auto"/>
          <w:sz w:val="28"/>
          <w:szCs w:val="28"/>
          <w:highlight w:val="none"/>
          <w:u w:val="single"/>
        </w:rPr>
      </w:pPr>
      <w:r>
        <w:rPr>
          <w:rFonts w:hint="eastAsia" w:ascii="仿宋" w:hAnsi="仿宋" w:eastAsia="仿宋" w:cs="Times New Roman"/>
          <w:color w:val="auto"/>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55A61D06">
      <w:pPr>
        <w:keepNext w:val="0"/>
        <w:keepLines w:val="0"/>
        <w:pageBreakBefore w:val="0"/>
        <w:kinsoku/>
        <w:wordWrap/>
        <w:overflowPunct/>
        <w:topLinePunct w:val="0"/>
        <w:autoSpaceDE/>
        <w:autoSpaceDN/>
        <w:bidi w:val="0"/>
        <w:spacing w:line="48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4. 本项目的特定资格要求：</w:t>
      </w:r>
      <w:r>
        <w:rPr>
          <w:rFonts w:hint="eastAsia" w:ascii="仿宋" w:hAnsi="仿宋" w:eastAsia="仿宋"/>
          <w:b/>
          <w:bCs/>
          <w:color w:val="auto"/>
          <w:sz w:val="28"/>
          <w:szCs w:val="28"/>
          <w:highlight w:val="none"/>
          <w:lang w:val="en-US" w:eastAsia="zh-CN"/>
        </w:rPr>
        <w:t>无</w:t>
      </w:r>
    </w:p>
    <w:p w14:paraId="03DB3315">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7"/>
        <w:textAlignment w:val="baseline"/>
        <w:rPr>
          <w:rFonts w:hint="eastAsia"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lang w:val="en-US" w:eastAsia="zh-CN"/>
        </w:rPr>
        <w:t>5</w:t>
      </w:r>
      <w:r>
        <w:rPr>
          <w:rFonts w:hint="eastAsia" w:ascii="仿宋" w:hAnsi="仿宋" w:eastAsia="仿宋" w:cs="Times New Roman"/>
          <w:color w:val="auto"/>
          <w:kern w:val="2"/>
          <w:sz w:val="28"/>
          <w:szCs w:val="28"/>
          <w:highlight w:val="none"/>
        </w:rPr>
        <w:t>.本项目专门面向中小企业采购，</w:t>
      </w:r>
      <w:r>
        <w:rPr>
          <w:rFonts w:hint="eastAsia" w:ascii="仿宋" w:hAnsi="仿宋" w:eastAsia="仿宋" w:cs="Times New Roman"/>
          <w:color w:val="auto"/>
          <w:kern w:val="2"/>
          <w:sz w:val="28"/>
          <w:szCs w:val="28"/>
          <w:highlight w:val="none"/>
          <w:lang w:val="en-US" w:eastAsia="zh-CN"/>
        </w:rPr>
        <w:t>投标人</w:t>
      </w:r>
      <w:r>
        <w:rPr>
          <w:rFonts w:hint="eastAsia" w:ascii="仿宋" w:hAnsi="仿宋" w:eastAsia="仿宋" w:cs="Times New Roman"/>
          <w:color w:val="auto"/>
          <w:kern w:val="2"/>
          <w:sz w:val="28"/>
          <w:szCs w:val="28"/>
          <w:highlight w:val="none"/>
        </w:rPr>
        <w:t>须提供《中小企业声明函》，根据《中小企业划型标准规定》（工信部联企业〔2011〕300 号）文件规定，该项目所属行业为</w:t>
      </w:r>
      <w:r>
        <w:rPr>
          <w:rFonts w:hint="eastAsia" w:ascii="仿宋" w:hAnsi="仿宋" w:eastAsia="仿宋" w:cs="Times New Roman"/>
          <w:color w:val="auto"/>
          <w:kern w:val="2"/>
          <w:sz w:val="28"/>
          <w:szCs w:val="28"/>
          <w:highlight w:val="none"/>
          <w:lang w:eastAsia="zh-CN"/>
        </w:rPr>
        <w:t>其他未列明行业</w:t>
      </w:r>
      <w:r>
        <w:rPr>
          <w:rFonts w:hint="eastAsia" w:ascii="仿宋" w:hAnsi="仿宋" w:eastAsia="仿宋" w:cs="Times New Roman"/>
          <w:color w:val="auto"/>
          <w:kern w:val="2"/>
          <w:sz w:val="28"/>
          <w:szCs w:val="28"/>
          <w:highlight w:val="none"/>
        </w:rPr>
        <w:t xml:space="preserve"> 。</w:t>
      </w:r>
    </w:p>
    <w:p w14:paraId="21E9D3FE">
      <w:pPr>
        <w:pStyle w:val="21"/>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firstLine="567"/>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lang w:val="en-US" w:eastAsia="zh-CN"/>
        </w:rPr>
        <w:t>6</w:t>
      </w:r>
      <w:r>
        <w:rPr>
          <w:rFonts w:hint="eastAsia" w:ascii="仿宋" w:hAnsi="仿宋" w:eastAsia="仿宋"/>
          <w:iCs/>
          <w:color w:val="auto"/>
          <w:sz w:val="28"/>
          <w:szCs w:val="28"/>
          <w:highlight w:val="none"/>
        </w:rPr>
        <w:t>.</w:t>
      </w:r>
      <w:r>
        <w:rPr>
          <w:rFonts w:hint="eastAsia" w:ascii="仿宋" w:hAnsi="仿宋" w:eastAsia="仿宋"/>
          <w:color w:val="auto"/>
          <w:sz w:val="28"/>
          <w:szCs w:val="28"/>
          <w:highlight w:val="none"/>
        </w:rPr>
        <w:t>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授权委托书。代理人须为投标供应商的正式员工，并提供开标日前最近1个月投标供应商为其缴纳社保的证明；新成立企业距开标日期不足30日的，可不提供缴纳社保的证明（以新办企业营业执照发放日期为准）。</w:t>
      </w:r>
    </w:p>
    <w:p w14:paraId="3C7CF89E">
      <w:pPr>
        <w:keepNext w:val="0"/>
        <w:keepLines w:val="0"/>
        <w:pageBreakBefore w:val="0"/>
        <w:kinsoku/>
        <w:wordWrap/>
        <w:overflowPunct/>
        <w:topLinePunct w:val="0"/>
        <w:autoSpaceDE/>
        <w:autoSpaceDN/>
        <w:bidi w:val="0"/>
        <w:spacing w:line="480" w:lineRule="exact"/>
        <w:ind w:firstLine="565" w:firstLineChars="202"/>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未被“信用中国（www.creditchina.gov.cn）”、“中国政府采购网（http://www.ccgp.gov.cn/）”网站列入失信被执行人或重大税收违法案件当事人名单或政府采购严重失信行为记录名单，查询结果以评审过程中现场网络截图为准。</w:t>
      </w:r>
    </w:p>
    <w:p w14:paraId="507BE7ED">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11" w:name="_Toc35393631"/>
      <w:bookmarkStart w:id="12" w:name="_Toc35393800"/>
      <w:r>
        <w:rPr>
          <w:rFonts w:hint="eastAsia" w:ascii="黑体" w:hAnsi="黑体" w:eastAsia="黑体"/>
          <w:color w:val="auto"/>
          <w:sz w:val="28"/>
          <w:szCs w:val="28"/>
          <w:highlight w:val="none"/>
        </w:rPr>
        <w:t>三、获取公开招标文件</w:t>
      </w:r>
      <w:bookmarkEnd w:id="9"/>
      <w:bookmarkEnd w:id="10"/>
      <w:bookmarkEnd w:id="11"/>
      <w:bookmarkEnd w:id="12"/>
    </w:p>
    <w:p w14:paraId="0B2E603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600"/>
        <w:rPr>
          <w:rFonts w:ascii="仿宋" w:hAnsi="仿宋" w:eastAsia="仿宋" w:cs="仿宋"/>
          <w:color w:val="auto"/>
          <w:sz w:val="30"/>
          <w:highlight w:val="none"/>
        </w:rPr>
      </w:pPr>
      <w:r>
        <w:rPr>
          <w:rFonts w:hint="eastAsia" w:ascii="仿宋" w:hAnsi="仿宋" w:eastAsia="仿宋" w:cs="仿宋"/>
          <w:color w:val="auto"/>
          <w:sz w:val="30"/>
          <w:highlight w:val="none"/>
        </w:rPr>
        <w:t>1.时间：</w:t>
      </w:r>
      <w:r>
        <w:rPr>
          <w:rFonts w:hint="eastAsia" w:ascii="仿宋" w:hAnsi="仿宋" w:eastAsia="仿宋" w:cs="仿宋"/>
          <w:color w:val="auto"/>
          <w:sz w:val="30"/>
          <w:highlight w:val="none"/>
          <w:lang w:val="en-US" w:eastAsia="zh-CN"/>
        </w:rPr>
        <w:t>自本公告发布之日起5个工作日</w:t>
      </w:r>
      <w:r>
        <w:rPr>
          <w:rFonts w:hint="eastAsia" w:ascii="仿宋" w:hAnsi="仿宋" w:eastAsia="仿宋" w:cs="仿宋"/>
          <w:color w:val="auto"/>
          <w:sz w:val="30"/>
          <w:highlight w:val="none"/>
        </w:rPr>
        <w:t xml:space="preserve"> 。</w:t>
      </w:r>
    </w:p>
    <w:p w14:paraId="363ECC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600"/>
        <w:rPr>
          <w:rFonts w:ascii="仿宋" w:hAnsi="仿宋" w:eastAsia="仿宋" w:cs="仿宋"/>
          <w:color w:val="auto"/>
          <w:sz w:val="30"/>
          <w:highlight w:val="none"/>
        </w:rPr>
      </w:pPr>
      <w:r>
        <w:rPr>
          <w:rFonts w:hint="eastAsia" w:ascii="仿宋" w:hAnsi="仿宋" w:eastAsia="仿宋" w:cs="仿宋"/>
          <w:color w:val="auto"/>
          <w:sz w:val="30"/>
          <w:highlight w:val="none"/>
        </w:rPr>
        <w:t>2.地点：江苏省政府采购网。</w:t>
      </w:r>
    </w:p>
    <w:p w14:paraId="4087031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600"/>
        <w:rPr>
          <w:rFonts w:ascii="仿宋" w:hAnsi="仿宋" w:eastAsia="仿宋" w:cs="仿宋"/>
          <w:color w:val="auto"/>
          <w:sz w:val="30"/>
          <w:highlight w:val="none"/>
        </w:rPr>
      </w:pPr>
      <w:r>
        <w:rPr>
          <w:rFonts w:hint="eastAsia" w:ascii="仿宋" w:hAnsi="仿宋" w:eastAsia="仿宋" w:cs="仿宋"/>
          <w:color w:val="auto"/>
          <w:sz w:val="30"/>
          <w:highlight w:val="none"/>
        </w:rPr>
        <w:t>3.方式：本项目采用“苏采云”系统网上注册登记方式，具体详见《江苏省政府采购管理交易系统（苏采云）投标人操作手册》。</w:t>
      </w:r>
    </w:p>
    <w:p w14:paraId="2B577D1E">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13" w:name="_Toc35393801"/>
      <w:bookmarkStart w:id="14" w:name="_Toc35393632"/>
      <w:bookmarkStart w:id="15" w:name="_Toc28359015"/>
      <w:bookmarkStart w:id="16" w:name="_Toc28359092"/>
      <w:r>
        <w:rPr>
          <w:rFonts w:hint="eastAsia" w:ascii="黑体" w:hAnsi="黑体" w:eastAsia="黑体"/>
          <w:color w:val="auto"/>
          <w:sz w:val="28"/>
          <w:szCs w:val="28"/>
          <w:highlight w:val="none"/>
        </w:rPr>
        <w:t>四、提交投标文件</w:t>
      </w:r>
      <w:bookmarkEnd w:id="13"/>
      <w:bookmarkEnd w:id="14"/>
      <w:bookmarkEnd w:id="15"/>
      <w:bookmarkEnd w:id="16"/>
      <w:r>
        <w:rPr>
          <w:rFonts w:hint="eastAsia" w:ascii="黑体" w:hAnsi="黑体" w:eastAsia="黑体"/>
          <w:color w:val="auto"/>
          <w:sz w:val="28"/>
          <w:szCs w:val="28"/>
          <w:highlight w:val="none"/>
        </w:rPr>
        <w:t>截止时间、开标时间和地点</w:t>
      </w:r>
    </w:p>
    <w:p w14:paraId="576990BE">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08</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17</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6BD7677D">
      <w:pPr>
        <w:keepNext w:val="0"/>
        <w:keepLines w:val="0"/>
        <w:pageBreakBefore w:val="0"/>
        <w:kinsoku/>
        <w:wordWrap/>
        <w:overflowPunct/>
        <w:topLinePunct w:val="0"/>
        <w:autoSpaceDE/>
        <w:autoSpaceDN/>
        <w:bidi w:val="0"/>
        <w:spacing w:line="48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w:t>
      </w:r>
      <w:r>
        <w:rPr>
          <w:rFonts w:hint="eastAsia" w:ascii="仿宋" w:hAnsi="仿宋" w:eastAsia="仿宋"/>
          <w:bCs/>
          <w:color w:val="auto"/>
          <w:sz w:val="28"/>
          <w:szCs w:val="28"/>
          <w:highlight w:val="none"/>
        </w:rPr>
        <w:t>《江苏省政府采购管理交易系统（苏采云）供应商操作指南》</w:t>
      </w:r>
      <w:r>
        <w:rPr>
          <w:rFonts w:hint="eastAsia" w:ascii="仿宋" w:hAnsi="仿宋" w:eastAsia="仿宋"/>
          <w:color w:val="auto"/>
          <w:sz w:val="28"/>
          <w:szCs w:val="28"/>
          <w:highlight w:val="none"/>
        </w:rPr>
        <w:t>。</w:t>
      </w:r>
    </w:p>
    <w:p w14:paraId="57082CC5">
      <w:pPr>
        <w:keepNext w:val="0"/>
        <w:keepLines w:val="0"/>
        <w:pageBreakBefore w:val="0"/>
        <w:kinsoku/>
        <w:wordWrap/>
        <w:overflowPunct/>
        <w:topLinePunct w:val="0"/>
        <w:autoSpaceDE/>
        <w:autoSpaceDN/>
        <w:bidi w:val="0"/>
        <w:spacing w:line="48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开标时间：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08</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17</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00CEA8DE">
      <w:pPr>
        <w:keepNext w:val="0"/>
        <w:keepLines w:val="0"/>
        <w:pageBreakBefore w:val="0"/>
        <w:kinsoku/>
        <w:wordWrap/>
        <w:overflowPunct/>
        <w:topLinePunct w:val="0"/>
        <w:autoSpaceDE/>
        <w:autoSpaceDN/>
        <w:bidi w:val="0"/>
        <w:spacing w:line="480" w:lineRule="exact"/>
        <w:ind w:firstLine="560"/>
        <w:rPr>
          <w:rFonts w:ascii="仿宋" w:hAnsi="仿宋" w:eastAsia="仿宋"/>
          <w:color w:val="auto"/>
          <w:sz w:val="28"/>
          <w:szCs w:val="28"/>
          <w:highlight w:val="none"/>
        </w:rPr>
      </w:pPr>
      <w:r>
        <w:rPr>
          <w:rFonts w:hint="eastAsia" w:ascii="仿宋" w:hAnsi="仿宋" w:eastAsia="仿宋"/>
          <w:bCs/>
          <w:color w:val="auto"/>
          <w:sz w:val="28"/>
          <w:szCs w:val="28"/>
          <w:highlight w:val="none"/>
        </w:rPr>
        <w:t>开标地点：</w:t>
      </w:r>
      <w:r>
        <w:rPr>
          <w:rFonts w:ascii="仿宋" w:hAnsi="仿宋" w:eastAsia="仿宋"/>
          <w:color w:val="auto"/>
          <w:sz w:val="28"/>
          <w:szCs w:val="28"/>
          <w:highlight w:val="none"/>
        </w:rPr>
        <w:t>“苏采云”系统（网址：http://jszfcg.jsczt.cn/）“开标大厅”。</w:t>
      </w:r>
    </w:p>
    <w:p w14:paraId="0F49A7DE">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17" w:name="_Toc28359094"/>
      <w:bookmarkStart w:id="18" w:name="_Toc28359017"/>
      <w:bookmarkStart w:id="19" w:name="_Toc35393803"/>
      <w:bookmarkStart w:id="20" w:name="_Toc35393634"/>
      <w:r>
        <w:rPr>
          <w:rFonts w:hint="eastAsia" w:ascii="黑体" w:hAnsi="黑体" w:eastAsia="黑体"/>
          <w:color w:val="auto"/>
          <w:sz w:val="28"/>
          <w:szCs w:val="28"/>
          <w:highlight w:val="none"/>
        </w:rPr>
        <w:t>五、公告期限</w:t>
      </w:r>
      <w:bookmarkEnd w:id="17"/>
      <w:bookmarkEnd w:id="18"/>
      <w:bookmarkEnd w:id="19"/>
      <w:bookmarkEnd w:id="20"/>
    </w:p>
    <w:p w14:paraId="25725DDE">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自本公告发布之日起5个工作日。</w:t>
      </w:r>
    </w:p>
    <w:p w14:paraId="0F5417F4">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eastAsia="黑体"/>
          <w:color w:val="auto"/>
          <w:sz w:val="28"/>
          <w:szCs w:val="28"/>
          <w:highlight w:val="none"/>
        </w:rPr>
      </w:pPr>
      <w:bookmarkStart w:id="21" w:name="_Toc35393635"/>
      <w:bookmarkStart w:id="22" w:name="_Toc35393804"/>
      <w:r>
        <w:rPr>
          <w:rFonts w:hint="eastAsia" w:ascii="黑体" w:hAnsi="黑体" w:eastAsia="黑体"/>
          <w:color w:val="auto"/>
          <w:sz w:val="28"/>
          <w:szCs w:val="28"/>
          <w:highlight w:val="none"/>
        </w:rPr>
        <w:t>六、其他补充事宜</w:t>
      </w:r>
      <w:bookmarkEnd w:id="21"/>
      <w:bookmarkEnd w:id="22"/>
    </w:p>
    <w:p w14:paraId="4A0486D5">
      <w:pPr>
        <w:keepNext w:val="0"/>
        <w:keepLines w:val="0"/>
        <w:pageBreakBefore w:val="0"/>
        <w:kinsoku/>
        <w:wordWrap/>
        <w:overflowPunct/>
        <w:topLinePunct w:val="0"/>
        <w:autoSpaceDE/>
        <w:autoSpaceDN/>
        <w:bidi w:val="0"/>
        <w:spacing w:line="48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4C555C68">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7E14069E">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（2）</w:t>
      </w:r>
      <w:r>
        <w:rPr>
          <w:rFonts w:hint="eastAsia" w:ascii="仿宋" w:hAnsi="仿宋" w:eastAsia="仿宋" w:cs="仿宋"/>
          <w:color w:val="auto"/>
          <w:sz w:val="28"/>
          <w:szCs w:val="28"/>
          <w:highlight w:val="none"/>
        </w:rPr>
        <w:t>投标人</w:t>
      </w:r>
      <w:r>
        <w:rPr>
          <w:rFonts w:hint="eastAsia" w:ascii="仿宋" w:hAnsi="仿宋" w:eastAsia="仿宋" w:cs="宋体"/>
          <w:bCs/>
          <w:color w:val="auto"/>
          <w:sz w:val="28"/>
          <w:szCs w:val="28"/>
          <w:highlight w:val="none"/>
        </w:rPr>
        <w:t>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30"/>
          <w:rFonts w:ascii="仿宋" w:hAnsi="仿宋" w:eastAsia="仿宋" w:cs="宋体"/>
          <w:bCs/>
          <w:color w:val="auto"/>
          <w:sz w:val="28"/>
          <w:szCs w:val="28"/>
          <w:highlight w:val="none"/>
        </w:rPr>
        <w:t>http://jsxcmm.com/help/gys.html</w:t>
      </w:r>
      <w:r>
        <w:rPr>
          <w:rStyle w:val="30"/>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6F0AD27C">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4832E845">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2B3DC877">
      <w:pPr>
        <w:keepNext w:val="0"/>
        <w:keepLines w:val="0"/>
        <w:pageBreakBefore w:val="0"/>
        <w:kinsoku/>
        <w:wordWrap/>
        <w:overflowPunct/>
        <w:topLinePunct w:val="0"/>
        <w:autoSpaceDE/>
        <w:autoSpaceDN/>
        <w:bidi w:val="0"/>
        <w:spacing w:line="480" w:lineRule="exact"/>
        <w:ind w:firstLine="560" w:firstLineChars="20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6B9CF253">
      <w:pPr>
        <w:keepNext w:val="0"/>
        <w:keepLines w:val="0"/>
        <w:pageBreakBefore w:val="0"/>
        <w:kinsoku/>
        <w:wordWrap/>
        <w:overflowPunct/>
        <w:topLinePunct w:val="0"/>
        <w:autoSpaceDE/>
        <w:autoSpaceDN/>
        <w:bidi w:val="0"/>
        <w:spacing w:line="480" w:lineRule="exact"/>
        <w:ind w:firstLine="480"/>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（6）供应商应当通过“苏采云”系统提交电子投标文件，投标文件不得超过150M。</w:t>
      </w:r>
    </w:p>
    <w:p w14:paraId="20978E1D">
      <w:pPr>
        <w:keepNext w:val="0"/>
        <w:keepLines w:val="0"/>
        <w:pageBreakBefore w:val="0"/>
        <w:kinsoku/>
        <w:wordWrap/>
        <w:overflowPunct/>
        <w:topLinePunct w:val="0"/>
        <w:autoSpaceDE/>
        <w:autoSpaceDN/>
        <w:bidi w:val="0"/>
        <w:adjustRightInd w:val="0"/>
        <w:snapToGrid w:val="0"/>
        <w:spacing w:line="480" w:lineRule="exact"/>
        <w:ind w:firstLine="560" w:firstLineChars="20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投标保证金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w:t>
      </w:r>
    </w:p>
    <w:p w14:paraId="7C21ED66">
      <w:pPr>
        <w:keepNext w:val="0"/>
        <w:keepLines w:val="0"/>
        <w:pageBreakBefore w:val="0"/>
        <w:kinsoku/>
        <w:wordWrap/>
        <w:overflowPunct/>
        <w:topLinePunct w:val="0"/>
        <w:autoSpaceDE/>
        <w:autoSpaceDN/>
        <w:bidi w:val="0"/>
        <w:adjustRightInd w:val="0"/>
        <w:snapToGrid w:val="0"/>
        <w:spacing w:line="480" w:lineRule="exact"/>
        <w:ind w:firstLine="560" w:firstLineChars="20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lang w:val="en-US" w:eastAsia="zh-CN"/>
        </w:rPr>
        <w:t>1</w:t>
      </w:r>
      <w:r>
        <w:rPr>
          <w:rFonts w:hint="eastAsia" w:ascii="仿宋" w:hAnsi="仿宋" w:eastAsia="仿宋" w:cs="宋体"/>
          <w:color w:val="auto"/>
          <w:sz w:val="28"/>
          <w:szCs w:val="28"/>
          <w:highlight w:val="none"/>
          <w:lang w:eastAsia="zh-CN"/>
        </w:rPr>
        <w:t>）</w:t>
      </w:r>
      <w:r>
        <w:rPr>
          <w:rFonts w:ascii="仿宋" w:hAnsi="仿宋" w:eastAsia="仿宋" w:cs="宋体"/>
          <w:color w:val="auto"/>
          <w:sz w:val="28"/>
          <w:szCs w:val="28"/>
          <w:highlight w:val="none"/>
        </w:rPr>
        <w:t>投标保证金</w:t>
      </w:r>
      <w:r>
        <w:rPr>
          <w:rFonts w:hint="eastAsia" w:ascii="仿宋" w:hAnsi="仿宋" w:eastAsia="仿宋" w:cs="宋体"/>
          <w:color w:val="auto"/>
          <w:sz w:val="28"/>
          <w:szCs w:val="28"/>
          <w:highlight w:val="none"/>
          <w:lang w:eastAsia="zh-CN"/>
        </w:rPr>
        <w:t>：</w:t>
      </w:r>
      <w:r>
        <w:rPr>
          <w:rFonts w:ascii="仿宋" w:hAnsi="仿宋" w:eastAsia="仿宋" w:cs="宋体"/>
          <w:color w:val="auto"/>
          <w:sz w:val="28"/>
          <w:szCs w:val="28"/>
          <w:highlight w:val="none"/>
        </w:rPr>
        <w:t>免收</w:t>
      </w:r>
    </w:p>
    <w:p w14:paraId="69562C42">
      <w:pPr>
        <w:keepNext w:val="0"/>
        <w:keepLines w:val="0"/>
        <w:pageBreakBefore w:val="0"/>
        <w:kinsoku/>
        <w:wordWrap/>
        <w:overflowPunct/>
        <w:topLinePunct w:val="0"/>
        <w:autoSpaceDE/>
        <w:autoSpaceDN/>
        <w:bidi w:val="0"/>
        <w:adjustRightInd w:val="0"/>
        <w:snapToGrid w:val="0"/>
        <w:spacing w:line="480" w:lineRule="exact"/>
        <w:ind w:firstLine="560" w:firstLineChars="20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lang w:val="en-US" w:eastAsia="zh-CN"/>
        </w:rPr>
        <w:t>2</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履约保证金</w:t>
      </w:r>
      <w:r>
        <w:rPr>
          <w:rFonts w:hint="eastAsia" w:ascii="仿宋" w:hAnsi="仿宋" w:eastAsia="仿宋" w:cs="宋体"/>
          <w:color w:val="auto"/>
          <w:sz w:val="28"/>
          <w:szCs w:val="28"/>
          <w:highlight w:val="none"/>
          <w:lang w:eastAsia="zh-CN"/>
        </w:rPr>
        <w:t>：</w:t>
      </w:r>
      <w:r>
        <w:rPr>
          <w:rFonts w:hint="eastAsia" w:ascii="仿宋" w:hAnsi="仿宋" w:eastAsia="仿宋" w:cs="宋体"/>
          <w:b/>
          <w:bCs/>
          <w:color w:val="auto"/>
          <w:sz w:val="28"/>
          <w:szCs w:val="28"/>
          <w:highlight w:val="none"/>
          <w:lang w:val="en-US" w:eastAsia="zh-CN"/>
        </w:rPr>
        <w:t>采购包1</w:t>
      </w:r>
      <w:r>
        <w:rPr>
          <w:rFonts w:hint="eastAsia" w:ascii="仿宋" w:hAnsi="仿宋" w:eastAsia="仿宋" w:cs="宋体"/>
          <w:b/>
          <w:bCs/>
          <w:color w:val="auto"/>
          <w:sz w:val="28"/>
          <w:szCs w:val="28"/>
          <w:highlight w:val="none"/>
        </w:rPr>
        <w:t>履约保证金</w:t>
      </w:r>
      <w:r>
        <w:rPr>
          <w:rFonts w:hint="eastAsia" w:ascii="仿宋" w:hAnsi="仿宋" w:eastAsia="仿宋" w:cs="宋体"/>
          <w:b/>
          <w:bCs/>
          <w:color w:val="auto"/>
          <w:sz w:val="28"/>
          <w:szCs w:val="28"/>
          <w:highlight w:val="none"/>
          <w:lang w:val="en-US" w:eastAsia="zh-CN"/>
        </w:rPr>
        <w:t>为10万元，采购包2</w:t>
      </w:r>
      <w:r>
        <w:rPr>
          <w:rFonts w:hint="eastAsia" w:ascii="仿宋" w:hAnsi="仿宋" w:eastAsia="仿宋" w:cs="宋体"/>
          <w:b/>
          <w:bCs/>
          <w:color w:val="auto"/>
          <w:sz w:val="28"/>
          <w:szCs w:val="28"/>
          <w:highlight w:val="none"/>
        </w:rPr>
        <w:t>履约保证金</w:t>
      </w:r>
      <w:r>
        <w:rPr>
          <w:rFonts w:hint="eastAsia" w:ascii="仿宋" w:hAnsi="仿宋" w:eastAsia="仿宋" w:cs="宋体"/>
          <w:b/>
          <w:bCs/>
          <w:color w:val="auto"/>
          <w:sz w:val="28"/>
          <w:szCs w:val="28"/>
          <w:highlight w:val="none"/>
          <w:lang w:val="en-US" w:eastAsia="zh-CN"/>
        </w:rPr>
        <w:t>为10万元</w:t>
      </w:r>
      <w:r>
        <w:rPr>
          <w:rFonts w:hint="eastAsia" w:ascii="仿宋" w:hAnsi="仿宋" w:eastAsia="仿宋" w:cs="宋体"/>
          <w:b/>
          <w:bCs/>
          <w:color w:val="auto"/>
          <w:sz w:val="28"/>
          <w:szCs w:val="28"/>
          <w:highlight w:val="none"/>
          <w:lang w:eastAsia="zh-CN"/>
        </w:rPr>
        <w:t>；</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供应商的履约保证金须在</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通知书发出之日起至合同签订前汇入采购单位账户（应当以数字人民币、支票、汇票</w:t>
      </w:r>
      <w:r>
        <w:rPr>
          <w:rFonts w:hint="eastAsia" w:ascii="仿宋" w:hAnsi="仿宋" w:eastAsia="仿宋" w:cs="宋体"/>
          <w:color w:val="auto"/>
          <w:sz w:val="28"/>
          <w:szCs w:val="28"/>
          <w:highlight w:val="none"/>
          <w:lang w:eastAsia="zh-CN"/>
        </w:rPr>
        <w:t>、本票</w:t>
      </w:r>
      <w:r>
        <w:rPr>
          <w:rFonts w:hint="eastAsia" w:ascii="仿宋" w:hAnsi="仿宋" w:eastAsia="仿宋" w:cs="宋体"/>
          <w:color w:val="auto"/>
          <w:sz w:val="28"/>
          <w:szCs w:val="28"/>
          <w:highlight w:val="none"/>
        </w:rPr>
        <w:t>或者金融机构、担保机构出具的保函等非现金形式提交），</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供应商凭</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通知书与采购单位签订合同。超期或未有协商，则视为自动放弃</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资格。</w:t>
      </w:r>
    </w:p>
    <w:p w14:paraId="3A1ECABF">
      <w:pPr>
        <w:keepNext w:val="0"/>
        <w:keepLines w:val="0"/>
        <w:pageBreakBefore w:val="0"/>
        <w:kinsoku/>
        <w:wordWrap/>
        <w:overflowPunct/>
        <w:topLinePunct w:val="0"/>
        <w:autoSpaceDE/>
        <w:autoSpaceDN/>
        <w:bidi w:val="0"/>
        <w:adjustRightInd w:val="0"/>
        <w:snapToGrid w:val="0"/>
        <w:spacing w:line="480" w:lineRule="exact"/>
        <w:ind w:firstLine="560" w:firstLineChars="20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lang w:val="en-US" w:eastAsia="zh-CN"/>
        </w:rPr>
        <w:t>2</w:t>
      </w:r>
      <w:r>
        <w:rPr>
          <w:rFonts w:hint="eastAsia" w:ascii="仿宋" w:hAnsi="仿宋" w:eastAsia="仿宋" w:cs="宋体"/>
          <w:color w:val="auto"/>
          <w:sz w:val="28"/>
          <w:szCs w:val="28"/>
          <w:highlight w:val="none"/>
          <w:lang w:eastAsia="zh-CN"/>
        </w:rPr>
        <w:t>）中标</w:t>
      </w:r>
      <w:r>
        <w:rPr>
          <w:rFonts w:hint="eastAsia" w:ascii="仿宋" w:hAnsi="仿宋" w:eastAsia="仿宋" w:cs="宋体"/>
          <w:color w:val="auto"/>
          <w:sz w:val="28"/>
          <w:szCs w:val="28"/>
          <w:highlight w:val="none"/>
        </w:rPr>
        <w:t>供应商全部履约合同义务，经采购单位验收合格无质量、进度等问题的，采购人在验收合格后10个工作日一次性退还履约保证金，采购人若逾期退还履约保证金的，按照逾期部分的每日0.05%支付违约金；</w:t>
      </w:r>
    </w:p>
    <w:p w14:paraId="62C67E5D">
      <w:pPr>
        <w:keepNext w:val="0"/>
        <w:keepLines w:val="0"/>
        <w:pageBreakBefore w:val="0"/>
        <w:kinsoku/>
        <w:wordWrap/>
        <w:overflowPunct/>
        <w:topLinePunct w:val="0"/>
        <w:autoSpaceDE/>
        <w:autoSpaceDN/>
        <w:bidi w:val="0"/>
        <w:adjustRightInd w:val="0"/>
        <w:snapToGrid w:val="0"/>
        <w:spacing w:line="480" w:lineRule="exact"/>
        <w:ind w:firstLine="560" w:firstLineChars="200"/>
        <w:rPr>
          <w:rFonts w:hint="eastAsia" w:ascii="仿宋" w:hAnsi="仿宋" w:eastAsia="仿宋" w:cs="宋体"/>
          <w:color w:val="auto"/>
          <w:sz w:val="28"/>
          <w:szCs w:val="28"/>
          <w:highlight w:val="none"/>
        </w:rPr>
      </w:pPr>
      <w:r>
        <w:rPr>
          <w:rFonts w:hint="eastAsia" w:ascii="仿宋" w:hAnsi="仿宋" w:eastAsia="仿宋" w:cs="宋体"/>
          <w:sz w:val="28"/>
          <w:szCs w:val="28"/>
          <w:highlight w:val="none"/>
        </w:rPr>
        <w:t>（3）发生以下情况的，履约保证金不予退还或部分退还：a.签订合同后，中标供应商不履行合同义务的，采购单位有权全额扣除履约保证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p>
    <w:p w14:paraId="669D64C5">
      <w:pPr>
        <w:keepNext w:val="0"/>
        <w:keepLines w:val="0"/>
        <w:pageBreakBefore w:val="0"/>
        <w:kinsoku/>
        <w:wordWrap/>
        <w:overflowPunct/>
        <w:topLinePunct w:val="0"/>
        <w:autoSpaceDE/>
        <w:autoSpaceDN/>
        <w:bidi w:val="0"/>
        <w:adjustRightInd w:val="0"/>
        <w:snapToGrid w:val="0"/>
        <w:spacing w:line="480" w:lineRule="exact"/>
        <w:ind w:firstLine="560" w:firstLineChars="20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lang w:val="en-US" w:eastAsia="zh-CN"/>
        </w:rPr>
        <w:t>4</w:t>
      </w:r>
      <w:r>
        <w:rPr>
          <w:rFonts w:hint="eastAsia" w:ascii="仿宋" w:hAnsi="仿宋" w:eastAsia="仿宋" w:cs="宋体"/>
          <w:color w:val="auto"/>
          <w:sz w:val="28"/>
          <w:szCs w:val="28"/>
          <w:highlight w:val="none"/>
          <w:lang w:eastAsia="zh-CN"/>
        </w:rPr>
        <w:t>）</w:t>
      </w:r>
      <w:r>
        <w:rPr>
          <w:rFonts w:hint="eastAsia" w:ascii="仿宋" w:hAnsi="仿宋" w:eastAsia="仿宋" w:cs="宋体"/>
          <w:color w:val="auto"/>
          <w:sz w:val="28"/>
          <w:szCs w:val="28"/>
          <w:highlight w:val="none"/>
        </w:rPr>
        <w:t>以履约保函（保险）形式向采购人缴纳的，按照《关于在全省政府采购领域推行电子履约保函（保险）的通知》，登录江苏政府采购网，选择“保险保函”模块，进行相关操作。供应商可登陆江苏政府采购网“</w:t>
      </w:r>
      <w:r>
        <w:rPr>
          <w:rFonts w:hint="eastAsia" w:ascii="仿宋" w:hAnsi="仿宋" w:eastAsia="仿宋" w:cs="宋体"/>
          <w:color w:val="auto"/>
          <w:sz w:val="28"/>
          <w:szCs w:val="28"/>
          <w:highlight w:val="none"/>
          <w:lang w:eastAsia="zh-CN"/>
        </w:rPr>
        <w:t>办事指南</w:t>
      </w:r>
      <w:r>
        <w:rPr>
          <w:rFonts w:hint="eastAsia" w:ascii="仿宋" w:hAnsi="仿宋" w:eastAsia="仿宋" w:cs="宋体"/>
          <w:color w:val="auto"/>
          <w:sz w:val="28"/>
          <w:szCs w:val="28"/>
          <w:highlight w:val="none"/>
          <w:lang w:val="en-US" w:eastAsia="zh-CN"/>
        </w:rPr>
        <w:t>-</w:t>
      </w:r>
      <w:r>
        <w:rPr>
          <w:rFonts w:hint="eastAsia" w:ascii="仿宋" w:hAnsi="仿宋" w:eastAsia="仿宋" w:cs="宋体"/>
          <w:color w:val="auto"/>
          <w:sz w:val="28"/>
          <w:szCs w:val="28"/>
          <w:highlight w:val="none"/>
        </w:rPr>
        <w:t>资料下载”栏目下载“</w:t>
      </w:r>
      <w:r>
        <w:rPr>
          <w:rFonts w:hint="eastAsia" w:ascii="仿宋" w:hAnsi="仿宋" w:eastAsia="仿宋" w:cs="宋体"/>
          <w:color w:val="auto"/>
          <w:sz w:val="28"/>
          <w:szCs w:val="28"/>
          <w:highlight w:val="none"/>
          <w:lang w:eastAsia="zh-CN"/>
        </w:rPr>
        <w:t>江苏政府采购电子履约保函（保险）平台操作手册</w:t>
      </w:r>
      <w:r>
        <w:rPr>
          <w:rFonts w:hint="eastAsia" w:ascii="仿宋" w:hAnsi="仿宋" w:eastAsia="仿宋" w:cs="宋体"/>
          <w:color w:val="auto"/>
          <w:sz w:val="28"/>
          <w:szCs w:val="28"/>
          <w:highlight w:val="none"/>
        </w:rPr>
        <w:t>”。</w:t>
      </w:r>
    </w:p>
    <w:p w14:paraId="67D72E68">
      <w:pPr>
        <w:keepNext w:val="0"/>
        <w:keepLines w:val="0"/>
        <w:pageBreakBefore w:val="0"/>
        <w:kinsoku/>
        <w:wordWrap/>
        <w:overflowPunct/>
        <w:topLinePunct w:val="0"/>
        <w:autoSpaceDE/>
        <w:autoSpaceDN/>
        <w:bidi w:val="0"/>
        <w:spacing w:line="480" w:lineRule="exact"/>
        <w:ind w:firstLine="562" w:firstLineChars="200"/>
        <w:rPr>
          <w:rFonts w:hint="eastAsia" w:eastAsia="仿宋"/>
          <w:i/>
          <w:iCs/>
          <w:color w:val="auto"/>
          <w:highlight w:val="none"/>
          <w:u w:val="single"/>
          <w:lang w:eastAsia="zh-CN"/>
        </w:rPr>
      </w:pPr>
      <w:r>
        <w:rPr>
          <w:rFonts w:hint="eastAsia" w:ascii="仿宋" w:hAnsi="仿宋" w:eastAsia="仿宋" w:cs="宋体"/>
          <w:b/>
          <w:i/>
          <w:iCs/>
          <w:color w:val="auto"/>
          <w:sz w:val="28"/>
          <w:szCs w:val="28"/>
          <w:highlight w:val="none"/>
          <w:u w:val="single"/>
        </w:rPr>
        <w:t>3.本项目按分包1、分包2的顺序依次进行开评标，各潜在投标人可以兼投</w:t>
      </w:r>
      <w:r>
        <w:rPr>
          <w:rFonts w:hint="eastAsia" w:ascii="仿宋" w:hAnsi="仿宋" w:eastAsia="仿宋" w:cs="宋体"/>
          <w:b/>
          <w:i/>
          <w:iCs/>
          <w:color w:val="auto"/>
          <w:sz w:val="28"/>
          <w:szCs w:val="28"/>
          <w:highlight w:val="none"/>
          <w:u w:val="single"/>
          <w:lang w:val="en-US" w:eastAsia="zh-CN"/>
        </w:rPr>
        <w:t>2</w:t>
      </w:r>
      <w:r>
        <w:rPr>
          <w:rFonts w:hint="eastAsia" w:ascii="仿宋" w:hAnsi="仿宋" w:eastAsia="仿宋" w:cs="宋体"/>
          <w:b/>
          <w:i/>
          <w:iCs/>
          <w:color w:val="auto"/>
          <w:sz w:val="28"/>
          <w:szCs w:val="28"/>
          <w:highlight w:val="none"/>
          <w:u w:val="single"/>
        </w:rPr>
        <w:t>个包，但只能按顺序中标1个包，不可选择。</w:t>
      </w:r>
      <w:r>
        <w:rPr>
          <w:rFonts w:hint="eastAsia" w:ascii="仿宋" w:hAnsi="仿宋" w:eastAsia="仿宋" w:cs="宋体"/>
          <w:b/>
          <w:i/>
          <w:iCs/>
          <w:sz w:val="28"/>
          <w:szCs w:val="28"/>
          <w:highlight w:val="none"/>
          <w:u w:val="single"/>
        </w:rPr>
        <w:t>如同一供应商已被确定为分包1的第一中标候选人后，分包2如仍综合排名第一，则分包2由第二中标候选人中标。</w:t>
      </w:r>
    </w:p>
    <w:p w14:paraId="009ACB4D">
      <w:pPr>
        <w:pStyle w:val="12"/>
        <w:keepNext w:val="0"/>
        <w:keepLines w:val="0"/>
        <w:pageBreakBefore w:val="0"/>
        <w:kinsoku/>
        <w:wordWrap/>
        <w:overflowPunct/>
        <w:topLinePunct w:val="0"/>
        <w:autoSpaceDE/>
        <w:autoSpaceDN/>
        <w:bidi w:val="0"/>
        <w:spacing w:after="0" w:line="480" w:lineRule="exact"/>
        <w:ind w:firstLine="560" w:firstLineChars="200"/>
        <w:rPr>
          <w:rFonts w:ascii="黑体" w:hAnsi="黑体" w:cs="宋体"/>
          <w:b/>
          <w:color w:val="auto"/>
          <w:sz w:val="28"/>
          <w:szCs w:val="28"/>
          <w:highlight w:val="none"/>
        </w:rPr>
      </w:pPr>
      <w:bookmarkStart w:id="23" w:name="_Toc28359095"/>
      <w:bookmarkStart w:id="24" w:name="_Toc35393805"/>
      <w:bookmarkStart w:id="25" w:name="_Toc35393636"/>
      <w:bookmarkStart w:id="26" w:name="_Toc28359018"/>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23"/>
      <w:bookmarkEnd w:id="24"/>
      <w:bookmarkEnd w:id="25"/>
      <w:bookmarkEnd w:id="26"/>
    </w:p>
    <w:p w14:paraId="47F25441">
      <w:pPr>
        <w:keepNext w:val="0"/>
        <w:keepLines w:val="0"/>
        <w:pageBreakBefore w:val="0"/>
        <w:kinsoku/>
        <w:wordWrap/>
        <w:overflowPunct/>
        <w:topLinePunct w:val="0"/>
        <w:autoSpaceDE/>
        <w:autoSpaceDN/>
        <w:bidi w:val="0"/>
        <w:spacing w:line="480" w:lineRule="exact"/>
        <w:ind w:firstLine="540"/>
        <w:rPr>
          <w:rFonts w:ascii="仿宋" w:hAnsi="仿宋" w:eastAsia="仿宋" w:cs="宋体"/>
          <w:color w:val="auto"/>
          <w:sz w:val="28"/>
          <w:szCs w:val="28"/>
          <w:highlight w:val="none"/>
        </w:rPr>
      </w:pPr>
      <w:bookmarkStart w:id="27" w:name="_Toc35393806"/>
      <w:bookmarkStart w:id="28" w:name="_Toc35393637"/>
      <w:bookmarkStart w:id="29" w:name="_Toc28359096"/>
      <w:bookmarkStart w:id="30" w:name="_Toc28359019"/>
      <w:r>
        <w:rPr>
          <w:rFonts w:hint="eastAsia" w:ascii="仿宋" w:hAnsi="仿宋" w:eastAsia="仿宋" w:cs="宋体"/>
          <w:color w:val="auto"/>
          <w:sz w:val="28"/>
          <w:szCs w:val="28"/>
          <w:highlight w:val="none"/>
        </w:rPr>
        <w:t>1. 采购人信息</w:t>
      </w:r>
      <w:bookmarkEnd w:id="27"/>
      <w:bookmarkEnd w:id="28"/>
      <w:bookmarkEnd w:id="29"/>
      <w:bookmarkEnd w:id="30"/>
    </w:p>
    <w:p w14:paraId="775E2E64">
      <w:pPr>
        <w:keepNext w:val="0"/>
        <w:keepLines w:val="0"/>
        <w:pageBreakBefore w:val="0"/>
        <w:kinsoku/>
        <w:wordWrap/>
        <w:overflowPunct/>
        <w:topLinePunct w:val="0"/>
        <w:autoSpaceDE/>
        <w:autoSpaceDN/>
        <w:bidi w:val="0"/>
        <w:spacing w:line="480" w:lineRule="exact"/>
        <w:ind w:firstLine="840" w:firstLineChars="300"/>
        <w:jc w:val="left"/>
        <w:textAlignment w:val="baseline"/>
        <w:rPr>
          <w:rFonts w:ascii="仿宋" w:hAnsi="仿宋" w:eastAsia="仿宋"/>
          <w:color w:val="auto"/>
          <w:sz w:val="28"/>
          <w:szCs w:val="28"/>
          <w:highlight w:val="none"/>
        </w:rPr>
      </w:pPr>
      <w:bookmarkStart w:id="31" w:name="_Toc28359020"/>
      <w:bookmarkStart w:id="32" w:name="_Toc28359097"/>
      <w:bookmarkStart w:id="33" w:name="_Toc35393638"/>
      <w:bookmarkStart w:id="34" w:name="_Toc35393807"/>
      <w:r>
        <w:rPr>
          <w:rFonts w:hint="eastAsia" w:ascii="仿宋" w:hAnsi="仿宋" w:eastAsia="仿宋"/>
          <w:color w:val="auto"/>
          <w:sz w:val="28"/>
          <w:szCs w:val="28"/>
          <w:highlight w:val="none"/>
        </w:rPr>
        <w:t>名    称：如皋市农业农村局</w:t>
      </w:r>
    </w:p>
    <w:p w14:paraId="06E519BF">
      <w:pPr>
        <w:keepNext w:val="0"/>
        <w:keepLines w:val="0"/>
        <w:pageBreakBefore w:val="0"/>
        <w:kinsoku/>
        <w:wordWrap/>
        <w:overflowPunct/>
        <w:topLinePunct w:val="0"/>
        <w:autoSpaceDE/>
        <w:autoSpaceDN/>
        <w:bidi w:val="0"/>
        <w:spacing w:line="480" w:lineRule="exact"/>
        <w:ind w:firstLine="840" w:firstLineChars="3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地    址：江苏省南通市如皋市行政中心B座</w:t>
      </w:r>
    </w:p>
    <w:p w14:paraId="3703566D">
      <w:pPr>
        <w:keepNext w:val="0"/>
        <w:keepLines w:val="0"/>
        <w:pageBreakBefore w:val="0"/>
        <w:kinsoku/>
        <w:wordWrap/>
        <w:overflowPunct/>
        <w:topLinePunct w:val="0"/>
        <w:autoSpaceDE/>
        <w:autoSpaceDN/>
        <w:bidi w:val="0"/>
        <w:spacing w:line="480" w:lineRule="exact"/>
        <w:ind w:left="1129" w:leftChars="371" w:hanging="350" w:hangingChars="125"/>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项目经办人姓名：周仁杰</w:t>
      </w:r>
    </w:p>
    <w:p w14:paraId="01863B91">
      <w:pPr>
        <w:keepNext w:val="0"/>
        <w:keepLines w:val="0"/>
        <w:pageBreakBefore w:val="0"/>
        <w:kinsoku/>
        <w:wordWrap/>
        <w:overflowPunct/>
        <w:topLinePunct w:val="0"/>
        <w:autoSpaceDE/>
        <w:autoSpaceDN/>
        <w:bidi w:val="0"/>
        <w:spacing w:line="480" w:lineRule="exact"/>
        <w:ind w:left="1129" w:leftChars="371" w:hanging="350" w:hangingChars="125"/>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lang w:val="en-US" w:eastAsia="zh-CN"/>
        </w:rPr>
        <w:t xml:space="preserve">15851293119 </w:t>
      </w:r>
    </w:p>
    <w:p w14:paraId="15348E65">
      <w:pPr>
        <w:keepNext w:val="0"/>
        <w:keepLines w:val="0"/>
        <w:pageBreakBefore w:val="0"/>
        <w:kinsoku/>
        <w:wordWrap/>
        <w:overflowPunct/>
        <w:topLinePunct w:val="0"/>
        <w:autoSpaceDE/>
        <w:autoSpaceDN/>
        <w:bidi w:val="0"/>
        <w:spacing w:line="48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采购代理机构信息</w:t>
      </w:r>
      <w:bookmarkEnd w:id="31"/>
      <w:bookmarkEnd w:id="32"/>
      <w:bookmarkEnd w:id="33"/>
      <w:bookmarkEnd w:id="34"/>
    </w:p>
    <w:p w14:paraId="70C08D7E">
      <w:pPr>
        <w:keepNext w:val="0"/>
        <w:keepLines w:val="0"/>
        <w:pageBreakBefore w:val="0"/>
        <w:kinsoku/>
        <w:wordWrap/>
        <w:overflowPunct/>
        <w:topLinePunct w:val="0"/>
        <w:autoSpaceDE/>
        <w:autoSpaceDN/>
        <w:bidi w:val="0"/>
        <w:spacing w:line="48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名    称：南通炜烨工程咨询有限公司</w:t>
      </w:r>
    </w:p>
    <w:p w14:paraId="27AABDCF">
      <w:pPr>
        <w:keepNext w:val="0"/>
        <w:keepLines w:val="0"/>
        <w:pageBreakBefore w:val="0"/>
        <w:kinsoku/>
        <w:wordWrap/>
        <w:overflowPunct/>
        <w:topLinePunct w:val="0"/>
        <w:autoSpaceDE/>
        <w:autoSpaceDN/>
        <w:bidi w:val="0"/>
        <w:spacing w:line="48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地　　址：如皋市大司马南路八号如园商务大厦十七楼</w:t>
      </w:r>
    </w:p>
    <w:p w14:paraId="252D8EE2">
      <w:pPr>
        <w:keepNext w:val="0"/>
        <w:keepLines w:val="0"/>
        <w:pageBreakBefore w:val="0"/>
        <w:kinsoku/>
        <w:wordWrap/>
        <w:overflowPunct/>
        <w:topLinePunct w:val="0"/>
        <w:autoSpaceDE/>
        <w:autoSpaceDN/>
        <w:bidi w:val="0"/>
        <w:spacing w:line="480" w:lineRule="exact"/>
        <w:ind w:firstLine="840" w:firstLineChars="3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项目经办人姓名：王璐</w:t>
      </w:r>
    </w:p>
    <w:p w14:paraId="308F0CED">
      <w:pPr>
        <w:keepNext w:val="0"/>
        <w:keepLines w:val="0"/>
        <w:pageBreakBefore w:val="0"/>
        <w:kinsoku/>
        <w:wordWrap/>
        <w:overflowPunct/>
        <w:topLinePunct w:val="0"/>
        <w:autoSpaceDE/>
        <w:autoSpaceDN/>
        <w:bidi w:val="0"/>
        <w:spacing w:line="48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项目经办人联系方式：18934519879</w:t>
      </w:r>
    </w:p>
    <w:p w14:paraId="15D339EF">
      <w:pPr>
        <w:spacing w:line="500" w:lineRule="exact"/>
        <w:ind w:firstLine="840" w:firstLineChars="300"/>
        <w:rPr>
          <w:rFonts w:ascii="仿宋" w:hAnsi="仿宋" w:eastAsia="仿宋"/>
          <w:color w:val="auto"/>
          <w:sz w:val="28"/>
          <w:szCs w:val="28"/>
          <w:highlight w:val="none"/>
          <w:u w:val="single"/>
        </w:rPr>
      </w:pPr>
    </w:p>
    <w:p w14:paraId="4C398DA6">
      <w:pPr>
        <w:adjustRightInd w:val="0"/>
        <w:snapToGrid w:val="0"/>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r>
        <w:rPr>
          <w:rFonts w:hint="eastAsia" w:ascii="仿宋" w:hAnsi="仿宋" w:eastAsia="仿宋"/>
          <w:b/>
          <w:color w:val="auto"/>
          <w:sz w:val="28"/>
          <w:szCs w:val="28"/>
          <w:highlight w:val="none"/>
        </w:rPr>
        <w:t xml:space="preserve"> 1.办理政采贷和履约保函（保险）告知函</w:t>
      </w:r>
    </w:p>
    <w:p w14:paraId="1946BC51">
      <w:pPr>
        <w:adjustRightInd w:val="0"/>
        <w:snapToGrid w:val="0"/>
        <w:spacing w:line="500" w:lineRule="exact"/>
        <w:ind w:firstLine="843" w:firstLineChars="300"/>
        <w:rPr>
          <w:rFonts w:ascii="仿宋" w:hAnsi="仿宋" w:eastAsia="仿宋"/>
          <w:b/>
          <w:color w:val="auto"/>
          <w:sz w:val="28"/>
          <w:szCs w:val="28"/>
          <w:highlight w:val="none"/>
        </w:rPr>
      </w:pPr>
      <w:r>
        <w:rPr>
          <w:rFonts w:hint="eastAsia" w:ascii="仿宋" w:hAnsi="仿宋" w:eastAsia="仿宋"/>
          <w:b/>
          <w:color w:val="auto"/>
          <w:sz w:val="28"/>
          <w:szCs w:val="28"/>
          <w:highlight w:val="none"/>
        </w:rPr>
        <w:t>2.</w:t>
      </w:r>
      <w:r>
        <w:rPr>
          <w:rFonts w:ascii="仿宋" w:hAnsi="仿宋" w:eastAsia="仿宋"/>
          <w:b/>
          <w:color w:val="auto"/>
          <w:sz w:val="28"/>
          <w:szCs w:val="28"/>
          <w:highlight w:val="none"/>
        </w:rPr>
        <w:t>招标文件</w:t>
      </w:r>
    </w:p>
    <w:p w14:paraId="0B81E005">
      <w:pPr>
        <w:spacing w:line="500" w:lineRule="exact"/>
        <w:ind w:firstLine="843" w:firstLineChars="30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616A1574">
      <w:pPr>
        <w:ind w:firstLine="840" w:firstLineChars="300"/>
        <w:jc w:val="center"/>
        <w:rPr>
          <w:rFonts w:ascii="方正小标宋简体" w:eastAsia="方正小标宋简体"/>
          <w:bCs/>
          <w:color w:val="auto"/>
          <w:sz w:val="32"/>
          <w:szCs w:val="32"/>
          <w:highlight w:val="none"/>
        </w:rPr>
      </w:pPr>
      <w:r>
        <w:rPr>
          <w:rFonts w:ascii="仿宋" w:hAnsi="仿宋" w:eastAsia="仿宋"/>
          <w:color w:val="auto"/>
          <w:sz w:val="28"/>
          <w:szCs w:val="28"/>
          <w:highlight w:val="none"/>
          <w:u w:val="single"/>
        </w:rPr>
        <w:br w:type="page"/>
      </w:r>
      <w:r>
        <w:rPr>
          <w:rFonts w:hint="eastAsia" w:ascii="方正小标宋简体" w:eastAsia="方正小标宋简体"/>
          <w:bCs/>
          <w:color w:val="auto"/>
          <w:sz w:val="32"/>
          <w:szCs w:val="32"/>
          <w:highlight w:val="none"/>
        </w:rPr>
        <w:t>第2章 投标须知</w:t>
      </w:r>
    </w:p>
    <w:p w14:paraId="752323D4">
      <w:pPr>
        <w:spacing w:line="500" w:lineRule="exact"/>
        <w:ind w:firstLine="548" w:firstLineChars="196"/>
        <w:rPr>
          <w:rFonts w:ascii="黑体" w:hAnsi="黑体" w:eastAsia="黑体"/>
          <w:color w:val="auto"/>
          <w:sz w:val="28"/>
          <w:szCs w:val="28"/>
          <w:highlight w:val="none"/>
        </w:rPr>
      </w:pPr>
      <w:r>
        <w:rPr>
          <w:rFonts w:hint="eastAsia" w:ascii="黑体" w:hAnsi="黑体" w:eastAsia="黑体"/>
          <w:color w:val="auto"/>
          <w:sz w:val="28"/>
          <w:szCs w:val="28"/>
          <w:highlight w:val="none"/>
        </w:rPr>
        <w:t>1. 投标费用</w:t>
      </w:r>
    </w:p>
    <w:p w14:paraId="5BB11A60">
      <w:pPr>
        <w:tabs>
          <w:tab w:val="left" w:pos="900"/>
        </w:tabs>
        <w:spacing w:afterLines="50"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1.1 投标人应自行承担所有与投标有关的费用。不论最终的中标结果如何，采购人或者代理机构在任何情况下均无义务和责任承担这些费用。</w:t>
      </w:r>
    </w:p>
    <w:p w14:paraId="784B1587">
      <w:pPr>
        <w:tabs>
          <w:tab w:val="left" w:pos="900"/>
        </w:tabs>
        <w:spacing w:afterLines="50"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2. 招标文件的约束力</w:t>
      </w:r>
    </w:p>
    <w:p w14:paraId="7663985D">
      <w:pPr>
        <w:tabs>
          <w:tab w:val="left" w:pos="900"/>
        </w:tabs>
        <w:spacing w:line="500" w:lineRule="exact"/>
        <w:ind w:left="120" w:leftChars="57" w:firstLine="557" w:firstLineChars="199"/>
        <w:rPr>
          <w:rFonts w:ascii="仿宋" w:hAnsi="仿宋" w:eastAsia="仿宋"/>
          <w:color w:val="auto"/>
          <w:sz w:val="28"/>
          <w:szCs w:val="28"/>
          <w:highlight w:val="none"/>
        </w:rPr>
      </w:pPr>
      <w:r>
        <w:rPr>
          <w:rFonts w:hint="eastAsia" w:ascii="仿宋" w:hAnsi="仿宋" w:eastAsia="仿宋"/>
          <w:color w:val="auto"/>
          <w:sz w:val="28"/>
          <w:szCs w:val="28"/>
          <w:highlight w:val="none"/>
        </w:rPr>
        <w:t>2.1 供应商一旦投标，即被认为接受了本招标文件的规定和约束。本招标文件包括公开招标公告、投标须知、采购需求、合同文本、评审标准和评审方法、投标文件组成、以及“苏采云”系统相关要求等部分组成。</w:t>
      </w:r>
    </w:p>
    <w:p w14:paraId="57B85443">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p>
    <w:p w14:paraId="0E0CF9F4">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p>
    <w:p w14:paraId="09234649">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p>
    <w:p w14:paraId="1782A061">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2.5 采购人或者采购代理机构在发布招标公告、资格预审公告或者发出投标邀请书后，除因重大变故采购任务取消情况外，不得擅自终止招标活动。</w:t>
      </w:r>
    </w:p>
    <w:p w14:paraId="6E457EA2">
      <w:pPr>
        <w:spacing w:line="500" w:lineRule="exact"/>
        <w:ind w:firstLine="560" w:firstLineChars="200"/>
        <w:rPr>
          <w:rFonts w:ascii="黑体" w:hAnsi="黑体" w:eastAsia="黑体"/>
          <w:color w:val="auto"/>
          <w:sz w:val="28"/>
          <w:szCs w:val="28"/>
          <w:highlight w:val="none"/>
        </w:rPr>
      </w:pPr>
      <w:bookmarkStart w:id="35" w:name="_Hlt26670345"/>
      <w:bookmarkEnd w:id="35"/>
      <w:bookmarkStart w:id="36" w:name="_Hlt26670348"/>
      <w:bookmarkEnd w:id="36"/>
      <w:bookmarkStart w:id="37" w:name="_Hlt26668969"/>
      <w:bookmarkEnd w:id="37"/>
      <w:bookmarkStart w:id="38" w:name="_Hlt26954832"/>
      <w:bookmarkEnd w:id="38"/>
      <w:bookmarkStart w:id="39" w:name="_Hlt26954828"/>
      <w:bookmarkEnd w:id="39"/>
      <w:bookmarkStart w:id="40" w:name="_Hlt26670354"/>
      <w:bookmarkEnd w:id="40"/>
      <w:bookmarkStart w:id="41" w:name="_Hlt26954830"/>
      <w:bookmarkEnd w:id="41"/>
      <w:r>
        <w:rPr>
          <w:rFonts w:hint="eastAsia" w:ascii="黑体" w:hAnsi="黑体" w:eastAsia="黑体"/>
          <w:color w:val="auto"/>
          <w:sz w:val="28"/>
          <w:szCs w:val="28"/>
          <w:highlight w:val="none"/>
        </w:rPr>
        <w:t>3.投标文件编制</w:t>
      </w:r>
    </w:p>
    <w:p w14:paraId="63419D8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auto"/>
          <w:sz w:val="28"/>
          <w:szCs w:val="28"/>
          <w:highlight w:val="none"/>
        </w:rPr>
        <w:t>。</w:t>
      </w:r>
    </w:p>
    <w:p w14:paraId="7A8AE86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除技术性能另有规定外，投标文件所使用的度量衡单位，均须采用国家法定计量单位</w:t>
      </w:r>
      <w:r>
        <w:rPr>
          <w:rFonts w:ascii="仿宋" w:hAnsi="仿宋" w:eastAsia="仿宋"/>
          <w:color w:val="auto"/>
          <w:sz w:val="28"/>
          <w:szCs w:val="28"/>
          <w:highlight w:val="none"/>
        </w:rPr>
        <w:t>。</w:t>
      </w:r>
    </w:p>
    <w:p w14:paraId="4CAF334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3.3 投标文件由开标一览表、资格审查文件、商务技术文件和报价文件等四部分组成，</w:t>
      </w:r>
      <w:r>
        <w:rPr>
          <w:rFonts w:hint="eastAsia" w:ascii="仿宋" w:hAnsi="仿宋" w:eastAsia="仿宋"/>
          <w:bCs/>
          <w:color w:val="auto"/>
          <w:sz w:val="28"/>
          <w:szCs w:val="28"/>
          <w:highlight w:val="none"/>
        </w:rPr>
        <w:t>具体按照“第6章 投标文件组成”要求编写</w:t>
      </w:r>
      <w:r>
        <w:rPr>
          <w:rFonts w:ascii="仿宋" w:hAnsi="仿宋" w:eastAsia="仿宋"/>
          <w:color w:val="auto"/>
          <w:sz w:val="28"/>
          <w:szCs w:val="28"/>
          <w:highlight w:val="none"/>
        </w:rPr>
        <w:t>。</w:t>
      </w:r>
    </w:p>
    <w:p w14:paraId="7B4EB9F4">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4. 投标文件提交、撤回和修改</w:t>
      </w:r>
    </w:p>
    <w:p w14:paraId="5D4C66B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77A1D99B">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供应商应当按照采购文件和“苏采云”系统的要求编制并加密投标文件。</w:t>
      </w:r>
    </w:p>
    <w:p w14:paraId="798B657D">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02AFA70B">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201B6C46">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供应商须通过“苏采云”系统提供的政府采购客户端工具（使用“CA数字证书”）加盖电子签章，并对电子投标文件加密。未按规定加密的投标文件，“苏采云”系统拒收并提示。</w:t>
      </w:r>
    </w:p>
    <w:p w14:paraId="61F231A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p>
    <w:p w14:paraId="06423C2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供应商可在投标文件提交截止时间前，撤回其电子投标文件，具体操作方法见《江苏省政府采购管理交易系统（苏采云）供应商操作指南》。供应商撤回电子投标文件的，则认为其不再参与本项目招标活动。</w:t>
      </w:r>
    </w:p>
    <w:p w14:paraId="5BCF537B">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4.8供应商可在投标文件提交截止时间前，对其电子投标文件进行修改。在投标文件提交截止时间之后，供应商不得对其电子投标文件作任何修改。</w:t>
      </w:r>
    </w:p>
    <w:p w14:paraId="56A5C5A9">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采购代理机构可以通过修改招标文件，酌情延长投标文件提交截止时间。</w:t>
      </w:r>
    </w:p>
    <w:p w14:paraId="3D340AD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4.10 投标文件的有效期：从提交投标文件截止日起90天。</w:t>
      </w:r>
    </w:p>
    <w:p w14:paraId="5C8227E8">
      <w:pPr>
        <w:tabs>
          <w:tab w:val="left" w:pos="900"/>
        </w:tabs>
        <w:spacing w:line="500" w:lineRule="exact"/>
        <w:ind w:firstLine="560" w:firstLineChars="200"/>
        <w:rPr>
          <w:rFonts w:ascii="仿宋" w:hAnsi="仿宋" w:eastAsia="仿宋"/>
          <w:color w:val="auto"/>
          <w:sz w:val="28"/>
          <w:szCs w:val="28"/>
          <w:highlight w:val="none"/>
        </w:rPr>
      </w:pPr>
      <w:r>
        <w:rPr>
          <w:rFonts w:hint="eastAsia" w:ascii="黑体" w:hAnsi="黑体" w:eastAsia="黑体"/>
          <w:color w:val="auto"/>
          <w:sz w:val="28"/>
          <w:szCs w:val="28"/>
          <w:highlight w:val="none"/>
        </w:rPr>
        <w:t>5. 开标和评标</w:t>
      </w:r>
    </w:p>
    <w:p w14:paraId="33509C0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 采购人或者采购代理机构将在公开招标公告中规定的时间和地点组织开标活动。</w:t>
      </w:r>
    </w:p>
    <w:p w14:paraId="706540C1">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5.2开标前，供应商使用CA数字证书登录“苏采云”系统，并根据开标会议区发出投标文件解密的指令，在30分钟之内使用CA数字证书解密各自投标文件。</w:t>
      </w:r>
    </w:p>
    <w:p w14:paraId="6F270852">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p>
    <w:p w14:paraId="78CC7EBA">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5.4因采购人原因或网上招投标平台发生故障，导致无法按时完成投标文件解密或评标工作无法进行的，可根据实际情况相应延迟解密时间或调整评标时间。</w:t>
      </w:r>
    </w:p>
    <w:p w14:paraId="2D9BABD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w:t>
      </w:r>
      <w:r>
        <w:rPr>
          <w:rFonts w:hint="eastAsia" w:ascii="仿宋" w:hAnsi="仿宋" w:eastAsia="仿宋"/>
          <w:bCs/>
          <w:color w:val="auto"/>
          <w:sz w:val="28"/>
          <w:szCs w:val="28"/>
          <w:highlight w:val="none"/>
        </w:rPr>
        <w:t>供应商在评标全过程中应保持通讯畅通，并安排专人与采购人或采购代理机构及评标委员会联系</w:t>
      </w:r>
      <w:r>
        <w:rPr>
          <w:rFonts w:ascii="仿宋" w:hAnsi="仿宋" w:eastAsia="仿宋"/>
          <w:color w:val="auto"/>
          <w:sz w:val="28"/>
          <w:szCs w:val="28"/>
          <w:highlight w:val="none"/>
        </w:rPr>
        <w:t>。</w:t>
      </w:r>
    </w:p>
    <w:p w14:paraId="235D40A8">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5.6 开标结束后，</w:t>
      </w:r>
      <w:r>
        <w:rPr>
          <w:rFonts w:ascii="仿宋" w:hAnsi="仿宋" w:eastAsia="仿宋"/>
          <w:bCs/>
          <w:color w:val="auto"/>
          <w:sz w:val="28"/>
          <w:szCs w:val="28"/>
          <w:highlight w:val="none"/>
        </w:rPr>
        <w:t>采购人或者采购代理机构依法对投标人的资格进行审查。合格投标人不足3家的，不得评标。</w:t>
      </w:r>
    </w:p>
    <w:p w14:paraId="7C2542C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w:t>
      </w:r>
      <w:r>
        <w:rPr>
          <w:rFonts w:ascii="仿宋" w:hAnsi="仿宋" w:eastAsia="仿宋"/>
          <w:color w:val="auto"/>
          <w:sz w:val="28"/>
          <w:szCs w:val="28"/>
          <w:highlight w:val="none"/>
        </w:rPr>
        <w:t>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color w:val="auto"/>
          <w:sz w:val="28"/>
          <w:szCs w:val="28"/>
          <w:highlight w:val="none"/>
        </w:rPr>
        <w:t>预算</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金额在1000万元以上</w:t>
      </w:r>
      <w:r>
        <w:rPr>
          <w:rFonts w:hint="eastAsia" w:ascii="仿宋" w:hAnsi="仿宋" w:eastAsia="仿宋"/>
          <w:color w:val="auto"/>
          <w:sz w:val="28"/>
          <w:szCs w:val="28"/>
          <w:highlight w:val="none"/>
        </w:rPr>
        <w:t>、</w:t>
      </w:r>
      <w:r>
        <w:rPr>
          <w:rFonts w:ascii="仿宋" w:hAnsi="仿宋" w:eastAsia="仿宋"/>
          <w:color w:val="auto"/>
          <w:sz w:val="28"/>
          <w:szCs w:val="28"/>
          <w:highlight w:val="none"/>
        </w:rPr>
        <w:t>技术复杂</w:t>
      </w:r>
      <w:r>
        <w:rPr>
          <w:rFonts w:hint="eastAsia" w:ascii="仿宋" w:hAnsi="仿宋" w:eastAsia="仿宋"/>
          <w:color w:val="auto"/>
          <w:sz w:val="28"/>
          <w:szCs w:val="28"/>
          <w:highlight w:val="none"/>
        </w:rPr>
        <w:t>或者</w:t>
      </w:r>
      <w:r>
        <w:rPr>
          <w:rFonts w:ascii="仿宋" w:hAnsi="仿宋" w:eastAsia="仿宋"/>
          <w:color w:val="auto"/>
          <w:sz w:val="28"/>
          <w:szCs w:val="28"/>
          <w:highlight w:val="none"/>
        </w:rPr>
        <w:t>社会影响较大的采购项目，评标委员会成员人数应当为7人以上单数</w:t>
      </w:r>
      <w:r>
        <w:rPr>
          <w:rFonts w:hint="eastAsia" w:ascii="仿宋" w:hAnsi="仿宋" w:eastAsia="仿宋"/>
          <w:color w:val="auto"/>
          <w:sz w:val="28"/>
          <w:szCs w:val="28"/>
          <w:highlight w:val="none"/>
        </w:rPr>
        <w:t>。</w:t>
      </w:r>
    </w:p>
    <w:p w14:paraId="2926BD0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ascii="仿宋" w:hAnsi="仿宋" w:eastAsia="仿宋"/>
          <w:color w:val="auto"/>
          <w:sz w:val="28"/>
          <w:szCs w:val="28"/>
          <w:highlight w:val="none"/>
        </w:rPr>
        <w:t>采购人或者采购代理机构应当从省级以上财政部门设立的政府采购评审专家库中，通过随机方式抽取评审专家。</w:t>
      </w:r>
    </w:p>
    <w:p w14:paraId="36A46A9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ascii="仿宋" w:hAnsi="仿宋" w:eastAsia="仿宋"/>
          <w:color w:val="auto"/>
          <w:sz w:val="28"/>
          <w:szCs w:val="28"/>
          <w:highlight w:val="none"/>
        </w:rPr>
        <w:t>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color w:val="auto"/>
          <w:sz w:val="28"/>
          <w:szCs w:val="28"/>
          <w:highlight w:val="none"/>
        </w:rPr>
        <w:t>预算单位</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同意，采购人可以自行选定相应专业领域的评审专家。</w:t>
      </w:r>
    </w:p>
    <w:p w14:paraId="6B2EB73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5.10 除了第5.9条规定的情形之外，</w:t>
      </w:r>
      <w:r>
        <w:rPr>
          <w:rFonts w:ascii="仿宋" w:hAnsi="仿宋" w:eastAsia="仿宋"/>
          <w:color w:val="auto"/>
          <w:sz w:val="28"/>
          <w:szCs w:val="28"/>
          <w:highlight w:val="none"/>
        </w:rPr>
        <w:t>评审专家对本单位的采购项目只能作为采购人代表参与评标。</w:t>
      </w:r>
    </w:p>
    <w:p w14:paraId="16FE396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5.11 评标委员会审查、评价投标文件是否符合招标文件的商务、技术等实质性要求；按照招标文件中规定的评标方法和标准，对符合性审查合格的投标文件进行商务和技术评估，综合比较与评价，确定中标候选人。</w:t>
      </w:r>
    </w:p>
    <w:p w14:paraId="488BDD7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5.12评标委员会评标时，可以通过视频会议，要求供应商对投标文件中含义不明确、同类问题表述不一致或者有明显文字和计算错误的内容等作出必要的澄清、说明或者更正。</w:t>
      </w:r>
    </w:p>
    <w:p w14:paraId="208A74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 </w:t>
      </w:r>
      <w:r>
        <w:rPr>
          <w:rFonts w:hint="eastAsia" w:ascii="仿宋" w:hAnsi="仿宋" w:eastAsia="仿宋"/>
          <w:bCs/>
          <w:color w:val="auto"/>
          <w:sz w:val="28"/>
          <w:szCs w:val="28"/>
          <w:highlight w:val="none"/>
        </w:rPr>
        <w:t>接到澄清要求的供应商，应在评标委员会规定的时间内做出澄清，澄清的内容作为投标文件的补充部分，</w:t>
      </w:r>
      <w:r>
        <w:rPr>
          <w:rFonts w:hint="eastAsia" w:ascii="仿宋" w:hAnsi="仿宋" w:eastAsia="仿宋"/>
          <w:color w:val="auto"/>
          <w:sz w:val="28"/>
          <w:szCs w:val="28"/>
          <w:highlight w:val="none"/>
        </w:rPr>
        <w:t>但澄清、说明或者更正不得超出投标文件的范围或者改变投标文件的实质性内容。</w:t>
      </w:r>
    </w:p>
    <w:p w14:paraId="37380B9A">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5.14出现下列情形之一的，评标委员会应当启动异常低价投标审查程序： </w:t>
      </w:r>
    </w:p>
    <w:p w14:paraId="425D4875">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5.14.1.投标报价低于全部通过符合性审查供应商投标报价平均值50%的，即投标报价&lt;全部通过符合性审查供应商投标报价平均值×50%；</w:t>
      </w:r>
    </w:p>
    <w:p w14:paraId="647FD8B5">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5.14.2.投标报价低于通过符合性审查的次低报价供应商投标报价50%的，即投标报价&lt;通过符合性审查的次低报价供应商投标报价×50%；</w:t>
      </w:r>
    </w:p>
    <w:p w14:paraId="13E57D17">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5.14.3.投标报价低于采购项目最高限价45%的，即投标报价&lt;采购项目最高限价×45%；</w:t>
      </w:r>
    </w:p>
    <w:p w14:paraId="25AE5CF5">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5.14.4.评标委员会基于专业判断，认为供应商报价过低，有可能影响产品质量或者不能诚信履约的其他情形。</w:t>
      </w:r>
    </w:p>
    <w:p w14:paraId="28FD55F7">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评标委员会应当要求相关供应商在评审现场不少于30分钟时间内对投标价格作出解释，提供项目具体成本测算等与报价合理性相关的书面说明及必要的证明材料，包括但不限于原材料成本、人工成本、制造费用等。</w:t>
      </w:r>
    </w:p>
    <w:p w14:paraId="2694BF49">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F2D074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5.15投标文件报价出现前后不一致的，除招标文件另有规定外，按照下列规定修正：</w:t>
      </w:r>
    </w:p>
    <w:p w14:paraId="6B264E2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5.15.1投标文件中开标一览表（报价表）内容与投标文件中相应内容不一致的，以开标一览表（报价表）为准；</w:t>
      </w:r>
    </w:p>
    <w:p w14:paraId="3630BD1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5.15.2大写金额和小写金额不一致的，以大写金额为准；</w:t>
      </w:r>
    </w:p>
    <w:p w14:paraId="5E6FC46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5.15.3单价金额小数点或者百分比有明显错位的，以开标一览表的总价为准，并修改单价；</w:t>
      </w:r>
    </w:p>
    <w:p w14:paraId="12F8CE9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5.15.4总价金额与按单价汇总金额不一致的，以单价金额计算结果为准。</w:t>
      </w:r>
    </w:p>
    <w:p w14:paraId="1D5745E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5.15.6同时出现两种以上不一致的，按照前款规定的顺序修正。修正后的报价经投标人确认后产生约束力，投标人不确认的，其投标无效。</w:t>
      </w:r>
    </w:p>
    <w:p w14:paraId="6EB00C1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B46585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p>
    <w:p w14:paraId="70023E2C">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5.18 评标结果汇总完成后，除了分值汇总计算错误、分项评分超出评分标准范围、评标委员会成员对客观评审因素评分不一致、或者经评标委员会认定评分畸高、畸低等情形之外，任何人不得修改评标结果。</w:t>
      </w:r>
    </w:p>
    <w:p w14:paraId="10354038">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 有下列情形之一的，视为投标人串通投标，其投标无效：</w:t>
      </w:r>
    </w:p>
    <w:p w14:paraId="3EDC2E08">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5.19.1不同投标人的投标文件由同一单位或者个人编制；</w:t>
      </w:r>
    </w:p>
    <w:p w14:paraId="58CB75E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5.19.2不同投标人的电子投标文件由同一台电子设备编制、打包、加密或者上传；</w:t>
      </w:r>
    </w:p>
    <w:p w14:paraId="2F657C1F">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5.19.3 不同投标人的投标文件由同一投标人的电子设备打印、复印；</w:t>
      </w:r>
    </w:p>
    <w:p w14:paraId="2704648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5.19.4不同投标人的投标报价用同一个预算编制软件密码锁制作或者出自同一投标人的电子文档；</w:t>
      </w:r>
    </w:p>
    <w:p w14:paraId="3F63F9BC">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5.19.5不同投标人从同一个投标单位或者同一个自然人的互联网协议地址下载招标文件、上传投标文件；</w:t>
      </w:r>
    </w:p>
    <w:p w14:paraId="7DB66FF2">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5.19.6 不同投标人的投标文件异常一致或者投标报价呈规律性差异；</w:t>
      </w:r>
    </w:p>
    <w:p w14:paraId="77205573">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5.19.7 不同投标人委托同一单位或者个人办理投标事宜；</w:t>
      </w:r>
    </w:p>
    <w:p w14:paraId="628CFD7D">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5.19.8不同投标人的投标文件载明的项目管理成员或者联系人员为同一人；</w:t>
      </w:r>
    </w:p>
    <w:p w14:paraId="1C41C53E">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5.19.9不同投标人的投标保证金虽然经由投标人自己的基本账户转出，但所需资金来自同一单位或者个人的账户。</w:t>
      </w:r>
    </w:p>
    <w:p w14:paraId="0C7B3BC3">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6. 中标和合同</w:t>
      </w:r>
    </w:p>
    <w:p w14:paraId="685CA5CA">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68C2F466">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6.2 采购人自行组织招标的，应当在评标结束后5个工作日内确定中标人。</w:t>
      </w:r>
    </w:p>
    <w:p w14:paraId="582E94E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6.3 采购人在收到评标报告5个工作日内未按评标报告推荐的中标候选人顺序确定中标人，又不能说明合法理由的，视同按评标报告推荐的顺序确定排名第一的中标候选人为中标人。</w:t>
      </w:r>
    </w:p>
    <w:p w14:paraId="2F3F31F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6.4 中标通知书发出后，采购人不得违法改变中标结果，中标人无正当理由不得放弃中标。</w:t>
      </w:r>
    </w:p>
    <w:p w14:paraId="09FED22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p>
    <w:p w14:paraId="03EF6AE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6.6 采购人与中标人应当根据合同的约定依法履行合同义务。政府采购合同的履行、违约责任和解决争议的方法等适用《中华人民共和国民法典》。</w:t>
      </w:r>
    </w:p>
    <w:p w14:paraId="649555BE">
      <w:pPr>
        <w:spacing w:line="500" w:lineRule="exact"/>
        <w:ind w:firstLine="560" w:firstLineChars="200"/>
        <w:rPr>
          <w:rFonts w:ascii="黑体" w:hAnsi="黑体" w:eastAsia="黑体"/>
          <w:bCs/>
          <w:color w:val="auto"/>
          <w:sz w:val="28"/>
          <w:szCs w:val="28"/>
          <w:highlight w:val="none"/>
        </w:rPr>
      </w:pPr>
      <w:r>
        <w:rPr>
          <w:rFonts w:hint="eastAsia" w:ascii="黑体" w:hAnsi="黑体" w:eastAsia="黑体"/>
          <w:bCs/>
          <w:color w:val="auto"/>
          <w:sz w:val="28"/>
          <w:szCs w:val="28"/>
          <w:highlight w:val="none"/>
        </w:rPr>
        <w:t>7.政府采购政策功能落实</w:t>
      </w:r>
    </w:p>
    <w:p w14:paraId="1F49E74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43C3B117">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5545A44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p>
    <w:p w14:paraId="16E9D97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040CB06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3295BED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7.1.4.1在货物采购项目中，货物由小微企业制造，即货物由小微企业生产且使用该小微企业商号或者注册商标；</w:t>
      </w:r>
    </w:p>
    <w:p w14:paraId="00D8E97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7.1.4.2在工程采购项目中，工程由小微企业承建，即工程施工单位为小微企业；</w:t>
      </w:r>
    </w:p>
    <w:p w14:paraId="0B5ABC0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7.1.4.3在服务采购项目中，服务由小微企业承接，即提供服务的人员为小微企业依照《中华人民共和国劳动合同法》订立劳动合同的从业人员。</w:t>
      </w:r>
    </w:p>
    <w:p w14:paraId="5999782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7.1.4.4以联合体形式参加政府采购活动，联合体各方均为小微企业的，联合体视同小微企业。</w:t>
      </w:r>
    </w:p>
    <w:p w14:paraId="2B0C7FC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1D9F42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328F299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7.1.6.1在货物采购项目中，供应商提供的货物既有中小企业制造货物，也有大型企业制造货物的。</w:t>
      </w:r>
    </w:p>
    <w:p w14:paraId="2E209BC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0666D6D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4ED9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954" w:type="dxa"/>
            <w:vAlign w:val="center"/>
          </w:tcPr>
          <w:p w14:paraId="2858A045">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vAlign w:val="center"/>
          </w:tcPr>
          <w:p w14:paraId="42785FFE">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vAlign w:val="center"/>
          </w:tcPr>
          <w:p w14:paraId="34A1266F">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122D2018">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vAlign w:val="center"/>
          </w:tcPr>
          <w:p w14:paraId="00E4D6D8">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vAlign w:val="center"/>
          </w:tcPr>
          <w:p w14:paraId="794F9052">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vAlign w:val="center"/>
          </w:tcPr>
          <w:p w14:paraId="369D0A34">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34A1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620E0AF4">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vAlign w:val="center"/>
          </w:tcPr>
          <w:p w14:paraId="3418213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808A96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2522AB5">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41785456">
            <w:pPr>
              <w:spacing w:line="500" w:lineRule="exact"/>
              <w:jc w:val="center"/>
              <w:rPr>
                <w:rFonts w:eastAsia="仿宋"/>
                <w:color w:val="auto"/>
                <w:highlight w:val="none"/>
              </w:rPr>
            </w:pPr>
            <w:r>
              <w:rPr>
                <w:rFonts w:eastAsia="仿宋"/>
                <w:color w:val="auto"/>
                <w:highlight w:val="none"/>
              </w:rPr>
              <w:t>50≤Y&lt;500</w:t>
            </w:r>
          </w:p>
        </w:tc>
        <w:tc>
          <w:tcPr>
            <w:tcW w:w="1036" w:type="dxa"/>
            <w:vAlign w:val="center"/>
          </w:tcPr>
          <w:p w14:paraId="227FEE20">
            <w:pPr>
              <w:spacing w:line="500" w:lineRule="exact"/>
              <w:jc w:val="center"/>
              <w:rPr>
                <w:rFonts w:eastAsia="仿宋"/>
                <w:color w:val="auto"/>
                <w:highlight w:val="none"/>
              </w:rPr>
            </w:pPr>
            <w:r>
              <w:rPr>
                <w:rFonts w:eastAsia="仿宋"/>
                <w:color w:val="auto"/>
                <w:highlight w:val="none"/>
              </w:rPr>
              <w:t>Y&lt;50</w:t>
            </w:r>
          </w:p>
        </w:tc>
      </w:tr>
      <w:tr w14:paraId="7B10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0D3C4FA">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vAlign w:val="center"/>
          </w:tcPr>
          <w:p w14:paraId="7E91EE38">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8BF2E3A">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228E7B3B">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1DF54B4F">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5C3EDEEB">
            <w:pPr>
              <w:spacing w:line="500" w:lineRule="exact"/>
              <w:jc w:val="center"/>
              <w:rPr>
                <w:rFonts w:eastAsia="仿宋"/>
                <w:color w:val="auto"/>
                <w:highlight w:val="none"/>
              </w:rPr>
            </w:pPr>
            <w:r>
              <w:rPr>
                <w:rFonts w:eastAsia="仿宋"/>
                <w:color w:val="auto"/>
                <w:highlight w:val="none"/>
              </w:rPr>
              <w:t>X&lt;20</w:t>
            </w:r>
          </w:p>
        </w:tc>
      </w:tr>
      <w:tr w14:paraId="48107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38C699D">
            <w:pPr>
              <w:spacing w:line="500" w:lineRule="exact"/>
              <w:jc w:val="center"/>
              <w:rPr>
                <w:rFonts w:ascii="仿宋" w:hAnsi="仿宋" w:eastAsia="仿宋"/>
                <w:color w:val="auto"/>
                <w:highlight w:val="none"/>
              </w:rPr>
            </w:pPr>
          </w:p>
        </w:tc>
        <w:tc>
          <w:tcPr>
            <w:tcW w:w="1447" w:type="dxa"/>
            <w:vAlign w:val="center"/>
          </w:tcPr>
          <w:p w14:paraId="4BC0A59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CA5AE1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02204CA">
            <w:pPr>
              <w:spacing w:line="500" w:lineRule="exact"/>
              <w:jc w:val="center"/>
              <w:rPr>
                <w:rFonts w:eastAsia="仿宋"/>
                <w:color w:val="auto"/>
                <w:highlight w:val="none"/>
              </w:rPr>
            </w:pPr>
            <w:r>
              <w:rPr>
                <w:rFonts w:eastAsia="仿宋"/>
                <w:color w:val="auto"/>
                <w:highlight w:val="none"/>
              </w:rPr>
              <w:t>2000≤Y&lt;40000</w:t>
            </w:r>
          </w:p>
        </w:tc>
        <w:tc>
          <w:tcPr>
            <w:tcW w:w="1572" w:type="dxa"/>
            <w:vAlign w:val="center"/>
          </w:tcPr>
          <w:p w14:paraId="4E3D55FC">
            <w:pPr>
              <w:spacing w:line="500" w:lineRule="exact"/>
              <w:jc w:val="center"/>
              <w:rPr>
                <w:rFonts w:eastAsia="仿宋"/>
                <w:color w:val="auto"/>
                <w:highlight w:val="none"/>
              </w:rPr>
            </w:pPr>
            <w:r>
              <w:rPr>
                <w:rFonts w:eastAsia="仿宋"/>
                <w:color w:val="auto"/>
                <w:highlight w:val="none"/>
              </w:rPr>
              <w:t>300≤Y&lt;2000</w:t>
            </w:r>
          </w:p>
        </w:tc>
        <w:tc>
          <w:tcPr>
            <w:tcW w:w="1036" w:type="dxa"/>
            <w:vAlign w:val="center"/>
          </w:tcPr>
          <w:p w14:paraId="23D6046B">
            <w:pPr>
              <w:spacing w:line="500" w:lineRule="exact"/>
              <w:jc w:val="center"/>
              <w:rPr>
                <w:rFonts w:eastAsia="仿宋"/>
                <w:color w:val="auto"/>
                <w:highlight w:val="none"/>
              </w:rPr>
            </w:pPr>
            <w:r>
              <w:rPr>
                <w:rFonts w:eastAsia="仿宋"/>
                <w:color w:val="auto"/>
                <w:highlight w:val="none"/>
              </w:rPr>
              <w:t>Y&lt;300</w:t>
            </w:r>
          </w:p>
        </w:tc>
      </w:tr>
      <w:tr w14:paraId="2F4C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0C8AA30">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vAlign w:val="center"/>
          </w:tcPr>
          <w:p w14:paraId="298C848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C49A13C">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C0582D5">
            <w:pPr>
              <w:spacing w:line="500" w:lineRule="exact"/>
              <w:jc w:val="center"/>
              <w:rPr>
                <w:rFonts w:eastAsia="仿宋"/>
                <w:color w:val="auto"/>
                <w:highlight w:val="none"/>
              </w:rPr>
            </w:pPr>
            <w:r>
              <w:rPr>
                <w:rFonts w:eastAsia="仿宋"/>
                <w:color w:val="auto"/>
                <w:highlight w:val="none"/>
              </w:rPr>
              <w:t>6000≤Y&lt;80000</w:t>
            </w:r>
          </w:p>
        </w:tc>
        <w:tc>
          <w:tcPr>
            <w:tcW w:w="1572" w:type="dxa"/>
            <w:vAlign w:val="center"/>
          </w:tcPr>
          <w:p w14:paraId="77E63C8D">
            <w:pPr>
              <w:spacing w:line="500" w:lineRule="exact"/>
              <w:jc w:val="center"/>
              <w:rPr>
                <w:rFonts w:eastAsia="仿宋"/>
                <w:color w:val="auto"/>
                <w:highlight w:val="none"/>
              </w:rPr>
            </w:pPr>
            <w:r>
              <w:rPr>
                <w:rFonts w:eastAsia="仿宋"/>
                <w:color w:val="auto"/>
                <w:highlight w:val="none"/>
              </w:rPr>
              <w:t>300≤Y&lt;6000</w:t>
            </w:r>
          </w:p>
        </w:tc>
        <w:tc>
          <w:tcPr>
            <w:tcW w:w="1036" w:type="dxa"/>
            <w:vAlign w:val="center"/>
          </w:tcPr>
          <w:p w14:paraId="7A8307A2">
            <w:pPr>
              <w:spacing w:line="500" w:lineRule="exact"/>
              <w:jc w:val="center"/>
              <w:rPr>
                <w:rFonts w:eastAsia="仿宋"/>
                <w:color w:val="auto"/>
                <w:highlight w:val="none"/>
              </w:rPr>
            </w:pPr>
            <w:r>
              <w:rPr>
                <w:rFonts w:eastAsia="仿宋"/>
                <w:color w:val="auto"/>
                <w:highlight w:val="none"/>
              </w:rPr>
              <w:t>Y&lt;300</w:t>
            </w:r>
          </w:p>
        </w:tc>
      </w:tr>
      <w:tr w14:paraId="7CBB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5069221">
            <w:pPr>
              <w:spacing w:line="500" w:lineRule="exact"/>
              <w:jc w:val="center"/>
              <w:rPr>
                <w:rFonts w:ascii="仿宋" w:hAnsi="仿宋" w:eastAsia="仿宋"/>
                <w:color w:val="auto"/>
                <w:highlight w:val="none"/>
              </w:rPr>
            </w:pPr>
          </w:p>
        </w:tc>
        <w:tc>
          <w:tcPr>
            <w:tcW w:w="1447" w:type="dxa"/>
            <w:vAlign w:val="center"/>
          </w:tcPr>
          <w:p w14:paraId="11F6174A">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3A9CC26C">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2163E782">
            <w:pPr>
              <w:spacing w:line="500" w:lineRule="exact"/>
              <w:jc w:val="center"/>
              <w:rPr>
                <w:rFonts w:eastAsia="仿宋"/>
                <w:color w:val="auto"/>
                <w:highlight w:val="none"/>
              </w:rPr>
            </w:pPr>
            <w:r>
              <w:rPr>
                <w:rFonts w:eastAsia="仿宋"/>
                <w:color w:val="auto"/>
                <w:highlight w:val="none"/>
              </w:rPr>
              <w:t>5000≤Z &lt;80000</w:t>
            </w:r>
          </w:p>
        </w:tc>
        <w:tc>
          <w:tcPr>
            <w:tcW w:w="1572" w:type="dxa"/>
            <w:vAlign w:val="center"/>
          </w:tcPr>
          <w:p w14:paraId="281526A8">
            <w:pPr>
              <w:spacing w:line="500" w:lineRule="exact"/>
              <w:jc w:val="center"/>
              <w:rPr>
                <w:rFonts w:eastAsia="仿宋"/>
                <w:color w:val="auto"/>
                <w:highlight w:val="none"/>
              </w:rPr>
            </w:pPr>
            <w:r>
              <w:rPr>
                <w:rFonts w:eastAsia="仿宋"/>
                <w:color w:val="auto"/>
                <w:highlight w:val="none"/>
              </w:rPr>
              <w:t>300≤Z &lt;5000</w:t>
            </w:r>
          </w:p>
        </w:tc>
        <w:tc>
          <w:tcPr>
            <w:tcW w:w="1036" w:type="dxa"/>
            <w:vAlign w:val="center"/>
          </w:tcPr>
          <w:p w14:paraId="1EFB89CC">
            <w:pPr>
              <w:spacing w:line="500" w:lineRule="exact"/>
              <w:jc w:val="center"/>
              <w:rPr>
                <w:rFonts w:eastAsia="仿宋"/>
                <w:color w:val="auto"/>
                <w:highlight w:val="none"/>
              </w:rPr>
            </w:pPr>
            <w:r>
              <w:rPr>
                <w:rFonts w:eastAsia="仿宋"/>
                <w:color w:val="auto"/>
                <w:highlight w:val="none"/>
              </w:rPr>
              <w:t>Z&lt;300</w:t>
            </w:r>
          </w:p>
        </w:tc>
      </w:tr>
      <w:tr w14:paraId="3D977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1BD0567">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vAlign w:val="center"/>
          </w:tcPr>
          <w:p w14:paraId="312C0C2A">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F922D4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35358E62">
            <w:pPr>
              <w:spacing w:line="500" w:lineRule="exact"/>
              <w:jc w:val="center"/>
              <w:rPr>
                <w:rFonts w:eastAsia="仿宋"/>
                <w:color w:val="auto"/>
                <w:highlight w:val="none"/>
              </w:rPr>
            </w:pPr>
            <w:r>
              <w:rPr>
                <w:rFonts w:eastAsia="仿宋"/>
                <w:color w:val="auto"/>
                <w:highlight w:val="none"/>
              </w:rPr>
              <w:t>20≤X&lt;200</w:t>
            </w:r>
          </w:p>
        </w:tc>
        <w:tc>
          <w:tcPr>
            <w:tcW w:w="1572" w:type="dxa"/>
            <w:vAlign w:val="center"/>
          </w:tcPr>
          <w:p w14:paraId="0CE4A9ED">
            <w:pPr>
              <w:spacing w:line="500" w:lineRule="exact"/>
              <w:jc w:val="center"/>
              <w:rPr>
                <w:rFonts w:eastAsia="仿宋"/>
                <w:color w:val="auto"/>
                <w:highlight w:val="none"/>
              </w:rPr>
            </w:pPr>
            <w:r>
              <w:rPr>
                <w:rFonts w:eastAsia="仿宋"/>
                <w:color w:val="auto"/>
                <w:highlight w:val="none"/>
              </w:rPr>
              <w:t>5≤X&lt;20</w:t>
            </w:r>
          </w:p>
        </w:tc>
        <w:tc>
          <w:tcPr>
            <w:tcW w:w="1036" w:type="dxa"/>
            <w:vAlign w:val="center"/>
          </w:tcPr>
          <w:p w14:paraId="7E15B912">
            <w:pPr>
              <w:spacing w:line="500" w:lineRule="exact"/>
              <w:jc w:val="center"/>
              <w:rPr>
                <w:rFonts w:eastAsia="仿宋"/>
                <w:color w:val="auto"/>
                <w:highlight w:val="none"/>
              </w:rPr>
            </w:pPr>
            <w:r>
              <w:rPr>
                <w:rFonts w:eastAsia="仿宋"/>
                <w:color w:val="auto"/>
                <w:highlight w:val="none"/>
              </w:rPr>
              <w:t>X&lt;5</w:t>
            </w:r>
          </w:p>
        </w:tc>
      </w:tr>
      <w:tr w14:paraId="44DB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6A2839B">
            <w:pPr>
              <w:spacing w:line="500" w:lineRule="exact"/>
              <w:jc w:val="center"/>
              <w:rPr>
                <w:rFonts w:ascii="仿宋" w:hAnsi="仿宋" w:eastAsia="仿宋"/>
                <w:color w:val="auto"/>
                <w:highlight w:val="none"/>
              </w:rPr>
            </w:pPr>
          </w:p>
        </w:tc>
        <w:tc>
          <w:tcPr>
            <w:tcW w:w="1447" w:type="dxa"/>
            <w:vAlign w:val="center"/>
          </w:tcPr>
          <w:p w14:paraId="30965929">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114C5E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949CF1A">
            <w:pPr>
              <w:spacing w:line="500" w:lineRule="exact"/>
              <w:jc w:val="center"/>
              <w:rPr>
                <w:rFonts w:eastAsia="仿宋"/>
                <w:color w:val="auto"/>
                <w:highlight w:val="none"/>
              </w:rPr>
            </w:pPr>
            <w:r>
              <w:rPr>
                <w:rFonts w:eastAsia="仿宋"/>
                <w:color w:val="auto"/>
                <w:highlight w:val="none"/>
              </w:rPr>
              <w:t>5000≤Y&lt;50000</w:t>
            </w:r>
          </w:p>
        </w:tc>
        <w:tc>
          <w:tcPr>
            <w:tcW w:w="1572" w:type="dxa"/>
            <w:vAlign w:val="center"/>
          </w:tcPr>
          <w:p w14:paraId="5E3574CF">
            <w:pPr>
              <w:spacing w:line="500" w:lineRule="exact"/>
              <w:jc w:val="center"/>
              <w:rPr>
                <w:rFonts w:eastAsia="仿宋"/>
                <w:color w:val="auto"/>
                <w:highlight w:val="none"/>
              </w:rPr>
            </w:pPr>
            <w:r>
              <w:rPr>
                <w:rFonts w:eastAsia="仿宋"/>
                <w:color w:val="auto"/>
                <w:highlight w:val="none"/>
              </w:rPr>
              <w:t>1000≤Y&lt;5000</w:t>
            </w:r>
          </w:p>
        </w:tc>
        <w:tc>
          <w:tcPr>
            <w:tcW w:w="1036" w:type="dxa"/>
            <w:vAlign w:val="center"/>
          </w:tcPr>
          <w:p w14:paraId="4EFCA6F8">
            <w:pPr>
              <w:spacing w:line="500" w:lineRule="exact"/>
              <w:jc w:val="center"/>
              <w:rPr>
                <w:rFonts w:eastAsia="仿宋"/>
                <w:color w:val="auto"/>
                <w:highlight w:val="none"/>
              </w:rPr>
            </w:pPr>
            <w:r>
              <w:rPr>
                <w:rFonts w:eastAsia="仿宋"/>
                <w:color w:val="auto"/>
                <w:highlight w:val="none"/>
              </w:rPr>
              <w:t>Y&lt;1000</w:t>
            </w:r>
          </w:p>
        </w:tc>
      </w:tr>
      <w:tr w14:paraId="601B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14855DF">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vAlign w:val="center"/>
          </w:tcPr>
          <w:p w14:paraId="2191F3C4">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3501B578">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5E8189CD">
            <w:pPr>
              <w:spacing w:line="500" w:lineRule="exact"/>
              <w:jc w:val="center"/>
              <w:rPr>
                <w:rFonts w:eastAsia="仿宋"/>
                <w:color w:val="auto"/>
                <w:highlight w:val="none"/>
              </w:rPr>
            </w:pPr>
            <w:r>
              <w:rPr>
                <w:rFonts w:eastAsia="仿宋"/>
                <w:color w:val="auto"/>
                <w:highlight w:val="none"/>
              </w:rPr>
              <w:t>50≤X&lt;300</w:t>
            </w:r>
          </w:p>
        </w:tc>
        <w:tc>
          <w:tcPr>
            <w:tcW w:w="1572" w:type="dxa"/>
            <w:vAlign w:val="center"/>
          </w:tcPr>
          <w:p w14:paraId="0E8CE725">
            <w:pPr>
              <w:spacing w:line="500" w:lineRule="exact"/>
              <w:jc w:val="center"/>
              <w:rPr>
                <w:rFonts w:eastAsia="仿宋"/>
                <w:color w:val="auto"/>
                <w:highlight w:val="none"/>
              </w:rPr>
            </w:pPr>
            <w:r>
              <w:rPr>
                <w:rFonts w:eastAsia="仿宋"/>
                <w:color w:val="auto"/>
                <w:highlight w:val="none"/>
              </w:rPr>
              <w:t>10≤X&lt;50</w:t>
            </w:r>
          </w:p>
        </w:tc>
        <w:tc>
          <w:tcPr>
            <w:tcW w:w="1036" w:type="dxa"/>
            <w:vAlign w:val="center"/>
          </w:tcPr>
          <w:p w14:paraId="29686AED">
            <w:pPr>
              <w:spacing w:line="500" w:lineRule="exact"/>
              <w:jc w:val="center"/>
              <w:rPr>
                <w:rFonts w:eastAsia="仿宋"/>
                <w:color w:val="auto"/>
                <w:highlight w:val="none"/>
              </w:rPr>
            </w:pPr>
            <w:r>
              <w:rPr>
                <w:rFonts w:eastAsia="仿宋"/>
                <w:color w:val="auto"/>
                <w:highlight w:val="none"/>
              </w:rPr>
              <w:t>X&lt;10</w:t>
            </w:r>
          </w:p>
        </w:tc>
      </w:tr>
      <w:tr w14:paraId="5AD8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2D4EE1C">
            <w:pPr>
              <w:spacing w:line="500" w:lineRule="exact"/>
              <w:jc w:val="center"/>
              <w:rPr>
                <w:rFonts w:ascii="仿宋" w:hAnsi="仿宋" w:eastAsia="仿宋"/>
                <w:color w:val="auto"/>
                <w:highlight w:val="none"/>
              </w:rPr>
            </w:pPr>
          </w:p>
        </w:tc>
        <w:tc>
          <w:tcPr>
            <w:tcW w:w="1447" w:type="dxa"/>
            <w:vAlign w:val="center"/>
          </w:tcPr>
          <w:p w14:paraId="73BF9E22">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9DC60CD">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89AD6EF">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7B1B1F4A">
            <w:pPr>
              <w:spacing w:line="500" w:lineRule="exact"/>
              <w:jc w:val="center"/>
              <w:rPr>
                <w:rFonts w:eastAsia="仿宋"/>
                <w:color w:val="auto"/>
                <w:highlight w:val="none"/>
              </w:rPr>
            </w:pPr>
            <w:r>
              <w:rPr>
                <w:rFonts w:eastAsia="仿宋"/>
                <w:color w:val="auto"/>
                <w:highlight w:val="none"/>
              </w:rPr>
              <w:t>100≤Y&lt;500</w:t>
            </w:r>
          </w:p>
        </w:tc>
        <w:tc>
          <w:tcPr>
            <w:tcW w:w="1036" w:type="dxa"/>
            <w:vAlign w:val="center"/>
          </w:tcPr>
          <w:p w14:paraId="17C08814">
            <w:pPr>
              <w:spacing w:line="500" w:lineRule="exact"/>
              <w:jc w:val="center"/>
              <w:rPr>
                <w:rFonts w:eastAsia="仿宋"/>
                <w:color w:val="auto"/>
                <w:highlight w:val="none"/>
              </w:rPr>
            </w:pPr>
            <w:r>
              <w:rPr>
                <w:rFonts w:eastAsia="仿宋"/>
                <w:color w:val="auto"/>
                <w:highlight w:val="none"/>
              </w:rPr>
              <w:t>Y&lt;100</w:t>
            </w:r>
          </w:p>
        </w:tc>
      </w:tr>
      <w:tr w14:paraId="5A5FB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4453835">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vAlign w:val="center"/>
          </w:tcPr>
          <w:p w14:paraId="549F9D5D">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7760F4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8118E37">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532798F7">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10DF4A52">
            <w:pPr>
              <w:spacing w:line="500" w:lineRule="exact"/>
              <w:jc w:val="center"/>
              <w:rPr>
                <w:rFonts w:eastAsia="仿宋"/>
                <w:color w:val="auto"/>
                <w:highlight w:val="none"/>
              </w:rPr>
            </w:pPr>
            <w:r>
              <w:rPr>
                <w:rFonts w:eastAsia="仿宋"/>
                <w:color w:val="auto"/>
                <w:highlight w:val="none"/>
              </w:rPr>
              <w:t>X&lt;20</w:t>
            </w:r>
          </w:p>
        </w:tc>
      </w:tr>
      <w:tr w14:paraId="330A5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FD418C2">
            <w:pPr>
              <w:spacing w:line="500" w:lineRule="exact"/>
              <w:jc w:val="center"/>
              <w:rPr>
                <w:rFonts w:ascii="仿宋" w:hAnsi="仿宋" w:eastAsia="仿宋"/>
                <w:color w:val="auto"/>
                <w:highlight w:val="none"/>
              </w:rPr>
            </w:pPr>
          </w:p>
        </w:tc>
        <w:tc>
          <w:tcPr>
            <w:tcW w:w="1447" w:type="dxa"/>
            <w:vAlign w:val="center"/>
          </w:tcPr>
          <w:p w14:paraId="2AD24A94">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6CFEFC8D">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7D3A5A81">
            <w:pPr>
              <w:spacing w:line="500" w:lineRule="exact"/>
              <w:jc w:val="center"/>
              <w:rPr>
                <w:rFonts w:eastAsia="仿宋"/>
                <w:color w:val="auto"/>
                <w:highlight w:val="none"/>
              </w:rPr>
            </w:pPr>
            <w:r>
              <w:rPr>
                <w:rFonts w:eastAsia="仿宋"/>
                <w:color w:val="auto"/>
                <w:highlight w:val="none"/>
              </w:rPr>
              <w:t>3000≤Y&lt;30000</w:t>
            </w:r>
          </w:p>
        </w:tc>
        <w:tc>
          <w:tcPr>
            <w:tcW w:w="1572" w:type="dxa"/>
            <w:vAlign w:val="center"/>
          </w:tcPr>
          <w:p w14:paraId="22C358E6">
            <w:pPr>
              <w:spacing w:line="500" w:lineRule="exact"/>
              <w:jc w:val="center"/>
              <w:rPr>
                <w:rFonts w:eastAsia="仿宋"/>
                <w:color w:val="auto"/>
                <w:highlight w:val="none"/>
              </w:rPr>
            </w:pPr>
            <w:r>
              <w:rPr>
                <w:rFonts w:eastAsia="仿宋"/>
                <w:color w:val="auto"/>
                <w:highlight w:val="none"/>
              </w:rPr>
              <w:t>200≤Y&lt;3000</w:t>
            </w:r>
          </w:p>
        </w:tc>
        <w:tc>
          <w:tcPr>
            <w:tcW w:w="1036" w:type="dxa"/>
            <w:vAlign w:val="center"/>
          </w:tcPr>
          <w:p w14:paraId="6CD4E9C9">
            <w:pPr>
              <w:spacing w:line="500" w:lineRule="exact"/>
              <w:jc w:val="center"/>
              <w:rPr>
                <w:rFonts w:eastAsia="仿宋"/>
                <w:color w:val="auto"/>
                <w:highlight w:val="none"/>
              </w:rPr>
            </w:pPr>
            <w:r>
              <w:rPr>
                <w:rFonts w:eastAsia="仿宋"/>
                <w:color w:val="auto"/>
                <w:highlight w:val="none"/>
              </w:rPr>
              <w:t>Y&lt;200</w:t>
            </w:r>
          </w:p>
        </w:tc>
      </w:tr>
      <w:tr w14:paraId="7E00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4DF8B8E">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vAlign w:val="center"/>
          </w:tcPr>
          <w:p w14:paraId="566EC88F">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2439375">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4C8D7F19">
            <w:pPr>
              <w:spacing w:line="500" w:lineRule="exact"/>
              <w:jc w:val="center"/>
              <w:rPr>
                <w:rFonts w:eastAsia="仿宋"/>
                <w:color w:val="auto"/>
                <w:highlight w:val="none"/>
              </w:rPr>
            </w:pPr>
            <w:r>
              <w:rPr>
                <w:rFonts w:eastAsia="仿宋"/>
                <w:color w:val="auto"/>
                <w:highlight w:val="none"/>
              </w:rPr>
              <w:t>100≤X&lt;200</w:t>
            </w:r>
          </w:p>
        </w:tc>
        <w:tc>
          <w:tcPr>
            <w:tcW w:w="1572" w:type="dxa"/>
            <w:vAlign w:val="center"/>
          </w:tcPr>
          <w:p w14:paraId="5B2F4337">
            <w:pPr>
              <w:spacing w:line="500" w:lineRule="exact"/>
              <w:jc w:val="center"/>
              <w:rPr>
                <w:rFonts w:eastAsia="仿宋"/>
                <w:color w:val="auto"/>
                <w:highlight w:val="none"/>
              </w:rPr>
            </w:pPr>
            <w:r>
              <w:rPr>
                <w:rFonts w:eastAsia="仿宋"/>
                <w:color w:val="auto"/>
                <w:highlight w:val="none"/>
              </w:rPr>
              <w:t>20≤X&lt;100</w:t>
            </w:r>
          </w:p>
        </w:tc>
        <w:tc>
          <w:tcPr>
            <w:tcW w:w="1036" w:type="dxa"/>
            <w:vAlign w:val="center"/>
          </w:tcPr>
          <w:p w14:paraId="12440038">
            <w:pPr>
              <w:spacing w:line="500" w:lineRule="exact"/>
              <w:jc w:val="center"/>
              <w:rPr>
                <w:rFonts w:eastAsia="仿宋"/>
                <w:color w:val="auto"/>
                <w:highlight w:val="none"/>
              </w:rPr>
            </w:pPr>
            <w:r>
              <w:rPr>
                <w:rFonts w:eastAsia="仿宋"/>
                <w:color w:val="auto"/>
                <w:highlight w:val="none"/>
              </w:rPr>
              <w:t>X&lt;20</w:t>
            </w:r>
          </w:p>
        </w:tc>
      </w:tr>
      <w:tr w14:paraId="074A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B7AA716">
            <w:pPr>
              <w:spacing w:line="500" w:lineRule="exact"/>
              <w:jc w:val="center"/>
              <w:rPr>
                <w:rFonts w:ascii="仿宋" w:hAnsi="仿宋" w:eastAsia="仿宋"/>
                <w:color w:val="auto"/>
                <w:highlight w:val="none"/>
              </w:rPr>
            </w:pPr>
          </w:p>
        </w:tc>
        <w:tc>
          <w:tcPr>
            <w:tcW w:w="1447" w:type="dxa"/>
            <w:vAlign w:val="center"/>
          </w:tcPr>
          <w:p w14:paraId="25CE33B1">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DDF701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AA03D52">
            <w:pPr>
              <w:spacing w:line="500" w:lineRule="exact"/>
              <w:jc w:val="center"/>
              <w:rPr>
                <w:rFonts w:eastAsia="仿宋"/>
                <w:color w:val="auto"/>
                <w:highlight w:val="none"/>
              </w:rPr>
            </w:pPr>
            <w:r>
              <w:rPr>
                <w:rFonts w:eastAsia="仿宋"/>
                <w:color w:val="auto"/>
                <w:highlight w:val="none"/>
              </w:rPr>
              <w:t>1000≤Y&lt;30000</w:t>
            </w:r>
          </w:p>
        </w:tc>
        <w:tc>
          <w:tcPr>
            <w:tcW w:w="1572" w:type="dxa"/>
            <w:vAlign w:val="center"/>
          </w:tcPr>
          <w:p w14:paraId="693DF6FC">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39BD4632">
            <w:pPr>
              <w:spacing w:line="500" w:lineRule="exact"/>
              <w:jc w:val="center"/>
              <w:rPr>
                <w:rFonts w:eastAsia="仿宋"/>
                <w:color w:val="auto"/>
                <w:highlight w:val="none"/>
              </w:rPr>
            </w:pPr>
            <w:r>
              <w:rPr>
                <w:rFonts w:eastAsia="仿宋"/>
                <w:color w:val="auto"/>
                <w:highlight w:val="none"/>
              </w:rPr>
              <w:t>Y&lt;100</w:t>
            </w:r>
          </w:p>
        </w:tc>
      </w:tr>
      <w:tr w14:paraId="2BD8A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3816E0F">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vAlign w:val="center"/>
          </w:tcPr>
          <w:p w14:paraId="547C0E39">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A7BA62B">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2B1594E3">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60AF019A">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0CBA5D91">
            <w:pPr>
              <w:spacing w:line="500" w:lineRule="exact"/>
              <w:jc w:val="center"/>
              <w:rPr>
                <w:rFonts w:eastAsia="仿宋"/>
                <w:color w:val="auto"/>
                <w:highlight w:val="none"/>
              </w:rPr>
            </w:pPr>
            <w:r>
              <w:rPr>
                <w:rFonts w:eastAsia="仿宋"/>
                <w:color w:val="auto"/>
                <w:highlight w:val="none"/>
              </w:rPr>
              <w:t>X&lt;20</w:t>
            </w:r>
          </w:p>
        </w:tc>
      </w:tr>
      <w:tr w14:paraId="3C75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6EC7F81">
            <w:pPr>
              <w:spacing w:line="500" w:lineRule="exact"/>
              <w:jc w:val="center"/>
              <w:rPr>
                <w:rFonts w:ascii="仿宋" w:hAnsi="仿宋" w:eastAsia="仿宋"/>
                <w:color w:val="auto"/>
                <w:highlight w:val="none"/>
              </w:rPr>
            </w:pPr>
          </w:p>
        </w:tc>
        <w:tc>
          <w:tcPr>
            <w:tcW w:w="1447" w:type="dxa"/>
            <w:vAlign w:val="center"/>
          </w:tcPr>
          <w:p w14:paraId="5732BE6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FE87C0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20FE9688">
            <w:pPr>
              <w:spacing w:line="500" w:lineRule="exact"/>
              <w:jc w:val="center"/>
              <w:rPr>
                <w:rFonts w:eastAsia="仿宋"/>
                <w:color w:val="auto"/>
                <w:highlight w:val="none"/>
              </w:rPr>
            </w:pPr>
            <w:r>
              <w:rPr>
                <w:rFonts w:eastAsia="仿宋"/>
                <w:color w:val="auto"/>
                <w:highlight w:val="none"/>
              </w:rPr>
              <w:t>2000≤Y&lt;30000</w:t>
            </w:r>
          </w:p>
        </w:tc>
        <w:tc>
          <w:tcPr>
            <w:tcW w:w="1572" w:type="dxa"/>
            <w:vAlign w:val="center"/>
          </w:tcPr>
          <w:p w14:paraId="6AC802D0">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0705FE5A">
            <w:pPr>
              <w:spacing w:line="500" w:lineRule="exact"/>
              <w:jc w:val="center"/>
              <w:rPr>
                <w:rFonts w:eastAsia="仿宋"/>
                <w:color w:val="auto"/>
                <w:highlight w:val="none"/>
              </w:rPr>
            </w:pPr>
            <w:r>
              <w:rPr>
                <w:rFonts w:eastAsia="仿宋"/>
                <w:color w:val="auto"/>
                <w:highlight w:val="none"/>
              </w:rPr>
              <w:t>Y&lt;100</w:t>
            </w:r>
          </w:p>
        </w:tc>
      </w:tr>
      <w:tr w14:paraId="33E31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67FF559">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vAlign w:val="center"/>
          </w:tcPr>
          <w:p w14:paraId="4FA98CA5">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0B83463">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60FECC5">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54387D50">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1D7ADA18">
            <w:pPr>
              <w:spacing w:line="500" w:lineRule="exact"/>
              <w:jc w:val="center"/>
              <w:rPr>
                <w:rFonts w:eastAsia="仿宋"/>
                <w:color w:val="auto"/>
                <w:highlight w:val="none"/>
              </w:rPr>
            </w:pPr>
            <w:r>
              <w:rPr>
                <w:rFonts w:eastAsia="仿宋"/>
                <w:color w:val="auto"/>
                <w:highlight w:val="none"/>
              </w:rPr>
              <w:t>X&lt;10</w:t>
            </w:r>
          </w:p>
        </w:tc>
      </w:tr>
      <w:tr w14:paraId="357C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387BBF6">
            <w:pPr>
              <w:spacing w:line="500" w:lineRule="exact"/>
              <w:jc w:val="center"/>
              <w:rPr>
                <w:rFonts w:ascii="仿宋" w:hAnsi="仿宋" w:eastAsia="仿宋"/>
                <w:color w:val="auto"/>
                <w:highlight w:val="none"/>
              </w:rPr>
            </w:pPr>
          </w:p>
        </w:tc>
        <w:tc>
          <w:tcPr>
            <w:tcW w:w="1447" w:type="dxa"/>
            <w:vAlign w:val="center"/>
          </w:tcPr>
          <w:p w14:paraId="2AC51A8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F469A8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51DA033">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634BBDB8">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4C9B3496">
            <w:pPr>
              <w:spacing w:line="500" w:lineRule="exact"/>
              <w:jc w:val="center"/>
              <w:rPr>
                <w:rFonts w:eastAsia="仿宋"/>
                <w:color w:val="auto"/>
                <w:highlight w:val="none"/>
              </w:rPr>
            </w:pPr>
            <w:r>
              <w:rPr>
                <w:rFonts w:eastAsia="仿宋"/>
                <w:color w:val="auto"/>
                <w:highlight w:val="none"/>
              </w:rPr>
              <w:t>Y&lt;100</w:t>
            </w:r>
          </w:p>
        </w:tc>
      </w:tr>
      <w:tr w14:paraId="6135E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3549D5B">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vAlign w:val="center"/>
          </w:tcPr>
          <w:p w14:paraId="0F7E710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F4BA9D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A74988F">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02576879">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35AEE9F5">
            <w:pPr>
              <w:spacing w:line="500" w:lineRule="exact"/>
              <w:jc w:val="center"/>
              <w:rPr>
                <w:rFonts w:eastAsia="仿宋"/>
                <w:color w:val="auto"/>
                <w:highlight w:val="none"/>
              </w:rPr>
            </w:pPr>
            <w:r>
              <w:rPr>
                <w:rFonts w:eastAsia="仿宋"/>
                <w:color w:val="auto"/>
                <w:highlight w:val="none"/>
              </w:rPr>
              <w:t>X&lt;10</w:t>
            </w:r>
          </w:p>
        </w:tc>
      </w:tr>
      <w:tr w14:paraId="1952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73DA06B">
            <w:pPr>
              <w:spacing w:line="500" w:lineRule="exact"/>
              <w:jc w:val="center"/>
              <w:rPr>
                <w:rFonts w:ascii="仿宋" w:hAnsi="仿宋" w:eastAsia="仿宋"/>
                <w:color w:val="auto"/>
                <w:highlight w:val="none"/>
              </w:rPr>
            </w:pPr>
          </w:p>
        </w:tc>
        <w:tc>
          <w:tcPr>
            <w:tcW w:w="1447" w:type="dxa"/>
            <w:vAlign w:val="center"/>
          </w:tcPr>
          <w:p w14:paraId="11A51A9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8AB52C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EF879F5">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13C64D10">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79D74B9D">
            <w:pPr>
              <w:spacing w:line="500" w:lineRule="exact"/>
              <w:jc w:val="center"/>
              <w:rPr>
                <w:rFonts w:eastAsia="仿宋"/>
                <w:color w:val="auto"/>
                <w:highlight w:val="none"/>
              </w:rPr>
            </w:pPr>
            <w:r>
              <w:rPr>
                <w:rFonts w:eastAsia="仿宋"/>
                <w:color w:val="auto"/>
                <w:highlight w:val="none"/>
              </w:rPr>
              <w:t>Y&lt;100</w:t>
            </w:r>
          </w:p>
        </w:tc>
      </w:tr>
      <w:tr w14:paraId="06213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7ED5803">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vAlign w:val="center"/>
          </w:tcPr>
          <w:p w14:paraId="6DDE171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C03A88E">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438B6865">
            <w:pPr>
              <w:spacing w:line="500" w:lineRule="exact"/>
              <w:jc w:val="center"/>
              <w:rPr>
                <w:rFonts w:eastAsia="仿宋"/>
                <w:color w:val="auto"/>
                <w:highlight w:val="none"/>
              </w:rPr>
            </w:pPr>
            <w:r>
              <w:rPr>
                <w:rFonts w:eastAsia="仿宋"/>
                <w:color w:val="auto"/>
                <w:highlight w:val="none"/>
              </w:rPr>
              <w:t>100≤X&lt;2000</w:t>
            </w:r>
          </w:p>
        </w:tc>
        <w:tc>
          <w:tcPr>
            <w:tcW w:w="1572" w:type="dxa"/>
            <w:vAlign w:val="center"/>
          </w:tcPr>
          <w:p w14:paraId="6A1F2B5A">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FE53C47">
            <w:pPr>
              <w:spacing w:line="500" w:lineRule="exact"/>
              <w:jc w:val="center"/>
              <w:rPr>
                <w:rFonts w:eastAsia="仿宋"/>
                <w:color w:val="auto"/>
                <w:highlight w:val="none"/>
              </w:rPr>
            </w:pPr>
            <w:r>
              <w:rPr>
                <w:rFonts w:eastAsia="仿宋"/>
                <w:color w:val="auto"/>
                <w:highlight w:val="none"/>
              </w:rPr>
              <w:t>X&lt;10</w:t>
            </w:r>
          </w:p>
        </w:tc>
      </w:tr>
      <w:tr w14:paraId="0439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0EB3C01">
            <w:pPr>
              <w:spacing w:line="500" w:lineRule="exact"/>
              <w:jc w:val="center"/>
              <w:rPr>
                <w:rFonts w:ascii="仿宋" w:hAnsi="仿宋" w:eastAsia="仿宋"/>
                <w:color w:val="auto"/>
                <w:highlight w:val="none"/>
              </w:rPr>
            </w:pPr>
          </w:p>
        </w:tc>
        <w:tc>
          <w:tcPr>
            <w:tcW w:w="1447" w:type="dxa"/>
            <w:vAlign w:val="center"/>
          </w:tcPr>
          <w:p w14:paraId="4BF3ED6A">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682F784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9430F75">
            <w:pPr>
              <w:spacing w:line="500" w:lineRule="exact"/>
              <w:jc w:val="center"/>
              <w:rPr>
                <w:rFonts w:eastAsia="仿宋"/>
                <w:color w:val="auto"/>
                <w:highlight w:val="none"/>
              </w:rPr>
            </w:pPr>
            <w:r>
              <w:rPr>
                <w:rFonts w:eastAsia="仿宋"/>
                <w:color w:val="auto"/>
                <w:highlight w:val="none"/>
              </w:rPr>
              <w:t>1000≤Y&lt;100000</w:t>
            </w:r>
          </w:p>
        </w:tc>
        <w:tc>
          <w:tcPr>
            <w:tcW w:w="1572" w:type="dxa"/>
            <w:vAlign w:val="center"/>
          </w:tcPr>
          <w:p w14:paraId="4C1D5398">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2F7A0511">
            <w:pPr>
              <w:spacing w:line="500" w:lineRule="exact"/>
              <w:jc w:val="center"/>
              <w:rPr>
                <w:rFonts w:eastAsia="仿宋"/>
                <w:color w:val="auto"/>
                <w:highlight w:val="none"/>
              </w:rPr>
            </w:pPr>
            <w:r>
              <w:rPr>
                <w:rFonts w:eastAsia="仿宋"/>
                <w:color w:val="auto"/>
                <w:highlight w:val="none"/>
              </w:rPr>
              <w:t>Y&lt;100</w:t>
            </w:r>
          </w:p>
        </w:tc>
      </w:tr>
      <w:tr w14:paraId="29E3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731F883">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vAlign w:val="center"/>
          </w:tcPr>
          <w:p w14:paraId="0A9EAD07">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63FD55F">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6476934">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7FCBD891">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032D27A1">
            <w:pPr>
              <w:spacing w:line="500" w:lineRule="exact"/>
              <w:jc w:val="center"/>
              <w:rPr>
                <w:rFonts w:eastAsia="仿宋"/>
                <w:color w:val="auto"/>
                <w:highlight w:val="none"/>
              </w:rPr>
            </w:pPr>
            <w:r>
              <w:rPr>
                <w:rFonts w:eastAsia="仿宋"/>
                <w:color w:val="auto"/>
                <w:highlight w:val="none"/>
              </w:rPr>
              <w:t>X&lt;10</w:t>
            </w:r>
          </w:p>
        </w:tc>
      </w:tr>
      <w:tr w14:paraId="551AD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35AD8B2">
            <w:pPr>
              <w:spacing w:line="500" w:lineRule="exact"/>
              <w:jc w:val="center"/>
              <w:rPr>
                <w:rFonts w:ascii="仿宋" w:hAnsi="仿宋" w:eastAsia="仿宋"/>
                <w:color w:val="auto"/>
                <w:highlight w:val="none"/>
              </w:rPr>
            </w:pPr>
          </w:p>
        </w:tc>
        <w:tc>
          <w:tcPr>
            <w:tcW w:w="1447" w:type="dxa"/>
            <w:vAlign w:val="center"/>
          </w:tcPr>
          <w:p w14:paraId="146E959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542EA2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DC6E6E6">
            <w:pPr>
              <w:spacing w:line="500" w:lineRule="exact"/>
              <w:jc w:val="center"/>
              <w:rPr>
                <w:rFonts w:eastAsia="仿宋"/>
                <w:color w:val="auto"/>
                <w:highlight w:val="none"/>
              </w:rPr>
            </w:pPr>
            <w:r>
              <w:rPr>
                <w:rFonts w:eastAsia="仿宋"/>
                <w:color w:val="auto"/>
                <w:highlight w:val="none"/>
              </w:rPr>
              <w:t>1000≤Y&lt;10000</w:t>
            </w:r>
          </w:p>
        </w:tc>
        <w:tc>
          <w:tcPr>
            <w:tcW w:w="1572" w:type="dxa"/>
            <w:vAlign w:val="center"/>
          </w:tcPr>
          <w:p w14:paraId="65B4F400">
            <w:pPr>
              <w:spacing w:line="500" w:lineRule="exact"/>
              <w:jc w:val="center"/>
              <w:rPr>
                <w:rFonts w:eastAsia="仿宋"/>
                <w:color w:val="auto"/>
                <w:highlight w:val="none"/>
              </w:rPr>
            </w:pPr>
            <w:r>
              <w:rPr>
                <w:rFonts w:eastAsia="仿宋"/>
                <w:color w:val="auto"/>
                <w:highlight w:val="none"/>
              </w:rPr>
              <w:t>50≤Y&lt;1000</w:t>
            </w:r>
          </w:p>
        </w:tc>
        <w:tc>
          <w:tcPr>
            <w:tcW w:w="1036" w:type="dxa"/>
            <w:vAlign w:val="center"/>
          </w:tcPr>
          <w:p w14:paraId="050B755F">
            <w:pPr>
              <w:spacing w:line="500" w:lineRule="exact"/>
              <w:jc w:val="center"/>
              <w:rPr>
                <w:rFonts w:eastAsia="仿宋"/>
                <w:color w:val="auto"/>
                <w:highlight w:val="none"/>
              </w:rPr>
            </w:pPr>
            <w:r>
              <w:rPr>
                <w:rFonts w:eastAsia="仿宋"/>
                <w:color w:val="auto"/>
                <w:highlight w:val="none"/>
              </w:rPr>
              <w:t>Y&lt;50</w:t>
            </w:r>
          </w:p>
        </w:tc>
      </w:tr>
      <w:tr w14:paraId="14C17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AFDC74A">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vAlign w:val="center"/>
          </w:tcPr>
          <w:p w14:paraId="4C5FEF20">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FC903F1">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EBDAA70">
            <w:pPr>
              <w:spacing w:line="500" w:lineRule="exact"/>
              <w:jc w:val="center"/>
              <w:rPr>
                <w:rFonts w:eastAsia="仿宋"/>
                <w:color w:val="auto"/>
                <w:highlight w:val="none"/>
              </w:rPr>
            </w:pPr>
            <w:r>
              <w:rPr>
                <w:rFonts w:eastAsia="仿宋"/>
                <w:color w:val="auto"/>
                <w:highlight w:val="none"/>
              </w:rPr>
              <w:t>1000≤Y&lt;200000</w:t>
            </w:r>
          </w:p>
        </w:tc>
        <w:tc>
          <w:tcPr>
            <w:tcW w:w="1572" w:type="dxa"/>
            <w:vAlign w:val="center"/>
          </w:tcPr>
          <w:p w14:paraId="4C21EE6F">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7033B0DF">
            <w:pPr>
              <w:spacing w:line="500" w:lineRule="exact"/>
              <w:jc w:val="center"/>
              <w:rPr>
                <w:rFonts w:eastAsia="仿宋"/>
                <w:color w:val="auto"/>
                <w:highlight w:val="none"/>
              </w:rPr>
            </w:pPr>
            <w:r>
              <w:rPr>
                <w:rFonts w:eastAsia="仿宋"/>
                <w:color w:val="auto"/>
                <w:highlight w:val="none"/>
              </w:rPr>
              <w:t>Y&lt;100</w:t>
            </w:r>
          </w:p>
        </w:tc>
      </w:tr>
      <w:tr w14:paraId="40EB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B60E6B5">
            <w:pPr>
              <w:spacing w:line="500" w:lineRule="exact"/>
              <w:jc w:val="center"/>
              <w:rPr>
                <w:rFonts w:ascii="仿宋" w:hAnsi="仿宋" w:eastAsia="仿宋"/>
                <w:color w:val="auto"/>
                <w:highlight w:val="none"/>
              </w:rPr>
            </w:pPr>
          </w:p>
        </w:tc>
        <w:tc>
          <w:tcPr>
            <w:tcW w:w="1447" w:type="dxa"/>
            <w:vAlign w:val="center"/>
          </w:tcPr>
          <w:p w14:paraId="6FA8A20C">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182BA3D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0677989">
            <w:pPr>
              <w:spacing w:line="500" w:lineRule="exact"/>
              <w:jc w:val="center"/>
              <w:rPr>
                <w:rFonts w:eastAsia="仿宋"/>
                <w:color w:val="auto"/>
                <w:highlight w:val="none"/>
              </w:rPr>
            </w:pPr>
            <w:r>
              <w:rPr>
                <w:rFonts w:eastAsia="仿宋"/>
                <w:color w:val="auto"/>
                <w:highlight w:val="none"/>
              </w:rPr>
              <w:t>5000≤Z &lt;10000</w:t>
            </w:r>
          </w:p>
        </w:tc>
        <w:tc>
          <w:tcPr>
            <w:tcW w:w="1572" w:type="dxa"/>
            <w:vAlign w:val="center"/>
          </w:tcPr>
          <w:p w14:paraId="3899BE87">
            <w:pPr>
              <w:spacing w:line="500" w:lineRule="exact"/>
              <w:jc w:val="center"/>
              <w:rPr>
                <w:rFonts w:eastAsia="仿宋"/>
                <w:color w:val="auto"/>
                <w:highlight w:val="none"/>
              </w:rPr>
            </w:pPr>
            <w:r>
              <w:rPr>
                <w:rFonts w:eastAsia="仿宋"/>
                <w:color w:val="auto"/>
                <w:highlight w:val="none"/>
              </w:rPr>
              <w:t>2000≤Z &lt;5000</w:t>
            </w:r>
          </w:p>
        </w:tc>
        <w:tc>
          <w:tcPr>
            <w:tcW w:w="1036" w:type="dxa"/>
            <w:vAlign w:val="center"/>
          </w:tcPr>
          <w:p w14:paraId="3BDB9351">
            <w:pPr>
              <w:spacing w:line="500" w:lineRule="exact"/>
              <w:jc w:val="center"/>
              <w:rPr>
                <w:rFonts w:eastAsia="仿宋"/>
                <w:color w:val="auto"/>
                <w:highlight w:val="none"/>
              </w:rPr>
            </w:pPr>
            <w:r>
              <w:rPr>
                <w:rFonts w:eastAsia="仿宋"/>
                <w:color w:val="auto"/>
                <w:highlight w:val="none"/>
              </w:rPr>
              <w:t>Z&lt;2000</w:t>
            </w:r>
          </w:p>
        </w:tc>
      </w:tr>
      <w:tr w14:paraId="6341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7DE7997">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vAlign w:val="center"/>
          </w:tcPr>
          <w:p w14:paraId="697BEFBB">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0217EB9">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4BE7F19A">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69F70249">
            <w:pPr>
              <w:spacing w:line="500" w:lineRule="exact"/>
              <w:jc w:val="center"/>
              <w:rPr>
                <w:rFonts w:eastAsia="仿宋"/>
                <w:color w:val="auto"/>
                <w:highlight w:val="none"/>
              </w:rPr>
            </w:pPr>
            <w:r>
              <w:rPr>
                <w:rFonts w:eastAsia="仿宋"/>
                <w:color w:val="auto"/>
                <w:highlight w:val="none"/>
              </w:rPr>
              <w:t>100≤X&lt;300</w:t>
            </w:r>
          </w:p>
        </w:tc>
        <w:tc>
          <w:tcPr>
            <w:tcW w:w="1036" w:type="dxa"/>
            <w:vAlign w:val="center"/>
          </w:tcPr>
          <w:p w14:paraId="323C6C96">
            <w:pPr>
              <w:spacing w:line="500" w:lineRule="exact"/>
              <w:jc w:val="center"/>
              <w:rPr>
                <w:rFonts w:eastAsia="仿宋"/>
                <w:color w:val="auto"/>
                <w:highlight w:val="none"/>
              </w:rPr>
            </w:pPr>
            <w:r>
              <w:rPr>
                <w:rFonts w:eastAsia="仿宋"/>
                <w:color w:val="auto"/>
                <w:highlight w:val="none"/>
              </w:rPr>
              <w:t>X&lt;100</w:t>
            </w:r>
          </w:p>
        </w:tc>
      </w:tr>
      <w:tr w14:paraId="7D4A0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43A4132">
            <w:pPr>
              <w:spacing w:line="500" w:lineRule="exact"/>
              <w:jc w:val="center"/>
              <w:rPr>
                <w:rFonts w:ascii="仿宋" w:hAnsi="仿宋" w:eastAsia="仿宋"/>
                <w:color w:val="auto"/>
                <w:highlight w:val="none"/>
              </w:rPr>
            </w:pPr>
          </w:p>
        </w:tc>
        <w:tc>
          <w:tcPr>
            <w:tcW w:w="1447" w:type="dxa"/>
            <w:vAlign w:val="center"/>
          </w:tcPr>
          <w:p w14:paraId="7855249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BA2F98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925C927">
            <w:pPr>
              <w:spacing w:line="500" w:lineRule="exact"/>
              <w:jc w:val="center"/>
              <w:rPr>
                <w:rFonts w:eastAsia="仿宋"/>
                <w:color w:val="auto"/>
                <w:highlight w:val="none"/>
              </w:rPr>
            </w:pPr>
            <w:r>
              <w:rPr>
                <w:rFonts w:eastAsia="仿宋"/>
                <w:color w:val="auto"/>
                <w:highlight w:val="none"/>
              </w:rPr>
              <w:t>1000≤Y&lt;5000</w:t>
            </w:r>
          </w:p>
        </w:tc>
        <w:tc>
          <w:tcPr>
            <w:tcW w:w="1572" w:type="dxa"/>
            <w:vAlign w:val="center"/>
          </w:tcPr>
          <w:p w14:paraId="57C34BE4">
            <w:pPr>
              <w:spacing w:line="500" w:lineRule="exact"/>
              <w:jc w:val="center"/>
              <w:rPr>
                <w:rFonts w:eastAsia="仿宋"/>
                <w:color w:val="auto"/>
                <w:highlight w:val="none"/>
              </w:rPr>
            </w:pPr>
            <w:r>
              <w:rPr>
                <w:rFonts w:eastAsia="仿宋"/>
                <w:color w:val="auto"/>
                <w:highlight w:val="none"/>
              </w:rPr>
              <w:t>500≤Y&lt;1000</w:t>
            </w:r>
          </w:p>
        </w:tc>
        <w:tc>
          <w:tcPr>
            <w:tcW w:w="1036" w:type="dxa"/>
            <w:vAlign w:val="center"/>
          </w:tcPr>
          <w:p w14:paraId="78936B4B">
            <w:pPr>
              <w:spacing w:line="500" w:lineRule="exact"/>
              <w:jc w:val="center"/>
              <w:rPr>
                <w:rFonts w:eastAsia="仿宋"/>
                <w:color w:val="auto"/>
                <w:highlight w:val="none"/>
              </w:rPr>
            </w:pPr>
            <w:r>
              <w:rPr>
                <w:rFonts w:eastAsia="仿宋"/>
                <w:color w:val="auto"/>
                <w:highlight w:val="none"/>
              </w:rPr>
              <w:t>Y&lt;500</w:t>
            </w:r>
          </w:p>
        </w:tc>
      </w:tr>
      <w:tr w14:paraId="2BC03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54067B9A">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vAlign w:val="center"/>
          </w:tcPr>
          <w:p w14:paraId="4213BAA1">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3C1ADC1D">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6E2938C">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3B2E3BD">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6138E11">
            <w:pPr>
              <w:spacing w:line="500" w:lineRule="exact"/>
              <w:jc w:val="center"/>
              <w:rPr>
                <w:rFonts w:eastAsia="仿宋"/>
                <w:color w:val="auto"/>
                <w:highlight w:val="none"/>
              </w:rPr>
            </w:pPr>
            <w:r>
              <w:rPr>
                <w:rFonts w:eastAsia="仿宋"/>
                <w:color w:val="auto"/>
                <w:highlight w:val="none"/>
              </w:rPr>
              <w:t>X&lt;10</w:t>
            </w:r>
          </w:p>
        </w:tc>
      </w:tr>
      <w:tr w14:paraId="71ED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314F3E9">
            <w:pPr>
              <w:spacing w:line="500" w:lineRule="exact"/>
              <w:jc w:val="center"/>
              <w:rPr>
                <w:rFonts w:ascii="仿宋" w:hAnsi="仿宋" w:eastAsia="仿宋"/>
                <w:color w:val="auto"/>
                <w:highlight w:val="none"/>
              </w:rPr>
            </w:pPr>
          </w:p>
        </w:tc>
        <w:tc>
          <w:tcPr>
            <w:tcW w:w="1447" w:type="dxa"/>
            <w:vAlign w:val="center"/>
          </w:tcPr>
          <w:p w14:paraId="3AFC469E">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72BD23C8">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9A2BBF6">
            <w:pPr>
              <w:spacing w:line="500" w:lineRule="exact"/>
              <w:jc w:val="center"/>
              <w:rPr>
                <w:rFonts w:eastAsia="仿宋"/>
                <w:color w:val="auto"/>
                <w:highlight w:val="none"/>
              </w:rPr>
            </w:pPr>
            <w:r>
              <w:rPr>
                <w:rFonts w:eastAsia="仿宋"/>
                <w:color w:val="auto"/>
                <w:highlight w:val="none"/>
              </w:rPr>
              <w:t>8000≤Z &lt;120000</w:t>
            </w:r>
          </w:p>
        </w:tc>
        <w:tc>
          <w:tcPr>
            <w:tcW w:w="1572" w:type="dxa"/>
            <w:vAlign w:val="center"/>
          </w:tcPr>
          <w:p w14:paraId="6002111E">
            <w:pPr>
              <w:spacing w:line="500" w:lineRule="exact"/>
              <w:jc w:val="center"/>
              <w:rPr>
                <w:rFonts w:eastAsia="仿宋"/>
                <w:color w:val="auto"/>
                <w:highlight w:val="none"/>
              </w:rPr>
            </w:pPr>
            <w:r>
              <w:rPr>
                <w:rFonts w:eastAsia="仿宋"/>
                <w:color w:val="auto"/>
                <w:highlight w:val="none"/>
              </w:rPr>
              <w:t>100≤Z &lt;8000</w:t>
            </w:r>
          </w:p>
        </w:tc>
        <w:tc>
          <w:tcPr>
            <w:tcW w:w="1036" w:type="dxa"/>
            <w:vAlign w:val="center"/>
          </w:tcPr>
          <w:p w14:paraId="70201FC5">
            <w:pPr>
              <w:spacing w:line="500" w:lineRule="exact"/>
              <w:jc w:val="center"/>
              <w:rPr>
                <w:rFonts w:eastAsia="仿宋"/>
                <w:color w:val="auto"/>
                <w:highlight w:val="none"/>
              </w:rPr>
            </w:pPr>
            <w:r>
              <w:rPr>
                <w:rFonts w:eastAsia="仿宋"/>
                <w:color w:val="auto"/>
                <w:highlight w:val="none"/>
              </w:rPr>
              <w:t>Z&lt;100</w:t>
            </w:r>
          </w:p>
        </w:tc>
      </w:tr>
      <w:tr w14:paraId="56CD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19F45C4B">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vAlign w:val="center"/>
          </w:tcPr>
          <w:p w14:paraId="75F19C4B">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198FD5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CC36F0A">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39B23B90">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6A2680E1">
            <w:pPr>
              <w:spacing w:line="500" w:lineRule="exact"/>
              <w:jc w:val="center"/>
              <w:rPr>
                <w:rFonts w:eastAsia="仿宋"/>
                <w:color w:val="auto"/>
                <w:highlight w:val="none"/>
              </w:rPr>
            </w:pPr>
            <w:r>
              <w:rPr>
                <w:rFonts w:eastAsia="仿宋"/>
                <w:color w:val="auto"/>
                <w:highlight w:val="none"/>
              </w:rPr>
              <w:t>X&lt;10</w:t>
            </w:r>
          </w:p>
        </w:tc>
      </w:tr>
    </w:tbl>
    <w:p w14:paraId="39B92668">
      <w:pPr>
        <w:spacing w:line="500" w:lineRule="exact"/>
        <w:ind w:firstLine="420" w:firstLineChars="20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014F57C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2365D8D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256B11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569B4F2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148657F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725A4C9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7A01356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2CA54A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9D2559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5D951BE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49D2FA4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724BD60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E5F78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69DCF98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15FCFD2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20C8AF09">
      <w:pPr>
        <w:spacing w:line="500" w:lineRule="exact"/>
        <w:ind w:firstLine="560" w:firstLineChars="200"/>
        <w:rPr>
          <w:rFonts w:ascii="黑体" w:hAnsi="黑体" w:eastAsia="黑体"/>
          <w:bCs/>
          <w:color w:val="auto"/>
          <w:sz w:val="28"/>
          <w:szCs w:val="28"/>
          <w:highlight w:val="none"/>
        </w:rPr>
      </w:pPr>
      <w:r>
        <w:rPr>
          <w:rFonts w:hint="eastAsia" w:ascii="黑体" w:hAnsi="黑体" w:eastAsia="黑体"/>
          <w:bCs/>
          <w:color w:val="auto"/>
          <w:sz w:val="28"/>
          <w:szCs w:val="28"/>
          <w:highlight w:val="none"/>
        </w:rPr>
        <w:t>8.无效投标和招标活动终止</w:t>
      </w:r>
    </w:p>
    <w:p w14:paraId="7ED7629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6F6A561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 不具备招标文件中规定的资格要求的。</w:t>
      </w:r>
    </w:p>
    <w:p w14:paraId="71F1952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8.1.2 报价超过了采购预算或最高限价的。</w:t>
      </w:r>
    </w:p>
    <w:p w14:paraId="1D58D17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67CFC30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不符合法律、法规和招标文件中规定的其他实质性要求的。</w:t>
      </w:r>
    </w:p>
    <w:p w14:paraId="7E56969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9310E2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8.1.6 投标文件含有采购人不能接受的附加条件的。</w:t>
      </w:r>
    </w:p>
    <w:p w14:paraId="4D29E541">
      <w:pPr>
        <w:spacing w:line="50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本项不适用</w:t>
      </w:r>
      <w:r>
        <w:rPr>
          <w:rFonts w:hint="eastAsia" w:ascii="仿宋" w:hAnsi="仿宋" w:eastAsia="仿宋"/>
          <w:color w:val="auto"/>
          <w:sz w:val="28"/>
          <w:szCs w:val="28"/>
          <w:highlight w:val="none"/>
          <w:lang w:eastAsia="zh-CN"/>
        </w:rPr>
        <w:t>）</w:t>
      </w:r>
    </w:p>
    <w:p w14:paraId="4B487FE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8.1.8 投标文件未按照招标文件要求加盖电子签章。</w:t>
      </w:r>
    </w:p>
    <w:p w14:paraId="6349EB9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供应商在系统规定的时间内未成功解密电子投标文件的。</w:t>
      </w:r>
    </w:p>
    <w:p w14:paraId="78A2517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未完整上传投标文件电子文档的,或上传的文件打不开的。</w:t>
      </w:r>
    </w:p>
    <w:p w14:paraId="3427EBE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不同的供应商投标文件制作机器码、文件创建标识码一致的。</w:t>
      </w:r>
    </w:p>
    <w:p w14:paraId="130B6DA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8.1.12 不同投标人委托同一单位或者个人办理投标事宜。</w:t>
      </w:r>
    </w:p>
    <w:p w14:paraId="43E5831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8.1.13 同投标人的投标文件载明的项目管理成员或者联系人员为同一人。</w:t>
      </w:r>
    </w:p>
    <w:p w14:paraId="621C664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8.1.14 不同投标人的投标文件异常一致或者投标报价呈规律性差异。</w:t>
      </w:r>
    </w:p>
    <w:p w14:paraId="7489DF8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8.1.15评标委员会认为投标人的报价明显低于其他通过符合性审查投标人的报价，有可能影响产品质量或者不能诚信履约，要求供应商在合理时间内提供说明，投标人不能证明其报价合理性的。</w:t>
      </w:r>
    </w:p>
    <w:p w14:paraId="55C676D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8.1.16其他法律、法规及本招标文件规定的属无效投标的情形。</w:t>
      </w:r>
    </w:p>
    <w:p w14:paraId="484E7EA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出现下列情形之一的，本次招标活动将被终止：</w:t>
      </w:r>
    </w:p>
    <w:p w14:paraId="239A049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8.2.1 合格</w:t>
      </w:r>
      <w:r>
        <w:rPr>
          <w:rFonts w:ascii="仿宋" w:hAnsi="仿宋" w:eastAsia="仿宋"/>
          <w:color w:val="auto"/>
          <w:sz w:val="28"/>
          <w:szCs w:val="28"/>
          <w:highlight w:val="none"/>
        </w:rPr>
        <w:t>投标人不足</w:t>
      </w:r>
      <w:r>
        <w:rPr>
          <w:rFonts w:hint="eastAsia" w:ascii="仿宋" w:hAnsi="仿宋" w:eastAsia="仿宋"/>
          <w:color w:val="auto"/>
          <w:sz w:val="28"/>
          <w:szCs w:val="28"/>
          <w:highlight w:val="none"/>
        </w:rPr>
        <w:t>3家</w:t>
      </w:r>
      <w:r>
        <w:rPr>
          <w:rFonts w:ascii="仿宋" w:hAnsi="仿宋" w:eastAsia="仿宋"/>
          <w:color w:val="auto"/>
          <w:sz w:val="28"/>
          <w:szCs w:val="28"/>
          <w:highlight w:val="none"/>
        </w:rPr>
        <w:t>的；</w:t>
      </w:r>
    </w:p>
    <w:p w14:paraId="047DECD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0F18279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8.2.3  因重大变故，采购任务取消的。</w:t>
      </w:r>
    </w:p>
    <w:p w14:paraId="4A28E901">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9. 询问、质疑和投诉</w:t>
      </w:r>
    </w:p>
    <w:p w14:paraId="6910E9D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76C18D1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6636408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4E634F5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4B95091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40D31206">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5DC9C21D">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，见招标文件第</w:t>
      </w:r>
      <w:r>
        <w:rPr>
          <w:rFonts w:hint="eastAsia" w:ascii="仿宋" w:hAnsi="仿宋" w:eastAsia="仿宋"/>
          <w:b/>
          <w:color w:val="auto"/>
          <w:sz w:val="28"/>
          <w:szCs w:val="28"/>
          <w:highlight w:val="none"/>
        </w:rPr>
        <w:t>1章</w:t>
      </w:r>
      <w:r>
        <w:rPr>
          <w:rFonts w:ascii="仿宋" w:hAnsi="仿宋" w:eastAsia="仿宋"/>
          <w:b/>
          <w:color w:val="auto"/>
          <w:sz w:val="28"/>
          <w:szCs w:val="28"/>
          <w:highlight w:val="none"/>
        </w:rPr>
        <w:t>。</w:t>
      </w:r>
    </w:p>
    <w:p w14:paraId="2C3BFFF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6B2925D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545EF22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3248C64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未参加招标活动的供应商或在招标活动中自身权益未受到损害的供应商所提出的质疑。</w:t>
      </w:r>
    </w:p>
    <w:p w14:paraId="5D18073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供应商组成联合体参加招标活动，联合体中任何一方或多方未按要求签字、盖章、加盖公章的质疑。</w:t>
      </w:r>
    </w:p>
    <w:p w14:paraId="1BAA5A1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74494D6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5C6EF203">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63533C0F">
      <w:pPr>
        <w:adjustRightInd w:val="0"/>
        <w:snapToGrid w:val="0"/>
        <w:spacing w:beforeLines="100"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637A495F">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p>
    <w:p w14:paraId="68DA658D">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4DFE47F8">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73B904ED">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164547DC">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7A680374">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059C924E">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7641C19A">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2CD5243C">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p>
    <w:p w14:paraId="18D299D2">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1A8424E2">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174D4FFC">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p>
    <w:p w14:paraId="225F4D2D">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p>
    <w:p w14:paraId="59EEDC37">
      <w:pPr>
        <w:adjustRightInd w:val="0"/>
        <w:snapToGrid w:val="0"/>
        <w:spacing w:line="360" w:lineRule="auto"/>
        <w:rPr>
          <w:rFonts w:ascii="仿宋" w:hAnsi="仿宋" w:eastAsia="仿宋" w:cs="仿宋"/>
          <w:color w:val="auto"/>
          <w:sz w:val="28"/>
          <w:szCs w:val="28"/>
          <w:highlight w:val="none"/>
        </w:rPr>
      </w:pPr>
    </w:p>
    <w:p w14:paraId="5CB8071D">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p>
    <w:p w14:paraId="37E03A3A">
      <w:pPr>
        <w:adjustRightInd w:val="0"/>
        <w:snapToGrid w:val="0"/>
        <w:spacing w:line="360" w:lineRule="auto"/>
        <w:rPr>
          <w:rFonts w:ascii="仿宋" w:hAnsi="仿宋" w:eastAsia="仿宋" w:cs="仿宋"/>
          <w:color w:val="auto"/>
          <w:sz w:val="28"/>
          <w:szCs w:val="28"/>
          <w:highlight w:val="none"/>
          <w:u w:val="dotted"/>
        </w:rPr>
      </w:pPr>
    </w:p>
    <w:p w14:paraId="0EDD9599">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0F648DC9">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6E492A24">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1589913F">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p>
    <w:p w14:paraId="47E00119">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1B9E8337">
      <w:pPr>
        <w:spacing w:line="500" w:lineRule="exact"/>
        <w:ind w:right="560"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7A6B305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3211068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55FA854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6BBC5F5A">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A座710室，联系电话0513-87623860）。</w:t>
      </w:r>
    </w:p>
    <w:p w14:paraId="4411D5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5BB85D13">
      <w:pPr>
        <w:jc w:val="center"/>
        <w:rPr>
          <w:rFonts w:ascii="宋体" w:hAnsi="宋体"/>
          <w:b/>
          <w:color w:val="auto"/>
          <w:sz w:val="32"/>
          <w:szCs w:val="32"/>
          <w:highlight w:val="none"/>
        </w:rPr>
      </w:pPr>
      <w:r>
        <w:rPr>
          <w:rFonts w:hint="eastAsia" w:ascii="宋体" w:hAnsi="宋体"/>
          <w:b/>
          <w:color w:val="auto"/>
          <w:sz w:val="32"/>
          <w:szCs w:val="32"/>
          <w:highlight w:val="none"/>
        </w:rPr>
        <w:t>投诉书</w:t>
      </w:r>
    </w:p>
    <w:p w14:paraId="2753A4C9">
      <w:pPr>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4FB98595">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w:t>
      </w:r>
    </w:p>
    <w:p w14:paraId="095F40A0">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690E63D0">
      <w:pPr>
        <w:tabs>
          <w:tab w:val="left" w:pos="6510"/>
        </w:tabs>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法定代表人/主要负责人：联系电话：</w:t>
      </w:r>
    </w:p>
    <w:p w14:paraId="77C8FC23">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授权代表：联系电话：</w:t>
      </w:r>
    </w:p>
    <w:p w14:paraId="1A676BD3">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地     址：邮编：</w:t>
      </w:r>
    </w:p>
    <w:p w14:paraId="4D9B8F90">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被投诉人1：</w:t>
      </w:r>
    </w:p>
    <w:p w14:paraId="6F9B9C59">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6D20379D">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376E0D2F">
      <w:pPr>
        <w:rPr>
          <w:rFonts w:ascii="仿宋_GB2312" w:eastAsia="仿宋_GB2312"/>
          <w:color w:val="auto"/>
          <w:sz w:val="28"/>
          <w:szCs w:val="28"/>
          <w:highlight w:val="none"/>
        </w:rPr>
      </w:pPr>
      <w:r>
        <w:rPr>
          <w:rFonts w:hint="eastAsia" w:ascii="仿宋_GB2312" w:eastAsia="仿宋_GB2312"/>
          <w:color w:val="auto"/>
          <w:sz w:val="28"/>
          <w:szCs w:val="28"/>
          <w:highlight w:val="none"/>
        </w:rPr>
        <w:t>被投诉人2</w:t>
      </w:r>
    </w:p>
    <w:p w14:paraId="02FE10B1">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43CBA409">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相关供应商：</w:t>
      </w:r>
    </w:p>
    <w:p w14:paraId="21E115A3">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0970492D">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3581C6ED">
      <w:pPr>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1598336D">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采购项目名称：</w:t>
      </w:r>
    </w:p>
    <w:p w14:paraId="2B3E712E">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采购项目编号：包号：</w:t>
      </w:r>
    </w:p>
    <w:p w14:paraId="3988D5EF">
      <w:pPr>
        <w:rPr>
          <w:rFonts w:ascii="仿宋_GB2312" w:eastAsia="仿宋_GB2312"/>
          <w:color w:val="auto"/>
          <w:sz w:val="28"/>
          <w:szCs w:val="28"/>
          <w:highlight w:val="none"/>
        </w:rPr>
      </w:pPr>
      <w:r>
        <w:rPr>
          <w:rFonts w:hint="eastAsia" w:ascii="仿宋_GB2312" w:eastAsia="仿宋_GB2312"/>
          <w:color w:val="auto"/>
          <w:sz w:val="28"/>
          <w:szCs w:val="28"/>
          <w:highlight w:val="none"/>
        </w:rPr>
        <w:t>采购人名称：</w:t>
      </w:r>
    </w:p>
    <w:p w14:paraId="0BF7F76A">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代理机构名称：</w:t>
      </w:r>
    </w:p>
    <w:p w14:paraId="11C3EF7F">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294670FA">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643C6D62">
      <w:pPr>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384A0F44">
      <w:pPr>
        <w:ind w:firstLine="560" w:firstLineChars="200"/>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投诉人于年月日,向提出质疑，质疑事项为：</w:t>
      </w:r>
    </w:p>
    <w:p w14:paraId="4A887164">
      <w:pPr>
        <w:rPr>
          <w:rFonts w:ascii="仿宋_GB2312" w:eastAsia="仿宋_GB2312"/>
          <w:color w:val="auto"/>
          <w:sz w:val="28"/>
          <w:szCs w:val="28"/>
          <w:highlight w:val="none"/>
          <w:u w:val="dotted"/>
        </w:rPr>
      </w:pPr>
    </w:p>
    <w:p w14:paraId="5CF1A8B1">
      <w:pPr>
        <w:ind w:firstLine="420" w:firstLineChars="150"/>
        <w:rPr>
          <w:rFonts w:ascii="仿宋_GB2312" w:eastAsia="仿宋_GB2312"/>
          <w:color w:val="auto"/>
          <w:sz w:val="28"/>
          <w:szCs w:val="28"/>
          <w:highlight w:val="none"/>
        </w:rPr>
      </w:pPr>
      <w:r>
        <w:rPr>
          <w:rFonts w:hint="eastAsia" w:ascii="仿宋_GB2312" w:eastAsia="仿宋_GB2312"/>
          <w:color w:val="auto"/>
          <w:sz w:val="28"/>
          <w:szCs w:val="28"/>
          <w:highlight w:val="none"/>
          <w:u w:val="dotted"/>
        </w:rPr>
        <w:t>采购人/代理机构</w:t>
      </w:r>
      <w:r>
        <w:rPr>
          <w:rFonts w:hint="eastAsia" w:ascii="仿宋_GB2312" w:eastAsia="仿宋_GB2312"/>
          <w:color w:val="auto"/>
          <w:sz w:val="28"/>
          <w:szCs w:val="28"/>
          <w:highlight w:val="none"/>
        </w:rPr>
        <w:t>于年月日,就质疑事项作出了答复/没有在法定期限内作出答复。</w:t>
      </w:r>
    </w:p>
    <w:p w14:paraId="4BCC0A8C">
      <w:pPr>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31444DD7">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投诉事项 1：</w:t>
      </w:r>
    </w:p>
    <w:p w14:paraId="4949143F">
      <w:pPr>
        <w:rPr>
          <w:rFonts w:ascii="仿宋_GB2312" w:eastAsia="仿宋_GB2312"/>
          <w:color w:val="auto"/>
          <w:sz w:val="28"/>
          <w:szCs w:val="28"/>
          <w:highlight w:val="none"/>
        </w:rPr>
      </w:pPr>
      <w:r>
        <w:rPr>
          <w:rFonts w:hint="eastAsia" w:ascii="仿宋_GB2312" w:eastAsia="仿宋_GB2312"/>
          <w:color w:val="auto"/>
          <w:sz w:val="28"/>
          <w:szCs w:val="28"/>
          <w:highlight w:val="none"/>
        </w:rPr>
        <w:t>事实依据：</w:t>
      </w:r>
    </w:p>
    <w:p w14:paraId="6C1F848E">
      <w:pPr>
        <w:rPr>
          <w:rFonts w:ascii="仿宋_GB2312" w:eastAsia="仿宋_GB2312"/>
          <w:color w:val="auto"/>
          <w:sz w:val="28"/>
          <w:szCs w:val="28"/>
          <w:highlight w:val="none"/>
          <w:u w:val="dotted"/>
        </w:rPr>
      </w:pPr>
    </w:p>
    <w:p w14:paraId="6ACD0816">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法律依据：</w:t>
      </w:r>
    </w:p>
    <w:p w14:paraId="129B6D36">
      <w:pPr>
        <w:rPr>
          <w:rFonts w:ascii="仿宋_GB2312" w:eastAsia="仿宋_GB2312"/>
          <w:color w:val="auto"/>
          <w:sz w:val="28"/>
          <w:szCs w:val="28"/>
          <w:highlight w:val="none"/>
          <w:u w:val="dotted"/>
        </w:rPr>
      </w:pPr>
    </w:p>
    <w:p w14:paraId="56173726">
      <w:pPr>
        <w:rPr>
          <w:rFonts w:ascii="仿宋_GB2312" w:eastAsia="仿宋_GB2312"/>
          <w:color w:val="auto"/>
          <w:sz w:val="28"/>
          <w:szCs w:val="28"/>
          <w:highlight w:val="none"/>
        </w:rPr>
      </w:pPr>
      <w:r>
        <w:rPr>
          <w:rFonts w:hint="eastAsia" w:ascii="仿宋_GB2312" w:eastAsia="仿宋_GB2312"/>
          <w:color w:val="auto"/>
          <w:sz w:val="28"/>
          <w:szCs w:val="28"/>
          <w:highlight w:val="none"/>
        </w:rPr>
        <w:t>投诉事项2</w:t>
      </w:r>
    </w:p>
    <w:p w14:paraId="0028D0F6">
      <w:pPr>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2BADDECD">
      <w:pPr>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409A5805">
      <w:pPr>
        <w:rPr>
          <w:rFonts w:ascii="仿宋_GB2312" w:eastAsia="仿宋_GB2312"/>
          <w:color w:val="auto"/>
          <w:sz w:val="28"/>
          <w:szCs w:val="28"/>
          <w:highlight w:val="none"/>
        </w:rPr>
      </w:pPr>
      <w:r>
        <w:rPr>
          <w:rFonts w:hint="eastAsia" w:ascii="仿宋_GB2312" w:eastAsia="仿宋_GB2312"/>
          <w:color w:val="auto"/>
          <w:sz w:val="28"/>
          <w:szCs w:val="28"/>
          <w:highlight w:val="none"/>
        </w:rPr>
        <w:t>请求：</w:t>
      </w:r>
    </w:p>
    <w:p w14:paraId="3AAE5392">
      <w:pPr>
        <w:rPr>
          <w:rFonts w:ascii="仿宋_GB2312" w:eastAsia="仿宋_GB2312"/>
          <w:color w:val="auto"/>
          <w:sz w:val="28"/>
          <w:szCs w:val="28"/>
          <w:highlight w:val="none"/>
          <w:u w:val="single"/>
        </w:rPr>
      </w:pPr>
    </w:p>
    <w:p w14:paraId="6E3D32D8">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52266AA0">
      <w:pPr>
        <w:spacing w:line="500" w:lineRule="exact"/>
        <w:ind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p>
    <w:p w14:paraId="054E0D1B">
      <w:pPr>
        <w:spacing w:line="500" w:lineRule="exact"/>
        <w:ind w:firstLine="560" w:firstLineChars="200"/>
        <w:jc w:val="left"/>
        <w:rPr>
          <w:rFonts w:ascii="仿宋" w:hAnsi="仿宋" w:eastAsia="仿宋"/>
          <w:color w:val="auto"/>
          <w:sz w:val="28"/>
          <w:szCs w:val="28"/>
          <w:highlight w:val="none"/>
        </w:rPr>
      </w:pPr>
      <w:r>
        <w:rPr>
          <w:rFonts w:hint="eastAsia" w:ascii="黑体" w:hAnsi="黑体" w:eastAsia="黑体"/>
          <w:color w:val="auto"/>
          <w:sz w:val="28"/>
          <w:szCs w:val="28"/>
          <w:highlight w:val="none"/>
        </w:rPr>
        <w:t>10. 政府采购合同信用融资扶持政策</w:t>
      </w:r>
    </w:p>
    <w:p w14:paraId="0D784D4D">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17A31632">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中标供应商如需获得合同信用融资支持，可凭政府采购合同办理“政采贷”融资贷款，详情请见南通市政府采购网 “易企服”综合服务平台-金融产品全周期-贷款产品专栏。</w:t>
      </w:r>
    </w:p>
    <w:p w14:paraId="48532D88">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11. 采购代理服务费</w:t>
      </w:r>
    </w:p>
    <w:p w14:paraId="76267522">
      <w:pPr>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11.1 采购代理服务费收取标准：</w:t>
      </w:r>
      <w:r>
        <w:rPr>
          <w:rFonts w:hint="eastAsia" w:ascii="仿宋" w:hAnsi="仿宋" w:eastAsia="仿宋"/>
          <w:color w:val="auto"/>
          <w:sz w:val="28"/>
          <w:szCs w:val="28"/>
          <w:highlight w:val="none"/>
          <w:lang w:val="en-US" w:eastAsia="zh-CN"/>
        </w:rPr>
        <w:t>根据《江苏省政府采购代理服务收费指导意见》（苏政采协</w:t>
      </w:r>
      <w:r>
        <w:rPr>
          <w:rFonts w:hint="eastAsia" w:ascii="仿宋" w:hAnsi="仿宋" w:eastAsia="仿宋" w:cs="仿宋"/>
          <w:color w:val="auto"/>
          <w:sz w:val="28"/>
          <w:szCs w:val="28"/>
          <w:highlight w:val="none"/>
          <w:lang w:val="en-US" w:eastAsia="zh-CN"/>
        </w:rPr>
        <w:t>〔2024〕</w:t>
      </w:r>
      <w:r>
        <w:rPr>
          <w:rFonts w:hint="eastAsia" w:ascii="仿宋" w:hAnsi="仿宋" w:eastAsia="仿宋"/>
          <w:color w:val="auto"/>
          <w:sz w:val="28"/>
          <w:szCs w:val="28"/>
          <w:highlight w:val="none"/>
          <w:lang w:val="en-US" w:eastAsia="zh-CN"/>
        </w:rPr>
        <w:t>20号），</w:t>
      </w:r>
      <w:r>
        <w:rPr>
          <w:rFonts w:hint="eastAsia" w:ascii="仿宋" w:hAnsi="仿宋" w:eastAsia="仿宋"/>
          <w:color w:val="auto"/>
          <w:sz w:val="28"/>
          <w:szCs w:val="28"/>
          <w:highlight w:val="none"/>
        </w:rPr>
        <w:t>采购代理服务费以</w:t>
      </w:r>
      <w:r>
        <w:rPr>
          <w:rFonts w:hint="eastAsia" w:ascii="仿宋" w:hAnsi="仿宋" w:eastAsia="仿宋"/>
          <w:color w:val="auto"/>
          <w:sz w:val="28"/>
          <w:szCs w:val="28"/>
          <w:highlight w:val="none"/>
          <w:lang w:val="en-US" w:eastAsia="zh-CN"/>
        </w:rPr>
        <w:t>各分包中标</w:t>
      </w:r>
      <w:r>
        <w:rPr>
          <w:rFonts w:hint="eastAsia" w:ascii="仿宋" w:hAnsi="仿宋" w:eastAsia="仿宋"/>
          <w:color w:val="auto"/>
          <w:sz w:val="28"/>
          <w:szCs w:val="28"/>
          <w:highlight w:val="none"/>
        </w:rPr>
        <w:t>价为基数，采用差额定率累进法（50万元（含）以下部分，费率为1.6%；50万元</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 xml:space="preserve">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color w:val="auto"/>
          <w:sz w:val="28"/>
          <w:szCs w:val="28"/>
          <w:highlight w:val="none"/>
          <w:lang w:val="en-US" w:eastAsia="zh-CN"/>
        </w:rPr>
        <w:t>后按10%收取</w:t>
      </w:r>
      <w:r>
        <w:rPr>
          <w:rFonts w:hint="eastAsia" w:ascii="仿宋" w:hAnsi="仿宋" w:eastAsia="仿宋"/>
          <w:color w:val="auto"/>
          <w:sz w:val="28"/>
          <w:szCs w:val="28"/>
          <w:highlight w:val="none"/>
        </w:rPr>
        <w:t>，不足</w:t>
      </w:r>
      <w:r>
        <w:rPr>
          <w:rFonts w:hint="eastAsia" w:ascii="仿宋" w:hAnsi="仿宋" w:eastAsia="仿宋"/>
          <w:color w:val="auto"/>
          <w:sz w:val="28"/>
          <w:szCs w:val="28"/>
          <w:highlight w:val="none"/>
          <w:lang w:val="en-US" w:eastAsia="zh-CN"/>
        </w:rPr>
        <w:t>伍仟</w:t>
      </w:r>
      <w:r>
        <w:rPr>
          <w:rFonts w:hint="eastAsia" w:ascii="仿宋" w:hAnsi="仿宋" w:eastAsia="仿宋"/>
          <w:color w:val="auto"/>
          <w:sz w:val="28"/>
          <w:szCs w:val="28"/>
          <w:highlight w:val="none"/>
        </w:rPr>
        <w:t>按</w:t>
      </w:r>
      <w:r>
        <w:rPr>
          <w:rFonts w:hint="eastAsia" w:ascii="仿宋" w:hAnsi="仿宋" w:eastAsia="仿宋"/>
          <w:color w:val="auto"/>
          <w:sz w:val="28"/>
          <w:szCs w:val="28"/>
          <w:highlight w:val="none"/>
          <w:lang w:val="en-US" w:eastAsia="zh-CN"/>
        </w:rPr>
        <w:t>伍仟</w:t>
      </w:r>
      <w:r>
        <w:rPr>
          <w:rFonts w:hint="eastAsia" w:ascii="仿宋" w:hAnsi="仿宋" w:eastAsia="仿宋"/>
          <w:color w:val="auto"/>
          <w:sz w:val="28"/>
          <w:szCs w:val="28"/>
          <w:highlight w:val="none"/>
        </w:rPr>
        <w:t>元计取</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采购代理服务费由</w:t>
      </w:r>
      <w:r>
        <w:rPr>
          <w:rFonts w:hint="eastAsia" w:ascii="仿宋" w:hAnsi="仿宋" w:eastAsia="仿宋"/>
          <w:color w:val="auto"/>
          <w:sz w:val="28"/>
          <w:szCs w:val="28"/>
          <w:highlight w:val="none"/>
          <w:lang w:val="en-US" w:eastAsia="zh-CN"/>
        </w:rPr>
        <w:t>采购人支付，代理工作完成且移交相关资料后，采购人一次性付清</w:t>
      </w:r>
      <w:r>
        <w:rPr>
          <w:rFonts w:hint="eastAsia" w:ascii="仿宋" w:hAnsi="仿宋" w:eastAsia="仿宋"/>
          <w:color w:val="auto"/>
          <w:sz w:val="28"/>
          <w:szCs w:val="28"/>
          <w:highlight w:val="none"/>
        </w:rPr>
        <w:t>。</w:t>
      </w:r>
    </w:p>
    <w:p w14:paraId="71F746E1">
      <w:pPr>
        <w:spacing w:line="500" w:lineRule="exact"/>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 xml:space="preserve"> 采购代理机构账户信息：</w:t>
      </w:r>
    </w:p>
    <w:p w14:paraId="7E2CACF5">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（1）收款单位名称为：南通炜烨工程咨询有限公司</w:t>
      </w:r>
    </w:p>
    <w:p w14:paraId="0EC36F86">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（2）账户号码：32001649900052502753；</w:t>
      </w:r>
    </w:p>
    <w:p w14:paraId="0985A4D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（3）开户行：建设银行南通新城区支行；</w:t>
      </w:r>
    </w:p>
    <w:p w14:paraId="7742D781">
      <w:pPr>
        <w:spacing w:line="500" w:lineRule="exact"/>
        <w:ind w:firstLine="560" w:firstLineChars="200"/>
        <w:jc w:val="left"/>
        <w:rPr>
          <w:rFonts w:ascii="仿宋" w:hAnsi="仿宋" w:eastAsia="仿宋"/>
          <w:color w:val="auto"/>
          <w:sz w:val="28"/>
          <w:szCs w:val="28"/>
          <w:highlight w:val="none"/>
        </w:rPr>
      </w:pPr>
    </w:p>
    <w:bookmarkEnd w:id="4"/>
    <w:p w14:paraId="59CFAD49">
      <w:pPr>
        <w:spacing w:line="600" w:lineRule="exact"/>
        <w:jc w:val="center"/>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r>
        <w:rPr>
          <w:rFonts w:hint="eastAsia" w:ascii="方正小标宋简体" w:eastAsia="方正小标宋简体"/>
          <w:bCs/>
          <w:color w:val="auto"/>
          <w:sz w:val="32"/>
          <w:szCs w:val="32"/>
          <w:highlight w:val="none"/>
        </w:rPr>
        <w:t>第3章 采购需求</w:t>
      </w:r>
    </w:p>
    <w:p w14:paraId="6EC3D10A">
      <w:pPr>
        <w:spacing w:line="500" w:lineRule="exact"/>
        <w:ind w:firstLine="562" w:firstLineChars="200"/>
        <w:jc w:val="center"/>
        <w:rPr>
          <w:rFonts w:ascii="仿宋" w:hAnsi="仿宋" w:eastAsia="仿宋"/>
          <w:b/>
          <w:bCs/>
          <w:color w:val="auto"/>
          <w:sz w:val="28"/>
          <w:szCs w:val="28"/>
          <w:highlight w:val="none"/>
        </w:rPr>
      </w:pPr>
      <w:r>
        <w:rPr>
          <w:rFonts w:ascii="仿宋" w:hAnsi="仿宋" w:eastAsia="仿宋"/>
          <w:b/>
          <w:bCs/>
          <w:color w:val="auto"/>
          <w:sz w:val="28"/>
          <w:szCs w:val="28"/>
          <w:highlight w:val="none"/>
        </w:rPr>
        <w:t>投标人在制作投标文件时仔细研究</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需求说明。</w:t>
      </w:r>
      <w:r>
        <w:rPr>
          <w:rFonts w:hint="eastAsia" w:ascii="仿宋" w:hAnsi="仿宋" w:eastAsia="仿宋"/>
          <w:b/>
          <w:bCs/>
          <w:color w:val="auto"/>
          <w:sz w:val="28"/>
          <w:szCs w:val="28"/>
          <w:highlight w:val="none"/>
        </w:rPr>
        <w:t>采购</w:t>
      </w:r>
      <w:r>
        <w:rPr>
          <w:rFonts w:ascii="仿宋" w:hAnsi="仿宋" w:eastAsia="仿宋"/>
          <w:b/>
          <w:bCs/>
          <w:color w:val="auto"/>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3D2609CC">
      <w:pPr>
        <w:spacing w:line="500" w:lineRule="exact"/>
        <w:ind w:firstLine="562" w:firstLineChars="200"/>
        <w:jc w:val="left"/>
        <w:rPr>
          <w:rFonts w:ascii="仿宋" w:hAnsi="仿宋" w:eastAsia="仿宋"/>
          <w:color w:val="auto"/>
          <w:sz w:val="28"/>
          <w:szCs w:val="28"/>
          <w:highlight w:val="none"/>
        </w:rPr>
      </w:pPr>
      <w:r>
        <w:rPr>
          <w:rFonts w:ascii="仿宋" w:hAnsi="仿宋" w:eastAsia="仿宋"/>
          <w:b/>
          <w:bCs/>
          <w:color w:val="auto"/>
          <w:sz w:val="28"/>
          <w:szCs w:val="28"/>
          <w:highlight w:val="none"/>
        </w:rPr>
        <w:t>投标人不能简单照搬照抄招标文件项目需求说明中的技术、商务要求，必须作实事求是的响应。如投标人提供的货物和服务同</w:t>
      </w:r>
      <w:r>
        <w:rPr>
          <w:rFonts w:hint="eastAsia" w:ascii="仿宋" w:hAnsi="仿宋" w:eastAsia="仿宋"/>
          <w:b/>
          <w:bCs/>
          <w:color w:val="auto"/>
          <w:sz w:val="28"/>
          <w:szCs w:val="28"/>
          <w:highlight w:val="none"/>
        </w:rPr>
        <w:t>采购人</w:t>
      </w:r>
      <w:r>
        <w:rPr>
          <w:rFonts w:ascii="仿宋" w:hAnsi="仿宋" w:eastAsia="仿宋"/>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w:t>
      </w:r>
    </w:p>
    <w:p w14:paraId="2CB1A5C6">
      <w:pPr>
        <w:keepNext w:val="0"/>
        <w:keepLines w:val="0"/>
        <w:pageBreakBefore w:val="0"/>
        <w:kinsoku/>
        <w:wordWrap/>
        <w:overflowPunct/>
        <w:topLinePunct w:val="0"/>
        <w:autoSpaceDE/>
        <w:autoSpaceDN/>
        <w:bidi w:val="0"/>
        <w:adjustRightInd/>
        <w:spacing w:line="480" w:lineRule="exact"/>
        <w:ind w:firstLine="560" w:firstLineChars="200"/>
        <w:textAlignment w:val="auto"/>
        <w:rPr>
          <w:rFonts w:ascii="黑体" w:hAnsi="黑体" w:eastAsia="黑体"/>
          <w:color w:val="auto"/>
          <w:sz w:val="28"/>
          <w:szCs w:val="28"/>
          <w:highlight w:val="none"/>
        </w:rPr>
      </w:pPr>
      <w:r>
        <w:rPr>
          <w:rFonts w:hint="eastAsia" w:ascii="黑体" w:hAnsi="黑体" w:eastAsia="黑体"/>
          <w:color w:val="auto"/>
          <w:sz w:val="28"/>
          <w:szCs w:val="28"/>
          <w:highlight w:val="none"/>
        </w:rPr>
        <w:t>一、项目简介</w:t>
      </w:r>
    </w:p>
    <w:p w14:paraId="753886D0">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本项目涉及补充耕地地块约4800个，总面积约1.5万亩。补充耕地质量验收工作分为两大部分：第一部分为土壤污染状况调查，第二部分为补充耕地质量验收。</w:t>
      </w:r>
    </w:p>
    <w:p w14:paraId="73ADBA02">
      <w:pPr>
        <w:spacing w:line="480" w:lineRule="exact"/>
        <w:ind w:firstLine="560" w:firstLineChars="200"/>
        <w:rPr>
          <w:rFonts w:ascii="黑体" w:hAnsi="黑体" w:eastAsia="黑体"/>
          <w:sz w:val="28"/>
          <w:szCs w:val="28"/>
          <w:highlight w:val="none"/>
        </w:rPr>
      </w:pPr>
      <w:r>
        <w:rPr>
          <w:rFonts w:hint="eastAsia" w:ascii="黑体" w:hAnsi="黑体" w:eastAsia="黑体"/>
          <w:sz w:val="28"/>
          <w:szCs w:val="28"/>
          <w:highlight w:val="none"/>
        </w:rPr>
        <w:t>二、采购内容</w:t>
      </w:r>
    </w:p>
    <w:p w14:paraId="3F1D8C0C">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对2026-2028年如皋市拟新增耕地土壤污染状况调查和补充耕地质量鉴定，包括资料收集与分析、采样、检测、专家实地踏勘、农业生产符合性评价、耕地等级核算等工作。</w:t>
      </w:r>
    </w:p>
    <w:p w14:paraId="15CE1B4D">
      <w:pPr>
        <w:keepNext w:val="0"/>
        <w:keepLines w:val="0"/>
        <w:pageBreakBefore w:val="0"/>
        <w:kinsoku/>
        <w:wordWrap/>
        <w:overflowPunct/>
        <w:topLinePunct w:val="0"/>
        <w:autoSpaceDE/>
        <w:autoSpaceDN/>
        <w:bidi w:val="0"/>
        <w:spacing w:line="500" w:lineRule="exact"/>
        <w:ind w:firstLine="560" w:firstLineChars="200"/>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olor w:val="auto"/>
          <w:sz w:val="28"/>
          <w:szCs w:val="28"/>
          <w:highlight w:val="none"/>
        </w:rPr>
        <w:t>涉及</w:t>
      </w: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个镇（街道）</w:t>
      </w:r>
      <w:r>
        <w:rPr>
          <w:rFonts w:hint="eastAsia" w:ascii="仿宋" w:hAnsi="仿宋" w:eastAsia="仿宋"/>
          <w:color w:val="auto"/>
          <w:sz w:val="28"/>
          <w:szCs w:val="28"/>
          <w:highlight w:val="none"/>
          <w:lang w:val="en-US" w:eastAsia="zh-CN"/>
        </w:rPr>
        <w:t>，</w:t>
      </w:r>
      <w:r>
        <w:rPr>
          <w:rFonts w:hint="eastAsia" w:ascii="仿宋" w:hAnsi="仿宋" w:eastAsia="仿宋"/>
          <w:color w:val="auto"/>
          <w:sz w:val="28"/>
          <w:szCs w:val="28"/>
          <w:highlight w:val="none"/>
        </w:rPr>
        <w:t>总面积约</w:t>
      </w:r>
      <w:r>
        <w:rPr>
          <w:rFonts w:hint="eastAsia" w:ascii="仿宋" w:hAnsi="仿宋" w:eastAsia="仿宋"/>
          <w:color w:val="auto"/>
          <w:sz w:val="28"/>
          <w:szCs w:val="28"/>
          <w:highlight w:val="none"/>
          <w:lang w:val="en-US" w:eastAsia="zh-CN"/>
        </w:rPr>
        <w:t>1.5万</w:t>
      </w:r>
      <w:r>
        <w:rPr>
          <w:rFonts w:hint="eastAsia" w:ascii="仿宋" w:hAnsi="仿宋" w:eastAsia="仿宋"/>
          <w:color w:val="auto"/>
          <w:sz w:val="28"/>
          <w:szCs w:val="28"/>
          <w:highlight w:val="none"/>
        </w:rPr>
        <w:t>亩</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分包情况如下：采购包1：</w:t>
      </w:r>
      <w:r>
        <w:rPr>
          <w:rFonts w:hint="eastAsia" w:ascii="仿宋" w:hAnsi="仿宋" w:eastAsia="仿宋"/>
          <w:color w:val="auto"/>
          <w:sz w:val="28"/>
          <w:szCs w:val="28"/>
          <w:highlight w:val="none"/>
          <w:lang w:val="en-US" w:eastAsia="zh-CN"/>
        </w:rPr>
        <w:t>7500亩；</w:t>
      </w:r>
      <w:r>
        <w:rPr>
          <w:rFonts w:hint="eastAsia" w:ascii="仿宋" w:hAnsi="仿宋" w:eastAsia="仿宋"/>
          <w:color w:val="auto"/>
          <w:sz w:val="28"/>
          <w:szCs w:val="28"/>
          <w:highlight w:val="none"/>
        </w:rPr>
        <w:t>采购包</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7500亩。</w:t>
      </w:r>
    </w:p>
    <w:p w14:paraId="1BFAD389">
      <w:pPr>
        <w:keepNext w:val="0"/>
        <w:keepLines w:val="0"/>
        <w:pageBreakBefore w:val="0"/>
        <w:numPr>
          <w:ilvl w:val="0"/>
          <w:numId w:val="1"/>
        </w:numPr>
        <w:kinsoku/>
        <w:wordWrap/>
        <w:overflowPunct/>
        <w:topLinePunct w:val="0"/>
        <w:autoSpaceDE/>
        <w:autoSpaceDN/>
        <w:bidi w:val="0"/>
        <w:adjustRightInd/>
        <w:spacing w:line="480" w:lineRule="exact"/>
        <w:ind w:firstLine="560" w:firstLineChars="200"/>
        <w:textAlignment w:val="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服务要求</w:t>
      </w:r>
    </w:p>
    <w:p w14:paraId="4D0C5DC3">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一）服务单位应按采购人要求对开垦为耕地的复垦土地及未利用地通过资料收集、现场踏勘、人员访谈、现场采样、实验室分析，识别地块污染情况，编制地块土壤污染状况调查报告；对拟新增耕地进行补充耕地质量鉴定，开展包括资料审核分析、评价单元确定、现场踏勘、生产符合性评价、土壤实地采样、实验室检测与分析、耕地质量等级核算、报告编制等工作；</w:t>
      </w:r>
    </w:p>
    <w:p w14:paraId="56DC481A">
      <w:pPr>
        <w:pStyle w:val="12"/>
        <w:keepNext w:val="0"/>
        <w:keepLines w:val="0"/>
        <w:pageBreakBefore w:val="0"/>
        <w:kinsoku/>
        <w:wordWrap/>
        <w:overflowPunct/>
        <w:topLinePunct w:val="0"/>
        <w:autoSpaceDE/>
        <w:autoSpaceDN/>
        <w:bidi w:val="0"/>
        <w:adjustRightInd/>
        <w:spacing w:after="0" w:line="480" w:lineRule="exact"/>
        <w:ind w:firstLine="562" w:firstLineChars="200"/>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二）服务单位应在正式开展补充耕地质量鉴定前，对拟鉴定的地块先行组织一次资料审核和现场踏勘，对经审核踏勘认定不符合鉴定条件的地块，应予以剔除并及时书面告知采购人。剔除后的地块不再进入后续鉴定程序。对已进入鉴定程序但未能通过县级初鉴的地块，服务单位应当在收到采购人通知后，免费对该地块重新组织开展补充耕地质量鉴定工作（包括但不限于资料复核、现场补勘、重新采样、实验室检测、报告编制及专家评审等全部环节），直至通过南通市级鉴定为止。因重新鉴定所产生的一切费用（含检测费、专家费、人工费、交通费等）均由服务单位自行承担，采购人不再另行支付任何费用。服务单位拒绝履行或拖延履行的，采购人有权解除合同，已完成工作量不予结算，并追究服务单位的违约责任。</w:t>
      </w:r>
    </w:p>
    <w:p w14:paraId="7D8100BD">
      <w:pPr>
        <w:pStyle w:val="12"/>
        <w:keepNext w:val="0"/>
        <w:keepLines w:val="0"/>
        <w:pageBreakBefore w:val="0"/>
        <w:kinsoku/>
        <w:wordWrap/>
        <w:overflowPunct/>
        <w:topLinePunct w:val="0"/>
        <w:autoSpaceDE/>
        <w:autoSpaceDN/>
        <w:bidi w:val="0"/>
        <w:adjustRightInd/>
        <w:spacing w:after="0" w:line="480" w:lineRule="exact"/>
        <w:ind w:firstLine="562" w:firstLineChars="200"/>
        <w:textAlignment w:val="auto"/>
        <w:rPr>
          <w:b/>
          <w:bCs/>
          <w:color w:val="auto"/>
          <w:highlight w:val="none"/>
        </w:rPr>
      </w:pPr>
      <w:r>
        <w:rPr>
          <w:rFonts w:hint="eastAsia" w:ascii="仿宋" w:hAnsi="仿宋" w:eastAsia="仿宋" w:cs="仿宋"/>
          <w:b/>
          <w:bCs/>
          <w:snapToGrid w:val="0"/>
          <w:color w:val="auto"/>
          <w:kern w:val="0"/>
          <w:sz w:val="28"/>
          <w:szCs w:val="21"/>
          <w:highlight w:val="none"/>
          <w:lang w:val="en-US" w:eastAsia="zh-CN" w:bidi="ar-SA"/>
        </w:rPr>
        <w:t>（三）</w:t>
      </w:r>
      <w:r>
        <w:rPr>
          <w:rFonts w:hint="eastAsia" w:ascii="仿宋" w:hAnsi="仿宋" w:eastAsia="仿宋" w:cs="仿宋"/>
          <w:b/>
          <w:bCs w:val="0"/>
          <w:color w:val="auto"/>
          <w:sz w:val="28"/>
          <w:szCs w:val="28"/>
          <w:highlight w:val="none"/>
          <w:lang w:val="en-US" w:eastAsia="zh-CN"/>
        </w:rPr>
        <w:t>补充耕地质量鉴定土壤样品检测须由南通市农业农村局通过公开采购程序确定的检测单位承担相关检测工作，相关费用包含在供应商本次报价中。根据实验室标准做好土壤样品的储存和运转，和检测单位做好对接工作。</w:t>
      </w:r>
    </w:p>
    <w:p w14:paraId="3E598A82">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（四）服务单位应依据采购人对于项目的要求，做好充分的时间安排，衔接好各项工作；确保不出现空档期和延期，以确保在合同约定时间内完成本项目内容，并满足采购人要求。</w:t>
      </w:r>
    </w:p>
    <w:p w14:paraId="37DE1F38">
      <w:pPr>
        <w:pStyle w:val="12"/>
        <w:keepNext w:val="0"/>
        <w:keepLines w:val="0"/>
        <w:pageBreakBefore w:val="0"/>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五）服务单位应依据法律法规及行业规定要求建立符合法律规定和行业规定的技术方案，并按照方案逐步实施。在履约过程中，应充分和采购人沟通，在法律法规和行业规范的允许下，应充分听取采购人的需求和建议。建立完善的安全质量保证体系并报采购人备案，负责本项目全过程的安全和质量管理，并接受采购人的管理和监督。</w:t>
      </w:r>
    </w:p>
    <w:p w14:paraId="427E06CC">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default"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（六）人员配置及工器具要求</w:t>
      </w:r>
    </w:p>
    <w:p w14:paraId="09BC4133">
      <w:pPr>
        <w:pStyle w:val="12"/>
        <w:keepNext w:val="0"/>
        <w:keepLines w:val="0"/>
        <w:pageBreakBefore w:val="0"/>
        <w:kinsoku/>
        <w:wordWrap/>
        <w:overflowPunct/>
        <w:topLinePunct w:val="0"/>
        <w:autoSpaceDE/>
        <w:autoSpaceDN/>
        <w:bidi w:val="0"/>
        <w:adjustRightInd/>
        <w:spacing w:after="0" w:line="480" w:lineRule="exact"/>
        <w:ind w:firstLine="562" w:firstLineChars="200"/>
        <w:textAlignment w:val="auto"/>
        <w:rPr>
          <w:rFonts w:hint="default" w:ascii="仿宋" w:hAnsi="仿宋" w:eastAsia="仿宋" w:cs="仿宋"/>
          <w:b/>
          <w:bCs/>
          <w:snapToGrid w:val="0"/>
          <w:color w:val="auto"/>
          <w:kern w:val="0"/>
          <w:sz w:val="28"/>
          <w:szCs w:val="21"/>
          <w:highlight w:val="none"/>
          <w:lang w:val="en-US" w:eastAsia="zh-CN" w:bidi="ar-SA"/>
        </w:rPr>
      </w:pPr>
      <w:r>
        <w:rPr>
          <w:rFonts w:hint="eastAsia" w:ascii="仿宋" w:hAnsi="仿宋" w:eastAsia="仿宋" w:cs="仿宋"/>
          <w:b/>
          <w:bCs/>
          <w:snapToGrid w:val="0"/>
          <w:color w:val="auto"/>
          <w:kern w:val="0"/>
          <w:sz w:val="28"/>
          <w:szCs w:val="21"/>
          <w:highlight w:val="none"/>
          <w:lang w:val="en-US" w:eastAsia="zh-CN" w:bidi="ar-SA"/>
        </w:rPr>
        <w:t>1、项目负责人需实际牵头负责本项目的实施，在项目踏勘、专家评审等重要环节中必须全程参与。</w:t>
      </w:r>
    </w:p>
    <w:p w14:paraId="11D4A4BF">
      <w:pPr>
        <w:snapToGrid w:val="0"/>
        <w:spacing w:line="400" w:lineRule="exact"/>
        <w:ind w:firstLine="562" w:firstLineChars="200"/>
        <w:rPr>
          <w:rFonts w:hint="default" w:ascii="仿宋" w:hAnsi="仿宋" w:eastAsia="仿宋" w:cs="仿宋"/>
          <w:b/>
          <w:bCs/>
          <w:snapToGrid w:val="0"/>
          <w:color w:val="auto"/>
          <w:kern w:val="0"/>
          <w:sz w:val="28"/>
          <w:szCs w:val="21"/>
          <w:highlight w:val="none"/>
          <w:lang w:val="en-US" w:eastAsia="zh-CN" w:bidi="ar-SA"/>
        </w:rPr>
      </w:pPr>
      <w:r>
        <w:rPr>
          <w:rFonts w:hint="eastAsia" w:ascii="仿宋" w:hAnsi="仿宋" w:eastAsia="仿宋" w:cs="仿宋"/>
          <w:b/>
          <w:bCs/>
          <w:snapToGrid w:val="0"/>
          <w:color w:val="auto"/>
          <w:kern w:val="0"/>
          <w:sz w:val="28"/>
          <w:szCs w:val="21"/>
          <w:highlight w:val="none"/>
          <w:lang w:val="en-US" w:eastAsia="zh-CN" w:bidi="ar-SA"/>
        </w:rPr>
        <w:t>2、</w:t>
      </w:r>
      <w:r>
        <w:rPr>
          <w:rFonts w:hint="eastAsia" w:ascii="仿宋" w:hAnsi="仿宋" w:eastAsia="仿宋" w:cs="仿宋"/>
          <w:b/>
          <w:bCs/>
          <w:snapToGrid w:val="0"/>
          <w:color w:val="auto"/>
          <w:kern w:val="0"/>
          <w:sz w:val="28"/>
          <w:szCs w:val="21"/>
          <w:highlight w:val="none"/>
          <w:lang w:val="en-US" w:eastAsia="zh-CN" w:bidi="ar-SA"/>
        </w:rPr>
        <w:t>响应供应商拟派项目组人员（不含项目负责人）：组建踏勘技术人员队伍，踏勘组不少于5组，每组应安排不少于2名专业技术人员和1名现场辅助劳力，协助专家完成现场踏勘、拍摄采集举证照片等；其中专人驻场办公不少于1人，负责验收资料收集、整理、上报、归档等相关工作，办公地点由采购单位提供。所有项目组人员须具备从事本项目实施的专业资格，须提供人员名单、相关从业资格证明及开标日前最近1个月投标供应商为其缴纳社保的证明；新成立企业距开标日期不足30日的，可不提供缴纳社保的证明（以新办企业营业执照发放日期为准）。不提供或提供不全视为无效响应。</w:t>
      </w:r>
    </w:p>
    <w:p w14:paraId="75D004A3">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3、服务单位为本项目配备的工作人员均为在职员工，所有人员应身体健康，无妨碍工作的病症，熟悉相关技术规范和标准，并具备与本项目工作内容匹配的工作能力。</w:t>
      </w:r>
    </w:p>
    <w:p w14:paraId="7211EF99">
      <w:pPr>
        <w:pStyle w:val="12"/>
        <w:keepNext w:val="0"/>
        <w:keepLines w:val="0"/>
        <w:pageBreakBefore w:val="0"/>
        <w:kinsoku/>
        <w:wordWrap/>
        <w:overflowPunct/>
        <w:topLinePunct w:val="0"/>
        <w:autoSpaceDE/>
        <w:autoSpaceDN/>
        <w:bidi w:val="0"/>
        <w:adjustRightInd/>
        <w:spacing w:after="0" w:line="480" w:lineRule="exact"/>
        <w:ind w:firstLine="562" w:firstLineChars="200"/>
        <w:textAlignment w:val="auto"/>
        <w:rPr>
          <w:rFonts w:hint="eastAsia" w:ascii="仿宋" w:hAnsi="仿宋" w:eastAsia="仿宋" w:cs="仿宋"/>
          <w:b/>
          <w:bCs/>
          <w:snapToGrid w:val="0"/>
          <w:color w:val="auto"/>
          <w:kern w:val="0"/>
          <w:sz w:val="28"/>
          <w:szCs w:val="21"/>
          <w:highlight w:val="none"/>
          <w:lang w:val="en-US" w:eastAsia="zh-CN" w:bidi="ar-SA"/>
        </w:rPr>
      </w:pPr>
      <w:r>
        <w:rPr>
          <w:rFonts w:hint="eastAsia" w:ascii="仿宋" w:hAnsi="仿宋" w:eastAsia="仿宋" w:cs="仿宋"/>
          <w:b/>
          <w:bCs/>
          <w:snapToGrid w:val="0"/>
          <w:color w:val="auto"/>
          <w:kern w:val="0"/>
          <w:sz w:val="28"/>
          <w:szCs w:val="21"/>
          <w:highlight w:val="none"/>
          <w:lang w:val="en-US" w:eastAsia="zh-CN" w:bidi="ar-SA"/>
        </w:rPr>
        <w:t>4、本项目服务期限内，项目组成员（含项目负责人）不得随意变更，随意变更导致的责任及损失由服务单位承担，且采购人有权终止合同。</w:t>
      </w:r>
    </w:p>
    <w:p w14:paraId="7A0231A9">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b/>
          <w:bCs w:val="0"/>
          <w:color w:val="auto"/>
          <w:sz w:val="28"/>
          <w:szCs w:val="28"/>
          <w:highlight w:val="none"/>
          <w:lang w:val="en-US" w:eastAsia="zh-CN"/>
        </w:rPr>
      </w:pPr>
      <w:r>
        <w:rPr>
          <w:rFonts w:hint="eastAsia" w:ascii="仿宋" w:hAnsi="仿宋" w:eastAsia="仿宋" w:cs="仿宋"/>
          <w:snapToGrid w:val="0"/>
          <w:color w:val="auto"/>
          <w:kern w:val="0"/>
          <w:sz w:val="28"/>
          <w:szCs w:val="21"/>
          <w:highlight w:val="none"/>
          <w:lang w:val="en-US" w:eastAsia="zh-CN" w:bidi="ar-SA"/>
        </w:rPr>
        <w:t>5、服务单位应依据工作需要为工作人员配备足够的工器具、安全防护用品和职业健康防护用品，以满足现场服务工作的需要和安全。</w:t>
      </w:r>
    </w:p>
    <w:p w14:paraId="41FF8649">
      <w:pPr>
        <w:pStyle w:val="12"/>
        <w:keepNext w:val="0"/>
        <w:keepLines w:val="0"/>
        <w:pageBreakBefore w:val="0"/>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snapToGrid w:val="0"/>
          <w:color w:val="auto"/>
          <w:kern w:val="0"/>
          <w:sz w:val="28"/>
          <w:szCs w:val="21"/>
          <w:highlight w:val="none"/>
          <w:lang w:val="en-US" w:eastAsia="zh-CN" w:bidi="ar-SA"/>
        </w:rPr>
        <w:t>（七）服务单位要做好资料收集、整理、分析、归档等工作。</w:t>
      </w:r>
    </w:p>
    <w:p w14:paraId="742C4E2F">
      <w:pPr>
        <w:pStyle w:val="22"/>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黑体" w:hAnsi="黑体" w:eastAsia="黑体"/>
          <w:color w:val="auto"/>
          <w:sz w:val="28"/>
          <w:szCs w:val="28"/>
          <w:highlight w:val="none"/>
        </w:rPr>
      </w:pPr>
      <w:r>
        <w:rPr>
          <w:rFonts w:hint="eastAsia" w:ascii="仿宋" w:hAnsi="仿宋" w:eastAsia="仿宋" w:cs="仿宋"/>
          <w:b/>
          <w:bCs/>
          <w:color w:val="auto"/>
          <w:sz w:val="28"/>
          <w:szCs w:val="28"/>
          <w:highlight w:val="none"/>
          <w:lang w:val="en-US" w:eastAsia="zh-CN"/>
        </w:rPr>
        <w:t>注：响应供应商须提供项目组人员名单（含项目负责人）、相关从业资格证明及保险证明等证明材料，并对上述“三</w:t>
      </w:r>
      <w:r>
        <w:rPr>
          <w:rFonts w:hint="eastAsia" w:ascii="黑体" w:hAnsi="黑体" w:eastAsia="黑体"/>
          <w:color w:val="auto"/>
          <w:sz w:val="28"/>
          <w:szCs w:val="28"/>
          <w:highlight w:val="none"/>
        </w:rPr>
        <w:t>、</w:t>
      </w:r>
      <w:r>
        <w:rPr>
          <w:rFonts w:hint="eastAsia" w:ascii="仿宋" w:hAnsi="仿宋" w:eastAsia="仿宋" w:cs="仿宋"/>
          <w:b/>
          <w:bCs/>
          <w:color w:val="auto"/>
          <w:sz w:val="28"/>
          <w:szCs w:val="28"/>
          <w:highlight w:val="none"/>
          <w:lang w:val="en-US" w:eastAsia="zh-CN"/>
        </w:rPr>
        <w:t>服务要求”</w:t>
      </w:r>
      <w:r>
        <w:rPr>
          <w:rFonts w:hint="eastAsia" w:ascii="仿宋" w:hAnsi="仿宋" w:eastAsia="仿宋" w:cs="仿宋"/>
          <w:b/>
          <w:bCs/>
          <w:i/>
          <w:iCs/>
          <w:color w:val="auto"/>
          <w:sz w:val="28"/>
          <w:szCs w:val="28"/>
          <w:highlight w:val="none"/>
          <w:u w:val="single"/>
          <w:lang w:val="en-US" w:eastAsia="zh-CN"/>
        </w:rPr>
        <w:t>所有内容</w:t>
      </w:r>
      <w:r>
        <w:rPr>
          <w:rFonts w:hint="eastAsia" w:ascii="仿宋" w:hAnsi="仿宋" w:eastAsia="仿宋" w:cs="仿宋"/>
          <w:b/>
          <w:bCs/>
          <w:color w:val="auto"/>
          <w:sz w:val="28"/>
          <w:szCs w:val="28"/>
          <w:highlight w:val="none"/>
          <w:lang w:val="en-US" w:eastAsia="zh-CN"/>
        </w:rPr>
        <w:t>作响应承诺，承诺书格式自拟，不提供视为无效响应。</w:t>
      </w:r>
    </w:p>
    <w:p w14:paraId="6C0C7A1F">
      <w:pPr>
        <w:keepNext w:val="0"/>
        <w:keepLines w:val="0"/>
        <w:pageBreakBefore w:val="0"/>
        <w:numPr>
          <w:ilvl w:val="0"/>
          <w:numId w:val="1"/>
        </w:numPr>
        <w:kinsoku/>
        <w:wordWrap/>
        <w:overflowPunct/>
        <w:topLinePunct w:val="0"/>
        <w:autoSpaceDE/>
        <w:autoSpaceDN/>
        <w:bidi w:val="0"/>
        <w:adjustRightInd/>
        <w:snapToGrid/>
        <w:spacing w:line="480" w:lineRule="exact"/>
        <w:ind w:left="0" w:leftChars="0" w:firstLine="560" w:firstLineChars="200"/>
        <w:textAlignment w:val="auto"/>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服务标准</w:t>
      </w:r>
    </w:p>
    <w:p w14:paraId="13A63958">
      <w:pPr>
        <w:pStyle w:val="12"/>
        <w:keepNext w:val="0"/>
        <w:keepLines w:val="0"/>
        <w:pageBreakBefore w:val="0"/>
        <w:kinsoku/>
        <w:wordWrap/>
        <w:overflowPunct/>
        <w:topLinePunct w:val="0"/>
        <w:autoSpaceDE/>
        <w:autoSpaceDN/>
        <w:bidi w:val="0"/>
        <w:adjustRightInd/>
        <w:snapToGri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（一）污染调查符合《拟新增耕地土壤污染状况调查技术导则》（DB 32/T5145-2025）、《拟开垦为耕地的复垦土地及未利用地土壤污染状况调查技术指南（试行）》（苏农建[2023]1号）、《土壤环境质量农用地土壤污染风险管控标准（试行）》（GB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p>
    <w:p w14:paraId="6C175DA3">
      <w:pPr>
        <w:pStyle w:val="12"/>
        <w:keepNext w:val="0"/>
        <w:keepLines w:val="0"/>
        <w:pageBreakBefore w:val="0"/>
        <w:kinsoku/>
        <w:wordWrap/>
        <w:overflowPunct/>
        <w:topLinePunct w:val="0"/>
        <w:autoSpaceDE/>
        <w:autoSpaceDN/>
        <w:bidi w:val="0"/>
        <w:adjustRightInd/>
        <w:spacing w:after="0" w:line="480" w:lineRule="exact"/>
        <w:ind w:firstLine="560" w:firstLineChars="200"/>
        <w:textAlignment w:val="auto"/>
        <w:rPr>
          <w:rFonts w:hint="eastAsia" w:ascii="仿宋" w:hAnsi="仿宋" w:eastAsia="仿宋" w:cs="仿宋"/>
          <w:snapToGrid w:val="0"/>
          <w:color w:val="auto"/>
          <w:kern w:val="0"/>
          <w:sz w:val="28"/>
          <w:szCs w:val="21"/>
          <w:highlight w:val="none"/>
          <w:lang w:val="en-US" w:eastAsia="zh-CN" w:bidi="ar-SA"/>
        </w:rPr>
      </w:pPr>
      <w:r>
        <w:rPr>
          <w:rFonts w:hint="eastAsia" w:ascii="仿宋" w:hAnsi="仿宋" w:eastAsia="仿宋" w:cs="仿宋"/>
          <w:snapToGrid w:val="0"/>
          <w:color w:val="auto"/>
          <w:kern w:val="0"/>
          <w:sz w:val="28"/>
          <w:szCs w:val="21"/>
          <w:highlight w:val="none"/>
          <w:lang w:val="en-US" w:eastAsia="zh-CN" w:bidi="ar-SA"/>
        </w:rPr>
        <w:t>（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p>
    <w:p w14:paraId="03997044">
      <w:pPr>
        <w:keepNext w:val="0"/>
        <w:keepLines w:val="0"/>
        <w:pageBreakBefore w:val="0"/>
        <w:numPr>
          <w:ilvl w:val="0"/>
          <w:numId w:val="1"/>
        </w:numPr>
        <w:kinsoku/>
        <w:wordWrap/>
        <w:overflowPunct/>
        <w:topLinePunct w:val="0"/>
        <w:autoSpaceDE/>
        <w:autoSpaceDN/>
        <w:bidi w:val="0"/>
        <w:adjustRightInd/>
        <w:spacing w:line="480" w:lineRule="exact"/>
        <w:ind w:left="0" w:leftChars="0" w:firstLine="560" w:firstLineChars="200"/>
        <w:textAlignment w:val="auto"/>
        <w:outlineLvl w:val="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服务期限和地点</w:t>
      </w:r>
    </w:p>
    <w:p w14:paraId="03207246">
      <w:pPr>
        <w:keepNext w:val="0"/>
        <w:keepLines w:val="0"/>
        <w:pageBreakBefore w:val="0"/>
        <w:numPr>
          <w:ilvl w:val="0"/>
          <w:numId w:val="0"/>
        </w:numPr>
        <w:kinsoku/>
        <w:wordWrap/>
        <w:overflowPunct/>
        <w:topLinePunct w:val="0"/>
        <w:autoSpaceDE/>
        <w:autoSpaceDN/>
        <w:bidi w:val="0"/>
        <w:adjustRightInd/>
        <w:spacing w:line="480" w:lineRule="exact"/>
        <w:ind w:firstLine="560" w:firstLineChars="200"/>
        <w:textAlignment w:val="auto"/>
        <w:outlineLvl w:val="0"/>
        <w:rPr>
          <w:rFonts w:ascii="仿宋" w:hAnsi="仿宋" w:eastAsia="仿宋"/>
          <w:color w:val="auto"/>
          <w:sz w:val="28"/>
          <w:szCs w:val="28"/>
          <w:highlight w:val="none"/>
        </w:rPr>
      </w:pPr>
      <w:r>
        <w:rPr>
          <w:rFonts w:hint="eastAsia" w:ascii="仿宋" w:hAnsi="仿宋" w:eastAsia="仿宋"/>
          <w:color w:val="auto"/>
          <w:sz w:val="28"/>
          <w:szCs w:val="28"/>
          <w:highlight w:val="none"/>
        </w:rPr>
        <w:t>服务期限：</w:t>
      </w:r>
      <w:r>
        <w:rPr>
          <w:rFonts w:hint="eastAsia" w:ascii="仿宋" w:hAnsi="仿宋" w:eastAsia="仿宋"/>
          <w:color w:val="auto"/>
          <w:sz w:val="28"/>
          <w:szCs w:val="28"/>
          <w:highlight w:val="none"/>
          <w:lang w:val="en-US" w:eastAsia="zh-CN"/>
        </w:rPr>
        <w:t>2026年8月-2028年12月。</w:t>
      </w:r>
    </w:p>
    <w:p w14:paraId="1A028C47">
      <w:pPr>
        <w:keepNext w:val="0"/>
        <w:keepLines w:val="0"/>
        <w:pageBreakBefore w:val="0"/>
        <w:kinsoku/>
        <w:wordWrap/>
        <w:overflowPunct/>
        <w:topLinePunct w:val="0"/>
        <w:autoSpaceDE/>
        <w:autoSpaceDN/>
        <w:bidi w:val="0"/>
        <w:adjustRightInd/>
        <w:spacing w:line="480" w:lineRule="exact"/>
        <w:ind w:firstLine="560" w:firstLineChars="200"/>
        <w:textAlignment w:val="auto"/>
        <w:outlineLvl w:val="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val="en-US" w:eastAsia="zh-CN"/>
        </w:rPr>
        <w:t>采购人指定地点（如皋境内）</w:t>
      </w:r>
    </w:p>
    <w:p w14:paraId="72A48CC4">
      <w:pPr>
        <w:keepNext w:val="0"/>
        <w:keepLines w:val="0"/>
        <w:pageBreakBefore w:val="0"/>
        <w:kinsoku/>
        <w:wordWrap/>
        <w:overflowPunct/>
        <w:topLinePunct w:val="0"/>
        <w:autoSpaceDE/>
        <w:autoSpaceDN/>
        <w:bidi w:val="0"/>
        <w:adjustRightInd/>
        <w:spacing w:line="480" w:lineRule="exact"/>
        <w:ind w:firstLine="560" w:firstLineChars="200"/>
        <w:textAlignment w:val="auto"/>
        <w:rPr>
          <w:rFonts w:ascii="黑体" w:hAnsi="黑体" w:eastAsia="黑体"/>
          <w:color w:val="auto"/>
          <w:sz w:val="28"/>
          <w:szCs w:val="28"/>
          <w:highlight w:val="none"/>
        </w:rPr>
      </w:pPr>
      <w:r>
        <w:rPr>
          <w:rFonts w:hint="eastAsia" w:ascii="黑体" w:hAnsi="黑体" w:eastAsia="黑体"/>
          <w:color w:val="auto"/>
          <w:sz w:val="28"/>
          <w:szCs w:val="28"/>
          <w:highlight w:val="none"/>
        </w:rPr>
        <w:t>六、</w:t>
      </w:r>
      <w:r>
        <w:rPr>
          <w:rFonts w:hint="eastAsia" w:ascii="黑体" w:hAnsi="黑体" w:eastAsia="黑体"/>
          <w:color w:val="auto"/>
          <w:sz w:val="28"/>
          <w:szCs w:val="28"/>
          <w:highlight w:val="none"/>
          <w:lang w:val="en-US" w:eastAsia="zh-CN"/>
        </w:rPr>
        <w:t>考核</w:t>
      </w:r>
      <w:r>
        <w:rPr>
          <w:rFonts w:hint="eastAsia" w:ascii="黑体" w:hAnsi="黑体" w:eastAsia="黑体"/>
          <w:color w:val="auto"/>
          <w:sz w:val="28"/>
          <w:szCs w:val="28"/>
          <w:highlight w:val="none"/>
        </w:rPr>
        <w:t>方案</w:t>
      </w:r>
    </w:p>
    <w:p w14:paraId="2B27BC9A">
      <w:pPr>
        <w:spacing w:line="500" w:lineRule="exact"/>
        <w:ind w:firstLine="562" w:firstLineChars="20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一</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成交供应商负责验收资料收集、整理、上报、归档等相关工作的驻场人员需保证每周五天出勤，每缺勤一天扣违约金500元，累计缺勤5天或连续缺勤3天（书面请假，采购人同意除外），采购人有权解除合同，已完成工作量不予结算，由供应商承担由此发生的全部责任和损失</w:t>
      </w:r>
      <w:r>
        <w:rPr>
          <w:rFonts w:hint="eastAsia" w:ascii="仿宋" w:hAnsi="仿宋" w:eastAsia="仿宋" w:cs="仿宋"/>
          <w:b/>
          <w:bCs w:val="0"/>
          <w:color w:val="auto"/>
          <w:sz w:val="28"/>
          <w:szCs w:val="28"/>
          <w:highlight w:val="none"/>
        </w:rPr>
        <w:t>。</w:t>
      </w:r>
    </w:p>
    <w:p w14:paraId="61E5F5B7">
      <w:pPr>
        <w:spacing w:line="500" w:lineRule="exact"/>
        <w:ind w:firstLine="562" w:firstLineChars="200"/>
        <w:rPr>
          <w:rFonts w:hint="eastAsia" w:ascii="仿宋" w:hAnsi="仿宋" w:eastAsia="仿宋" w:cs="仿宋"/>
          <w:b/>
          <w:bCs/>
          <w:snapToGrid w:val="0"/>
          <w:color w:val="auto"/>
          <w:kern w:val="0"/>
          <w:sz w:val="28"/>
          <w:szCs w:val="21"/>
          <w:highlight w:val="none"/>
          <w:lang w:val="en-US" w:eastAsia="zh-CN" w:bidi="ar-SA"/>
        </w:rPr>
      </w:pPr>
      <w:r>
        <w:rPr>
          <w:rFonts w:hint="eastAsia" w:ascii="仿宋" w:hAnsi="仿宋" w:eastAsia="仿宋" w:cs="仿宋"/>
          <w:b/>
          <w:bCs w:val="0"/>
          <w:color w:val="auto"/>
          <w:sz w:val="28"/>
          <w:szCs w:val="28"/>
          <w:highlight w:val="none"/>
          <w:lang w:val="en-US" w:eastAsia="zh-CN"/>
        </w:rPr>
        <w:t>（二）</w:t>
      </w:r>
      <w:r>
        <w:rPr>
          <w:rFonts w:hint="eastAsia" w:ascii="仿宋" w:hAnsi="仿宋" w:eastAsia="仿宋" w:cs="仿宋"/>
          <w:b/>
          <w:bCs/>
          <w:snapToGrid w:val="0"/>
          <w:color w:val="auto"/>
          <w:kern w:val="0"/>
          <w:sz w:val="28"/>
          <w:szCs w:val="21"/>
          <w:highlight w:val="none"/>
          <w:lang w:val="en-US" w:eastAsia="zh-CN" w:bidi="ar-SA"/>
        </w:rPr>
        <w:t>项目负责人未按照服务要求实际牵头负责本项目的实施，未在项目踏勘、专家评审等重要环节中全程参与，</w:t>
      </w:r>
      <w:r>
        <w:rPr>
          <w:rFonts w:hint="eastAsia" w:ascii="仿宋" w:hAnsi="仿宋" w:eastAsia="仿宋" w:cs="仿宋"/>
          <w:b/>
          <w:bCs w:val="0"/>
          <w:color w:val="auto"/>
          <w:sz w:val="28"/>
          <w:szCs w:val="28"/>
          <w:highlight w:val="none"/>
          <w:lang w:val="en-US" w:eastAsia="zh-CN"/>
        </w:rPr>
        <w:t>采购人有权解除合同，已完成工作量不予结算，由供应商承担由此发生的全部责任和损失</w:t>
      </w:r>
      <w:r>
        <w:rPr>
          <w:rFonts w:hint="eastAsia" w:ascii="仿宋" w:hAnsi="仿宋" w:eastAsia="仿宋" w:cs="仿宋"/>
          <w:b/>
          <w:bCs/>
          <w:snapToGrid w:val="0"/>
          <w:color w:val="auto"/>
          <w:kern w:val="0"/>
          <w:sz w:val="28"/>
          <w:szCs w:val="21"/>
          <w:highlight w:val="none"/>
          <w:lang w:val="en-US" w:eastAsia="zh-CN" w:bidi="ar-SA"/>
        </w:rPr>
        <w:t>。</w:t>
      </w:r>
    </w:p>
    <w:p w14:paraId="06B5DC20">
      <w:pPr>
        <w:spacing w:line="500" w:lineRule="exact"/>
        <w:ind w:firstLine="562" w:firstLineChars="200"/>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（三）如成交供应商提交的成果因质量缺陷未通过南通市级鉴定，成交供应商将承担全部法律责任，采购人有权拒付剩余款项。</w:t>
      </w:r>
    </w:p>
    <w:p w14:paraId="2DD14A3C">
      <w:pPr>
        <w:keepNext w:val="0"/>
        <w:keepLines w:val="0"/>
        <w:pageBreakBefore w:val="0"/>
        <w:kinsoku/>
        <w:wordWrap/>
        <w:overflowPunct/>
        <w:topLinePunct w:val="0"/>
        <w:autoSpaceDE/>
        <w:autoSpaceDN/>
        <w:bidi w:val="0"/>
        <w:adjustRightInd/>
        <w:spacing w:line="480" w:lineRule="exact"/>
        <w:ind w:firstLine="560" w:firstLineChars="200"/>
        <w:textAlignment w:val="auto"/>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lang w:val="en-US" w:eastAsia="zh-CN"/>
        </w:rPr>
        <w:t>七</w:t>
      </w:r>
      <w:r>
        <w:rPr>
          <w:rFonts w:hint="eastAsia" w:ascii="黑体" w:hAnsi="黑体" w:eastAsia="黑体"/>
          <w:color w:val="auto"/>
          <w:sz w:val="28"/>
          <w:szCs w:val="28"/>
          <w:highlight w:val="none"/>
        </w:rPr>
        <w:t>、付款方式</w:t>
      </w:r>
    </w:p>
    <w:p w14:paraId="37048939">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cs="Times New Roman"/>
          <w:b/>
          <w:bCs/>
          <w:color w:val="auto"/>
          <w:sz w:val="28"/>
          <w:szCs w:val="28"/>
          <w:highlight w:val="none"/>
          <w:lang w:val="en-US" w:eastAsia="zh-CN"/>
        </w:rPr>
        <w:t>完成</w:t>
      </w:r>
      <w:r>
        <w:rPr>
          <w:rFonts w:hint="default" w:ascii="仿宋" w:hAnsi="仿宋" w:eastAsia="仿宋" w:cs="Times New Roman"/>
          <w:b/>
          <w:bCs/>
          <w:color w:val="auto"/>
          <w:sz w:val="28"/>
          <w:szCs w:val="28"/>
          <w:highlight w:val="none"/>
          <w:lang w:val="en-US" w:eastAsia="zh-CN"/>
        </w:rPr>
        <w:t>拟新增耕地</w:t>
      </w:r>
      <w:r>
        <w:rPr>
          <w:rFonts w:hint="eastAsia" w:ascii="仿宋" w:hAnsi="仿宋" w:eastAsia="仿宋" w:cs="Times New Roman"/>
          <w:b/>
          <w:bCs/>
          <w:color w:val="auto"/>
          <w:sz w:val="28"/>
          <w:szCs w:val="28"/>
          <w:highlight w:val="none"/>
          <w:lang w:val="en-US" w:eastAsia="zh-CN"/>
        </w:rPr>
        <w:t>土壤污染</w:t>
      </w:r>
      <w:r>
        <w:rPr>
          <w:rFonts w:hint="default" w:ascii="仿宋" w:hAnsi="仿宋" w:eastAsia="仿宋" w:cs="Times New Roman"/>
          <w:b/>
          <w:bCs/>
          <w:color w:val="auto"/>
          <w:sz w:val="28"/>
          <w:szCs w:val="28"/>
          <w:highlight w:val="none"/>
          <w:lang w:val="en-US" w:eastAsia="zh-CN"/>
        </w:rPr>
        <w:t>状况调查</w:t>
      </w:r>
      <w:r>
        <w:rPr>
          <w:rFonts w:hint="eastAsia" w:ascii="仿宋" w:hAnsi="仿宋" w:eastAsia="仿宋" w:cs="Times New Roman"/>
          <w:b/>
          <w:bCs/>
          <w:color w:val="auto"/>
          <w:sz w:val="28"/>
          <w:szCs w:val="28"/>
          <w:highlight w:val="none"/>
          <w:lang w:val="en-US" w:eastAsia="zh-CN"/>
        </w:rPr>
        <w:t>报告并通过评审的支付合同价总额的30%；完成</w:t>
      </w:r>
      <w:r>
        <w:rPr>
          <w:rFonts w:hint="default" w:ascii="仿宋" w:hAnsi="仿宋" w:eastAsia="仿宋" w:cs="Times New Roman"/>
          <w:b/>
          <w:bCs/>
          <w:color w:val="auto"/>
          <w:sz w:val="28"/>
          <w:szCs w:val="28"/>
          <w:highlight w:val="none"/>
          <w:lang w:val="en-US" w:eastAsia="zh-CN"/>
        </w:rPr>
        <w:t>补充耕地质量鉴定鉴定</w:t>
      </w:r>
      <w:r>
        <w:rPr>
          <w:rFonts w:hint="eastAsia" w:ascii="仿宋" w:hAnsi="仿宋" w:eastAsia="仿宋" w:cs="Times New Roman"/>
          <w:b/>
          <w:bCs/>
          <w:color w:val="auto"/>
          <w:sz w:val="28"/>
          <w:szCs w:val="28"/>
          <w:highlight w:val="none"/>
          <w:lang w:val="en-US" w:eastAsia="zh-CN"/>
        </w:rPr>
        <w:t>检测工作后付至合同价总额的70%；待通过南通市级</w:t>
      </w:r>
      <w:r>
        <w:rPr>
          <w:rFonts w:hint="default" w:ascii="仿宋" w:hAnsi="仿宋" w:eastAsia="仿宋" w:cs="Times New Roman"/>
          <w:b/>
          <w:bCs/>
          <w:color w:val="auto"/>
          <w:sz w:val="28"/>
          <w:szCs w:val="28"/>
          <w:highlight w:val="none"/>
          <w:lang w:val="en-US" w:eastAsia="zh-CN"/>
        </w:rPr>
        <w:t>补充耕地质量鉴定</w:t>
      </w:r>
      <w:r>
        <w:rPr>
          <w:rFonts w:hint="eastAsia" w:ascii="仿宋" w:hAnsi="仿宋" w:eastAsia="仿宋" w:cs="Times New Roman"/>
          <w:b/>
          <w:bCs/>
          <w:color w:val="auto"/>
          <w:sz w:val="28"/>
          <w:szCs w:val="28"/>
          <w:highlight w:val="none"/>
          <w:lang w:val="en-US" w:eastAsia="zh-CN"/>
        </w:rPr>
        <w:t>后付清余款。按年每年年底支付，</w:t>
      </w:r>
      <w:r>
        <w:rPr>
          <w:rFonts w:hint="eastAsia" w:ascii="仿宋" w:hAnsi="仿宋" w:eastAsia="仿宋" w:cs="仿宋"/>
          <w:b/>
          <w:bCs/>
          <w:color w:val="auto"/>
          <w:sz w:val="28"/>
          <w:szCs w:val="28"/>
          <w:highlight w:val="none"/>
          <w:lang w:val="en-US" w:eastAsia="zh-CN"/>
        </w:rPr>
        <w:t>每次</w:t>
      </w:r>
      <w:r>
        <w:rPr>
          <w:rFonts w:hint="eastAsia" w:ascii="仿宋" w:hAnsi="仿宋" w:eastAsia="仿宋"/>
          <w:b/>
          <w:bCs/>
          <w:color w:val="auto"/>
          <w:sz w:val="28"/>
          <w:szCs w:val="28"/>
          <w:highlight w:val="none"/>
        </w:rPr>
        <w:t>支付前，成交供应商</w:t>
      </w:r>
      <w:r>
        <w:rPr>
          <w:rFonts w:hint="eastAsia" w:ascii="仿宋" w:hAnsi="仿宋" w:eastAsia="仿宋"/>
          <w:b/>
          <w:bCs/>
          <w:color w:val="auto"/>
          <w:sz w:val="28"/>
          <w:szCs w:val="28"/>
          <w:highlight w:val="none"/>
          <w:lang w:val="en-US" w:eastAsia="zh-CN"/>
        </w:rPr>
        <w:t>均</w:t>
      </w:r>
      <w:r>
        <w:rPr>
          <w:rFonts w:hint="eastAsia" w:ascii="仿宋" w:hAnsi="仿宋" w:eastAsia="仿宋"/>
          <w:b/>
          <w:bCs/>
          <w:color w:val="auto"/>
          <w:sz w:val="28"/>
          <w:szCs w:val="28"/>
          <w:highlight w:val="none"/>
        </w:rPr>
        <w:t>应出具相应金额的正式税票。</w:t>
      </w:r>
    </w:p>
    <w:p w14:paraId="00C6A635">
      <w:pPr>
        <w:keepNext w:val="0"/>
        <w:keepLines w:val="0"/>
        <w:pageBreakBefore w:val="0"/>
        <w:kinsoku/>
        <w:wordWrap/>
        <w:overflowPunct/>
        <w:topLinePunct w:val="0"/>
        <w:autoSpaceDE/>
        <w:autoSpaceDN/>
        <w:bidi w:val="0"/>
        <w:adjustRightInd/>
        <w:spacing w:line="480" w:lineRule="exact"/>
        <w:ind w:firstLine="560" w:firstLineChars="200"/>
        <w:textAlignment w:val="auto"/>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八</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val="en-US" w:eastAsia="zh-CN"/>
        </w:rPr>
        <w:t>报价</w:t>
      </w:r>
      <w:r>
        <w:rPr>
          <w:rFonts w:hint="eastAsia" w:ascii="黑体" w:hAnsi="黑体" w:eastAsia="黑体"/>
          <w:color w:val="auto"/>
          <w:sz w:val="28"/>
          <w:szCs w:val="28"/>
          <w:highlight w:val="none"/>
        </w:rPr>
        <w:t>要求</w:t>
      </w:r>
    </w:p>
    <w:p w14:paraId="67A08353">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1.</w:t>
      </w:r>
      <w:r>
        <w:rPr>
          <w:rFonts w:hint="eastAsia" w:ascii="仿宋" w:hAnsi="仿宋" w:eastAsia="仿宋" w:cs="Times New Roman"/>
          <w:b/>
          <w:bCs w:val="0"/>
          <w:color w:val="auto"/>
          <w:sz w:val="28"/>
          <w:szCs w:val="28"/>
          <w:highlight w:val="none"/>
          <w:lang w:val="en-US" w:eastAsia="zh-CN"/>
        </w:rPr>
        <w:t>本项目为综合单价报价，结算时按中标单价和实际量进行最终结算，按实结算。</w:t>
      </w:r>
      <w:r>
        <w:rPr>
          <w:rFonts w:hint="eastAsia" w:ascii="仿宋" w:hAnsi="仿宋" w:eastAsia="仿宋" w:cs="Times New Roman"/>
          <w:bCs/>
          <w:color w:val="auto"/>
          <w:sz w:val="28"/>
          <w:szCs w:val="28"/>
          <w:highlight w:val="none"/>
        </w:rPr>
        <w:t>供应商报价应包括采购范围内的全部内容，供应商应结合本单位及本项目实际情况，充分考虑市场现状，</w:t>
      </w:r>
      <w:r>
        <w:rPr>
          <w:rFonts w:hint="eastAsia" w:ascii="仿宋" w:hAnsi="仿宋" w:eastAsia="仿宋" w:cs="Times New Roman"/>
          <w:bCs/>
          <w:color w:val="auto"/>
          <w:sz w:val="28"/>
          <w:szCs w:val="28"/>
          <w:highlight w:val="none"/>
          <w:lang w:val="en-US" w:eastAsia="zh-CN"/>
        </w:rPr>
        <w:t>响应</w:t>
      </w:r>
      <w:r>
        <w:rPr>
          <w:rFonts w:hint="eastAsia" w:ascii="仿宋" w:hAnsi="仿宋" w:eastAsia="仿宋" w:cs="Times New Roman"/>
          <w:bCs/>
          <w:color w:val="auto"/>
          <w:sz w:val="28"/>
          <w:szCs w:val="28"/>
          <w:highlight w:val="none"/>
        </w:rPr>
        <w:t>报价为供应商所投服务的全费用报价。</w:t>
      </w:r>
      <w:r>
        <w:rPr>
          <w:rFonts w:hint="eastAsia" w:ascii="仿宋" w:hAnsi="仿宋" w:eastAsia="仿宋" w:cs="Times New Roman"/>
          <w:bCs/>
          <w:color w:val="auto"/>
          <w:sz w:val="28"/>
          <w:szCs w:val="28"/>
          <w:highlight w:val="none"/>
          <w:lang w:val="en-US" w:eastAsia="zh-CN"/>
        </w:rPr>
        <w:t>响应</w:t>
      </w:r>
      <w:r>
        <w:rPr>
          <w:rFonts w:hint="eastAsia" w:ascii="仿宋" w:hAnsi="仿宋" w:eastAsia="仿宋" w:cs="Times New Roman"/>
          <w:bCs/>
          <w:color w:val="auto"/>
          <w:sz w:val="28"/>
          <w:szCs w:val="28"/>
          <w:highlight w:val="none"/>
        </w:rPr>
        <w:t>报价的范围：为含税全包价，</w:t>
      </w:r>
      <w:r>
        <w:rPr>
          <w:rFonts w:hint="eastAsia" w:ascii="仿宋" w:hAnsi="仿宋" w:eastAsia="仿宋" w:cs="Times New Roman"/>
          <w:b/>
          <w:bCs w:val="0"/>
          <w:i/>
          <w:iCs/>
          <w:color w:val="auto"/>
          <w:sz w:val="28"/>
          <w:szCs w:val="28"/>
          <w:highlight w:val="none"/>
          <w:u w:val="single"/>
        </w:rPr>
        <w:t>包括完成本项目所需的</w:t>
      </w:r>
      <w:r>
        <w:rPr>
          <w:rFonts w:hint="eastAsia" w:ascii="仿宋" w:hAnsi="仿宋" w:eastAsia="仿宋" w:cs="Times New Roman"/>
          <w:b/>
          <w:bCs w:val="0"/>
          <w:i/>
          <w:iCs/>
          <w:color w:val="auto"/>
          <w:sz w:val="28"/>
          <w:szCs w:val="28"/>
          <w:highlight w:val="none"/>
          <w:u w:val="single"/>
          <w:lang w:val="en-US" w:eastAsia="zh-CN"/>
        </w:rPr>
        <w:t>检测费、专家费、</w:t>
      </w:r>
      <w:r>
        <w:rPr>
          <w:rFonts w:hint="eastAsia" w:ascii="仿宋" w:hAnsi="仿宋" w:eastAsia="仿宋" w:cs="Times New Roman"/>
          <w:b/>
          <w:bCs w:val="0"/>
          <w:i/>
          <w:iCs/>
          <w:color w:val="auto"/>
          <w:sz w:val="28"/>
          <w:szCs w:val="28"/>
          <w:highlight w:val="none"/>
          <w:u w:val="single"/>
        </w:rPr>
        <w:t>人工费、</w:t>
      </w:r>
      <w:r>
        <w:rPr>
          <w:rFonts w:hint="eastAsia" w:ascii="仿宋" w:hAnsi="仿宋" w:eastAsia="仿宋" w:cs="Times New Roman"/>
          <w:b/>
          <w:bCs w:val="0"/>
          <w:i/>
          <w:iCs/>
          <w:color w:val="auto"/>
          <w:sz w:val="28"/>
          <w:szCs w:val="28"/>
          <w:highlight w:val="none"/>
          <w:u w:val="single"/>
          <w:lang w:val="en-US" w:eastAsia="zh-CN"/>
        </w:rPr>
        <w:t>交通费、</w:t>
      </w:r>
      <w:r>
        <w:rPr>
          <w:rFonts w:hint="eastAsia" w:ascii="仿宋" w:hAnsi="仿宋" w:eastAsia="仿宋" w:cs="Times New Roman"/>
          <w:b/>
          <w:bCs w:val="0"/>
          <w:i/>
          <w:iCs/>
          <w:color w:val="auto"/>
          <w:sz w:val="28"/>
          <w:szCs w:val="28"/>
          <w:highlight w:val="none"/>
          <w:u w:val="single"/>
        </w:rPr>
        <w:t>伙食费、住宿费、设备</w:t>
      </w:r>
      <w:r>
        <w:rPr>
          <w:rFonts w:hint="eastAsia" w:ascii="仿宋" w:hAnsi="仿宋" w:eastAsia="仿宋" w:cs="Times New Roman"/>
          <w:b/>
          <w:bCs w:val="0"/>
          <w:i/>
          <w:iCs/>
          <w:color w:val="auto"/>
          <w:sz w:val="28"/>
          <w:szCs w:val="28"/>
          <w:highlight w:val="none"/>
          <w:u w:val="single"/>
          <w:lang w:val="en-US" w:eastAsia="zh-CN"/>
        </w:rPr>
        <w:t>费</w:t>
      </w:r>
      <w:r>
        <w:rPr>
          <w:rFonts w:hint="eastAsia" w:ascii="仿宋" w:hAnsi="仿宋" w:eastAsia="仿宋" w:cs="Times New Roman"/>
          <w:b/>
          <w:bCs w:val="0"/>
          <w:i/>
          <w:iCs/>
          <w:color w:val="auto"/>
          <w:sz w:val="28"/>
          <w:szCs w:val="28"/>
          <w:highlight w:val="none"/>
          <w:u w:val="single"/>
          <w:lang w:eastAsia="zh-CN"/>
        </w:rPr>
        <w:t>、</w:t>
      </w:r>
      <w:r>
        <w:rPr>
          <w:rFonts w:hint="eastAsia" w:ascii="仿宋" w:hAnsi="仿宋" w:eastAsia="仿宋" w:cs="Times New Roman"/>
          <w:b/>
          <w:bCs w:val="0"/>
          <w:i/>
          <w:iCs/>
          <w:color w:val="auto"/>
          <w:sz w:val="28"/>
          <w:szCs w:val="28"/>
          <w:highlight w:val="none"/>
          <w:u w:val="single"/>
        </w:rPr>
        <w:t>管理费、利润、税金</w:t>
      </w:r>
      <w:r>
        <w:rPr>
          <w:rFonts w:hint="eastAsia" w:ascii="仿宋" w:hAnsi="仿宋" w:eastAsia="仿宋" w:cs="Times New Roman"/>
          <w:b/>
          <w:bCs w:val="0"/>
          <w:i/>
          <w:iCs/>
          <w:color w:val="auto"/>
          <w:sz w:val="28"/>
          <w:szCs w:val="28"/>
          <w:highlight w:val="none"/>
          <w:u w:val="single"/>
          <w:lang w:eastAsia="zh-CN"/>
        </w:rPr>
        <w:t>、</w:t>
      </w:r>
      <w:r>
        <w:rPr>
          <w:rFonts w:hint="eastAsia" w:ascii="仿宋" w:hAnsi="仿宋" w:eastAsia="仿宋" w:cs="Times New Roman"/>
          <w:b/>
          <w:bCs w:val="0"/>
          <w:i/>
          <w:iCs/>
          <w:color w:val="auto"/>
          <w:sz w:val="28"/>
          <w:szCs w:val="28"/>
          <w:highlight w:val="none"/>
          <w:u w:val="single"/>
          <w:lang w:val="en-US" w:eastAsia="zh-CN"/>
        </w:rPr>
        <w:t>所有与本项目相关的一切</w:t>
      </w:r>
      <w:r>
        <w:rPr>
          <w:rFonts w:hint="eastAsia" w:ascii="仿宋" w:hAnsi="仿宋" w:eastAsia="仿宋" w:cs="Times New Roman"/>
          <w:b/>
          <w:bCs w:val="0"/>
          <w:i/>
          <w:iCs/>
          <w:color w:val="auto"/>
          <w:sz w:val="28"/>
          <w:szCs w:val="28"/>
          <w:highlight w:val="none"/>
          <w:u w:val="single"/>
        </w:rPr>
        <w:t>等费用</w:t>
      </w:r>
      <w:r>
        <w:rPr>
          <w:rFonts w:hint="eastAsia" w:ascii="仿宋" w:hAnsi="仿宋" w:eastAsia="仿宋" w:cs="Times New Roman"/>
          <w:b/>
          <w:bCs w:val="0"/>
          <w:i/>
          <w:iCs/>
          <w:color w:val="auto"/>
          <w:sz w:val="28"/>
          <w:szCs w:val="28"/>
          <w:highlight w:val="none"/>
          <w:u w:val="single"/>
          <w:lang w:eastAsia="zh-CN"/>
        </w:rPr>
        <w:t>。</w:t>
      </w:r>
      <w:r>
        <w:rPr>
          <w:rFonts w:hint="eastAsia" w:ascii="仿宋" w:hAnsi="仿宋" w:eastAsia="仿宋" w:cs="Times New Roman"/>
          <w:b/>
          <w:bCs w:val="0"/>
          <w:i/>
          <w:iCs/>
          <w:color w:val="auto"/>
          <w:sz w:val="28"/>
          <w:szCs w:val="28"/>
          <w:highlight w:val="none"/>
          <w:u w:val="single"/>
        </w:rPr>
        <w:t>结合本项目实际情况并综合考虑与服务成果相关的踏勘、会议、专家评审、咨询、验收、资料收集装订、政策性文件规定及合同包含的所有风险、责任等所有费用。成交后不允许擅自改变服务内容、质量标准、期限与追加项目预算。</w:t>
      </w:r>
      <w:r>
        <w:rPr>
          <w:rFonts w:hint="eastAsia" w:ascii="仿宋" w:hAnsi="仿宋" w:eastAsia="仿宋" w:cs="Times New Roman"/>
          <w:bCs/>
          <w:color w:val="auto"/>
          <w:sz w:val="28"/>
          <w:szCs w:val="28"/>
          <w:highlight w:val="none"/>
        </w:rPr>
        <w:t>凡供应商在报价中未列明但又为本次采购所必备的项目或遗漏项目，采购人将一律视为已包括在其报价中，在合同执行中将不予考虑。</w:t>
      </w:r>
    </w:p>
    <w:p w14:paraId="56E354C4">
      <w:pPr>
        <w:keepNext w:val="0"/>
        <w:keepLines w:val="0"/>
        <w:pageBreakBefore w:val="0"/>
        <w:kinsoku/>
        <w:wordWrap/>
        <w:overflowPunct/>
        <w:topLinePunct w:val="0"/>
        <w:autoSpaceDE/>
        <w:autoSpaceDN/>
        <w:bidi w:val="0"/>
        <w:spacing w:line="440" w:lineRule="exact"/>
        <w:ind w:firstLine="562" w:firstLineChars="200"/>
        <w:textAlignment w:val="auto"/>
        <w:rPr>
          <w:rFonts w:hint="eastAsia" w:ascii="仿宋" w:hAnsi="仿宋" w:eastAsia="仿宋" w:cs="Times New Roman"/>
          <w:b/>
          <w:bCs w:val="0"/>
          <w:i/>
          <w:iCs/>
          <w:color w:val="auto"/>
          <w:sz w:val="28"/>
          <w:szCs w:val="28"/>
          <w:highlight w:val="none"/>
          <w:u w:val="single"/>
        </w:rPr>
      </w:pPr>
      <w:r>
        <w:rPr>
          <w:rFonts w:hint="eastAsia" w:ascii="仿宋" w:hAnsi="仿宋" w:eastAsia="仿宋" w:cs="Times New Roman"/>
          <w:b/>
          <w:bCs w:val="0"/>
          <w:i/>
          <w:iCs/>
          <w:color w:val="auto"/>
          <w:sz w:val="28"/>
          <w:szCs w:val="28"/>
          <w:highlight w:val="none"/>
          <w:u w:val="single"/>
          <w:lang w:val="en-US" w:eastAsia="zh-CN"/>
        </w:rPr>
        <w:t>2.</w:t>
      </w:r>
      <w:r>
        <w:rPr>
          <w:rFonts w:hint="eastAsia" w:ascii="仿宋" w:hAnsi="仿宋" w:eastAsia="仿宋" w:cs="Times New Roman"/>
          <w:b/>
          <w:bCs w:val="0"/>
          <w:i/>
          <w:iCs/>
          <w:color w:val="auto"/>
          <w:sz w:val="28"/>
          <w:szCs w:val="28"/>
          <w:highlight w:val="none"/>
          <w:u w:val="single"/>
        </w:rPr>
        <w:t>本项目</w:t>
      </w:r>
      <w:r>
        <w:rPr>
          <w:rFonts w:hint="eastAsia" w:ascii="仿宋" w:hAnsi="仿宋" w:eastAsia="仿宋" w:cs="Times New Roman"/>
          <w:b/>
          <w:bCs w:val="0"/>
          <w:i/>
          <w:iCs/>
          <w:color w:val="auto"/>
          <w:sz w:val="28"/>
          <w:szCs w:val="28"/>
          <w:highlight w:val="none"/>
          <w:u w:val="single"/>
          <w:lang w:val="en-US" w:eastAsia="zh-CN"/>
        </w:rPr>
        <w:t>各采购包</w:t>
      </w:r>
      <w:r>
        <w:rPr>
          <w:rFonts w:hint="eastAsia" w:ascii="仿宋" w:hAnsi="仿宋" w:eastAsia="仿宋" w:cs="Times New Roman"/>
          <w:b/>
          <w:bCs w:val="0"/>
          <w:i/>
          <w:iCs/>
          <w:color w:val="auto"/>
          <w:sz w:val="28"/>
          <w:szCs w:val="28"/>
          <w:highlight w:val="none"/>
          <w:u w:val="single"/>
        </w:rPr>
        <w:t>实施范围不定，数据仅作为本次采购服务量的参照依据，各响应投标人以此数据作为测算报价的参考量，具体工作量需服从采购人安排开展工作。自行考虑实施范围变化风险，结算价以中标</w:t>
      </w:r>
      <w:r>
        <w:rPr>
          <w:rFonts w:hint="eastAsia" w:ascii="仿宋" w:hAnsi="仿宋" w:eastAsia="仿宋" w:cs="Times New Roman"/>
          <w:b/>
          <w:bCs w:val="0"/>
          <w:i/>
          <w:iCs/>
          <w:color w:val="auto"/>
          <w:sz w:val="28"/>
          <w:szCs w:val="28"/>
          <w:highlight w:val="none"/>
          <w:u w:val="single"/>
          <w:lang w:val="en-US" w:eastAsia="zh-CN"/>
        </w:rPr>
        <w:t>综合单</w:t>
      </w:r>
      <w:r>
        <w:rPr>
          <w:rFonts w:hint="eastAsia" w:ascii="仿宋" w:hAnsi="仿宋" w:eastAsia="仿宋" w:cs="Times New Roman"/>
          <w:b/>
          <w:bCs w:val="0"/>
          <w:i/>
          <w:iCs/>
          <w:color w:val="auto"/>
          <w:sz w:val="28"/>
          <w:szCs w:val="28"/>
          <w:highlight w:val="none"/>
          <w:u w:val="single"/>
        </w:rPr>
        <w:t>价</w:t>
      </w:r>
      <w:r>
        <w:rPr>
          <w:rFonts w:hint="eastAsia" w:ascii="仿宋" w:hAnsi="仿宋" w:eastAsia="仿宋" w:cs="Times New Roman"/>
          <w:b/>
          <w:bCs w:val="0"/>
          <w:i/>
          <w:iCs/>
          <w:color w:val="auto"/>
          <w:sz w:val="28"/>
          <w:szCs w:val="28"/>
          <w:highlight w:val="none"/>
          <w:u w:val="single"/>
          <w:lang w:val="en-US" w:eastAsia="zh-CN"/>
        </w:rPr>
        <w:t>按实结算</w:t>
      </w:r>
      <w:r>
        <w:rPr>
          <w:rFonts w:hint="eastAsia" w:ascii="仿宋" w:hAnsi="仿宋" w:eastAsia="仿宋" w:cs="Times New Roman"/>
          <w:b/>
          <w:bCs w:val="0"/>
          <w:i/>
          <w:iCs/>
          <w:color w:val="auto"/>
          <w:sz w:val="28"/>
          <w:szCs w:val="28"/>
          <w:highlight w:val="none"/>
          <w:u w:val="single"/>
        </w:rPr>
        <w:t>，招标人不因此增加任何费用。</w:t>
      </w:r>
    </w:p>
    <w:p w14:paraId="2C1568B9">
      <w:pPr>
        <w:keepNext w:val="0"/>
        <w:keepLines w:val="0"/>
        <w:pageBreakBefore w:val="0"/>
        <w:kinsoku/>
        <w:wordWrap/>
        <w:overflowPunct/>
        <w:topLinePunct w:val="0"/>
        <w:autoSpaceDE/>
        <w:autoSpaceDN/>
        <w:bidi w:val="0"/>
        <w:spacing w:line="440" w:lineRule="exact"/>
        <w:ind w:firstLine="562" w:firstLineChars="200"/>
        <w:textAlignment w:val="auto"/>
        <w:rPr>
          <w:rFonts w:hint="eastAsia" w:ascii="仿宋" w:hAnsi="仿宋" w:eastAsia="仿宋" w:cs="Times New Roman"/>
          <w:b/>
          <w:bCs w:val="0"/>
          <w:i/>
          <w:iCs/>
          <w:color w:val="auto"/>
          <w:sz w:val="28"/>
          <w:szCs w:val="28"/>
          <w:highlight w:val="none"/>
          <w:u w:val="single"/>
          <w:lang w:val="en-US" w:eastAsia="zh-CN"/>
        </w:rPr>
      </w:pPr>
      <w:r>
        <w:rPr>
          <w:rFonts w:hint="eastAsia" w:ascii="仿宋" w:hAnsi="仿宋" w:eastAsia="仿宋" w:cs="Times New Roman"/>
          <w:b/>
          <w:bCs w:val="0"/>
          <w:i/>
          <w:iCs/>
          <w:color w:val="auto"/>
          <w:sz w:val="28"/>
          <w:szCs w:val="28"/>
          <w:highlight w:val="none"/>
          <w:u w:val="single"/>
          <w:lang w:val="en-US" w:eastAsia="zh-CN"/>
        </w:rPr>
        <w:t>3.项目实施期间，经专家现场踏勘研判后，如需新增特征污染物加测项目，因相关检测内容存在不确定性，各投标供应商编制报价时，须充分统筹预判此类加测产生的各项成本，将潜在加测指标的费用全部包含在整体投标报价内，采购人后续不会对新增的加测指标另行支付任何费用。</w:t>
      </w:r>
    </w:p>
    <w:p w14:paraId="0F03A1E2">
      <w:pPr>
        <w:keepNext w:val="0"/>
        <w:keepLines w:val="0"/>
        <w:pageBreakBefore w:val="0"/>
        <w:kinsoku/>
        <w:wordWrap/>
        <w:overflowPunct/>
        <w:topLinePunct w:val="0"/>
        <w:autoSpaceDE/>
        <w:autoSpaceDN/>
        <w:bidi w:val="0"/>
        <w:spacing w:line="440" w:lineRule="exact"/>
        <w:ind w:firstLine="562" w:firstLineChars="200"/>
        <w:textAlignment w:val="auto"/>
        <w:rPr>
          <w:rFonts w:hint="eastAsia" w:ascii="仿宋" w:hAnsi="仿宋" w:eastAsia="仿宋" w:cs="Times New Roman"/>
          <w:b/>
          <w:bCs w:val="0"/>
          <w:i/>
          <w:iCs/>
          <w:color w:val="auto"/>
          <w:sz w:val="28"/>
          <w:szCs w:val="28"/>
          <w:highlight w:val="none"/>
          <w:u w:val="single"/>
        </w:rPr>
      </w:pPr>
      <w:r>
        <w:rPr>
          <w:rFonts w:hint="eastAsia" w:ascii="仿宋" w:hAnsi="仿宋" w:eastAsia="仿宋" w:cs="Times New Roman"/>
          <w:b/>
          <w:bCs w:val="0"/>
          <w:i/>
          <w:iCs/>
          <w:color w:val="auto"/>
          <w:sz w:val="28"/>
          <w:szCs w:val="28"/>
          <w:highlight w:val="none"/>
          <w:u w:val="single"/>
          <w:lang w:val="en-US" w:eastAsia="zh-CN"/>
        </w:rPr>
        <w:t>4.</w:t>
      </w:r>
      <w:r>
        <w:rPr>
          <w:rFonts w:hint="eastAsia" w:ascii="仿宋" w:hAnsi="仿宋" w:eastAsia="仿宋" w:cs="Times New Roman"/>
          <w:b/>
          <w:bCs w:val="0"/>
          <w:i/>
          <w:iCs/>
          <w:color w:val="auto"/>
          <w:sz w:val="28"/>
          <w:szCs w:val="28"/>
          <w:highlight w:val="none"/>
          <w:u w:val="single"/>
        </w:rPr>
        <w:t>供应商对服务缺陷应当及时予以更正，拖延或不予更正的，采购方有权另请其他单位更正，所发生的费用由中标人承担；供应商因自身工作失误导致成果错误，无法通过审批，采购人有权解除合同并追究供应商责任；如发现供应商出现弄虚作假行为的，采购单位有权解除合同并追究其相关责任。</w:t>
      </w:r>
    </w:p>
    <w:p w14:paraId="32204841">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、其他要求</w:t>
      </w:r>
    </w:p>
    <w:p w14:paraId="482718EC">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1、本项目所形成的数据成果归采购人所有。项目任务实施中涉及的相关保密数据、资料、文档等按照相应相关保密规定执行，成交投标人有对资料保密的义务。不得以商业目的使用该资料或者开发和生产其他产品。</w:t>
      </w:r>
    </w:p>
    <w:p w14:paraId="346528AB">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2、响应单位必须承诺满足采购文件中提出的全部服务要求；如果以其中某些条款不响应时，应在文件中逐条列出，未列出的视同响应。</w:t>
      </w:r>
    </w:p>
    <w:p w14:paraId="415A495D">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3、中标单位工作人员在岗履行职责期间（包括上下班途中），发生自身的人身伤害、伤亡，均由成交单位负责处理并承担经济和道义上的责任，采购单位不承担任何责任。</w:t>
      </w:r>
    </w:p>
    <w:p w14:paraId="67660312">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4、响应单位必须保证全部响应资料的真实性，在中标结果公示期间，</w:t>
      </w:r>
      <w:r>
        <w:rPr>
          <w:rFonts w:hint="eastAsia" w:ascii="仿宋" w:hAnsi="仿宋" w:eastAsia="仿宋" w:cs="Times New Roman"/>
          <w:bCs/>
          <w:color w:val="auto"/>
          <w:sz w:val="28"/>
          <w:szCs w:val="28"/>
          <w:highlight w:val="none"/>
          <w:lang w:val="en-US" w:eastAsia="zh-CN"/>
        </w:rPr>
        <w:t>根据采购人需求，</w:t>
      </w:r>
      <w:r>
        <w:rPr>
          <w:rFonts w:hint="eastAsia" w:ascii="仿宋" w:hAnsi="仿宋" w:eastAsia="仿宋" w:cs="Times New Roman"/>
          <w:bCs/>
          <w:color w:val="auto"/>
          <w:sz w:val="28"/>
          <w:szCs w:val="28"/>
          <w:highlight w:val="none"/>
        </w:rPr>
        <w:t>中标单位须提供相关响应原件资料以供与复印件资料核对</w:t>
      </w:r>
      <w:r>
        <w:rPr>
          <w:rFonts w:hint="eastAsia" w:ascii="仿宋" w:hAnsi="仿宋" w:eastAsia="仿宋" w:cs="Times New Roman"/>
          <w:bCs/>
          <w:color w:val="auto"/>
          <w:sz w:val="28"/>
          <w:szCs w:val="28"/>
          <w:highlight w:val="none"/>
          <w:lang w:val="en-US" w:eastAsia="zh-CN"/>
        </w:rPr>
        <w:t>备查</w:t>
      </w:r>
      <w:r>
        <w:rPr>
          <w:rFonts w:hint="eastAsia" w:ascii="仿宋" w:hAnsi="仿宋" w:eastAsia="仿宋" w:cs="Times New Roman"/>
          <w:bCs/>
          <w:color w:val="auto"/>
          <w:sz w:val="28"/>
          <w:szCs w:val="28"/>
          <w:highlight w:val="none"/>
        </w:rPr>
        <w:t>。如有虚假或对招标文件所要求说明的情况故意隐瞒或虚报，取消其成交的资格，并将按照《中华人民共和国政府采购法》相关条款给予处罚。</w:t>
      </w:r>
    </w:p>
    <w:p w14:paraId="6DDD6AAF">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6B3BB8C5">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6、中标人不得将服务进行转包、分包，否则采购人有权终止合同。转包或分包造成采购人损失的，中标人应承担赔偿责任。</w:t>
      </w:r>
    </w:p>
    <w:p w14:paraId="48AB56B7">
      <w:pPr>
        <w:keepNext w:val="0"/>
        <w:keepLines w:val="0"/>
        <w:pageBreakBefore w:val="0"/>
        <w:kinsoku/>
        <w:wordWrap/>
        <w:overflowPunct/>
        <w:topLinePunct w:val="0"/>
        <w:autoSpaceDE/>
        <w:autoSpaceDN/>
        <w:bidi w:val="0"/>
        <w:spacing w:line="440" w:lineRule="exact"/>
        <w:ind w:firstLine="560" w:firstLineChars="200"/>
        <w:textAlignment w:val="auto"/>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7、未尽事宜，以最终合同约定为准。</w:t>
      </w:r>
    </w:p>
    <w:p w14:paraId="3CCF83E2">
      <w:pPr>
        <w:keepNext w:val="0"/>
        <w:keepLines w:val="0"/>
        <w:pageBreakBefore w:val="0"/>
        <w:kinsoku/>
        <w:wordWrap/>
        <w:overflowPunct/>
        <w:topLinePunct w:val="0"/>
        <w:autoSpaceDE/>
        <w:autoSpaceDN/>
        <w:bidi w:val="0"/>
        <w:spacing w:line="440" w:lineRule="exact"/>
        <w:ind w:firstLine="560" w:firstLineChars="200"/>
        <w:textAlignment w:val="auto"/>
        <w:rPr>
          <w:rFonts w:hint="default" w:ascii="仿宋" w:hAnsi="仿宋" w:eastAsia="仿宋" w:cs="Times New Roman"/>
          <w:bCs/>
          <w:color w:val="auto"/>
          <w:sz w:val="28"/>
          <w:szCs w:val="28"/>
          <w:highlight w:val="none"/>
          <w:lang w:val="en-US" w:eastAsia="zh-CN"/>
        </w:rPr>
      </w:pPr>
    </w:p>
    <w:p w14:paraId="673EF01D">
      <w:pPr>
        <w:keepNext w:val="0"/>
        <w:keepLines w:val="0"/>
        <w:pageBreakBefore w:val="0"/>
        <w:widowControl/>
        <w:shd w:val="clear" w:color="auto" w:fill="FFFFFF"/>
        <w:kinsoku/>
        <w:wordWrap/>
        <w:overflowPunct/>
        <w:topLinePunct w:val="0"/>
        <w:autoSpaceDE/>
        <w:autoSpaceDN/>
        <w:bidi w:val="0"/>
        <w:adjustRightInd/>
        <w:snapToGrid w:val="0"/>
        <w:spacing w:line="480" w:lineRule="exact"/>
        <w:ind w:firstLine="560" w:firstLineChars="200"/>
        <w:contextualSpacing/>
        <w:textAlignment w:val="auto"/>
        <w:rPr>
          <w:rFonts w:ascii="仿宋" w:hAnsi="仿宋" w:eastAsia="仿宋"/>
          <w:color w:val="auto"/>
          <w:sz w:val="28"/>
          <w:szCs w:val="28"/>
          <w:highlight w:val="none"/>
        </w:rPr>
      </w:pPr>
    </w:p>
    <w:p w14:paraId="5F92C6CE">
      <w:pPr>
        <w:pStyle w:val="45"/>
        <w:numPr>
          <w:ilvl w:val="0"/>
          <w:numId w:val="2"/>
        </w:numPr>
        <w:spacing w:line="240" w:lineRule="auto"/>
        <w:ind w:firstLine="0"/>
        <w:jc w:val="center"/>
        <w:rPr>
          <w:rFonts w:hint="eastAsia" w:ascii="方正小标宋简体" w:eastAsia="方正小标宋简体"/>
          <w:bCs/>
          <w:sz w:val="32"/>
          <w:szCs w:val="32"/>
          <w:highlight w:val="none"/>
        </w:rPr>
      </w:pPr>
      <w:r>
        <w:rPr>
          <w:rFonts w:ascii="方正小标宋简体" w:eastAsia="方正小标宋简体"/>
          <w:bCs/>
          <w:color w:val="auto"/>
          <w:sz w:val="32"/>
          <w:szCs w:val="32"/>
          <w:highlight w:val="none"/>
        </w:rPr>
        <w:br w:type="page"/>
      </w:r>
      <w:r>
        <w:rPr>
          <w:rFonts w:hint="eastAsia" w:ascii="方正小标宋简体" w:eastAsia="方正小标宋简体"/>
          <w:bCs/>
          <w:sz w:val="32"/>
          <w:szCs w:val="32"/>
          <w:highlight w:val="none"/>
        </w:rPr>
        <w:t>合同文本</w:t>
      </w:r>
    </w:p>
    <w:p w14:paraId="12E8B988">
      <w:pPr>
        <w:pStyle w:val="45"/>
        <w:spacing w:line="240" w:lineRule="auto"/>
        <w:ind w:firstLine="560" w:firstLineChars="200"/>
        <w:rPr>
          <w:rFonts w:ascii="黑体" w:hAnsi="黑体" w:eastAsia="黑体"/>
          <w:color w:val="auto"/>
          <w:kern w:val="2"/>
          <w:sz w:val="28"/>
          <w:szCs w:val="28"/>
          <w:highlight w:val="none"/>
        </w:rPr>
      </w:pPr>
      <w:r>
        <w:rPr>
          <w:rFonts w:hint="eastAsia" w:ascii="黑体" w:hAnsi="黑体" w:eastAsia="黑体"/>
          <w:color w:val="auto"/>
          <w:kern w:val="2"/>
          <w:sz w:val="28"/>
          <w:szCs w:val="28"/>
          <w:highlight w:val="none"/>
        </w:rPr>
        <w:t>服务</w:t>
      </w:r>
    </w:p>
    <w:p w14:paraId="08EA51DD">
      <w:pPr>
        <w:widowControl/>
        <w:snapToGrid w:val="0"/>
        <w:spacing w:before="19"/>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如皋市政府采购合同</w:t>
      </w:r>
    </w:p>
    <w:p w14:paraId="30A9D411">
      <w:pPr>
        <w:pStyle w:val="31"/>
        <w:rPr>
          <w:rFonts w:hint="eastAsia" w:ascii="仿宋" w:hAnsi="仿宋" w:eastAsia="仿宋"/>
          <w:color w:val="auto"/>
          <w:sz w:val="32"/>
          <w:szCs w:val="32"/>
          <w:highlight w:val="none"/>
        </w:rPr>
      </w:pPr>
    </w:p>
    <w:p w14:paraId="09C32D94">
      <w:pPr>
        <w:pStyle w:val="31"/>
        <w:rPr>
          <w:rFonts w:hint="eastAsia" w:ascii="仿宋" w:hAnsi="仿宋" w:eastAsia="仿宋"/>
          <w:color w:val="auto"/>
          <w:sz w:val="32"/>
          <w:szCs w:val="32"/>
          <w:highlight w:val="none"/>
        </w:rPr>
      </w:pPr>
    </w:p>
    <w:p w14:paraId="2C5DCAF5">
      <w:pPr>
        <w:pStyle w:val="31"/>
        <w:rPr>
          <w:rFonts w:hint="eastAsia" w:ascii="仿宋" w:hAnsi="仿宋" w:eastAsia="仿宋"/>
          <w:color w:val="auto"/>
          <w:sz w:val="32"/>
          <w:szCs w:val="32"/>
          <w:highlight w:val="none"/>
        </w:rPr>
      </w:pPr>
    </w:p>
    <w:p w14:paraId="7C3433CB">
      <w:pPr>
        <w:pStyle w:val="31"/>
        <w:rPr>
          <w:rFonts w:hint="eastAsia" w:ascii="仿宋" w:hAnsi="仿宋" w:eastAsia="仿宋"/>
          <w:color w:val="auto"/>
          <w:sz w:val="32"/>
          <w:szCs w:val="32"/>
          <w:highlight w:val="none"/>
        </w:rPr>
      </w:pPr>
    </w:p>
    <w:p w14:paraId="1132E986">
      <w:pPr>
        <w:pStyle w:val="31"/>
        <w:rPr>
          <w:rFonts w:hint="eastAsia" w:ascii="仿宋" w:hAnsi="仿宋" w:eastAsia="仿宋"/>
          <w:color w:val="auto"/>
          <w:sz w:val="32"/>
          <w:szCs w:val="32"/>
          <w:highlight w:val="none"/>
        </w:rPr>
      </w:pPr>
    </w:p>
    <w:p w14:paraId="28ED60DE">
      <w:pPr>
        <w:pStyle w:val="31"/>
        <w:rPr>
          <w:rFonts w:hint="eastAsia" w:ascii="仿宋" w:hAnsi="仿宋" w:eastAsia="仿宋"/>
          <w:color w:val="auto"/>
          <w:sz w:val="32"/>
          <w:szCs w:val="32"/>
          <w:highlight w:val="none"/>
        </w:rPr>
      </w:pPr>
    </w:p>
    <w:p w14:paraId="0737CFD8">
      <w:pPr>
        <w:ind w:firstLine="640" w:firstLineChars="20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项目名称：</w:t>
      </w:r>
      <w:r>
        <w:rPr>
          <w:rFonts w:hint="eastAsia" w:ascii="仿宋" w:hAnsi="仿宋" w:eastAsia="仿宋"/>
          <w:color w:val="auto"/>
          <w:sz w:val="32"/>
          <w:szCs w:val="32"/>
          <w:highlight w:val="none"/>
          <w:lang w:eastAsia="zh-CN"/>
        </w:rPr>
        <w:t>2026-2028年如皋市拟新增耕地土壤污染状况调查和补充耕地质量鉴定服务</w:t>
      </w:r>
    </w:p>
    <w:p w14:paraId="1C328B04">
      <w:pPr>
        <w:ind w:firstLine="640" w:firstLineChars="20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项目编号：JSZC-320682-NTWY-G2026-0001</w:t>
      </w:r>
    </w:p>
    <w:p w14:paraId="6DF7D125">
      <w:pPr>
        <w:ind w:firstLine="640" w:firstLineChars="20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甲方：</w:t>
      </w:r>
      <w:r>
        <w:rPr>
          <w:rFonts w:hint="eastAsia" w:ascii="仿宋" w:hAnsi="仿宋" w:eastAsia="仿宋"/>
          <w:color w:val="auto"/>
          <w:sz w:val="32"/>
          <w:szCs w:val="32"/>
          <w:highlight w:val="none"/>
          <w:lang w:val="en-US" w:eastAsia="zh-CN"/>
        </w:rPr>
        <w:t>如皋市农业农村局</w:t>
      </w:r>
    </w:p>
    <w:p w14:paraId="0ED5A3C2">
      <w:pPr>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乙方：</w:t>
      </w:r>
    </w:p>
    <w:p w14:paraId="05554C83">
      <w:pPr>
        <w:rPr>
          <w:rFonts w:ascii="仿宋" w:hAnsi="仿宋" w:eastAsia="仿宋"/>
          <w:color w:val="auto"/>
          <w:sz w:val="32"/>
          <w:szCs w:val="32"/>
          <w:highlight w:val="none"/>
        </w:rPr>
      </w:pPr>
    </w:p>
    <w:p w14:paraId="40F1E0C7">
      <w:pPr>
        <w:pStyle w:val="31"/>
        <w:rPr>
          <w:rFonts w:ascii="仿宋" w:hAnsi="仿宋" w:eastAsia="仿宋"/>
          <w:color w:val="auto"/>
          <w:sz w:val="32"/>
          <w:szCs w:val="32"/>
          <w:highlight w:val="none"/>
        </w:rPr>
      </w:pPr>
    </w:p>
    <w:p w14:paraId="4AA92FF6">
      <w:pPr>
        <w:pStyle w:val="31"/>
        <w:rPr>
          <w:rFonts w:ascii="仿宋" w:hAnsi="仿宋" w:eastAsia="仿宋"/>
          <w:color w:val="auto"/>
          <w:sz w:val="32"/>
          <w:szCs w:val="32"/>
          <w:highlight w:val="none"/>
        </w:rPr>
      </w:pPr>
    </w:p>
    <w:p w14:paraId="17363927">
      <w:pPr>
        <w:pStyle w:val="31"/>
        <w:rPr>
          <w:rFonts w:ascii="仿宋" w:hAnsi="仿宋" w:eastAsia="仿宋"/>
          <w:color w:val="auto"/>
          <w:sz w:val="32"/>
          <w:szCs w:val="32"/>
          <w:highlight w:val="none"/>
        </w:rPr>
      </w:pPr>
    </w:p>
    <w:p w14:paraId="4EC47BD4">
      <w:pPr>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签订时间：      年    月    日</w:t>
      </w:r>
    </w:p>
    <w:p w14:paraId="73450444">
      <w:pPr>
        <w:pStyle w:val="2"/>
        <w:rPr>
          <w:rFonts w:hint="eastAsia" w:ascii="仿宋" w:hAnsi="仿宋" w:eastAsia="仿宋"/>
          <w:color w:val="auto"/>
          <w:sz w:val="32"/>
          <w:szCs w:val="32"/>
          <w:highlight w:val="none"/>
        </w:rPr>
      </w:pPr>
    </w:p>
    <w:p w14:paraId="48630AA3">
      <w:pPr>
        <w:rPr>
          <w:rFonts w:hint="eastAsia" w:ascii="仿宋" w:hAnsi="仿宋" w:eastAsia="仿宋"/>
          <w:color w:val="auto"/>
          <w:sz w:val="32"/>
          <w:szCs w:val="32"/>
          <w:highlight w:val="none"/>
        </w:rPr>
      </w:pPr>
    </w:p>
    <w:p w14:paraId="7478292C">
      <w:pPr>
        <w:pStyle w:val="2"/>
        <w:rPr>
          <w:rFonts w:hint="eastAsia"/>
        </w:rPr>
      </w:pPr>
    </w:p>
    <w:p w14:paraId="44F3E78B">
      <w:pPr>
        <w:rPr>
          <w:rFonts w:hint="eastAsia" w:ascii="仿宋" w:hAnsi="仿宋" w:eastAsia="仿宋"/>
          <w:color w:val="auto"/>
          <w:sz w:val="24"/>
          <w:highlight w:val="none"/>
        </w:rPr>
      </w:pPr>
    </w:p>
    <w:p w14:paraId="01B3BD01">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w:t>
      </w:r>
      <w:r>
        <w:rPr>
          <w:rFonts w:hint="eastAsia" w:ascii="仿宋" w:hAnsi="仿宋" w:eastAsia="仿宋"/>
          <w:color w:val="auto"/>
          <w:sz w:val="24"/>
          <w:highlight w:val="none"/>
          <w:lang w:val="en-US" w:eastAsia="zh-CN"/>
        </w:rPr>
        <w:t>如皋市农业农村局</w:t>
      </w:r>
      <w:r>
        <w:rPr>
          <w:rFonts w:hint="eastAsia" w:ascii="仿宋" w:hAnsi="仿宋" w:eastAsia="仿宋"/>
          <w:color w:val="auto"/>
          <w:sz w:val="24"/>
          <w:highlight w:val="none"/>
        </w:rPr>
        <w:t>）（</w:t>
      </w:r>
      <w:r>
        <w:rPr>
          <w:rFonts w:hint="eastAsia" w:ascii="仿宋" w:hAnsi="仿宋" w:eastAsia="仿宋"/>
          <w:color w:val="auto"/>
          <w:sz w:val="24"/>
          <w:highlight w:val="none"/>
          <w:lang w:eastAsia="zh-CN"/>
        </w:rPr>
        <w:t>2026-2028年如皋市拟新增耕地土壤污染状况调查和补充耕地质量鉴定服务</w:t>
      </w:r>
      <w:r>
        <w:rPr>
          <w:rFonts w:hint="eastAsia" w:ascii="仿宋" w:hAnsi="仿宋" w:eastAsia="仿宋"/>
          <w:color w:val="auto"/>
          <w:sz w:val="24"/>
          <w:highlight w:val="none"/>
        </w:rPr>
        <w:t>）委托（</w:t>
      </w:r>
      <w:r>
        <w:rPr>
          <w:rFonts w:hint="eastAsia" w:ascii="仿宋" w:hAnsi="仿宋" w:eastAsia="仿宋"/>
          <w:color w:val="auto"/>
          <w:sz w:val="24"/>
          <w:highlight w:val="none"/>
          <w:lang w:val="en-US" w:eastAsia="zh-CN"/>
        </w:rPr>
        <w:t>南通炜烨工程咨询有限公司</w:t>
      </w:r>
      <w:r>
        <w:rPr>
          <w:rFonts w:hint="eastAsia" w:ascii="仿宋" w:hAnsi="仿宋" w:eastAsia="仿宋"/>
          <w:color w:val="auto"/>
          <w:sz w:val="24"/>
          <w:highlight w:val="none"/>
        </w:rPr>
        <w:t>）进行了政府采购。按照评委会评审推荐、甲方确定乙方为中标单位。现甲乙双方协商同意签订本合同。</w:t>
      </w:r>
    </w:p>
    <w:p w14:paraId="3B1372D0">
      <w:pPr>
        <w:keepNext w:val="0"/>
        <w:keepLines w:val="0"/>
        <w:pageBreakBefore w:val="0"/>
        <w:numPr>
          <w:ilvl w:val="0"/>
          <w:numId w:val="3"/>
        </w:numPr>
        <w:tabs>
          <w:tab w:val="left" w:pos="0"/>
          <w:tab w:val="clear" w:pos="720"/>
        </w:tabs>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p>
    <w:p w14:paraId="21E12396">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ascii="仿宋" w:hAnsi="仿宋" w:eastAsia="仿宋"/>
          <w:color w:val="auto"/>
          <w:sz w:val="24"/>
          <w:highlight w:val="none"/>
        </w:rPr>
        <w:t>下列与本次采购活动</w:t>
      </w:r>
      <w:r>
        <w:rPr>
          <w:rFonts w:hint="eastAsia" w:ascii="仿宋" w:hAnsi="仿宋" w:eastAsia="仿宋"/>
          <w:color w:val="auto"/>
          <w:sz w:val="24"/>
          <w:highlight w:val="none"/>
        </w:rPr>
        <w:t>有关</w:t>
      </w:r>
      <w:r>
        <w:rPr>
          <w:rFonts w:ascii="仿宋" w:hAnsi="仿宋" w:eastAsia="仿宋"/>
          <w:color w:val="auto"/>
          <w:sz w:val="24"/>
          <w:highlight w:val="none"/>
        </w:rPr>
        <w:t>的文件及附件是本合同不可分割的组成部分，与本合同具有同等法律效力，这些文件包括但不限于：</w:t>
      </w:r>
    </w:p>
    <w:p w14:paraId="7253FA8F">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1.（JSZC-320682-NTWY-G2026-0001号）采购文件；</w:t>
      </w:r>
    </w:p>
    <w:p w14:paraId="09D8E8FD">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2.投标文件；</w:t>
      </w:r>
    </w:p>
    <w:p w14:paraId="7FE5AB7F">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3.乙方在参加采购活动时的书面承诺；</w:t>
      </w:r>
    </w:p>
    <w:p w14:paraId="0B9E611C">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4.（JSZC-320682-NTWY-G2026-0001号）中标（中标）通知书；</w:t>
      </w:r>
    </w:p>
    <w:p w14:paraId="6658BF0B">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5.合同补充条款或说明；</w:t>
      </w:r>
    </w:p>
    <w:p w14:paraId="717C8C69">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6.保密协议或条款；</w:t>
      </w:r>
    </w:p>
    <w:p w14:paraId="3C7A70C7">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7.相关附件、图纸及电子版资料。</w:t>
      </w:r>
    </w:p>
    <w:p w14:paraId="3DC1C4AA">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第二条  合同内容</w:t>
      </w:r>
    </w:p>
    <w:p w14:paraId="133821AC">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eastAsia="zh-CN"/>
        </w:rPr>
      </w:pPr>
      <w:r>
        <w:rPr>
          <w:rFonts w:hint="eastAsia" w:ascii="仿宋" w:hAnsi="仿宋" w:eastAsia="仿宋"/>
          <w:color w:val="auto"/>
          <w:sz w:val="24"/>
          <w:highlight w:val="none"/>
        </w:rPr>
        <w:t>服务名称：</w:t>
      </w:r>
      <w:r>
        <w:rPr>
          <w:rFonts w:hint="eastAsia" w:ascii="仿宋" w:hAnsi="仿宋" w:eastAsia="仿宋"/>
          <w:color w:val="auto"/>
          <w:sz w:val="24"/>
          <w:highlight w:val="none"/>
          <w:lang w:eastAsia="zh-CN"/>
        </w:rPr>
        <w:t>2026-2028年如皋市拟新增耕地土壤污染状况调查和补充耕地质量鉴定服务</w:t>
      </w:r>
    </w:p>
    <w:p w14:paraId="119263C1">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对2026-2028年如皋市拟新增耕地土壤污染状况调查和补充耕地质量鉴定，包括资料收集与分析、采样、检测、专家实地踏勘、农业生产符合性评价、耕地等级核算等工作。</w:t>
      </w:r>
    </w:p>
    <w:p w14:paraId="1E79A977">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详见合同附件中《服务一览表》  </w:t>
      </w:r>
    </w:p>
    <w:p w14:paraId="0DBFD784">
      <w:pPr>
        <w:keepNext w:val="0"/>
        <w:keepLines w:val="0"/>
        <w:pageBreakBefore w:val="0"/>
        <w:numPr>
          <w:ilvl w:val="0"/>
          <w:numId w:val="0"/>
        </w:numPr>
        <w:kinsoku/>
        <w:wordWrap/>
        <w:overflowPunct/>
        <w:topLinePunct w:val="0"/>
        <w:autoSpaceDE/>
        <w:autoSpaceDN/>
        <w:bidi w:val="0"/>
        <w:adjustRightInd w:val="0"/>
        <w:snapToGrid w:val="0"/>
        <w:spacing w:line="240" w:lineRule="auto"/>
        <w:ind w:left="0" w:leftChars="0" w:firstLine="482" w:firstLineChars="200"/>
        <w:rPr>
          <w:rFonts w:hint="eastAsia" w:ascii="仿宋" w:hAnsi="仿宋" w:eastAsia="仿宋"/>
          <w:b/>
          <w:color w:val="auto"/>
          <w:sz w:val="24"/>
          <w:highlight w:val="none"/>
        </w:rPr>
      </w:pPr>
      <w:r>
        <w:rPr>
          <w:rFonts w:hint="eastAsia" w:ascii="仿宋" w:hAnsi="仿宋" w:eastAsia="仿宋"/>
          <w:b/>
          <w:color w:val="auto"/>
          <w:sz w:val="24"/>
          <w:highlight w:val="none"/>
          <w:lang w:val="en-US" w:eastAsia="zh-CN"/>
        </w:rPr>
        <w:t xml:space="preserve">第三条  </w:t>
      </w:r>
      <w:r>
        <w:rPr>
          <w:rFonts w:hint="eastAsia" w:ascii="仿宋" w:hAnsi="仿宋" w:eastAsia="仿宋"/>
          <w:b/>
          <w:color w:val="auto"/>
          <w:sz w:val="24"/>
          <w:highlight w:val="none"/>
        </w:rPr>
        <w:t>履约保证金</w:t>
      </w:r>
    </w:p>
    <w:p w14:paraId="766B13A5">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1.采购包</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lang w:val="en-US" w:eastAsia="zh-CN"/>
        </w:rPr>
        <w:t>履约保证金为10万元；</w:t>
      </w:r>
    </w:p>
    <w:p w14:paraId="7B9F1CC0">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2.乙方全部履约合同义务，经甲方验收合格无质量、进度等问题的，甲方在验收合格后10个工作日一次性退还履约保证金，甲方若逾期退还履约保证金的，按照逾期部分的每日0.05%支付违约金；</w:t>
      </w:r>
    </w:p>
    <w:p w14:paraId="6F0B4C5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宋体"/>
          <w:sz w:val="24"/>
          <w:szCs w:val="24"/>
          <w:highlight w:val="none"/>
        </w:rPr>
        <w:t>（3）发生以下情况的，履约保证金不予退还或部分退还：a.签订合同后，中标供应商不履行合同义务的，采购单位有权全额扣除履约保证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p>
    <w:p w14:paraId="3716BF7C">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四</w:t>
      </w:r>
      <w:r>
        <w:rPr>
          <w:rFonts w:hint="eastAsia" w:ascii="仿宋" w:hAnsi="仿宋" w:eastAsia="仿宋"/>
          <w:b/>
          <w:color w:val="auto"/>
          <w:sz w:val="24"/>
          <w:highlight w:val="none"/>
        </w:rPr>
        <w:t>条  合同总金额</w:t>
      </w:r>
    </w:p>
    <w:p w14:paraId="77307D9D">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本合同服务总金额：￥元。</w:t>
      </w:r>
    </w:p>
    <w:p w14:paraId="1B0FD00D">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大写：元。</w:t>
      </w:r>
    </w:p>
    <w:p w14:paraId="0FC06165">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分项价款在《服务一览表》中有明确规定。</w:t>
      </w:r>
    </w:p>
    <w:p w14:paraId="56729B69">
      <w:pPr>
        <w:keepNext w:val="0"/>
        <w:keepLines w:val="0"/>
        <w:pageBreakBefore w:val="0"/>
        <w:kinsoku/>
        <w:wordWrap/>
        <w:overflowPunct/>
        <w:topLinePunct w:val="0"/>
        <w:autoSpaceDE/>
        <w:autoSpaceDN/>
        <w:bidi w:val="0"/>
        <w:spacing w:line="240" w:lineRule="auto"/>
        <w:ind w:left="0" w:leftChars="0" w:firstLine="482" w:firstLineChars="200"/>
        <w:rPr>
          <w:rFonts w:hint="eastAsia" w:ascii="仿宋" w:hAnsi="仿宋" w:eastAsia="仿宋"/>
          <w:color w:val="auto"/>
          <w:sz w:val="24"/>
          <w:highlight w:val="none"/>
          <w:lang w:val="en-US" w:eastAsia="zh-CN"/>
        </w:rPr>
      </w:pPr>
      <w:r>
        <w:rPr>
          <w:rFonts w:hint="eastAsia" w:ascii="仿宋" w:hAnsi="仿宋" w:eastAsia="仿宋"/>
          <w:b/>
          <w:bCs/>
          <w:color w:val="auto"/>
          <w:sz w:val="24"/>
          <w:highlight w:val="none"/>
          <w:lang w:val="en-US" w:eastAsia="zh-CN"/>
        </w:rPr>
        <w:t>本项目为综合单价报价，结算时按中标单价和实际量进行最终结算，按实结算。</w:t>
      </w:r>
      <w:r>
        <w:rPr>
          <w:rFonts w:hint="eastAsia" w:ascii="仿宋" w:hAnsi="仿宋" w:eastAsia="仿宋"/>
          <w:color w:val="auto"/>
          <w:sz w:val="24"/>
          <w:highlight w:val="none"/>
          <w:lang w:val="en-US" w:eastAsia="zh-CN"/>
        </w:rPr>
        <w:t>本合同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w:t>
      </w:r>
    </w:p>
    <w:p w14:paraId="3C7F029E">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本合同执行期内因工作量变化而引起的服务费用的变动，在双方事先协商一致的前提下签订补充合同，但因此而增加的服务费用不得超过原中标金额的10%。</w:t>
      </w:r>
    </w:p>
    <w:p w14:paraId="0006A2C6">
      <w:pPr>
        <w:keepNext w:val="0"/>
        <w:keepLines w:val="0"/>
        <w:pageBreakBefore w:val="0"/>
        <w:kinsoku/>
        <w:wordWrap/>
        <w:overflowPunct/>
        <w:topLinePunct w:val="0"/>
        <w:autoSpaceDE/>
        <w:autoSpaceDN/>
        <w:bidi w:val="0"/>
        <w:spacing w:line="240" w:lineRule="auto"/>
        <w:ind w:left="0" w:leftChars="0" w:firstLine="482" w:firstLineChars="200"/>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第五条  服务要求及标准</w:t>
      </w:r>
    </w:p>
    <w:p w14:paraId="5F3A8E81">
      <w:pPr>
        <w:keepNext w:val="0"/>
        <w:keepLines w:val="0"/>
        <w:pageBreakBefore w:val="0"/>
        <w:numPr>
          <w:ilvl w:val="0"/>
          <w:numId w:val="0"/>
        </w:numPr>
        <w:kinsoku/>
        <w:wordWrap/>
        <w:overflowPunct/>
        <w:topLinePunct w:val="0"/>
        <w:autoSpaceDE/>
        <w:autoSpaceDN/>
        <w:bidi w:val="0"/>
        <w:spacing w:line="240" w:lineRule="auto"/>
        <w:ind w:left="0" w:leftChars="0" w:firstLine="482" w:firstLineChars="200"/>
        <w:rPr>
          <w:rFonts w:hint="default"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一、服务要求</w:t>
      </w:r>
    </w:p>
    <w:p w14:paraId="61720D29">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一）乙方应按甲方要求对开垦为耕地的复垦土地及未利用地通过资料收集、现场踏勘、人员访谈、现场采样、实验室分析，识别地块污染情况，编制地块土壤污染状况调查报告；对拟新增耕地进行补充耕地质量鉴定，开展包括资料审核分析、评价单元确定、现场踏勘、生产符合性评价、土壤实地采样、实验室检测与分析、耕地质量等级核算、报告编制等工作；</w:t>
      </w:r>
    </w:p>
    <w:p w14:paraId="0E874997">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二）乙方应在正式开展补充耕地质量鉴定前，对拟鉴定的地块先行组织一次资料审核和现场踏勘，对经审核踏勘认定不符合鉴定条件的地块，应予以剔除并及时书面告知甲方。剔除后的地块不再进入后续鉴定程序。对已进入鉴定程序但未能通过县级初鉴的地块，乙方应当在收到甲方通知后，免费对该地块重新组织开展补充耕地质量鉴定工作（包括但不限于资料复核、现场补勘、重新采样、实验室检测、报告编制及专家评审等全部环节），直至通过南通市级鉴定为止。因重新鉴定所产生的一切费用（含检测费、专家费、人工费、交通费等）均由乙方自行承担，甲方不再另行支付任何费用。乙方拒绝履行或拖延履行的，甲方有权解除合同，已完成工作量不予结算，并追究乙方的违约责任。</w:t>
      </w:r>
    </w:p>
    <w:p w14:paraId="46C7569F">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（三）</w:t>
      </w:r>
      <w:r>
        <w:rPr>
          <w:rFonts w:hint="eastAsia" w:ascii="仿宋" w:hAnsi="仿宋" w:eastAsia="仿宋" w:cs="仿宋"/>
          <w:b/>
          <w:bCs/>
          <w:snapToGrid w:val="0"/>
          <w:kern w:val="0"/>
          <w:sz w:val="24"/>
          <w:szCs w:val="24"/>
          <w:highlight w:val="none"/>
        </w:rPr>
        <w:t>补充耕地质量鉴定土壤样品检测须由南通市农业农村局通过公开采购程序确定的检测单位承担相关检测工作，相关费用包含在供应商本次报价中。</w:t>
      </w:r>
      <w:r>
        <w:rPr>
          <w:rFonts w:hint="eastAsia" w:ascii="仿宋" w:hAnsi="仿宋" w:eastAsia="仿宋"/>
          <w:color w:val="auto"/>
          <w:sz w:val="24"/>
          <w:szCs w:val="24"/>
          <w:highlight w:val="none"/>
          <w:lang w:val="en-US" w:eastAsia="zh-CN"/>
        </w:rPr>
        <w:t>根据实验室标准做好土壤样品的储存和运转，和检测单位做好对接工作。</w:t>
      </w:r>
    </w:p>
    <w:p w14:paraId="0CA922A4">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（四）乙方应依据甲方对于项目的要求，做好充分的时间安排，衔接好各项工作；确保不出现空档期和延期，以确保在合同约定时间内完成本项目内容，并满足甲方要求。</w:t>
      </w:r>
    </w:p>
    <w:p w14:paraId="3C202FD6">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五）乙方应依据法律法规及行业规定要求建立符合法律规定和行业规定的技术方案，并按照方案逐步实施。在履约过程中，应充分和甲方沟通，在法律法规和行业规范的允许下，应充分听取甲方的需求和建议。建立完善的安全质量保证体系并报甲方备案，负责本项目全过程的安全和质量管理，并接受甲方的管理和监督。</w:t>
      </w:r>
    </w:p>
    <w:p w14:paraId="0735EA6C">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（六）人员配置及工器具要求</w:t>
      </w:r>
    </w:p>
    <w:p w14:paraId="6271136B">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1、项目负责人需实际牵头负责本项目的实施，在项目踏勘、专家评审等重要环节中必须全程参与。</w:t>
      </w:r>
    </w:p>
    <w:p w14:paraId="212AD2CA">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2、乙方拟派项目组人员（不含项目负责人）：组建踏勘技术人员队伍，踏勘组不少于5组，每组应安排不少于2名专业技术人员和1名现场辅助劳力，协助专家完成现场踏勘、拍摄采集举证照片等；其中专人驻场办公不少于1人，负责验收资料收集、整理、上报、归档等相关工作，办公地点由甲方提供。所有项目组人员须具备从事本项目实施的专业资格。</w:t>
      </w:r>
    </w:p>
    <w:p w14:paraId="32B3014C">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3、乙方为本项目配备的工作人员均为在职员工，所有人员应身体健康，无妨碍工作的病症，熟悉相关技术规范和标准，并具备与本项目工作内容匹配的工作能力。</w:t>
      </w:r>
    </w:p>
    <w:p w14:paraId="6F2880BF">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4、本项目服务期限内，项目组成员（含项目负责人）不得随意变更，随意变更导致的责任及损失由乙方承担，且甲方有权终止合同。</w:t>
      </w:r>
    </w:p>
    <w:p w14:paraId="3F5AE1B5">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5、乙方应依据工作需要为工作人员配备足够的工器具、安全防护用品和职业健康防护用品，以满足现场服务工作的需要和安全。</w:t>
      </w:r>
    </w:p>
    <w:p w14:paraId="08231F91">
      <w:pPr>
        <w:pStyle w:val="12"/>
        <w:keepNext w:val="0"/>
        <w:keepLines w:val="0"/>
        <w:pageBreakBefore w:val="0"/>
        <w:widowControl/>
        <w:tabs>
          <w:tab w:val="left" w:pos="0"/>
        </w:tabs>
        <w:kinsoku/>
        <w:wordWrap/>
        <w:overflowPunct/>
        <w:topLinePunct w:val="0"/>
        <w:autoSpaceDE/>
        <w:autoSpaceDN/>
        <w:bidi w:val="0"/>
        <w:adjustRightInd/>
        <w:snapToGrid/>
        <w:spacing w:after="0" w:line="240" w:lineRule="auto"/>
        <w:ind w:left="0" w:leftChars="0" w:firstLine="480" w:firstLineChars="200"/>
        <w:textAlignment w:val="auto"/>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（七）乙方要做好资料收集、整理、分析、归档等工作。</w:t>
      </w:r>
    </w:p>
    <w:p w14:paraId="36E686EF">
      <w:pPr>
        <w:keepNext w:val="0"/>
        <w:keepLines w:val="0"/>
        <w:pageBreakBefore w:val="0"/>
        <w:kinsoku/>
        <w:wordWrap/>
        <w:overflowPunct/>
        <w:topLinePunct w:val="0"/>
        <w:autoSpaceDE/>
        <w:autoSpaceDN/>
        <w:bidi w:val="0"/>
        <w:spacing w:line="240" w:lineRule="auto"/>
        <w:ind w:left="0" w:leftChars="0" w:firstLine="482" w:firstLineChars="200"/>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二</w:t>
      </w:r>
      <w:r>
        <w:rPr>
          <w:rFonts w:hint="eastAsia" w:ascii="仿宋" w:hAnsi="仿宋" w:eastAsia="仿宋"/>
          <w:b/>
          <w:color w:val="auto"/>
          <w:sz w:val="24"/>
          <w:highlight w:val="none"/>
        </w:rPr>
        <w:t>、</w:t>
      </w:r>
      <w:r>
        <w:rPr>
          <w:rFonts w:hint="eastAsia" w:ascii="仿宋" w:hAnsi="仿宋" w:eastAsia="仿宋"/>
          <w:b/>
          <w:color w:val="auto"/>
          <w:sz w:val="24"/>
          <w:highlight w:val="none"/>
          <w:lang w:val="en-US" w:eastAsia="zh-CN"/>
        </w:rPr>
        <w:t>服务标准</w:t>
      </w:r>
    </w:p>
    <w:p w14:paraId="1F79DCF0">
      <w:pPr>
        <w:pStyle w:val="12"/>
        <w:keepNext w:val="0"/>
        <w:keepLines w:val="0"/>
        <w:pageBreakBefore w:val="0"/>
        <w:tabs>
          <w:tab w:val="left" w:pos="0"/>
        </w:tabs>
        <w:kinsoku/>
        <w:wordWrap/>
        <w:overflowPunct/>
        <w:topLinePunct w:val="0"/>
        <w:autoSpaceDE/>
        <w:autoSpaceDN/>
        <w:bidi w:val="0"/>
        <w:spacing w:after="0" w:line="240" w:lineRule="auto"/>
        <w:ind w:left="0" w:leftChars="0" w:firstLine="480" w:firstLineChars="200"/>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（一）污染调查符合《拟新增耕地土壤污染状况调查技术导则》（DB 32/T5145-2025）、《拟开垦为耕地的复垦土地及未利用地土壤污染状况调查技术指南（试行）》（苏农建[2023]1号）、《土壤环境质量农用地土壤污染风险管控标准（试行）》（GB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p>
    <w:p w14:paraId="07794C78">
      <w:pPr>
        <w:pStyle w:val="12"/>
        <w:keepNext w:val="0"/>
        <w:keepLines w:val="0"/>
        <w:pageBreakBefore w:val="0"/>
        <w:tabs>
          <w:tab w:val="left" w:pos="0"/>
        </w:tabs>
        <w:kinsoku/>
        <w:wordWrap/>
        <w:overflowPunct/>
        <w:topLinePunct w:val="0"/>
        <w:autoSpaceDE/>
        <w:autoSpaceDN/>
        <w:bidi w:val="0"/>
        <w:spacing w:after="0" w:line="240" w:lineRule="auto"/>
        <w:ind w:left="0" w:leftChars="0" w:firstLine="480" w:firstLineChars="200"/>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二）严格按国家规范标准进行验收，确保结果公正，准确，乙方要对验收结论真实性负责。不得收取不合理费用及“吃、拿、卡、要”，一经发现将列入“黑名单”且不得参加以后的所有补充耕地质量鉴定相关项目的投标。一经发现存在造假行为，将向上级主管部门报告。</w:t>
      </w:r>
    </w:p>
    <w:p w14:paraId="4C4A2788">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六</w:t>
      </w:r>
      <w:r>
        <w:rPr>
          <w:rFonts w:hint="eastAsia" w:ascii="仿宋" w:hAnsi="仿宋" w:eastAsia="仿宋"/>
          <w:b/>
          <w:color w:val="auto"/>
          <w:sz w:val="24"/>
          <w:highlight w:val="none"/>
        </w:rPr>
        <w:t>条  权利义务和质量保证</w:t>
      </w:r>
    </w:p>
    <w:p w14:paraId="76B5F98C">
      <w:pPr>
        <w:pStyle w:val="12"/>
        <w:keepNext w:val="0"/>
        <w:keepLines w:val="0"/>
        <w:pageBreakBefore w:val="0"/>
        <w:tabs>
          <w:tab w:val="left" w:pos="0"/>
        </w:tabs>
        <w:kinsoku/>
        <w:wordWrap/>
        <w:overflowPunct/>
        <w:topLinePunct w:val="0"/>
        <w:autoSpaceDE/>
        <w:autoSpaceDN/>
        <w:bidi w:val="0"/>
        <w:spacing w:after="0" w:line="240" w:lineRule="auto"/>
        <w:ind w:left="0" w:leftChars="0"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425ABD9F">
      <w:pPr>
        <w:pStyle w:val="12"/>
        <w:keepNext w:val="0"/>
        <w:keepLines w:val="0"/>
        <w:pageBreakBefore w:val="0"/>
        <w:kinsoku/>
        <w:wordWrap/>
        <w:overflowPunct/>
        <w:topLinePunct w:val="0"/>
        <w:autoSpaceDE/>
        <w:autoSpaceDN/>
        <w:bidi w:val="0"/>
        <w:spacing w:after="0" w:line="240" w:lineRule="auto"/>
        <w:ind w:left="0" w:leftChars="0"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2.乙方保证所提供的服务或其任何一部分均不会侵犯任何第三方的专利权、商标权或著作权。</w:t>
      </w:r>
      <w:r>
        <w:rPr>
          <w:rFonts w:ascii="仿宋" w:hAnsi="仿宋" w:eastAsia="仿宋"/>
          <w:color w:val="auto"/>
          <w:sz w:val="24"/>
          <w:szCs w:val="24"/>
          <w:highlight w:val="none"/>
        </w:rPr>
        <w:t>一旦出现侵权，</w:t>
      </w:r>
      <w:r>
        <w:rPr>
          <w:rFonts w:hint="eastAsia" w:ascii="仿宋" w:hAnsi="仿宋" w:eastAsia="仿宋"/>
          <w:color w:val="auto"/>
          <w:sz w:val="24"/>
          <w:szCs w:val="24"/>
          <w:highlight w:val="none"/>
        </w:rPr>
        <w:t>索赔或诉讼</w:t>
      </w:r>
      <w:r>
        <w:rPr>
          <w:rFonts w:ascii="仿宋" w:hAnsi="仿宋" w:eastAsia="仿宋"/>
          <w:color w:val="auto"/>
          <w:sz w:val="24"/>
          <w:szCs w:val="24"/>
          <w:highlight w:val="none"/>
        </w:rPr>
        <w:t>，乙方应承担全部责任。</w:t>
      </w:r>
      <w:r>
        <w:rPr>
          <w:rFonts w:hint="eastAsia" w:ascii="仿宋" w:hAnsi="仿宋" w:eastAsia="仿宋"/>
          <w:color w:val="auto"/>
          <w:sz w:val="24"/>
          <w:szCs w:val="24"/>
          <w:highlight w:val="none"/>
        </w:rPr>
        <w:t>乙方保证服务不存在危及人身及财产安全的隐患，不存在违反国家法规、法令、法律以及行业规范所要求的有关安全条款，否则应承担全部法律责任。</w:t>
      </w:r>
    </w:p>
    <w:p w14:paraId="19FD0D0E">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七</w:t>
      </w:r>
      <w:r>
        <w:rPr>
          <w:rFonts w:hint="eastAsia" w:ascii="仿宋" w:hAnsi="仿宋" w:eastAsia="仿宋"/>
          <w:b/>
          <w:color w:val="auto"/>
          <w:sz w:val="24"/>
          <w:highlight w:val="none"/>
        </w:rPr>
        <w:t>条  付款方式</w:t>
      </w:r>
    </w:p>
    <w:p w14:paraId="1C8CB5FE">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1.本合同项下所有款项均以人民币支付。</w:t>
      </w:r>
    </w:p>
    <w:p w14:paraId="4C5251CD">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2.乙方向甲方提交下列文件材料，经甲方审核无误后支付采购资金：</w:t>
      </w:r>
    </w:p>
    <w:p w14:paraId="10D6527C">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（1）经甲方确认的发票；</w:t>
      </w:r>
    </w:p>
    <w:p w14:paraId="535040A1">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（2）经甲乙双方确认签订的《验收报告》（或按项目进度阶段性《验收报告》）；</w:t>
      </w:r>
    </w:p>
    <w:p w14:paraId="29FAD989">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（3）其他材料。</w:t>
      </w:r>
    </w:p>
    <w:p w14:paraId="2DE27663">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3.</w:t>
      </w:r>
      <w:r>
        <w:rPr>
          <w:rFonts w:hint="eastAsia" w:ascii="仿宋" w:hAnsi="仿宋" w:eastAsia="仿宋"/>
          <w:color w:val="auto"/>
          <w:sz w:val="24"/>
          <w:highlight w:val="none"/>
          <w:lang w:val="en-US" w:eastAsia="zh-CN"/>
        </w:rPr>
        <w:t>付款方式：</w:t>
      </w:r>
    </w:p>
    <w:p w14:paraId="2490ADEC">
      <w:pPr>
        <w:keepNext w:val="0"/>
        <w:keepLines w:val="0"/>
        <w:pageBreakBefore w:val="0"/>
        <w:kinsoku/>
        <w:wordWrap/>
        <w:overflowPunct/>
        <w:topLinePunct w:val="0"/>
        <w:autoSpaceDE/>
        <w:autoSpaceDN/>
        <w:bidi w:val="0"/>
        <w:spacing w:line="240" w:lineRule="auto"/>
        <w:ind w:left="0" w:leftChars="0" w:firstLine="482" w:firstLineChars="200"/>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完成拟新增耕地土壤污染状况调查报告并通过评审的支付合同价总额的30%；完成补充耕地质量鉴定鉴定检测工作后付至合同价总额的70%；待通过南通市级补充耕地质量鉴定后付清余款。按年每年年底支付，每次</w:t>
      </w:r>
      <w:r>
        <w:rPr>
          <w:rFonts w:hint="eastAsia" w:ascii="仿宋" w:hAnsi="仿宋" w:eastAsia="仿宋"/>
          <w:b/>
          <w:bCs/>
          <w:color w:val="auto"/>
          <w:sz w:val="24"/>
          <w:highlight w:val="none"/>
        </w:rPr>
        <w:t>支付前，成交供应商</w:t>
      </w:r>
      <w:r>
        <w:rPr>
          <w:rFonts w:hint="eastAsia" w:ascii="仿宋" w:hAnsi="仿宋" w:eastAsia="仿宋"/>
          <w:b/>
          <w:bCs/>
          <w:color w:val="auto"/>
          <w:sz w:val="24"/>
          <w:highlight w:val="none"/>
          <w:lang w:val="en-US" w:eastAsia="zh-CN"/>
        </w:rPr>
        <w:t>均</w:t>
      </w:r>
      <w:r>
        <w:rPr>
          <w:rFonts w:hint="eastAsia" w:ascii="仿宋" w:hAnsi="仿宋" w:eastAsia="仿宋"/>
          <w:b/>
          <w:bCs/>
          <w:color w:val="auto"/>
          <w:sz w:val="24"/>
          <w:highlight w:val="none"/>
        </w:rPr>
        <w:t>应出具相应金额的正式税票。</w:t>
      </w:r>
    </w:p>
    <w:p w14:paraId="0CB8FA00">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八</w:t>
      </w:r>
      <w:r>
        <w:rPr>
          <w:rFonts w:hint="eastAsia" w:ascii="仿宋" w:hAnsi="仿宋" w:eastAsia="仿宋"/>
          <w:b/>
          <w:color w:val="auto"/>
          <w:sz w:val="24"/>
          <w:highlight w:val="none"/>
        </w:rPr>
        <w:t>条  验收</w:t>
      </w:r>
    </w:p>
    <w:p w14:paraId="65F3410D">
      <w:pPr>
        <w:keepNext w:val="0"/>
        <w:keepLines w:val="0"/>
        <w:pageBreakBefore w:val="0"/>
        <w:numPr>
          <w:ilvl w:val="0"/>
          <w:numId w:val="0"/>
        </w:numPr>
        <w:kinsoku/>
        <w:wordWrap/>
        <w:overflowPunct/>
        <w:topLinePunct w:val="0"/>
        <w:autoSpaceDE/>
        <w:autoSpaceDN/>
        <w:bidi w:val="0"/>
        <w:adjustRightInd/>
        <w:spacing w:line="240" w:lineRule="auto"/>
        <w:ind w:left="0" w:leftChars="0" w:firstLine="480" w:firstLineChars="200"/>
        <w:textAlignment w:val="auto"/>
        <w:outlineLvl w:val="0"/>
        <w:rPr>
          <w:rFonts w:ascii="仿宋" w:hAnsi="仿宋" w:eastAsia="仿宋"/>
          <w:color w:val="auto"/>
          <w:sz w:val="24"/>
          <w:highlight w:val="none"/>
        </w:rPr>
      </w:pPr>
      <w:r>
        <w:rPr>
          <w:rFonts w:hint="eastAsia" w:ascii="仿宋" w:hAnsi="仿宋" w:eastAsia="仿宋"/>
          <w:color w:val="auto"/>
          <w:sz w:val="24"/>
          <w:highlight w:val="none"/>
        </w:rPr>
        <w:t>1.服务期限</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2026年8月-2028年12月。</w:t>
      </w:r>
    </w:p>
    <w:p w14:paraId="57ECE8F0">
      <w:pPr>
        <w:keepNext w:val="0"/>
        <w:keepLines w:val="0"/>
        <w:pageBreakBefore w:val="0"/>
        <w:kinsoku/>
        <w:wordWrap/>
        <w:overflowPunct/>
        <w:topLinePunct w:val="0"/>
        <w:autoSpaceDE/>
        <w:autoSpaceDN/>
        <w:bidi w:val="0"/>
        <w:spacing w:line="240" w:lineRule="auto"/>
        <w:ind w:left="0" w:leftChars="0" w:firstLine="720" w:firstLineChars="300"/>
        <w:rPr>
          <w:rFonts w:ascii="仿宋" w:hAnsi="仿宋" w:eastAsia="仿宋"/>
          <w:color w:val="auto"/>
          <w:sz w:val="24"/>
          <w:highlight w:val="none"/>
        </w:rPr>
      </w:pPr>
      <w:r>
        <w:rPr>
          <w:rFonts w:hint="eastAsia" w:ascii="仿宋" w:hAnsi="仿宋" w:eastAsia="仿宋"/>
          <w:color w:val="auto"/>
          <w:sz w:val="24"/>
          <w:highlight w:val="none"/>
        </w:rPr>
        <w:t>服务地点：</w:t>
      </w:r>
      <w:r>
        <w:rPr>
          <w:rFonts w:hint="eastAsia" w:ascii="仿宋" w:hAnsi="仿宋" w:eastAsia="仿宋"/>
          <w:color w:val="auto"/>
          <w:sz w:val="24"/>
          <w:highlight w:val="none"/>
          <w:lang w:val="en-US" w:eastAsia="zh-CN"/>
        </w:rPr>
        <w:t>采购人指定地点（如皋境内）</w:t>
      </w:r>
    </w:p>
    <w:p w14:paraId="40BF3261">
      <w:pPr>
        <w:keepNext w:val="0"/>
        <w:keepLines w:val="0"/>
        <w:pageBreakBefore w:val="0"/>
        <w:kinsoku/>
        <w:wordWrap/>
        <w:overflowPunct/>
        <w:topLinePunct w:val="0"/>
        <w:autoSpaceDE/>
        <w:autoSpaceDN/>
        <w:bidi w:val="0"/>
        <w:spacing w:line="240" w:lineRule="auto"/>
        <w:ind w:left="0" w:leftChars="0" w:firstLine="720" w:firstLineChars="300"/>
        <w:rPr>
          <w:rFonts w:ascii="仿宋" w:hAnsi="仿宋" w:eastAsia="仿宋"/>
          <w:color w:val="auto"/>
          <w:sz w:val="24"/>
          <w:highlight w:val="none"/>
          <w:u w:val="single"/>
        </w:rPr>
      </w:pPr>
      <w:r>
        <w:rPr>
          <w:rFonts w:hint="eastAsia" w:ascii="仿宋" w:hAnsi="仿宋" w:eastAsia="仿宋"/>
          <w:color w:val="auto"/>
          <w:sz w:val="24"/>
          <w:highlight w:val="none"/>
        </w:rPr>
        <w:t>验收时间： 。</w:t>
      </w:r>
    </w:p>
    <w:p w14:paraId="2E5E9C72">
      <w:pPr>
        <w:keepNext w:val="0"/>
        <w:keepLines w:val="0"/>
        <w:pageBreakBefore w:val="0"/>
        <w:kinsoku/>
        <w:wordWrap/>
        <w:overflowPunct/>
        <w:topLinePunct w:val="0"/>
        <w:autoSpaceDE/>
        <w:autoSpaceDN/>
        <w:bidi w:val="0"/>
        <w:spacing w:line="240" w:lineRule="auto"/>
        <w:ind w:left="0" w:leftChars="0" w:firstLine="720" w:firstLineChars="300"/>
        <w:rPr>
          <w:rFonts w:ascii="仿宋" w:hAnsi="仿宋" w:eastAsia="仿宋"/>
          <w:color w:val="auto"/>
          <w:sz w:val="24"/>
          <w:highlight w:val="none"/>
        </w:rPr>
      </w:pPr>
      <w:r>
        <w:rPr>
          <w:rFonts w:hint="eastAsia" w:ascii="仿宋" w:hAnsi="仿宋" w:eastAsia="仿宋"/>
          <w:color w:val="auto"/>
          <w:sz w:val="24"/>
          <w:highlight w:val="none"/>
        </w:rPr>
        <w:t>验收地点： 。</w:t>
      </w:r>
    </w:p>
    <w:p w14:paraId="6D665C9A">
      <w:pPr>
        <w:keepNext w:val="0"/>
        <w:keepLines w:val="0"/>
        <w:pageBreakBefore w:val="0"/>
        <w:numPr>
          <w:ilvl w:val="0"/>
          <w:numId w:val="0"/>
        </w:numPr>
        <w:kinsoku/>
        <w:wordWrap/>
        <w:overflowPunct/>
        <w:topLinePunct w:val="0"/>
        <w:autoSpaceDE/>
        <w:autoSpaceDN/>
        <w:bidi w:val="0"/>
        <w:adjustRightInd/>
        <w:spacing w:line="240" w:lineRule="auto"/>
        <w:ind w:left="0" w:leftChars="0" w:firstLine="480" w:firstLineChars="200"/>
        <w:textAlignment w:val="auto"/>
        <w:outlineLvl w:val="0"/>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2.要求</w:t>
      </w:r>
    </w:p>
    <w:p w14:paraId="4E9C3823">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乙方负责验收资料收集、整理、上报、归档等相关工作的驻场人员需保证每周五天出勤，每缺勤一天扣违约金500元，累计缺勤5天或连续缺勤3天（书面请假，甲方同意除外），甲方有权解除合同，已完成工作量不予结算，由乙方担由此发生的全部责任和损失</w:t>
      </w:r>
      <w:r>
        <w:rPr>
          <w:rFonts w:hint="eastAsia" w:ascii="仿宋" w:hAnsi="仿宋" w:eastAsia="仿宋"/>
          <w:color w:val="auto"/>
          <w:sz w:val="24"/>
          <w:highlight w:val="none"/>
        </w:rPr>
        <w:t>。</w:t>
      </w:r>
    </w:p>
    <w:p w14:paraId="18D0961F">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（2）项目负责人未按照服务要求实际牵头负责本项目的实施，未在项目踏勘、专家评审等重要环节中全程参与，甲方有权解除合同，已完成工作量不予结算，由乙方承担由此发生的全部责任和损失。</w:t>
      </w:r>
    </w:p>
    <w:p w14:paraId="4550D32B">
      <w:pPr>
        <w:keepNext w:val="0"/>
        <w:keepLines w:val="0"/>
        <w:pageBreakBefore w:val="0"/>
        <w:kinsoku/>
        <w:wordWrap/>
        <w:overflowPunct/>
        <w:topLinePunct w:val="0"/>
        <w:autoSpaceDE/>
        <w:autoSpaceDN/>
        <w:bidi w:val="0"/>
        <w:spacing w:line="240" w:lineRule="auto"/>
        <w:ind w:left="0" w:leftChars="0" w:firstLine="480" w:firstLineChars="200"/>
        <w:rPr>
          <w:rFonts w:hint="eastAsia" w:ascii="仿宋" w:hAnsi="仿宋" w:eastAsia="仿宋"/>
          <w:color w:val="auto"/>
          <w:sz w:val="24"/>
          <w:szCs w:val="24"/>
          <w:highlight w:val="none"/>
        </w:rPr>
      </w:pPr>
      <w:r>
        <w:rPr>
          <w:rFonts w:hint="eastAsia" w:ascii="仿宋" w:hAnsi="仿宋" w:eastAsia="仿宋"/>
          <w:color w:val="auto"/>
          <w:sz w:val="24"/>
          <w:highlight w:val="none"/>
          <w:lang w:val="en-US" w:eastAsia="zh-CN"/>
        </w:rPr>
        <w:t>（3）如乙方提交的成果因质量缺陷未通过南通市级鉴定，乙方将承担全部法律责任，甲方有权拒付剩余款项。</w:t>
      </w:r>
    </w:p>
    <w:p w14:paraId="6F03503B">
      <w:pPr>
        <w:pStyle w:val="12"/>
        <w:keepNext w:val="0"/>
        <w:keepLines w:val="0"/>
        <w:pageBreakBefore w:val="0"/>
        <w:tabs>
          <w:tab w:val="left" w:pos="0"/>
        </w:tabs>
        <w:kinsoku/>
        <w:wordWrap/>
        <w:overflowPunct/>
        <w:topLinePunct w:val="0"/>
        <w:autoSpaceDE/>
        <w:autoSpaceDN/>
        <w:bidi w:val="0"/>
        <w:spacing w:after="0" w:line="240" w:lineRule="auto"/>
        <w:ind w:left="0" w:leftChars="0"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 乙方应对提供的服务成果作出全面自查和整理，并列出清单，作为甲方验收和使用的服务条件依据，清单应随提供的服务成果交给甲方。</w:t>
      </w:r>
    </w:p>
    <w:p w14:paraId="062B5888">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3.验收时，甲乙双方必须同时在场，</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w:t>
      </w:r>
      <w:r>
        <w:rPr>
          <w:rFonts w:ascii="仿宋" w:hAnsi="仿宋" w:eastAsia="仿宋"/>
          <w:color w:val="auto"/>
          <w:sz w:val="24"/>
          <w:highlight w:val="none"/>
        </w:rPr>
        <w:t>不符合合同</w:t>
      </w:r>
      <w:r>
        <w:rPr>
          <w:rFonts w:hint="eastAsia" w:ascii="仿宋" w:hAnsi="仿宋" w:eastAsia="仿宋"/>
          <w:color w:val="auto"/>
          <w:sz w:val="24"/>
          <w:highlight w:val="none"/>
        </w:rPr>
        <w:t>内容</w:t>
      </w:r>
      <w:r>
        <w:rPr>
          <w:rFonts w:ascii="仿宋" w:hAnsi="仿宋" w:eastAsia="仿宋"/>
          <w:color w:val="auto"/>
          <w:sz w:val="24"/>
          <w:highlight w:val="none"/>
        </w:rPr>
        <w:t>规定的，甲方有权</w:t>
      </w:r>
      <w:r>
        <w:rPr>
          <w:rFonts w:hint="eastAsia" w:ascii="仿宋" w:hAnsi="仿宋" w:eastAsia="仿宋"/>
          <w:color w:val="auto"/>
          <w:sz w:val="24"/>
          <w:highlight w:val="none"/>
        </w:rPr>
        <w:t>拒绝验收。乙方应及时按本合同内容规定和甲方要求免费进行整改，直至验收合格，方视为乙方按本合同规定完成服务</w:t>
      </w:r>
      <w:r>
        <w:rPr>
          <w:rFonts w:ascii="仿宋" w:hAnsi="仿宋" w:eastAsia="仿宋"/>
          <w:color w:val="auto"/>
          <w:sz w:val="24"/>
          <w:highlight w:val="none"/>
        </w:rPr>
        <w:t>。</w:t>
      </w:r>
      <w:r>
        <w:rPr>
          <w:rFonts w:hint="eastAsia" w:ascii="仿宋" w:hAnsi="仿宋" w:eastAsia="仿宋"/>
          <w:color w:val="auto"/>
          <w:sz w:val="24"/>
          <w:highlight w:val="none"/>
        </w:rPr>
        <w:t>验收合格的，填写《履约验收报告》。在经过两次限期整改后，服务仍达不到合同文件规定内容的，甲方有权拒收，并可以解除合同；由此引起甲方损失及赔偿责任由乙方承担。</w:t>
      </w:r>
    </w:p>
    <w:p w14:paraId="2D4FBED9">
      <w:pPr>
        <w:keepNext w:val="0"/>
        <w:keepLines w:val="0"/>
        <w:pageBreakBefore w:val="0"/>
        <w:kinsoku/>
        <w:wordWrap/>
        <w:overflowPunct/>
        <w:topLinePunct w:val="0"/>
        <w:autoSpaceDE/>
        <w:autoSpaceDN/>
        <w:bidi w:val="0"/>
        <w:snapToGrid w:val="0"/>
        <w:spacing w:line="240" w:lineRule="auto"/>
        <w:ind w:left="0" w:leftChars="0"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4.甲方可以视项目规模或复杂情况聘请专业人员参与验收，</w:t>
      </w:r>
      <w:r>
        <w:rPr>
          <w:rFonts w:ascii="仿宋" w:hAnsi="仿宋" w:eastAsia="仿宋"/>
          <w:color w:val="auto"/>
          <w:sz w:val="24"/>
          <w:highlight w:val="none"/>
        </w:rPr>
        <w:t>大型或复杂项目</w:t>
      </w:r>
      <w:r>
        <w:rPr>
          <w:rFonts w:hint="eastAsia" w:ascii="仿宋" w:hAnsi="仿宋" w:eastAsia="仿宋"/>
          <w:color w:val="auto"/>
          <w:sz w:val="24"/>
          <w:highlight w:val="none"/>
        </w:rPr>
        <w:t>，以及涉及专业服务内容的应当</w:t>
      </w:r>
      <w:r>
        <w:rPr>
          <w:rFonts w:ascii="仿宋" w:hAnsi="仿宋" w:eastAsia="仿宋"/>
          <w:color w:val="auto"/>
          <w:sz w:val="24"/>
          <w:highlight w:val="none"/>
        </w:rPr>
        <w:t>邀请国家认可的第三方质量检测机构参与验收。</w:t>
      </w:r>
    </w:p>
    <w:p w14:paraId="0FEDEC7A">
      <w:pPr>
        <w:keepNext w:val="0"/>
        <w:keepLines w:val="0"/>
        <w:pageBreakBefore w:val="0"/>
        <w:kinsoku/>
        <w:wordWrap/>
        <w:overflowPunct/>
        <w:topLinePunct w:val="0"/>
        <w:autoSpaceDE/>
        <w:autoSpaceDN/>
        <w:bidi w:val="0"/>
        <w:snapToGrid w:val="0"/>
        <w:spacing w:line="240" w:lineRule="auto"/>
        <w:ind w:left="0" w:leftChars="0"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5.如项目实施情况需要分阶段验收，则根据实际情况分阶段出具《履约验收报告》。</w:t>
      </w:r>
    </w:p>
    <w:p w14:paraId="76B915CA">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6.如果合同双方对《履约验收报告》有分歧，双方须于出现分歧后天内给对方书面声明，以陈述己方的理由及要求，并附有关证据。分歧应通过协商解决。</w:t>
      </w:r>
    </w:p>
    <w:p w14:paraId="7149F698">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九</w:t>
      </w:r>
      <w:r>
        <w:rPr>
          <w:rFonts w:hint="eastAsia" w:ascii="仿宋" w:hAnsi="仿宋" w:eastAsia="仿宋"/>
          <w:b/>
          <w:color w:val="auto"/>
          <w:sz w:val="24"/>
          <w:highlight w:val="none"/>
        </w:rPr>
        <w:t>条  项目管理服务</w:t>
      </w:r>
    </w:p>
    <w:p w14:paraId="2BF8ADF6">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乙方要指定不少于一人全权全程负责本项目服务的落实，包括服务的咨询、执行和后续工作。</w:t>
      </w:r>
    </w:p>
    <w:p w14:paraId="3D6FC466">
      <w:pPr>
        <w:keepNext w:val="0"/>
        <w:keepLines w:val="0"/>
        <w:pageBreakBefore w:val="0"/>
        <w:kinsoku/>
        <w:wordWrap/>
        <w:overflowPunct/>
        <w:topLinePunct w:val="0"/>
        <w:autoSpaceDE/>
        <w:autoSpaceDN/>
        <w:bidi w:val="0"/>
        <w:snapToGrid w:val="0"/>
        <w:spacing w:line="240" w:lineRule="auto"/>
        <w:ind w:left="0" w:leftChars="0" w:firstLine="481"/>
        <w:textAlignment w:val="baseline"/>
        <w:rPr>
          <w:rFonts w:ascii="仿宋" w:hAnsi="仿宋" w:eastAsia="仿宋"/>
          <w:color w:val="auto"/>
          <w:sz w:val="24"/>
          <w:highlight w:val="none"/>
        </w:rPr>
      </w:pP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 联系电话：。</w:t>
      </w:r>
    </w:p>
    <w:p w14:paraId="7D4A2577">
      <w:pPr>
        <w:keepNext w:val="0"/>
        <w:keepLines w:val="0"/>
        <w:pageBreakBefore w:val="0"/>
        <w:kinsoku/>
        <w:wordWrap/>
        <w:overflowPunct/>
        <w:topLinePunct w:val="0"/>
        <w:autoSpaceDE/>
        <w:autoSpaceDN/>
        <w:bidi w:val="0"/>
        <w:spacing w:line="240" w:lineRule="auto"/>
        <w:ind w:left="0" w:leftChars="0" w:firstLine="472" w:firstLineChars="196"/>
        <w:rPr>
          <w:rFonts w:ascii="仿宋" w:hAnsi="仿宋" w:eastAsia="仿宋"/>
          <w:b/>
          <w:color w:val="auto"/>
          <w:sz w:val="24"/>
          <w:highlight w:val="none"/>
        </w:rPr>
      </w:pPr>
      <w:r>
        <w:rPr>
          <w:rFonts w:hint="eastAsia" w:ascii="仿宋" w:hAnsi="仿宋" w:eastAsia="仿宋"/>
          <w:b/>
          <w:color w:val="auto"/>
          <w:sz w:val="24"/>
          <w:highlight w:val="none"/>
        </w:rPr>
        <w:t>第</w:t>
      </w:r>
      <w:r>
        <w:rPr>
          <w:rFonts w:hint="eastAsia" w:ascii="仿宋" w:hAnsi="仿宋" w:eastAsia="仿宋"/>
          <w:b/>
          <w:color w:val="auto"/>
          <w:sz w:val="24"/>
          <w:highlight w:val="none"/>
          <w:lang w:val="en-US" w:eastAsia="zh-CN"/>
        </w:rPr>
        <w:t>十</w:t>
      </w:r>
      <w:r>
        <w:rPr>
          <w:rFonts w:hint="eastAsia" w:ascii="仿宋" w:hAnsi="仿宋" w:eastAsia="仿宋"/>
          <w:b/>
          <w:color w:val="auto"/>
          <w:sz w:val="24"/>
          <w:highlight w:val="none"/>
        </w:rPr>
        <w:t xml:space="preserve">条  </w:t>
      </w:r>
      <w:r>
        <w:rPr>
          <w:rFonts w:hint="eastAsia" w:ascii="仿宋" w:hAnsi="仿宋" w:eastAsia="仿宋"/>
          <w:b/>
          <w:color w:val="auto"/>
          <w:sz w:val="24"/>
          <w:highlight w:val="none"/>
          <w:lang w:val="en-US" w:eastAsia="zh-CN"/>
        </w:rPr>
        <w:t>后续</w:t>
      </w:r>
      <w:r>
        <w:rPr>
          <w:rFonts w:hint="eastAsia" w:ascii="仿宋" w:hAnsi="仿宋" w:eastAsia="仿宋"/>
          <w:b/>
          <w:color w:val="auto"/>
          <w:sz w:val="24"/>
          <w:highlight w:val="none"/>
        </w:rPr>
        <w:t>服务</w:t>
      </w:r>
    </w:p>
    <w:p w14:paraId="13B56AEB">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1.乙方提供服务的质量保证期为自服务通过最终验收起个月。若国家有明确规定的质量保证期高于此质量保证期的，执行国家规定。</w:t>
      </w:r>
    </w:p>
    <w:p w14:paraId="120B1868">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2.服务期内，乙方应提供相关服务支持。对甲方所反映的任何服务问题在</w:t>
      </w:r>
      <w:r>
        <w:rPr>
          <w:rFonts w:hint="eastAsia" w:ascii="仿宋" w:hAnsi="仿宋" w:eastAsia="仿宋"/>
          <w:color w:val="auto"/>
          <w:sz w:val="24"/>
          <w:highlight w:val="none"/>
          <w:u w:val="single"/>
        </w:rPr>
        <w:t>××</w:t>
      </w:r>
      <w:r>
        <w:rPr>
          <w:rFonts w:hint="eastAsia" w:ascii="仿宋" w:hAnsi="仿宋" w:eastAsia="仿宋"/>
          <w:color w:val="auto"/>
          <w:sz w:val="24"/>
          <w:highlight w:val="none"/>
        </w:rPr>
        <w:t>日（小时）之内做出及时响应，在日（小时）之内赶到现场实地解决问题。若问题在工作日（小时）后仍无法解决，乙方应在日（小时）内免费提供服务的补偿、替换方案，直至服务恢复正常。</w:t>
      </w:r>
    </w:p>
    <w:p w14:paraId="059901D9">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3.乙方必须遵守甲方的有关管理制度、操作规程。对于乙方违规操作造成甲方损失的，由乙方按照本合同第十二条的约定承担赔偿责任。</w:t>
      </w:r>
    </w:p>
    <w:p w14:paraId="45706DC2">
      <w:pPr>
        <w:keepNext w:val="0"/>
        <w:keepLines w:val="0"/>
        <w:pageBreakBefore w:val="0"/>
        <w:kinsoku/>
        <w:wordWrap/>
        <w:overflowPunct/>
        <w:topLinePunct w:val="0"/>
        <w:autoSpaceDE/>
        <w:autoSpaceDN/>
        <w:bidi w:val="0"/>
        <w:spacing w:line="240" w:lineRule="auto"/>
        <w:ind w:left="0" w:leftChars="0" w:firstLine="482" w:firstLineChars="200"/>
        <w:rPr>
          <w:rFonts w:hint="default" w:ascii="仿宋" w:hAnsi="仿宋" w:eastAsia="仿宋"/>
          <w:b/>
          <w:color w:val="auto"/>
          <w:sz w:val="24"/>
          <w:highlight w:val="none"/>
          <w:lang w:val="en-US" w:eastAsia="zh-CN"/>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一</w:t>
      </w:r>
      <w:r>
        <w:rPr>
          <w:rFonts w:hint="eastAsia" w:ascii="仿宋" w:hAnsi="仿宋" w:eastAsia="仿宋"/>
          <w:b/>
          <w:color w:val="auto"/>
          <w:sz w:val="24"/>
          <w:highlight w:val="none"/>
        </w:rPr>
        <w:t>条  分包</w:t>
      </w:r>
      <w:r>
        <w:rPr>
          <w:rFonts w:hint="eastAsia" w:ascii="仿宋" w:hAnsi="仿宋" w:eastAsia="仿宋"/>
          <w:b/>
          <w:bCs/>
          <w:color w:val="auto"/>
          <w:sz w:val="24"/>
          <w:szCs w:val="24"/>
          <w:highlight w:val="none"/>
          <w:lang w:val="en-US" w:eastAsia="zh-CN"/>
        </w:rPr>
        <w:t>、</w:t>
      </w:r>
      <w:r>
        <w:rPr>
          <w:rFonts w:hint="eastAsia" w:ascii="仿宋" w:hAnsi="仿宋" w:eastAsia="仿宋"/>
          <w:b/>
          <w:color w:val="auto"/>
          <w:sz w:val="24"/>
          <w:highlight w:val="none"/>
          <w:lang w:val="en-US" w:eastAsia="zh-CN"/>
        </w:rPr>
        <w:t>转包</w:t>
      </w:r>
    </w:p>
    <w:p w14:paraId="44C83B37">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strike/>
          <w:color w:val="auto"/>
          <w:sz w:val="24"/>
          <w:highlight w:val="none"/>
        </w:rPr>
      </w:pPr>
      <w:r>
        <w:rPr>
          <w:rFonts w:hint="eastAsia" w:ascii="仿宋" w:hAnsi="仿宋" w:eastAsia="仿宋"/>
          <w:color w:val="auto"/>
          <w:sz w:val="24"/>
          <w:highlight w:val="none"/>
        </w:rPr>
        <w:t>除采购文件事先说明、且经甲方事先书面同意外，乙方不得分包、转包其应履行的合同义务。</w:t>
      </w:r>
    </w:p>
    <w:p w14:paraId="712DC8E7">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二</w:t>
      </w:r>
      <w:r>
        <w:rPr>
          <w:rFonts w:hint="eastAsia" w:ascii="仿宋" w:hAnsi="仿宋" w:eastAsia="仿宋"/>
          <w:b/>
          <w:color w:val="auto"/>
          <w:sz w:val="24"/>
          <w:highlight w:val="none"/>
        </w:rPr>
        <w:t>条  合同的生效</w:t>
      </w:r>
    </w:p>
    <w:p w14:paraId="49F74414">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1.本合同经甲乙双方授权代表签字并加盖公章或合同专用章后生效。</w:t>
      </w:r>
    </w:p>
    <w:p w14:paraId="0A9155B2">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2.生效后，除《政府采购法》第49条、第50条第二款规定的情形外，甲乙双方不得擅自变更、中止或终止合同。</w:t>
      </w:r>
    </w:p>
    <w:p w14:paraId="2EB2797E">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三</w:t>
      </w:r>
      <w:r>
        <w:rPr>
          <w:rFonts w:hint="eastAsia" w:ascii="仿宋" w:hAnsi="仿宋" w:eastAsia="仿宋"/>
          <w:b/>
          <w:color w:val="auto"/>
          <w:sz w:val="24"/>
          <w:highlight w:val="none"/>
        </w:rPr>
        <w:t>条  违约责任</w:t>
      </w:r>
    </w:p>
    <w:p w14:paraId="2FE389A0">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服务成果</w:t>
      </w:r>
      <w:r>
        <w:rPr>
          <w:rFonts w:ascii="仿宋" w:hAnsi="仿宋" w:eastAsia="仿宋"/>
          <w:color w:val="auto"/>
          <w:sz w:val="24"/>
          <w:highlight w:val="none"/>
        </w:rPr>
        <w:t>不符合</w:t>
      </w:r>
      <w:r>
        <w:rPr>
          <w:rFonts w:hint="eastAsia" w:ascii="仿宋" w:hAnsi="仿宋" w:eastAsia="仿宋"/>
          <w:color w:val="auto"/>
          <w:sz w:val="24"/>
          <w:highlight w:val="none"/>
        </w:rPr>
        <w:t>本</w:t>
      </w:r>
      <w:r>
        <w:rPr>
          <w:rFonts w:ascii="仿宋" w:hAnsi="仿宋" w:eastAsia="仿宋"/>
          <w:color w:val="auto"/>
          <w:sz w:val="24"/>
          <w:highlight w:val="none"/>
        </w:rPr>
        <w:t>合同规定的，甲方有权拒收</w:t>
      </w:r>
      <w:r>
        <w:rPr>
          <w:rFonts w:hint="eastAsia" w:ascii="仿宋" w:hAnsi="仿宋" w:eastAsia="仿宋"/>
          <w:color w:val="auto"/>
          <w:sz w:val="24"/>
          <w:highlight w:val="none"/>
        </w:rPr>
        <w:t>，乙方在得到甲方通知之日起个工作日内采取补救措施，逾期仍未采取有效措施的，乙方应向甲方支付合同总价％的违约金。</w:t>
      </w:r>
    </w:p>
    <w:p w14:paraId="1A58A4CE">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2.甲方无正当理由拒绝接收服务，甲方应向乙方偿付拒付服务费用 ％的违约金。</w:t>
      </w:r>
    </w:p>
    <w:p w14:paraId="5B3C5DB6">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乙方无正当理由逾期</w:t>
      </w:r>
      <w:r>
        <w:rPr>
          <w:rFonts w:hint="eastAsia" w:ascii="仿宋" w:hAnsi="仿宋" w:eastAsia="仿宋"/>
          <w:color w:val="auto"/>
          <w:sz w:val="24"/>
          <w:highlight w:val="none"/>
        </w:rPr>
        <w:t>提供服务</w:t>
      </w:r>
      <w:r>
        <w:rPr>
          <w:rFonts w:ascii="仿宋" w:hAnsi="仿宋" w:eastAsia="仿宋"/>
          <w:color w:val="auto"/>
          <w:sz w:val="24"/>
          <w:highlight w:val="none"/>
        </w:rPr>
        <w:t>的，每逾期1天，乙方向甲方偿付</w:t>
      </w:r>
      <w:r>
        <w:rPr>
          <w:rFonts w:hint="eastAsia" w:ascii="仿宋" w:hAnsi="仿宋" w:eastAsia="仿宋"/>
          <w:color w:val="auto"/>
          <w:sz w:val="24"/>
          <w:highlight w:val="none"/>
        </w:rPr>
        <w:t>合同</w:t>
      </w:r>
      <w:r>
        <w:rPr>
          <w:rFonts w:ascii="仿宋" w:hAnsi="仿宋" w:eastAsia="仿宋"/>
          <w:color w:val="auto"/>
          <w:sz w:val="24"/>
          <w:highlight w:val="none"/>
        </w:rPr>
        <w:t>总额的‰的</w:t>
      </w:r>
      <w:r>
        <w:rPr>
          <w:rFonts w:hint="eastAsia" w:ascii="仿宋" w:hAnsi="仿宋" w:eastAsia="仿宋"/>
          <w:color w:val="auto"/>
          <w:sz w:val="24"/>
          <w:highlight w:val="none"/>
        </w:rPr>
        <w:t>违约</w:t>
      </w:r>
      <w:r>
        <w:rPr>
          <w:rFonts w:ascii="仿宋" w:hAnsi="仿宋" w:eastAsia="仿宋"/>
          <w:color w:val="auto"/>
          <w:sz w:val="24"/>
          <w:highlight w:val="none"/>
        </w:rPr>
        <w:t>金</w:t>
      </w:r>
      <w:r>
        <w:rPr>
          <w:rFonts w:hint="eastAsia" w:ascii="仿宋" w:hAnsi="仿宋" w:eastAsia="仿宋"/>
          <w:color w:val="auto"/>
          <w:sz w:val="24"/>
          <w:highlight w:val="none"/>
        </w:rPr>
        <w:t>。如乙方逾期达天，甲方有权解除合同，甲方解除合同的通知自到达乙方时生效。在此情况下，乙方给甲方造成的实际损失高于违约金的，对高出违约金的部分乙方应予以赔偿。</w:t>
      </w:r>
    </w:p>
    <w:p w14:paraId="12D6924F">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4.甲方未按合同规定的期限向乙方支付合同款的，每逾期1天甲方向乙方偿付欠款总额的‰违约金，但累计违约金总额不超过欠款总额的％。</w:t>
      </w:r>
    </w:p>
    <w:p w14:paraId="45BD548A">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5.其它未尽事宜，以《民法典》和《政府采购法》等有关法律法规规定为准，无相关规定的，双方协商解决。</w:t>
      </w:r>
    </w:p>
    <w:p w14:paraId="336CAF11">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四</w:t>
      </w:r>
      <w:r>
        <w:rPr>
          <w:rFonts w:hint="eastAsia" w:ascii="仿宋" w:hAnsi="仿宋" w:eastAsia="仿宋"/>
          <w:b/>
          <w:color w:val="auto"/>
          <w:sz w:val="24"/>
          <w:highlight w:val="none"/>
        </w:rPr>
        <w:t>条  不可抗力</w:t>
      </w:r>
    </w:p>
    <w:p w14:paraId="216FA421">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69F4EA8D">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五</w:t>
      </w:r>
      <w:r>
        <w:rPr>
          <w:rFonts w:hint="eastAsia" w:ascii="仿宋" w:hAnsi="仿宋" w:eastAsia="仿宋"/>
          <w:b/>
          <w:color w:val="auto"/>
          <w:sz w:val="24"/>
          <w:highlight w:val="none"/>
        </w:rPr>
        <w:t>条  争议的解决方式</w:t>
      </w:r>
    </w:p>
    <w:p w14:paraId="4065F888">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1.因服务质量问题发生争议的，应当邀请国家认可的质量检测机构对服务进行鉴定。服务符合标准的，鉴定费由甲方承担；不符合质量标准的，鉴定费由乙方承担。</w:t>
      </w:r>
    </w:p>
    <w:p w14:paraId="16C84D81">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2.在解释或者执行本合同的过程中发生争议时，双方应通过协商方式解决。</w:t>
      </w:r>
    </w:p>
    <w:p w14:paraId="72DC3FAF">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3.经协商不能解决的争议，双方可选择以下第种方式解决：</w:t>
      </w:r>
    </w:p>
    <w:p w14:paraId="5B4E72C8">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①</w:t>
      </w:r>
      <w:r>
        <w:rPr>
          <w:rFonts w:hint="eastAsia" w:ascii="仿宋" w:hAnsi="仿宋" w:eastAsia="仿宋"/>
          <w:color w:val="auto"/>
          <w:sz w:val="24"/>
          <w:highlight w:val="none"/>
        </w:rPr>
        <w:t>向南通市有管辖权的法院提起诉讼；</w:t>
      </w:r>
    </w:p>
    <w:p w14:paraId="222CD06A">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②</w:t>
      </w:r>
      <w:r>
        <w:rPr>
          <w:rFonts w:hint="eastAsia" w:ascii="仿宋" w:hAnsi="仿宋" w:eastAsia="仿宋"/>
          <w:color w:val="auto"/>
          <w:sz w:val="24"/>
          <w:highlight w:val="none"/>
        </w:rPr>
        <w:t>向南通市仲裁委员会提出仲裁。</w:t>
      </w:r>
    </w:p>
    <w:p w14:paraId="60DA36DB">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4.在法院审理和仲裁期间，除有争议部分外，本合同其他部分可以履行的仍应按合同条款继续履行。</w:t>
      </w:r>
    </w:p>
    <w:p w14:paraId="7D45832C">
      <w:pPr>
        <w:keepNext w:val="0"/>
        <w:keepLines w:val="0"/>
        <w:pageBreakBefore w:val="0"/>
        <w:kinsoku/>
        <w:wordWrap/>
        <w:overflowPunct/>
        <w:topLinePunct w:val="0"/>
        <w:autoSpaceDE/>
        <w:autoSpaceDN/>
        <w:bidi w:val="0"/>
        <w:spacing w:line="240" w:lineRule="auto"/>
        <w:ind w:left="0" w:leftChars="0"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六</w:t>
      </w:r>
      <w:r>
        <w:rPr>
          <w:rFonts w:hint="eastAsia" w:ascii="仿宋" w:hAnsi="仿宋" w:eastAsia="仿宋"/>
          <w:b/>
          <w:color w:val="auto"/>
          <w:sz w:val="24"/>
          <w:highlight w:val="none"/>
        </w:rPr>
        <w:t>条  其他</w:t>
      </w:r>
    </w:p>
    <w:p w14:paraId="64F2D178">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符合《政府采购法》第49条规定的，经双方协商，办理政府采购手续后，可签订补充合同，所签订的补充合同与本合同具有同等法律效力。</w:t>
      </w:r>
    </w:p>
    <w:p w14:paraId="33B93097">
      <w:pPr>
        <w:keepNext w:val="0"/>
        <w:keepLines w:val="0"/>
        <w:pageBreakBefore w:val="0"/>
        <w:kinsoku/>
        <w:wordWrap/>
        <w:overflowPunct/>
        <w:topLinePunct w:val="0"/>
        <w:autoSpaceDE/>
        <w:autoSpaceDN/>
        <w:bidi w:val="0"/>
        <w:spacing w:line="240" w:lineRule="auto"/>
        <w:ind w:left="0" w:leftChars="0"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本合同一式份，甲、乙双方各执份。</w:t>
      </w:r>
    </w:p>
    <w:p w14:paraId="61B47A93">
      <w:pPr>
        <w:ind w:firstLine="480" w:firstLineChars="200"/>
        <w:rPr>
          <w:rFonts w:ascii="仿宋" w:hAnsi="仿宋" w:eastAsia="仿宋"/>
          <w:color w:val="auto"/>
          <w:sz w:val="24"/>
          <w:highlight w:val="none"/>
        </w:rPr>
      </w:pPr>
    </w:p>
    <w:tbl>
      <w:tblPr>
        <w:tblStyle w:val="25"/>
        <w:tblW w:w="0" w:type="auto"/>
        <w:tblInd w:w="0" w:type="dxa"/>
        <w:tblLayout w:type="autofit"/>
        <w:tblCellMar>
          <w:top w:w="0" w:type="dxa"/>
          <w:left w:w="108" w:type="dxa"/>
          <w:bottom w:w="0" w:type="dxa"/>
          <w:right w:w="108" w:type="dxa"/>
        </w:tblCellMar>
      </w:tblPr>
      <w:tblGrid>
        <w:gridCol w:w="4261"/>
        <w:gridCol w:w="4261"/>
      </w:tblGrid>
      <w:tr w14:paraId="205224B0">
        <w:tblPrEx>
          <w:tblCellMar>
            <w:top w:w="0" w:type="dxa"/>
            <w:left w:w="108" w:type="dxa"/>
            <w:bottom w:w="0" w:type="dxa"/>
            <w:right w:w="108" w:type="dxa"/>
          </w:tblCellMar>
        </w:tblPrEx>
        <w:tc>
          <w:tcPr>
            <w:tcW w:w="4261" w:type="dxa"/>
          </w:tcPr>
          <w:p w14:paraId="1275A215">
            <w:pPr>
              <w:rPr>
                <w:rFonts w:ascii="仿宋" w:hAnsi="仿宋" w:eastAsia="仿宋"/>
                <w:color w:val="auto"/>
                <w:sz w:val="24"/>
                <w:highlight w:val="none"/>
              </w:rPr>
            </w:pPr>
            <w:r>
              <w:rPr>
                <w:rFonts w:hint="eastAsia" w:ascii="仿宋" w:hAnsi="仿宋" w:eastAsia="仿宋"/>
                <w:color w:val="auto"/>
                <w:sz w:val="24"/>
                <w:highlight w:val="none"/>
              </w:rPr>
              <w:t>甲方（公章）：</w:t>
            </w:r>
          </w:p>
          <w:p w14:paraId="649A655D">
            <w:pPr>
              <w:rPr>
                <w:rFonts w:ascii="仿宋" w:hAnsi="仿宋" w:eastAsia="仿宋"/>
                <w:color w:val="auto"/>
                <w:sz w:val="24"/>
                <w:highlight w:val="none"/>
              </w:rPr>
            </w:pPr>
            <w:r>
              <w:rPr>
                <w:rFonts w:hint="eastAsia" w:ascii="仿宋" w:hAnsi="仿宋" w:eastAsia="仿宋"/>
                <w:color w:val="auto"/>
                <w:sz w:val="24"/>
                <w:highlight w:val="none"/>
              </w:rPr>
              <w:t>地址：</w:t>
            </w:r>
          </w:p>
          <w:p w14:paraId="0E6506C5">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72EC2FC1">
            <w:pPr>
              <w:rPr>
                <w:rFonts w:ascii="仿宋" w:hAnsi="仿宋" w:eastAsia="仿宋"/>
                <w:color w:val="auto"/>
                <w:sz w:val="24"/>
                <w:highlight w:val="none"/>
              </w:rPr>
            </w:pPr>
          </w:p>
          <w:p w14:paraId="1AA02304">
            <w:pPr>
              <w:rPr>
                <w:rFonts w:ascii="仿宋" w:hAnsi="仿宋" w:eastAsia="仿宋"/>
                <w:color w:val="auto"/>
                <w:sz w:val="24"/>
                <w:highlight w:val="none"/>
              </w:rPr>
            </w:pPr>
          </w:p>
          <w:p w14:paraId="674E4D2B">
            <w:pPr>
              <w:jc w:val="right"/>
              <w:rPr>
                <w:rFonts w:ascii="仿宋" w:hAnsi="仿宋" w:eastAsia="仿宋"/>
                <w:color w:val="auto"/>
                <w:sz w:val="24"/>
                <w:highlight w:val="none"/>
              </w:rPr>
            </w:pPr>
            <w:r>
              <w:rPr>
                <w:rFonts w:hint="eastAsia" w:ascii="仿宋" w:hAnsi="仿宋" w:eastAsia="仿宋"/>
                <w:color w:val="auto"/>
                <w:sz w:val="24"/>
                <w:highlight w:val="none"/>
              </w:rPr>
              <w:t>年  月  日</w:t>
            </w:r>
          </w:p>
        </w:tc>
        <w:tc>
          <w:tcPr>
            <w:tcW w:w="4261" w:type="dxa"/>
          </w:tcPr>
          <w:p w14:paraId="6DB10553">
            <w:pPr>
              <w:rPr>
                <w:rFonts w:ascii="仿宋" w:hAnsi="仿宋" w:eastAsia="仿宋"/>
                <w:color w:val="auto"/>
                <w:sz w:val="24"/>
                <w:highlight w:val="none"/>
              </w:rPr>
            </w:pPr>
            <w:r>
              <w:rPr>
                <w:rFonts w:hint="eastAsia" w:ascii="仿宋" w:hAnsi="仿宋" w:eastAsia="仿宋"/>
                <w:color w:val="auto"/>
                <w:sz w:val="24"/>
                <w:highlight w:val="none"/>
              </w:rPr>
              <w:t>乙方（公章）：</w:t>
            </w:r>
          </w:p>
          <w:p w14:paraId="22DB2D08">
            <w:pPr>
              <w:rPr>
                <w:rFonts w:ascii="仿宋" w:hAnsi="仿宋" w:eastAsia="仿宋"/>
                <w:color w:val="auto"/>
                <w:sz w:val="24"/>
                <w:highlight w:val="none"/>
              </w:rPr>
            </w:pPr>
            <w:r>
              <w:rPr>
                <w:rFonts w:hint="eastAsia" w:ascii="仿宋" w:hAnsi="仿宋" w:eastAsia="仿宋"/>
                <w:color w:val="auto"/>
                <w:sz w:val="24"/>
                <w:highlight w:val="none"/>
              </w:rPr>
              <w:t>地址：</w:t>
            </w:r>
          </w:p>
          <w:p w14:paraId="0ADFEA32">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36EC9DDD">
            <w:pPr>
              <w:rPr>
                <w:rFonts w:ascii="仿宋" w:hAnsi="仿宋" w:eastAsia="仿宋"/>
                <w:color w:val="auto"/>
                <w:sz w:val="24"/>
                <w:highlight w:val="none"/>
              </w:rPr>
            </w:pPr>
            <w:r>
              <w:rPr>
                <w:rFonts w:hint="eastAsia" w:ascii="仿宋" w:hAnsi="仿宋" w:eastAsia="仿宋"/>
                <w:color w:val="auto"/>
                <w:sz w:val="24"/>
                <w:highlight w:val="none"/>
              </w:rPr>
              <w:t>开户行：</w:t>
            </w:r>
          </w:p>
          <w:p w14:paraId="22A474CF">
            <w:pPr>
              <w:rPr>
                <w:rFonts w:ascii="仿宋" w:hAnsi="仿宋" w:eastAsia="仿宋"/>
                <w:color w:val="auto"/>
                <w:sz w:val="24"/>
                <w:highlight w:val="none"/>
              </w:rPr>
            </w:pPr>
            <w:r>
              <w:rPr>
                <w:rFonts w:hint="eastAsia" w:ascii="仿宋" w:hAnsi="仿宋" w:eastAsia="仿宋"/>
                <w:color w:val="auto"/>
                <w:sz w:val="24"/>
                <w:highlight w:val="none"/>
              </w:rPr>
              <w:t>银行账号：</w:t>
            </w:r>
          </w:p>
          <w:p w14:paraId="45C7CBC6">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p>
        </w:tc>
      </w:tr>
    </w:tbl>
    <w:p w14:paraId="3E5D9687">
      <w:pPr>
        <w:ind w:firstLine="480" w:firstLineChars="200"/>
        <w:rPr>
          <w:rFonts w:ascii="仿宋" w:hAnsi="仿宋" w:eastAsia="仿宋"/>
          <w:color w:val="auto"/>
          <w:sz w:val="24"/>
          <w:highlight w:val="none"/>
        </w:rPr>
      </w:pPr>
    </w:p>
    <w:p w14:paraId="76CE5015">
      <w:pPr>
        <w:rPr>
          <w:rFonts w:ascii="仿宋" w:hAnsi="仿宋" w:eastAsia="仿宋"/>
          <w:color w:val="auto"/>
          <w:sz w:val="24"/>
          <w:highlight w:val="none"/>
        </w:rPr>
      </w:pPr>
      <w:r>
        <w:rPr>
          <w:rFonts w:hint="eastAsia" w:ascii="仿宋" w:hAnsi="仿宋" w:eastAsia="仿宋"/>
          <w:color w:val="auto"/>
          <w:sz w:val="24"/>
          <w:highlight w:val="none"/>
        </w:rPr>
        <w:t>附件</w:t>
      </w:r>
    </w:p>
    <w:p w14:paraId="5791550C">
      <w:pPr>
        <w:jc w:val="center"/>
        <w:rPr>
          <w:rFonts w:ascii="仿宋" w:hAnsi="仿宋" w:eastAsia="仿宋"/>
          <w:color w:val="auto"/>
          <w:sz w:val="24"/>
          <w:highlight w:val="none"/>
        </w:rPr>
      </w:pPr>
      <w:r>
        <w:rPr>
          <w:rFonts w:hint="eastAsia" w:ascii="仿宋" w:hAnsi="仿宋" w:eastAsia="仿宋"/>
          <w:color w:val="auto"/>
          <w:sz w:val="24"/>
          <w:highlight w:val="none"/>
        </w:rPr>
        <w:t>服务明细项目一览表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63C3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29178221">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270" w:type="dxa"/>
            <w:vAlign w:val="center"/>
          </w:tcPr>
          <w:p w14:paraId="4E441CF5">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574" w:type="dxa"/>
            <w:vAlign w:val="center"/>
          </w:tcPr>
          <w:p w14:paraId="3193E54A">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494" w:type="dxa"/>
            <w:vAlign w:val="center"/>
          </w:tcPr>
          <w:p w14:paraId="65BC230B">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494" w:type="dxa"/>
            <w:vAlign w:val="center"/>
          </w:tcPr>
          <w:p w14:paraId="52874210">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856" w:type="dxa"/>
            <w:vAlign w:val="center"/>
          </w:tcPr>
          <w:p w14:paraId="1C24DA54">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247BFE0C">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903" w:type="dxa"/>
            <w:vAlign w:val="center"/>
          </w:tcPr>
          <w:p w14:paraId="59869969">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0D414307">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232" w:type="dxa"/>
            <w:vAlign w:val="center"/>
          </w:tcPr>
          <w:p w14:paraId="5E7A825A">
            <w:pPr>
              <w:pStyle w:val="12"/>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424AF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F8DE361">
            <w:pPr>
              <w:pStyle w:val="12"/>
              <w:snapToGrid w:val="0"/>
              <w:spacing w:after="0" w:line="240" w:lineRule="auto"/>
              <w:rPr>
                <w:rFonts w:ascii="仿宋" w:hAnsi="仿宋" w:eastAsia="仿宋"/>
                <w:color w:val="auto"/>
                <w:sz w:val="24"/>
                <w:szCs w:val="24"/>
                <w:highlight w:val="none"/>
              </w:rPr>
            </w:pPr>
          </w:p>
        </w:tc>
        <w:tc>
          <w:tcPr>
            <w:tcW w:w="1270" w:type="dxa"/>
          </w:tcPr>
          <w:p w14:paraId="73658C7D">
            <w:pPr>
              <w:pStyle w:val="12"/>
              <w:snapToGrid w:val="0"/>
              <w:spacing w:after="0" w:line="240" w:lineRule="auto"/>
              <w:rPr>
                <w:rFonts w:ascii="仿宋" w:hAnsi="仿宋" w:eastAsia="仿宋"/>
                <w:color w:val="auto"/>
                <w:sz w:val="24"/>
                <w:szCs w:val="24"/>
                <w:highlight w:val="none"/>
              </w:rPr>
            </w:pPr>
          </w:p>
        </w:tc>
        <w:tc>
          <w:tcPr>
            <w:tcW w:w="2574" w:type="dxa"/>
          </w:tcPr>
          <w:p w14:paraId="4B035D09">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（视明细项目加行）</w:t>
            </w:r>
          </w:p>
        </w:tc>
        <w:tc>
          <w:tcPr>
            <w:tcW w:w="494" w:type="dxa"/>
          </w:tcPr>
          <w:p w14:paraId="19E78E05">
            <w:pPr>
              <w:pStyle w:val="12"/>
              <w:snapToGrid w:val="0"/>
              <w:spacing w:after="0" w:line="240" w:lineRule="auto"/>
              <w:rPr>
                <w:rFonts w:ascii="仿宋" w:hAnsi="仿宋" w:eastAsia="仿宋"/>
                <w:color w:val="auto"/>
                <w:sz w:val="24"/>
                <w:szCs w:val="24"/>
                <w:highlight w:val="none"/>
              </w:rPr>
            </w:pPr>
          </w:p>
        </w:tc>
        <w:tc>
          <w:tcPr>
            <w:tcW w:w="494" w:type="dxa"/>
          </w:tcPr>
          <w:p w14:paraId="125CA8B9">
            <w:pPr>
              <w:pStyle w:val="12"/>
              <w:snapToGrid w:val="0"/>
              <w:spacing w:after="0" w:line="240" w:lineRule="auto"/>
              <w:jc w:val="center"/>
              <w:rPr>
                <w:rFonts w:ascii="仿宋" w:hAnsi="仿宋" w:eastAsia="仿宋"/>
                <w:color w:val="auto"/>
                <w:sz w:val="24"/>
                <w:szCs w:val="24"/>
                <w:highlight w:val="none"/>
              </w:rPr>
            </w:pPr>
          </w:p>
        </w:tc>
        <w:tc>
          <w:tcPr>
            <w:tcW w:w="856" w:type="dxa"/>
          </w:tcPr>
          <w:p w14:paraId="599F1937">
            <w:pPr>
              <w:pStyle w:val="12"/>
              <w:snapToGrid w:val="0"/>
              <w:spacing w:after="0" w:line="240" w:lineRule="auto"/>
              <w:rPr>
                <w:rFonts w:ascii="仿宋" w:hAnsi="仿宋" w:eastAsia="仿宋"/>
                <w:color w:val="auto"/>
                <w:sz w:val="24"/>
                <w:szCs w:val="24"/>
                <w:highlight w:val="none"/>
              </w:rPr>
            </w:pPr>
          </w:p>
        </w:tc>
        <w:tc>
          <w:tcPr>
            <w:tcW w:w="903" w:type="dxa"/>
          </w:tcPr>
          <w:p w14:paraId="45985A06">
            <w:pPr>
              <w:pStyle w:val="12"/>
              <w:snapToGrid w:val="0"/>
              <w:spacing w:after="0" w:line="240" w:lineRule="auto"/>
              <w:rPr>
                <w:rFonts w:ascii="仿宋" w:hAnsi="仿宋" w:eastAsia="仿宋"/>
                <w:color w:val="auto"/>
                <w:sz w:val="24"/>
                <w:szCs w:val="24"/>
                <w:highlight w:val="none"/>
              </w:rPr>
            </w:pPr>
          </w:p>
        </w:tc>
        <w:tc>
          <w:tcPr>
            <w:tcW w:w="1232" w:type="dxa"/>
          </w:tcPr>
          <w:p w14:paraId="070FBDF6">
            <w:pPr>
              <w:pStyle w:val="12"/>
              <w:snapToGrid w:val="0"/>
              <w:spacing w:after="0" w:line="240" w:lineRule="auto"/>
              <w:rPr>
                <w:rFonts w:ascii="仿宋" w:hAnsi="仿宋" w:eastAsia="仿宋"/>
                <w:color w:val="auto"/>
                <w:sz w:val="24"/>
                <w:szCs w:val="24"/>
                <w:highlight w:val="none"/>
              </w:rPr>
            </w:pPr>
          </w:p>
        </w:tc>
      </w:tr>
      <w:tr w14:paraId="6620A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CFAE268">
            <w:pPr>
              <w:pStyle w:val="12"/>
              <w:snapToGrid w:val="0"/>
              <w:spacing w:after="0" w:line="240" w:lineRule="auto"/>
              <w:rPr>
                <w:rFonts w:ascii="仿宋" w:hAnsi="仿宋" w:eastAsia="仿宋"/>
                <w:color w:val="auto"/>
                <w:sz w:val="24"/>
                <w:szCs w:val="24"/>
                <w:highlight w:val="none"/>
              </w:rPr>
            </w:pPr>
          </w:p>
        </w:tc>
        <w:tc>
          <w:tcPr>
            <w:tcW w:w="1270" w:type="dxa"/>
          </w:tcPr>
          <w:p w14:paraId="74305BAE">
            <w:pPr>
              <w:pStyle w:val="12"/>
              <w:snapToGrid w:val="0"/>
              <w:spacing w:after="0" w:line="240" w:lineRule="auto"/>
              <w:rPr>
                <w:rFonts w:ascii="仿宋" w:hAnsi="仿宋" w:eastAsia="仿宋"/>
                <w:color w:val="auto"/>
                <w:sz w:val="24"/>
                <w:szCs w:val="24"/>
                <w:highlight w:val="none"/>
              </w:rPr>
            </w:pPr>
          </w:p>
        </w:tc>
        <w:tc>
          <w:tcPr>
            <w:tcW w:w="2574" w:type="dxa"/>
          </w:tcPr>
          <w:p w14:paraId="02780ACC">
            <w:pPr>
              <w:pStyle w:val="12"/>
              <w:snapToGrid w:val="0"/>
              <w:spacing w:after="0" w:line="240" w:lineRule="auto"/>
              <w:rPr>
                <w:rFonts w:ascii="仿宋" w:hAnsi="仿宋" w:eastAsia="仿宋"/>
                <w:color w:val="auto"/>
                <w:sz w:val="24"/>
                <w:szCs w:val="24"/>
                <w:highlight w:val="none"/>
              </w:rPr>
            </w:pPr>
          </w:p>
        </w:tc>
        <w:tc>
          <w:tcPr>
            <w:tcW w:w="494" w:type="dxa"/>
          </w:tcPr>
          <w:p w14:paraId="247321D5">
            <w:pPr>
              <w:pStyle w:val="12"/>
              <w:snapToGrid w:val="0"/>
              <w:spacing w:after="0" w:line="240" w:lineRule="auto"/>
              <w:rPr>
                <w:rFonts w:ascii="仿宋" w:hAnsi="仿宋" w:eastAsia="仿宋"/>
                <w:color w:val="auto"/>
                <w:sz w:val="24"/>
                <w:szCs w:val="24"/>
                <w:highlight w:val="none"/>
              </w:rPr>
            </w:pPr>
          </w:p>
        </w:tc>
        <w:tc>
          <w:tcPr>
            <w:tcW w:w="494" w:type="dxa"/>
          </w:tcPr>
          <w:p w14:paraId="693C3A53">
            <w:pPr>
              <w:pStyle w:val="12"/>
              <w:snapToGrid w:val="0"/>
              <w:spacing w:after="0" w:line="240" w:lineRule="auto"/>
              <w:rPr>
                <w:rFonts w:ascii="仿宋" w:hAnsi="仿宋" w:eastAsia="仿宋"/>
                <w:color w:val="auto"/>
                <w:sz w:val="24"/>
                <w:szCs w:val="24"/>
                <w:highlight w:val="none"/>
              </w:rPr>
            </w:pPr>
          </w:p>
        </w:tc>
        <w:tc>
          <w:tcPr>
            <w:tcW w:w="856" w:type="dxa"/>
          </w:tcPr>
          <w:p w14:paraId="480BF4EA">
            <w:pPr>
              <w:pStyle w:val="12"/>
              <w:snapToGrid w:val="0"/>
              <w:spacing w:after="0" w:line="240" w:lineRule="auto"/>
              <w:rPr>
                <w:rFonts w:ascii="仿宋" w:hAnsi="仿宋" w:eastAsia="仿宋"/>
                <w:color w:val="auto"/>
                <w:sz w:val="24"/>
                <w:szCs w:val="24"/>
                <w:highlight w:val="none"/>
              </w:rPr>
            </w:pPr>
          </w:p>
        </w:tc>
        <w:tc>
          <w:tcPr>
            <w:tcW w:w="903" w:type="dxa"/>
          </w:tcPr>
          <w:p w14:paraId="164F764C">
            <w:pPr>
              <w:pStyle w:val="12"/>
              <w:snapToGrid w:val="0"/>
              <w:spacing w:after="0" w:line="240" w:lineRule="auto"/>
              <w:rPr>
                <w:rFonts w:ascii="仿宋" w:hAnsi="仿宋" w:eastAsia="仿宋"/>
                <w:color w:val="auto"/>
                <w:sz w:val="24"/>
                <w:szCs w:val="24"/>
                <w:highlight w:val="none"/>
              </w:rPr>
            </w:pPr>
          </w:p>
        </w:tc>
        <w:tc>
          <w:tcPr>
            <w:tcW w:w="1232" w:type="dxa"/>
          </w:tcPr>
          <w:p w14:paraId="3C964843">
            <w:pPr>
              <w:pStyle w:val="12"/>
              <w:snapToGrid w:val="0"/>
              <w:spacing w:after="0" w:line="240" w:lineRule="auto"/>
              <w:rPr>
                <w:rFonts w:ascii="仿宋" w:hAnsi="仿宋" w:eastAsia="仿宋"/>
                <w:color w:val="auto"/>
                <w:sz w:val="24"/>
                <w:szCs w:val="24"/>
                <w:highlight w:val="none"/>
              </w:rPr>
            </w:pPr>
          </w:p>
        </w:tc>
      </w:tr>
      <w:tr w14:paraId="7F89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F0D83B3">
            <w:pPr>
              <w:pStyle w:val="12"/>
              <w:snapToGrid w:val="0"/>
              <w:spacing w:after="0" w:line="240" w:lineRule="auto"/>
              <w:rPr>
                <w:rFonts w:ascii="仿宋" w:hAnsi="仿宋" w:eastAsia="仿宋"/>
                <w:color w:val="auto"/>
                <w:sz w:val="24"/>
                <w:szCs w:val="24"/>
                <w:highlight w:val="none"/>
              </w:rPr>
            </w:pPr>
          </w:p>
        </w:tc>
        <w:tc>
          <w:tcPr>
            <w:tcW w:w="1270" w:type="dxa"/>
          </w:tcPr>
          <w:p w14:paraId="2F6A76D1">
            <w:pPr>
              <w:pStyle w:val="12"/>
              <w:snapToGrid w:val="0"/>
              <w:spacing w:after="0" w:line="240" w:lineRule="auto"/>
              <w:rPr>
                <w:rFonts w:ascii="仿宋" w:hAnsi="仿宋" w:eastAsia="仿宋"/>
                <w:color w:val="auto"/>
                <w:sz w:val="24"/>
                <w:szCs w:val="24"/>
                <w:highlight w:val="none"/>
              </w:rPr>
            </w:pPr>
          </w:p>
        </w:tc>
        <w:tc>
          <w:tcPr>
            <w:tcW w:w="2574" w:type="dxa"/>
          </w:tcPr>
          <w:p w14:paraId="7BCF9951">
            <w:pPr>
              <w:pStyle w:val="12"/>
              <w:snapToGrid w:val="0"/>
              <w:spacing w:after="0" w:line="240" w:lineRule="auto"/>
              <w:rPr>
                <w:rFonts w:ascii="仿宋" w:hAnsi="仿宋" w:eastAsia="仿宋"/>
                <w:color w:val="auto"/>
                <w:sz w:val="24"/>
                <w:szCs w:val="24"/>
                <w:highlight w:val="none"/>
              </w:rPr>
            </w:pPr>
          </w:p>
        </w:tc>
        <w:tc>
          <w:tcPr>
            <w:tcW w:w="494" w:type="dxa"/>
          </w:tcPr>
          <w:p w14:paraId="7EBA2489">
            <w:pPr>
              <w:pStyle w:val="12"/>
              <w:snapToGrid w:val="0"/>
              <w:spacing w:after="0" w:line="240" w:lineRule="auto"/>
              <w:rPr>
                <w:rFonts w:ascii="仿宋" w:hAnsi="仿宋" w:eastAsia="仿宋"/>
                <w:color w:val="auto"/>
                <w:sz w:val="24"/>
                <w:szCs w:val="24"/>
                <w:highlight w:val="none"/>
              </w:rPr>
            </w:pPr>
          </w:p>
        </w:tc>
        <w:tc>
          <w:tcPr>
            <w:tcW w:w="494" w:type="dxa"/>
          </w:tcPr>
          <w:p w14:paraId="10E76A28">
            <w:pPr>
              <w:pStyle w:val="12"/>
              <w:snapToGrid w:val="0"/>
              <w:spacing w:after="0" w:line="240" w:lineRule="auto"/>
              <w:rPr>
                <w:rFonts w:ascii="仿宋" w:hAnsi="仿宋" w:eastAsia="仿宋"/>
                <w:color w:val="auto"/>
                <w:sz w:val="24"/>
                <w:szCs w:val="24"/>
                <w:highlight w:val="none"/>
              </w:rPr>
            </w:pPr>
          </w:p>
        </w:tc>
        <w:tc>
          <w:tcPr>
            <w:tcW w:w="856" w:type="dxa"/>
          </w:tcPr>
          <w:p w14:paraId="1ADBD0B2">
            <w:pPr>
              <w:pStyle w:val="12"/>
              <w:snapToGrid w:val="0"/>
              <w:spacing w:after="0" w:line="240" w:lineRule="auto"/>
              <w:rPr>
                <w:rFonts w:ascii="仿宋" w:hAnsi="仿宋" w:eastAsia="仿宋"/>
                <w:color w:val="auto"/>
                <w:sz w:val="24"/>
                <w:szCs w:val="24"/>
                <w:highlight w:val="none"/>
              </w:rPr>
            </w:pPr>
          </w:p>
        </w:tc>
        <w:tc>
          <w:tcPr>
            <w:tcW w:w="903" w:type="dxa"/>
          </w:tcPr>
          <w:p w14:paraId="4E6F6AAC">
            <w:pPr>
              <w:pStyle w:val="12"/>
              <w:snapToGrid w:val="0"/>
              <w:spacing w:after="0" w:line="240" w:lineRule="auto"/>
              <w:rPr>
                <w:rFonts w:ascii="仿宋" w:hAnsi="仿宋" w:eastAsia="仿宋"/>
                <w:color w:val="auto"/>
                <w:sz w:val="24"/>
                <w:szCs w:val="24"/>
                <w:highlight w:val="none"/>
              </w:rPr>
            </w:pPr>
          </w:p>
        </w:tc>
        <w:tc>
          <w:tcPr>
            <w:tcW w:w="1232" w:type="dxa"/>
          </w:tcPr>
          <w:p w14:paraId="35E54F71">
            <w:pPr>
              <w:pStyle w:val="12"/>
              <w:snapToGrid w:val="0"/>
              <w:spacing w:after="0" w:line="240" w:lineRule="auto"/>
              <w:rPr>
                <w:rFonts w:ascii="仿宋" w:hAnsi="仿宋" w:eastAsia="仿宋"/>
                <w:color w:val="auto"/>
                <w:sz w:val="24"/>
                <w:szCs w:val="24"/>
                <w:highlight w:val="none"/>
              </w:rPr>
            </w:pPr>
          </w:p>
        </w:tc>
      </w:tr>
      <w:tr w14:paraId="1A7B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05FAE9E">
            <w:pPr>
              <w:pStyle w:val="12"/>
              <w:snapToGrid w:val="0"/>
              <w:spacing w:after="0" w:line="240" w:lineRule="auto"/>
              <w:rPr>
                <w:rFonts w:ascii="仿宋" w:hAnsi="仿宋" w:eastAsia="仿宋"/>
                <w:color w:val="auto"/>
                <w:sz w:val="24"/>
                <w:szCs w:val="24"/>
                <w:highlight w:val="none"/>
              </w:rPr>
            </w:pPr>
          </w:p>
        </w:tc>
        <w:tc>
          <w:tcPr>
            <w:tcW w:w="1270" w:type="dxa"/>
          </w:tcPr>
          <w:p w14:paraId="2D091780">
            <w:pPr>
              <w:pStyle w:val="12"/>
              <w:snapToGrid w:val="0"/>
              <w:spacing w:after="0" w:line="240" w:lineRule="auto"/>
              <w:rPr>
                <w:rFonts w:ascii="仿宋" w:hAnsi="仿宋" w:eastAsia="仿宋"/>
                <w:color w:val="auto"/>
                <w:sz w:val="24"/>
                <w:szCs w:val="24"/>
                <w:highlight w:val="none"/>
              </w:rPr>
            </w:pPr>
          </w:p>
        </w:tc>
        <w:tc>
          <w:tcPr>
            <w:tcW w:w="2574" w:type="dxa"/>
          </w:tcPr>
          <w:p w14:paraId="3D581E0B">
            <w:pPr>
              <w:pStyle w:val="12"/>
              <w:snapToGrid w:val="0"/>
              <w:spacing w:after="0" w:line="240" w:lineRule="auto"/>
              <w:rPr>
                <w:rFonts w:ascii="仿宋" w:hAnsi="仿宋" w:eastAsia="仿宋"/>
                <w:color w:val="auto"/>
                <w:sz w:val="24"/>
                <w:szCs w:val="24"/>
                <w:highlight w:val="none"/>
              </w:rPr>
            </w:pPr>
          </w:p>
        </w:tc>
        <w:tc>
          <w:tcPr>
            <w:tcW w:w="494" w:type="dxa"/>
          </w:tcPr>
          <w:p w14:paraId="4D7002CE">
            <w:pPr>
              <w:pStyle w:val="12"/>
              <w:snapToGrid w:val="0"/>
              <w:spacing w:after="0" w:line="240" w:lineRule="auto"/>
              <w:rPr>
                <w:rFonts w:ascii="仿宋" w:hAnsi="仿宋" w:eastAsia="仿宋"/>
                <w:color w:val="auto"/>
                <w:sz w:val="24"/>
                <w:szCs w:val="24"/>
                <w:highlight w:val="none"/>
              </w:rPr>
            </w:pPr>
          </w:p>
        </w:tc>
        <w:tc>
          <w:tcPr>
            <w:tcW w:w="494" w:type="dxa"/>
          </w:tcPr>
          <w:p w14:paraId="2126F697">
            <w:pPr>
              <w:pStyle w:val="12"/>
              <w:snapToGrid w:val="0"/>
              <w:spacing w:after="0" w:line="240" w:lineRule="auto"/>
              <w:rPr>
                <w:rFonts w:ascii="仿宋" w:hAnsi="仿宋" w:eastAsia="仿宋"/>
                <w:color w:val="auto"/>
                <w:sz w:val="24"/>
                <w:szCs w:val="24"/>
                <w:highlight w:val="none"/>
              </w:rPr>
            </w:pPr>
          </w:p>
        </w:tc>
        <w:tc>
          <w:tcPr>
            <w:tcW w:w="856" w:type="dxa"/>
          </w:tcPr>
          <w:p w14:paraId="7AD47459">
            <w:pPr>
              <w:pStyle w:val="12"/>
              <w:snapToGrid w:val="0"/>
              <w:spacing w:after="0" w:line="240" w:lineRule="auto"/>
              <w:rPr>
                <w:rFonts w:ascii="仿宋" w:hAnsi="仿宋" w:eastAsia="仿宋"/>
                <w:color w:val="auto"/>
                <w:sz w:val="24"/>
                <w:szCs w:val="24"/>
                <w:highlight w:val="none"/>
              </w:rPr>
            </w:pPr>
          </w:p>
        </w:tc>
        <w:tc>
          <w:tcPr>
            <w:tcW w:w="903" w:type="dxa"/>
          </w:tcPr>
          <w:p w14:paraId="5A484FB4">
            <w:pPr>
              <w:pStyle w:val="12"/>
              <w:snapToGrid w:val="0"/>
              <w:spacing w:after="0" w:line="240" w:lineRule="auto"/>
              <w:rPr>
                <w:rFonts w:ascii="仿宋" w:hAnsi="仿宋" w:eastAsia="仿宋"/>
                <w:color w:val="auto"/>
                <w:sz w:val="24"/>
                <w:szCs w:val="24"/>
                <w:highlight w:val="none"/>
              </w:rPr>
            </w:pPr>
          </w:p>
        </w:tc>
        <w:tc>
          <w:tcPr>
            <w:tcW w:w="1232" w:type="dxa"/>
          </w:tcPr>
          <w:p w14:paraId="68C66236">
            <w:pPr>
              <w:pStyle w:val="12"/>
              <w:snapToGrid w:val="0"/>
              <w:spacing w:after="0" w:line="240" w:lineRule="auto"/>
              <w:rPr>
                <w:rFonts w:ascii="仿宋" w:hAnsi="仿宋" w:eastAsia="仿宋"/>
                <w:color w:val="auto"/>
                <w:sz w:val="24"/>
                <w:szCs w:val="24"/>
                <w:highlight w:val="none"/>
              </w:rPr>
            </w:pPr>
          </w:p>
        </w:tc>
      </w:tr>
      <w:tr w14:paraId="112F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9A02386">
            <w:pPr>
              <w:pStyle w:val="12"/>
              <w:snapToGrid w:val="0"/>
              <w:spacing w:after="0" w:line="240" w:lineRule="auto"/>
              <w:rPr>
                <w:rFonts w:ascii="仿宋" w:hAnsi="仿宋" w:eastAsia="仿宋"/>
                <w:color w:val="auto"/>
                <w:sz w:val="24"/>
                <w:szCs w:val="24"/>
                <w:highlight w:val="none"/>
              </w:rPr>
            </w:pPr>
          </w:p>
        </w:tc>
        <w:tc>
          <w:tcPr>
            <w:tcW w:w="1270" w:type="dxa"/>
          </w:tcPr>
          <w:p w14:paraId="64F16CA6">
            <w:pPr>
              <w:pStyle w:val="12"/>
              <w:snapToGrid w:val="0"/>
              <w:spacing w:after="0" w:line="240" w:lineRule="auto"/>
              <w:rPr>
                <w:rFonts w:ascii="仿宋" w:hAnsi="仿宋" w:eastAsia="仿宋"/>
                <w:color w:val="auto"/>
                <w:sz w:val="24"/>
                <w:szCs w:val="24"/>
                <w:highlight w:val="none"/>
              </w:rPr>
            </w:pPr>
          </w:p>
        </w:tc>
        <w:tc>
          <w:tcPr>
            <w:tcW w:w="2574" w:type="dxa"/>
          </w:tcPr>
          <w:p w14:paraId="221654D4">
            <w:pPr>
              <w:pStyle w:val="12"/>
              <w:snapToGrid w:val="0"/>
              <w:spacing w:after="0" w:line="240" w:lineRule="auto"/>
              <w:rPr>
                <w:rFonts w:ascii="仿宋" w:hAnsi="仿宋" w:eastAsia="仿宋"/>
                <w:color w:val="auto"/>
                <w:sz w:val="24"/>
                <w:szCs w:val="24"/>
                <w:highlight w:val="none"/>
              </w:rPr>
            </w:pPr>
          </w:p>
        </w:tc>
        <w:tc>
          <w:tcPr>
            <w:tcW w:w="494" w:type="dxa"/>
          </w:tcPr>
          <w:p w14:paraId="5BA76E6E">
            <w:pPr>
              <w:pStyle w:val="12"/>
              <w:snapToGrid w:val="0"/>
              <w:spacing w:after="0" w:line="240" w:lineRule="auto"/>
              <w:rPr>
                <w:rFonts w:ascii="仿宋" w:hAnsi="仿宋" w:eastAsia="仿宋"/>
                <w:color w:val="auto"/>
                <w:sz w:val="24"/>
                <w:szCs w:val="24"/>
                <w:highlight w:val="none"/>
              </w:rPr>
            </w:pPr>
          </w:p>
        </w:tc>
        <w:tc>
          <w:tcPr>
            <w:tcW w:w="494" w:type="dxa"/>
          </w:tcPr>
          <w:p w14:paraId="1FA78F4A">
            <w:pPr>
              <w:pStyle w:val="12"/>
              <w:snapToGrid w:val="0"/>
              <w:spacing w:after="0" w:line="240" w:lineRule="auto"/>
              <w:rPr>
                <w:rFonts w:ascii="仿宋" w:hAnsi="仿宋" w:eastAsia="仿宋"/>
                <w:color w:val="auto"/>
                <w:sz w:val="24"/>
                <w:szCs w:val="24"/>
                <w:highlight w:val="none"/>
              </w:rPr>
            </w:pPr>
          </w:p>
        </w:tc>
        <w:tc>
          <w:tcPr>
            <w:tcW w:w="856" w:type="dxa"/>
          </w:tcPr>
          <w:p w14:paraId="4080494D">
            <w:pPr>
              <w:pStyle w:val="12"/>
              <w:snapToGrid w:val="0"/>
              <w:spacing w:after="0" w:line="240" w:lineRule="auto"/>
              <w:rPr>
                <w:rFonts w:ascii="仿宋" w:hAnsi="仿宋" w:eastAsia="仿宋"/>
                <w:color w:val="auto"/>
                <w:sz w:val="24"/>
                <w:szCs w:val="24"/>
                <w:highlight w:val="none"/>
              </w:rPr>
            </w:pPr>
          </w:p>
        </w:tc>
        <w:tc>
          <w:tcPr>
            <w:tcW w:w="903" w:type="dxa"/>
          </w:tcPr>
          <w:p w14:paraId="025DB937">
            <w:pPr>
              <w:pStyle w:val="12"/>
              <w:snapToGrid w:val="0"/>
              <w:spacing w:after="0" w:line="240" w:lineRule="auto"/>
              <w:rPr>
                <w:rFonts w:ascii="仿宋" w:hAnsi="仿宋" w:eastAsia="仿宋"/>
                <w:color w:val="auto"/>
                <w:sz w:val="24"/>
                <w:szCs w:val="24"/>
                <w:highlight w:val="none"/>
              </w:rPr>
            </w:pPr>
          </w:p>
        </w:tc>
        <w:tc>
          <w:tcPr>
            <w:tcW w:w="1232" w:type="dxa"/>
          </w:tcPr>
          <w:p w14:paraId="0226AFCE">
            <w:pPr>
              <w:pStyle w:val="12"/>
              <w:snapToGrid w:val="0"/>
              <w:spacing w:after="0" w:line="240" w:lineRule="auto"/>
              <w:rPr>
                <w:rFonts w:ascii="仿宋" w:hAnsi="仿宋" w:eastAsia="仿宋"/>
                <w:color w:val="auto"/>
                <w:sz w:val="24"/>
                <w:szCs w:val="24"/>
                <w:highlight w:val="none"/>
              </w:rPr>
            </w:pPr>
          </w:p>
        </w:tc>
      </w:tr>
      <w:tr w14:paraId="42755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4C7D514">
            <w:pPr>
              <w:pStyle w:val="12"/>
              <w:snapToGrid w:val="0"/>
              <w:spacing w:after="0" w:line="240" w:lineRule="auto"/>
              <w:rPr>
                <w:rFonts w:ascii="仿宋" w:hAnsi="仿宋" w:eastAsia="仿宋"/>
                <w:color w:val="auto"/>
                <w:sz w:val="24"/>
                <w:szCs w:val="24"/>
                <w:highlight w:val="none"/>
              </w:rPr>
            </w:pPr>
          </w:p>
        </w:tc>
        <w:tc>
          <w:tcPr>
            <w:tcW w:w="1270" w:type="dxa"/>
          </w:tcPr>
          <w:p w14:paraId="3F43E064">
            <w:pPr>
              <w:pStyle w:val="12"/>
              <w:snapToGrid w:val="0"/>
              <w:spacing w:after="0" w:line="240" w:lineRule="auto"/>
              <w:rPr>
                <w:rFonts w:ascii="仿宋" w:hAnsi="仿宋" w:eastAsia="仿宋"/>
                <w:color w:val="auto"/>
                <w:sz w:val="24"/>
                <w:szCs w:val="24"/>
                <w:highlight w:val="none"/>
              </w:rPr>
            </w:pPr>
          </w:p>
        </w:tc>
        <w:tc>
          <w:tcPr>
            <w:tcW w:w="2574" w:type="dxa"/>
          </w:tcPr>
          <w:p w14:paraId="47E1A255">
            <w:pPr>
              <w:pStyle w:val="12"/>
              <w:snapToGrid w:val="0"/>
              <w:spacing w:after="0" w:line="240" w:lineRule="auto"/>
              <w:rPr>
                <w:rFonts w:ascii="仿宋" w:hAnsi="仿宋" w:eastAsia="仿宋"/>
                <w:color w:val="auto"/>
                <w:sz w:val="24"/>
                <w:szCs w:val="24"/>
                <w:highlight w:val="none"/>
              </w:rPr>
            </w:pPr>
          </w:p>
        </w:tc>
        <w:tc>
          <w:tcPr>
            <w:tcW w:w="494" w:type="dxa"/>
          </w:tcPr>
          <w:p w14:paraId="2E4D001C">
            <w:pPr>
              <w:pStyle w:val="12"/>
              <w:snapToGrid w:val="0"/>
              <w:spacing w:after="0" w:line="240" w:lineRule="auto"/>
              <w:rPr>
                <w:rFonts w:ascii="仿宋" w:hAnsi="仿宋" w:eastAsia="仿宋"/>
                <w:color w:val="auto"/>
                <w:sz w:val="24"/>
                <w:szCs w:val="24"/>
                <w:highlight w:val="none"/>
              </w:rPr>
            </w:pPr>
          </w:p>
        </w:tc>
        <w:tc>
          <w:tcPr>
            <w:tcW w:w="494" w:type="dxa"/>
          </w:tcPr>
          <w:p w14:paraId="23F6A8C2">
            <w:pPr>
              <w:pStyle w:val="12"/>
              <w:snapToGrid w:val="0"/>
              <w:spacing w:after="0" w:line="240" w:lineRule="auto"/>
              <w:rPr>
                <w:rFonts w:ascii="仿宋" w:hAnsi="仿宋" w:eastAsia="仿宋"/>
                <w:color w:val="auto"/>
                <w:sz w:val="24"/>
                <w:szCs w:val="24"/>
                <w:highlight w:val="none"/>
              </w:rPr>
            </w:pPr>
          </w:p>
        </w:tc>
        <w:tc>
          <w:tcPr>
            <w:tcW w:w="856" w:type="dxa"/>
          </w:tcPr>
          <w:p w14:paraId="37268B96">
            <w:pPr>
              <w:pStyle w:val="12"/>
              <w:snapToGrid w:val="0"/>
              <w:spacing w:after="0" w:line="240" w:lineRule="auto"/>
              <w:rPr>
                <w:rFonts w:ascii="仿宋" w:hAnsi="仿宋" w:eastAsia="仿宋"/>
                <w:color w:val="auto"/>
                <w:sz w:val="24"/>
                <w:szCs w:val="24"/>
                <w:highlight w:val="none"/>
              </w:rPr>
            </w:pPr>
          </w:p>
        </w:tc>
        <w:tc>
          <w:tcPr>
            <w:tcW w:w="903" w:type="dxa"/>
          </w:tcPr>
          <w:p w14:paraId="3E1FDC17">
            <w:pPr>
              <w:pStyle w:val="12"/>
              <w:snapToGrid w:val="0"/>
              <w:spacing w:after="0" w:line="240" w:lineRule="auto"/>
              <w:rPr>
                <w:rFonts w:ascii="仿宋" w:hAnsi="仿宋" w:eastAsia="仿宋"/>
                <w:color w:val="auto"/>
                <w:sz w:val="24"/>
                <w:szCs w:val="24"/>
                <w:highlight w:val="none"/>
              </w:rPr>
            </w:pPr>
          </w:p>
        </w:tc>
        <w:tc>
          <w:tcPr>
            <w:tcW w:w="1232" w:type="dxa"/>
          </w:tcPr>
          <w:p w14:paraId="692A79AF">
            <w:pPr>
              <w:pStyle w:val="12"/>
              <w:snapToGrid w:val="0"/>
              <w:spacing w:after="0" w:line="240" w:lineRule="auto"/>
              <w:rPr>
                <w:rFonts w:ascii="仿宋" w:hAnsi="仿宋" w:eastAsia="仿宋"/>
                <w:color w:val="auto"/>
                <w:sz w:val="24"/>
                <w:szCs w:val="24"/>
                <w:highlight w:val="none"/>
              </w:rPr>
            </w:pPr>
          </w:p>
        </w:tc>
      </w:tr>
      <w:tr w14:paraId="752C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6588C9A">
            <w:pPr>
              <w:pStyle w:val="12"/>
              <w:snapToGrid w:val="0"/>
              <w:spacing w:after="0" w:line="240" w:lineRule="auto"/>
              <w:rPr>
                <w:rFonts w:ascii="仿宋" w:hAnsi="仿宋" w:eastAsia="仿宋"/>
                <w:color w:val="auto"/>
                <w:sz w:val="24"/>
                <w:szCs w:val="24"/>
                <w:highlight w:val="none"/>
              </w:rPr>
            </w:pPr>
          </w:p>
        </w:tc>
        <w:tc>
          <w:tcPr>
            <w:tcW w:w="1270" w:type="dxa"/>
          </w:tcPr>
          <w:p w14:paraId="3C42A0E2">
            <w:pPr>
              <w:pStyle w:val="12"/>
              <w:snapToGrid w:val="0"/>
              <w:spacing w:after="0" w:line="240" w:lineRule="auto"/>
              <w:rPr>
                <w:rFonts w:ascii="仿宋" w:hAnsi="仿宋" w:eastAsia="仿宋"/>
                <w:color w:val="auto"/>
                <w:sz w:val="24"/>
                <w:szCs w:val="24"/>
                <w:highlight w:val="none"/>
              </w:rPr>
            </w:pPr>
          </w:p>
        </w:tc>
        <w:tc>
          <w:tcPr>
            <w:tcW w:w="4418" w:type="dxa"/>
            <w:gridSpan w:val="4"/>
          </w:tcPr>
          <w:p w14:paraId="052CB6D1">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易耗品</w:t>
            </w:r>
          </w:p>
        </w:tc>
        <w:tc>
          <w:tcPr>
            <w:tcW w:w="903" w:type="dxa"/>
          </w:tcPr>
          <w:p w14:paraId="1F9B1754">
            <w:pPr>
              <w:pStyle w:val="12"/>
              <w:snapToGrid w:val="0"/>
              <w:spacing w:after="0" w:line="240" w:lineRule="auto"/>
              <w:rPr>
                <w:rFonts w:ascii="仿宋" w:hAnsi="仿宋" w:eastAsia="仿宋"/>
                <w:color w:val="auto"/>
                <w:sz w:val="24"/>
                <w:szCs w:val="24"/>
                <w:highlight w:val="none"/>
              </w:rPr>
            </w:pPr>
          </w:p>
        </w:tc>
        <w:tc>
          <w:tcPr>
            <w:tcW w:w="1232" w:type="dxa"/>
          </w:tcPr>
          <w:p w14:paraId="1A803E53">
            <w:pPr>
              <w:pStyle w:val="12"/>
              <w:snapToGrid w:val="0"/>
              <w:spacing w:after="0" w:line="240" w:lineRule="auto"/>
              <w:rPr>
                <w:rFonts w:ascii="仿宋" w:hAnsi="仿宋" w:eastAsia="仿宋"/>
                <w:color w:val="auto"/>
                <w:sz w:val="24"/>
                <w:szCs w:val="24"/>
                <w:highlight w:val="none"/>
              </w:rPr>
            </w:pPr>
          </w:p>
        </w:tc>
      </w:tr>
      <w:tr w14:paraId="736A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E15A255">
            <w:pPr>
              <w:pStyle w:val="12"/>
              <w:snapToGrid w:val="0"/>
              <w:spacing w:after="0" w:line="240" w:lineRule="auto"/>
              <w:rPr>
                <w:rFonts w:ascii="仿宋" w:hAnsi="仿宋" w:eastAsia="仿宋"/>
                <w:color w:val="auto"/>
                <w:sz w:val="24"/>
                <w:szCs w:val="24"/>
                <w:highlight w:val="none"/>
              </w:rPr>
            </w:pPr>
          </w:p>
        </w:tc>
        <w:tc>
          <w:tcPr>
            <w:tcW w:w="1270" w:type="dxa"/>
          </w:tcPr>
          <w:p w14:paraId="75B37030">
            <w:pPr>
              <w:pStyle w:val="12"/>
              <w:snapToGrid w:val="0"/>
              <w:spacing w:after="0" w:line="240" w:lineRule="auto"/>
              <w:rPr>
                <w:rFonts w:ascii="仿宋" w:hAnsi="仿宋" w:eastAsia="仿宋"/>
                <w:color w:val="auto"/>
                <w:sz w:val="24"/>
                <w:szCs w:val="24"/>
                <w:highlight w:val="none"/>
              </w:rPr>
            </w:pPr>
          </w:p>
        </w:tc>
        <w:tc>
          <w:tcPr>
            <w:tcW w:w="4418" w:type="dxa"/>
            <w:gridSpan w:val="4"/>
          </w:tcPr>
          <w:p w14:paraId="6E548506">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专用工具</w:t>
            </w:r>
          </w:p>
        </w:tc>
        <w:tc>
          <w:tcPr>
            <w:tcW w:w="903" w:type="dxa"/>
          </w:tcPr>
          <w:p w14:paraId="47097833">
            <w:pPr>
              <w:pStyle w:val="12"/>
              <w:snapToGrid w:val="0"/>
              <w:spacing w:after="0" w:line="240" w:lineRule="auto"/>
              <w:rPr>
                <w:rFonts w:ascii="仿宋" w:hAnsi="仿宋" w:eastAsia="仿宋"/>
                <w:color w:val="auto"/>
                <w:sz w:val="24"/>
                <w:szCs w:val="24"/>
                <w:highlight w:val="none"/>
              </w:rPr>
            </w:pPr>
          </w:p>
        </w:tc>
        <w:tc>
          <w:tcPr>
            <w:tcW w:w="1232" w:type="dxa"/>
          </w:tcPr>
          <w:p w14:paraId="2D18BF0C">
            <w:pPr>
              <w:pStyle w:val="12"/>
              <w:snapToGrid w:val="0"/>
              <w:spacing w:after="0" w:line="240" w:lineRule="auto"/>
              <w:rPr>
                <w:rFonts w:ascii="仿宋" w:hAnsi="仿宋" w:eastAsia="仿宋"/>
                <w:color w:val="auto"/>
                <w:sz w:val="24"/>
                <w:szCs w:val="24"/>
                <w:highlight w:val="none"/>
              </w:rPr>
            </w:pPr>
          </w:p>
        </w:tc>
      </w:tr>
      <w:tr w14:paraId="3E79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7BA77FF">
            <w:pPr>
              <w:pStyle w:val="12"/>
              <w:snapToGrid w:val="0"/>
              <w:spacing w:after="0" w:line="240" w:lineRule="auto"/>
              <w:rPr>
                <w:rFonts w:ascii="仿宋" w:hAnsi="仿宋" w:eastAsia="仿宋"/>
                <w:color w:val="auto"/>
                <w:sz w:val="24"/>
                <w:szCs w:val="24"/>
                <w:highlight w:val="none"/>
              </w:rPr>
            </w:pPr>
          </w:p>
        </w:tc>
        <w:tc>
          <w:tcPr>
            <w:tcW w:w="1270" w:type="dxa"/>
          </w:tcPr>
          <w:p w14:paraId="7592B7BB">
            <w:pPr>
              <w:pStyle w:val="12"/>
              <w:snapToGrid w:val="0"/>
              <w:spacing w:after="0" w:line="240" w:lineRule="auto"/>
              <w:rPr>
                <w:rFonts w:ascii="仿宋" w:hAnsi="仿宋" w:eastAsia="仿宋"/>
                <w:color w:val="auto"/>
                <w:sz w:val="24"/>
                <w:szCs w:val="24"/>
                <w:highlight w:val="none"/>
              </w:rPr>
            </w:pPr>
          </w:p>
        </w:tc>
        <w:tc>
          <w:tcPr>
            <w:tcW w:w="4418" w:type="dxa"/>
            <w:gridSpan w:val="4"/>
          </w:tcPr>
          <w:p w14:paraId="0BACD245">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调试费</w:t>
            </w:r>
          </w:p>
        </w:tc>
        <w:tc>
          <w:tcPr>
            <w:tcW w:w="903" w:type="dxa"/>
          </w:tcPr>
          <w:p w14:paraId="4089D58B">
            <w:pPr>
              <w:pStyle w:val="12"/>
              <w:snapToGrid w:val="0"/>
              <w:spacing w:after="0" w:line="240" w:lineRule="auto"/>
              <w:rPr>
                <w:rFonts w:ascii="仿宋" w:hAnsi="仿宋" w:eastAsia="仿宋"/>
                <w:color w:val="auto"/>
                <w:sz w:val="24"/>
                <w:szCs w:val="24"/>
                <w:highlight w:val="none"/>
              </w:rPr>
            </w:pPr>
          </w:p>
        </w:tc>
        <w:tc>
          <w:tcPr>
            <w:tcW w:w="1232" w:type="dxa"/>
          </w:tcPr>
          <w:p w14:paraId="75C9DDAB">
            <w:pPr>
              <w:pStyle w:val="12"/>
              <w:snapToGrid w:val="0"/>
              <w:spacing w:after="0" w:line="240" w:lineRule="auto"/>
              <w:rPr>
                <w:rFonts w:ascii="仿宋" w:hAnsi="仿宋" w:eastAsia="仿宋"/>
                <w:color w:val="auto"/>
                <w:sz w:val="24"/>
                <w:szCs w:val="24"/>
                <w:highlight w:val="none"/>
              </w:rPr>
            </w:pPr>
          </w:p>
        </w:tc>
      </w:tr>
      <w:tr w14:paraId="6AA76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ADD4794">
            <w:pPr>
              <w:pStyle w:val="12"/>
              <w:snapToGrid w:val="0"/>
              <w:spacing w:after="0" w:line="240" w:lineRule="auto"/>
              <w:rPr>
                <w:rFonts w:ascii="仿宋" w:hAnsi="仿宋" w:eastAsia="仿宋"/>
                <w:color w:val="auto"/>
                <w:sz w:val="24"/>
                <w:szCs w:val="24"/>
                <w:highlight w:val="none"/>
              </w:rPr>
            </w:pPr>
          </w:p>
        </w:tc>
        <w:tc>
          <w:tcPr>
            <w:tcW w:w="1270" w:type="dxa"/>
          </w:tcPr>
          <w:p w14:paraId="58D8653A">
            <w:pPr>
              <w:pStyle w:val="12"/>
              <w:snapToGrid w:val="0"/>
              <w:spacing w:after="0" w:line="240" w:lineRule="auto"/>
              <w:rPr>
                <w:rFonts w:ascii="仿宋" w:hAnsi="仿宋" w:eastAsia="仿宋"/>
                <w:color w:val="auto"/>
                <w:sz w:val="24"/>
                <w:szCs w:val="24"/>
                <w:highlight w:val="none"/>
              </w:rPr>
            </w:pPr>
          </w:p>
        </w:tc>
        <w:tc>
          <w:tcPr>
            <w:tcW w:w="4418" w:type="dxa"/>
            <w:gridSpan w:val="4"/>
          </w:tcPr>
          <w:p w14:paraId="21E8E433">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培训费</w:t>
            </w:r>
          </w:p>
        </w:tc>
        <w:tc>
          <w:tcPr>
            <w:tcW w:w="903" w:type="dxa"/>
          </w:tcPr>
          <w:p w14:paraId="4B91B523">
            <w:pPr>
              <w:pStyle w:val="12"/>
              <w:snapToGrid w:val="0"/>
              <w:spacing w:after="0" w:line="240" w:lineRule="auto"/>
              <w:rPr>
                <w:rFonts w:ascii="仿宋" w:hAnsi="仿宋" w:eastAsia="仿宋"/>
                <w:color w:val="auto"/>
                <w:sz w:val="24"/>
                <w:szCs w:val="24"/>
                <w:highlight w:val="none"/>
              </w:rPr>
            </w:pPr>
          </w:p>
        </w:tc>
        <w:tc>
          <w:tcPr>
            <w:tcW w:w="1232" w:type="dxa"/>
          </w:tcPr>
          <w:p w14:paraId="353A6F9A">
            <w:pPr>
              <w:pStyle w:val="12"/>
              <w:snapToGrid w:val="0"/>
              <w:spacing w:after="0" w:line="240" w:lineRule="auto"/>
              <w:rPr>
                <w:rFonts w:ascii="仿宋" w:hAnsi="仿宋" w:eastAsia="仿宋"/>
                <w:color w:val="auto"/>
                <w:sz w:val="24"/>
                <w:szCs w:val="24"/>
                <w:highlight w:val="none"/>
              </w:rPr>
            </w:pPr>
          </w:p>
        </w:tc>
      </w:tr>
      <w:tr w14:paraId="054B6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25A3851">
            <w:pPr>
              <w:pStyle w:val="12"/>
              <w:snapToGrid w:val="0"/>
              <w:spacing w:after="0" w:line="240" w:lineRule="auto"/>
              <w:rPr>
                <w:rFonts w:ascii="仿宋" w:hAnsi="仿宋" w:eastAsia="仿宋"/>
                <w:color w:val="auto"/>
                <w:sz w:val="24"/>
                <w:szCs w:val="24"/>
                <w:highlight w:val="none"/>
              </w:rPr>
            </w:pPr>
          </w:p>
        </w:tc>
        <w:tc>
          <w:tcPr>
            <w:tcW w:w="1270" w:type="dxa"/>
          </w:tcPr>
          <w:p w14:paraId="4AB62779">
            <w:pPr>
              <w:pStyle w:val="12"/>
              <w:snapToGrid w:val="0"/>
              <w:spacing w:after="0" w:line="240" w:lineRule="auto"/>
              <w:rPr>
                <w:rFonts w:ascii="仿宋" w:hAnsi="仿宋" w:eastAsia="仿宋"/>
                <w:color w:val="auto"/>
                <w:sz w:val="24"/>
                <w:szCs w:val="24"/>
                <w:highlight w:val="none"/>
              </w:rPr>
            </w:pPr>
          </w:p>
        </w:tc>
        <w:tc>
          <w:tcPr>
            <w:tcW w:w="4418" w:type="dxa"/>
            <w:gridSpan w:val="4"/>
          </w:tcPr>
          <w:p w14:paraId="0F6E8BEC">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其他</w:t>
            </w:r>
          </w:p>
        </w:tc>
        <w:tc>
          <w:tcPr>
            <w:tcW w:w="903" w:type="dxa"/>
          </w:tcPr>
          <w:p w14:paraId="5B191445">
            <w:pPr>
              <w:pStyle w:val="12"/>
              <w:snapToGrid w:val="0"/>
              <w:spacing w:after="0" w:line="240" w:lineRule="auto"/>
              <w:rPr>
                <w:rFonts w:ascii="仿宋" w:hAnsi="仿宋" w:eastAsia="仿宋"/>
                <w:color w:val="auto"/>
                <w:sz w:val="24"/>
                <w:szCs w:val="24"/>
                <w:highlight w:val="none"/>
              </w:rPr>
            </w:pPr>
          </w:p>
        </w:tc>
        <w:tc>
          <w:tcPr>
            <w:tcW w:w="1232" w:type="dxa"/>
          </w:tcPr>
          <w:p w14:paraId="754CBD0F">
            <w:pPr>
              <w:pStyle w:val="12"/>
              <w:snapToGrid w:val="0"/>
              <w:spacing w:after="0" w:line="240" w:lineRule="auto"/>
              <w:rPr>
                <w:rFonts w:ascii="仿宋" w:hAnsi="仿宋" w:eastAsia="仿宋"/>
                <w:color w:val="auto"/>
                <w:sz w:val="24"/>
                <w:szCs w:val="24"/>
                <w:highlight w:val="none"/>
              </w:rPr>
            </w:pPr>
          </w:p>
        </w:tc>
      </w:tr>
      <w:tr w14:paraId="7C0E7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1AB65FC9">
            <w:pPr>
              <w:pStyle w:val="12"/>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30F606DF">
      <w:pPr>
        <w:ind w:firstLine="480" w:firstLineChars="200"/>
        <w:outlineLvl w:val="0"/>
        <w:rPr>
          <w:rFonts w:ascii="仿宋" w:hAnsi="仿宋" w:eastAsia="仿宋"/>
          <w:color w:val="auto"/>
          <w:sz w:val="24"/>
          <w:highlight w:val="none"/>
        </w:rPr>
      </w:pPr>
    </w:p>
    <w:p w14:paraId="55D564AF">
      <w:pPr>
        <w:pStyle w:val="45"/>
        <w:spacing w:line="240" w:lineRule="auto"/>
        <w:ind w:firstLine="0"/>
        <w:jc w:val="center"/>
        <w:rPr>
          <w:b/>
          <w:color w:val="auto"/>
          <w:highlight w:val="none"/>
        </w:rPr>
      </w:pPr>
      <w:r>
        <w:rPr>
          <w:rFonts w:ascii="仿宋" w:hAnsi="仿宋" w:eastAsia="仿宋"/>
          <w:color w:val="auto"/>
          <w:highlight w:val="none"/>
        </w:rPr>
        <w:br w:type="page"/>
      </w:r>
      <w:r>
        <w:rPr>
          <w:rFonts w:hint="eastAsia" w:ascii="方正小标宋简体" w:eastAsia="方正小标宋简体"/>
          <w:bCs/>
          <w:color w:val="auto"/>
          <w:sz w:val="32"/>
          <w:szCs w:val="32"/>
          <w:highlight w:val="none"/>
        </w:rPr>
        <w:t>第5章 评标标准和方法</w:t>
      </w:r>
    </w:p>
    <w:p w14:paraId="42D2500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一、综合评分法</w:t>
      </w:r>
    </w:p>
    <w:p w14:paraId="6D0ABF5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1.投标文件满足招标文件全部实质性要求，且按照评审因素的量化指标评审得分最高的投标人为中标候选人。</w:t>
      </w:r>
    </w:p>
    <w:p w14:paraId="66F9438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p>
    <w:p w14:paraId="74CE97A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3.评审因素：价格、技术、商务、财务状况、信誉、业绩、服务、对招标文件的响应程度，以及相应的比重或者权值等。</w:t>
      </w:r>
    </w:p>
    <w:p w14:paraId="7625405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 价格分应当采用低价优先法计算，即满足招标文件要求且投标价格最低的投标报价为评标基准价，其价格分为满分。其他投标人的价格分统一按照下列公式计算：</w:t>
      </w:r>
    </w:p>
    <w:p w14:paraId="778F3B9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投标报价得分=(评标基准价／投标报价)×价格分分值</w:t>
      </w:r>
    </w:p>
    <w:p w14:paraId="32A86D5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评标过程中，不得去掉报价中的最高报价和最低报价。因落实政府采购政策进行价格调整的，以调整后的价格计算评标基准价和投标报价。</w:t>
      </w:r>
    </w:p>
    <w:p w14:paraId="37120E8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5.评分表</w:t>
      </w:r>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255"/>
        <w:gridCol w:w="840"/>
        <w:gridCol w:w="5980"/>
        <w:gridCol w:w="803"/>
      </w:tblGrid>
      <w:tr w14:paraId="47AD8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2EB9E733">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118" w:type="dxa"/>
            <w:noWrap w:val="0"/>
            <w:vAlign w:val="center"/>
          </w:tcPr>
          <w:p w14:paraId="4AAF9667">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评审因素</w:t>
            </w:r>
          </w:p>
        </w:tc>
        <w:tc>
          <w:tcPr>
            <w:tcW w:w="748" w:type="dxa"/>
            <w:noWrap w:val="0"/>
            <w:vAlign w:val="center"/>
          </w:tcPr>
          <w:p w14:paraId="7A7B4C69">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5325" w:type="dxa"/>
            <w:noWrap w:val="0"/>
            <w:vAlign w:val="center"/>
          </w:tcPr>
          <w:p w14:paraId="1B7C2F84">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评审要求或标准</w:t>
            </w:r>
          </w:p>
        </w:tc>
        <w:tc>
          <w:tcPr>
            <w:tcW w:w="715" w:type="dxa"/>
            <w:noWrap w:val="0"/>
            <w:vAlign w:val="center"/>
          </w:tcPr>
          <w:p w14:paraId="14A61C61">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得分</w:t>
            </w:r>
          </w:p>
        </w:tc>
      </w:tr>
      <w:tr w14:paraId="2103B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16" w:type="dxa"/>
            <w:noWrap w:val="0"/>
            <w:vAlign w:val="center"/>
          </w:tcPr>
          <w:p w14:paraId="48ECBAE1">
            <w:pPr>
              <w:adjustRightInd w:val="0"/>
              <w:snapToGrid w:val="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118" w:type="dxa"/>
            <w:noWrap w:val="0"/>
            <w:vAlign w:val="center"/>
          </w:tcPr>
          <w:p w14:paraId="7193462D">
            <w:pPr>
              <w:pStyle w:val="53"/>
              <w:spacing w:before="68"/>
              <w:jc w:val="center"/>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lang w:eastAsia="zh-CN"/>
              </w:rPr>
              <w:t>项目人员</w:t>
            </w:r>
          </w:p>
        </w:tc>
        <w:tc>
          <w:tcPr>
            <w:tcW w:w="748" w:type="dxa"/>
            <w:noWrap w:val="0"/>
            <w:vAlign w:val="center"/>
          </w:tcPr>
          <w:p w14:paraId="1F599195">
            <w:pPr>
              <w:adjustRightInd w:val="0"/>
              <w:snapToGrid w:val="0"/>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5325" w:type="dxa"/>
            <w:noWrap w:val="0"/>
            <w:vAlign w:val="center"/>
          </w:tcPr>
          <w:p w14:paraId="7C15D16F">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1.项目负责人（本项满分</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p w14:paraId="1AE19CA5">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正高级职称的得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高级职称的得</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b/>
                <w:bCs/>
                <w:color w:val="auto"/>
                <w:spacing w:val="-2"/>
                <w:sz w:val="24"/>
                <w:szCs w:val="24"/>
                <w:highlight w:val="none"/>
                <w:lang w:eastAsia="zh-CN"/>
              </w:rPr>
              <w:t>（仅按最高的职称计分）</w:t>
            </w:r>
            <w:r>
              <w:rPr>
                <w:rFonts w:hint="eastAsia" w:ascii="仿宋" w:hAnsi="仿宋" w:eastAsia="仿宋" w:cs="仿宋"/>
                <w:color w:val="auto"/>
                <w:spacing w:val="-2"/>
                <w:sz w:val="24"/>
                <w:szCs w:val="24"/>
                <w:highlight w:val="none"/>
                <w:lang w:eastAsia="zh-CN"/>
              </w:rPr>
              <w:t>；</w:t>
            </w:r>
          </w:p>
          <w:p w14:paraId="1A792DD2">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b/>
                <w:bCs/>
                <w:color w:val="auto"/>
                <w:spacing w:val="-2"/>
                <w:sz w:val="24"/>
                <w:szCs w:val="24"/>
                <w:highlight w:val="none"/>
                <w:lang w:eastAsia="zh-CN"/>
              </w:rPr>
              <w:t>自2022年1月至今（以合同签订日期为准）</w:t>
            </w:r>
            <w:r>
              <w:rPr>
                <w:rFonts w:hint="eastAsia" w:ascii="仿宋" w:hAnsi="仿宋" w:eastAsia="仿宋" w:cs="仿宋"/>
                <w:color w:val="auto"/>
                <w:spacing w:val="-2"/>
                <w:sz w:val="24"/>
                <w:szCs w:val="24"/>
                <w:highlight w:val="none"/>
                <w:lang w:eastAsia="zh-CN"/>
              </w:rPr>
              <w:t>主持过耕地土壤环境调查或修复、补充耕地土壤环境调查、补充耕地质量评定、第三次全国土壤普查采样</w:t>
            </w:r>
            <w:r>
              <w:rPr>
                <w:rFonts w:hint="eastAsia" w:ascii="仿宋" w:hAnsi="仿宋" w:eastAsia="仿宋" w:cs="仿宋"/>
                <w:color w:val="auto"/>
                <w:spacing w:val="-2"/>
                <w:sz w:val="24"/>
                <w:szCs w:val="24"/>
                <w:highlight w:val="none"/>
                <w:lang w:val="en-US" w:eastAsia="zh-CN"/>
              </w:rPr>
              <w:t>或</w:t>
            </w:r>
            <w:r>
              <w:rPr>
                <w:rFonts w:hint="eastAsia" w:ascii="仿宋" w:hAnsi="仿宋" w:eastAsia="仿宋" w:cs="仿宋"/>
                <w:color w:val="auto"/>
                <w:spacing w:val="-2"/>
                <w:sz w:val="24"/>
                <w:szCs w:val="24"/>
                <w:highlight w:val="none"/>
                <w:lang w:eastAsia="zh-CN"/>
              </w:rPr>
              <w:t>检测项目等耕地土壤环境相关项目，每有1</w:t>
            </w:r>
            <w:r>
              <w:rPr>
                <w:rFonts w:hint="eastAsia" w:ascii="仿宋" w:hAnsi="仿宋" w:eastAsia="仿宋" w:cs="仿宋"/>
                <w:color w:val="auto"/>
                <w:spacing w:val="-2"/>
                <w:sz w:val="24"/>
                <w:szCs w:val="24"/>
                <w:highlight w:val="none"/>
                <w:lang w:val="en-US" w:eastAsia="zh-CN"/>
              </w:rPr>
              <w:t>个</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color w:val="auto"/>
                <w:spacing w:val="-2"/>
                <w:sz w:val="24"/>
                <w:szCs w:val="24"/>
                <w:highlight w:val="none"/>
                <w:lang w:val="en-US" w:eastAsia="zh-CN"/>
              </w:rPr>
              <w:t>需</w:t>
            </w:r>
            <w:r>
              <w:rPr>
                <w:rFonts w:hint="eastAsia" w:ascii="仿宋" w:hAnsi="仿宋" w:eastAsia="仿宋" w:cs="仿宋"/>
                <w:color w:val="auto"/>
                <w:spacing w:val="-2"/>
                <w:sz w:val="24"/>
                <w:szCs w:val="24"/>
                <w:highlight w:val="none"/>
                <w:lang w:eastAsia="zh-CN"/>
              </w:rPr>
              <w:t>提供</w:t>
            </w:r>
            <w:r>
              <w:rPr>
                <w:rFonts w:hint="eastAsia" w:ascii="仿宋" w:hAnsi="仿宋" w:eastAsia="仿宋" w:cs="仿宋"/>
                <w:spacing w:val="-2"/>
                <w:sz w:val="24"/>
                <w:szCs w:val="24"/>
                <w:highlight w:val="none"/>
                <w:lang w:eastAsia="zh-CN"/>
              </w:rPr>
              <w:t>项目负责人业绩证明</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合同原件</w:t>
            </w:r>
            <w:r>
              <w:rPr>
                <w:rFonts w:hint="eastAsia" w:ascii="仿宋" w:hAnsi="仿宋" w:eastAsia="仿宋" w:cs="仿宋"/>
                <w:color w:val="auto"/>
                <w:spacing w:val="-2"/>
                <w:sz w:val="24"/>
                <w:szCs w:val="24"/>
                <w:highlight w:val="none"/>
                <w:lang w:val="en-US" w:eastAsia="zh-CN"/>
              </w:rPr>
              <w:t>扫描件</w:t>
            </w:r>
            <w:r>
              <w:rPr>
                <w:rFonts w:hint="eastAsia" w:ascii="仿宋" w:hAnsi="仿宋" w:eastAsia="仿宋" w:cs="仿宋"/>
                <w:color w:val="auto"/>
                <w:spacing w:val="-2"/>
                <w:sz w:val="24"/>
                <w:szCs w:val="24"/>
                <w:highlight w:val="none"/>
                <w:lang w:eastAsia="zh-CN"/>
              </w:rPr>
              <w:t>。</w:t>
            </w:r>
          </w:p>
          <w:p w14:paraId="5A856D7F">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）自2022年1月至今</w:t>
            </w:r>
            <w:r>
              <w:rPr>
                <w:rFonts w:hint="eastAsia" w:ascii="仿宋" w:hAnsi="仿宋" w:eastAsia="仿宋" w:cs="仿宋"/>
                <w:b/>
                <w:bCs/>
                <w:color w:val="auto"/>
                <w:spacing w:val="-2"/>
                <w:sz w:val="24"/>
                <w:szCs w:val="24"/>
                <w:highlight w:val="none"/>
                <w:lang w:eastAsia="zh-CN"/>
              </w:rPr>
              <w:t>（以</w:t>
            </w:r>
            <w:r>
              <w:rPr>
                <w:rFonts w:hint="eastAsia" w:ascii="仿宋" w:hAnsi="仿宋" w:eastAsia="仿宋" w:cs="仿宋"/>
                <w:b/>
                <w:bCs/>
                <w:color w:val="auto"/>
                <w:spacing w:val="-2"/>
                <w:sz w:val="24"/>
                <w:szCs w:val="24"/>
                <w:highlight w:val="none"/>
                <w:lang w:val="en-US" w:eastAsia="zh-CN"/>
              </w:rPr>
              <w:t>奖项证书签发时间</w:t>
            </w:r>
            <w:r>
              <w:rPr>
                <w:rFonts w:hint="eastAsia" w:ascii="仿宋" w:hAnsi="仿宋" w:eastAsia="仿宋" w:cs="仿宋"/>
                <w:b/>
                <w:bCs/>
                <w:color w:val="auto"/>
                <w:spacing w:val="-2"/>
                <w:sz w:val="24"/>
                <w:szCs w:val="24"/>
                <w:highlight w:val="none"/>
                <w:lang w:eastAsia="zh-CN"/>
              </w:rPr>
              <w:t>为准）</w:t>
            </w:r>
            <w:r>
              <w:rPr>
                <w:rFonts w:hint="eastAsia" w:ascii="仿宋" w:hAnsi="仿宋" w:eastAsia="仿宋" w:cs="仿宋"/>
                <w:color w:val="auto"/>
                <w:spacing w:val="-2"/>
                <w:sz w:val="24"/>
                <w:szCs w:val="24"/>
                <w:highlight w:val="none"/>
                <w:lang w:eastAsia="zh-CN"/>
              </w:rPr>
              <w:t>获得过农业类或土壤类或环境类或地质类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国家级奖项的得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分，获得过省级奖项的的</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b/>
                <w:bCs/>
                <w:color w:val="auto"/>
                <w:spacing w:val="-2"/>
                <w:sz w:val="24"/>
                <w:szCs w:val="24"/>
                <w:highlight w:val="none"/>
                <w:lang w:eastAsia="zh-CN"/>
              </w:rPr>
              <w:t>（仅按最高级别奖项计分）</w:t>
            </w:r>
            <w:r>
              <w:rPr>
                <w:rFonts w:hint="eastAsia" w:ascii="仿宋" w:hAnsi="仿宋" w:eastAsia="仿宋" w:cs="仿宋"/>
                <w:color w:val="auto"/>
                <w:spacing w:val="-2"/>
                <w:sz w:val="24"/>
                <w:szCs w:val="24"/>
                <w:highlight w:val="none"/>
                <w:lang w:eastAsia="zh-CN"/>
              </w:rPr>
              <w:t>；</w:t>
            </w:r>
          </w:p>
          <w:p w14:paraId="00512DC7">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2.项目组成员（不含项目负责人，本项满分</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p w14:paraId="78844F51">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相关专业高级及以上职称，每有1人得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相关专业中级及以上职称，每有1人得</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p w14:paraId="321725C2">
            <w:pPr>
              <w:pStyle w:val="53"/>
              <w:ind w:left="13" w:firstLine="474" w:firstLineChars="200"/>
              <w:rPr>
                <w:rFonts w:hint="default" w:ascii="仿宋" w:hAnsi="仿宋" w:eastAsia="仿宋" w:cs="仿宋"/>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注：上述人员（项目负责人及项目组成员）投标文件中须提供相关证明材料原件扫描件（根据要求提供对应职称证书，主持项目的相关合同等业绩材料，如职业资格证书或职称证书无法体现相关专业，则需提供有效证明材料原件扫描件），且必须为投标单位在职员工，提供上述人员开标日前最近1个月投标人为其缴纳社保的证明；新成立企业距开标日期不足30日的，可不提供缴纳社保的证明（以新办企业营业执照发放日期为准）。所有材料必须加盖投标单位公章，</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w:t>
            </w:r>
          </w:p>
        </w:tc>
        <w:tc>
          <w:tcPr>
            <w:tcW w:w="715" w:type="dxa"/>
            <w:noWrap w:val="0"/>
            <w:vAlign w:val="top"/>
          </w:tcPr>
          <w:p w14:paraId="51291508">
            <w:pPr>
              <w:adjustRightInd w:val="0"/>
              <w:snapToGrid w:val="0"/>
              <w:jc w:val="center"/>
              <w:outlineLvl w:val="9"/>
              <w:rPr>
                <w:rFonts w:hint="eastAsia" w:ascii="仿宋" w:hAnsi="仿宋" w:eastAsia="仿宋" w:cs="仿宋"/>
                <w:color w:val="auto"/>
                <w:sz w:val="24"/>
                <w:szCs w:val="24"/>
                <w:highlight w:val="none"/>
              </w:rPr>
            </w:pPr>
          </w:p>
        </w:tc>
      </w:tr>
      <w:tr w14:paraId="2EBDA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116DCC4B">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118" w:type="dxa"/>
            <w:noWrap w:val="0"/>
            <w:vAlign w:val="center"/>
          </w:tcPr>
          <w:p w14:paraId="7F2AAC1E">
            <w:pPr>
              <w:adjustRightInd w:val="0"/>
              <w:snapToGrid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z w:val="24"/>
                <w:szCs w:val="24"/>
                <w:highlight w:val="none"/>
                <w:lang w:val="en-US" w:eastAsia="zh-CN"/>
              </w:rPr>
              <w:t>业绩</w:t>
            </w:r>
          </w:p>
        </w:tc>
        <w:tc>
          <w:tcPr>
            <w:tcW w:w="748" w:type="dxa"/>
            <w:noWrap w:val="0"/>
            <w:vAlign w:val="center"/>
          </w:tcPr>
          <w:p w14:paraId="5AB3D992">
            <w:pPr>
              <w:adjustRightInd w:val="0"/>
              <w:snapToGrid w:val="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5325" w:type="dxa"/>
            <w:noWrap w:val="0"/>
            <w:vAlign w:val="center"/>
          </w:tcPr>
          <w:p w14:paraId="12A04D2A">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b/>
                <w:bCs/>
                <w:color w:val="auto"/>
                <w:spacing w:val="-2"/>
                <w:sz w:val="24"/>
                <w:szCs w:val="24"/>
                <w:highlight w:val="none"/>
                <w:lang w:eastAsia="zh-CN"/>
              </w:rPr>
              <w:t>自202</w:t>
            </w:r>
            <w:r>
              <w:rPr>
                <w:rFonts w:hint="eastAsia" w:ascii="仿宋" w:hAnsi="仿宋" w:eastAsia="仿宋" w:cs="仿宋"/>
                <w:b/>
                <w:bCs/>
                <w:color w:val="auto"/>
                <w:spacing w:val="-2"/>
                <w:sz w:val="24"/>
                <w:szCs w:val="24"/>
                <w:highlight w:val="none"/>
                <w:lang w:val="en-US" w:eastAsia="zh-CN"/>
              </w:rPr>
              <w:t>2</w:t>
            </w:r>
            <w:r>
              <w:rPr>
                <w:rFonts w:hint="eastAsia" w:ascii="仿宋" w:hAnsi="仿宋" w:eastAsia="仿宋" w:cs="仿宋"/>
                <w:b/>
                <w:bCs/>
                <w:color w:val="auto"/>
                <w:spacing w:val="-2"/>
                <w:sz w:val="24"/>
                <w:szCs w:val="24"/>
                <w:highlight w:val="none"/>
                <w:lang w:eastAsia="zh-CN"/>
              </w:rPr>
              <w:t>年</w:t>
            </w:r>
            <w:r>
              <w:rPr>
                <w:rFonts w:hint="eastAsia" w:ascii="仿宋" w:hAnsi="仿宋" w:eastAsia="仿宋" w:cs="仿宋"/>
                <w:b/>
                <w:bCs/>
                <w:color w:val="auto"/>
                <w:spacing w:val="-2"/>
                <w:sz w:val="24"/>
                <w:szCs w:val="24"/>
                <w:highlight w:val="none"/>
                <w:lang w:val="en-US" w:eastAsia="zh-CN"/>
              </w:rPr>
              <w:t>1</w:t>
            </w:r>
            <w:r>
              <w:rPr>
                <w:rFonts w:hint="eastAsia" w:ascii="仿宋" w:hAnsi="仿宋" w:eastAsia="仿宋" w:cs="仿宋"/>
                <w:b/>
                <w:bCs/>
                <w:color w:val="auto"/>
                <w:spacing w:val="-2"/>
                <w:sz w:val="24"/>
                <w:szCs w:val="24"/>
                <w:highlight w:val="none"/>
                <w:lang w:eastAsia="zh-CN"/>
              </w:rPr>
              <w:t>月至今（以合同签订日期为准）</w:t>
            </w:r>
            <w:r>
              <w:rPr>
                <w:rFonts w:hint="eastAsia" w:ascii="仿宋" w:hAnsi="仿宋" w:eastAsia="仿宋" w:cs="仿宋"/>
                <w:color w:val="auto"/>
                <w:spacing w:val="-2"/>
                <w:sz w:val="24"/>
                <w:szCs w:val="24"/>
                <w:highlight w:val="none"/>
                <w:lang w:eastAsia="zh-CN"/>
              </w:rPr>
              <w:t>承担过土壤污染状况调查项目</w:t>
            </w:r>
            <w:r>
              <w:rPr>
                <w:rFonts w:hint="eastAsia" w:ascii="仿宋" w:hAnsi="仿宋" w:eastAsia="仿宋" w:cs="仿宋"/>
                <w:color w:val="auto"/>
                <w:spacing w:val="-2"/>
                <w:sz w:val="24"/>
                <w:szCs w:val="24"/>
                <w:highlight w:val="none"/>
                <w:lang w:val="en-US" w:eastAsia="zh-CN"/>
              </w:rPr>
              <w:t>的</w:t>
            </w:r>
            <w:r>
              <w:rPr>
                <w:rFonts w:hint="eastAsia" w:ascii="仿宋" w:hAnsi="仿宋" w:eastAsia="仿宋" w:cs="仿宋"/>
                <w:color w:val="auto"/>
                <w:spacing w:val="-2"/>
                <w:sz w:val="24"/>
                <w:szCs w:val="24"/>
                <w:highlight w:val="none"/>
                <w:lang w:eastAsia="zh-CN"/>
              </w:rPr>
              <w:t>，每提供1份</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lang w:eastAsia="zh-CN"/>
              </w:rPr>
              <w:t>分；承担过补充耕地质量评定或鉴定项目</w:t>
            </w:r>
            <w:r>
              <w:rPr>
                <w:rFonts w:hint="eastAsia" w:ascii="仿宋" w:hAnsi="仿宋" w:eastAsia="仿宋" w:cs="仿宋"/>
                <w:color w:val="auto"/>
                <w:spacing w:val="-2"/>
                <w:sz w:val="24"/>
                <w:szCs w:val="24"/>
                <w:highlight w:val="none"/>
                <w:lang w:val="en-US" w:eastAsia="zh-CN"/>
              </w:rPr>
              <w:t>的</w:t>
            </w:r>
            <w:r>
              <w:rPr>
                <w:rFonts w:hint="eastAsia" w:ascii="仿宋" w:hAnsi="仿宋" w:eastAsia="仿宋" w:cs="仿宋"/>
                <w:color w:val="auto"/>
                <w:spacing w:val="-2"/>
                <w:sz w:val="24"/>
                <w:szCs w:val="24"/>
                <w:highlight w:val="none"/>
                <w:lang w:eastAsia="zh-CN"/>
              </w:rPr>
              <w:t>，每提供1份</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color w:val="auto"/>
                <w:spacing w:val="-2"/>
                <w:sz w:val="24"/>
                <w:szCs w:val="24"/>
                <w:highlight w:val="none"/>
                <w:lang w:val="en-US" w:eastAsia="zh-CN"/>
              </w:rPr>
              <w:t>本项</w:t>
            </w:r>
            <w:r>
              <w:rPr>
                <w:rFonts w:hint="eastAsia" w:ascii="仿宋" w:hAnsi="仿宋" w:eastAsia="仿宋" w:cs="仿宋"/>
                <w:color w:val="auto"/>
                <w:spacing w:val="-2"/>
                <w:sz w:val="24"/>
                <w:szCs w:val="24"/>
                <w:highlight w:val="none"/>
                <w:lang w:eastAsia="zh-CN"/>
              </w:rPr>
              <w:t>最高得</w:t>
            </w:r>
            <w:r>
              <w:rPr>
                <w:rFonts w:hint="eastAsia" w:ascii="仿宋" w:hAnsi="仿宋" w:eastAsia="仿宋" w:cs="仿宋"/>
                <w:color w:val="auto"/>
                <w:spacing w:val="-2"/>
                <w:sz w:val="24"/>
                <w:szCs w:val="24"/>
                <w:highlight w:val="none"/>
                <w:lang w:val="en-US" w:eastAsia="zh-CN"/>
              </w:rPr>
              <w:t>13</w:t>
            </w:r>
            <w:r>
              <w:rPr>
                <w:rFonts w:hint="eastAsia" w:ascii="仿宋" w:hAnsi="仿宋" w:eastAsia="仿宋" w:cs="仿宋"/>
                <w:color w:val="auto"/>
                <w:spacing w:val="-2"/>
                <w:sz w:val="24"/>
                <w:szCs w:val="24"/>
                <w:highlight w:val="none"/>
                <w:lang w:eastAsia="zh-CN"/>
              </w:rPr>
              <w:t>分。</w:t>
            </w:r>
          </w:p>
          <w:p w14:paraId="2584830C">
            <w:pPr>
              <w:pStyle w:val="53"/>
              <w:ind w:left="13" w:firstLine="474" w:firstLineChars="200"/>
              <w:rPr>
                <w:rFonts w:hint="eastAsia" w:ascii="仿宋" w:hAnsi="仿宋" w:eastAsia="仿宋" w:cs="仿宋"/>
                <w:color w:val="auto"/>
                <w:sz w:val="24"/>
                <w:szCs w:val="24"/>
                <w:highlight w:val="none"/>
              </w:rPr>
            </w:pPr>
            <w:r>
              <w:rPr>
                <w:rFonts w:hint="eastAsia" w:ascii="仿宋" w:hAnsi="仿宋" w:eastAsia="仿宋" w:cs="仿宋"/>
                <w:b/>
                <w:bCs/>
                <w:color w:val="auto"/>
                <w:spacing w:val="-2"/>
                <w:sz w:val="24"/>
                <w:szCs w:val="24"/>
                <w:highlight w:val="none"/>
                <w:lang w:val="en-US" w:eastAsia="zh-CN"/>
              </w:rPr>
              <w:t>须</w:t>
            </w:r>
            <w:r>
              <w:rPr>
                <w:rFonts w:hint="eastAsia" w:ascii="仿宋" w:hAnsi="仿宋" w:eastAsia="仿宋" w:cs="仿宋"/>
                <w:b/>
                <w:bCs/>
                <w:color w:val="auto"/>
                <w:spacing w:val="-2"/>
                <w:sz w:val="24"/>
                <w:szCs w:val="24"/>
                <w:highlight w:val="none"/>
                <w:lang w:eastAsia="zh-CN"/>
              </w:rPr>
              <w:t>提供</w:t>
            </w:r>
            <w:r>
              <w:rPr>
                <w:rFonts w:hint="eastAsia" w:ascii="仿宋" w:hAnsi="仿宋" w:eastAsia="仿宋" w:cs="仿宋"/>
                <w:b/>
                <w:bCs/>
                <w:color w:val="auto"/>
                <w:spacing w:val="-2"/>
                <w:sz w:val="24"/>
                <w:szCs w:val="24"/>
                <w:highlight w:val="none"/>
                <w:lang w:val="en-US" w:eastAsia="zh-CN"/>
              </w:rPr>
              <w:t>相应业绩</w:t>
            </w:r>
            <w:r>
              <w:rPr>
                <w:rFonts w:hint="eastAsia" w:ascii="仿宋" w:hAnsi="仿宋" w:eastAsia="仿宋" w:cs="仿宋"/>
                <w:b/>
                <w:bCs/>
                <w:color w:val="auto"/>
                <w:spacing w:val="-2"/>
                <w:sz w:val="24"/>
                <w:szCs w:val="24"/>
                <w:highlight w:val="none"/>
                <w:lang w:eastAsia="zh-CN"/>
              </w:rPr>
              <w:t>合同原件</w:t>
            </w:r>
            <w:r>
              <w:rPr>
                <w:rFonts w:hint="eastAsia" w:ascii="仿宋" w:hAnsi="仿宋" w:eastAsia="仿宋" w:cs="仿宋"/>
                <w:b/>
                <w:bCs/>
                <w:color w:val="auto"/>
                <w:spacing w:val="-2"/>
                <w:sz w:val="24"/>
                <w:szCs w:val="24"/>
                <w:highlight w:val="none"/>
                <w:lang w:val="en-US" w:eastAsia="zh-CN"/>
              </w:rPr>
              <w:t>扫描件</w:t>
            </w:r>
            <w:r>
              <w:rPr>
                <w:rFonts w:hint="eastAsia" w:ascii="仿宋" w:hAnsi="仿宋" w:eastAsia="仿宋" w:cs="仿宋"/>
                <w:b/>
                <w:bCs/>
                <w:color w:val="auto"/>
                <w:spacing w:val="-2"/>
                <w:sz w:val="24"/>
                <w:szCs w:val="24"/>
                <w:highlight w:val="none"/>
                <w:lang w:eastAsia="zh-CN"/>
              </w:rPr>
              <w:t>，否则不得分，</w:t>
            </w:r>
            <w:r>
              <w:rPr>
                <w:rFonts w:hint="eastAsia" w:ascii="仿宋" w:hAnsi="仿宋" w:eastAsia="仿宋" w:cs="仿宋"/>
                <w:b/>
                <w:bCs/>
                <w:color w:val="auto"/>
                <w:spacing w:val="-2"/>
                <w:sz w:val="24"/>
                <w:szCs w:val="24"/>
                <w:highlight w:val="none"/>
                <w:lang w:val="en-US" w:eastAsia="zh-CN"/>
              </w:rPr>
              <w:t>与项目负责人业绩重复的业绩，不计入得分</w:t>
            </w:r>
            <w:r>
              <w:rPr>
                <w:rFonts w:hint="eastAsia" w:ascii="仿宋" w:hAnsi="仿宋" w:eastAsia="仿宋" w:cs="仿宋"/>
                <w:b/>
                <w:bCs/>
                <w:color w:val="auto"/>
                <w:spacing w:val="-2"/>
                <w:sz w:val="24"/>
                <w:szCs w:val="24"/>
                <w:highlight w:val="none"/>
                <w:lang w:eastAsia="zh-CN"/>
              </w:rPr>
              <w:t>。</w:t>
            </w:r>
            <w:r>
              <w:rPr>
                <w:rFonts w:hint="eastAsia" w:ascii="仿宋" w:hAnsi="仿宋" w:eastAsia="仿宋" w:cs="仿宋"/>
                <w:b/>
                <w:bCs/>
                <w:color w:val="auto"/>
                <w:spacing w:val="-2"/>
                <w:sz w:val="24"/>
                <w:szCs w:val="24"/>
                <w:highlight w:val="none"/>
                <w:lang w:val="en-US" w:eastAsia="zh-CN"/>
              </w:rPr>
              <w:t>所有材料必须加盖投标单位公章，</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w:t>
            </w:r>
          </w:p>
        </w:tc>
        <w:tc>
          <w:tcPr>
            <w:tcW w:w="715" w:type="dxa"/>
            <w:noWrap w:val="0"/>
            <w:vAlign w:val="top"/>
          </w:tcPr>
          <w:p w14:paraId="67FDF518">
            <w:pPr>
              <w:adjustRightInd w:val="0"/>
              <w:snapToGrid w:val="0"/>
              <w:jc w:val="center"/>
              <w:rPr>
                <w:rFonts w:hint="eastAsia" w:ascii="仿宋" w:hAnsi="仿宋" w:eastAsia="仿宋" w:cs="仿宋"/>
                <w:color w:val="auto"/>
                <w:sz w:val="24"/>
                <w:szCs w:val="24"/>
                <w:highlight w:val="none"/>
              </w:rPr>
            </w:pPr>
          </w:p>
        </w:tc>
      </w:tr>
      <w:tr w14:paraId="327848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2F3C9367">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118" w:type="dxa"/>
            <w:noWrap w:val="0"/>
            <w:vAlign w:val="center"/>
          </w:tcPr>
          <w:p w14:paraId="7E151F4C">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pacing w:val="-6"/>
                <w:sz w:val="24"/>
                <w:szCs w:val="24"/>
                <w:highlight w:val="none"/>
                <w:lang w:eastAsia="zh-CN"/>
              </w:rPr>
              <w:t>实力</w:t>
            </w:r>
          </w:p>
        </w:tc>
        <w:tc>
          <w:tcPr>
            <w:tcW w:w="748" w:type="dxa"/>
            <w:noWrap w:val="0"/>
            <w:vAlign w:val="center"/>
          </w:tcPr>
          <w:p w14:paraId="5AA7E376">
            <w:pPr>
              <w:adjustRightInd w:val="0"/>
              <w:snapToGrid w:val="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5325" w:type="dxa"/>
            <w:noWrap w:val="0"/>
            <w:vAlign w:val="center"/>
          </w:tcPr>
          <w:p w14:paraId="30A28134">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、奖项与科研成果：</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2D3C4780">
            <w:pPr>
              <w:pStyle w:val="53"/>
              <w:ind w:left="13"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投标人自2022年1月以来</w:t>
            </w:r>
            <w:r>
              <w:rPr>
                <w:rFonts w:hint="eastAsia" w:ascii="仿宋" w:hAnsi="仿宋" w:eastAsia="仿宋"/>
                <w:b/>
                <w:bCs/>
                <w:color w:val="auto"/>
                <w:sz w:val="24"/>
                <w:highlight w:val="none"/>
                <w:lang w:val="en-US" w:eastAsia="zh-CN"/>
              </w:rPr>
              <w:t>（以奖项证书签发时间为准）</w:t>
            </w:r>
            <w:r>
              <w:rPr>
                <w:rFonts w:hint="eastAsia" w:ascii="仿宋" w:hAnsi="仿宋" w:eastAsia="仿宋"/>
                <w:color w:val="auto"/>
                <w:sz w:val="24"/>
                <w:highlight w:val="none"/>
                <w:lang w:val="en-US" w:eastAsia="zh-CN"/>
              </w:rPr>
              <w:t>获得与本项目相关的行政主管部门颁发的奖项，每有一项得2分，最高4分；投标人获得土壤污染调查、耕地质量等级评价相关专利的，每有1项得2分，最高得4分。</w:t>
            </w:r>
            <w:r>
              <w:rPr>
                <w:rFonts w:hint="eastAsia" w:ascii="仿宋" w:hAnsi="仿宋" w:eastAsia="仿宋" w:cs="仿宋"/>
                <w:color w:val="auto"/>
                <w:spacing w:val="-2"/>
                <w:sz w:val="24"/>
                <w:szCs w:val="24"/>
                <w:highlight w:val="none"/>
                <w:lang w:eastAsia="zh-CN"/>
              </w:rPr>
              <w:t>本项最高得</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0206A4BC">
            <w:pPr>
              <w:pStyle w:val="53"/>
              <w:ind w:left="13" w:firstLine="474" w:firstLineChars="200"/>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注：</w:t>
            </w:r>
            <w:r>
              <w:rPr>
                <w:rFonts w:hint="eastAsia" w:ascii="仿宋" w:hAnsi="仿宋" w:eastAsia="仿宋" w:cs="仿宋"/>
                <w:b/>
                <w:bCs/>
                <w:color w:val="auto"/>
                <w:spacing w:val="-2"/>
                <w:sz w:val="24"/>
                <w:szCs w:val="24"/>
                <w:highlight w:val="none"/>
                <w:lang w:val="en-US" w:eastAsia="zh-CN"/>
              </w:rPr>
              <w:t>须提供相关证明材料原件扫描</w:t>
            </w:r>
            <w:r>
              <w:rPr>
                <w:rFonts w:hint="eastAsia" w:ascii="仿宋" w:hAnsi="仿宋" w:eastAsia="仿宋" w:cs="仿宋"/>
                <w:b/>
                <w:bCs/>
                <w:color w:val="auto"/>
                <w:spacing w:val="-2"/>
                <w:sz w:val="24"/>
                <w:szCs w:val="24"/>
                <w:highlight w:val="none"/>
                <w:lang w:eastAsia="zh-CN"/>
              </w:rPr>
              <w:t>件</w:t>
            </w:r>
            <w:r>
              <w:rPr>
                <w:rFonts w:hint="eastAsia" w:ascii="仿宋" w:hAnsi="仿宋" w:eastAsia="仿宋" w:cs="仿宋"/>
                <w:b/>
                <w:bCs/>
                <w:color w:val="auto"/>
                <w:spacing w:val="-2"/>
                <w:sz w:val="24"/>
                <w:szCs w:val="24"/>
                <w:highlight w:val="none"/>
                <w:lang w:val="en-US" w:eastAsia="zh-CN"/>
              </w:rPr>
              <w:t>并加盖投标单位公章，</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w:t>
            </w:r>
          </w:p>
          <w:p w14:paraId="1ADE935C">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、设备能力：</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4158E232">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pacing w:val="-2"/>
                <w:sz w:val="24"/>
                <w:szCs w:val="24"/>
                <w:highlight w:val="none"/>
                <w:lang w:eastAsia="zh-CN"/>
              </w:rPr>
              <w:t>自有或租赁土壤调查相关辅助设备：XRF、PID、RTK、无人机等，每具备1项设备得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分。本项最高得</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499801AC">
            <w:pPr>
              <w:pStyle w:val="53"/>
              <w:ind w:left="13" w:firstLine="474" w:firstLineChars="200"/>
              <w:rPr>
                <w:rFonts w:hint="eastAsia" w:ascii="仿宋" w:hAnsi="仿宋" w:eastAsia="仿宋" w:cs="仿宋"/>
                <w:color w:val="auto"/>
                <w:sz w:val="24"/>
                <w:szCs w:val="24"/>
                <w:highlight w:val="none"/>
                <w:lang w:val="en-US"/>
              </w:rPr>
            </w:pPr>
            <w:r>
              <w:rPr>
                <w:rFonts w:hint="eastAsia" w:ascii="仿宋" w:hAnsi="仿宋" w:eastAsia="仿宋" w:cs="仿宋"/>
                <w:b/>
                <w:bCs/>
                <w:color w:val="auto"/>
                <w:spacing w:val="-2"/>
                <w:sz w:val="24"/>
                <w:szCs w:val="24"/>
                <w:highlight w:val="none"/>
                <w:lang w:eastAsia="zh-CN"/>
              </w:rPr>
              <w:t>注：须提供设备购买发票</w:t>
            </w:r>
            <w:r>
              <w:rPr>
                <w:rFonts w:hint="eastAsia" w:ascii="仿宋" w:hAnsi="仿宋" w:eastAsia="仿宋" w:cs="仿宋"/>
                <w:b/>
                <w:bCs/>
                <w:color w:val="auto"/>
                <w:spacing w:val="-2"/>
                <w:sz w:val="24"/>
                <w:szCs w:val="24"/>
                <w:highlight w:val="none"/>
                <w:lang w:val="en-US" w:eastAsia="zh-CN"/>
              </w:rPr>
              <w:t>原件扫描</w:t>
            </w:r>
            <w:r>
              <w:rPr>
                <w:rFonts w:hint="eastAsia" w:ascii="仿宋" w:hAnsi="仿宋" w:eastAsia="仿宋" w:cs="仿宋"/>
                <w:b/>
                <w:bCs/>
                <w:color w:val="auto"/>
                <w:spacing w:val="-2"/>
                <w:sz w:val="24"/>
                <w:szCs w:val="24"/>
                <w:highlight w:val="none"/>
                <w:lang w:eastAsia="zh-CN"/>
              </w:rPr>
              <w:t>件并加盖</w:t>
            </w:r>
            <w:r>
              <w:rPr>
                <w:rFonts w:hint="eastAsia" w:ascii="仿宋" w:hAnsi="仿宋" w:eastAsia="仿宋" w:cs="仿宋"/>
                <w:b/>
                <w:bCs/>
                <w:color w:val="auto"/>
                <w:spacing w:val="-2"/>
                <w:sz w:val="24"/>
                <w:szCs w:val="24"/>
                <w:highlight w:val="none"/>
                <w:lang w:val="en-US" w:eastAsia="zh-CN"/>
              </w:rPr>
              <w:t>投标单位</w:t>
            </w:r>
            <w:r>
              <w:rPr>
                <w:rFonts w:hint="eastAsia" w:ascii="仿宋" w:hAnsi="仿宋" w:eastAsia="仿宋" w:cs="仿宋"/>
                <w:b/>
                <w:bCs/>
                <w:color w:val="auto"/>
                <w:spacing w:val="-2"/>
                <w:sz w:val="24"/>
                <w:szCs w:val="24"/>
                <w:highlight w:val="none"/>
                <w:lang w:eastAsia="zh-CN"/>
              </w:rPr>
              <w:t>公章，如租赁设备须提供租赁合同及对应出租方购买的发票</w:t>
            </w:r>
            <w:r>
              <w:rPr>
                <w:rFonts w:hint="eastAsia" w:ascii="仿宋" w:hAnsi="仿宋" w:eastAsia="仿宋" w:cs="仿宋"/>
                <w:b/>
                <w:bCs/>
                <w:color w:val="auto"/>
                <w:spacing w:val="-2"/>
                <w:sz w:val="24"/>
                <w:szCs w:val="24"/>
                <w:highlight w:val="none"/>
                <w:lang w:val="en-US" w:eastAsia="zh-CN"/>
              </w:rPr>
              <w:t>原件扫描件</w:t>
            </w:r>
            <w:r>
              <w:rPr>
                <w:rFonts w:hint="eastAsia" w:ascii="仿宋" w:hAnsi="仿宋" w:eastAsia="仿宋" w:cs="仿宋"/>
                <w:b/>
                <w:bCs/>
                <w:color w:val="auto"/>
                <w:spacing w:val="-2"/>
                <w:sz w:val="24"/>
                <w:szCs w:val="24"/>
                <w:highlight w:val="none"/>
                <w:lang w:eastAsia="zh-CN"/>
              </w:rPr>
              <w:t>并加盖</w:t>
            </w:r>
            <w:r>
              <w:rPr>
                <w:rFonts w:hint="eastAsia" w:ascii="仿宋" w:hAnsi="仿宋" w:eastAsia="仿宋" w:cs="仿宋"/>
                <w:b/>
                <w:bCs/>
                <w:color w:val="auto"/>
                <w:spacing w:val="-2"/>
                <w:sz w:val="24"/>
                <w:szCs w:val="24"/>
                <w:highlight w:val="none"/>
                <w:lang w:val="en-US" w:eastAsia="zh-CN"/>
              </w:rPr>
              <w:t>投标单位</w:t>
            </w:r>
            <w:r>
              <w:rPr>
                <w:rFonts w:hint="eastAsia" w:ascii="仿宋" w:hAnsi="仿宋" w:eastAsia="仿宋" w:cs="仿宋"/>
                <w:b/>
                <w:bCs/>
                <w:color w:val="auto"/>
                <w:spacing w:val="-2"/>
                <w:sz w:val="24"/>
                <w:szCs w:val="24"/>
                <w:highlight w:val="none"/>
                <w:lang w:eastAsia="zh-CN"/>
              </w:rPr>
              <w:t>公章，发票应体现设备具体名称和型号，否则不得分。</w:t>
            </w:r>
          </w:p>
        </w:tc>
        <w:tc>
          <w:tcPr>
            <w:tcW w:w="715" w:type="dxa"/>
            <w:noWrap w:val="0"/>
            <w:vAlign w:val="top"/>
          </w:tcPr>
          <w:p w14:paraId="1DCE0A95">
            <w:pPr>
              <w:adjustRightInd w:val="0"/>
              <w:snapToGrid w:val="0"/>
              <w:jc w:val="center"/>
              <w:rPr>
                <w:rFonts w:hint="eastAsia" w:ascii="仿宋" w:hAnsi="仿宋" w:eastAsia="仿宋" w:cs="仿宋"/>
                <w:color w:val="auto"/>
                <w:sz w:val="24"/>
                <w:szCs w:val="24"/>
                <w:highlight w:val="none"/>
              </w:rPr>
            </w:pPr>
          </w:p>
        </w:tc>
      </w:tr>
      <w:tr w14:paraId="3D724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726CE492">
            <w:pPr>
              <w:adjustRightInd w:val="0"/>
              <w:snapToGrid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118" w:type="dxa"/>
            <w:noWrap w:val="0"/>
            <w:vAlign w:val="center"/>
          </w:tcPr>
          <w:p w14:paraId="46FD13A2">
            <w:pPr>
              <w:adjustRightInd w:val="0"/>
              <w:snapToGrid w:val="0"/>
              <w:jc w:val="center"/>
              <w:rPr>
                <w:rFonts w:hint="eastAsia" w:ascii="仿宋" w:hAnsi="仿宋" w:eastAsia="仿宋" w:cs="仿宋"/>
                <w:color w:val="auto"/>
                <w:spacing w:val="-6"/>
                <w:sz w:val="24"/>
                <w:szCs w:val="24"/>
                <w:highlight w:val="none"/>
                <w:lang w:eastAsia="zh-CN"/>
              </w:rPr>
            </w:pPr>
            <w:r>
              <w:rPr>
                <w:rFonts w:hint="eastAsia" w:ascii="仿宋" w:hAnsi="仿宋" w:eastAsia="仿宋" w:cs="仿宋"/>
                <w:sz w:val="22"/>
                <w:highlight w:val="none"/>
              </w:rPr>
              <w:t>检测实验室</w:t>
            </w:r>
          </w:p>
        </w:tc>
        <w:tc>
          <w:tcPr>
            <w:tcW w:w="748" w:type="dxa"/>
            <w:noWrap w:val="0"/>
            <w:vAlign w:val="center"/>
          </w:tcPr>
          <w:p w14:paraId="6BF22ABC">
            <w:pPr>
              <w:adjustRightInd w:val="0"/>
              <w:snapToGrid w:val="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5325" w:type="dxa"/>
            <w:noWrap w:val="0"/>
            <w:vAlign w:val="center"/>
          </w:tcPr>
          <w:p w14:paraId="711604C5">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1、检测实验室（</w:t>
            </w:r>
            <w:r>
              <w:rPr>
                <w:rFonts w:hint="eastAsia" w:ascii="仿宋" w:hAnsi="仿宋" w:eastAsia="仿宋" w:cs="仿宋"/>
                <w:b/>
                <w:color w:val="auto"/>
                <w:sz w:val="22"/>
                <w:highlight w:val="none"/>
                <w:lang w:val="en-US" w:eastAsia="zh-CN"/>
              </w:rPr>
              <w:t>3</w:t>
            </w:r>
            <w:r>
              <w:rPr>
                <w:rFonts w:hint="eastAsia" w:ascii="仿宋" w:hAnsi="仿宋" w:eastAsia="仿宋" w:cs="仿宋"/>
                <w:b/>
                <w:color w:val="auto"/>
                <w:sz w:val="22"/>
                <w:highlight w:val="none"/>
              </w:rPr>
              <w:t>分）</w:t>
            </w:r>
          </w:p>
          <w:p w14:paraId="7D25ADDD">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投标人</w:t>
            </w:r>
            <w:r>
              <w:rPr>
                <w:rFonts w:hint="eastAsia" w:ascii="仿宋" w:hAnsi="仿宋" w:eastAsia="仿宋" w:cs="仿宋"/>
                <w:b/>
                <w:bCs/>
                <w:color w:val="auto"/>
                <w:spacing w:val="-2"/>
                <w:sz w:val="24"/>
                <w:szCs w:val="24"/>
                <w:highlight w:val="none"/>
                <w:lang w:eastAsia="zh-CN"/>
              </w:rPr>
              <w:t>自有、控股</w:t>
            </w:r>
            <w:r>
              <w:rPr>
                <w:rFonts w:hint="eastAsia" w:ascii="仿宋" w:hAnsi="仿宋" w:eastAsia="仿宋" w:cs="仿宋"/>
                <w:b/>
                <w:bCs/>
                <w:color w:val="auto"/>
                <w:spacing w:val="-2"/>
                <w:sz w:val="24"/>
                <w:szCs w:val="24"/>
                <w:highlight w:val="none"/>
                <w:lang w:val="en-US" w:eastAsia="zh-CN"/>
              </w:rPr>
              <w:t>或</w:t>
            </w:r>
            <w:r>
              <w:rPr>
                <w:rFonts w:hint="eastAsia" w:ascii="仿宋" w:hAnsi="仿宋" w:eastAsia="仿宋" w:cs="仿宋"/>
                <w:b/>
                <w:bCs/>
                <w:color w:val="auto"/>
                <w:spacing w:val="-2"/>
                <w:sz w:val="24"/>
                <w:szCs w:val="24"/>
                <w:highlight w:val="none"/>
                <w:lang w:eastAsia="zh-CN"/>
              </w:rPr>
              <w:t>委托</w:t>
            </w:r>
            <w:r>
              <w:rPr>
                <w:rFonts w:hint="eastAsia" w:ascii="仿宋" w:hAnsi="仿宋" w:eastAsia="仿宋" w:cs="仿宋"/>
                <w:color w:val="auto"/>
                <w:spacing w:val="-2"/>
                <w:sz w:val="24"/>
                <w:szCs w:val="24"/>
                <w:highlight w:val="none"/>
                <w:lang w:eastAsia="zh-CN"/>
              </w:rPr>
              <w:t>检测实验室并拥有省级（含）以上市场监督管理部门颁发的有效期内CMA检验检测机构资质认定证书的，得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w:t>
            </w:r>
          </w:p>
          <w:p w14:paraId="638DD11B">
            <w:pPr>
              <w:pStyle w:val="53"/>
              <w:ind w:left="13" w:firstLine="474" w:firstLineChars="200"/>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注：响应文件中须提供实验室自有或控股的权属证明或委托检测协议、实验室资质证书原件扫描件</w:t>
            </w:r>
            <w:r>
              <w:rPr>
                <w:rFonts w:hint="eastAsia" w:ascii="仿宋" w:hAnsi="仿宋" w:eastAsia="仿宋" w:cs="仿宋"/>
                <w:b/>
                <w:bCs/>
                <w:color w:val="auto"/>
                <w:spacing w:val="-2"/>
                <w:sz w:val="24"/>
                <w:szCs w:val="24"/>
                <w:highlight w:val="none"/>
                <w:lang w:eastAsia="zh-CN"/>
              </w:rPr>
              <w:t>并加盖</w:t>
            </w:r>
            <w:r>
              <w:rPr>
                <w:rFonts w:hint="eastAsia" w:ascii="仿宋" w:hAnsi="仿宋" w:eastAsia="仿宋" w:cs="仿宋"/>
                <w:b/>
                <w:bCs/>
                <w:color w:val="auto"/>
                <w:spacing w:val="-2"/>
                <w:sz w:val="24"/>
                <w:szCs w:val="24"/>
                <w:highlight w:val="none"/>
                <w:lang w:val="en-US" w:eastAsia="zh-CN"/>
              </w:rPr>
              <w:t>投标单位</w:t>
            </w:r>
            <w:r>
              <w:rPr>
                <w:rFonts w:hint="eastAsia" w:ascii="仿宋" w:hAnsi="仿宋" w:eastAsia="仿宋" w:cs="仿宋"/>
                <w:b/>
                <w:bCs/>
                <w:color w:val="auto"/>
                <w:spacing w:val="-2"/>
                <w:sz w:val="24"/>
                <w:szCs w:val="24"/>
                <w:highlight w:val="none"/>
                <w:lang w:eastAsia="zh-CN"/>
              </w:rPr>
              <w:t>公章</w:t>
            </w:r>
            <w:r>
              <w:rPr>
                <w:rFonts w:hint="eastAsia" w:ascii="仿宋" w:hAnsi="仿宋" w:eastAsia="仿宋" w:cs="仿宋"/>
                <w:b/>
                <w:bCs/>
                <w:color w:val="auto"/>
                <w:spacing w:val="-2"/>
                <w:sz w:val="24"/>
                <w:szCs w:val="24"/>
                <w:highlight w:val="none"/>
                <w:lang w:val="en-US" w:eastAsia="zh-CN"/>
              </w:rPr>
              <w:t>。</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w:t>
            </w:r>
          </w:p>
          <w:p w14:paraId="047BED82">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2、自有或控股或协议委托的实验室能力（</w:t>
            </w:r>
            <w:r>
              <w:rPr>
                <w:rFonts w:hint="eastAsia" w:ascii="仿宋" w:hAnsi="仿宋" w:eastAsia="仿宋" w:cs="仿宋"/>
                <w:b/>
                <w:color w:val="auto"/>
                <w:sz w:val="22"/>
                <w:highlight w:val="none"/>
                <w:lang w:val="en-US" w:eastAsia="zh-CN"/>
              </w:rPr>
              <w:t>12</w:t>
            </w:r>
            <w:r>
              <w:rPr>
                <w:rFonts w:hint="eastAsia" w:ascii="仿宋" w:hAnsi="仿宋" w:eastAsia="仿宋" w:cs="仿宋"/>
                <w:b/>
                <w:color w:val="auto"/>
                <w:sz w:val="22"/>
                <w:highlight w:val="none"/>
              </w:rPr>
              <w:t>分）</w:t>
            </w:r>
          </w:p>
          <w:p w14:paraId="3661AC0C">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）实验室CMA资质能力附表参数对土壤16项检测指标（有机质、全氮、有效磷、速效钾、pH、容重、质地、水溶性盐、镉、汞、砷、铅、铬、铜、镍、锌）的覆盖情况，覆盖率达100%的得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分，达不到不得分。本项最高得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w:t>
            </w:r>
          </w:p>
          <w:p w14:paraId="52E9C1D4">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）实验室CMA资质能力涵盖土壤PAHs及农药类（苯并〔a〕芘、六六六、滴滴涕）得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分，达不到不得分。本项最高得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w:t>
            </w:r>
          </w:p>
          <w:p w14:paraId="2FFE2721">
            <w:pPr>
              <w:pStyle w:val="53"/>
              <w:ind w:left="13" w:firstLine="474" w:firstLineChars="200"/>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注：响应文件中须提供实验室CMA资质能力参数覆盖情况自评表及CMA资质认定证书附表原件扫描</w:t>
            </w:r>
            <w:r>
              <w:rPr>
                <w:rFonts w:hint="eastAsia" w:ascii="仿宋" w:hAnsi="仿宋" w:eastAsia="仿宋" w:cs="仿宋"/>
                <w:b/>
                <w:bCs/>
                <w:color w:val="auto"/>
                <w:spacing w:val="-2"/>
                <w:sz w:val="24"/>
                <w:szCs w:val="24"/>
                <w:highlight w:val="none"/>
                <w:lang w:eastAsia="zh-CN"/>
              </w:rPr>
              <w:t>件并加盖</w:t>
            </w:r>
            <w:r>
              <w:rPr>
                <w:rFonts w:hint="eastAsia" w:ascii="仿宋" w:hAnsi="仿宋" w:eastAsia="仿宋" w:cs="仿宋"/>
                <w:b/>
                <w:bCs/>
                <w:color w:val="auto"/>
                <w:spacing w:val="-2"/>
                <w:sz w:val="24"/>
                <w:szCs w:val="24"/>
                <w:highlight w:val="none"/>
                <w:lang w:val="en-US" w:eastAsia="zh-CN"/>
              </w:rPr>
              <w:t>投标单位</w:t>
            </w:r>
            <w:r>
              <w:rPr>
                <w:rFonts w:hint="eastAsia" w:ascii="仿宋" w:hAnsi="仿宋" w:eastAsia="仿宋" w:cs="仿宋"/>
                <w:b/>
                <w:bCs/>
                <w:color w:val="auto"/>
                <w:spacing w:val="-2"/>
                <w:sz w:val="24"/>
                <w:szCs w:val="24"/>
                <w:highlight w:val="none"/>
                <w:lang w:eastAsia="zh-CN"/>
              </w:rPr>
              <w:t>公章</w:t>
            </w:r>
            <w:r>
              <w:rPr>
                <w:rFonts w:hint="eastAsia" w:ascii="仿宋" w:hAnsi="仿宋" w:eastAsia="仿宋" w:cs="仿宋"/>
                <w:b/>
                <w:bCs/>
                <w:color w:val="auto"/>
                <w:spacing w:val="-2"/>
                <w:sz w:val="24"/>
                <w:szCs w:val="24"/>
                <w:highlight w:val="none"/>
                <w:lang w:val="en-US" w:eastAsia="zh-CN"/>
              </w:rPr>
              <w:t>。</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。其中CMA资质认定的检测方法应当和《江苏省补充耕地质量鉴定技术规程（试行）》中的检测方法一致，不一致的认定为不满足。</w:t>
            </w:r>
          </w:p>
          <w:p w14:paraId="1A65050E">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）实验室安装视频监控设备（具有视频存储服务器），得2分。未安装视频监控设备或不具有视频存储服务器不得分。本项最高得2分。</w:t>
            </w:r>
          </w:p>
          <w:p w14:paraId="15B96DCB">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）实验室具有激光粒度仪、凯氏定氮仪、原子吸收光谱仪（AAS）、紫外分光光度计（UV-vis）、原子荧光光谱仪（AFS），火焰光度计，每种仪器1台/套得0.5分。本项最高得3分。</w:t>
            </w:r>
          </w:p>
          <w:p w14:paraId="4082FBB9">
            <w:pPr>
              <w:pStyle w:val="53"/>
              <w:ind w:left="13" w:firstLine="474" w:firstLineChars="200"/>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注：响应文件中须提供设备（含视频监控）购买发票或设备来源、设备照片等相关证明材料原件扫描</w:t>
            </w:r>
            <w:r>
              <w:rPr>
                <w:rFonts w:hint="eastAsia" w:ascii="仿宋" w:hAnsi="仿宋" w:eastAsia="仿宋" w:cs="仿宋"/>
                <w:b/>
                <w:bCs/>
                <w:color w:val="auto"/>
                <w:spacing w:val="-2"/>
                <w:sz w:val="24"/>
                <w:szCs w:val="24"/>
                <w:highlight w:val="none"/>
                <w:lang w:eastAsia="zh-CN"/>
              </w:rPr>
              <w:t>件并加盖</w:t>
            </w:r>
            <w:r>
              <w:rPr>
                <w:rFonts w:hint="eastAsia" w:ascii="仿宋" w:hAnsi="仿宋" w:eastAsia="仿宋" w:cs="仿宋"/>
                <w:b/>
                <w:bCs/>
                <w:color w:val="auto"/>
                <w:spacing w:val="-2"/>
                <w:sz w:val="24"/>
                <w:szCs w:val="24"/>
                <w:highlight w:val="none"/>
                <w:lang w:val="en-US" w:eastAsia="zh-CN"/>
              </w:rPr>
              <w:t>投标单位</w:t>
            </w:r>
            <w:r>
              <w:rPr>
                <w:rFonts w:hint="eastAsia" w:ascii="仿宋" w:hAnsi="仿宋" w:eastAsia="仿宋" w:cs="仿宋"/>
                <w:b/>
                <w:bCs/>
                <w:color w:val="auto"/>
                <w:spacing w:val="-2"/>
                <w:sz w:val="24"/>
                <w:szCs w:val="24"/>
                <w:highlight w:val="none"/>
                <w:lang w:eastAsia="zh-CN"/>
              </w:rPr>
              <w:t>公章</w:t>
            </w:r>
            <w:r>
              <w:rPr>
                <w:rFonts w:hint="eastAsia" w:ascii="仿宋" w:hAnsi="仿宋" w:eastAsia="仿宋" w:cs="仿宋"/>
                <w:b/>
                <w:bCs/>
                <w:color w:val="auto"/>
                <w:spacing w:val="-2"/>
                <w:sz w:val="24"/>
                <w:szCs w:val="24"/>
                <w:highlight w:val="none"/>
                <w:lang w:val="en-US" w:eastAsia="zh-CN"/>
              </w:rPr>
              <w:t>。</w:t>
            </w:r>
            <w:r>
              <w:rPr>
                <w:rFonts w:hint="eastAsia" w:ascii="仿宋" w:hAnsi="仿宋" w:eastAsia="仿宋" w:cs="仿宋"/>
                <w:b/>
                <w:bCs/>
                <w:color w:val="auto"/>
                <w:spacing w:val="-2"/>
                <w:sz w:val="24"/>
                <w:szCs w:val="24"/>
                <w:highlight w:val="none"/>
                <w:lang w:eastAsia="zh-CN"/>
              </w:rPr>
              <w:t>未提供或提供的材料不符合要求</w:t>
            </w:r>
            <w:r>
              <w:rPr>
                <w:rFonts w:hint="eastAsia" w:ascii="仿宋" w:hAnsi="仿宋" w:eastAsia="仿宋" w:cs="仿宋"/>
                <w:b/>
                <w:bCs/>
                <w:color w:val="auto"/>
                <w:spacing w:val="-2"/>
                <w:sz w:val="24"/>
                <w:szCs w:val="24"/>
                <w:highlight w:val="none"/>
                <w:lang w:val="en-US" w:eastAsia="zh-CN"/>
              </w:rPr>
              <w:t>的</w:t>
            </w:r>
            <w:r>
              <w:rPr>
                <w:rFonts w:hint="eastAsia" w:ascii="仿宋" w:hAnsi="仿宋" w:eastAsia="仿宋" w:cs="仿宋"/>
                <w:b/>
                <w:bCs/>
                <w:color w:val="auto"/>
                <w:spacing w:val="-2"/>
                <w:sz w:val="24"/>
                <w:szCs w:val="24"/>
                <w:highlight w:val="none"/>
                <w:lang w:eastAsia="zh-CN"/>
              </w:rPr>
              <w:t>不得分</w:t>
            </w:r>
            <w:r>
              <w:rPr>
                <w:rFonts w:hint="eastAsia" w:ascii="仿宋" w:hAnsi="仿宋" w:eastAsia="仿宋" w:cs="仿宋"/>
                <w:b/>
                <w:bCs/>
                <w:color w:val="auto"/>
                <w:spacing w:val="-2"/>
                <w:sz w:val="24"/>
                <w:szCs w:val="24"/>
                <w:highlight w:val="none"/>
                <w:lang w:val="en-US" w:eastAsia="zh-CN"/>
              </w:rPr>
              <w:t>。</w:t>
            </w:r>
          </w:p>
          <w:p w14:paraId="54E4153A">
            <w:pPr>
              <w:pStyle w:val="53"/>
              <w:ind w:left="13" w:firstLine="474" w:firstLineChars="200"/>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val="en-US" w:eastAsia="zh-CN"/>
              </w:rPr>
              <w:t>注意：每家检测实验室仅限与单一投标单位建立委托合作关系。凡同一检测实验室同时接受两家或两家以上投标单位协议委托的，涉及该委托的所有投标文件均判定为无效投标。</w:t>
            </w:r>
          </w:p>
        </w:tc>
        <w:tc>
          <w:tcPr>
            <w:tcW w:w="715" w:type="dxa"/>
            <w:noWrap w:val="0"/>
            <w:vAlign w:val="top"/>
          </w:tcPr>
          <w:p w14:paraId="127CE7BD">
            <w:pPr>
              <w:adjustRightInd w:val="0"/>
              <w:snapToGrid w:val="0"/>
              <w:jc w:val="center"/>
              <w:rPr>
                <w:rFonts w:hint="eastAsia" w:ascii="仿宋" w:hAnsi="仿宋" w:eastAsia="仿宋" w:cs="仿宋"/>
                <w:color w:val="auto"/>
                <w:sz w:val="24"/>
                <w:szCs w:val="24"/>
                <w:highlight w:val="none"/>
              </w:rPr>
            </w:pPr>
          </w:p>
        </w:tc>
      </w:tr>
      <w:tr w14:paraId="0F694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3E6BDDAC">
            <w:pPr>
              <w:adjustRightInd w:val="0"/>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118" w:type="dxa"/>
            <w:noWrap w:val="0"/>
            <w:vAlign w:val="center"/>
          </w:tcPr>
          <w:p w14:paraId="72B5F479">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服务</w:t>
            </w:r>
            <w:r>
              <w:rPr>
                <w:rFonts w:hint="eastAsia" w:ascii="仿宋" w:hAnsi="仿宋" w:eastAsia="仿宋" w:cs="仿宋"/>
                <w:color w:val="auto"/>
                <w:spacing w:val="-2"/>
                <w:sz w:val="24"/>
                <w:szCs w:val="24"/>
                <w:highlight w:val="none"/>
                <w:lang w:eastAsia="zh-CN"/>
              </w:rPr>
              <w:t>方案</w:t>
            </w:r>
          </w:p>
        </w:tc>
        <w:tc>
          <w:tcPr>
            <w:tcW w:w="748" w:type="dxa"/>
            <w:noWrap w:val="0"/>
            <w:vAlign w:val="center"/>
          </w:tcPr>
          <w:p w14:paraId="41693219">
            <w:pPr>
              <w:pStyle w:val="53"/>
              <w:spacing w:before="69"/>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rPr>
              <w:t>16</w:t>
            </w:r>
          </w:p>
        </w:tc>
        <w:tc>
          <w:tcPr>
            <w:tcW w:w="5325" w:type="dxa"/>
            <w:noWrap w:val="0"/>
            <w:vAlign w:val="top"/>
          </w:tcPr>
          <w:p w14:paraId="33156FB1">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w:t>
            </w:r>
            <w:r>
              <w:rPr>
                <w:rFonts w:hint="eastAsia" w:ascii="仿宋" w:hAnsi="仿宋" w:eastAsia="仿宋" w:cs="仿宋"/>
                <w:color w:val="auto"/>
                <w:spacing w:val="-2"/>
                <w:sz w:val="24"/>
                <w:szCs w:val="24"/>
                <w:highlight w:val="none"/>
                <w:lang w:eastAsia="zh-CN"/>
              </w:rPr>
              <w:t>补充耕地质量鉴定项目方案编制，内容包括但不限于：项目概述</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鉴定方法</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鉴定内容</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数据据处理与统计分析、结论与建议</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风险评估。</w:t>
            </w:r>
          </w:p>
          <w:p w14:paraId="3D5A364B">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进行土</w:t>
            </w:r>
            <w:r>
              <w:rPr>
                <w:rFonts w:hint="eastAsia" w:ascii="仿宋" w:hAnsi="仿宋" w:eastAsia="仿宋" w:cs="仿宋"/>
                <w:color w:val="auto"/>
                <w:spacing w:val="-2"/>
                <w:sz w:val="24"/>
                <w:szCs w:val="24"/>
                <w:highlight w:val="none"/>
                <w:lang w:eastAsia="zh-CN"/>
              </w:rPr>
              <w:t>壤污染状况调查项目方案编制，内容包括但不限于：项目概述</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鉴定方法</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鉴定内容</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数据据处理与统计分析、结论与建议</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风险评估。</w:t>
            </w:r>
          </w:p>
          <w:p w14:paraId="222EE88C">
            <w:pP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进行质量控制</w:t>
            </w:r>
            <w:r>
              <w:rPr>
                <w:rFonts w:hint="eastAsia" w:ascii="仿宋" w:hAnsi="仿宋" w:eastAsia="仿宋" w:cs="仿宋"/>
                <w:color w:val="auto"/>
                <w:spacing w:val="-2"/>
                <w:sz w:val="24"/>
                <w:szCs w:val="24"/>
                <w:highlight w:val="none"/>
                <w:lang w:eastAsia="zh-CN"/>
              </w:rPr>
              <w:t>方案编制，内容包括但不限于：</w:t>
            </w:r>
            <w:r>
              <w:rPr>
                <w:rFonts w:hint="eastAsia" w:ascii="仿宋" w:hAnsi="仿宋" w:eastAsia="仿宋" w:cs="仿宋"/>
                <w:color w:val="auto"/>
                <w:sz w:val="24"/>
                <w:szCs w:val="24"/>
                <w:highlight w:val="none"/>
              </w:rPr>
              <w:t>明确质量目标、强调过程改进、采用适当的质量标准和方法、进行质量审计与评估、</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评估、质量管理体系。</w:t>
            </w:r>
          </w:p>
          <w:p w14:paraId="107640F7">
            <w:pPr>
              <w:pStyle w:val="5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合理安排</w:t>
            </w:r>
            <w:r>
              <w:rPr>
                <w:rFonts w:hint="eastAsia" w:ascii="仿宋" w:hAnsi="仿宋" w:eastAsia="仿宋" w:cs="仿宋"/>
                <w:color w:val="auto"/>
                <w:sz w:val="24"/>
                <w:szCs w:val="24"/>
                <w:highlight w:val="none"/>
                <w:lang w:eastAsia="zh-CN"/>
              </w:rPr>
              <w:t>进度计划，</w:t>
            </w:r>
            <w:r>
              <w:rPr>
                <w:rFonts w:hint="eastAsia" w:ascii="仿宋" w:hAnsi="仿宋" w:eastAsia="仿宋" w:cs="仿宋"/>
                <w:color w:val="auto"/>
                <w:spacing w:val="-2"/>
                <w:sz w:val="24"/>
                <w:szCs w:val="24"/>
                <w:highlight w:val="none"/>
                <w:lang w:eastAsia="zh-CN"/>
              </w:rPr>
              <w:t>内容包括但不限于：</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服务期限</w:t>
            </w:r>
            <w:r>
              <w:rPr>
                <w:rFonts w:hint="eastAsia" w:ascii="仿宋" w:hAnsi="仿宋" w:eastAsia="仿宋" w:cs="仿宋"/>
                <w:color w:val="auto"/>
                <w:sz w:val="24"/>
                <w:szCs w:val="24"/>
                <w:highlight w:val="none"/>
              </w:rPr>
              <w:t>，合理安排进场计划，消化外界因素对</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lang w:val="en-US" w:eastAsia="zh-CN"/>
              </w:rPr>
              <w:t>限</w:t>
            </w:r>
            <w:r>
              <w:rPr>
                <w:rFonts w:hint="eastAsia" w:ascii="仿宋" w:hAnsi="仿宋" w:eastAsia="仿宋" w:cs="仿宋"/>
                <w:color w:val="auto"/>
                <w:sz w:val="24"/>
                <w:szCs w:val="24"/>
                <w:highlight w:val="none"/>
              </w:rPr>
              <w:t>的损失、分解任务到</w:t>
            </w:r>
            <w:r>
              <w:rPr>
                <w:rFonts w:hint="eastAsia" w:ascii="仿宋" w:hAnsi="仿宋" w:eastAsia="仿宋" w:cs="仿宋"/>
                <w:color w:val="auto"/>
                <w:sz w:val="24"/>
                <w:szCs w:val="24"/>
                <w:highlight w:val="none"/>
                <w:lang w:eastAsia="zh-CN"/>
              </w:rPr>
              <w:t>小</w:t>
            </w:r>
            <w:r>
              <w:rPr>
                <w:rFonts w:hint="eastAsia" w:ascii="仿宋" w:hAnsi="仿宋" w:eastAsia="仿宋" w:cs="仿宋"/>
                <w:color w:val="auto"/>
                <w:sz w:val="24"/>
                <w:szCs w:val="24"/>
                <w:highlight w:val="none"/>
              </w:rPr>
              <w:t>组，及时作好分项</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的实验、检查工作，以保证下一道工序的正常开工、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"https://zhuanlan.zhihu.com/p/449665318" \t "https://cn.bing.com/_blank"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提前准备所需要的机械设备、工具、材料、人员及后勤保障</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p w14:paraId="0C47565B">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pacing w:val="-2"/>
                <w:sz w:val="24"/>
                <w:szCs w:val="24"/>
                <w:highlight w:val="none"/>
                <w:lang w:eastAsia="zh-CN"/>
              </w:rPr>
              <w:t>根据项目需求制定整体</w:t>
            </w:r>
            <w:r>
              <w:rPr>
                <w:rFonts w:hint="eastAsia" w:ascii="仿宋" w:hAnsi="仿宋" w:eastAsia="仿宋" w:cs="仿宋"/>
                <w:color w:val="auto"/>
                <w:spacing w:val="-2"/>
                <w:sz w:val="24"/>
                <w:szCs w:val="24"/>
                <w:highlight w:val="none"/>
              </w:rPr>
              <w:t>实施</w:t>
            </w:r>
            <w:r>
              <w:rPr>
                <w:rFonts w:hint="eastAsia" w:ascii="仿宋" w:hAnsi="仿宋" w:eastAsia="仿宋" w:cs="仿宋"/>
                <w:color w:val="auto"/>
                <w:spacing w:val="-2"/>
                <w:sz w:val="24"/>
                <w:szCs w:val="24"/>
                <w:highlight w:val="none"/>
                <w:lang w:eastAsia="zh-CN"/>
              </w:rPr>
              <w:t>服务</w:t>
            </w:r>
            <w:r>
              <w:rPr>
                <w:rFonts w:hint="eastAsia" w:ascii="仿宋" w:hAnsi="仿宋" w:eastAsia="仿宋" w:cs="仿宋"/>
                <w:color w:val="auto"/>
                <w:spacing w:val="-2"/>
                <w:sz w:val="24"/>
                <w:szCs w:val="24"/>
                <w:highlight w:val="none"/>
              </w:rPr>
              <w:t>组织</w:t>
            </w:r>
            <w:r>
              <w:rPr>
                <w:rFonts w:hint="eastAsia" w:ascii="仿宋" w:hAnsi="仿宋" w:eastAsia="仿宋" w:cs="仿宋"/>
                <w:color w:val="auto"/>
                <w:spacing w:val="-2"/>
                <w:sz w:val="24"/>
                <w:szCs w:val="24"/>
                <w:highlight w:val="none"/>
                <w:lang w:eastAsia="zh-CN"/>
              </w:rPr>
              <w:t>方案，内容包括但不限于：人员配备、调查分组计划、资料收集与分析、现场踏勘、人员访谈、土壤样品采集、运输、保存与测试及调查报告编制。</w:t>
            </w:r>
          </w:p>
          <w:p w14:paraId="08DBE2EF">
            <w:pPr>
              <w:pStyle w:val="53"/>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根据项目需求制定项目管理方案，内容包括但不限于：</w:t>
            </w:r>
            <w:r>
              <w:rPr>
                <w:rFonts w:hint="eastAsia" w:ascii="仿宋" w:hAnsi="仿宋" w:eastAsia="仿宋" w:cs="仿宋"/>
                <w:color w:val="auto"/>
                <w:sz w:val="24"/>
                <w:szCs w:val="24"/>
                <w:highlight w:val="none"/>
                <w:lang w:eastAsia="zh-CN"/>
              </w:rPr>
              <w:t>项目组织管理结构、人员分工具体、责任明确</w:t>
            </w:r>
            <w:r>
              <w:rPr>
                <w:rFonts w:hint="eastAsia" w:ascii="仿宋" w:hAnsi="仿宋" w:eastAsia="仿宋" w:cs="仿宋"/>
                <w:color w:val="auto"/>
                <w:sz w:val="24"/>
                <w:szCs w:val="24"/>
                <w:highlight w:val="none"/>
                <w:lang w:val="en-US" w:eastAsia="zh-CN"/>
              </w:rPr>
              <w:t>等。</w:t>
            </w:r>
          </w:p>
          <w:p w14:paraId="7C5068BE">
            <w:pPr>
              <w:pStyle w:val="5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pacing w:val="-2"/>
                <w:sz w:val="24"/>
                <w:szCs w:val="24"/>
                <w:highlight w:val="none"/>
                <w:lang w:eastAsia="zh-CN"/>
              </w:rPr>
              <w:t>根据项目需求制定</w:t>
            </w:r>
            <w:r>
              <w:rPr>
                <w:rFonts w:hint="eastAsia" w:ascii="仿宋" w:hAnsi="仿宋" w:eastAsia="仿宋" w:cs="仿宋"/>
                <w:color w:val="auto"/>
                <w:spacing w:val="-2"/>
                <w:sz w:val="24"/>
                <w:szCs w:val="24"/>
                <w:highlight w:val="none"/>
                <w:lang w:val="en-US" w:eastAsia="zh-CN"/>
              </w:rPr>
              <w:t>后续服务</w:t>
            </w:r>
            <w:r>
              <w:rPr>
                <w:rFonts w:hint="eastAsia" w:ascii="仿宋" w:hAnsi="仿宋" w:eastAsia="仿宋" w:cs="仿宋"/>
                <w:color w:val="auto"/>
                <w:spacing w:val="-2"/>
                <w:sz w:val="24"/>
                <w:szCs w:val="24"/>
                <w:highlight w:val="none"/>
                <w:lang w:eastAsia="zh-CN"/>
              </w:rPr>
              <w:t>方案，内容包括但不限于：</w:t>
            </w:r>
            <w:r>
              <w:rPr>
                <w:rFonts w:hint="eastAsia" w:ascii="仿宋" w:hAnsi="仿宋" w:eastAsia="仿宋" w:cs="仿宋"/>
                <w:color w:val="auto"/>
                <w:sz w:val="24"/>
                <w:szCs w:val="24"/>
                <w:highlight w:val="none"/>
              </w:rPr>
              <w:t>检测报告解读与咨询、土壤改良方案建议、土壤管理及维护指导、土壤污染修复方案提供、相关平台录入、相关政策法规咨询与指导及持续的技术支持与服务更新等。</w:t>
            </w:r>
          </w:p>
          <w:p w14:paraId="6DD0B217">
            <w:pPr>
              <w:pStyle w:val="53"/>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8.针对</w:t>
            </w:r>
            <w:r>
              <w:rPr>
                <w:rFonts w:hint="eastAsia" w:ascii="仿宋" w:hAnsi="仿宋" w:eastAsia="仿宋" w:cs="仿宋"/>
                <w:color w:val="auto"/>
                <w:spacing w:val="-2"/>
                <w:sz w:val="24"/>
                <w:szCs w:val="24"/>
                <w:highlight w:val="none"/>
                <w:lang w:eastAsia="zh-CN"/>
              </w:rPr>
              <w:t>项目需求制定</w:t>
            </w:r>
            <w:r>
              <w:rPr>
                <w:rFonts w:hint="eastAsia" w:ascii="仿宋" w:hAnsi="仿宋" w:eastAsia="仿宋" w:cs="仿宋"/>
                <w:color w:val="auto"/>
                <w:spacing w:val="-2"/>
                <w:sz w:val="24"/>
                <w:szCs w:val="24"/>
                <w:highlight w:val="none"/>
                <w:lang w:val="en-US" w:eastAsia="zh-CN"/>
              </w:rPr>
              <w:t>如何提升成果审查通过率的实施方案，</w:t>
            </w:r>
            <w:r>
              <w:rPr>
                <w:rFonts w:hint="eastAsia" w:ascii="仿宋" w:hAnsi="仿宋" w:eastAsia="仿宋" w:cs="仿宋"/>
                <w:color w:val="auto"/>
                <w:spacing w:val="-2"/>
                <w:sz w:val="24"/>
                <w:szCs w:val="24"/>
                <w:highlight w:val="none"/>
                <w:lang w:eastAsia="zh-CN"/>
              </w:rPr>
              <w:t>内容包括但不限于：</w:t>
            </w:r>
            <w:r>
              <w:rPr>
                <w:rFonts w:hint="eastAsia" w:ascii="仿宋" w:hAnsi="仿宋" w:eastAsia="仿宋" w:cs="仿宋"/>
                <w:color w:val="auto"/>
                <w:sz w:val="24"/>
                <w:szCs w:val="24"/>
                <w:highlight w:val="none"/>
                <w:lang w:eastAsia="zh-CN"/>
              </w:rPr>
              <w:t>分析</w:t>
            </w:r>
            <w:r>
              <w:rPr>
                <w:rFonts w:hint="eastAsia" w:ascii="仿宋" w:hAnsi="仿宋" w:eastAsia="仿宋" w:cs="仿宋"/>
                <w:color w:val="auto"/>
                <w:sz w:val="24"/>
                <w:szCs w:val="24"/>
                <w:highlight w:val="none"/>
              </w:rPr>
              <w:t>预期效果</w:t>
            </w:r>
            <w:r>
              <w:rPr>
                <w:rFonts w:hint="eastAsia" w:ascii="仿宋" w:hAnsi="仿宋" w:eastAsia="仿宋" w:cs="仿宋"/>
                <w:color w:val="auto"/>
                <w:sz w:val="24"/>
                <w:szCs w:val="24"/>
                <w:highlight w:val="none"/>
                <w:lang w:val="en-US" w:eastAsia="zh-CN"/>
              </w:rPr>
              <w:t>及通过率</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val="en-US" w:eastAsia="zh-CN"/>
              </w:rPr>
              <w:t>保证措施</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通过风险评估及预警方案等。</w:t>
            </w:r>
          </w:p>
          <w:p w14:paraId="1ED95AB1">
            <w:pPr>
              <w:pStyle w:val="53"/>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投标人对上述</w:t>
            </w:r>
            <w:r>
              <w:rPr>
                <w:rFonts w:hint="eastAsia" w:ascii="仿宋" w:hAnsi="仿宋" w:eastAsia="仿宋" w:cs="仿宋"/>
                <w:b/>
                <w:bCs/>
                <w:color w:val="auto"/>
                <w:spacing w:val="-2"/>
                <w:sz w:val="24"/>
                <w:szCs w:val="24"/>
                <w:highlight w:val="none"/>
                <w:lang w:val="en-US" w:eastAsia="zh-CN"/>
              </w:rPr>
              <w:t>8</w:t>
            </w:r>
            <w:r>
              <w:rPr>
                <w:rFonts w:hint="eastAsia" w:ascii="仿宋" w:hAnsi="仿宋" w:eastAsia="仿宋" w:cs="仿宋"/>
                <w:b/>
                <w:bCs/>
                <w:color w:val="auto"/>
                <w:spacing w:val="-2"/>
                <w:sz w:val="24"/>
                <w:szCs w:val="24"/>
                <w:highlight w:val="none"/>
                <w:lang w:eastAsia="zh-CN"/>
              </w:rPr>
              <w:t>方面展开详细的阐述，内容能够适用于本项目实际，内容中每缺少一项内容扣</w:t>
            </w:r>
            <w:r>
              <w:rPr>
                <w:rFonts w:hint="eastAsia" w:ascii="仿宋" w:hAnsi="仿宋" w:eastAsia="仿宋" w:cs="仿宋"/>
                <w:b/>
                <w:bCs/>
                <w:color w:val="auto"/>
                <w:spacing w:val="-2"/>
                <w:sz w:val="24"/>
                <w:szCs w:val="24"/>
                <w:highlight w:val="none"/>
                <w:lang w:val="en-US" w:eastAsia="zh-CN"/>
              </w:rPr>
              <w:t>2</w:t>
            </w:r>
            <w:r>
              <w:rPr>
                <w:rFonts w:hint="eastAsia" w:ascii="仿宋" w:hAnsi="仿宋" w:eastAsia="仿宋" w:cs="仿宋"/>
                <w:b/>
                <w:bCs/>
                <w:color w:val="auto"/>
                <w:spacing w:val="-2"/>
                <w:sz w:val="24"/>
                <w:szCs w:val="24"/>
                <w:highlight w:val="none"/>
                <w:lang w:eastAsia="zh-CN"/>
              </w:rPr>
              <w:t>分，每有一处需求分析内容存在缺陷或不足的扣</w:t>
            </w:r>
            <w:r>
              <w:rPr>
                <w:rFonts w:hint="eastAsia" w:ascii="仿宋" w:hAnsi="仿宋" w:eastAsia="仿宋" w:cs="仿宋"/>
                <w:b/>
                <w:bCs/>
                <w:color w:val="auto"/>
                <w:spacing w:val="-2"/>
                <w:sz w:val="24"/>
                <w:szCs w:val="24"/>
                <w:highlight w:val="none"/>
                <w:lang w:val="en-US" w:eastAsia="zh-CN"/>
              </w:rPr>
              <w:t>1</w:t>
            </w:r>
            <w:r>
              <w:rPr>
                <w:rFonts w:hint="eastAsia" w:ascii="仿宋" w:hAnsi="仿宋" w:eastAsia="仿宋" w:cs="仿宋"/>
                <w:b/>
                <w:bCs/>
                <w:color w:val="auto"/>
                <w:spacing w:val="-2"/>
                <w:sz w:val="24"/>
                <w:szCs w:val="24"/>
                <w:highlight w:val="none"/>
                <w:lang w:eastAsia="zh-CN"/>
              </w:rPr>
              <w:t>分，扣完为止。(本项最多得</w:t>
            </w:r>
            <w:r>
              <w:rPr>
                <w:rFonts w:hint="eastAsia" w:ascii="仿宋" w:hAnsi="仿宋" w:eastAsia="仿宋" w:cs="仿宋"/>
                <w:b/>
                <w:bCs/>
                <w:color w:val="auto"/>
                <w:spacing w:val="-2"/>
                <w:sz w:val="24"/>
                <w:szCs w:val="24"/>
                <w:highlight w:val="none"/>
                <w:lang w:val="en-US" w:eastAsia="zh-CN"/>
              </w:rPr>
              <w:t>16</w:t>
            </w:r>
            <w:r>
              <w:rPr>
                <w:rFonts w:hint="eastAsia" w:ascii="仿宋" w:hAnsi="仿宋" w:eastAsia="仿宋" w:cs="仿宋"/>
                <w:b/>
                <w:bCs/>
                <w:color w:val="auto"/>
                <w:spacing w:val="-2"/>
                <w:sz w:val="24"/>
                <w:szCs w:val="24"/>
                <w:highlight w:val="none"/>
                <w:lang w:eastAsia="zh-CN"/>
              </w:rPr>
              <w:t>分)</w:t>
            </w:r>
          </w:p>
          <w:p w14:paraId="5620539B">
            <w:pPr>
              <w:pStyle w:val="53"/>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注：</w:t>
            </w:r>
            <w:r>
              <w:rPr>
                <w:rFonts w:hint="eastAsia" w:ascii="仿宋" w:hAnsi="仿宋" w:eastAsia="仿宋" w:cs="仿宋"/>
                <w:b/>
                <w:bCs/>
                <w:color w:val="auto"/>
                <w:spacing w:val="-2"/>
                <w:sz w:val="24"/>
                <w:szCs w:val="24"/>
                <w:highlight w:val="none"/>
                <w:lang w:val="en-US" w:eastAsia="zh-CN"/>
              </w:rPr>
              <w:t>方案</w:t>
            </w:r>
            <w:r>
              <w:rPr>
                <w:rFonts w:hint="eastAsia" w:ascii="仿宋" w:hAnsi="仿宋" w:eastAsia="仿宋" w:cs="仿宋"/>
                <w:b/>
                <w:bCs/>
                <w:color w:val="auto"/>
                <w:spacing w:val="-2"/>
                <w:sz w:val="24"/>
                <w:szCs w:val="24"/>
                <w:highlight w:val="none"/>
                <w:lang w:eastAsia="zh-CN"/>
              </w:rPr>
              <w:t>内容存在缺陷或不足是指以下任意一种情形：</w:t>
            </w:r>
          </w:p>
          <w:p w14:paraId="15573E50">
            <w:pPr>
              <w:pStyle w:val="53"/>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eastAsia="zh-CN"/>
              </w:rPr>
              <w:t>方案内容不切合行业实际、不符合国家法规政策；或方案内容生搬硬套，与实际情况不符，存在偏差；或方案内容过于简略；或存在与项目无关的文字内容；或内容不适用项目实际情况；或内容逻辑漏洞或原理错误。</w:t>
            </w:r>
          </w:p>
        </w:tc>
        <w:tc>
          <w:tcPr>
            <w:tcW w:w="715" w:type="dxa"/>
            <w:noWrap w:val="0"/>
            <w:vAlign w:val="top"/>
          </w:tcPr>
          <w:p w14:paraId="0357D3F6">
            <w:pPr>
              <w:adjustRightInd w:val="0"/>
              <w:snapToGrid w:val="0"/>
              <w:jc w:val="center"/>
              <w:rPr>
                <w:rFonts w:hint="eastAsia" w:ascii="仿宋" w:hAnsi="仿宋" w:eastAsia="仿宋" w:cs="仿宋"/>
                <w:color w:val="auto"/>
                <w:sz w:val="24"/>
                <w:szCs w:val="24"/>
                <w:highlight w:val="none"/>
              </w:rPr>
            </w:pPr>
          </w:p>
        </w:tc>
      </w:tr>
      <w:tr w14:paraId="49C80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16" w:type="dxa"/>
            <w:noWrap w:val="0"/>
            <w:vAlign w:val="center"/>
          </w:tcPr>
          <w:p w14:paraId="0DF8EA25">
            <w:pPr>
              <w:adjustRightInd w:val="0"/>
              <w:snapToGrid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118" w:type="dxa"/>
            <w:noWrap w:val="0"/>
            <w:vAlign w:val="center"/>
          </w:tcPr>
          <w:p w14:paraId="0A491728">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w:t>
            </w:r>
          </w:p>
        </w:tc>
        <w:tc>
          <w:tcPr>
            <w:tcW w:w="748" w:type="dxa"/>
            <w:noWrap w:val="0"/>
            <w:vAlign w:val="center"/>
          </w:tcPr>
          <w:p w14:paraId="707ECADF">
            <w:pPr>
              <w:adjustRightInd w:val="0"/>
              <w:snapToGrid w:val="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5325" w:type="dxa"/>
            <w:noWrap w:val="0"/>
            <w:vAlign w:val="center"/>
          </w:tcPr>
          <w:p w14:paraId="39DE8AE1">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价格分采用低价优先法计算，即满足磋商文件要求且最后报价中最低报价为评审基准价，其价格分为满分。其他</w:t>
            </w: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pacing w:val="-2"/>
                <w:sz w:val="24"/>
                <w:szCs w:val="24"/>
                <w:highlight w:val="none"/>
                <w:lang w:eastAsia="zh-CN"/>
              </w:rPr>
              <w:t>的价格分统一按照下列公式计算：</w:t>
            </w:r>
          </w:p>
          <w:p w14:paraId="5F5387F7">
            <w:pPr>
              <w:pStyle w:val="53"/>
              <w:ind w:left="13" w:firstLine="472" w:firstLineChars="200"/>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最后报价得分=(评审基准价／最后报价)×价格分分值</w:t>
            </w:r>
          </w:p>
          <w:p w14:paraId="076A8824">
            <w:pPr>
              <w:pStyle w:val="53"/>
              <w:ind w:left="13" w:firstLine="472" w:firstLineChars="200"/>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评审</w:t>
            </w:r>
            <w:r>
              <w:rPr>
                <w:rFonts w:hint="eastAsia" w:ascii="仿宋" w:hAnsi="仿宋" w:eastAsia="仿宋" w:cs="仿宋"/>
                <w:color w:val="auto"/>
                <w:spacing w:val="-2"/>
                <w:sz w:val="24"/>
                <w:szCs w:val="24"/>
                <w:highlight w:val="none"/>
                <w:lang w:eastAsia="zh-CN"/>
              </w:rPr>
              <w:t>过程中，不得去掉报价中的最高报价和最低报价。因落实采购政策进行价格调整的，以调整后的价格计算评审基准价和最后报价。</w:t>
            </w:r>
          </w:p>
        </w:tc>
        <w:tc>
          <w:tcPr>
            <w:tcW w:w="715" w:type="dxa"/>
            <w:noWrap w:val="0"/>
            <w:vAlign w:val="top"/>
          </w:tcPr>
          <w:p w14:paraId="6882B633">
            <w:pPr>
              <w:adjustRightInd w:val="0"/>
              <w:snapToGrid w:val="0"/>
              <w:jc w:val="center"/>
              <w:rPr>
                <w:rFonts w:hint="eastAsia" w:ascii="仿宋" w:hAnsi="仿宋" w:eastAsia="仿宋" w:cs="仿宋"/>
                <w:color w:val="auto"/>
                <w:sz w:val="24"/>
                <w:szCs w:val="24"/>
                <w:highlight w:val="none"/>
              </w:rPr>
            </w:pPr>
          </w:p>
        </w:tc>
      </w:tr>
      <w:tr w14:paraId="64200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734" w:type="dxa"/>
            <w:gridSpan w:val="2"/>
            <w:noWrap w:val="0"/>
            <w:vAlign w:val="center"/>
          </w:tcPr>
          <w:p w14:paraId="13678702">
            <w:pPr>
              <w:adjustRightInd w:val="0"/>
              <w:snapToGrid w:val="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748" w:type="dxa"/>
            <w:noWrap w:val="0"/>
            <w:vAlign w:val="center"/>
          </w:tcPr>
          <w:p w14:paraId="1EB156F7">
            <w:pPr>
              <w:adjustRightInd w:val="0"/>
              <w:snapToGrid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100</w:t>
            </w:r>
          </w:p>
        </w:tc>
        <w:tc>
          <w:tcPr>
            <w:tcW w:w="5325" w:type="dxa"/>
            <w:noWrap w:val="0"/>
            <w:vAlign w:val="center"/>
          </w:tcPr>
          <w:p w14:paraId="1F38FD71">
            <w:pPr>
              <w:adjustRightInd w:val="0"/>
              <w:snapToGrid w:val="0"/>
              <w:jc w:val="center"/>
              <w:rPr>
                <w:rFonts w:hint="eastAsia" w:ascii="仿宋" w:hAnsi="仿宋" w:eastAsia="仿宋" w:cs="仿宋"/>
                <w:color w:val="auto"/>
                <w:sz w:val="24"/>
                <w:szCs w:val="24"/>
                <w:highlight w:val="none"/>
              </w:rPr>
            </w:pPr>
          </w:p>
        </w:tc>
        <w:tc>
          <w:tcPr>
            <w:tcW w:w="715" w:type="dxa"/>
            <w:noWrap w:val="0"/>
            <w:vAlign w:val="top"/>
          </w:tcPr>
          <w:p w14:paraId="51F596DF">
            <w:pPr>
              <w:adjustRightInd w:val="0"/>
              <w:snapToGrid w:val="0"/>
              <w:jc w:val="center"/>
              <w:rPr>
                <w:rFonts w:hint="eastAsia" w:ascii="仿宋" w:hAnsi="仿宋" w:eastAsia="仿宋" w:cs="仿宋"/>
                <w:color w:val="auto"/>
                <w:sz w:val="24"/>
                <w:szCs w:val="24"/>
                <w:highlight w:val="none"/>
              </w:rPr>
            </w:pPr>
          </w:p>
        </w:tc>
      </w:tr>
    </w:tbl>
    <w:p w14:paraId="1EBEBCC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注：</w:t>
      </w:r>
    </w:p>
    <w:p w14:paraId="1493F2F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1、以上项设得分上限，评委依据招标文件载明的方法评分，评分四舍五入精确到小数点后两位。</w:t>
      </w:r>
    </w:p>
    <w:p w14:paraId="4F20905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2、针对评分标准中评分的每一条，投标人均应提供相关资料并作出相应说明供评委评判，不提供相关资料的视为不具备该项得分的条件。</w:t>
      </w:r>
    </w:p>
    <w:p w14:paraId="2A5777F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上述投标文件中所提供的（包括但不限于业绩、奖状、证书、证明、文件等）必须与原件一致。招标结束后，采购人将对中标单位上述投标文件中所提供的相关材料进行核实，如发现虚假或与事实不符的，将取消其中标资格。提供虚假、伪造资料的按无效标处理并将追究其法律责任。</w:t>
      </w:r>
      <w:r>
        <w:rPr>
          <w:rFonts w:hint="eastAsia" w:ascii="仿宋" w:hAnsi="仿宋" w:eastAsia="仿宋"/>
          <w:color w:val="auto"/>
          <w:sz w:val="24"/>
          <w:highlight w:val="none"/>
        </w:rPr>
        <w:tab/>
      </w:r>
    </w:p>
    <w:p w14:paraId="10F18EAA">
      <w:pPr>
        <w:ind w:firstLine="560" w:firstLineChars="200"/>
        <w:rPr>
          <w:rFonts w:ascii="仿宋" w:hAnsi="仿宋" w:eastAsia="仿宋"/>
          <w:color w:val="auto"/>
          <w:sz w:val="28"/>
          <w:szCs w:val="28"/>
          <w:highlight w:val="none"/>
        </w:rPr>
      </w:pPr>
    </w:p>
    <w:p w14:paraId="1792AF2F">
      <w:pPr>
        <w:pStyle w:val="45"/>
        <w:spacing w:line="240" w:lineRule="auto"/>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r>
        <w:rPr>
          <w:rFonts w:hint="eastAsia" w:ascii="方正小标宋简体" w:eastAsia="方正小标宋简体"/>
          <w:bCs/>
          <w:color w:val="auto"/>
          <w:sz w:val="32"/>
          <w:szCs w:val="32"/>
          <w:highlight w:val="none"/>
        </w:rPr>
        <w:t>第6章 投标文件组成</w:t>
      </w:r>
    </w:p>
    <w:p w14:paraId="25E9E1DD">
      <w:pPr>
        <w:pStyle w:val="45"/>
        <w:spacing w:line="240" w:lineRule="auto"/>
        <w:ind w:firstLine="0"/>
        <w:jc w:val="center"/>
        <w:rPr>
          <w:rFonts w:ascii="方正小标宋简体" w:eastAsia="方正小标宋简体"/>
          <w:bCs/>
          <w:color w:val="auto"/>
          <w:sz w:val="32"/>
          <w:szCs w:val="32"/>
          <w:highlight w:val="none"/>
        </w:rPr>
      </w:pPr>
    </w:p>
    <w:p w14:paraId="75DC0063">
      <w:pPr>
        <w:ind w:firstLine="880" w:firstLineChars="20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如皋市政府采购投标文件</w:t>
      </w:r>
    </w:p>
    <w:p w14:paraId="4F89BF93">
      <w:pPr>
        <w:ind w:firstLine="1434" w:firstLineChars="595"/>
        <w:rPr>
          <w:rFonts w:ascii="宋体" w:hAnsi="宋体"/>
          <w:b/>
          <w:color w:val="auto"/>
          <w:sz w:val="24"/>
          <w:highlight w:val="none"/>
        </w:rPr>
      </w:pPr>
    </w:p>
    <w:p w14:paraId="44E76951">
      <w:pPr>
        <w:ind w:firstLine="2072" w:firstLineChars="645"/>
        <w:rPr>
          <w:rFonts w:ascii="宋体" w:hAnsi="宋体"/>
          <w:b/>
          <w:color w:val="auto"/>
          <w:sz w:val="32"/>
          <w:szCs w:val="32"/>
          <w:highlight w:val="none"/>
        </w:rPr>
      </w:pPr>
    </w:p>
    <w:p w14:paraId="0EDFC61E">
      <w:pPr>
        <w:ind w:firstLine="643" w:firstLineChars="200"/>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eastAsia="zh-CN"/>
        </w:rPr>
        <w:t>2026-2028年如皋市拟新增耕地土壤污染状况调查和补充耕地质量鉴定服务</w:t>
      </w:r>
    </w:p>
    <w:p w14:paraId="07D464D6">
      <w:pPr>
        <w:ind w:firstLine="643" w:firstLineChars="200"/>
        <w:rPr>
          <w:rFonts w:ascii="宋体" w:hAnsi="宋体"/>
          <w:b/>
          <w:color w:val="auto"/>
          <w:sz w:val="32"/>
          <w:szCs w:val="32"/>
          <w:highlight w:val="none"/>
        </w:rPr>
      </w:pPr>
      <w:r>
        <w:rPr>
          <w:rFonts w:hint="eastAsia" w:ascii="宋体" w:hAnsi="宋体"/>
          <w:b/>
          <w:color w:val="auto"/>
          <w:sz w:val="32"/>
          <w:szCs w:val="32"/>
          <w:highlight w:val="none"/>
        </w:rPr>
        <w:t>项目编号：JSZC-320682-NTWY-G2026-0001</w:t>
      </w:r>
    </w:p>
    <w:p w14:paraId="33E2ECDF">
      <w:pPr>
        <w:jc w:val="center"/>
        <w:rPr>
          <w:rFonts w:ascii="宋体" w:hAnsi="宋体"/>
          <w:b/>
          <w:color w:val="auto"/>
          <w:sz w:val="32"/>
          <w:szCs w:val="32"/>
          <w:highlight w:val="none"/>
          <w:u w:val="single"/>
        </w:rPr>
      </w:pPr>
    </w:p>
    <w:p w14:paraId="780362ED">
      <w:pPr>
        <w:jc w:val="center"/>
        <w:rPr>
          <w:rFonts w:ascii="宋体" w:hAnsi="宋体"/>
          <w:b/>
          <w:color w:val="auto"/>
          <w:sz w:val="32"/>
          <w:szCs w:val="32"/>
          <w:highlight w:val="none"/>
          <w:u w:val="single"/>
        </w:rPr>
      </w:pPr>
    </w:p>
    <w:p w14:paraId="6753C698">
      <w:pPr>
        <w:jc w:val="center"/>
        <w:rPr>
          <w:rFonts w:ascii="宋体" w:hAnsi="宋体"/>
          <w:b/>
          <w:color w:val="auto"/>
          <w:sz w:val="32"/>
          <w:szCs w:val="32"/>
          <w:highlight w:val="none"/>
          <w:u w:val="single"/>
        </w:rPr>
      </w:pPr>
    </w:p>
    <w:p w14:paraId="34648F2A">
      <w:pPr>
        <w:jc w:val="center"/>
        <w:rPr>
          <w:rFonts w:ascii="宋体" w:hAnsi="宋体"/>
          <w:b/>
          <w:color w:val="auto"/>
          <w:sz w:val="32"/>
          <w:szCs w:val="32"/>
          <w:highlight w:val="none"/>
          <w:u w:val="single"/>
        </w:rPr>
      </w:pPr>
    </w:p>
    <w:p w14:paraId="6844766B">
      <w:pPr>
        <w:jc w:val="center"/>
        <w:rPr>
          <w:rFonts w:ascii="宋体" w:hAnsi="宋体"/>
          <w:b/>
          <w:color w:val="auto"/>
          <w:sz w:val="32"/>
          <w:szCs w:val="32"/>
          <w:highlight w:val="none"/>
          <w:u w:val="single"/>
        </w:rPr>
      </w:pPr>
    </w:p>
    <w:p w14:paraId="1F9355F8">
      <w:pPr>
        <w:jc w:val="center"/>
        <w:rPr>
          <w:rFonts w:ascii="宋体" w:hAnsi="宋体"/>
          <w:b/>
          <w:color w:val="auto"/>
          <w:sz w:val="32"/>
          <w:szCs w:val="32"/>
          <w:highlight w:val="none"/>
          <w:u w:val="single"/>
        </w:rPr>
      </w:pPr>
    </w:p>
    <w:p w14:paraId="4498C857">
      <w:pPr>
        <w:jc w:val="center"/>
        <w:rPr>
          <w:rFonts w:ascii="宋体" w:hAnsi="宋体"/>
          <w:b/>
          <w:color w:val="auto"/>
          <w:sz w:val="32"/>
          <w:szCs w:val="32"/>
          <w:highlight w:val="none"/>
          <w:u w:val="single"/>
        </w:rPr>
      </w:pPr>
    </w:p>
    <w:p w14:paraId="568ED46B">
      <w:pPr>
        <w:jc w:val="center"/>
        <w:rPr>
          <w:rFonts w:ascii="宋体" w:hAnsi="宋体"/>
          <w:b/>
          <w:color w:val="auto"/>
          <w:sz w:val="32"/>
          <w:szCs w:val="32"/>
          <w:highlight w:val="none"/>
          <w:u w:val="single"/>
        </w:rPr>
      </w:pPr>
    </w:p>
    <w:p w14:paraId="66819775">
      <w:pPr>
        <w:pStyle w:val="12"/>
        <w:spacing w:line="240" w:lineRule="auto"/>
        <w:rPr>
          <w:rFonts w:ascii="文鼎CS楷体" w:eastAsia="文鼎CS楷体"/>
          <w:b/>
          <w:bCs/>
          <w:color w:val="auto"/>
          <w:sz w:val="32"/>
          <w:szCs w:val="32"/>
          <w:highlight w:val="none"/>
        </w:rPr>
      </w:pPr>
    </w:p>
    <w:p w14:paraId="26C1AA7A">
      <w:pPr>
        <w:pStyle w:val="12"/>
        <w:spacing w:line="240" w:lineRule="auto"/>
        <w:rPr>
          <w:rFonts w:ascii="文鼎CS楷体" w:eastAsia="文鼎CS楷体"/>
          <w:b/>
          <w:bCs/>
          <w:color w:val="auto"/>
          <w:sz w:val="32"/>
          <w:szCs w:val="32"/>
          <w:highlight w:val="none"/>
        </w:rPr>
      </w:pPr>
    </w:p>
    <w:p w14:paraId="13B73BC6">
      <w:pPr>
        <w:rPr>
          <w:color w:val="auto"/>
          <w:sz w:val="32"/>
          <w:szCs w:val="32"/>
          <w:highlight w:val="none"/>
          <w:u w:val="single"/>
        </w:rPr>
      </w:pPr>
      <w:r>
        <w:rPr>
          <w:rFonts w:hint="eastAsia"/>
          <w:b/>
          <w:color w:val="auto"/>
          <w:sz w:val="32"/>
          <w:szCs w:val="32"/>
          <w:highlight w:val="none"/>
        </w:rPr>
        <w:t>供应商名称：</w:t>
      </w:r>
    </w:p>
    <w:p w14:paraId="3E9A94FF">
      <w:pPr>
        <w:snapToGrid w:val="0"/>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361836E6">
      <w:pPr>
        <w:snapToGrid w:val="0"/>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71F06A92">
      <w:pPr>
        <w:snapToGrid w:val="0"/>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6BD03AD2">
      <w:pPr>
        <w:ind w:firstLine="954" w:firstLineChars="396"/>
        <w:rPr>
          <w:rFonts w:ascii="黑体" w:hAnsi="黑体" w:eastAsia="黑体"/>
          <w:color w:val="auto"/>
          <w:sz w:val="28"/>
          <w:szCs w:val="28"/>
          <w:highlight w:val="none"/>
        </w:rPr>
      </w:pPr>
      <w:r>
        <w:rPr>
          <w:rFonts w:ascii="宋体" w:hAnsi="宋体"/>
          <w:b/>
          <w:color w:val="auto"/>
          <w:sz w:val="24"/>
          <w:highlight w:val="none"/>
        </w:rPr>
        <w:br w:type="page"/>
      </w:r>
      <w:r>
        <w:rPr>
          <w:rFonts w:hint="eastAsia" w:ascii="黑体" w:hAnsi="黑体" w:eastAsia="黑体"/>
          <w:color w:val="auto"/>
          <w:sz w:val="28"/>
          <w:szCs w:val="28"/>
          <w:highlight w:val="none"/>
        </w:rPr>
        <w:t>一、开标一览表</w:t>
      </w:r>
    </w:p>
    <w:p w14:paraId="59B3A5C1">
      <w:pPr>
        <w:ind w:firstLine="720" w:firstLineChars="20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开标一览表（服务类）</w:t>
      </w:r>
    </w:p>
    <w:p w14:paraId="234F15B3">
      <w:pPr>
        <w:tabs>
          <w:tab w:val="left" w:pos="1800"/>
          <w:tab w:val="left" w:pos="5580"/>
        </w:tabs>
        <w:ind w:left="1080" w:leftChars="257" w:right="-867" w:rightChars="-413" w:hanging="540"/>
        <w:rPr>
          <w:rFonts w:ascii="仿宋" w:hAnsi="仿宋" w:eastAsia="仿宋"/>
          <w:color w:val="auto"/>
          <w:sz w:val="28"/>
          <w:szCs w:val="28"/>
          <w:highlight w:val="none"/>
        </w:rPr>
      </w:pPr>
      <w:r>
        <w:rPr>
          <w:rFonts w:hint="eastAsia" w:ascii="仿宋" w:hAnsi="仿宋" w:eastAsia="仿宋"/>
          <w:color w:val="auto"/>
          <w:sz w:val="28"/>
          <w:szCs w:val="28"/>
          <w:highlight w:val="none"/>
        </w:rPr>
        <w:t>项目名称：</w:t>
      </w:r>
      <w:r>
        <w:rPr>
          <w:rFonts w:hint="eastAsia" w:ascii="仿宋" w:hAnsi="仿宋" w:eastAsia="仿宋"/>
          <w:color w:val="auto"/>
          <w:sz w:val="28"/>
          <w:szCs w:val="28"/>
          <w:highlight w:val="none"/>
          <w:lang w:eastAsia="zh-CN"/>
        </w:rPr>
        <w:t>2026-2028年如皋市拟新增耕地土壤污染状况调查和补充耕地质量鉴定服务</w:t>
      </w:r>
      <w:r>
        <w:rPr>
          <w:rFonts w:hint="eastAsia" w:ascii="仿宋" w:hAnsi="仿宋" w:eastAsia="仿宋"/>
          <w:color w:val="auto"/>
          <w:sz w:val="28"/>
          <w:szCs w:val="28"/>
          <w:highlight w:val="none"/>
        </w:rPr>
        <w:t xml:space="preserve">　                </w:t>
      </w:r>
    </w:p>
    <w:p w14:paraId="7C9E97B0">
      <w:pPr>
        <w:tabs>
          <w:tab w:val="left" w:pos="1800"/>
          <w:tab w:val="left" w:pos="5580"/>
        </w:tabs>
        <w:ind w:left="1080" w:leftChars="257" w:right="-867" w:rightChars="-413" w:hanging="54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项目编号：JSZC-320682-NTWY-G2026-0001                 包号：         </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9"/>
        <w:gridCol w:w="1458"/>
        <w:gridCol w:w="1261"/>
        <w:gridCol w:w="1098"/>
        <w:gridCol w:w="1134"/>
        <w:gridCol w:w="2924"/>
      </w:tblGrid>
      <w:tr w14:paraId="571E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2" w:hRule="atLeast"/>
          <w:jc w:val="center"/>
        </w:trPr>
        <w:tc>
          <w:tcPr>
            <w:tcW w:w="1489" w:type="dxa"/>
            <w:vMerge w:val="restart"/>
            <w:vAlign w:val="center"/>
          </w:tcPr>
          <w:p w14:paraId="462843DF">
            <w:pPr>
              <w:tabs>
                <w:tab w:val="left" w:pos="5580"/>
              </w:tabs>
              <w:ind w:right="-199"/>
              <w:jc w:val="center"/>
              <w:rPr>
                <w:rFonts w:ascii="仿宋" w:hAnsi="仿宋" w:eastAsia="仿宋"/>
                <w:color w:val="auto"/>
                <w:sz w:val="24"/>
                <w:highlight w:val="none"/>
              </w:rPr>
            </w:pPr>
            <w:r>
              <w:rPr>
                <w:rFonts w:hint="eastAsia" w:ascii="仿宋" w:hAnsi="仿宋" w:eastAsia="仿宋"/>
                <w:color w:val="auto"/>
                <w:sz w:val="24"/>
                <w:highlight w:val="none"/>
              </w:rPr>
              <w:t>项目名称</w:t>
            </w:r>
          </w:p>
        </w:tc>
        <w:tc>
          <w:tcPr>
            <w:tcW w:w="1458" w:type="dxa"/>
            <w:vMerge w:val="restart"/>
            <w:vAlign w:val="center"/>
          </w:tcPr>
          <w:p w14:paraId="7332B539">
            <w:pPr>
              <w:tabs>
                <w:tab w:val="left" w:pos="5580"/>
              </w:tabs>
              <w:jc w:val="center"/>
              <w:rPr>
                <w:rFonts w:ascii="仿宋" w:hAnsi="仿宋" w:eastAsia="仿宋"/>
                <w:color w:val="auto"/>
                <w:sz w:val="24"/>
                <w:highlight w:val="none"/>
              </w:rPr>
            </w:pPr>
            <w:r>
              <w:rPr>
                <w:rFonts w:hint="eastAsia" w:ascii="仿宋" w:hAnsi="仿宋" w:eastAsia="仿宋"/>
                <w:color w:val="auto"/>
                <w:sz w:val="24"/>
                <w:highlight w:val="none"/>
              </w:rPr>
              <w:t>项目编号</w:t>
            </w:r>
          </w:p>
        </w:tc>
        <w:tc>
          <w:tcPr>
            <w:tcW w:w="1261" w:type="dxa"/>
            <w:vMerge w:val="restart"/>
            <w:vAlign w:val="center"/>
          </w:tcPr>
          <w:p w14:paraId="0243A9F9">
            <w:pPr>
              <w:tabs>
                <w:tab w:val="left" w:pos="5580"/>
              </w:tabs>
              <w:jc w:val="center"/>
              <w:rPr>
                <w:rFonts w:ascii="仿宋" w:hAnsi="仿宋" w:eastAsia="仿宋"/>
                <w:color w:val="auto"/>
                <w:sz w:val="24"/>
                <w:highlight w:val="none"/>
              </w:rPr>
            </w:pPr>
            <w:r>
              <w:rPr>
                <w:rFonts w:hint="eastAsia" w:ascii="仿宋" w:hAnsi="仿宋" w:eastAsia="仿宋"/>
                <w:color w:val="auto"/>
                <w:sz w:val="24"/>
                <w:highlight w:val="none"/>
              </w:rPr>
              <w:t>包号</w:t>
            </w:r>
          </w:p>
        </w:tc>
        <w:tc>
          <w:tcPr>
            <w:tcW w:w="1098" w:type="dxa"/>
            <w:vMerge w:val="restart"/>
            <w:vAlign w:val="center"/>
          </w:tcPr>
          <w:p w14:paraId="36C17AC6">
            <w:pPr>
              <w:tabs>
                <w:tab w:val="left" w:pos="5580"/>
              </w:tabs>
              <w:jc w:val="center"/>
              <w:rPr>
                <w:rFonts w:ascii="仿宋" w:hAnsi="仿宋" w:eastAsia="仿宋"/>
                <w:color w:val="auto"/>
                <w:sz w:val="24"/>
                <w:highlight w:val="none"/>
              </w:rPr>
            </w:pPr>
            <w:r>
              <w:rPr>
                <w:rFonts w:hint="eastAsia" w:ascii="仿宋" w:hAnsi="仿宋" w:eastAsia="仿宋"/>
                <w:color w:val="auto"/>
                <w:sz w:val="24"/>
                <w:highlight w:val="none"/>
              </w:rPr>
              <w:t>服务期限</w:t>
            </w:r>
          </w:p>
          <w:p w14:paraId="29E3BD42">
            <w:pPr>
              <w:tabs>
                <w:tab w:val="left" w:pos="5580"/>
              </w:tabs>
              <w:jc w:val="center"/>
              <w:rPr>
                <w:rFonts w:ascii="仿宋" w:hAnsi="仿宋" w:eastAsia="仿宋"/>
                <w:color w:val="auto"/>
                <w:sz w:val="24"/>
                <w:highlight w:val="none"/>
              </w:rPr>
            </w:pPr>
            <w:r>
              <w:rPr>
                <w:rFonts w:hint="eastAsia" w:ascii="仿宋" w:hAnsi="仿宋" w:eastAsia="仿宋"/>
                <w:color w:val="auto"/>
                <w:sz w:val="24"/>
                <w:highlight w:val="none"/>
              </w:rPr>
              <w:t>（年）</w:t>
            </w:r>
          </w:p>
        </w:tc>
        <w:tc>
          <w:tcPr>
            <w:tcW w:w="4058" w:type="dxa"/>
            <w:gridSpan w:val="2"/>
            <w:vAlign w:val="center"/>
          </w:tcPr>
          <w:p w14:paraId="3D6D3CF7">
            <w:pPr>
              <w:tabs>
                <w:tab w:val="left" w:pos="5580"/>
              </w:tabs>
              <w:jc w:val="center"/>
              <w:rPr>
                <w:rFonts w:ascii="仿宋" w:hAnsi="仿宋" w:eastAsia="仿宋"/>
                <w:color w:val="auto"/>
                <w:sz w:val="24"/>
                <w:highlight w:val="none"/>
              </w:rPr>
            </w:pPr>
            <w:r>
              <w:rPr>
                <w:rFonts w:hint="eastAsia" w:ascii="仿宋" w:hAnsi="仿宋" w:eastAsia="仿宋"/>
                <w:color w:val="auto"/>
                <w:sz w:val="24"/>
                <w:highlight w:val="none"/>
              </w:rPr>
              <w:t>投标报价（万元）</w:t>
            </w:r>
          </w:p>
        </w:tc>
      </w:tr>
      <w:tr w14:paraId="6EF1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5" w:hRule="atLeast"/>
          <w:jc w:val="center"/>
        </w:trPr>
        <w:tc>
          <w:tcPr>
            <w:tcW w:w="1489" w:type="dxa"/>
            <w:vMerge w:val="continue"/>
            <w:vAlign w:val="center"/>
          </w:tcPr>
          <w:p w14:paraId="18548C22">
            <w:pPr>
              <w:tabs>
                <w:tab w:val="left" w:pos="5580"/>
              </w:tabs>
              <w:ind w:left="1080" w:leftChars="257" w:hanging="540"/>
              <w:jc w:val="center"/>
              <w:rPr>
                <w:rFonts w:ascii="仿宋" w:hAnsi="仿宋" w:eastAsia="仿宋"/>
                <w:color w:val="auto"/>
                <w:sz w:val="24"/>
                <w:highlight w:val="none"/>
              </w:rPr>
            </w:pPr>
          </w:p>
        </w:tc>
        <w:tc>
          <w:tcPr>
            <w:tcW w:w="1458" w:type="dxa"/>
            <w:vMerge w:val="continue"/>
            <w:vAlign w:val="center"/>
          </w:tcPr>
          <w:p w14:paraId="5B69D84E">
            <w:pPr>
              <w:tabs>
                <w:tab w:val="left" w:pos="5580"/>
              </w:tabs>
              <w:jc w:val="center"/>
              <w:rPr>
                <w:rFonts w:ascii="仿宋" w:hAnsi="仿宋" w:eastAsia="仿宋"/>
                <w:color w:val="auto"/>
                <w:sz w:val="24"/>
                <w:highlight w:val="none"/>
              </w:rPr>
            </w:pPr>
          </w:p>
        </w:tc>
        <w:tc>
          <w:tcPr>
            <w:tcW w:w="1261" w:type="dxa"/>
            <w:vMerge w:val="continue"/>
            <w:vAlign w:val="center"/>
          </w:tcPr>
          <w:p w14:paraId="03C89389">
            <w:pPr>
              <w:tabs>
                <w:tab w:val="left" w:pos="5580"/>
              </w:tabs>
              <w:jc w:val="center"/>
              <w:rPr>
                <w:rFonts w:ascii="仿宋" w:hAnsi="仿宋" w:eastAsia="仿宋"/>
                <w:color w:val="auto"/>
                <w:sz w:val="24"/>
                <w:highlight w:val="none"/>
              </w:rPr>
            </w:pPr>
          </w:p>
        </w:tc>
        <w:tc>
          <w:tcPr>
            <w:tcW w:w="1098" w:type="dxa"/>
            <w:vMerge w:val="continue"/>
            <w:vAlign w:val="center"/>
          </w:tcPr>
          <w:p w14:paraId="53D50374">
            <w:pPr>
              <w:tabs>
                <w:tab w:val="left" w:pos="5580"/>
              </w:tabs>
              <w:jc w:val="center"/>
              <w:rPr>
                <w:rFonts w:ascii="仿宋" w:hAnsi="仿宋" w:eastAsia="仿宋"/>
                <w:color w:val="auto"/>
                <w:sz w:val="24"/>
                <w:highlight w:val="none"/>
              </w:rPr>
            </w:pPr>
          </w:p>
        </w:tc>
        <w:tc>
          <w:tcPr>
            <w:tcW w:w="1134" w:type="dxa"/>
            <w:vAlign w:val="center"/>
          </w:tcPr>
          <w:p w14:paraId="66A8FB97">
            <w:pPr>
              <w:tabs>
                <w:tab w:val="left" w:pos="5580"/>
              </w:tabs>
              <w:jc w:val="center"/>
              <w:rPr>
                <w:rFonts w:ascii="仿宋" w:hAnsi="仿宋" w:eastAsia="仿宋"/>
                <w:color w:val="auto"/>
                <w:sz w:val="24"/>
                <w:highlight w:val="none"/>
              </w:rPr>
            </w:pPr>
            <w:r>
              <w:rPr>
                <w:rFonts w:ascii="仿宋" w:hAnsi="仿宋" w:eastAsia="仿宋"/>
                <w:color w:val="auto"/>
                <w:sz w:val="24"/>
                <w:highlight w:val="none"/>
              </w:rPr>
              <w:t>小写</w:t>
            </w:r>
          </w:p>
        </w:tc>
        <w:tc>
          <w:tcPr>
            <w:tcW w:w="2924" w:type="dxa"/>
            <w:vAlign w:val="center"/>
          </w:tcPr>
          <w:p w14:paraId="0CB5D6C0">
            <w:pPr>
              <w:tabs>
                <w:tab w:val="left" w:pos="5580"/>
              </w:tabs>
              <w:jc w:val="center"/>
              <w:rPr>
                <w:rFonts w:ascii="仿宋" w:hAnsi="仿宋" w:eastAsia="仿宋"/>
                <w:color w:val="auto"/>
                <w:sz w:val="24"/>
                <w:highlight w:val="none"/>
              </w:rPr>
            </w:pPr>
            <w:r>
              <w:rPr>
                <w:rFonts w:ascii="仿宋" w:hAnsi="仿宋" w:eastAsia="仿宋"/>
                <w:color w:val="auto"/>
                <w:sz w:val="24"/>
                <w:highlight w:val="none"/>
              </w:rPr>
              <w:t>大写</w:t>
            </w:r>
          </w:p>
        </w:tc>
      </w:tr>
      <w:tr w14:paraId="6FEA5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2" w:hRule="atLeast"/>
          <w:jc w:val="center"/>
        </w:trPr>
        <w:tc>
          <w:tcPr>
            <w:tcW w:w="1489" w:type="dxa"/>
            <w:vAlign w:val="center"/>
          </w:tcPr>
          <w:p w14:paraId="5872ECF6">
            <w:pPr>
              <w:tabs>
                <w:tab w:val="left" w:pos="5580"/>
              </w:tabs>
              <w:ind w:left="1080" w:leftChars="257" w:hanging="540"/>
              <w:jc w:val="center"/>
              <w:rPr>
                <w:rFonts w:ascii="仿宋" w:hAnsi="仿宋" w:eastAsia="仿宋"/>
                <w:color w:val="auto"/>
                <w:sz w:val="24"/>
                <w:highlight w:val="none"/>
              </w:rPr>
            </w:pPr>
          </w:p>
        </w:tc>
        <w:tc>
          <w:tcPr>
            <w:tcW w:w="1458" w:type="dxa"/>
            <w:vAlign w:val="center"/>
          </w:tcPr>
          <w:p w14:paraId="30F15B90">
            <w:pPr>
              <w:tabs>
                <w:tab w:val="left" w:pos="5580"/>
              </w:tabs>
              <w:jc w:val="center"/>
              <w:rPr>
                <w:rFonts w:ascii="仿宋" w:hAnsi="仿宋" w:eastAsia="仿宋"/>
                <w:color w:val="auto"/>
                <w:sz w:val="24"/>
                <w:highlight w:val="none"/>
              </w:rPr>
            </w:pPr>
          </w:p>
        </w:tc>
        <w:tc>
          <w:tcPr>
            <w:tcW w:w="1261" w:type="dxa"/>
            <w:vAlign w:val="center"/>
          </w:tcPr>
          <w:p w14:paraId="0175965D">
            <w:pPr>
              <w:tabs>
                <w:tab w:val="left" w:pos="5580"/>
              </w:tabs>
              <w:jc w:val="center"/>
              <w:rPr>
                <w:rFonts w:ascii="仿宋" w:hAnsi="仿宋" w:eastAsia="仿宋"/>
                <w:color w:val="auto"/>
                <w:sz w:val="24"/>
                <w:highlight w:val="none"/>
              </w:rPr>
            </w:pPr>
          </w:p>
        </w:tc>
        <w:tc>
          <w:tcPr>
            <w:tcW w:w="1098" w:type="dxa"/>
            <w:vAlign w:val="center"/>
          </w:tcPr>
          <w:p w14:paraId="6FCA9F2A">
            <w:pPr>
              <w:tabs>
                <w:tab w:val="left" w:pos="5580"/>
              </w:tabs>
              <w:jc w:val="center"/>
              <w:rPr>
                <w:rFonts w:ascii="仿宋" w:hAnsi="仿宋" w:eastAsia="仿宋"/>
                <w:color w:val="auto"/>
                <w:sz w:val="24"/>
                <w:highlight w:val="none"/>
              </w:rPr>
            </w:pPr>
          </w:p>
        </w:tc>
        <w:tc>
          <w:tcPr>
            <w:tcW w:w="1134" w:type="dxa"/>
            <w:vAlign w:val="center"/>
          </w:tcPr>
          <w:p w14:paraId="51BAF2F2">
            <w:pPr>
              <w:tabs>
                <w:tab w:val="left" w:pos="5580"/>
              </w:tabs>
              <w:ind w:left="1080" w:leftChars="257" w:hanging="540"/>
              <w:jc w:val="center"/>
              <w:rPr>
                <w:rFonts w:ascii="仿宋" w:hAnsi="仿宋" w:eastAsia="仿宋"/>
                <w:color w:val="auto"/>
                <w:sz w:val="24"/>
                <w:highlight w:val="none"/>
              </w:rPr>
            </w:pPr>
          </w:p>
        </w:tc>
        <w:tc>
          <w:tcPr>
            <w:tcW w:w="2924" w:type="dxa"/>
            <w:vAlign w:val="center"/>
          </w:tcPr>
          <w:p w14:paraId="01362C90">
            <w:pPr>
              <w:tabs>
                <w:tab w:val="left" w:pos="5580"/>
              </w:tabs>
              <w:ind w:left="1080" w:leftChars="257" w:hanging="540"/>
              <w:jc w:val="center"/>
              <w:rPr>
                <w:rFonts w:ascii="仿宋" w:hAnsi="仿宋" w:eastAsia="仿宋"/>
                <w:color w:val="auto"/>
                <w:sz w:val="24"/>
                <w:highlight w:val="none"/>
              </w:rPr>
            </w:pPr>
          </w:p>
        </w:tc>
      </w:tr>
    </w:tbl>
    <w:p w14:paraId="33D8B4F7">
      <w:pPr>
        <w:tabs>
          <w:tab w:val="left" w:pos="1800"/>
          <w:tab w:val="left" w:pos="5580"/>
        </w:tabs>
        <w:ind w:left="1080" w:leftChars="257" w:right="-867" w:rightChars="-413" w:hanging="540"/>
        <w:rPr>
          <w:rFonts w:ascii="仿宋" w:hAnsi="仿宋" w:eastAsia="仿宋"/>
          <w:color w:val="auto"/>
          <w:sz w:val="28"/>
          <w:szCs w:val="28"/>
          <w:highlight w:val="none"/>
        </w:rPr>
      </w:pPr>
    </w:p>
    <w:p w14:paraId="428E1005">
      <w:pPr>
        <w:ind w:firstLine="560" w:firstLineChars="200"/>
        <w:rPr>
          <w:rFonts w:ascii="仿宋" w:hAnsi="仿宋" w:eastAsia="仿宋"/>
          <w:color w:val="auto"/>
          <w:sz w:val="28"/>
          <w:szCs w:val="28"/>
          <w:highlight w:val="none"/>
        </w:rPr>
      </w:pPr>
    </w:p>
    <w:p w14:paraId="224FF66E">
      <w:pPr>
        <w:ind w:firstLine="560" w:firstLineChars="200"/>
        <w:rPr>
          <w:rFonts w:ascii="仿宋" w:hAnsi="仿宋" w:eastAsia="仿宋"/>
          <w:color w:val="auto"/>
          <w:sz w:val="28"/>
          <w:szCs w:val="28"/>
          <w:highlight w:val="none"/>
        </w:rPr>
      </w:pPr>
      <w:r>
        <w:rPr>
          <w:rFonts w:ascii="黑体" w:hAnsi="黑体" w:eastAsia="黑体"/>
          <w:color w:val="auto"/>
          <w:sz w:val="28"/>
          <w:szCs w:val="28"/>
          <w:highlight w:val="none"/>
        </w:rPr>
        <w:br w:type="page"/>
      </w:r>
      <w:r>
        <w:rPr>
          <w:rFonts w:hint="eastAsia" w:ascii="黑体" w:hAnsi="黑体" w:eastAsia="黑体"/>
          <w:color w:val="auto"/>
          <w:sz w:val="28"/>
          <w:szCs w:val="28"/>
          <w:highlight w:val="none"/>
        </w:rPr>
        <w:t>二、资格证明文件</w:t>
      </w:r>
    </w:p>
    <w:p w14:paraId="5074183D">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21E789F8">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3BE2405D">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4A80B0A6">
      <w:pPr>
        <w:spacing w:before="50" w:afterLines="50"/>
        <w:ind w:firstLine="560" w:firstLineChars="20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491ECF60">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4B215E85">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329E2AF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061A32CE">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56298E8C">
      <w:pPr>
        <w:ind w:firstLine="560" w:firstLineChars="200"/>
        <w:rPr>
          <w:rFonts w:ascii="仿宋" w:hAnsi="仿宋" w:eastAsia="仿宋"/>
          <w:color w:val="auto"/>
          <w:sz w:val="28"/>
          <w:szCs w:val="28"/>
          <w:highlight w:val="none"/>
        </w:rPr>
      </w:pPr>
    </w:p>
    <w:p w14:paraId="369C59EB">
      <w:pPr>
        <w:ind w:firstLine="2520" w:firstLineChars="90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0EA1E2E8">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6509BB00">
      <w:pPr>
        <w:spacing w:before="50" w:afterLines="50"/>
        <w:ind w:firstLine="560" w:firstLineChars="20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196FD1EB">
      <w:pPr>
        <w:ind w:firstLine="560" w:firstLineChars="200"/>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08151CA6">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490E8DF9">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582C996F">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在投标截止时间节点，没有被“信用中国”（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）、“信用江苏”（</w:t>
      </w:r>
      <w:r>
        <w:rPr>
          <w:rFonts w:ascii="仿宋" w:hAnsi="仿宋" w:eastAsia="仿宋"/>
          <w:color w:val="auto"/>
          <w:sz w:val="28"/>
          <w:szCs w:val="28"/>
          <w:highlight w:val="none"/>
        </w:rPr>
        <w:t>www.jscredit.cn/index.htm</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685A7CE8">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6C3A0900">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7BD4267A">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228BC4E1">
      <w:pPr>
        <w:spacing w:before="50" w:afterLines="50"/>
        <w:ind w:firstLine="560" w:firstLineChars="200"/>
        <w:jc w:val="left"/>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六</w:t>
      </w:r>
      <w:r>
        <w:rPr>
          <w:rFonts w:hint="eastAsia" w:ascii="仿宋" w:hAnsi="仿宋" w:eastAsia="仿宋"/>
          <w:color w:val="auto"/>
          <w:sz w:val="28"/>
          <w:szCs w:val="28"/>
          <w:highlight w:val="none"/>
        </w:rPr>
        <w:t>）法定代表人身份证明及身份证复印件</w:t>
      </w:r>
    </w:p>
    <w:p w14:paraId="315193B1">
      <w:pPr>
        <w:spacing w:before="50" w:afterLines="50"/>
        <w:ind w:firstLine="562" w:firstLineChars="200"/>
        <w:jc w:val="center"/>
        <w:outlineLvl w:val="9"/>
        <w:rPr>
          <w:rFonts w:ascii="仿宋" w:hAnsi="仿宋" w:eastAsia="仿宋"/>
          <w:color w:val="auto"/>
          <w:sz w:val="28"/>
          <w:szCs w:val="28"/>
          <w:highlight w:val="none"/>
        </w:rPr>
      </w:pPr>
      <w:r>
        <w:rPr>
          <w:rFonts w:hint="eastAsia" w:ascii="仿宋" w:hAnsi="仿宋" w:eastAsia="仿宋"/>
          <w:b/>
          <w:bCs/>
          <w:color w:val="auto"/>
          <w:sz w:val="28"/>
          <w:szCs w:val="28"/>
          <w:highlight w:val="none"/>
        </w:rPr>
        <w:t>法定代表人身份证明</w:t>
      </w:r>
    </w:p>
    <w:p w14:paraId="2CF4B3C2">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p>
    <w:p w14:paraId="2C828874">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p>
    <w:p w14:paraId="0C5BD901">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地址：</w:t>
      </w:r>
    </w:p>
    <w:p w14:paraId="4516F719">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p>
    <w:p w14:paraId="1C40FEA9">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经营期限：</w:t>
      </w:r>
    </w:p>
    <w:p w14:paraId="6B69AD0B">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姓名：性别： </w:t>
      </w:r>
    </w:p>
    <w:p w14:paraId="15A7DE8F">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年龄：职务：</w:t>
      </w:r>
    </w:p>
    <w:p w14:paraId="65489459">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p>
    <w:p w14:paraId="3C3D225C">
      <w:pPr>
        <w:spacing w:before="50" w:afterLines="50"/>
        <w:ind w:firstLine="560" w:firstLineChars="200"/>
        <w:jc w:val="left"/>
        <w:outlineLvl w:val="9"/>
        <w:rPr>
          <w:rFonts w:ascii="仿宋" w:hAnsi="仿宋" w:eastAsia="仿宋"/>
          <w:color w:val="auto"/>
          <w:sz w:val="28"/>
          <w:szCs w:val="28"/>
          <w:highlight w:val="none"/>
        </w:rPr>
      </w:pPr>
    </w:p>
    <w:p w14:paraId="59717229">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w:t>
      </w:r>
    </w:p>
    <w:p w14:paraId="453E97DF">
      <w:pPr>
        <w:wordWrap w:val="0"/>
        <w:spacing w:before="50" w:afterLines="50"/>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56AF7ABE">
      <w:pPr>
        <w:spacing w:before="50" w:afterLines="50"/>
        <w:ind w:firstLine="560" w:firstLineChars="200"/>
        <w:jc w:val="left"/>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p>
    <w:p w14:paraId="33F9A045">
      <w:pPr>
        <w:spacing w:before="50" w:afterLines="50"/>
        <w:ind w:firstLine="560" w:firstLineChars="200"/>
        <w:jc w:val="left"/>
        <w:rPr>
          <w:rFonts w:ascii="仿宋" w:hAnsi="仿宋" w:eastAsia="仿宋"/>
          <w:color w:val="auto"/>
          <w:sz w:val="28"/>
          <w:szCs w:val="28"/>
          <w:highlight w:val="none"/>
        </w:rPr>
      </w:pPr>
    </w:p>
    <w:p w14:paraId="26AE02E4">
      <w:pPr>
        <w:widowControl/>
        <w:jc w:val="left"/>
        <w:rPr>
          <w:rFonts w:ascii="仿宋" w:hAnsi="仿宋" w:eastAsia="仿宋"/>
          <w:color w:val="auto"/>
          <w:sz w:val="28"/>
          <w:szCs w:val="28"/>
          <w:highlight w:val="none"/>
        </w:rPr>
      </w:pPr>
      <w:r>
        <w:rPr>
          <w:rFonts w:ascii="仿宋" w:hAnsi="仿宋" w:eastAsia="仿宋"/>
          <w:color w:val="auto"/>
          <w:sz w:val="28"/>
          <w:szCs w:val="28"/>
          <w:highlight w:val="none"/>
        </w:rPr>
        <w:br w:type="page"/>
      </w:r>
    </w:p>
    <w:p w14:paraId="79CD9924">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。（法定代表人参加招标活动的，无需提供）</w:t>
      </w:r>
    </w:p>
    <w:p w14:paraId="61F18EFB">
      <w:pPr>
        <w:spacing w:line="500" w:lineRule="exact"/>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3D9B024A">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本授权书声明：______      ______（供应商名称）授权________________（代理人的姓名）为我方就项目名称：</w:t>
      </w:r>
      <w:r>
        <w:rPr>
          <w:rFonts w:hint="eastAsia" w:ascii="仿宋" w:hAnsi="仿宋" w:eastAsia="仿宋"/>
          <w:color w:val="auto"/>
          <w:sz w:val="28"/>
          <w:szCs w:val="28"/>
          <w:highlight w:val="none"/>
          <w:u w:val="single"/>
          <w:lang w:eastAsia="zh-CN"/>
        </w:rPr>
        <w:t>2026-2028年如皋市拟新增耕地土壤污染状况调查和补充耕地质量鉴定服务</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rPr>
        <w:t>_JSZC-320682-NTWY-G2026-0001</w:t>
      </w:r>
      <w:r>
        <w:rPr>
          <w:rFonts w:hint="eastAsia" w:ascii="仿宋" w:hAnsi="仿宋" w:eastAsia="仿宋"/>
          <w:color w:val="auto"/>
          <w:sz w:val="28"/>
          <w:szCs w:val="28"/>
          <w:highlight w:val="none"/>
        </w:rPr>
        <w:t>采购活动的合法代理人，以本公司名义全权处理一切与该项目采购有关的事务。</w:t>
      </w:r>
    </w:p>
    <w:p w14:paraId="0312820F">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49606C01">
      <w:pPr>
        <w:pStyle w:val="47"/>
        <w:spacing w:line="500" w:lineRule="exact"/>
        <w:ind w:firstLine="480"/>
        <w:rPr>
          <w:rFonts w:ascii="仿宋" w:hAnsi="仿宋" w:eastAsia="仿宋"/>
          <w:color w:val="auto"/>
          <w:sz w:val="28"/>
          <w:szCs w:val="28"/>
          <w:highlight w:val="none"/>
        </w:rPr>
      </w:pPr>
    </w:p>
    <w:p w14:paraId="07A9DB05">
      <w:pPr>
        <w:pStyle w:val="47"/>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5DB1BCDA">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270C0C7B">
      <w:pPr>
        <w:pStyle w:val="47"/>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76D64ED1">
      <w:pPr>
        <w:pStyle w:val="47"/>
        <w:spacing w:line="500" w:lineRule="exact"/>
        <w:ind w:firstLine="480"/>
        <w:rPr>
          <w:rFonts w:ascii="仿宋" w:hAnsi="仿宋" w:eastAsia="仿宋"/>
          <w:color w:val="auto"/>
          <w:sz w:val="28"/>
          <w:szCs w:val="28"/>
          <w:highlight w:val="none"/>
        </w:rPr>
      </w:pPr>
    </w:p>
    <w:p w14:paraId="4F1643F9">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50EF5805">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26AE2C80">
      <w:pPr>
        <w:pStyle w:val="47"/>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719D1E4D">
      <w:pPr>
        <w:pStyle w:val="47"/>
        <w:spacing w:line="500" w:lineRule="exact"/>
        <w:ind w:firstLine="480"/>
        <w:rPr>
          <w:rFonts w:ascii="仿宋" w:hAnsi="仿宋" w:eastAsia="仿宋"/>
          <w:color w:val="auto"/>
          <w:sz w:val="28"/>
          <w:szCs w:val="28"/>
          <w:highlight w:val="none"/>
        </w:rPr>
      </w:pPr>
    </w:p>
    <w:p w14:paraId="342B3D32">
      <w:pPr>
        <w:pStyle w:val="47"/>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42939A96">
      <w:pPr>
        <w:pStyle w:val="47"/>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7189D93C">
      <w:pPr>
        <w:pStyle w:val="47"/>
        <w:spacing w:line="500" w:lineRule="exact"/>
        <w:ind w:firstLine="480"/>
        <w:rPr>
          <w:rFonts w:ascii="仿宋" w:hAnsi="仿宋" w:eastAsia="仿宋"/>
          <w:color w:val="auto"/>
          <w:sz w:val="28"/>
          <w:szCs w:val="28"/>
          <w:highlight w:val="none"/>
        </w:rPr>
      </w:pPr>
      <w:bookmarkStart w:id="42" w:name="_Hlt26955070"/>
      <w:bookmarkEnd w:id="42"/>
      <w:bookmarkStart w:id="43" w:name="_Hlt26671380"/>
      <w:bookmarkEnd w:id="43"/>
      <w:bookmarkStart w:id="44" w:name="_格式3__银行出具的资信证明"/>
      <w:bookmarkEnd w:id="44"/>
    </w:p>
    <w:p w14:paraId="353B7150">
      <w:pPr>
        <w:pStyle w:val="6"/>
        <w:spacing w:line="500" w:lineRule="exact"/>
        <w:ind w:firstLine="490" w:firstLineChars="175"/>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7CEF72F5">
      <w:pPr>
        <w:pStyle w:val="21"/>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firstLine="567"/>
        <w:textAlignment w:val="baseline"/>
        <w:rPr>
          <w:rFonts w:hint="eastAsia" w:ascii="仿宋" w:hAnsi="仿宋" w:eastAsia="仿宋"/>
          <w:color w:val="auto"/>
          <w:sz w:val="22"/>
          <w:szCs w:val="22"/>
          <w:highlight w:val="none"/>
          <w:lang w:val="en-US" w:eastAsia="zh-CN"/>
        </w:rPr>
      </w:pPr>
    </w:p>
    <w:p w14:paraId="418654DB">
      <w:pPr>
        <w:pStyle w:val="21"/>
        <w:keepNext w:val="0"/>
        <w:keepLines w:val="0"/>
        <w:pageBreakBefore w:val="0"/>
        <w:shd w:val="clear" w:color="auto" w:fill="FFFFFF"/>
        <w:kinsoku/>
        <w:wordWrap/>
        <w:overflowPunct/>
        <w:topLinePunct w:val="0"/>
        <w:autoSpaceDE/>
        <w:autoSpaceDN/>
        <w:bidi w:val="0"/>
        <w:spacing w:before="0" w:beforeAutospacing="0" w:after="0" w:afterAutospacing="0" w:line="500" w:lineRule="exact"/>
        <w:ind w:firstLine="567"/>
        <w:textAlignment w:val="baseline"/>
        <w:rPr>
          <w:rFonts w:ascii="仿宋" w:hAnsi="仿宋" w:eastAsia="仿宋" w:cs="Times New Roman"/>
          <w:b/>
          <w:bCs/>
          <w:color w:val="auto"/>
          <w:kern w:val="2"/>
          <w:sz w:val="21"/>
          <w:szCs w:val="21"/>
          <w:highlight w:val="none"/>
        </w:rPr>
      </w:pPr>
      <w:r>
        <w:rPr>
          <w:rFonts w:hint="eastAsia" w:ascii="仿宋" w:hAnsi="仿宋" w:eastAsia="仿宋"/>
          <w:b/>
          <w:bCs/>
          <w:color w:val="auto"/>
          <w:sz w:val="21"/>
          <w:szCs w:val="21"/>
          <w:highlight w:val="none"/>
          <w:lang w:val="en-US" w:eastAsia="zh-CN"/>
        </w:rPr>
        <w:t>特别提醒：</w:t>
      </w:r>
      <w:r>
        <w:rPr>
          <w:rFonts w:hint="eastAsia" w:ascii="仿宋" w:hAnsi="仿宋" w:eastAsia="仿宋"/>
          <w:b/>
          <w:bCs/>
          <w:color w:val="auto"/>
          <w:sz w:val="21"/>
          <w:szCs w:val="21"/>
          <w:highlight w:val="none"/>
        </w:rPr>
        <w:t>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
          <w:bCs/>
          <w:iCs/>
          <w:color w:val="auto"/>
          <w:sz w:val="21"/>
          <w:szCs w:val="21"/>
          <w:highlight w:val="none"/>
        </w:rPr>
        <w:t>授权委托书。代理人须为投标供应商的正式员工，并提供开标日前最近1个月投标供应商为其缴纳社保的证明；新成立企业距开标日期不足30日的，可不提供缴纳社保的证明（以新办企业营业执照发放日期为准）。</w:t>
      </w:r>
    </w:p>
    <w:p w14:paraId="5D653AF3">
      <w:pPr>
        <w:spacing w:before="50" w:afterLines="50" w:line="500" w:lineRule="exact"/>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八</w:t>
      </w:r>
      <w:r>
        <w:rPr>
          <w:rFonts w:hint="eastAsia" w:ascii="仿宋" w:hAnsi="仿宋" w:eastAsia="仿宋"/>
          <w:bCs/>
          <w:color w:val="auto"/>
          <w:sz w:val="28"/>
          <w:szCs w:val="28"/>
          <w:highlight w:val="none"/>
        </w:rPr>
        <w:t>）</w:t>
      </w:r>
      <w:r>
        <w:rPr>
          <w:rFonts w:hint="eastAsia" w:ascii="仿宋" w:hAnsi="仿宋" w:eastAsia="仿宋" w:cs="Arial"/>
          <w:color w:val="auto"/>
          <w:sz w:val="28"/>
          <w:szCs w:val="28"/>
          <w:highlight w:val="none"/>
        </w:rPr>
        <w:t>投标函</w:t>
      </w:r>
    </w:p>
    <w:p w14:paraId="694CF6C5">
      <w:pPr>
        <w:spacing w:before="50" w:afterLines="50" w:line="500" w:lineRule="exact"/>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投标函</w:t>
      </w:r>
    </w:p>
    <w:p w14:paraId="03C11613">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rPr>
        <w:t>如皋市农业农村局</w:t>
      </w:r>
    </w:p>
    <w:p w14:paraId="1C63B566">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color w:val="auto"/>
          <w:sz w:val="28"/>
          <w:szCs w:val="28"/>
          <w:highlight w:val="none"/>
          <w:u w:val="single"/>
          <w:lang w:eastAsia="zh-CN"/>
        </w:rPr>
        <w:t>2026-2028年如皋市拟新增耕地土壤污染状况调查和补充耕地质量鉴定服务</w:t>
      </w:r>
      <w:r>
        <w:rPr>
          <w:rFonts w:hint="eastAsia" w:ascii="仿宋" w:hAnsi="仿宋" w:eastAsia="仿宋"/>
          <w:color w:val="auto"/>
          <w:sz w:val="28"/>
          <w:szCs w:val="28"/>
          <w:highlight w:val="none"/>
        </w:rPr>
        <w:t>（项目编号：JSZC-320682-NTWY-G2026-0001）招标文件，正式授权下述签字人_________ (姓名和职务)代表我方______________（供应商的名称），全权处理本次项目招标采购的有关事宜。</w:t>
      </w:r>
    </w:p>
    <w:p w14:paraId="1B24D15E">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7BD9627E">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1.按招标文件规定的各项要求，向买方提供所需货物、服务。</w:t>
      </w:r>
    </w:p>
    <w:p w14:paraId="304B5C33">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2.我们已详细审核全部招标文件及其有效补充文件，我们知道必须放弃提出含糊不清或误解问题的权利。</w:t>
      </w:r>
    </w:p>
    <w:p w14:paraId="65AAE88E">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3.我们同意从规定的投标文件接收截止时间起遵循本投标文件，并在规定的招标有效期期满之前均具有约束力。</w:t>
      </w:r>
    </w:p>
    <w:p w14:paraId="77EB0243">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4.同意向贵方提供贵方可能另外要求的与招标采购有关的任何证据或资料，并保证我方已提供和将要提供的文件是真实的、准确的。</w:t>
      </w:r>
    </w:p>
    <w:p w14:paraId="3B34F215">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5.如果我方中标，我方将在法定期限内签订合同，否则将承担相应法律责任。</w:t>
      </w:r>
    </w:p>
    <w:p w14:paraId="6C68963C">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6.我方将根据招标文件的规定，严格履行合同的责任和义务，并保证在招标文件规定的时间完成项目。</w:t>
      </w:r>
    </w:p>
    <w:p w14:paraId="06C1DF64">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7.遵守招标文件中要求的收费项目和标准。</w:t>
      </w:r>
    </w:p>
    <w:p w14:paraId="5804A4DB">
      <w:pPr>
        <w:pStyle w:val="47"/>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8.与本招标采购有关的正式通讯地址为：</w:t>
      </w:r>
    </w:p>
    <w:p w14:paraId="069BA642">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29DBFD28">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1AEF6228">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28A9F272">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7C4C127B">
      <w:pPr>
        <w:pStyle w:val="4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0FDC57A3">
      <w:pPr>
        <w:spacing w:before="50" w:afterLines="50"/>
        <w:ind w:firstLine="480"/>
        <w:jc w:val="left"/>
        <w:rPr>
          <w:rFonts w:ascii="仿宋" w:hAnsi="仿宋" w:eastAsia="仿宋"/>
          <w:color w:val="auto"/>
          <w:sz w:val="28"/>
          <w:szCs w:val="28"/>
          <w:highlight w:val="none"/>
        </w:rPr>
      </w:pPr>
      <w:r>
        <w:rPr>
          <w:rFonts w:ascii="仿宋" w:hAnsi="仿宋" w:eastAsia="仿宋"/>
          <w:bCs/>
          <w:color w:val="auto"/>
          <w:sz w:val="28"/>
          <w:szCs w:val="28"/>
          <w:highlight w:val="none"/>
        </w:rPr>
        <w:br w:type="page"/>
      </w:r>
    </w:p>
    <w:p w14:paraId="2C97AAC5">
      <w:pPr>
        <w:spacing w:before="50" w:afterLines="50"/>
        <w:ind w:firstLine="480"/>
        <w:jc w:val="left"/>
        <w:rPr>
          <w:rFonts w:ascii="仿宋" w:hAnsi="仿宋" w:eastAsia="仿宋"/>
          <w:b/>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16C0DBDE">
      <w:pPr>
        <w:keepNext w:val="0"/>
        <w:keepLines w:val="0"/>
        <w:pageBreakBefore w:val="0"/>
        <w:kinsoku/>
        <w:wordWrap/>
        <w:overflowPunct/>
        <w:topLinePunct w:val="0"/>
        <w:autoSpaceDE/>
        <w:autoSpaceDN/>
        <w:bidi w:val="0"/>
        <w:spacing w:line="500" w:lineRule="exact"/>
        <w:ind w:firstLine="565" w:firstLineChars="202"/>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本项目专门面向中小企业采购，</w:t>
      </w:r>
      <w:r>
        <w:rPr>
          <w:rFonts w:hint="eastAsia" w:ascii="仿宋" w:hAnsi="仿宋" w:eastAsia="仿宋"/>
          <w:color w:val="auto"/>
          <w:sz w:val="28"/>
          <w:szCs w:val="28"/>
          <w:highlight w:val="none"/>
          <w:lang w:val="en-US" w:eastAsia="zh-CN"/>
        </w:rPr>
        <w:t>投标人</w:t>
      </w:r>
      <w:r>
        <w:rPr>
          <w:rFonts w:hint="eastAsia" w:ascii="仿宋" w:hAnsi="仿宋" w:eastAsia="仿宋"/>
          <w:color w:val="auto"/>
          <w:sz w:val="28"/>
          <w:szCs w:val="28"/>
          <w:highlight w:val="none"/>
        </w:rPr>
        <w:t>须提供《中小企业声明函》，根据《中小企业划型标准规定》（工信部联企业〔2011〕300 号）文件规定，该项目所属行业为</w:t>
      </w:r>
      <w:r>
        <w:rPr>
          <w:rFonts w:hint="eastAsia" w:ascii="仿宋" w:hAnsi="仿宋" w:eastAsia="仿宋"/>
          <w:color w:val="auto"/>
          <w:sz w:val="28"/>
          <w:szCs w:val="28"/>
          <w:highlight w:val="none"/>
          <w:lang w:eastAsia="zh-CN"/>
        </w:rPr>
        <w:t>其他未列明行业</w:t>
      </w:r>
      <w:r>
        <w:rPr>
          <w:rFonts w:hint="eastAsia" w:ascii="仿宋" w:hAnsi="仿宋" w:eastAsia="仿宋"/>
          <w:color w:val="auto"/>
          <w:sz w:val="28"/>
          <w:szCs w:val="28"/>
          <w:highlight w:val="none"/>
        </w:rPr>
        <w:t xml:space="preserve"> 。</w:t>
      </w:r>
    </w:p>
    <w:p w14:paraId="169759F9">
      <w:pPr>
        <w:keepNext w:val="0"/>
        <w:keepLines w:val="0"/>
        <w:pageBreakBefore w:val="0"/>
        <w:kinsoku/>
        <w:wordWrap/>
        <w:overflowPunct/>
        <w:topLinePunct w:val="0"/>
        <w:autoSpaceDE/>
        <w:autoSpaceDN/>
        <w:bidi w:val="0"/>
        <w:spacing w:line="500" w:lineRule="exact"/>
        <w:ind w:firstLine="565" w:firstLineChars="202"/>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未被“信用中国（www.creditchina.gov.cn）”、“中国政府采购网（http://www.ccgp.gov.cn/）”网站列入失信被执行人或重大税收违法案件当事人名单或政府采购严重失信行为记录名单，查询结果以评审过程中现场网络截图为准。</w:t>
      </w:r>
    </w:p>
    <w:p w14:paraId="27A1B9AD">
      <w:pPr>
        <w:keepNext w:val="0"/>
        <w:keepLines w:val="0"/>
        <w:pageBreakBefore w:val="0"/>
        <w:kinsoku/>
        <w:wordWrap/>
        <w:overflowPunct/>
        <w:topLinePunct w:val="0"/>
        <w:autoSpaceDE/>
        <w:autoSpaceDN/>
        <w:bidi w:val="0"/>
        <w:spacing w:line="500" w:lineRule="exact"/>
        <w:ind w:firstLine="565" w:firstLineChars="202"/>
        <w:rPr>
          <w:color w:val="auto"/>
          <w:highlight w:val="none"/>
        </w:rPr>
      </w:pPr>
      <w:r>
        <w:rPr>
          <w:rFonts w:hint="eastAsia" w:ascii="仿宋" w:hAnsi="仿宋" w:eastAsia="仿宋"/>
          <w:color w:val="auto"/>
          <w:sz w:val="28"/>
          <w:szCs w:val="28"/>
          <w:highlight w:val="none"/>
          <w:lang w:val="en-US" w:eastAsia="zh-CN"/>
        </w:rPr>
        <w:t>3.其他（如有）</w:t>
      </w:r>
    </w:p>
    <w:p w14:paraId="1838E7E8">
      <w:pPr>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注意：以上资格证明文件中要求加盖公章的，必须加盖公章；如供应商组成联合体投标，则联合体各方均须加盖公章，否则视为无效投标文件。</w:t>
      </w:r>
    </w:p>
    <w:p w14:paraId="723B8F7C">
      <w:pPr>
        <w:ind w:firstLine="560" w:firstLineChars="200"/>
        <w:rPr>
          <w:rFonts w:ascii="仿宋" w:hAnsi="仿宋" w:eastAsia="仿宋"/>
          <w:color w:val="auto"/>
          <w:sz w:val="28"/>
          <w:szCs w:val="28"/>
          <w:highlight w:val="none"/>
        </w:rPr>
      </w:pPr>
    </w:p>
    <w:p w14:paraId="61F4AC8E">
      <w:pPr>
        <w:ind w:firstLine="560" w:firstLineChars="200"/>
        <w:rPr>
          <w:rFonts w:ascii="仿宋" w:hAnsi="仿宋" w:eastAsia="仿宋"/>
          <w:color w:val="auto"/>
          <w:sz w:val="28"/>
          <w:szCs w:val="28"/>
          <w:highlight w:val="none"/>
        </w:rPr>
      </w:pPr>
    </w:p>
    <w:p w14:paraId="3415CD96">
      <w:pPr>
        <w:ind w:firstLine="560" w:firstLineChars="200"/>
        <w:rPr>
          <w:rFonts w:ascii="黑体" w:hAnsi="黑体" w:eastAsia="黑体"/>
          <w:bCs/>
          <w:color w:val="auto"/>
          <w:sz w:val="28"/>
          <w:szCs w:val="28"/>
          <w:highlight w:val="none"/>
        </w:rPr>
      </w:pPr>
      <w:r>
        <w:rPr>
          <w:rFonts w:ascii="黑体" w:hAnsi="黑体" w:eastAsia="黑体"/>
          <w:color w:val="auto"/>
          <w:sz w:val="28"/>
          <w:szCs w:val="28"/>
          <w:highlight w:val="none"/>
        </w:rPr>
        <w:br w:type="page"/>
      </w:r>
      <w:r>
        <w:rPr>
          <w:rFonts w:hint="eastAsia" w:ascii="黑体" w:hAnsi="黑体" w:eastAsia="黑体"/>
          <w:color w:val="auto"/>
          <w:sz w:val="28"/>
          <w:szCs w:val="28"/>
          <w:highlight w:val="none"/>
        </w:rPr>
        <w:t>三、商务技术文件</w:t>
      </w:r>
    </w:p>
    <w:p w14:paraId="4FC21876">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（一）评分索引表（用于综合评分）</w:t>
      </w:r>
    </w:p>
    <w:p w14:paraId="0AC4BB9D">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评分索引表</w:t>
      </w:r>
    </w:p>
    <w:tbl>
      <w:tblPr>
        <w:tblStyle w:val="2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260"/>
        <w:gridCol w:w="817"/>
        <w:gridCol w:w="4533"/>
        <w:gridCol w:w="1450"/>
        <w:gridCol w:w="880"/>
      </w:tblGrid>
      <w:tr w14:paraId="10F96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254109F3">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260" w:type="dxa"/>
            <w:tcBorders>
              <w:top w:val="single" w:color="auto" w:sz="12" w:space="0"/>
              <w:left w:val="single" w:color="auto" w:sz="6" w:space="0"/>
              <w:bottom w:val="single" w:color="auto" w:sz="6" w:space="0"/>
              <w:right w:val="single" w:color="auto" w:sz="6" w:space="0"/>
            </w:tcBorders>
            <w:vAlign w:val="center"/>
          </w:tcPr>
          <w:p w14:paraId="323A787C">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评审因素</w:t>
            </w:r>
          </w:p>
        </w:tc>
        <w:tc>
          <w:tcPr>
            <w:tcW w:w="817" w:type="dxa"/>
            <w:tcBorders>
              <w:top w:val="single" w:color="auto" w:sz="12" w:space="0"/>
              <w:left w:val="single" w:color="auto" w:sz="6" w:space="0"/>
              <w:bottom w:val="single" w:color="auto" w:sz="6" w:space="0"/>
              <w:right w:val="single" w:color="auto" w:sz="6" w:space="0"/>
            </w:tcBorders>
            <w:vAlign w:val="center"/>
          </w:tcPr>
          <w:p w14:paraId="47118C60">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分值</w:t>
            </w:r>
          </w:p>
        </w:tc>
        <w:tc>
          <w:tcPr>
            <w:tcW w:w="4533" w:type="dxa"/>
            <w:tcBorders>
              <w:top w:val="single" w:color="auto" w:sz="12" w:space="0"/>
              <w:left w:val="single" w:color="auto" w:sz="6" w:space="0"/>
              <w:bottom w:val="single" w:color="auto" w:sz="6" w:space="0"/>
              <w:right w:val="single" w:color="auto" w:sz="6" w:space="0"/>
            </w:tcBorders>
            <w:vAlign w:val="center"/>
          </w:tcPr>
          <w:p w14:paraId="600A6516">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评审要求或标准</w:t>
            </w:r>
          </w:p>
        </w:tc>
        <w:tc>
          <w:tcPr>
            <w:tcW w:w="1450" w:type="dxa"/>
            <w:tcBorders>
              <w:top w:val="single" w:color="auto" w:sz="12" w:space="0"/>
              <w:left w:val="single" w:color="auto" w:sz="6" w:space="0"/>
              <w:bottom w:val="single" w:color="auto" w:sz="6" w:space="0"/>
              <w:right w:val="single" w:color="auto" w:sz="6" w:space="0"/>
            </w:tcBorders>
            <w:vAlign w:val="center"/>
          </w:tcPr>
          <w:p w14:paraId="4ED5F197">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供应商提供的材料名称</w:t>
            </w:r>
          </w:p>
        </w:tc>
        <w:tc>
          <w:tcPr>
            <w:tcW w:w="880" w:type="dxa"/>
            <w:tcBorders>
              <w:top w:val="single" w:color="auto" w:sz="12" w:space="0"/>
              <w:left w:val="single" w:color="auto" w:sz="6" w:space="0"/>
              <w:bottom w:val="single" w:color="auto" w:sz="6" w:space="0"/>
              <w:right w:val="single" w:color="auto" w:sz="12" w:space="0"/>
            </w:tcBorders>
            <w:vAlign w:val="center"/>
          </w:tcPr>
          <w:p w14:paraId="7B64C6EE">
            <w:pPr>
              <w:adjustRightInd w:val="0"/>
              <w:snapToGrid w:val="0"/>
              <w:jc w:val="center"/>
              <w:rPr>
                <w:rFonts w:ascii="仿宋" w:hAnsi="仿宋" w:eastAsia="仿宋"/>
                <w:color w:val="auto"/>
                <w:sz w:val="24"/>
                <w:highlight w:val="none"/>
              </w:rPr>
            </w:pPr>
            <w:r>
              <w:rPr>
                <w:rFonts w:hint="eastAsia" w:ascii="仿宋" w:hAnsi="仿宋" w:eastAsia="仿宋"/>
                <w:color w:val="auto"/>
                <w:sz w:val="24"/>
                <w:highlight w:val="none"/>
              </w:rPr>
              <w:t>页码</w:t>
            </w:r>
          </w:p>
        </w:tc>
      </w:tr>
      <w:tr w14:paraId="68C139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left w:val="single" w:color="auto" w:sz="12" w:space="0"/>
              <w:right w:val="single" w:color="auto" w:sz="6" w:space="0"/>
            </w:tcBorders>
            <w:vAlign w:val="center"/>
          </w:tcPr>
          <w:p w14:paraId="0DA307BF">
            <w:pPr>
              <w:adjustRightInd w:val="0"/>
              <w:snapToGrid w:val="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w:t>
            </w:r>
          </w:p>
        </w:tc>
        <w:tc>
          <w:tcPr>
            <w:tcW w:w="1260" w:type="dxa"/>
            <w:vMerge w:val="restart"/>
            <w:tcBorders>
              <w:left w:val="single" w:color="auto" w:sz="6" w:space="0"/>
              <w:right w:val="single" w:color="auto" w:sz="6" w:space="0"/>
            </w:tcBorders>
            <w:vAlign w:val="center"/>
          </w:tcPr>
          <w:p w14:paraId="732D36FD">
            <w:pPr>
              <w:adjustRightInd w:val="0"/>
              <w:snapToGrid w:val="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项目人员</w:t>
            </w:r>
          </w:p>
        </w:tc>
        <w:tc>
          <w:tcPr>
            <w:tcW w:w="817" w:type="dxa"/>
            <w:vMerge w:val="restart"/>
            <w:tcBorders>
              <w:left w:val="single" w:color="auto" w:sz="6" w:space="0"/>
              <w:right w:val="single" w:color="auto" w:sz="6" w:space="0"/>
            </w:tcBorders>
            <w:vAlign w:val="center"/>
          </w:tcPr>
          <w:p w14:paraId="25DF0721">
            <w:pPr>
              <w:adjustRightInd w:val="0"/>
              <w:snapToGrid w:val="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20</w:t>
            </w:r>
          </w:p>
        </w:tc>
        <w:tc>
          <w:tcPr>
            <w:tcW w:w="4533" w:type="dxa"/>
            <w:tcBorders>
              <w:top w:val="single" w:color="auto" w:sz="6" w:space="0"/>
              <w:left w:val="single" w:color="auto" w:sz="6" w:space="0"/>
              <w:bottom w:val="single" w:color="auto" w:sz="6" w:space="0"/>
              <w:right w:val="single" w:color="auto" w:sz="6" w:space="0"/>
            </w:tcBorders>
            <w:vAlign w:val="center"/>
          </w:tcPr>
          <w:p w14:paraId="04D39731">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1.项目负责人（本项满分</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p w14:paraId="76D58684">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正高级职称的得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高级职称的得</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b/>
                <w:bCs/>
                <w:color w:val="auto"/>
                <w:spacing w:val="-2"/>
                <w:sz w:val="24"/>
                <w:szCs w:val="24"/>
                <w:highlight w:val="none"/>
                <w:lang w:eastAsia="zh-CN"/>
              </w:rPr>
              <w:t>（仅按最高的职称计分）</w:t>
            </w:r>
            <w:r>
              <w:rPr>
                <w:rFonts w:hint="eastAsia" w:ascii="仿宋" w:hAnsi="仿宋" w:eastAsia="仿宋" w:cs="仿宋"/>
                <w:color w:val="auto"/>
                <w:spacing w:val="-2"/>
                <w:sz w:val="24"/>
                <w:szCs w:val="24"/>
                <w:highlight w:val="none"/>
                <w:lang w:eastAsia="zh-CN"/>
              </w:rPr>
              <w:t>；</w:t>
            </w:r>
          </w:p>
        </w:tc>
        <w:tc>
          <w:tcPr>
            <w:tcW w:w="1450" w:type="dxa"/>
            <w:tcBorders>
              <w:top w:val="single" w:color="auto" w:sz="6" w:space="0"/>
              <w:left w:val="single" w:color="auto" w:sz="6" w:space="0"/>
              <w:bottom w:val="single" w:color="auto" w:sz="6" w:space="0"/>
              <w:right w:val="single" w:color="auto" w:sz="6" w:space="0"/>
            </w:tcBorders>
          </w:tcPr>
          <w:p w14:paraId="1A4EAC87">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0215706B">
            <w:pPr>
              <w:adjustRightInd w:val="0"/>
              <w:snapToGrid w:val="0"/>
              <w:jc w:val="center"/>
              <w:rPr>
                <w:rFonts w:ascii="仿宋" w:hAnsi="仿宋" w:eastAsia="仿宋"/>
                <w:color w:val="auto"/>
                <w:sz w:val="24"/>
                <w:highlight w:val="none"/>
              </w:rPr>
            </w:pPr>
          </w:p>
        </w:tc>
      </w:tr>
      <w:tr w14:paraId="41F18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41B4B175">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4CFB8CF0">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37BDDC25">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6C40A6DF">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w:t>
            </w:r>
            <w:r>
              <w:rPr>
                <w:rFonts w:hint="eastAsia" w:ascii="仿宋" w:hAnsi="仿宋" w:eastAsia="仿宋" w:cs="仿宋"/>
                <w:b/>
                <w:bCs/>
                <w:color w:val="auto"/>
                <w:spacing w:val="-2"/>
                <w:sz w:val="24"/>
                <w:szCs w:val="24"/>
                <w:highlight w:val="none"/>
                <w:lang w:eastAsia="zh-CN"/>
              </w:rPr>
              <w:t>自2022年1月至今（以合同签订日期为准）</w:t>
            </w:r>
            <w:r>
              <w:rPr>
                <w:rFonts w:hint="eastAsia" w:ascii="仿宋" w:hAnsi="仿宋" w:eastAsia="仿宋" w:cs="仿宋"/>
                <w:color w:val="auto"/>
                <w:spacing w:val="-2"/>
                <w:sz w:val="24"/>
                <w:szCs w:val="24"/>
                <w:highlight w:val="none"/>
                <w:lang w:eastAsia="zh-CN"/>
              </w:rPr>
              <w:t>主持过耕地土壤环境调查或修复、补充耕地土壤环境调查、补充耕地质量评定、第三次全国土壤普查采样</w:t>
            </w:r>
            <w:r>
              <w:rPr>
                <w:rFonts w:hint="eastAsia" w:ascii="仿宋" w:hAnsi="仿宋" w:eastAsia="仿宋" w:cs="仿宋"/>
                <w:color w:val="auto"/>
                <w:spacing w:val="-2"/>
                <w:sz w:val="24"/>
                <w:szCs w:val="24"/>
                <w:highlight w:val="none"/>
                <w:lang w:val="en-US" w:eastAsia="zh-CN"/>
              </w:rPr>
              <w:t>或</w:t>
            </w:r>
            <w:r>
              <w:rPr>
                <w:rFonts w:hint="eastAsia" w:ascii="仿宋" w:hAnsi="仿宋" w:eastAsia="仿宋" w:cs="仿宋"/>
                <w:color w:val="auto"/>
                <w:spacing w:val="-2"/>
                <w:sz w:val="24"/>
                <w:szCs w:val="24"/>
                <w:highlight w:val="none"/>
                <w:lang w:eastAsia="zh-CN"/>
              </w:rPr>
              <w:t>检测项目等耕地土壤环境相关项目，每有1</w:t>
            </w:r>
            <w:r>
              <w:rPr>
                <w:rFonts w:hint="eastAsia" w:ascii="仿宋" w:hAnsi="仿宋" w:eastAsia="仿宋" w:cs="仿宋"/>
                <w:color w:val="auto"/>
                <w:spacing w:val="-2"/>
                <w:sz w:val="24"/>
                <w:szCs w:val="24"/>
                <w:highlight w:val="none"/>
                <w:lang w:val="en-US" w:eastAsia="zh-CN"/>
              </w:rPr>
              <w:t>个</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color w:val="auto"/>
                <w:spacing w:val="-2"/>
                <w:sz w:val="24"/>
                <w:szCs w:val="24"/>
                <w:highlight w:val="none"/>
                <w:lang w:val="en-US" w:eastAsia="zh-CN"/>
              </w:rPr>
              <w:t>需</w:t>
            </w:r>
            <w:r>
              <w:rPr>
                <w:rFonts w:hint="eastAsia" w:ascii="仿宋" w:hAnsi="仿宋" w:eastAsia="仿宋" w:cs="仿宋"/>
                <w:color w:val="auto"/>
                <w:spacing w:val="-2"/>
                <w:sz w:val="24"/>
                <w:szCs w:val="24"/>
                <w:highlight w:val="none"/>
                <w:lang w:eastAsia="zh-CN"/>
              </w:rPr>
              <w:t>提供</w:t>
            </w:r>
            <w:r>
              <w:rPr>
                <w:rFonts w:hint="eastAsia" w:ascii="仿宋" w:hAnsi="仿宋" w:eastAsia="仿宋" w:cs="仿宋"/>
                <w:spacing w:val="-2"/>
                <w:sz w:val="24"/>
                <w:szCs w:val="24"/>
                <w:highlight w:val="none"/>
                <w:lang w:eastAsia="zh-CN"/>
              </w:rPr>
              <w:t>项目负责人业绩证明</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合同原件</w:t>
            </w:r>
            <w:r>
              <w:rPr>
                <w:rFonts w:hint="eastAsia" w:ascii="仿宋" w:hAnsi="仿宋" w:eastAsia="仿宋" w:cs="仿宋"/>
                <w:color w:val="auto"/>
                <w:spacing w:val="-2"/>
                <w:sz w:val="24"/>
                <w:szCs w:val="24"/>
                <w:highlight w:val="none"/>
                <w:lang w:val="en-US" w:eastAsia="zh-CN"/>
              </w:rPr>
              <w:t>扫描件</w:t>
            </w:r>
            <w:r>
              <w:rPr>
                <w:rFonts w:hint="eastAsia" w:ascii="仿宋" w:hAnsi="仿宋" w:eastAsia="仿宋" w:cs="仿宋"/>
                <w:color w:val="auto"/>
                <w:spacing w:val="-2"/>
                <w:sz w:val="24"/>
                <w:szCs w:val="24"/>
                <w:highlight w:val="none"/>
                <w:lang w:eastAsia="zh-CN"/>
              </w:rPr>
              <w:t>。</w:t>
            </w:r>
          </w:p>
        </w:tc>
        <w:tc>
          <w:tcPr>
            <w:tcW w:w="1450" w:type="dxa"/>
            <w:tcBorders>
              <w:top w:val="single" w:color="auto" w:sz="6" w:space="0"/>
              <w:left w:val="single" w:color="auto" w:sz="6" w:space="0"/>
              <w:bottom w:val="single" w:color="auto" w:sz="6" w:space="0"/>
              <w:right w:val="single" w:color="auto" w:sz="6" w:space="0"/>
            </w:tcBorders>
          </w:tcPr>
          <w:p w14:paraId="061341EF">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39FA0D29">
            <w:pPr>
              <w:adjustRightInd w:val="0"/>
              <w:snapToGrid w:val="0"/>
              <w:jc w:val="center"/>
              <w:rPr>
                <w:rFonts w:ascii="仿宋" w:hAnsi="仿宋" w:eastAsia="仿宋"/>
                <w:color w:val="auto"/>
                <w:sz w:val="24"/>
                <w:highlight w:val="none"/>
              </w:rPr>
            </w:pPr>
          </w:p>
        </w:tc>
      </w:tr>
      <w:tr w14:paraId="04187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5BF51DD3">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70D1C897">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13E5ECD7">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3BE5EE48">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）自2022年1月至今</w:t>
            </w:r>
            <w:r>
              <w:rPr>
                <w:rFonts w:hint="eastAsia" w:ascii="仿宋" w:hAnsi="仿宋" w:eastAsia="仿宋" w:cs="仿宋"/>
                <w:b/>
                <w:bCs/>
                <w:color w:val="auto"/>
                <w:spacing w:val="-2"/>
                <w:sz w:val="24"/>
                <w:szCs w:val="24"/>
                <w:highlight w:val="none"/>
                <w:lang w:eastAsia="zh-CN"/>
              </w:rPr>
              <w:t>（以</w:t>
            </w:r>
            <w:r>
              <w:rPr>
                <w:rFonts w:hint="eastAsia" w:ascii="仿宋" w:hAnsi="仿宋" w:eastAsia="仿宋" w:cs="仿宋"/>
                <w:b/>
                <w:bCs/>
                <w:color w:val="auto"/>
                <w:spacing w:val="-2"/>
                <w:sz w:val="24"/>
                <w:szCs w:val="24"/>
                <w:highlight w:val="none"/>
                <w:lang w:val="en-US" w:eastAsia="zh-CN"/>
              </w:rPr>
              <w:t>奖项证书签发时间</w:t>
            </w:r>
            <w:r>
              <w:rPr>
                <w:rFonts w:hint="eastAsia" w:ascii="仿宋" w:hAnsi="仿宋" w:eastAsia="仿宋" w:cs="仿宋"/>
                <w:b/>
                <w:bCs/>
                <w:color w:val="auto"/>
                <w:spacing w:val="-2"/>
                <w:sz w:val="24"/>
                <w:szCs w:val="24"/>
                <w:highlight w:val="none"/>
                <w:lang w:eastAsia="zh-CN"/>
              </w:rPr>
              <w:t>为准）</w:t>
            </w:r>
            <w:r>
              <w:rPr>
                <w:rFonts w:hint="eastAsia" w:ascii="仿宋" w:hAnsi="仿宋" w:eastAsia="仿宋" w:cs="仿宋"/>
                <w:color w:val="auto"/>
                <w:spacing w:val="-2"/>
                <w:sz w:val="24"/>
                <w:szCs w:val="24"/>
                <w:highlight w:val="none"/>
                <w:lang w:eastAsia="zh-CN"/>
              </w:rPr>
              <w:t>获得过农业类或土壤类或环境类或地质类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国家级奖项的得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分，获得过省级奖项的的</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b/>
                <w:bCs/>
                <w:color w:val="auto"/>
                <w:spacing w:val="-2"/>
                <w:sz w:val="24"/>
                <w:szCs w:val="24"/>
                <w:highlight w:val="none"/>
                <w:lang w:eastAsia="zh-CN"/>
              </w:rPr>
              <w:t>（仅按最高级别奖项计分）</w:t>
            </w:r>
            <w:r>
              <w:rPr>
                <w:rFonts w:hint="eastAsia" w:ascii="仿宋" w:hAnsi="仿宋" w:eastAsia="仿宋" w:cs="仿宋"/>
                <w:color w:val="auto"/>
                <w:spacing w:val="-2"/>
                <w:sz w:val="24"/>
                <w:szCs w:val="24"/>
                <w:highlight w:val="none"/>
                <w:lang w:eastAsia="zh-CN"/>
              </w:rPr>
              <w:t>；</w:t>
            </w:r>
          </w:p>
        </w:tc>
        <w:tc>
          <w:tcPr>
            <w:tcW w:w="1450" w:type="dxa"/>
            <w:tcBorders>
              <w:top w:val="single" w:color="auto" w:sz="6" w:space="0"/>
              <w:left w:val="single" w:color="auto" w:sz="6" w:space="0"/>
              <w:bottom w:val="single" w:color="auto" w:sz="6" w:space="0"/>
              <w:right w:val="single" w:color="auto" w:sz="6" w:space="0"/>
            </w:tcBorders>
          </w:tcPr>
          <w:p w14:paraId="6C326633">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7277A5C8">
            <w:pPr>
              <w:adjustRightInd w:val="0"/>
              <w:snapToGrid w:val="0"/>
              <w:jc w:val="center"/>
              <w:rPr>
                <w:rFonts w:ascii="仿宋" w:hAnsi="仿宋" w:eastAsia="仿宋"/>
                <w:color w:val="auto"/>
                <w:sz w:val="24"/>
                <w:highlight w:val="none"/>
              </w:rPr>
            </w:pPr>
          </w:p>
        </w:tc>
      </w:tr>
      <w:tr w14:paraId="58FBE3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072514B7">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3E84001D">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58024CE1">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78DE3AA0">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2.项目组成员（不含项目负责人，本项满分</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p w14:paraId="5DBE2FF1">
            <w:pPr>
              <w:pStyle w:val="53"/>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eastAsia="zh-CN"/>
              </w:rPr>
              <w:t>（1）具有农业类或土壤类或环境类或地质类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相关专业高级及以上职称，每有1人得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分，具有农业类或土壤类或环境类或地质类</w:t>
            </w:r>
            <w:r>
              <w:rPr>
                <w:rFonts w:hint="eastAsia" w:ascii="仿宋" w:hAnsi="仿宋" w:eastAsia="仿宋" w:cs="仿宋"/>
                <w:color w:val="auto"/>
                <w:spacing w:val="-2"/>
                <w:sz w:val="24"/>
                <w:szCs w:val="24"/>
                <w:highlight w:val="none"/>
                <w:lang w:val="en-US" w:eastAsia="zh-CN"/>
              </w:rPr>
              <w:t>或土地管理类</w:t>
            </w:r>
            <w:r>
              <w:rPr>
                <w:rFonts w:hint="eastAsia" w:ascii="仿宋" w:hAnsi="仿宋" w:eastAsia="仿宋" w:cs="仿宋"/>
                <w:color w:val="auto"/>
                <w:spacing w:val="-2"/>
                <w:sz w:val="24"/>
                <w:szCs w:val="24"/>
                <w:highlight w:val="none"/>
                <w:lang w:eastAsia="zh-CN"/>
              </w:rPr>
              <w:t>相关专业中级及以上职称，每有1人得</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10</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6A651ADB">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78892E06">
            <w:pPr>
              <w:adjustRightInd w:val="0"/>
              <w:snapToGrid w:val="0"/>
              <w:jc w:val="center"/>
              <w:rPr>
                <w:rFonts w:ascii="仿宋" w:hAnsi="仿宋" w:eastAsia="仿宋"/>
                <w:color w:val="auto"/>
                <w:sz w:val="24"/>
                <w:highlight w:val="none"/>
              </w:rPr>
            </w:pPr>
          </w:p>
        </w:tc>
      </w:tr>
      <w:tr w14:paraId="27AD36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A09CC49">
            <w:pPr>
              <w:adjustRightInd w:val="0"/>
              <w:snapToGrid w:val="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w:t>
            </w:r>
          </w:p>
        </w:tc>
        <w:tc>
          <w:tcPr>
            <w:tcW w:w="1260" w:type="dxa"/>
            <w:tcBorders>
              <w:top w:val="single" w:color="auto" w:sz="6" w:space="0"/>
              <w:left w:val="single" w:color="auto" w:sz="6" w:space="0"/>
              <w:bottom w:val="single" w:color="auto" w:sz="6" w:space="0"/>
              <w:right w:val="single" w:color="auto" w:sz="6" w:space="0"/>
            </w:tcBorders>
            <w:vAlign w:val="center"/>
          </w:tcPr>
          <w:p w14:paraId="2CA966A6">
            <w:pPr>
              <w:adjustRightInd w:val="0"/>
              <w:snapToGrid w:val="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投标人业绩</w:t>
            </w:r>
          </w:p>
        </w:tc>
        <w:tc>
          <w:tcPr>
            <w:tcW w:w="817" w:type="dxa"/>
            <w:tcBorders>
              <w:top w:val="single" w:color="auto" w:sz="6" w:space="0"/>
              <w:left w:val="single" w:color="auto" w:sz="6" w:space="0"/>
              <w:bottom w:val="single" w:color="auto" w:sz="6" w:space="0"/>
              <w:right w:val="single" w:color="auto" w:sz="6" w:space="0"/>
            </w:tcBorders>
            <w:vAlign w:val="center"/>
          </w:tcPr>
          <w:p w14:paraId="016DDF92">
            <w:pPr>
              <w:adjustRightInd w:val="0"/>
              <w:snapToGrid w:val="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13</w:t>
            </w:r>
          </w:p>
        </w:tc>
        <w:tc>
          <w:tcPr>
            <w:tcW w:w="4533" w:type="dxa"/>
            <w:tcBorders>
              <w:top w:val="single" w:color="auto" w:sz="6" w:space="0"/>
              <w:left w:val="single" w:color="auto" w:sz="6" w:space="0"/>
              <w:bottom w:val="single" w:color="auto" w:sz="6" w:space="0"/>
              <w:right w:val="single" w:color="auto" w:sz="6" w:space="0"/>
            </w:tcBorders>
            <w:vAlign w:val="center"/>
          </w:tcPr>
          <w:p w14:paraId="4548F5E3">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响应供应商</w:t>
            </w:r>
            <w:r>
              <w:rPr>
                <w:rFonts w:hint="eastAsia" w:ascii="仿宋" w:hAnsi="仿宋" w:eastAsia="仿宋" w:cs="仿宋"/>
                <w:b/>
                <w:bCs/>
                <w:color w:val="auto"/>
                <w:spacing w:val="-2"/>
                <w:sz w:val="24"/>
                <w:szCs w:val="24"/>
                <w:highlight w:val="none"/>
                <w:lang w:eastAsia="zh-CN"/>
              </w:rPr>
              <w:t>自202</w:t>
            </w:r>
            <w:r>
              <w:rPr>
                <w:rFonts w:hint="eastAsia" w:ascii="仿宋" w:hAnsi="仿宋" w:eastAsia="仿宋" w:cs="仿宋"/>
                <w:b/>
                <w:bCs/>
                <w:color w:val="auto"/>
                <w:spacing w:val="-2"/>
                <w:sz w:val="24"/>
                <w:szCs w:val="24"/>
                <w:highlight w:val="none"/>
                <w:lang w:val="en-US" w:eastAsia="zh-CN"/>
              </w:rPr>
              <w:t>2</w:t>
            </w:r>
            <w:r>
              <w:rPr>
                <w:rFonts w:hint="eastAsia" w:ascii="仿宋" w:hAnsi="仿宋" w:eastAsia="仿宋" w:cs="仿宋"/>
                <w:b/>
                <w:bCs/>
                <w:color w:val="auto"/>
                <w:spacing w:val="-2"/>
                <w:sz w:val="24"/>
                <w:szCs w:val="24"/>
                <w:highlight w:val="none"/>
                <w:lang w:eastAsia="zh-CN"/>
              </w:rPr>
              <w:t>年</w:t>
            </w:r>
            <w:r>
              <w:rPr>
                <w:rFonts w:hint="eastAsia" w:ascii="仿宋" w:hAnsi="仿宋" w:eastAsia="仿宋" w:cs="仿宋"/>
                <w:b/>
                <w:bCs/>
                <w:color w:val="auto"/>
                <w:spacing w:val="-2"/>
                <w:sz w:val="24"/>
                <w:szCs w:val="24"/>
                <w:highlight w:val="none"/>
                <w:lang w:val="en-US" w:eastAsia="zh-CN"/>
              </w:rPr>
              <w:t>1</w:t>
            </w:r>
            <w:r>
              <w:rPr>
                <w:rFonts w:hint="eastAsia" w:ascii="仿宋" w:hAnsi="仿宋" w:eastAsia="仿宋" w:cs="仿宋"/>
                <w:b/>
                <w:bCs/>
                <w:color w:val="auto"/>
                <w:spacing w:val="-2"/>
                <w:sz w:val="24"/>
                <w:szCs w:val="24"/>
                <w:highlight w:val="none"/>
                <w:lang w:eastAsia="zh-CN"/>
              </w:rPr>
              <w:t>月至今（以合同签订日期为准）</w:t>
            </w:r>
            <w:r>
              <w:rPr>
                <w:rFonts w:hint="eastAsia" w:ascii="仿宋" w:hAnsi="仿宋" w:eastAsia="仿宋" w:cs="仿宋"/>
                <w:color w:val="auto"/>
                <w:spacing w:val="-2"/>
                <w:sz w:val="24"/>
                <w:szCs w:val="24"/>
                <w:highlight w:val="none"/>
                <w:lang w:eastAsia="zh-CN"/>
              </w:rPr>
              <w:t>承担过土壤污染状况调查项目</w:t>
            </w:r>
            <w:r>
              <w:rPr>
                <w:rFonts w:hint="eastAsia" w:ascii="仿宋" w:hAnsi="仿宋" w:eastAsia="仿宋" w:cs="仿宋"/>
                <w:color w:val="auto"/>
                <w:spacing w:val="-2"/>
                <w:sz w:val="24"/>
                <w:szCs w:val="24"/>
                <w:highlight w:val="none"/>
                <w:lang w:val="en-US" w:eastAsia="zh-CN"/>
              </w:rPr>
              <w:t>的</w:t>
            </w:r>
            <w:r>
              <w:rPr>
                <w:rFonts w:hint="eastAsia" w:ascii="仿宋" w:hAnsi="仿宋" w:eastAsia="仿宋" w:cs="仿宋"/>
                <w:color w:val="auto"/>
                <w:spacing w:val="-2"/>
                <w:sz w:val="24"/>
                <w:szCs w:val="24"/>
                <w:highlight w:val="none"/>
                <w:lang w:eastAsia="zh-CN"/>
              </w:rPr>
              <w:t>，每提供1份</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lang w:eastAsia="zh-CN"/>
              </w:rPr>
              <w:t>分；承担过补充耕地质量评定或鉴定项目</w:t>
            </w:r>
            <w:r>
              <w:rPr>
                <w:rFonts w:hint="eastAsia" w:ascii="仿宋" w:hAnsi="仿宋" w:eastAsia="仿宋" w:cs="仿宋"/>
                <w:color w:val="auto"/>
                <w:spacing w:val="-2"/>
                <w:sz w:val="24"/>
                <w:szCs w:val="24"/>
                <w:highlight w:val="none"/>
                <w:lang w:val="en-US" w:eastAsia="zh-CN"/>
              </w:rPr>
              <w:t>的</w:t>
            </w:r>
            <w:r>
              <w:rPr>
                <w:rFonts w:hint="eastAsia" w:ascii="仿宋" w:hAnsi="仿宋" w:eastAsia="仿宋" w:cs="仿宋"/>
                <w:color w:val="auto"/>
                <w:spacing w:val="-2"/>
                <w:sz w:val="24"/>
                <w:szCs w:val="24"/>
                <w:highlight w:val="none"/>
                <w:lang w:eastAsia="zh-CN"/>
              </w:rPr>
              <w:t>，每提供1份</w:t>
            </w:r>
            <w:r>
              <w:rPr>
                <w:rFonts w:hint="eastAsia" w:ascii="仿宋" w:hAnsi="仿宋" w:eastAsia="仿宋" w:cs="仿宋"/>
                <w:color w:val="auto"/>
                <w:spacing w:val="-2"/>
                <w:sz w:val="24"/>
                <w:szCs w:val="24"/>
                <w:highlight w:val="none"/>
                <w:lang w:val="en-US" w:eastAsia="zh-CN"/>
              </w:rPr>
              <w:t>业绩</w:t>
            </w:r>
            <w:r>
              <w:rPr>
                <w:rFonts w:hint="eastAsia" w:ascii="仿宋" w:hAnsi="仿宋" w:eastAsia="仿宋" w:cs="仿宋"/>
                <w:color w:val="auto"/>
                <w:spacing w:val="-2"/>
                <w:sz w:val="24"/>
                <w:szCs w:val="24"/>
                <w:highlight w:val="none"/>
                <w:lang w:eastAsia="zh-CN"/>
              </w:rPr>
              <w:t>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分，最高得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w:t>
            </w:r>
            <w:r>
              <w:rPr>
                <w:rFonts w:hint="eastAsia" w:ascii="仿宋" w:hAnsi="仿宋" w:eastAsia="仿宋" w:cs="仿宋"/>
                <w:color w:val="auto"/>
                <w:spacing w:val="-2"/>
                <w:sz w:val="24"/>
                <w:szCs w:val="24"/>
                <w:highlight w:val="none"/>
                <w:lang w:val="en-US" w:eastAsia="zh-CN"/>
              </w:rPr>
              <w:t>本项</w:t>
            </w:r>
            <w:r>
              <w:rPr>
                <w:rFonts w:hint="eastAsia" w:ascii="仿宋" w:hAnsi="仿宋" w:eastAsia="仿宋" w:cs="仿宋"/>
                <w:color w:val="auto"/>
                <w:spacing w:val="-2"/>
                <w:sz w:val="24"/>
                <w:szCs w:val="24"/>
                <w:highlight w:val="none"/>
                <w:lang w:eastAsia="zh-CN"/>
              </w:rPr>
              <w:t>最高得</w:t>
            </w:r>
            <w:r>
              <w:rPr>
                <w:rFonts w:hint="eastAsia" w:ascii="仿宋" w:hAnsi="仿宋" w:eastAsia="仿宋" w:cs="仿宋"/>
                <w:color w:val="auto"/>
                <w:spacing w:val="-2"/>
                <w:sz w:val="24"/>
                <w:szCs w:val="24"/>
                <w:highlight w:val="none"/>
                <w:lang w:val="en-US" w:eastAsia="zh-CN"/>
              </w:rPr>
              <w:t>13</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086A049C">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3BF67554">
            <w:pPr>
              <w:adjustRightInd w:val="0"/>
              <w:snapToGrid w:val="0"/>
              <w:jc w:val="center"/>
              <w:rPr>
                <w:rFonts w:ascii="仿宋" w:hAnsi="仿宋" w:eastAsia="仿宋"/>
                <w:color w:val="auto"/>
                <w:sz w:val="24"/>
                <w:highlight w:val="none"/>
              </w:rPr>
            </w:pPr>
          </w:p>
        </w:tc>
      </w:tr>
      <w:tr w14:paraId="3B74C1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left w:val="single" w:color="auto" w:sz="12" w:space="0"/>
              <w:right w:val="single" w:color="auto" w:sz="6" w:space="0"/>
            </w:tcBorders>
            <w:vAlign w:val="center"/>
          </w:tcPr>
          <w:p w14:paraId="7423D0F3">
            <w:pPr>
              <w:adjustRightInd w:val="0"/>
              <w:snapToGrid w:val="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w:t>
            </w:r>
          </w:p>
        </w:tc>
        <w:tc>
          <w:tcPr>
            <w:tcW w:w="1260" w:type="dxa"/>
            <w:vMerge w:val="restart"/>
            <w:tcBorders>
              <w:left w:val="single" w:color="auto" w:sz="6" w:space="0"/>
              <w:right w:val="single" w:color="auto" w:sz="6" w:space="0"/>
            </w:tcBorders>
            <w:vAlign w:val="center"/>
          </w:tcPr>
          <w:p w14:paraId="364EBD9F">
            <w:pPr>
              <w:adjustRightInd w:val="0"/>
              <w:snapToGrid w:val="0"/>
              <w:jc w:val="center"/>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pacing w:val="-6"/>
                <w:sz w:val="24"/>
                <w:szCs w:val="24"/>
                <w:highlight w:val="none"/>
                <w:lang w:eastAsia="zh-CN"/>
              </w:rPr>
              <w:t>实力</w:t>
            </w:r>
          </w:p>
        </w:tc>
        <w:tc>
          <w:tcPr>
            <w:tcW w:w="817" w:type="dxa"/>
            <w:vMerge w:val="restart"/>
            <w:tcBorders>
              <w:left w:val="single" w:color="auto" w:sz="6" w:space="0"/>
              <w:right w:val="single" w:color="auto" w:sz="6" w:space="0"/>
            </w:tcBorders>
            <w:vAlign w:val="center"/>
          </w:tcPr>
          <w:p w14:paraId="209EC765">
            <w:pPr>
              <w:adjustRightInd w:val="0"/>
              <w:snapToGrid w:val="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16</w:t>
            </w:r>
          </w:p>
        </w:tc>
        <w:tc>
          <w:tcPr>
            <w:tcW w:w="4533" w:type="dxa"/>
            <w:tcBorders>
              <w:top w:val="single" w:color="auto" w:sz="6" w:space="0"/>
              <w:left w:val="single" w:color="auto" w:sz="6" w:space="0"/>
              <w:bottom w:val="single" w:color="auto" w:sz="6" w:space="0"/>
              <w:right w:val="single" w:color="auto" w:sz="6" w:space="0"/>
            </w:tcBorders>
            <w:vAlign w:val="center"/>
          </w:tcPr>
          <w:p w14:paraId="2BAAF91C">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、奖项与科研成果：</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0B6CDED5">
            <w:pPr>
              <w:pStyle w:val="53"/>
              <w:rPr>
                <w:rFonts w:ascii="仿宋" w:hAnsi="仿宋" w:eastAsia="仿宋"/>
                <w:color w:val="auto"/>
                <w:sz w:val="24"/>
                <w:highlight w:val="none"/>
              </w:rPr>
            </w:pPr>
            <w:r>
              <w:rPr>
                <w:rFonts w:hint="eastAsia" w:ascii="仿宋" w:hAnsi="仿宋" w:eastAsia="仿宋"/>
                <w:color w:val="auto"/>
                <w:sz w:val="24"/>
                <w:highlight w:val="none"/>
                <w:lang w:val="en-US" w:eastAsia="zh-CN"/>
              </w:rPr>
              <w:t>投标人自2022年1月以来</w:t>
            </w:r>
            <w:r>
              <w:rPr>
                <w:rFonts w:hint="eastAsia" w:ascii="仿宋" w:hAnsi="仿宋" w:eastAsia="仿宋"/>
                <w:b/>
                <w:bCs/>
                <w:color w:val="auto"/>
                <w:sz w:val="24"/>
                <w:highlight w:val="none"/>
                <w:lang w:val="en-US" w:eastAsia="zh-CN"/>
              </w:rPr>
              <w:t>（以奖项证书签发时间为准）</w:t>
            </w:r>
            <w:r>
              <w:rPr>
                <w:rFonts w:hint="eastAsia" w:ascii="仿宋" w:hAnsi="仿宋" w:eastAsia="仿宋"/>
                <w:color w:val="auto"/>
                <w:sz w:val="24"/>
                <w:highlight w:val="none"/>
                <w:lang w:val="en-US" w:eastAsia="zh-CN"/>
              </w:rPr>
              <w:t>获得与本项目相关的行政主管部门颁发的奖项，每有一项得2分，最高4分；投标人获得土壤污染调查、耕地质量等级评价相关专利的，每有1项得2分，最高得4分。</w:t>
            </w:r>
            <w:r>
              <w:rPr>
                <w:rFonts w:hint="eastAsia" w:ascii="仿宋" w:hAnsi="仿宋" w:eastAsia="仿宋" w:cs="仿宋"/>
                <w:color w:val="auto"/>
                <w:spacing w:val="-2"/>
                <w:sz w:val="24"/>
                <w:szCs w:val="24"/>
                <w:highlight w:val="none"/>
                <w:lang w:eastAsia="zh-CN"/>
              </w:rPr>
              <w:t>本项最高得</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17A12638">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16DBE7DD">
            <w:pPr>
              <w:adjustRightInd w:val="0"/>
              <w:snapToGrid w:val="0"/>
              <w:jc w:val="center"/>
              <w:rPr>
                <w:rFonts w:ascii="仿宋" w:hAnsi="仿宋" w:eastAsia="仿宋"/>
                <w:color w:val="auto"/>
                <w:sz w:val="24"/>
                <w:highlight w:val="none"/>
              </w:rPr>
            </w:pPr>
          </w:p>
        </w:tc>
      </w:tr>
      <w:tr w14:paraId="3B122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vAlign w:val="center"/>
          </w:tcPr>
          <w:p w14:paraId="50E93878">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bottom w:val="single" w:color="auto" w:sz="6" w:space="0"/>
              <w:right w:val="single" w:color="auto" w:sz="6" w:space="0"/>
            </w:tcBorders>
            <w:vAlign w:val="center"/>
          </w:tcPr>
          <w:p w14:paraId="1874B591">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bottom w:val="single" w:color="auto" w:sz="6" w:space="0"/>
              <w:right w:val="single" w:color="auto" w:sz="6" w:space="0"/>
            </w:tcBorders>
            <w:vAlign w:val="center"/>
          </w:tcPr>
          <w:p w14:paraId="5B102FB8">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39714821">
            <w:pPr>
              <w:pStyle w:val="53"/>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、设备能力：</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p w14:paraId="4359C742">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投标人</w:t>
            </w:r>
            <w:r>
              <w:rPr>
                <w:rFonts w:hint="eastAsia" w:ascii="仿宋" w:hAnsi="仿宋" w:eastAsia="仿宋" w:cs="仿宋"/>
                <w:color w:val="auto"/>
                <w:spacing w:val="-2"/>
                <w:sz w:val="24"/>
                <w:szCs w:val="24"/>
                <w:highlight w:val="none"/>
                <w:lang w:eastAsia="zh-CN"/>
              </w:rPr>
              <w:t>自有或租赁土壤调查相关辅助设备：XRF、PID、RTK、无人机等，每具备1项设备得</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分。本项最高得</w:t>
            </w:r>
            <w:r>
              <w:rPr>
                <w:rFonts w:hint="eastAsia" w:ascii="仿宋" w:hAnsi="仿宋" w:eastAsia="仿宋" w:cs="仿宋"/>
                <w:color w:val="auto"/>
                <w:spacing w:val="-2"/>
                <w:sz w:val="24"/>
                <w:szCs w:val="24"/>
                <w:highlight w:val="none"/>
                <w:lang w:val="en-US" w:eastAsia="zh-CN"/>
              </w:rPr>
              <w:t>8</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08225023">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77217922">
            <w:pPr>
              <w:adjustRightInd w:val="0"/>
              <w:snapToGrid w:val="0"/>
              <w:jc w:val="center"/>
              <w:rPr>
                <w:rFonts w:ascii="仿宋" w:hAnsi="仿宋" w:eastAsia="仿宋"/>
                <w:color w:val="auto"/>
                <w:sz w:val="24"/>
                <w:highlight w:val="none"/>
              </w:rPr>
            </w:pPr>
          </w:p>
        </w:tc>
      </w:tr>
      <w:tr w14:paraId="06BB8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vAlign w:val="center"/>
          </w:tcPr>
          <w:p w14:paraId="7AA33084">
            <w:pPr>
              <w:adjustRightInd w:val="0"/>
              <w:snapToGrid w:val="0"/>
              <w:jc w:val="center"/>
              <w:rPr>
                <w:rFonts w:hint="eastAsia" w:ascii="仿宋" w:hAnsi="仿宋" w:eastAsia="仿宋"/>
                <w:color w:val="auto"/>
                <w:sz w:val="24"/>
                <w:highlight w:val="none"/>
                <w:lang w:val="en-US" w:eastAsia="zh-CN"/>
              </w:rPr>
            </w:pPr>
            <w:r>
              <w:rPr>
                <w:rFonts w:hint="eastAsia" w:ascii="仿宋" w:hAnsi="仿宋" w:eastAsia="仿宋" w:cs="仿宋"/>
                <w:color w:val="auto"/>
                <w:sz w:val="24"/>
                <w:szCs w:val="24"/>
                <w:highlight w:val="none"/>
                <w:lang w:val="en-US" w:eastAsia="zh-CN"/>
              </w:rPr>
              <w:t>4</w:t>
            </w:r>
          </w:p>
        </w:tc>
        <w:tc>
          <w:tcPr>
            <w:tcW w:w="1260" w:type="dxa"/>
            <w:vMerge w:val="restart"/>
            <w:tcBorders>
              <w:top w:val="single" w:color="auto" w:sz="6" w:space="0"/>
              <w:left w:val="single" w:color="auto" w:sz="6" w:space="0"/>
              <w:right w:val="single" w:color="auto" w:sz="6" w:space="0"/>
            </w:tcBorders>
            <w:vAlign w:val="center"/>
          </w:tcPr>
          <w:p w14:paraId="6D5ED835">
            <w:pPr>
              <w:adjustRightInd w:val="0"/>
              <w:snapToGrid w:val="0"/>
              <w:jc w:val="center"/>
              <w:rPr>
                <w:rFonts w:ascii="仿宋" w:hAnsi="仿宋" w:eastAsia="仿宋"/>
                <w:color w:val="auto"/>
                <w:sz w:val="24"/>
                <w:highlight w:val="none"/>
              </w:rPr>
            </w:pPr>
            <w:r>
              <w:rPr>
                <w:rFonts w:hint="eastAsia" w:ascii="仿宋" w:hAnsi="仿宋" w:eastAsia="仿宋" w:cs="仿宋"/>
                <w:sz w:val="22"/>
                <w:highlight w:val="none"/>
              </w:rPr>
              <w:t>检测实验室</w:t>
            </w:r>
          </w:p>
        </w:tc>
        <w:tc>
          <w:tcPr>
            <w:tcW w:w="817" w:type="dxa"/>
            <w:vMerge w:val="restart"/>
            <w:tcBorders>
              <w:top w:val="single" w:color="auto" w:sz="6" w:space="0"/>
              <w:left w:val="single" w:color="auto" w:sz="6" w:space="0"/>
              <w:right w:val="single" w:color="auto" w:sz="6" w:space="0"/>
            </w:tcBorders>
            <w:vAlign w:val="center"/>
          </w:tcPr>
          <w:p w14:paraId="6C45BBDB">
            <w:pPr>
              <w:adjustRightInd w:val="0"/>
              <w:snapToGrid w:val="0"/>
              <w:jc w:val="center"/>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15</w:t>
            </w:r>
          </w:p>
        </w:tc>
        <w:tc>
          <w:tcPr>
            <w:tcW w:w="4533" w:type="dxa"/>
            <w:tcBorders>
              <w:top w:val="single" w:color="auto" w:sz="6" w:space="0"/>
              <w:left w:val="single" w:color="auto" w:sz="6" w:space="0"/>
              <w:bottom w:val="single" w:color="auto" w:sz="6" w:space="0"/>
              <w:right w:val="single" w:color="auto" w:sz="6" w:space="0"/>
            </w:tcBorders>
            <w:vAlign w:val="center"/>
          </w:tcPr>
          <w:p w14:paraId="036B15EC">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1、检测实验室（</w:t>
            </w:r>
            <w:r>
              <w:rPr>
                <w:rFonts w:hint="eastAsia" w:ascii="仿宋" w:hAnsi="仿宋" w:eastAsia="仿宋" w:cs="仿宋"/>
                <w:b/>
                <w:color w:val="auto"/>
                <w:sz w:val="22"/>
                <w:highlight w:val="none"/>
                <w:lang w:val="en-US" w:eastAsia="zh-CN"/>
              </w:rPr>
              <w:t>3</w:t>
            </w:r>
            <w:r>
              <w:rPr>
                <w:rFonts w:hint="eastAsia" w:ascii="仿宋" w:hAnsi="仿宋" w:eastAsia="仿宋" w:cs="仿宋"/>
                <w:b/>
                <w:color w:val="auto"/>
                <w:sz w:val="22"/>
                <w:highlight w:val="none"/>
              </w:rPr>
              <w:t>分）</w:t>
            </w:r>
          </w:p>
          <w:p w14:paraId="3D89951E">
            <w:pPr>
              <w:adjustRightInd w:val="0"/>
              <w:snapToGrid w:val="0"/>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投标人</w:t>
            </w:r>
            <w:r>
              <w:rPr>
                <w:rFonts w:hint="eastAsia" w:ascii="仿宋" w:hAnsi="仿宋" w:eastAsia="仿宋" w:cs="仿宋"/>
                <w:b/>
                <w:bCs/>
                <w:color w:val="auto"/>
                <w:spacing w:val="-2"/>
                <w:sz w:val="24"/>
                <w:szCs w:val="24"/>
                <w:highlight w:val="none"/>
                <w:lang w:eastAsia="zh-CN"/>
              </w:rPr>
              <w:t>自有、控股</w:t>
            </w:r>
            <w:r>
              <w:rPr>
                <w:rFonts w:hint="eastAsia" w:ascii="仿宋" w:hAnsi="仿宋" w:eastAsia="仿宋" w:cs="仿宋"/>
                <w:b/>
                <w:bCs/>
                <w:color w:val="auto"/>
                <w:spacing w:val="-2"/>
                <w:sz w:val="24"/>
                <w:szCs w:val="24"/>
                <w:highlight w:val="none"/>
                <w:lang w:val="en-US" w:eastAsia="zh-CN"/>
              </w:rPr>
              <w:t>或</w:t>
            </w:r>
            <w:r>
              <w:rPr>
                <w:rFonts w:hint="eastAsia" w:ascii="仿宋" w:hAnsi="仿宋" w:eastAsia="仿宋" w:cs="仿宋"/>
                <w:b/>
                <w:bCs/>
                <w:color w:val="auto"/>
                <w:spacing w:val="-2"/>
                <w:sz w:val="24"/>
                <w:szCs w:val="24"/>
                <w:highlight w:val="none"/>
                <w:lang w:eastAsia="zh-CN"/>
              </w:rPr>
              <w:t>委托</w:t>
            </w:r>
            <w:r>
              <w:rPr>
                <w:rFonts w:hint="eastAsia" w:ascii="仿宋" w:hAnsi="仿宋" w:eastAsia="仿宋" w:cs="仿宋"/>
                <w:color w:val="auto"/>
                <w:spacing w:val="-2"/>
                <w:sz w:val="24"/>
                <w:szCs w:val="24"/>
                <w:highlight w:val="none"/>
                <w:lang w:eastAsia="zh-CN"/>
              </w:rPr>
              <w:t>检测实验室并拥有省级（含）以上市场监督管理部门颁发的有效期内CMA检验检测机构资质认定证书的，得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47DFA97A">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767E5D2D">
            <w:pPr>
              <w:adjustRightInd w:val="0"/>
              <w:snapToGrid w:val="0"/>
              <w:jc w:val="center"/>
              <w:rPr>
                <w:rFonts w:ascii="仿宋" w:hAnsi="仿宋" w:eastAsia="仿宋"/>
                <w:color w:val="auto"/>
                <w:sz w:val="24"/>
                <w:highlight w:val="none"/>
              </w:rPr>
            </w:pPr>
          </w:p>
        </w:tc>
      </w:tr>
      <w:tr w14:paraId="057BDB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1594C888">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699F5745">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459C28FD">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696C4FC8">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2、自有或控股或协议委托的实验室能力（</w:t>
            </w:r>
            <w:r>
              <w:rPr>
                <w:rFonts w:hint="eastAsia" w:ascii="仿宋" w:hAnsi="仿宋" w:eastAsia="仿宋" w:cs="仿宋"/>
                <w:b/>
                <w:color w:val="auto"/>
                <w:sz w:val="22"/>
                <w:highlight w:val="none"/>
                <w:lang w:val="en-US" w:eastAsia="zh-CN"/>
              </w:rPr>
              <w:t>12</w:t>
            </w:r>
            <w:r>
              <w:rPr>
                <w:rFonts w:hint="eastAsia" w:ascii="仿宋" w:hAnsi="仿宋" w:eastAsia="仿宋" w:cs="仿宋"/>
                <w:b/>
                <w:color w:val="auto"/>
                <w:sz w:val="22"/>
                <w:highlight w:val="none"/>
              </w:rPr>
              <w:t>分）</w:t>
            </w:r>
          </w:p>
          <w:p w14:paraId="22D11C79">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）实验室CMA资质能力附表参数对土壤16项检测指标（有机质、全氮、有效磷、速效钾、pH、容重、质地、水溶性盐、镉、汞、砷、铅、铬、铜、镍、锌）的覆盖情况，覆盖率达100%的得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分，达不到不得分。本项最高得</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74072D70">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1BC896F4">
            <w:pPr>
              <w:adjustRightInd w:val="0"/>
              <w:snapToGrid w:val="0"/>
              <w:jc w:val="center"/>
              <w:rPr>
                <w:rFonts w:ascii="仿宋" w:hAnsi="仿宋" w:eastAsia="仿宋"/>
                <w:color w:val="auto"/>
                <w:sz w:val="24"/>
                <w:highlight w:val="none"/>
              </w:rPr>
            </w:pPr>
          </w:p>
        </w:tc>
      </w:tr>
      <w:tr w14:paraId="4A78E7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3729FF58">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17FE6926">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48513EA0">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3A4837E2">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）实验室CMA资质能力涵盖土壤PAHs及农药类（苯并〔a〕芘、六六六、滴滴涕）得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分，达不到不得分。本项最高得</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分。</w:t>
            </w:r>
          </w:p>
        </w:tc>
        <w:tc>
          <w:tcPr>
            <w:tcW w:w="1450" w:type="dxa"/>
            <w:tcBorders>
              <w:top w:val="single" w:color="auto" w:sz="6" w:space="0"/>
              <w:left w:val="single" w:color="auto" w:sz="6" w:space="0"/>
              <w:bottom w:val="single" w:color="auto" w:sz="6" w:space="0"/>
              <w:right w:val="single" w:color="auto" w:sz="6" w:space="0"/>
            </w:tcBorders>
          </w:tcPr>
          <w:p w14:paraId="72916EA4">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0F17A101">
            <w:pPr>
              <w:adjustRightInd w:val="0"/>
              <w:snapToGrid w:val="0"/>
              <w:jc w:val="center"/>
              <w:rPr>
                <w:rFonts w:ascii="仿宋" w:hAnsi="仿宋" w:eastAsia="仿宋"/>
                <w:color w:val="auto"/>
                <w:sz w:val="24"/>
                <w:highlight w:val="none"/>
              </w:rPr>
            </w:pPr>
          </w:p>
        </w:tc>
      </w:tr>
      <w:tr w14:paraId="40E48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05EF77E9">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7FBCA6C7">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7EFC3860">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5FB3A804">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）实验室安装视频监控设备（具有视频存储服务器），得2分。未安装视频监控设备或不具有视频存储服务器不得分。本项最高得2分。</w:t>
            </w:r>
          </w:p>
        </w:tc>
        <w:tc>
          <w:tcPr>
            <w:tcW w:w="1450" w:type="dxa"/>
            <w:tcBorders>
              <w:top w:val="single" w:color="auto" w:sz="6" w:space="0"/>
              <w:left w:val="single" w:color="auto" w:sz="6" w:space="0"/>
              <w:bottom w:val="single" w:color="auto" w:sz="6" w:space="0"/>
              <w:right w:val="single" w:color="auto" w:sz="6" w:space="0"/>
            </w:tcBorders>
          </w:tcPr>
          <w:p w14:paraId="71BC2064">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4513A468">
            <w:pPr>
              <w:adjustRightInd w:val="0"/>
              <w:snapToGrid w:val="0"/>
              <w:jc w:val="center"/>
              <w:rPr>
                <w:rFonts w:ascii="仿宋" w:hAnsi="仿宋" w:eastAsia="仿宋"/>
                <w:color w:val="auto"/>
                <w:sz w:val="24"/>
                <w:highlight w:val="none"/>
              </w:rPr>
            </w:pPr>
          </w:p>
        </w:tc>
      </w:tr>
      <w:tr w14:paraId="102A1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vAlign w:val="center"/>
          </w:tcPr>
          <w:p w14:paraId="7C8D1F1B">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bottom w:val="single" w:color="auto" w:sz="6" w:space="0"/>
              <w:right w:val="single" w:color="auto" w:sz="6" w:space="0"/>
            </w:tcBorders>
            <w:vAlign w:val="center"/>
          </w:tcPr>
          <w:p w14:paraId="00BDB3F2">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bottom w:val="single" w:color="auto" w:sz="6" w:space="0"/>
              <w:right w:val="single" w:color="auto" w:sz="6" w:space="0"/>
            </w:tcBorders>
            <w:vAlign w:val="center"/>
          </w:tcPr>
          <w:p w14:paraId="3B347D9F">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4AC4AEEA">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lang w:eastAsia="zh-CN"/>
              </w:rPr>
              <w:t>）实验室具有激光粒度仪、凯氏定氮仪、原子吸收光谱仪（AAS）、紫外分光光度计（UV-vis）、原子荧光光谱仪（AFS），火焰光度计，每种仪器1台/套得0.5分。本项最高得3分。</w:t>
            </w:r>
          </w:p>
        </w:tc>
        <w:tc>
          <w:tcPr>
            <w:tcW w:w="1450" w:type="dxa"/>
            <w:tcBorders>
              <w:top w:val="single" w:color="auto" w:sz="6" w:space="0"/>
              <w:left w:val="single" w:color="auto" w:sz="6" w:space="0"/>
              <w:bottom w:val="single" w:color="auto" w:sz="6" w:space="0"/>
              <w:right w:val="single" w:color="auto" w:sz="6" w:space="0"/>
            </w:tcBorders>
          </w:tcPr>
          <w:p w14:paraId="2E7E843C">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5FE1B854">
            <w:pPr>
              <w:adjustRightInd w:val="0"/>
              <w:snapToGrid w:val="0"/>
              <w:jc w:val="center"/>
              <w:rPr>
                <w:rFonts w:ascii="仿宋" w:hAnsi="仿宋" w:eastAsia="仿宋"/>
                <w:color w:val="auto"/>
                <w:sz w:val="24"/>
                <w:highlight w:val="none"/>
              </w:rPr>
            </w:pPr>
          </w:p>
        </w:tc>
      </w:tr>
      <w:tr w14:paraId="76488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restart"/>
            <w:tcBorders>
              <w:top w:val="single" w:color="auto" w:sz="6" w:space="0"/>
              <w:left w:val="single" w:color="auto" w:sz="12" w:space="0"/>
              <w:right w:val="single" w:color="auto" w:sz="6" w:space="0"/>
            </w:tcBorders>
            <w:vAlign w:val="center"/>
          </w:tcPr>
          <w:p w14:paraId="33F19E5A">
            <w:pPr>
              <w:adjustRightInd w:val="0"/>
              <w:snapToGrid w:val="0"/>
              <w:jc w:val="center"/>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5</w:t>
            </w:r>
          </w:p>
        </w:tc>
        <w:tc>
          <w:tcPr>
            <w:tcW w:w="1260" w:type="dxa"/>
            <w:vMerge w:val="restart"/>
            <w:tcBorders>
              <w:top w:val="single" w:color="auto" w:sz="6" w:space="0"/>
              <w:left w:val="single" w:color="auto" w:sz="6" w:space="0"/>
              <w:right w:val="single" w:color="auto" w:sz="6" w:space="0"/>
            </w:tcBorders>
            <w:vAlign w:val="center"/>
          </w:tcPr>
          <w:p w14:paraId="26CC7DF5">
            <w:pPr>
              <w:adjustRightInd w:val="0"/>
              <w:snapToGrid w:val="0"/>
              <w:jc w:val="center"/>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服务</w:t>
            </w:r>
            <w:r>
              <w:rPr>
                <w:rFonts w:hint="eastAsia" w:ascii="仿宋" w:hAnsi="仿宋" w:eastAsia="仿宋" w:cs="仿宋"/>
                <w:color w:val="auto"/>
                <w:spacing w:val="-2"/>
                <w:sz w:val="24"/>
                <w:szCs w:val="24"/>
                <w:highlight w:val="none"/>
                <w:lang w:eastAsia="zh-CN"/>
              </w:rPr>
              <w:t>方案</w:t>
            </w:r>
          </w:p>
        </w:tc>
        <w:tc>
          <w:tcPr>
            <w:tcW w:w="817" w:type="dxa"/>
            <w:vMerge w:val="restart"/>
            <w:tcBorders>
              <w:top w:val="single" w:color="auto" w:sz="6" w:space="0"/>
              <w:left w:val="single" w:color="auto" w:sz="6" w:space="0"/>
              <w:right w:val="single" w:color="auto" w:sz="6" w:space="0"/>
            </w:tcBorders>
            <w:vAlign w:val="center"/>
          </w:tcPr>
          <w:p w14:paraId="693F21FD">
            <w:pPr>
              <w:pStyle w:val="53"/>
              <w:spacing w:before="69"/>
              <w:jc w:val="center"/>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16</w:t>
            </w:r>
          </w:p>
        </w:tc>
        <w:tc>
          <w:tcPr>
            <w:tcW w:w="4533" w:type="dxa"/>
            <w:tcBorders>
              <w:top w:val="single" w:color="auto" w:sz="6" w:space="0"/>
              <w:left w:val="single" w:color="auto" w:sz="6" w:space="0"/>
              <w:bottom w:val="single" w:color="auto" w:sz="6" w:space="0"/>
              <w:right w:val="single" w:color="auto" w:sz="6" w:space="0"/>
            </w:tcBorders>
            <w:vAlign w:val="center"/>
          </w:tcPr>
          <w:p w14:paraId="0067A08D">
            <w:pPr>
              <w:pStyle w:val="53"/>
              <w:adjustRightInd w:val="0"/>
              <w:snapToGrid w:val="0"/>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1.</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w:t>
            </w:r>
            <w:r>
              <w:rPr>
                <w:rFonts w:hint="eastAsia" w:ascii="仿宋" w:hAnsi="仿宋" w:eastAsia="仿宋" w:cs="仿宋"/>
                <w:color w:val="auto"/>
                <w:spacing w:val="-2"/>
                <w:sz w:val="24"/>
                <w:szCs w:val="24"/>
                <w:highlight w:val="none"/>
                <w:lang w:eastAsia="zh-CN"/>
              </w:rPr>
              <w:t>补充耕地质量鉴定项目方案编制，内容包括但不限于：项目概述</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鉴定方法</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鉴定内容</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数据据处理与统计分析、结论与建议</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风险评估。</w:t>
            </w:r>
          </w:p>
        </w:tc>
        <w:tc>
          <w:tcPr>
            <w:tcW w:w="1450" w:type="dxa"/>
            <w:tcBorders>
              <w:top w:val="single" w:color="auto" w:sz="6" w:space="0"/>
              <w:left w:val="single" w:color="auto" w:sz="6" w:space="0"/>
              <w:bottom w:val="single" w:color="auto" w:sz="6" w:space="0"/>
              <w:right w:val="single" w:color="auto" w:sz="6" w:space="0"/>
            </w:tcBorders>
          </w:tcPr>
          <w:p w14:paraId="54F34E79">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2478FD1B">
            <w:pPr>
              <w:adjustRightInd w:val="0"/>
              <w:snapToGrid w:val="0"/>
              <w:jc w:val="center"/>
              <w:rPr>
                <w:rFonts w:ascii="仿宋" w:hAnsi="仿宋" w:eastAsia="仿宋"/>
                <w:color w:val="auto"/>
                <w:sz w:val="24"/>
                <w:highlight w:val="none"/>
              </w:rPr>
            </w:pPr>
          </w:p>
        </w:tc>
      </w:tr>
      <w:tr w14:paraId="390D2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1425A121">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68994910">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3929820D">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03BAFB16">
            <w:pPr>
              <w:pStyle w:val="53"/>
              <w:adjustRightInd w:val="0"/>
              <w:snapToGrid w:val="0"/>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2.</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进行土</w:t>
            </w:r>
            <w:r>
              <w:rPr>
                <w:rFonts w:hint="eastAsia" w:ascii="仿宋" w:hAnsi="仿宋" w:eastAsia="仿宋" w:cs="仿宋"/>
                <w:color w:val="auto"/>
                <w:spacing w:val="-2"/>
                <w:sz w:val="24"/>
                <w:szCs w:val="24"/>
                <w:highlight w:val="none"/>
                <w:lang w:eastAsia="zh-CN"/>
              </w:rPr>
              <w:t>壤污染状况调查项目方案编制，内容包括但不限于：项目概述</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鉴定方法</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鉴定内容</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数据据处理与统计分析、结论与建议</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风险评估。</w:t>
            </w:r>
          </w:p>
        </w:tc>
        <w:tc>
          <w:tcPr>
            <w:tcW w:w="1450" w:type="dxa"/>
            <w:tcBorders>
              <w:top w:val="single" w:color="auto" w:sz="6" w:space="0"/>
              <w:left w:val="single" w:color="auto" w:sz="6" w:space="0"/>
              <w:bottom w:val="single" w:color="auto" w:sz="6" w:space="0"/>
              <w:right w:val="single" w:color="auto" w:sz="6" w:space="0"/>
            </w:tcBorders>
          </w:tcPr>
          <w:p w14:paraId="5F31B630">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431F3DAC">
            <w:pPr>
              <w:adjustRightInd w:val="0"/>
              <w:snapToGrid w:val="0"/>
              <w:jc w:val="center"/>
              <w:rPr>
                <w:rFonts w:ascii="仿宋" w:hAnsi="仿宋" w:eastAsia="仿宋"/>
                <w:color w:val="auto"/>
                <w:sz w:val="24"/>
                <w:highlight w:val="none"/>
              </w:rPr>
            </w:pPr>
          </w:p>
        </w:tc>
      </w:tr>
      <w:tr w14:paraId="5A2C1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07D7CB92">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368D8963">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79DAFE96">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59779ACB">
            <w:pPr>
              <w:pStyle w:val="53"/>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3.</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进行质量控制</w:t>
            </w:r>
            <w:r>
              <w:rPr>
                <w:rFonts w:hint="eastAsia" w:ascii="仿宋" w:hAnsi="仿宋" w:eastAsia="仿宋" w:cs="仿宋"/>
                <w:color w:val="auto"/>
                <w:spacing w:val="-2"/>
                <w:sz w:val="24"/>
                <w:szCs w:val="24"/>
                <w:highlight w:val="none"/>
                <w:lang w:eastAsia="zh-CN"/>
              </w:rPr>
              <w:t>方案编制，内容包括但不限于：</w:t>
            </w:r>
            <w:r>
              <w:rPr>
                <w:rFonts w:hint="eastAsia" w:ascii="仿宋" w:hAnsi="仿宋" w:eastAsia="仿宋" w:cs="仿宋"/>
                <w:color w:val="auto"/>
                <w:sz w:val="24"/>
                <w:szCs w:val="24"/>
                <w:highlight w:val="none"/>
              </w:rPr>
              <w:t>明确质量目标、强调过程改进、采用适当的质量标准和方法、进行质量审计与评估、</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评估、质量管理体系。</w:t>
            </w:r>
          </w:p>
        </w:tc>
        <w:tc>
          <w:tcPr>
            <w:tcW w:w="1450" w:type="dxa"/>
            <w:tcBorders>
              <w:top w:val="single" w:color="auto" w:sz="6" w:space="0"/>
              <w:left w:val="single" w:color="auto" w:sz="6" w:space="0"/>
              <w:bottom w:val="single" w:color="auto" w:sz="6" w:space="0"/>
              <w:right w:val="single" w:color="auto" w:sz="6" w:space="0"/>
            </w:tcBorders>
          </w:tcPr>
          <w:p w14:paraId="2126A3AB">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541A0708">
            <w:pPr>
              <w:adjustRightInd w:val="0"/>
              <w:snapToGrid w:val="0"/>
              <w:jc w:val="center"/>
              <w:rPr>
                <w:rFonts w:ascii="仿宋" w:hAnsi="仿宋" w:eastAsia="仿宋"/>
                <w:color w:val="auto"/>
                <w:sz w:val="24"/>
                <w:highlight w:val="none"/>
              </w:rPr>
            </w:pPr>
          </w:p>
        </w:tc>
      </w:tr>
      <w:tr w14:paraId="2B7235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0929BE88">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50DE6D29">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2FFA285B">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465BE671">
            <w:pPr>
              <w:adjustRightInd w:val="0"/>
              <w:snapToGrid w:val="0"/>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pacing w:val="-2"/>
                <w:sz w:val="24"/>
                <w:szCs w:val="24"/>
                <w:highlight w:val="none"/>
                <w:lang w:eastAsia="zh-CN"/>
              </w:rPr>
              <w:t>投标人需根据项目需求，</w:t>
            </w:r>
            <w:r>
              <w:rPr>
                <w:rFonts w:hint="eastAsia" w:ascii="仿宋" w:hAnsi="仿宋" w:eastAsia="仿宋" w:cs="仿宋"/>
                <w:color w:val="auto"/>
                <w:spacing w:val="-2"/>
                <w:sz w:val="24"/>
                <w:szCs w:val="24"/>
                <w:highlight w:val="none"/>
                <w:lang w:val="en-US" w:eastAsia="zh-CN"/>
              </w:rPr>
              <w:t>合理安排</w:t>
            </w:r>
            <w:r>
              <w:rPr>
                <w:rFonts w:hint="eastAsia" w:ascii="仿宋" w:hAnsi="仿宋" w:eastAsia="仿宋" w:cs="仿宋"/>
                <w:color w:val="auto"/>
                <w:sz w:val="24"/>
                <w:szCs w:val="24"/>
                <w:highlight w:val="none"/>
                <w:lang w:eastAsia="zh-CN"/>
              </w:rPr>
              <w:t>进度计划，</w:t>
            </w:r>
            <w:r>
              <w:rPr>
                <w:rFonts w:hint="eastAsia" w:ascii="仿宋" w:hAnsi="仿宋" w:eastAsia="仿宋" w:cs="仿宋"/>
                <w:color w:val="auto"/>
                <w:spacing w:val="-2"/>
                <w:sz w:val="24"/>
                <w:szCs w:val="24"/>
                <w:highlight w:val="none"/>
                <w:lang w:eastAsia="zh-CN"/>
              </w:rPr>
              <w:t>内容包括但不限于：</w:t>
            </w:r>
            <w:r>
              <w:rPr>
                <w:rFonts w:hint="eastAsia" w:ascii="仿宋" w:hAnsi="仿宋" w:eastAsia="仿宋" w:cs="仿宋"/>
                <w:color w:val="auto"/>
                <w:sz w:val="24"/>
                <w:szCs w:val="24"/>
                <w:highlight w:val="none"/>
              </w:rPr>
              <w:t>根据</w:t>
            </w:r>
            <w:r>
              <w:rPr>
                <w:rFonts w:hint="eastAsia" w:ascii="仿宋" w:hAnsi="仿宋" w:eastAsia="仿宋" w:cs="仿宋"/>
                <w:color w:val="auto"/>
                <w:sz w:val="24"/>
                <w:szCs w:val="24"/>
                <w:highlight w:val="none"/>
                <w:lang w:val="en-US" w:eastAsia="zh-CN"/>
              </w:rPr>
              <w:t>服务期限</w:t>
            </w:r>
            <w:r>
              <w:rPr>
                <w:rFonts w:hint="eastAsia" w:ascii="仿宋" w:hAnsi="仿宋" w:eastAsia="仿宋" w:cs="仿宋"/>
                <w:color w:val="auto"/>
                <w:sz w:val="24"/>
                <w:szCs w:val="24"/>
                <w:highlight w:val="none"/>
              </w:rPr>
              <w:t>，合理安排进场计划，消化外界因素对</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lang w:val="en-US" w:eastAsia="zh-CN"/>
              </w:rPr>
              <w:t>限</w:t>
            </w:r>
            <w:r>
              <w:rPr>
                <w:rFonts w:hint="eastAsia" w:ascii="仿宋" w:hAnsi="仿宋" w:eastAsia="仿宋" w:cs="仿宋"/>
                <w:color w:val="auto"/>
                <w:sz w:val="24"/>
                <w:szCs w:val="24"/>
                <w:highlight w:val="none"/>
              </w:rPr>
              <w:t>的损失、分解任务到</w:t>
            </w:r>
            <w:r>
              <w:rPr>
                <w:rFonts w:hint="eastAsia" w:ascii="仿宋" w:hAnsi="仿宋" w:eastAsia="仿宋" w:cs="仿宋"/>
                <w:color w:val="auto"/>
                <w:sz w:val="24"/>
                <w:szCs w:val="24"/>
                <w:highlight w:val="none"/>
                <w:lang w:eastAsia="zh-CN"/>
              </w:rPr>
              <w:t>小</w:t>
            </w:r>
            <w:r>
              <w:rPr>
                <w:rFonts w:hint="eastAsia" w:ascii="仿宋" w:hAnsi="仿宋" w:eastAsia="仿宋" w:cs="仿宋"/>
                <w:color w:val="auto"/>
                <w:sz w:val="24"/>
                <w:szCs w:val="24"/>
                <w:highlight w:val="none"/>
              </w:rPr>
              <w:t>组，及时作好分项</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的实验、检查工作，以保证下一道工序的正常开工、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"https://zhuanlan.zhihu.com/p/449665318" \t "https://cn.bing.com/_blank"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提前准备所需要的机械设备、工具、材料、人员及后勤保障</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tc>
        <w:tc>
          <w:tcPr>
            <w:tcW w:w="1450" w:type="dxa"/>
            <w:tcBorders>
              <w:top w:val="single" w:color="auto" w:sz="6" w:space="0"/>
              <w:left w:val="single" w:color="auto" w:sz="6" w:space="0"/>
              <w:bottom w:val="single" w:color="auto" w:sz="6" w:space="0"/>
              <w:right w:val="single" w:color="auto" w:sz="6" w:space="0"/>
            </w:tcBorders>
          </w:tcPr>
          <w:p w14:paraId="29D77E3A">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68A5D843">
            <w:pPr>
              <w:adjustRightInd w:val="0"/>
              <w:snapToGrid w:val="0"/>
              <w:jc w:val="center"/>
              <w:rPr>
                <w:rFonts w:ascii="仿宋" w:hAnsi="仿宋" w:eastAsia="仿宋"/>
                <w:color w:val="auto"/>
                <w:sz w:val="24"/>
                <w:highlight w:val="none"/>
              </w:rPr>
            </w:pPr>
          </w:p>
        </w:tc>
      </w:tr>
      <w:tr w14:paraId="0893E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39E8E4A7">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1F88A9BF">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0DAA0F93">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3D02103C">
            <w:pPr>
              <w:pStyle w:val="53"/>
              <w:adjustRightInd w:val="0"/>
              <w:snapToGrid w:val="0"/>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pacing w:val="-2"/>
                <w:sz w:val="24"/>
                <w:szCs w:val="24"/>
                <w:highlight w:val="none"/>
                <w:lang w:eastAsia="zh-CN"/>
              </w:rPr>
              <w:t>根据项目需求制定整体</w:t>
            </w:r>
            <w:r>
              <w:rPr>
                <w:rFonts w:hint="eastAsia" w:ascii="仿宋" w:hAnsi="仿宋" w:eastAsia="仿宋" w:cs="仿宋"/>
                <w:color w:val="auto"/>
                <w:spacing w:val="-2"/>
                <w:sz w:val="24"/>
                <w:szCs w:val="24"/>
                <w:highlight w:val="none"/>
              </w:rPr>
              <w:t>实施</w:t>
            </w:r>
            <w:r>
              <w:rPr>
                <w:rFonts w:hint="eastAsia" w:ascii="仿宋" w:hAnsi="仿宋" w:eastAsia="仿宋" w:cs="仿宋"/>
                <w:color w:val="auto"/>
                <w:spacing w:val="-2"/>
                <w:sz w:val="24"/>
                <w:szCs w:val="24"/>
                <w:highlight w:val="none"/>
                <w:lang w:eastAsia="zh-CN"/>
              </w:rPr>
              <w:t>服务</w:t>
            </w:r>
            <w:r>
              <w:rPr>
                <w:rFonts w:hint="eastAsia" w:ascii="仿宋" w:hAnsi="仿宋" w:eastAsia="仿宋" w:cs="仿宋"/>
                <w:color w:val="auto"/>
                <w:spacing w:val="-2"/>
                <w:sz w:val="24"/>
                <w:szCs w:val="24"/>
                <w:highlight w:val="none"/>
              </w:rPr>
              <w:t>组织</w:t>
            </w:r>
            <w:r>
              <w:rPr>
                <w:rFonts w:hint="eastAsia" w:ascii="仿宋" w:hAnsi="仿宋" w:eastAsia="仿宋" w:cs="仿宋"/>
                <w:color w:val="auto"/>
                <w:spacing w:val="-2"/>
                <w:sz w:val="24"/>
                <w:szCs w:val="24"/>
                <w:highlight w:val="none"/>
                <w:lang w:eastAsia="zh-CN"/>
              </w:rPr>
              <w:t>方案，内容包括但不限于：人员配备、调查分组计划、资料收集与分析、现场踏勘、人员访谈、土壤样品采集、运输、保存与测试及调查报告编制。</w:t>
            </w:r>
          </w:p>
        </w:tc>
        <w:tc>
          <w:tcPr>
            <w:tcW w:w="1450" w:type="dxa"/>
            <w:tcBorders>
              <w:top w:val="single" w:color="auto" w:sz="6" w:space="0"/>
              <w:left w:val="single" w:color="auto" w:sz="6" w:space="0"/>
              <w:bottom w:val="single" w:color="auto" w:sz="6" w:space="0"/>
              <w:right w:val="single" w:color="auto" w:sz="6" w:space="0"/>
            </w:tcBorders>
          </w:tcPr>
          <w:p w14:paraId="769C6BE3">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7DCAED7D">
            <w:pPr>
              <w:adjustRightInd w:val="0"/>
              <w:snapToGrid w:val="0"/>
              <w:jc w:val="center"/>
              <w:rPr>
                <w:rFonts w:ascii="仿宋" w:hAnsi="仿宋" w:eastAsia="仿宋"/>
                <w:color w:val="auto"/>
                <w:sz w:val="24"/>
                <w:highlight w:val="none"/>
              </w:rPr>
            </w:pPr>
          </w:p>
        </w:tc>
      </w:tr>
      <w:tr w14:paraId="5B8A2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6CEB99C2">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03722A39">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46CDE43D">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2F70D5DD">
            <w:pPr>
              <w:pStyle w:val="53"/>
              <w:adjustRightInd w:val="0"/>
              <w:snapToGrid w:val="0"/>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6.</w:t>
            </w:r>
            <w:r>
              <w:rPr>
                <w:rFonts w:hint="eastAsia" w:ascii="仿宋" w:hAnsi="仿宋" w:eastAsia="仿宋" w:cs="仿宋"/>
                <w:color w:val="auto"/>
                <w:spacing w:val="-2"/>
                <w:sz w:val="24"/>
                <w:szCs w:val="24"/>
                <w:highlight w:val="none"/>
                <w:lang w:eastAsia="zh-CN"/>
              </w:rPr>
              <w:t>根据项目需求制定项目管理方案，内容包括但不限于：</w:t>
            </w:r>
            <w:r>
              <w:rPr>
                <w:rFonts w:hint="eastAsia" w:ascii="仿宋" w:hAnsi="仿宋" w:eastAsia="仿宋" w:cs="仿宋"/>
                <w:color w:val="auto"/>
                <w:sz w:val="24"/>
                <w:szCs w:val="24"/>
                <w:highlight w:val="none"/>
                <w:lang w:eastAsia="zh-CN"/>
              </w:rPr>
              <w:t>项目组织管理结构、人员分工具体、责任明确</w:t>
            </w:r>
            <w:r>
              <w:rPr>
                <w:rFonts w:hint="eastAsia" w:ascii="仿宋" w:hAnsi="仿宋" w:eastAsia="仿宋" w:cs="仿宋"/>
                <w:color w:val="auto"/>
                <w:sz w:val="24"/>
                <w:szCs w:val="24"/>
                <w:highlight w:val="none"/>
                <w:lang w:val="en-US" w:eastAsia="zh-CN"/>
              </w:rPr>
              <w:t>等。</w:t>
            </w:r>
          </w:p>
        </w:tc>
        <w:tc>
          <w:tcPr>
            <w:tcW w:w="1450" w:type="dxa"/>
            <w:tcBorders>
              <w:top w:val="single" w:color="auto" w:sz="6" w:space="0"/>
              <w:left w:val="single" w:color="auto" w:sz="6" w:space="0"/>
              <w:bottom w:val="single" w:color="auto" w:sz="6" w:space="0"/>
              <w:right w:val="single" w:color="auto" w:sz="6" w:space="0"/>
            </w:tcBorders>
          </w:tcPr>
          <w:p w14:paraId="2DAFD2CC">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5EF39A7C">
            <w:pPr>
              <w:adjustRightInd w:val="0"/>
              <w:snapToGrid w:val="0"/>
              <w:jc w:val="center"/>
              <w:rPr>
                <w:rFonts w:ascii="仿宋" w:hAnsi="仿宋" w:eastAsia="仿宋"/>
                <w:color w:val="auto"/>
                <w:sz w:val="24"/>
                <w:highlight w:val="none"/>
              </w:rPr>
            </w:pPr>
          </w:p>
        </w:tc>
      </w:tr>
      <w:tr w14:paraId="5D1FB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right w:val="single" w:color="auto" w:sz="6" w:space="0"/>
            </w:tcBorders>
            <w:vAlign w:val="center"/>
          </w:tcPr>
          <w:p w14:paraId="4A9A7014">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right w:val="single" w:color="auto" w:sz="6" w:space="0"/>
            </w:tcBorders>
            <w:vAlign w:val="center"/>
          </w:tcPr>
          <w:p w14:paraId="0CB2F574">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right w:val="single" w:color="auto" w:sz="6" w:space="0"/>
            </w:tcBorders>
            <w:vAlign w:val="center"/>
          </w:tcPr>
          <w:p w14:paraId="34DE2512">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1D18AF50">
            <w:pPr>
              <w:pStyle w:val="53"/>
              <w:adjustRightInd w:val="0"/>
              <w:snapToGrid w:val="0"/>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pacing w:val="-2"/>
                <w:sz w:val="24"/>
                <w:szCs w:val="24"/>
                <w:highlight w:val="none"/>
                <w:lang w:eastAsia="zh-CN"/>
              </w:rPr>
              <w:t>根据项目需求制定</w:t>
            </w:r>
            <w:r>
              <w:rPr>
                <w:rFonts w:hint="eastAsia" w:ascii="仿宋" w:hAnsi="仿宋" w:eastAsia="仿宋" w:cs="仿宋"/>
                <w:color w:val="auto"/>
                <w:spacing w:val="-2"/>
                <w:sz w:val="24"/>
                <w:szCs w:val="24"/>
                <w:highlight w:val="none"/>
                <w:lang w:val="en-US" w:eastAsia="zh-CN"/>
              </w:rPr>
              <w:t>后续服务</w:t>
            </w:r>
            <w:r>
              <w:rPr>
                <w:rFonts w:hint="eastAsia" w:ascii="仿宋" w:hAnsi="仿宋" w:eastAsia="仿宋" w:cs="仿宋"/>
                <w:color w:val="auto"/>
                <w:spacing w:val="-2"/>
                <w:sz w:val="24"/>
                <w:szCs w:val="24"/>
                <w:highlight w:val="none"/>
                <w:lang w:eastAsia="zh-CN"/>
              </w:rPr>
              <w:t>方案，内容包括但不限于：</w:t>
            </w:r>
            <w:r>
              <w:rPr>
                <w:rFonts w:hint="eastAsia" w:ascii="仿宋" w:hAnsi="仿宋" w:eastAsia="仿宋" w:cs="仿宋"/>
                <w:color w:val="auto"/>
                <w:sz w:val="24"/>
                <w:szCs w:val="24"/>
                <w:highlight w:val="none"/>
              </w:rPr>
              <w:t>检测报告解读与咨询、土壤改良方案建议、土壤管理及维护指导、土壤污染修复方案提供、相关平台录入、相关政策法规咨询与指导及持续的技术支持与服务更新等。</w:t>
            </w:r>
          </w:p>
        </w:tc>
        <w:tc>
          <w:tcPr>
            <w:tcW w:w="1450" w:type="dxa"/>
            <w:tcBorders>
              <w:top w:val="single" w:color="auto" w:sz="6" w:space="0"/>
              <w:left w:val="single" w:color="auto" w:sz="6" w:space="0"/>
              <w:bottom w:val="single" w:color="auto" w:sz="6" w:space="0"/>
              <w:right w:val="single" w:color="auto" w:sz="6" w:space="0"/>
            </w:tcBorders>
          </w:tcPr>
          <w:p w14:paraId="30E69096">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4060C281">
            <w:pPr>
              <w:adjustRightInd w:val="0"/>
              <w:snapToGrid w:val="0"/>
              <w:jc w:val="center"/>
              <w:rPr>
                <w:rFonts w:ascii="仿宋" w:hAnsi="仿宋" w:eastAsia="仿宋"/>
                <w:color w:val="auto"/>
                <w:sz w:val="24"/>
                <w:highlight w:val="none"/>
              </w:rPr>
            </w:pPr>
          </w:p>
        </w:tc>
      </w:tr>
      <w:tr w14:paraId="3168B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vMerge w:val="continue"/>
            <w:tcBorders>
              <w:left w:val="single" w:color="auto" w:sz="12" w:space="0"/>
              <w:bottom w:val="single" w:color="auto" w:sz="6" w:space="0"/>
              <w:right w:val="single" w:color="auto" w:sz="6" w:space="0"/>
            </w:tcBorders>
            <w:vAlign w:val="center"/>
          </w:tcPr>
          <w:p w14:paraId="60C0FC19">
            <w:pPr>
              <w:adjustRightInd w:val="0"/>
              <w:snapToGrid w:val="0"/>
              <w:jc w:val="center"/>
              <w:rPr>
                <w:rFonts w:ascii="仿宋" w:hAnsi="仿宋" w:eastAsia="仿宋"/>
                <w:color w:val="auto"/>
                <w:sz w:val="24"/>
                <w:highlight w:val="none"/>
              </w:rPr>
            </w:pPr>
          </w:p>
        </w:tc>
        <w:tc>
          <w:tcPr>
            <w:tcW w:w="1260" w:type="dxa"/>
            <w:vMerge w:val="continue"/>
            <w:tcBorders>
              <w:left w:val="single" w:color="auto" w:sz="6" w:space="0"/>
              <w:bottom w:val="single" w:color="auto" w:sz="6" w:space="0"/>
              <w:right w:val="single" w:color="auto" w:sz="6" w:space="0"/>
            </w:tcBorders>
            <w:vAlign w:val="center"/>
          </w:tcPr>
          <w:p w14:paraId="0AE60BFF">
            <w:pPr>
              <w:adjustRightInd w:val="0"/>
              <w:snapToGrid w:val="0"/>
              <w:jc w:val="center"/>
              <w:rPr>
                <w:rFonts w:ascii="仿宋" w:hAnsi="仿宋" w:eastAsia="仿宋"/>
                <w:color w:val="auto"/>
                <w:sz w:val="24"/>
                <w:highlight w:val="none"/>
              </w:rPr>
            </w:pPr>
          </w:p>
        </w:tc>
        <w:tc>
          <w:tcPr>
            <w:tcW w:w="817" w:type="dxa"/>
            <w:vMerge w:val="continue"/>
            <w:tcBorders>
              <w:left w:val="single" w:color="auto" w:sz="6" w:space="0"/>
              <w:bottom w:val="single" w:color="auto" w:sz="6" w:space="0"/>
              <w:right w:val="single" w:color="auto" w:sz="6" w:space="0"/>
            </w:tcBorders>
            <w:vAlign w:val="center"/>
          </w:tcPr>
          <w:p w14:paraId="52016007">
            <w:pPr>
              <w:adjustRightInd w:val="0"/>
              <w:snapToGrid w:val="0"/>
              <w:jc w:val="center"/>
              <w:rPr>
                <w:rFonts w:ascii="仿宋" w:hAnsi="仿宋" w:eastAsia="仿宋"/>
                <w:color w:val="auto"/>
                <w:sz w:val="24"/>
                <w:highlight w:val="none"/>
              </w:rPr>
            </w:pPr>
          </w:p>
        </w:tc>
        <w:tc>
          <w:tcPr>
            <w:tcW w:w="4533" w:type="dxa"/>
            <w:tcBorders>
              <w:top w:val="single" w:color="auto" w:sz="6" w:space="0"/>
              <w:left w:val="single" w:color="auto" w:sz="6" w:space="0"/>
              <w:bottom w:val="single" w:color="auto" w:sz="6" w:space="0"/>
              <w:right w:val="single" w:color="auto" w:sz="6" w:space="0"/>
            </w:tcBorders>
            <w:vAlign w:val="center"/>
          </w:tcPr>
          <w:p w14:paraId="611CE167">
            <w:pPr>
              <w:adjustRightInd w:val="0"/>
              <w:snapToGrid w:val="0"/>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8.针对</w:t>
            </w:r>
            <w:r>
              <w:rPr>
                <w:rFonts w:hint="eastAsia" w:ascii="仿宋" w:hAnsi="仿宋" w:eastAsia="仿宋" w:cs="仿宋"/>
                <w:color w:val="auto"/>
                <w:spacing w:val="-2"/>
                <w:sz w:val="24"/>
                <w:szCs w:val="24"/>
                <w:highlight w:val="none"/>
                <w:lang w:eastAsia="zh-CN"/>
              </w:rPr>
              <w:t>项目需求制定</w:t>
            </w:r>
            <w:r>
              <w:rPr>
                <w:rFonts w:hint="eastAsia" w:ascii="仿宋" w:hAnsi="仿宋" w:eastAsia="仿宋" w:cs="仿宋"/>
                <w:color w:val="auto"/>
                <w:spacing w:val="-2"/>
                <w:sz w:val="24"/>
                <w:szCs w:val="24"/>
                <w:highlight w:val="none"/>
                <w:lang w:val="en-US" w:eastAsia="zh-CN"/>
              </w:rPr>
              <w:t>如何提升成果审查通过率的实施方案，</w:t>
            </w:r>
            <w:r>
              <w:rPr>
                <w:rFonts w:hint="eastAsia" w:ascii="仿宋" w:hAnsi="仿宋" w:eastAsia="仿宋" w:cs="仿宋"/>
                <w:color w:val="auto"/>
                <w:spacing w:val="-2"/>
                <w:sz w:val="24"/>
                <w:szCs w:val="24"/>
                <w:highlight w:val="none"/>
                <w:lang w:eastAsia="zh-CN"/>
              </w:rPr>
              <w:t>内容包括但不限于：</w:t>
            </w:r>
            <w:r>
              <w:rPr>
                <w:rFonts w:hint="eastAsia" w:ascii="仿宋" w:hAnsi="仿宋" w:eastAsia="仿宋" w:cs="仿宋"/>
                <w:color w:val="auto"/>
                <w:sz w:val="24"/>
                <w:szCs w:val="24"/>
                <w:highlight w:val="none"/>
                <w:lang w:eastAsia="zh-CN"/>
              </w:rPr>
              <w:t>分析</w:t>
            </w:r>
            <w:r>
              <w:rPr>
                <w:rFonts w:hint="eastAsia" w:ascii="仿宋" w:hAnsi="仿宋" w:eastAsia="仿宋" w:cs="仿宋"/>
                <w:color w:val="auto"/>
                <w:sz w:val="24"/>
                <w:szCs w:val="24"/>
                <w:highlight w:val="none"/>
              </w:rPr>
              <w:t>预期效果</w:t>
            </w:r>
            <w:r>
              <w:rPr>
                <w:rFonts w:hint="eastAsia" w:ascii="仿宋" w:hAnsi="仿宋" w:eastAsia="仿宋" w:cs="仿宋"/>
                <w:color w:val="auto"/>
                <w:sz w:val="24"/>
                <w:szCs w:val="24"/>
                <w:highlight w:val="none"/>
                <w:lang w:val="en-US" w:eastAsia="zh-CN"/>
              </w:rPr>
              <w:t>及通过率</w:t>
            </w: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val="en-US" w:eastAsia="zh-CN"/>
              </w:rPr>
              <w:t>保证措施</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通过风险评估及预警方案等。</w:t>
            </w:r>
          </w:p>
        </w:tc>
        <w:tc>
          <w:tcPr>
            <w:tcW w:w="1450" w:type="dxa"/>
            <w:tcBorders>
              <w:top w:val="single" w:color="auto" w:sz="6" w:space="0"/>
              <w:left w:val="single" w:color="auto" w:sz="6" w:space="0"/>
              <w:bottom w:val="single" w:color="auto" w:sz="6" w:space="0"/>
              <w:right w:val="single" w:color="auto" w:sz="6" w:space="0"/>
            </w:tcBorders>
          </w:tcPr>
          <w:p w14:paraId="06F57562">
            <w:pPr>
              <w:adjustRightInd w:val="0"/>
              <w:snapToGrid w:val="0"/>
              <w:jc w:val="center"/>
              <w:rPr>
                <w:rFonts w:ascii="仿宋" w:hAnsi="仿宋" w:eastAsia="仿宋"/>
                <w:color w:val="auto"/>
                <w:sz w:val="24"/>
                <w:highlight w:val="none"/>
              </w:rPr>
            </w:pPr>
          </w:p>
        </w:tc>
        <w:tc>
          <w:tcPr>
            <w:tcW w:w="880" w:type="dxa"/>
            <w:tcBorders>
              <w:top w:val="single" w:color="auto" w:sz="6" w:space="0"/>
              <w:left w:val="single" w:color="auto" w:sz="6" w:space="0"/>
              <w:bottom w:val="single" w:color="auto" w:sz="6" w:space="0"/>
              <w:right w:val="single" w:color="auto" w:sz="12" w:space="0"/>
            </w:tcBorders>
          </w:tcPr>
          <w:p w14:paraId="44B169DA">
            <w:pPr>
              <w:adjustRightInd w:val="0"/>
              <w:snapToGrid w:val="0"/>
              <w:jc w:val="center"/>
              <w:rPr>
                <w:rFonts w:ascii="仿宋" w:hAnsi="仿宋" w:eastAsia="仿宋"/>
                <w:color w:val="auto"/>
                <w:sz w:val="24"/>
                <w:highlight w:val="none"/>
              </w:rPr>
            </w:pPr>
          </w:p>
        </w:tc>
      </w:tr>
    </w:tbl>
    <w:p w14:paraId="5DECFC88">
      <w:pPr>
        <w:ind w:firstLine="420" w:firstLineChars="200"/>
        <w:rPr>
          <w:rFonts w:ascii="仿宋" w:hAnsi="仿宋" w:eastAsia="仿宋"/>
          <w:bCs/>
          <w:color w:val="auto"/>
          <w:sz w:val="28"/>
          <w:szCs w:val="28"/>
          <w:highlight w:val="none"/>
        </w:rPr>
      </w:pPr>
      <w:r>
        <w:rPr>
          <w:rFonts w:hint="eastAsia" w:ascii="仿宋" w:hAnsi="仿宋" w:eastAsia="仿宋"/>
          <w:color w:val="auto"/>
          <w:szCs w:val="21"/>
          <w:highlight w:val="none"/>
        </w:rPr>
        <w:t>注：按照招标文件要求详细填列，可增减行。</w:t>
      </w:r>
    </w:p>
    <w:p w14:paraId="132FF012">
      <w:pPr>
        <w:ind w:firstLine="560" w:firstLineChars="200"/>
        <w:rPr>
          <w:rFonts w:ascii="仿宋" w:hAnsi="仿宋" w:eastAsia="仿宋"/>
          <w:bCs/>
          <w:color w:val="auto"/>
          <w:sz w:val="28"/>
          <w:szCs w:val="28"/>
          <w:highlight w:val="none"/>
        </w:rPr>
      </w:pPr>
      <w:r>
        <w:rPr>
          <w:rFonts w:ascii="仿宋" w:hAnsi="仿宋" w:eastAsia="仿宋"/>
          <w:bCs/>
          <w:color w:val="auto"/>
          <w:sz w:val="28"/>
          <w:szCs w:val="28"/>
          <w:highlight w:val="none"/>
        </w:rPr>
        <w:br w:type="page"/>
      </w:r>
    </w:p>
    <w:p w14:paraId="1F52832D">
      <w:pPr>
        <w:numPr>
          <w:ilvl w:val="0"/>
          <w:numId w:val="4"/>
        </w:numPr>
        <w:ind w:firstLine="560" w:firstLineChars="20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符合技术要求或者服务要求的相关证明材料</w:t>
      </w:r>
    </w:p>
    <w:p w14:paraId="4C3107F7">
      <w:pPr>
        <w:pStyle w:val="22"/>
        <w:keepNext w:val="0"/>
        <w:keepLines w:val="0"/>
        <w:pageBreakBefore w:val="0"/>
        <w:kinsoku/>
        <w:wordWrap/>
        <w:overflowPunct/>
        <w:topLinePunct w:val="0"/>
        <w:autoSpaceDE/>
        <w:autoSpaceDN/>
        <w:bidi w:val="0"/>
        <w:adjustRightInd/>
        <w:snapToGrid/>
        <w:spacing w:line="480" w:lineRule="exact"/>
        <w:textAlignment w:val="auto"/>
        <w:outlineLvl w:val="9"/>
        <w:rPr>
          <w:rFonts w:hint="eastAsia" w:ascii="黑体" w:hAnsi="黑体" w:eastAsia="黑体"/>
          <w:color w:val="auto"/>
          <w:sz w:val="28"/>
          <w:szCs w:val="28"/>
          <w:highlight w:val="none"/>
        </w:rPr>
      </w:pPr>
      <w:bookmarkStart w:id="45" w:name="OLE_LINK9"/>
      <w:r>
        <w:rPr>
          <w:rFonts w:hint="eastAsia" w:ascii="仿宋" w:hAnsi="仿宋" w:eastAsia="仿宋" w:cs="仿宋"/>
          <w:b/>
          <w:bCs/>
          <w:color w:val="auto"/>
          <w:sz w:val="28"/>
          <w:szCs w:val="28"/>
          <w:highlight w:val="none"/>
        </w:rPr>
        <w:t>根据第3章 采购需求第“三、</w:t>
      </w:r>
      <w:r>
        <w:rPr>
          <w:rFonts w:hint="eastAsia" w:ascii="仿宋" w:hAnsi="仿宋" w:eastAsia="仿宋" w:cs="仿宋"/>
          <w:b/>
          <w:bCs/>
          <w:color w:val="auto"/>
          <w:sz w:val="28"/>
          <w:szCs w:val="28"/>
          <w:highlight w:val="none"/>
          <w:lang w:val="en-US" w:eastAsia="zh-CN"/>
        </w:rPr>
        <w:t>服务要求</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提供项目组人员名单（含项目负责人）、相关从业资格证明及保险证明等证明材料；并对“三、服务要求”</w:t>
      </w:r>
      <w:r>
        <w:rPr>
          <w:rFonts w:hint="eastAsia" w:ascii="仿宋" w:hAnsi="仿宋" w:eastAsia="仿宋" w:cs="仿宋"/>
          <w:b/>
          <w:bCs/>
          <w:i/>
          <w:iCs/>
          <w:color w:val="auto"/>
          <w:sz w:val="28"/>
          <w:szCs w:val="28"/>
          <w:highlight w:val="none"/>
          <w:u w:val="single"/>
          <w:lang w:val="en-US" w:eastAsia="zh-CN"/>
        </w:rPr>
        <w:t>所有内容</w:t>
      </w:r>
      <w:r>
        <w:rPr>
          <w:rFonts w:hint="eastAsia" w:ascii="仿宋" w:hAnsi="仿宋" w:eastAsia="仿宋" w:cs="仿宋"/>
          <w:b/>
          <w:bCs/>
          <w:color w:val="auto"/>
          <w:sz w:val="28"/>
          <w:szCs w:val="28"/>
          <w:highlight w:val="none"/>
          <w:lang w:val="en-US" w:eastAsia="zh-CN"/>
        </w:rPr>
        <w:t>作响应承诺，承诺书格式自拟；不提供视为无效响应。</w:t>
      </w:r>
    </w:p>
    <w:bookmarkEnd w:id="45"/>
    <w:p w14:paraId="046DAD02">
      <w:pPr>
        <w:pStyle w:val="6"/>
        <w:ind w:firstLine="560"/>
        <w:rPr>
          <w:rFonts w:ascii="仿宋" w:hAnsi="仿宋" w:eastAsia="仿宋"/>
          <w:bCs/>
          <w:color w:val="auto"/>
          <w:sz w:val="28"/>
          <w:szCs w:val="28"/>
          <w:highlight w:val="none"/>
        </w:rPr>
      </w:pPr>
    </w:p>
    <w:p w14:paraId="6C16D6B8">
      <w:pPr>
        <w:rPr>
          <w:rFonts w:ascii="仿宋" w:hAnsi="仿宋" w:eastAsia="仿宋"/>
          <w:bCs/>
          <w:color w:val="auto"/>
          <w:sz w:val="28"/>
          <w:szCs w:val="28"/>
          <w:highlight w:val="none"/>
        </w:rPr>
      </w:pPr>
    </w:p>
    <w:p w14:paraId="7D46375D">
      <w:pPr>
        <w:rPr>
          <w:rFonts w:ascii="仿宋" w:hAnsi="仿宋" w:eastAsia="仿宋"/>
          <w:bCs/>
          <w:color w:val="auto"/>
          <w:sz w:val="28"/>
          <w:szCs w:val="28"/>
          <w:highlight w:val="none"/>
        </w:rPr>
      </w:pPr>
    </w:p>
    <w:p w14:paraId="653CC68C">
      <w:pPr>
        <w:rPr>
          <w:rFonts w:ascii="仿宋" w:hAnsi="仿宋" w:eastAsia="仿宋"/>
          <w:bCs/>
          <w:color w:val="auto"/>
          <w:sz w:val="28"/>
          <w:szCs w:val="28"/>
          <w:highlight w:val="none"/>
        </w:rPr>
      </w:pPr>
      <w:bookmarkStart w:id="46" w:name="_GoBack"/>
      <w:bookmarkEnd w:id="46"/>
    </w:p>
    <w:p w14:paraId="4240AE39">
      <w:pPr>
        <w:rPr>
          <w:rFonts w:ascii="仿宋" w:hAnsi="仿宋" w:eastAsia="仿宋"/>
          <w:bCs/>
          <w:color w:val="auto"/>
          <w:sz w:val="28"/>
          <w:szCs w:val="28"/>
          <w:highlight w:val="none"/>
        </w:rPr>
      </w:pPr>
    </w:p>
    <w:p w14:paraId="09F0763B">
      <w:pPr>
        <w:rPr>
          <w:rFonts w:ascii="仿宋" w:hAnsi="仿宋" w:eastAsia="仿宋"/>
          <w:bCs/>
          <w:color w:val="auto"/>
          <w:sz w:val="28"/>
          <w:szCs w:val="28"/>
          <w:highlight w:val="none"/>
        </w:rPr>
      </w:pPr>
    </w:p>
    <w:p w14:paraId="2D64C9B6">
      <w:pPr>
        <w:rPr>
          <w:rFonts w:ascii="仿宋" w:hAnsi="仿宋" w:eastAsia="仿宋"/>
          <w:bCs/>
          <w:color w:val="auto"/>
          <w:sz w:val="28"/>
          <w:szCs w:val="28"/>
          <w:highlight w:val="none"/>
        </w:rPr>
      </w:pPr>
    </w:p>
    <w:p w14:paraId="3AF0221A">
      <w:pPr>
        <w:rPr>
          <w:rFonts w:ascii="仿宋" w:hAnsi="仿宋" w:eastAsia="仿宋"/>
          <w:bCs/>
          <w:color w:val="auto"/>
          <w:sz w:val="28"/>
          <w:szCs w:val="28"/>
          <w:highlight w:val="none"/>
        </w:rPr>
      </w:pPr>
    </w:p>
    <w:p w14:paraId="48EE5415">
      <w:pPr>
        <w:rPr>
          <w:rFonts w:ascii="仿宋" w:hAnsi="仿宋" w:eastAsia="仿宋"/>
          <w:bCs/>
          <w:color w:val="auto"/>
          <w:sz w:val="28"/>
          <w:szCs w:val="28"/>
          <w:highlight w:val="none"/>
        </w:rPr>
      </w:pPr>
    </w:p>
    <w:p w14:paraId="4A2C4D33">
      <w:pPr>
        <w:rPr>
          <w:rFonts w:ascii="仿宋" w:hAnsi="仿宋" w:eastAsia="仿宋"/>
          <w:bCs/>
          <w:color w:val="auto"/>
          <w:sz w:val="28"/>
          <w:szCs w:val="28"/>
          <w:highlight w:val="none"/>
        </w:rPr>
      </w:pPr>
    </w:p>
    <w:p w14:paraId="64599760">
      <w:pPr>
        <w:rPr>
          <w:rFonts w:ascii="仿宋" w:hAnsi="仿宋" w:eastAsia="仿宋"/>
          <w:bCs/>
          <w:color w:val="auto"/>
          <w:sz w:val="28"/>
          <w:szCs w:val="28"/>
          <w:highlight w:val="none"/>
        </w:rPr>
      </w:pPr>
    </w:p>
    <w:p w14:paraId="5C0FF54C">
      <w:pPr>
        <w:rPr>
          <w:rFonts w:ascii="仿宋" w:hAnsi="仿宋" w:eastAsia="仿宋"/>
          <w:bCs/>
          <w:color w:val="auto"/>
          <w:sz w:val="28"/>
          <w:szCs w:val="28"/>
          <w:highlight w:val="none"/>
        </w:rPr>
      </w:pPr>
    </w:p>
    <w:p w14:paraId="05E43F0D">
      <w:pPr>
        <w:rPr>
          <w:rFonts w:ascii="仿宋" w:hAnsi="仿宋" w:eastAsia="仿宋"/>
          <w:bCs/>
          <w:color w:val="auto"/>
          <w:sz w:val="28"/>
          <w:szCs w:val="28"/>
          <w:highlight w:val="none"/>
        </w:rPr>
      </w:pPr>
    </w:p>
    <w:p w14:paraId="64F21AF9">
      <w:pPr>
        <w:rPr>
          <w:rFonts w:ascii="仿宋" w:hAnsi="仿宋" w:eastAsia="仿宋"/>
          <w:bCs/>
          <w:color w:val="auto"/>
          <w:sz w:val="28"/>
          <w:szCs w:val="28"/>
          <w:highlight w:val="none"/>
        </w:rPr>
      </w:pPr>
    </w:p>
    <w:p w14:paraId="3DA6AA61">
      <w:pPr>
        <w:rPr>
          <w:rFonts w:ascii="仿宋" w:hAnsi="仿宋" w:eastAsia="仿宋"/>
          <w:bCs/>
          <w:color w:val="auto"/>
          <w:sz w:val="28"/>
          <w:szCs w:val="28"/>
          <w:highlight w:val="none"/>
        </w:rPr>
      </w:pPr>
    </w:p>
    <w:p w14:paraId="0B61E307">
      <w:pPr>
        <w:rPr>
          <w:rFonts w:ascii="仿宋" w:hAnsi="仿宋" w:eastAsia="仿宋"/>
          <w:bCs/>
          <w:color w:val="auto"/>
          <w:sz w:val="28"/>
          <w:szCs w:val="28"/>
          <w:highlight w:val="none"/>
        </w:rPr>
      </w:pPr>
    </w:p>
    <w:p w14:paraId="56F013A3">
      <w:pPr>
        <w:rPr>
          <w:rFonts w:ascii="仿宋" w:hAnsi="仿宋" w:eastAsia="仿宋"/>
          <w:bCs/>
          <w:color w:val="auto"/>
          <w:sz w:val="28"/>
          <w:szCs w:val="28"/>
          <w:highlight w:val="none"/>
        </w:rPr>
      </w:pPr>
    </w:p>
    <w:p w14:paraId="0C770C12">
      <w:pPr>
        <w:rPr>
          <w:rFonts w:ascii="仿宋" w:hAnsi="仿宋" w:eastAsia="仿宋"/>
          <w:bCs/>
          <w:color w:val="auto"/>
          <w:sz w:val="28"/>
          <w:szCs w:val="28"/>
          <w:highlight w:val="none"/>
        </w:rPr>
      </w:pPr>
    </w:p>
    <w:p w14:paraId="12089ED3">
      <w:pPr>
        <w:rPr>
          <w:rFonts w:ascii="仿宋" w:hAnsi="仿宋" w:eastAsia="仿宋"/>
          <w:bCs/>
          <w:color w:val="auto"/>
          <w:sz w:val="28"/>
          <w:szCs w:val="28"/>
          <w:highlight w:val="none"/>
        </w:rPr>
      </w:pPr>
    </w:p>
    <w:p w14:paraId="1BF10C7A">
      <w:pPr>
        <w:numPr>
          <w:ilvl w:val="0"/>
          <w:numId w:val="4"/>
        </w:num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商务部分正负偏离表</w:t>
      </w:r>
    </w:p>
    <w:p w14:paraId="1D86BF41">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2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751"/>
        <w:gridCol w:w="2934"/>
        <w:gridCol w:w="1751"/>
        <w:gridCol w:w="1433"/>
        <w:gridCol w:w="1012"/>
      </w:tblGrid>
      <w:tr w14:paraId="288429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A56F1A4">
            <w:pPr>
              <w:snapToGrid w:val="0"/>
              <w:spacing w:beforeLines="50"/>
              <w:jc w:val="center"/>
              <w:rPr>
                <w:rFonts w:ascii="仿宋" w:hAnsi="仿宋" w:eastAsia="仿宋"/>
                <w:color w:val="auto"/>
                <w:sz w:val="24"/>
                <w:highlight w:val="none"/>
              </w:rPr>
            </w:pPr>
            <w:r>
              <w:rPr>
                <w:rFonts w:hint="eastAsia" w:ascii="仿宋" w:hAnsi="仿宋" w:eastAsia="仿宋"/>
                <w:color w:val="auto"/>
                <w:sz w:val="24"/>
                <w:highlight w:val="none"/>
              </w:rPr>
              <w:t>序号</w:t>
            </w:r>
          </w:p>
        </w:tc>
        <w:tc>
          <w:tcPr>
            <w:tcW w:w="1751" w:type="dxa"/>
            <w:tcBorders>
              <w:top w:val="single" w:color="auto" w:sz="4" w:space="0"/>
              <w:left w:val="single" w:color="auto" w:sz="4" w:space="0"/>
              <w:bottom w:val="single" w:color="auto" w:sz="4" w:space="0"/>
              <w:right w:val="single" w:color="auto" w:sz="4" w:space="0"/>
            </w:tcBorders>
            <w:vAlign w:val="center"/>
          </w:tcPr>
          <w:p w14:paraId="1F08AF7D">
            <w:pPr>
              <w:snapToGrid w:val="0"/>
              <w:spacing w:beforeLines="50"/>
              <w:jc w:val="center"/>
              <w:rPr>
                <w:rFonts w:ascii="仿宋" w:hAnsi="仿宋" w:eastAsia="仿宋"/>
                <w:color w:val="auto"/>
                <w:sz w:val="24"/>
                <w:highlight w:val="none"/>
              </w:rPr>
            </w:pPr>
            <w:r>
              <w:rPr>
                <w:rFonts w:hint="eastAsia" w:ascii="仿宋" w:hAnsi="仿宋" w:eastAsia="仿宋"/>
                <w:color w:val="auto"/>
                <w:sz w:val="24"/>
                <w:highlight w:val="none"/>
              </w:rPr>
              <w:t>商务条款</w:t>
            </w:r>
          </w:p>
        </w:tc>
        <w:tc>
          <w:tcPr>
            <w:tcW w:w="2934" w:type="dxa"/>
            <w:tcBorders>
              <w:top w:val="single" w:color="auto" w:sz="4" w:space="0"/>
              <w:left w:val="single" w:color="auto" w:sz="4" w:space="0"/>
              <w:bottom w:val="single" w:color="auto" w:sz="4" w:space="0"/>
              <w:right w:val="single" w:color="auto" w:sz="4" w:space="0"/>
            </w:tcBorders>
            <w:vAlign w:val="center"/>
          </w:tcPr>
          <w:p w14:paraId="740B41A3">
            <w:pPr>
              <w:snapToGrid w:val="0"/>
              <w:spacing w:beforeLines="50"/>
              <w:jc w:val="center"/>
              <w:rPr>
                <w:rFonts w:ascii="仿宋" w:hAnsi="仿宋" w:eastAsia="仿宋"/>
                <w:color w:val="auto"/>
                <w:sz w:val="24"/>
                <w:highlight w:val="none"/>
              </w:rPr>
            </w:pPr>
            <w:r>
              <w:rPr>
                <w:rFonts w:hint="eastAsia" w:ascii="仿宋" w:hAnsi="仿宋" w:eastAsia="仿宋"/>
                <w:color w:val="auto"/>
                <w:sz w:val="24"/>
                <w:highlight w:val="none"/>
              </w:rPr>
              <w:t>招标文件要求</w:t>
            </w:r>
          </w:p>
        </w:tc>
        <w:tc>
          <w:tcPr>
            <w:tcW w:w="1751" w:type="dxa"/>
            <w:tcBorders>
              <w:top w:val="single" w:color="auto" w:sz="4" w:space="0"/>
              <w:left w:val="single" w:color="auto" w:sz="4" w:space="0"/>
              <w:bottom w:val="single" w:color="auto" w:sz="4" w:space="0"/>
              <w:right w:val="single" w:color="auto" w:sz="4" w:space="0"/>
            </w:tcBorders>
            <w:vAlign w:val="center"/>
          </w:tcPr>
          <w:p w14:paraId="220B5A3D">
            <w:pPr>
              <w:snapToGrid w:val="0"/>
              <w:spacing w:beforeLines="50"/>
              <w:jc w:val="center"/>
              <w:rPr>
                <w:rFonts w:ascii="仿宋" w:hAnsi="仿宋" w:eastAsia="仿宋"/>
                <w:color w:val="auto"/>
                <w:sz w:val="24"/>
                <w:highlight w:val="none"/>
              </w:rPr>
            </w:pPr>
            <w:r>
              <w:rPr>
                <w:rFonts w:hint="eastAsia" w:ascii="仿宋" w:hAnsi="仿宋" w:eastAsia="仿宋"/>
                <w:color w:val="auto"/>
                <w:sz w:val="24"/>
                <w:highlight w:val="none"/>
              </w:rPr>
              <w:t>投标响应具体情况</w:t>
            </w:r>
          </w:p>
        </w:tc>
        <w:tc>
          <w:tcPr>
            <w:tcW w:w="1433" w:type="dxa"/>
            <w:tcBorders>
              <w:top w:val="single" w:color="auto" w:sz="4" w:space="0"/>
              <w:left w:val="single" w:color="auto" w:sz="4" w:space="0"/>
              <w:bottom w:val="single" w:color="auto" w:sz="4" w:space="0"/>
              <w:right w:val="single" w:color="auto" w:sz="4" w:space="0"/>
            </w:tcBorders>
            <w:vAlign w:val="center"/>
          </w:tcPr>
          <w:p w14:paraId="21EE565D">
            <w:pPr>
              <w:jc w:val="center"/>
              <w:rPr>
                <w:rFonts w:ascii="仿宋" w:hAnsi="仿宋" w:eastAsia="仿宋"/>
                <w:color w:val="auto"/>
                <w:sz w:val="24"/>
                <w:highlight w:val="none"/>
              </w:rPr>
            </w:pPr>
            <w:r>
              <w:rPr>
                <w:rFonts w:hint="eastAsia" w:ascii="仿宋" w:hAnsi="仿宋" w:eastAsia="仿宋"/>
                <w:color w:val="auto"/>
                <w:sz w:val="24"/>
                <w:highlight w:val="none"/>
              </w:rPr>
              <w:t>结论（正偏离、符合或负偏离）</w:t>
            </w:r>
          </w:p>
        </w:tc>
        <w:tc>
          <w:tcPr>
            <w:tcW w:w="1012" w:type="dxa"/>
            <w:tcBorders>
              <w:top w:val="single" w:color="auto" w:sz="4" w:space="0"/>
              <w:left w:val="single" w:color="auto" w:sz="4" w:space="0"/>
              <w:bottom w:val="single" w:color="auto" w:sz="4" w:space="0"/>
              <w:right w:val="single" w:color="auto" w:sz="4" w:space="0"/>
            </w:tcBorders>
            <w:vAlign w:val="center"/>
          </w:tcPr>
          <w:p w14:paraId="1901522B">
            <w:pPr>
              <w:jc w:val="center"/>
              <w:rPr>
                <w:rFonts w:ascii="仿宋" w:hAnsi="仿宋" w:eastAsia="仿宋"/>
                <w:color w:val="auto"/>
                <w:sz w:val="24"/>
                <w:highlight w:val="none"/>
              </w:rPr>
            </w:pPr>
            <w:r>
              <w:rPr>
                <w:rFonts w:hint="eastAsia" w:ascii="仿宋" w:hAnsi="仿宋" w:eastAsia="仿宋"/>
                <w:color w:val="auto"/>
                <w:sz w:val="24"/>
                <w:highlight w:val="none"/>
              </w:rPr>
              <w:t>备注</w:t>
            </w:r>
          </w:p>
        </w:tc>
      </w:tr>
      <w:tr w14:paraId="0DA47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restart"/>
            <w:tcBorders>
              <w:top w:val="single" w:color="auto" w:sz="4" w:space="0"/>
              <w:left w:val="single" w:color="auto" w:sz="4" w:space="0"/>
              <w:right w:val="single" w:color="auto" w:sz="4" w:space="0"/>
            </w:tcBorders>
            <w:vAlign w:val="center"/>
          </w:tcPr>
          <w:p w14:paraId="1181EC14">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w:t>
            </w:r>
          </w:p>
        </w:tc>
        <w:tc>
          <w:tcPr>
            <w:tcW w:w="1751" w:type="dxa"/>
            <w:vMerge w:val="restart"/>
            <w:tcBorders>
              <w:top w:val="single" w:color="auto" w:sz="4" w:space="0"/>
              <w:left w:val="single" w:color="auto" w:sz="4" w:space="0"/>
              <w:right w:val="single" w:color="auto" w:sz="4" w:space="0"/>
            </w:tcBorders>
            <w:vAlign w:val="center"/>
          </w:tcPr>
          <w:p w14:paraId="5C54C658">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服务标准</w:t>
            </w:r>
          </w:p>
        </w:tc>
        <w:tc>
          <w:tcPr>
            <w:tcW w:w="2934" w:type="dxa"/>
            <w:tcBorders>
              <w:top w:val="single" w:color="auto" w:sz="4" w:space="0"/>
              <w:left w:val="single" w:color="auto" w:sz="4" w:space="0"/>
              <w:bottom w:val="single" w:color="auto" w:sz="4" w:space="0"/>
              <w:right w:val="single" w:color="auto" w:sz="4" w:space="0"/>
            </w:tcBorders>
          </w:tcPr>
          <w:p w14:paraId="1C185635">
            <w:pPr>
              <w:snapToGrid w:val="0"/>
              <w:spacing w:beforeLines="50"/>
              <w:jc w:val="left"/>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（一）污染调查符合《拟新增耕地土壤污染状况调查技术导则》（DB 32/T5145-2025）、《拟开垦为耕地的复垦土地及未利用地土壤污染状况调查技术指南（试行）》（苏农建[2023]1号）、《土壤环境质量农用地土壤污染风险管控标准（试行）》（GB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p>
        </w:tc>
        <w:tc>
          <w:tcPr>
            <w:tcW w:w="1751" w:type="dxa"/>
            <w:tcBorders>
              <w:top w:val="single" w:color="auto" w:sz="4" w:space="0"/>
              <w:left w:val="single" w:color="auto" w:sz="4" w:space="0"/>
              <w:bottom w:val="single" w:color="auto" w:sz="4" w:space="0"/>
              <w:right w:val="single" w:color="auto" w:sz="4" w:space="0"/>
            </w:tcBorders>
          </w:tcPr>
          <w:p w14:paraId="225B44AD">
            <w:pPr>
              <w:snapToGrid w:val="0"/>
              <w:spacing w:beforeLines="50"/>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0A6A753">
            <w:pPr>
              <w:snapToGrid w:val="0"/>
              <w:spacing w:beforeLines="50"/>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1DDC3D58">
            <w:pPr>
              <w:snapToGrid w:val="0"/>
              <w:spacing w:beforeLines="50"/>
              <w:rPr>
                <w:rFonts w:ascii="仿宋" w:hAnsi="仿宋" w:eastAsia="仿宋"/>
                <w:color w:val="auto"/>
                <w:sz w:val="24"/>
                <w:highlight w:val="none"/>
              </w:rPr>
            </w:pPr>
          </w:p>
        </w:tc>
      </w:tr>
      <w:tr w14:paraId="0F89C3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bottom w:val="single" w:color="auto" w:sz="4" w:space="0"/>
              <w:right w:val="single" w:color="auto" w:sz="4" w:space="0"/>
            </w:tcBorders>
            <w:vAlign w:val="center"/>
          </w:tcPr>
          <w:p w14:paraId="0ADA646F">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bottom w:val="single" w:color="auto" w:sz="4" w:space="0"/>
              <w:right w:val="single" w:color="auto" w:sz="4" w:space="0"/>
            </w:tcBorders>
          </w:tcPr>
          <w:p w14:paraId="31BD9D8A">
            <w:pPr>
              <w:snapToGrid w:val="0"/>
              <w:spacing w:beforeLines="50"/>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tcPr>
          <w:p w14:paraId="38C3CF17">
            <w:pPr>
              <w:snapToGrid w:val="0"/>
              <w:spacing w:beforeLines="50"/>
              <w:jc w:val="left"/>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p>
        </w:tc>
        <w:tc>
          <w:tcPr>
            <w:tcW w:w="1751" w:type="dxa"/>
            <w:tcBorders>
              <w:top w:val="single" w:color="auto" w:sz="4" w:space="0"/>
              <w:left w:val="single" w:color="auto" w:sz="4" w:space="0"/>
              <w:bottom w:val="single" w:color="auto" w:sz="4" w:space="0"/>
              <w:right w:val="single" w:color="auto" w:sz="4" w:space="0"/>
            </w:tcBorders>
          </w:tcPr>
          <w:p w14:paraId="440B303D">
            <w:pPr>
              <w:snapToGrid w:val="0"/>
              <w:spacing w:beforeLines="50"/>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3A25F8B5">
            <w:pPr>
              <w:snapToGrid w:val="0"/>
              <w:spacing w:beforeLines="50"/>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7951A04D">
            <w:pPr>
              <w:snapToGrid w:val="0"/>
              <w:spacing w:beforeLines="50"/>
              <w:rPr>
                <w:rFonts w:ascii="仿宋" w:hAnsi="仿宋" w:eastAsia="仿宋"/>
                <w:color w:val="auto"/>
                <w:sz w:val="24"/>
                <w:highlight w:val="none"/>
              </w:rPr>
            </w:pPr>
          </w:p>
        </w:tc>
      </w:tr>
      <w:tr w14:paraId="3DD248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04A5DC9">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w:t>
            </w:r>
          </w:p>
        </w:tc>
        <w:tc>
          <w:tcPr>
            <w:tcW w:w="1751" w:type="dxa"/>
            <w:tcBorders>
              <w:top w:val="single" w:color="auto" w:sz="4" w:space="0"/>
              <w:left w:val="single" w:color="auto" w:sz="4" w:space="0"/>
              <w:bottom w:val="single" w:color="auto" w:sz="4" w:space="0"/>
              <w:right w:val="single" w:color="auto" w:sz="4" w:space="0"/>
            </w:tcBorders>
            <w:vAlign w:val="center"/>
          </w:tcPr>
          <w:p w14:paraId="6B82425E">
            <w:pPr>
              <w:snapToGrid w:val="0"/>
              <w:spacing w:beforeLines="50"/>
              <w:jc w:val="center"/>
              <w:rPr>
                <w:rFonts w:ascii="仿宋" w:hAnsi="仿宋" w:eastAsia="仿宋"/>
                <w:color w:val="auto"/>
                <w:sz w:val="24"/>
                <w:highlight w:val="none"/>
              </w:rPr>
            </w:pPr>
            <w:r>
              <w:rPr>
                <w:rFonts w:hint="eastAsia" w:ascii="仿宋" w:hAnsi="仿宋" w:eastAsia="仿宋"/>
                <w:color w:val="auto"/>
                <w:sz w:val="24"/>
                <w:highlight w:val="none"/>
              </w:rPr>
              <w:t>服务期限和地点</w:t>
            </w:r>
          </w:p>
        </w:tc>
        <w:tc>
          <w:tcPr>
            <w:tcW w:w="2934" w:type="dxa"/>
            <w:tcBorders>
              <w:top w:val="single" w:color="auto" w:sz="4" w:space="0"/>
              <w:left w:val="single" w:color="auto" w:sz="4" w:space="0"/>
              <w:bottom w:val="single" w:color="auto" w:sz="4" w:space="0"/>
              <w:right w:val="single" w:color="auto" w:sz="4" w:space="0"/>
            </w:tcBorders>
          </w:tcPr>
          <w:p w14:paraId="4F058648">
            <w:pPr>
              <w:snapToGrid w:val="0"/>
              <w:spacing w:beforeLines="50"/>
              <w:rPr>
                <w:rFonts w:hint="eastAsia" w:ascii="仿宋" w:hAnsi="仿宋" w:eastAsia="仿宋" w:cs="仿宋"/>
                <w:spacing w:val="-2"/>
                <w:kern w:val="2"/>
                <w:sz w:val="24"/>
                <w:szCs w:val="24"/>
                <w:highlight w:val="none"/>
                <w:lang w:val="en-US" w:eastAsia="zh-CN" w:bidi="ar-SA"/>
              </w:rPr>
            </w:pPr>
            <w:r>
              <w:rPr>
                <w:rFonts w:hint="eastAsia" w:ascii="仿宋" w:hAnsi="仿宋" w:eastAsia="仿宋"/>
                <w:color w:val="auto"/>
                <w:sz w:val="24"/>
                <w:highlight w:val="none"/>
              </w:rPr>
              <w:t>服务期限：</w:t>
            </w:r>
            <w:r>
              <w:rPr>
                <w:rFonts w:hint="eastAsia" w:ascii="仿宋" w:hAnsi="仿宋" w:eastAsia="仿宋"/>
                <w:color w:val="auto"/>
                <w:sz w:val="24"/>
                <w:highlight w:val="none"/>
                <w:lang w:val="en-US" w:eastAsia="zh-CN"/>
              </w:rPr>
              <w:t>2026年8月-2028年12月</w:t>
            </w:r>
          </w:p>
          <w:p w14:paraId="6087579E">
            <w:pPr>
              <w:snapToGrid w:val="0"/>
              <w:spacing w:beforeLines="50"/>
              <w:rPr>
                <w:rFonts w:ascii="仿宋" w:hAnsi="仿宋" w:eastAsia="仿宋"/>
                <w:color w:val="auto"/>
                <w:sz w:val="24"/>
                <w:highlight w:val="none"/>
              </w:rPr>
            </w:pPr>
            <w:r>
              <w:rPr>
                <w:rFonts w:hint="eastAsia" w:ascii="仿宋" w:hAnsi="仿宋" w:eastAsia="仿宋"/>
                <w:color w:val="auto"/>
                <w:sz w:val="24"/>
                <w:highlight w:val="none"/>
              </w:rPr>
              <w:t>地点：</w:t>
            </w:r>
            <w:r>
              <w:rPr>
                <w:rFonts w:hint="eastAsia" w:ascii="仿宋" w:hAnsi="仿宋" w:eastAsia="仿宋"/>
                <w:color w:val="auto"/>
                <w:sz w:val="24"/>
                <w:highlight w:val="none"/>
                <w:lang w:val="en-US" w:eastAsia="zh-CN"/>
              </w:rPr>
              <w:t>采购人指定地点（如皋境内）</w:t>
            </w:r>
          </w:p>
        </w:tc>
        <w:tc>
          <w:tcPr>
            <w:tcW w:w="1751" w:type="dxa"/>
            <w:tcBorders>
              <w:top w:val="single" w:color="auto" w:sz="4" w:space="0"/>
              <w:left w:val="single" w:color="auto" w:sz="4" w:space="0"/>
              <w:bottom w:val="single" w:color="auto" w:sz="4" w:space="0"/>
              <w:right w:val="single" w:color="auto" w:sz="4" w:space="0"/>
            </w:tcBorders>
          </w:tcPr>
          <w:p w14:paraId="16A39967">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6CFD9C0">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468F608C">
            <w:pPr>
              <w:snapToGrid w:val="0"/>
              <w:spacing w:beforeLines="50"/>
              <w:ind w:left="43"/>
              <w:rPr>
                <w:rFonts w:ascii="仿宋" w:hAnsi="仿宋" w:eastAsia="仿宋"/>
                <w:color w:val="auto"/>
                <w:sz w:val="24"/>
                <w:highlight w:val="none"/>
              </w:rPr>
            </w:pPr>
          </w:p>
        </w:tc>
      </w:tr>
      <w:tr w14:paraId="2000E1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restart"/>
            <w:tcBorders>
              <w:top w:val="single" w:color="auto" w:sz="4" w:space="0"/>
              <w:left w:val="single" w:color="auto" w:sz="4" w:space="0"/>
              <w:right w:val="single" w:color="auto" w:sz="4" w:space="0"/>
            </w:tcBorders>
            <w:vAlign w:val="center"/>
          </w:tcPr>
          <w:p w14:paraId="02533471">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w:t>
            </w:r>
          </w:p>
        </w:tc>
        <w:tc>
          <w:tcPr>
            <w:tcW w:w="1751" w:type="dxa"/>
            <w:vMerge w:val="restart"/>
            <w:tcBorders>
              <w:top w:val="single" w:color="auto" w:sz="4" w:space="0"/>
              <w:left w:val="single" w:color="auto" w:sz="4" w:space="0"/>
              <w:right w:val="single" w:color="auto" w:sz="4" w:space="0"/>
            </w:tcBorders>
            <w:vAlign w:val="center"/>
          </w:tcPr>
          <w:p w14:paraId="0E732073">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考核方案</w:t>
            </w:r>
          </w:p>
        </w:tc>
        <w:tc>
          <w:tcPr>
            <w:tcW w:w="2934" w:type="dxa"/>
            <w:tcBorders>
              <w:top w:val="single" w:color="auto" w:sz="4" w:space="0"/>
              <w:left w:val="single" w:color="auto" w:sz="4" w:space="0"/>
              <w:bottom w:val="single" w:color="auto" w:sz="4" w:space="0"/>
              <w:right w:val="single" w:color="auto" w:sz="4" w:space="0"/>
            </w:tcBorders>
            <w:vAlign w:val="top"/>
          </w:tcPr>
          <w:p w14:paraId="2F3569F4">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一）成交供应商负责验收资料收集、整理、上报、归档等相关工作的驻场人员需保证每周五天出勤，每缺勤一天扣违约金500元，累计缺勤5天或连续缺勤3天（书面请假，采购人同意除外），采购人有权解除合同，已完成工作量不予结算，由供应商承担由此发生的全部责任和损失。</w:t>
            </w:r>
          </w:p>
        </w:tc>
        <w:tc>
          <w:tcPr>
            <w:tcW w:w="1751" w:type="dxa"/>
            <w:tcBorders>
              <w:top w:val="single" w:color="auto" w:sz="4" w:space="0"/>
              <w:left w:val="single" w:color="auto" w:sz="4" w:space="0"/>
              <w:bottom w:val="single" w:color="auto" w:sz="4" w:space="0"/>
              <w:right w:val="single" w:color="auto" w:sz="4" w:space="0"/>
            </w:tcBorders>
          </w:tcPr>
          <w:p w14:paraId="6439805F">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3391FBDD">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4073A011">
            <w:pPr>
              <w:snapToGrid w:val="0"/>
              <w:spacing w:beforeLines="50"/>
              <w:ind w:left="43"/>
              <w:rPr>
                <w:rFonts w:ascii="仿宋" w:hAnsi="仿宋" w:eastAsia="仿宋"/>
                <w:color w:val="auto"/>
                <w:sz w:val="24"/>
                <w:highlight w:val="none"/>
              </w:rPr>
            </w:pPr>
          </w:p>
        </w:tc>
      </w:tr>
      <w:tr w14:paraId="618A39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2198FB65">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0B525971">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72619EC1">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（二）项目负责人未按照服务要求实际牵头负责本项目的实施，未在项目踏勘、专家评审等重要环节中全程参与，采购人有权解除合同，已完成工作量不予结算，由供应商承担由此发生的全部责任和损失。</w:t>
            </w:r>
          </w:p>
        </w:tc>
        <w:tc>
          <w:tcPr>
            <w:tcW w:w="1751" w:type="dxa"/>
            <w:tcBorders>
              <w:top w:val="single" w:color="auto" w:sz="4" w:space="0"/>
              <w:left w:val="single" w:color="auto" w:sz="4" w:space="0"/>
              <w:bottom w:val="single" w:color="auto" w:sz="4" w:space="0"/>
              <w:right w:val="single" w:color="auto" w:sz="4" w:space="0"/>
            </w:tcBorders>
          </w:tcPr>
          <w:p w14:paraId="7C91B563">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26115600">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11A81876">
            <w:pPr>
              <w:snapToGrid w:val="0"/>
              <w:spacing w:beforeLines="50"/>
              <w:ind w:left="43"/>
              <w:rPr>
                <w:rFonts w:ascii="仿宋" w:hAnsi="仿宋" w:eastAsia="仿宋"/>
                <w:color w:val="auto"/>
                <w:sz w:val="24"/>
                <w:highlight w:val="none"/>
              </w:rPr>
            </w:pPr>
          </w:p>
        </w:tc>
      </w:tr>
      <w:tr w14:paraId="20DD56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bottom w:val="single" w:color="auto" w:sz="4" w:space="0"/>
              <w:right w:val="single" w:color="auto" w:sz="4" w:space="0"/>
            </w:tcBorders>
            <w:vAlign w:val="center"/>
          </w:tcPr>
          <w:p w14:paraId="5BB57B7E">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bottom w:val="single" w:color="auto" w:sz="4" w:space="0"/>
              <w:right w:val="single" w:color="auto" w:sz="4" w:space="0"/>
            </w:tcBorders>
            <w:vAlign w:val="center"/>
          </w:tcPr>
          <w:p w14:paraId="66047A08">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58D5AEB8">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（三）如成交供应商提交的成果因质量缺陷未通过南通市级鉴定，成交供应商将承担全部法律责任，采购人有权拒付剩余款项。</w:t>
            </w:r>
          </w:p>
        </w:tc>
        <w:tc>
          <w:tcPr>
            <w:tcW w:w="1751" w:type="dxa"/>
            <w:tcBorders>
              <w:top w:val="single" w:color="auto" w:sz="4" w:space="0"/>
              <w:left w:val="single" w:color="auto" w:sz="4" w:space="0"/>
              <w:bottom w:val="single" w:color="auto" w:sz="4" w:space="0"/>
              <w:right w:val="single" w:color="auto" w:sz="4" w:space="0"/>
            </w:tcBorders>
          </w:tcPr>
          <w:p w14:paraId="2D0DAFB5">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558805BB">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1DCD8C21">
            <w:pPr>
              <w:snapToGrid w:val="0"/>
              <w:spacing w:beforeLines="50"/>
              <w:ind w:left="43"/>
              <w:rPr>
                <w:rFonts w:ascii="仿宋" w:hAnsi="仿宋" w:eastAsia="仿宋"/>
                <w:color w:val="auto"/>
                <w:sz w:val="24"/>
                <w:highlight w:val="none"/>
              </w:rPr>
            </w:pPr>
          </w:p>
        </w:tc>
      </w:tr>
      <w:tr w14:paraId="692D7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A719E6E">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w:t>
            </w:r>
          </w:p>
        </w:tc>
        <w:tc>
          <w:tcPr>
            <w:tcW w:w="1751" w:type="dxa"/>
            <w:tcBorders>
              <w:top w:val="single" w:color="auto" w:sz="4" w:space="0"/>
              <w:left w:val="single" w:color="auto" w:sz="4" w:space="0"/>
              <w:bottom w:val="single" w:color="auto" w:sz="4" w:space="0"/>
              <w:right w:val="single" w:color="auto" w:sz="4" w:space="0"/>
            </w:tcBorders>
            <w:vAlign w:val="center"/>
          </w:tcPr>
          <w:p w14:paraId="1EFBE62B">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付款方式</w:t>
            </w:r>
          </w:p>
        </w:tc>
        <w:tc>
          <w:tcPr>
            <w:tcW w:w="2934" w:type="dxa"/>
            <w:tcBorders>
              <w:top w:val="single" w:color="auto" w:sz="4" w:space="0"/>
              <w:left w:val="single" w:color="auto" w:sz="4" w:space="0"/>
              <w:bottom w:val="single" w:color="auto" w:sz="4" w:space="0"/>
              <w:right w:val="single" w:color="auto" w:sz="4" w:space="0"/>
            </w:tcBorders>
            <w:vAlign w:val="top"/>
          </w:tcPr>
          <w:p w14:paraId="6F7BE7E6">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完成</w:t>
            </w:r>
            <w:r>
              <w:rPr>
                <w:rFonts w:hint="default" w:ascii="仿宋" w:hAnsi="仿宋" w:eastAsia="仿宋"/>
                <w:color w:val="auto"/>
                <w:sz w:val="24"/>
                <w:highlight w:val="none"/>
                <w:lang w:val="en-US" w:eastAsia="zh-CN"/>
              </w:rPr>
              <w:t>拟新增耕地</w:t>
            </w:r>
            <w:r>
              <w:rPr>
                <w:rFonts w:hint="eastAsia" w:ascii="仿宋" w:hAnsi="仿宋" w:eastAsia="仿宋"/>
                <w:color w:val="auto"/>
                <w:sz w:val="24"/>
                <w:highlight w:val="none"/>
                <w:lang w:val="en-US" w:eastAsia="zh-CN"/>
              </w:rPr>
              <w:t>土壤污染</w:t>
            </w:r>
            <w:r>
              <w:rPr>
                <w:rFonts w:hint="default" w:ascii="仿宋" w:hAnsi="仿宋" w:eastAsia="仿宋"/>
                <w:color w:val="auto"/>
                <w:sz w:val="24"/>
                <w:highlight w:val="none"/>
                <w:lang w:val="en-US" w:eastAsia="zh-CN"/>
              </w:rPr>
              <w:t>状况调查</w:t>
            </w:r>
            <w:r>
              <w:rPr>
                <w:rFonts w:hint="eastAsia" w:ascii="仿宋" w:hAnsi="仿宋" w:eastAsia="仿宋"/>
                <w:color w:val="auto"/>
                <w:sz w:val="24"/>
                <w:highlight w:val="none"/>
                <w:lang w:val="en-US" w:eastAsia="zh-CN"/>
              </w:rPr>
              <w:t>报告并通过评审的支付合同价总额的30%；完成</w:t>
            </w:r>
            <w:r>
              <w:rPr>
                <w:rFonts w:hint="default" w:ascii="仿宋" w:hAnsi="仿宋" w:eastAsia="仿宋"/>
                <w:color w:val="auto"/>
                <w:sz w:val="24"/>
                <w:highlight w:val="none"/>
                <w:lang w:val="en-US" w:eastAsia="zh-CN"/>
              </w:rPr>
              <w:t>补充耕地质量鉴定鉴定</w:t>
            </w:r>
            <w:r>
              <w:rPr>
                <w:rFonts w:hint="eastAsia" w:ascii="仿宋" w:hAnsi="仿宋" w:eastAsia="仿宋"/>
                <w:color w:val="auto"/>
                <w:sz w:val="24"/>
                <w:highlight w:val="none"/>
                <w:lang w:val="en-US" w:eastAsia="zh-CN"/>
              </w:rPr>
              <w:t>检测工作后付至合同价总额的70%；待通过南通市级</w:t>
            </w:r>
            <w:r>
              <w:rPr>
                <w:rFonts w:hint="default" w:ascii="仿宋" w:hAnsi="仿宋" w:eastAsia="仿宋"/>
                <w:color w:val="auto"/>
                <w:sz w:val="24"/>
                <w:highlight w:val="none"/>
                <w:lang w:val="en-US" w:eastAsia="zh-CN"/>
              </w:rPr>
              <w:t>补充耕地质量鉴定</w:t>
            </w:r>
            <w:r>
              <w:rPr>
                <w:rFonts w:hint="eastAsia" w:ascii="仿宋" w:hAnsi="仿宋" w:eastAsia="仿宋"/>
                <w:color w:val="auto"/>
                <w:sz w:val="24"/>
                <w:highlight w:val="none"/>
                <w:lang w:val="en-US" w:eastAsia="zh-CN"/>
              </w:rPr>
              <w:t>后付清余款。按年每年年底支付，每次支付前，成交供应商均应出具相应金额的正式税票。</w:t>
            </w:r>
          </w:p>
        </w:tc>
        <w:tc>
          <w:tcPr>
            <w:tcW w:w="1751" w:type="dxa"/>
            <w:tcBorders>
              <w:top w:val="single" w:color="auto" w:sz="4" w:space="0"/>
              <w:left w:val="single" w:color="auto" w:sz="4" w:space="0"/>
              <w:bottom w:val="single" w:color="auto" w:sz="4" w:space="0"/>
              <w:right w:val="single" w:color="auto" w:sz="4" w:space="0"/>
            </w:tcBorders>
          </w:tcPr>
          <w:p w14:paraId="0E2B4B52">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6BA8A79">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51DA6C98">
            <w:pPr>
              <w:snapToGrid w:val="0"/>
              <w:spacing w:beforeLines="50"/>
              <w:ind w:left="43"/>
              <w:rPr>
                <w:rFonts w:ascii="仿宋" w:hAnsi="仿宋" w:eastAsia="仿宋"/>
                <w:color w:val="auto"/>
                <w:sz w:val="24"/>
                <w:highlight w:val="none"/>
              </w:rPr>
            </w:pPr>
          </w:p>
        </w:tc>
      </w:tr>
      <w:tr w14:paraId="3DFE9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restart"/>
            <w:tcBorders>
              <w:top w:val="single" w:color="auto" w:sz="4" w:space="0"/>
              <w:left w:val="single" w:color="auto" w:sz="4" w:space="0"/>
              <w:right w:val="single" w:color="auto" w:sz="4" w:space="0"/>
            </w:tcBorders>
            <w:vAlign w:val="center"/>
          </w:tcPr>
          <w:p w14:paraId="5FF58FBD">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w:t>
            </w:r>
          </w:p>
        </w:tc>
        <w:tc>
          <w:tcPr>
            <w:tcW w:w="1751" w:type="dxa"/>
            <w:vMerge w:val="restart"/>
            <w:tcBorders>
              <w:top w:val="single" w:color="auto" w:sz="4" w:space="0"/>
              <w:left w:val="single" w:color="auto" w:sz="4" w:space="0"/>
              <w:right w:val="single" w:color="auto" w:sz="4" w:space="0"/>
            </w:tcBorders>
            <w:vAlign w:val="center"/>
          </w:tcPr>
          <w:p w14:paraId="6AA11241">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报价要求</w:t>
            </w:r>
          </w:p>
        </w:tc>
        <w:tc>
          <w:tcPr>
            <w:tcW w:w="2934" w:type="dxa"/>
            <w:tcBorders>
              <w:top w:val="single" w:color="auto" w:sz="4" w:space="0"/>
              <w:left w:val="single" w:color="auto" w:sz="4" w:space="0"/>
              <w:bottom w:val="single" w:color="auto" w:sz="4" w:space="0"/>
              <w:right w:val="single" w:color="auto" w:sz="4" w:space="0"/>
            </w:tcBorders>
            <w:vAlign w:val="top"/>
          </w:tcPr>
          <w:p w14:paraId="43235817">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本项目为综合单价报价，结算时按中标单价和实际量进行最终结算，按实结算。供应商报价应包括采购范围内的全部内容，供应商应结合本单位及本项目实际情况，充分考虑市场现状，响应报价为供应商所投服务的全费用报价。响应报价的范围：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p>
        </w:tc>
        <w:tc>
          <w:tcPr>
            <w:tcW w:w="1751" w:type="dxa"/>
            <w:tcBorders>
              <w:top w:val="single" w:color="auto" w:sz="4" w:space="0"/>
              <w:left w:val="single" w:color="auto" w:sz="4" w:space="0"/>
              <w:bottom w:val="single" w:color="auto" w:sz="4" w:space="0"/>
              <w:right w:val="single" w:color="auto" w:sz="4" w:space="0"/>
            </w:tcBorders>
          </w:tcPr>
          <w:p w14:paraId="08AD3E07">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11F003DD">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5BBF990D">
            <w:pPr>
              <w:snapToGrid w:val="0"/>
              <w:spacing w:beforeLines="50"/>
              <w:ind w:left="43"/>
              <w:rPr>
                <w:rFonts w:ascii="仿宋" w:hAnsi="仿宋" w:eastAsia="仿宋"/>
                <w:color w:val="auto"/>
                <w:sz w:val="24"/>
                <w:highlight w:val="none"/>
              </w:rPr>
            </w:pPr>
          </w:p>
        </w:tc>
      </w:tr>
      <w:tr w14:paraId="1B6E44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30587E39">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385EF14C">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49B4F248">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本项目各采购包实施范围不定，数据仅作为本次采购服务量的参照依据，各响应投标人以此数据作为测算报价的参考量，具体工作量需服从采购人安排开展工作。自行考虑实施范围变化风险，结算价以中标综合单价按实结算，招标人不因此增加任何费用。</w:t>
            </w:r>
          </w:p>
        </w:tc>
        <w:tc>
          <w:tcPr>
            <w:tcW w:w="1751" w:type="dxa"/>
            <w:tcBorders>
              <w:top w:val="single" w:color="auto" w:sz="4" w:space="0"/>
              <w:left w:val="single" w:color="auto" w:sz="4" w:space="0"/>
              <w:bottom w:val="single" w:color="auto" w:sz="4" w:space="0"/>
              <w:right w:val="single" w:color="auto" w:sz="4" w:space="0"/>
            </w:tcBorders>
          </w:tcPr>
          <w:p w14:paraId="3234C649">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E659866">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06792F31">
            <w:pPr>
              <w:snapToGrid w:val="0"/>
              <w:spacing w:beforeLines="50"/>
              <w:ind w:left="43"/>
              <w:rPr>
                <w:rFonts w:ascii="仿宋" w:hAnsi="仿宋" w:eastAsia="仿宋"/>
                <w:color w:val="auto"/>
                <w:sz w:val="24"/>
                <w:highlight w:val="none"/>
              </w:rPr>
            </w:pPr>
          </w:p>
        </w:tc>
      </w:tr>
      <w:tr w14:paraId="39F78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038F85BD">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34BF5D34">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752287F1">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项目实施期间，经专家现场踏勘研判后，如需新增特征污染物加测项目，因相关检测内容存在不确定性，各投标供应商编制报价时，须充分统筹预判此类加测产生的各项成本，将潜在加测指标的费用全部包含在整体投标报价内，采购人后续不会对新增的加测指标另行支付任何费用。</w:t>
            </w:r>
          </w:p>
        </w:tc>
        <w:tc>
          <w:tcPr>
            <w:tcW w:w="1751" w:type="dxa"/>
            <w:tcBorders>
              <w:top w:val="single" w:color="auto" w:sz="4" w:space="0"/>
              <w:left w:val="single" w:color="auto" w:sz="4" w:space="0"/>
              <w:bottom w:val="single" w:color="auto" w:sz="4" w:space="0"/>
              <w:right w:val="single" w:color="auto" w:sz="4" w:space="0"/>
            </w:tcBorders>
          </w:tcPr>
          <w:p w14:paraId="4FD4D04F">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109EDDE7">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28F3D740">
            <w:pPr>
              <w:snapToGrid w:val="0"/>
              <w:spacing w:beforeLines="50"/>
              <w:ind w:left="43"/>
              <w:rPr>
                <w:rFonts w:ascii="仿宋" w:hAnsi="仿宋" w:eastAsia="仿宋"/>
                <w:color w:val="auto"/>
                <w:sz w:val="24"/>
                <w:highlight w:val="none"/>
              </w:rPr>
            </w:pPr>
          </w:p>
        </w:tc>
      </w:tr>
      <w:tr w14:paraId="1A194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bottom w:val="single" w:color="auto" w:sz="4" w:space="0"/>
              <w:right w:val="single" w:color="auto" w:sz="4" w:space="0"/>
            </w:tcBorders>
            <w:vAlign w:val="center"/>
          </w:tcPr>
          <w:p w14:paraId="2F9E17A9">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bottom w:val="single" w:color="auto" w:sz="4" w:space="0"/>
              <w:right w:val="single" w:color="auto" w:sz="4" w:space="0"/>
            </w:tcBorders>
            <w:vAlign w:val="center"/>
          </w:tcPr>
          <w:p w14:paraId="6677493C">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416F61B7">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供应商对服务缺陷应当及时予以更正，拖延或不予更正的，采购方有权另请其他单位更正，所发生的费用由中标人承担；供应商因自身工作失误导致成果错误，无法通过审批，采购人有权解除合同并追究供应商责任；如发现供应商出现弄虚作假行为的，采购单位有权解除合同并追究其相关责任。</w:t>
            </w:r>
          </w:p>
        </w:tc>
        <w:tc>
          <w:tcPr>
            <w:tcW w:w="1751" w:type="dxa"/>
            <w:tcBorders>
              <w:top w:val="single" w:color="auto" w:sz="4" w:space="0"/>
              <w:left w:val="single" w:color="auto" w:sz="4" w:space="0"/>
              <w:bottom w:val="single" w:color="auto" w:sz="4" w:space="0"/>
              <w:right w:val="single" w:color="auto" w:sz="4" w:space="0"/>
            </w:tcBorders>
          </w:tcPr>
          <w:p w14:paraId="4836B1D5">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579AE13D">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272DC133">
            <w:pPr>
              <w:snapToGrid w:val="0"/>
              <w:spacing w:beforeLines="50"/>
              <w:ind w:left="43"/>
              <w:rPr>
                <w:rFonts w:ascii="仿宋" w:hAnsi="仿宋" w:eastAsia="仿宋"/>
                <w:color w:val="auto"/>
                <w:sz w:val="24"/>
                <w:highlight w:val="none"/>
              </w:rPr>
            </w:pPr>
          </w:p>
        </w:tc>
      </w:tr>
      <w:tr w14:paraId="44CA3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restart"/>
            <w:tcBorders>
              <w:top w:val="single" w:color="auto" w:sz="4" w:space="0"/>
              <w:left w:val="single" w:color="auto" w:sz="4" w:space="0"/>
              <w:right w:val="single" w:color="auto" w:sz="4" w:space="0"/>
            </w:tcBorders>
            <w:vAlign w:val="center"/>
          </w:tcPr>
          <w:p w14:paraId="72E1ABC7">
            <w:pPr>
              <w:snapToGrid w:val="0"/>
              <w:spacing w:beforeLines="50"/>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w:t>
            </w:r>
          </w:p>
        </w:tc>
        <w:tc>
          <w:tcPr>
            <w:tcW w:w="1751" w:type="dxa"/>
            <w:vMerge w:val="restart"/>
            <w:tcBorders>
              <w:top w:val="single" w:color="auto" w:sz="4" w:space="0"/>
              <w:left w:val="single" w:color="auto" w:sz="4" w:space="0"/>
              <w:right w:val="single" w:color="auto" w:sz="4" w:space="0"/>
            </w:tcBorders>
            <w:vAlign w:val="center"/>
          </w:tcPr>
          <w:p w14:paraId="41B9899A">
            <w:pPr>
              <w:snapToGrid w:val="0"/>
              <w:spacing w:beforeLines="50"/>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其他要求</w:t>
            </w:r>
          </w:p>
        </w:tc>
        <w:tc>
          <w:tcPr>
            <w:tcW w:w="2934" w:type="dxa"/>
            <w:tcBorders>
              <w:top w:val="single" w:color="auto" w:sz="4" w:space="0"/>
              <w:left w:val="single" w:color="auto" w:sz="4" w:space="0"/>
              <w:bottom w:val="single" w:color="auto" w:sz="4" w:space="0"/>
              <w:right w:val="single" w:color="auto" w:sz="4" w:space="0"/>
            </w:tcBorders>
            <w:vAlign w:val="top"/>
          </w:tcPr>
          <w:p w14:paraId="51A85B7B">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本项目所形成的数据成果归采购人所有。项目任务实施中涉及的相关保密数据、资料、文档等按照相应相关保密规定执行，成交投标人有对资料保密的义务。不得以商业目的使用该资料或者开发和生产其他产品。</w:t>
            </w:r>
          </w:p>
        </w:tc>
        <w:tc>
          <w:tcPr>
            <w:tcW w:w="1751" w:type="dxa"/>
            <w:tcBorders>
              <w:top w:val="single" w:color="auto" w:sz="4" w:space="0"/>
              <w:left w:val="single" w:color="auto" w:sz="4" w:space="0"/>
              <w:bottom w:val="single" w:color="auto" w:sz="4" w:space="0"/>
              <w:right w:val="single" w:color="auto" w:sz="4" w:space="0"/>
            </w:tcBorders>
          </w:tcPr>
          <w:p w14:paraId="3724AB5F">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92AF2DD">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15E4ABF6">
            <w:pPr>
              <w:snapToGrid w:val="0"/>
              <w:spacing w:beforeLines="50"/>
              <w:ind w:left="43"/>
              <w:rPr>
                <w:rFonts w:ascii="仿宋" w:hAnsi="仿宋" w:eastAsia="仿宋"/>
                <w:color w:val="auto"/>
                <w:sz w:val="24"/>
                <w:highlight w:val="none"/>
              </w:rPr>
            </w:pPr>
          </w:p>
        </w:tc>
      </w:tr>
      <w:tr w14:paraId="7854FF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7D1B4585">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664B6D17">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213D1222">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2、响应单位必须承诺满足采购文件中提出的全部服务要求；如果以其中某些条款不响应时，应在文件中逐条列出，未列出的视同响应。</w:t>
            </w:r>
          </w:p>
        </w:tc>
        <w:tc>
          <w:tcPr>
            <w:tcW w:w="1751" w:type="dxa"/>
            <w:tcBorders>
              <w:top w:val="single" w:color="auto" w:sz="4" w:space="0"/>
              <w:left w:val="single" w:color="auto" w:sz="4" w:space="0"/>
              <w:bottom w:val="single" w:color="auto" w:sz="4" w:space="0"/>
              <w:right w:val="single" w:color="auto" w:sz="4" w:space="0"/>
            </w:tcBorders>
          </w:tcPr>
          <w:p w14:paraId="62A56956">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5277DC4D">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E73AC8A">
            <w:pPr>
              <w:snapToGrid w:val="0"/>
              <w:spacing w:beforeLines="50"/>
              <w:ind w:left="43"/>
              <w:rPr>
                <w:rFonts w:ascii="仿宋" w:hAnsi="仿宋" w:eastAsia="仿宋"/>
                <w:color w:val="auto"/>
                <w:sz w:val="24"/>
                <w:highlight w:val="none"/>
              </w:rPr>
            </w:pPr>
          </w:p>
        </w:tc>
      </w:tr>
      <w:tr w14:paraId="5EFCB7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064A5743">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73DF3C02">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087CD942">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3、中标单位工作人员在岗履行职责期间（包括上下班途中），发生自身的人身伤害、伤亡，均由成交单位负责处理并承担经济和道义上的责任，采购单位不承担任何责任。</w:t>
            </w:r>
          </w:p>
        </w:tc>
        <w:tc>
          <w:tcPr>
            <w:tcW w:w="1751" w:type="dxa"/>
            <w:tcBorders>
              <w:top w:val="single" w:color="auto" w:sz="4" w:space="0"/>
              <w:left w:val="single" w:color="auto" w:sz="4" w:space="0"/>
              <w:bottom w:val="single" w:color="auto" w:sz="4" w:space="0"/>
              <w:right w:val="single" w:color="auto" w:sz="4" w:space="0"/>
            </w:tcBorders>
          </w:tcPr>
          <w:p w14:paraId="4A5BB6D4">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4022EE7C">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0B1F3B7F">
            <w:pPr>
              <w:snapToGrid w:val="0"/>
              <w:spacing w:beforeLines="50"/>
              <w:ind w:left="43"/>
              <w:rPr>
                <w:rFonts w:ascii="仿宋" w:hAnsi="仿宋" w:eastAsia="仿宋"/>
                <w:color w:val="auto"/>
                <w:sz w:val="24"/>
                <w:highlight w:val="none"/>
              </w:rPr>
            </w:pPr>
          </w:p>
        </w:tc>
      </w:tr>
      <w:tr w14:paraId="3FF83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1B01A05E">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3B8FA369">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22097B6F">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响应单位必须保证全部响应资料的真实性，在中标结果公示期间，根据采购人需求，中标单位须提供相关响应原件资料以供与复印件资料核对备查。如有虚假或对招标文件所要求说明的情况故意隐瞒或虚报，取消其成交的资格，并将按照《中华人民共和国政府采购法》相关条款给予处罚。</w:t>
            </w:r>
          </w:p>
        </w:tc>
        <w:tc>
          <w:tcPr>
            <w:tcW w:w="1751" w:type="dxa"/>
            <w:tcBorders>
              <w:top w:val="single" w:color="auto" w:sz="4" w:space="0"/>
              <w:left w:val="single" w:color="auto" w:sz="4" w:space="0"/>
              <w:bottom w:val="single" w:color="auto" w:sz="4" w:space="0"/>
              <w:right w:val="single" w:color="auto" w:sz="4" w:space="0"/>
            </w:tcBorders>
          </w:tcPr>
          <w:p w14:paraId="0BF91168">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5ABDFF46">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680F0392">
            <w:pPr>
              <w:snapToGrid w:val="0"/>
              <w:spacing w:beforeLines="50"/>
              <w:ind w:left="43"/>
              <w:rPr>
                <w:rFonts w:ascii="仿宋" w:hAnsi="仿宋" w:eastAsia="仿宋"/>
                <w:color w:val="auto"/>
                <w:sz w:val="24"/>
                <w:highlight w:val="none"/>
              </w:rPr>
            </w:pPr>
          </w:p>
        </w:tc>
      </w:tr>
      <w:tr w14:paraId="35AB7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2DB909A2">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6DDAFBDF">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6E40D5A8">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tc>
        <w:tc>
          <w:tcPr>
            <w:tcW w:w="1751" w:type="dxa"/>
            <w:tcBorders>
              <w:top w:val="single" w:color="auto" w:sz="4" w:space="0"/>
              <w:left w:val="single" w:color="auto" w:sz="4" w:space="0"/>
              <w:bottom w:val="single" w:color="auto" w:sz="4" w:space="0"/>
              <w:right w:val="single" w:color="auto" w:sz="4" w:space="0"/>
            </w:tcBorders>
          </w:tcPr>
          <w:p w14:paraId="7E4EF3C9">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683D5D2E">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FE2DBA0">
            <w:pPr>
              <w:snapToGrid w:val="0"/>
              <w:spacing w:beforeLines="50"/>
              <w:ind w:left="43"/>
              <w:rPr>
                <w:rFonts w:ascii="仿宋" w:hAnsi="仿宋" w:eastAsia="仿宋"/>
                <w:color w:val="auto"/>
                <w:sz w:val="24"/>
                <w:highlight w:val="none"/>
              </w:rPr>
            </w:pPr>
          </w:p>
        </w:tc>
      </w:tr>
      <w:tr w14:paraId="6477C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right w:val="single" w:color="auto" w:sz="4" w:space="0"/>
            </w:tcBorders>
            <w:vAlign w:val="center"/>
          </w:tcPr>
          <w:p w14:paraId="0B8018DF">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right w:val="single" w:color="auto" w:sz="4" w:space="0"/>
            </w:tcBorders>
            <w:vAlign w:val="center"/>
          </w:tcPr>
          <w:p w14:paraId="598BB162">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135C7C06">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6、中标人不得将服务进行转包、分包，否则采购人有权终止合同。转包或分包造成采购人损失的，中标人应承担赔偿责任。</w:t>
            </w:r>
          </w:p>
        </w:tc>
        <w:tc>
          <w:tcPr>
            <w:tcW w:w="1751" w:type="dxa"/>
            <w:tcBorders>
              <w:top w:val="single" w:color="auto" w:sz="4" w:space="0"/>
              <w:left w:val="single" w:color="auto" w:sz="4" w:space="0"/>
              <w:bottom w:val="single" w:color="auto" w:sz="4" w:space="0"/>
              <w:right w:val="single" w:color="auto" w:sz="4" w:space="0"/>
            </w:tcBorders>
          </w:tcPr>
          <w:p w14:paraId="75DAA5B1">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03496558">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1D586AC">
            <w:pPr>
              <w:snapToGrid w:val="0"/>
              <w:spacing w:beforeLines="50"/>
              <w:ind w:left="43"/>
              <w:rPr>
                <w:rFonts w:ascii="仿宋" w:hAnsi="仿宋" w:eastAsia="仿宋"/>
                <w:color w:val="auto"/>
                <w:sz w:val="24"/>
                <w:highlight w:val="none"/>
              </w:rPr>
            </w:pPr>
          </w:p>
        </w:tc>
      </w:tr>
      <w:tr w14:paraId="1FB247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vMerge w:val="continue"/>
            <w:tcBorders>
              <w:left w:val="single" w:color="auto" w:sz="4" w:space="0"/>
              <w:bottom w:val="single" w:color="auto" w:sz="4" w:space="0"/>
              <w:right w:val="single" w:color="auto" w:sz="4" w:space="0"/>
            </w:tcBorders>
            <w:vAlign w:val="center"/>
          </w:tcPr>
          <w:p w14:paraId="14AD2753">
            <w:pPr>
              <w:snapToGrid w:val="0"/>
              <w:spacing w:beforeLines="50"/>
              <w:jc w:val="center"/>
              <w:rPr>
                <w:rFonts w:ascii="仿宋" w:hAnsi="仿宋" w:eastAsia="仿宋"/>
                <w:color w:val="auto"/>
                <w:sz w:val="24"/>
                <w:highlight w:val="none"/>
              </w:rPr>
            </w:pPr>
          </w:p>
        </w:tc>
        <w:tc>
          <w:tcPr>
            <w:tcW w:w="1751" w:type="dxa"/>
            <w:vMerge w:val="continue"/>
            <w:tcBorders>
              <w:left w:val="single" w:color="auto" w:sz="4" w:space="0"/>
              <w:bottom w:val="single" w:color="auto" w:sz="4" w:space="0"/>
              <w:right w:val="single" w:color="auto" w:sz="4" w:space="0"/>
            </w:tcBorders>
            <w:vAlign w:val="center"/>
          </w:tcPr>
          <w:p w14:paraId="055FAB63">
            <w:pPr>
              <w:snapToGrid w:val="0"/>
              <w:spacing w:beforeLines="50"/>
              <w:jc w:val="center"/>
              <w:rPr>
                <w:rFonts w:ascii="仿宋" w:hAnsi="仿宋" w:eastAsia="仿宋"/>
                <w:color w:val="auto"/>
                <w:sz w:val="24"/>
                <w:highlight w:val="none"/>
              </w:rPr>
            </w:pPr>
          </w:p>
        </w:tc>
        <w:tc>
          <w:tcPr>
            <w:tcW w:w="2934" w:type="dxa"/>
            <w:tcBorders>
              <w:top w:val="single" w:color="auto" w:sz="4" w:space="0"/>
              <w:left w:val="single" w:color="auto" w:sz="4" w:space="0"/>
              <w:bottom w:val="single" w:color="auto" w:sz="4" w:space="0"/>
              <w:right w:val="single" w:color="auto" w:sz="4" w:space="0"/>
            </w:tcBorders>
            <w:vAlign w:val="top"/>
          </w:tcPr>
          <w:p w14:paraId="557C43B5">
            <w:pPr>
              <w:snapToGrid w:val="0"/>
              <w:spacing w:beforeLines="5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7、未尽事宜，以最终合同约定为准。</w:t>
            </w:r>
          </w:p>
        </w:tc>
        <w:tc>
          <w:tcPr>
            <w:tcW w:w="1751" w:type="dxa"/>
            <w:tcBorders>
              <w:top w:val="single" w:color="auto" w:sz="4" w:space="0"/>
              <w:left w:val="single" w:color="auto" w:sz="4" w:space="0"/>
              <w:bottom w:val="single" w:color="auto" w:sz="4" w:space="0"/>
              <w:right w:val="single" w:color="auto" w:sz="4" w:space="0"/>
            </w:tcBorders>
          </w:tcPr>
          <w:p w14:paraId="502607AE">
            <w:pPr>
              <w:snapToGrid w:val="0"/>
              <w:spacing w:beforeLines="50"/>
              <w:ind w:left="43"/>
              <w:rPr>
                <w:rFonts w:ascii="仿宋" w:hAnsi="仿宋" w:eastAsia="仿宋"/>
                <w:color w:val="auto"/>
                <w:sz w:val="24"/>
                <w:highlight w:val="none"/>
              </w:rPr>
            </w:pPr>
          </w:p>
        </w:tc>
        <w:tc>
          <w:tcPr>
            <w:tcW w:w="1433" w:type="dxa"/>
            <w:tcBorders>
              <w:top w:val="single" w:color="auto" w:sz="4" w:space="0"/>
              <w:left w:val="single" w:color="auto" w:sz="4" w:space="0"/>
              <w:bottom w:val="single" w:color="auto" w:sz="4" w:space="0"/>
              <w:right w:val="single" w:color="auto" w:sz="4" w:space="0"/>
            </w:tcBorders>
          </w:tcPr>
          <w:p w14:paraId="179F60B0">
            <w:pPr>
              <w:snapToGrid w:val="0"/>
              <w:spacing w:beforeLines="50"/>
              <w:ind w:left="43"/>
              <w:rPr>
                <w:rFonts w:ascii="仿宋" w:hAnsi="仿宋" w:eastAsia="仿宋"/>
                <w:color w:val="auto"/>
                <w:sz w:val="24"/>
                <w:highlight w:val="none"/>
              </w:rPr>
            </w:pPr>
          </w:p>
        </w:tc>
        <w:tc>
          <w:tcPr>
            <w:tcW w:w="1012" w:type="dxa"/>
            <w:tcBorders>
              <w:top w:val="single" w:color="auto" w:sz="4" w:space="0"/>
              <w:left w:val="single" w:color="auto" w:sz="4" w:space="0"/>
              <w:bottom w:val="single" w:color="auto" w:sz="4" w:space="0"/>
              <w:right w:val="single" w:color="auto" w:sz="4" w:space="0"/>
            </w:tcBorders>
          </w:tcPr>
          <w:p w14:paraId="370F0CAA">
            <w:pPr>
              <w:snapToGrid w:val="0"/>
              <w:spacing w:beforeLines="50"/>
              <w:ind w:left="43"/>
              <w:rPr>
                <w:rFonts w:ascii="仿宋" w:hAnsi="仿宋" w:eastAsia="仿宋"/>
                <w:color w:val="auto"/>
                <w:sz w:val="24"/>
                <w:highlight w:val="none"/>
              </w:rPr>
            </w:pPr>
          </w:p>
        </w:tc>
      </w:tr>
    </w:tbl>
    <w:p w14:paraId="488982B8">
      <w:pPr>
        <w:rPr>
          <w:rFonts w:ascii="仿宋" w:hAnsi="仿宋" w:eastAsia="仿宋"/>
          <w:color w:val="auto"/>
          <w:szCs w:val="21"/>
          <w:highlight w:val="none"/>
        </w:rPr>
      </w:pPr>
      <w:r>
        <w:rPr>
          <w:rFonts w:hint="eastAsia" w:ascii="仿宋" w:hAnsi="仿宋" w:eastAsia="仿宋"/>
          <w:color w:val="auto"/>
          <w:szCs w:val="21"/>
          <w:highlight w:val="none"/>
        </w:rPr>
        <w:t>注：按照招标文件要求详细填列，可增减行。</w:t>
      </w:r>
    </w:p>
    <w:p w14:paraId="7206DB9F">
      <w:pPr>
        <w:rPr>
          <w:rFonts w:ascii="仿宋" w:hAnsi="仿宋" w:eastAsia="仿宋"/>
          <w:color w:val="auto"/>
          <w:sz w:val="24"/>
          <w:highlight w:val="none"/>
        </w:rPr>
      </w:pPr>
    </w:p>
    <w:p w14:paraId="1A1D60AA">
      <w:pPr>
        <w:ind w:firstLine="560" w:firstLineChars="200"/>
        <w:rPr>
          <w:rFonts w:hint="eastAsia" w:ascii="黑体" w:hAnsi="黑体" w:eastAsia="黑体"/>
          <w:color w:val="auto"/>
          <w:sz w:val="28"/>
          <w:szCs w:val="28"/>
          <w:highlight w:val="none"/>
        </w:rPr>
      </w:pPr>
    </w:p>
    <w:p w14:paraId="4615956E">
      <w:pPr>
        <w:ind w:firstLine="560" w:firstLineChars="200"/>
        <w:rPr>
          <w:rFonts w:hint="eastAsia" w:ascii="黑体" w:hAnsi="黑体" w:eastAsia="黑体"/>
          <w:color w:val="auto"/>
          <w:sz w:val="28"/>
          <w:szCs w:val="28"/>
          <w:highlight w:val="none"/>
        </w:rPr>
      </w:pPr>
    </w:p>
    <w:p w14:paraId="6E5DE899">
      <w:pPr>
        <w:ind w:firstLine="560" w:firstLineChars="200"/>
        <w:rPr>
          <w:rFonts w:hint="eastAsia" w:ascii="黑体" w:hAnsi="黑体" w:eastAsia="黑体"/>
          <w:color w:val="auto"/>
          <w:sz w:val="28"/>
          <w:szCs w:val="28"/>
          <w:highlight w:val="none"/>
        </w:rPr>
      </w:pPr>
    </w:p>
    <w:p w14:paraId="449201AE">
      <w:pPr>
        <w:ind w:firstLine="560" w:firstLineChars="200"/>
        <w:rPr>
          <w:rFonts w:hint="eastAsia" w:ascii="黑体" w:hAnsi="黑体" w:eastAsia="黑体"/>
          <w:color w:val="auto"/>
          <w:sz w:val="28"/>
          <w:szCs w:val="28"/>
          <w:highlight w:val="none"/>
        </w:rPr>
      </w:pPr>
    </w:p>
    <w:p w14:paraId="711DA8E0">
      <w:pPr>
        <w:ind w:firstLine="560" w:firstLineChars="200"/>
        <w:rPr>
          <w:rFonts w:hint="eastAsia" w:ascii="黑体" w:hAnsi="黑体" w:eastAsia="黑体"/>
          <w:color w:val="auto"/>
          <w:sz w:val="28"/>
          <w:szCs w:val="28"/>
          <w:highlight w:val="none"/>
        </w:rPr>
      </w:pPr>
    </w:p>
    <w:p w14:paraId="3F9E0927">
      <w:pPr>
        <w:ind w:firstLine="560" w:firstLineChars="200"/>
        <w:rPr>
          <w:rFonts w:hint="eastAsia" w:ascii="黑体" w:hAnsi="黑体" w:eastAsia="黑体"/>
          <w:color w:val="auto"/>
          <w:sz w:val="28"/>
          <w:szCs w:val="28"/>
          <w:highlight w:val="none"/>
        </w:rPr>
      </w:pPr>
    </w:p>
    <w:p w14:paraId="0EAEDFDF">
      <w:pPr>
        <w:ind w:firstLine="560" w:firstLineChars="200"/>
        <w:rPr>
          <w:rFonts w:ascii="黑体" w:hAnsi="黑体" w:eastAsia="黑体"/>
          <w:bCs/>
          <w:color w:val="auto"/>
          <w:sz w:val="28"/>
          <w:szCs w:val="28"/>
          <w:highlight w:val="none"/>
        </w:rPr>
      </w:pPr>
      <w:r>
        <w:rPr>
          <w:rFonts w:hint="eastAsia" w:ascii="黑体" w:hAnsi="黑体" w:eastAsia="黑体"/>
          <w:color w:val="auto"/>
          <w:sz w:val="28"/>
          <w:szCs w:val="28"/>
          <w:highlight w:val="none"/>
        </w:rPr>
        <w:t>四、报价文件</w:t>
      </w:r>
    </w:p>
    <w:p w14:paraId="7132357B">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（一）公开招标响应报价表</w:t>
      </w:r>
    </w:p>
    <w:p w14:paraId="581EFF04">
      <w:pPr>
        <w:ind w:firstLine="3040" w:firstLineChars="95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公开招标响应报价表</w:t>
      </w:r>
    </w:p>
    <w:tbl>
      <w:tblPr>
        <w:tblStyle w:val="25"/>
        <w:tblW w:w="8807" w:type="dxa"/>
        <w:tblInd w:w="95" w:type="dxa"/>
        <w:tblLayout w:type="fixed"/>
        <w:tblCellMar>
          <w:top w:w="0" w:type="dxa"/>
          <w:left w:w="108" w:type="dxa"/>
          <w:bottom w:w="0" w:type="dxa"/>
          <w:right w:w="108" w:type="dxa"/>
        </w:tblCellMar>
      </w:tblPr>
      <w:tblGrid>
        <w:gridCol w:w="4087"/>
        <w:gridCol w:w="2220"/>
        <w:gridCol w:w="2500"/>
      </w:tblGrid>
      <w:tr w14:paraId="03D31B21">
        <w:tblPrEx>
          <w:tblCellMar>
            <w:top w:w="0" w:type="dxa"/>
            <w:left w:w="108" w:type="dxa"/>
            <w:bottom w:w="0" w:type="dxa"/>
            <w:right w:w="108" w:type="dxa"/>
          </w:tblCellMar>
        </w:tblPrEx>
        <w:trPr>
          <w:trHeight w:val="390" w:hRule="atLeast"/>
        </w:trPr>
        <w:tc>
          <w:tcPr>
            <w:tcW w:w="8807" w:type="dxa"/>
            <w:gridSpan w:val="3"/>
            <w:tcBorders>
              <w:top w:val="nil"/>
              <w:left w:val="nil"/>
              <w:bottom w:val="nil"/>
              <w:right w:val="nil"/>
            </w:tcBorders>
            <w:noWrap/>
            <w:vAlign w:val="center"/>
          </w:tcPr>
          <w:p w14:paraId="4F40D73A">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供应商名称（加盖公章）：</w:t>
            </w:r>
          </w:p>
        </w:tc>
      </w:tr>
      <w:tr w14:paraId="3DD2D23A">
        <w:tblPrEx>
          <w:tblCellMar>
            <w:top w:w="0" w:type="dxa"/>
            <w:left w:w="108" w:type="dxa"/>
            <w:bottom w:w="0" w:type="dxa"/>
            <w:right w:w="108" w:type="dxa"/>
          </w:tblCellMar>
        </w:tblPrEx>
        <w:trPr>
          <w:trHeight w:val="405" w:hRule="atLeast"/>
        </w:trPr>
        <w:tc>
          <w:tcPr>
            <w:tcW w:w="8807" w:type="dxa"/>
            <w:gridSpan w:val="3"/>
            <w:tcBorders>
              <w:top w:val="nil"/>
              <w:left w:val="nil"/>
              <w:bottom w:val="nil"/>
              <w:right w:val="nil"/>
            </w:tcBorders>
            <w:noWrap/>
            <w:vAlign w:val="center"/>
          </w:tcPr>
          <w:p w14:paraId="13CAFBDD">
            <w:pPr>
              <w:widowControl/>
              <w:jc w:val="left"/>
              <w:rPr>
                <w:rFonts w:hint="eastAsia" w:ascii="仿宋" w:hAnsi="仿宋" w:eastAsia="仿宋" w:cs="宋体"/>
                <w:color w:val="auto"/>
                <w:kern w:val="0"/>
                <w:sz w:val="24"/>
                <w:highlight w:val="none"/>
                <w:lang w:eastAsia="zh-CN"/>
              </w:rPr>
            </w:pPr>
            <w:r>
              <w:rPr>
                <w:rFonts w:hint="eastAsia" w:ascii="仿宋" w:hAnsi="仿宋" w:eastAsia="仿宋" w:cs="宋体"/>
                <w:color w:val="auto"/>
                <w:kern w:val="0"/>
                <w:sz w:val="24"/>
                <w:highlight w:val="none"/>
              </w:rPr>
              <w:t>项目名称：</w:t>
            </w:r>
            <w:r>
              <w:rPr>
                <w:rFonts w:hint="eastAsia" w:ascii="仿宋" w:hAnsi="仿宋" w:eastAsia="仿宋" w:cs="宋体"/>
                <w:color w:val="auto"/>
                <w:kern w:val="0"/>
                <w:sz w:val="24"/>
                <w:highlight w:val="none"/>
                <w:lang w:eastAsia="zh-CN"/>
              </w:rPr>
              <w:t>2026-2028年如皋市拟新增耕地土壤污染状况调查和补充耕地质量鉴定服务</w:t>
            </w:r>
          </w:p>
        </w:tc>
      </w:tr>
      <w:tr w14:paraId="6E179C42">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1B2C5491">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项目编号：JSZC-320682-NTWY-G2026-0001</w:t>
            </w:r>
          </w:p>
        </w:tc>
        <w:tc>
          <w:tcPr>
            <w:tcW w:w="2500" w:type="dxa"/>
            <w:tcBorders>
              <w:top w:val="nil"/>
              <w:left w:val="nil"/>
              <w:bottom w:val="nil"/>
              <w:right w:val="nil"/>
            </w:tcBorders>
            <w:noWrap/>
            <w:vAlign w:val="center"/>
          </w:tcPr>
          <w:p w14:paraId="7815B919">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分包号：</w:t>
            </w:r>
          </w:p>
        </w:tc>
      </w:tr>
      <w:tr w14:paraId="0A14CCF2">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50CCA1D4">
            <w:pPr>
              <w:widowControl/>
              <w:jc w:val="center"/>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投标报价</w:t>
            </w:r>
          </w:p>
        </w:tc>
        <w:tc>
          <w:tcPr>
            <w:tcW w:w="4720" w:type="dxa"/>
            <w:gridSpan w:val="2"/>
            <w:tcBorders>
              <w:top w:val="single" w:color="auto" w:sz="4" w:space="0"/>
              <w:left w:val="nil"/>
              <w:bottom w:val="single" w:color="auto" w:sz="4" w:space="0"/>
              <w:right w:val="single" w:color="auto" w:sz="4" w:space="0"/>
            </w:tcBorders>
            <w:noWrap/>
            <w:vAlign w:val="center"/>
          </w:tcPr>
          <w:p w14:paraId="3C508ADC">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小写：</w:t>
            </w:r>
          </w:p>
        </w:tc>
      </w:tr>
      <w:tr w14:paraId="2DDA9372">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0027510B">
            <w:pPr>
              <w:widowControl/>
              <w:jc w:val="left"/>
              <w:rPr>
                <w:rFonts w:ascii="仿宋" w:hAnsi="仿宋" w:eastAsia="仿宋" w:cs="宋体"/>
                <w:color w:val="auto"/>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1346139A">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大写：</w:t>
            </w:r>
          </w:p>
        </w:tc>
      </w:tr>
    </w:tbl>
    <w:p w14:paraId="50222430">
      <w:pPr>
        <w:ind w:firstLine="560" w:firstLineChars="200"/>
        <w:rPr>
          <w:rFonts w:ascii="仿宋" w:hAnsi="仿宋" w:eastAsia="仿宋"/>
          <w:bCs/>
          <w:color w:val="auto"/>
          <w:sz w:val="28"/>
          <w:szCs w:val="28"/>
          <w:highlight w:val="none"/>
        </w:rPr>
      </w:pPr>
    </w:p>
    <w:p w14:paraId="3969F654">
      <w:pPr>
        <w:rPr>
          <w:rFonts w:ascii="仿宋" w:hAnsi="仿宋" w:eastAsia="仿宋"/>
          <w:color w:val="auto"/>
          <w:szCs w:val="21"/>
          <w:highlight w:val="none"/>
        </w:rPr>
      </w:pPr>
      <w:r>
        <w:rPr>
          <w:rFonts w:ascii="仿宋" w:hAnsi="仿宋" w:eastAsia="仿宋"/>
          <w:bCs/>
          <w:color w:val="auto"/>
          <w:sz w:val="28"/>
          <w:szCs w:val="28"/>
          <w:highlight w:val="none"/>
        </w:rPr>
        <w:br w:type="page"/>
      </w:r>
    </w:p>
    <w:p w14:paraId="5D69B831">
      <w:pPr>
        <w:widowControl/>
        <w:jc w:val="left"/>
        <w:rPr>
          <w:rFonts w:ascii="Calibri" w:hAnsi="Calibri"/>
          <w:color w:val="auto"/>
          <w:szCs w:val="22"/>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二</w:t>
      </w:r>
      <w:r>
        <w:rPr>
          <w:rFonts w:hint="eastAsia" w:ascii="仿宋" w:hAnsi="仿宋" w:eastAsia="仿宋"/>
          <w:bCs/>
          <w:color w:val="auto"/>
          <w:sz w:val="28"/>
          <w:szCs w:val="28"/>
          <w:highlight w:val="none"/>
        </w:rPr>
        <w:t>）中小企业声明函</w:t>
      </w:r>
    </w:p>
    <w:p w14:paraId="52D01B01">
      <w:pPr>
        <w:spacing w:line="500" w:lineRule="exact"/>
        <w:jc w:val="center"/>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中小企业声明函（服务）</w:t>
      </w:r>
    </w:p>
    <w:p w14:paraId="16263CB2">
      <w:pPr>
        <w:spacing w:line="500" w:lineRule="exact"/>
        <w:ind w:firstLine="640" w:firstLineChars="200"/>
        <w:rPr>
          <w:rFonts w:hint="eastAsia" w:ascii="仿宋" w:hAnsi="仿宋" w:eastAsia="仿宋" w:cs="Times New Roman"/>
          <w:color w:val="auto"/>
          <w:sz w:val="32"/>
          <w:szCs w:val="32"/>
          <w:highlight w:val="none"/>
        </w:rPr>
      </w:pPr>
      <w:r>
        <w:rPr>
          <w:rFonts w:hint="eastAsia" w:ascii="仿宋" w:hAnsi="仿宋" w:eastAsia="仿宋"/>
          <w:color w:val="auto"/>
          <w:sz w:val="32"/>
          <w:szCs w:val="32"/>
          <w:highlight w:val="none"/>
        </w:rPr>
        <w:t>本公司（联合体）郑重声明，根据《政府采购促进中小企业发展管理办法》</w:t>
      </w:r>
      <w:r>
        <w:rPr>
          <w:rFonts w:hint="eastAsia" w:ascii="仿宋" w:hAnsi="仿宋" w:eastAsia="仿宋" w:cs="Times New Roman"/>
          <w:color w:val="auto"/>
          <w:sz w:val="32"/>
          <w:szCs w:val="32"/>
          <w:highlight w:val="none"/>
        </w:rPr>
        <w:t>（财库﹝2020﹞46 号）的规定，本公司（联合体）参加</w:t>
      </w:r>
      <w:r>
        <w:rPr>
          <w:rFonts w:hint="eastAsia" w:ascii="仿宋" w:hAnsi="仿宋" w:eastAsia="仿宋" w:cs="Times New Roman"/>
          <w:color w:val="auto"/>
          <w:sz w:val="32"/>
          <w:szCs w:val="32"/>
          <w:highlight w:val="none"/>
          <w:u w:val="single"/>
        </w:rPr>
        <w:t>如皋市农业农村局</w:t>
      </w:r>
      <w:r>
        <w:rPr>
          <w:rFonts w:hint="eastAsia" w:ascii="仿宋" w:hAnsi="仿宋" w:eastAsia="仿宋" w:cs="Times New Roman"/>
          <w:color w:val="auto"/>
          <w:sz w:val="32"/>
          <w:szCs w:val="32"/>
          <w:highlight w:val="none"/>
        </w:rPr>
        <w:t>的</w:t>
      </w:r>
      <w:r>
        <w:rPr>
          <w:rFonts w:hint="eastAsia" w:ascii="仿宋" w:hAnsi="仿宋" w:eastAsia="仿宋" w:cs="Times New Roman"/>
          <w:color w:val="auto"/>
          <w:sz w:val="32"/>
          <w:szCs w:val="32"/>
          <w:highlight w:val="none"/>
          <w:u w:val="single"/>
          <w:lang w:eastAsia="zh-CN"/>
        </w:rPr>
        <w:t>2026-2028年如皋市拟新增耕地土壤污染状况调查和补充耕地质量鉴定服务</w:t>
      </w:r>
      <w:r>
        <w:rPr>
          <w:rFonts w:hint="eastAsia" w:ascii="仿宋" w:hAnsi="仿宋" w:eastAsia="仿宋" w:cs="Times New Roman"/>
          <w:color w:val="auto"/>
          <w:sz w:val="32"/>
          <w:szCs w:val="32"/>
          <w:highlight w:val="none"/>
        </w:rPr>
        <w:t>采购活动，服务全部由符合政策要求的中小企业承接。相关企业的具体情况如下：</w:t>
      </w:r>
    </w:p>
    <w:p w14:paraId="2277B4A0">
      <w:pPr>
        <w:spacing w:line="500" w:lineRule="exact"/>
        <w:ind w:firstLine="640" w:firstLineChars="200"/>
        <w:rPr>
          <w:rFonts w:hint="eastAsia"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u w:val="single"/>
          <w:lang w:eastAsia="zh-CN"/>
        </w:rPr>
        <w:t>2026-2028年如皋市拟新增耕地土壤污染状况调查和补充耕地质量鉴定服务</w:t>
      </w:r>
      <w:r>
        <w:rPr>
          <w:rFonts w:hint="eastAsia" w:ascii="仿宋" w:hAnsi="仿宋" w:eastAsia="仿宋" w:cs="Times New Roman"/>
          <w:color w:val="auto"/>
          <w:sz w:val="32"/>
          <w:szCs w:val="32"/>
          <w:highlight w:val="none"/>
        </w:rPr>
        <w:t>，属于</w:t>
      </w:r>
      <w:r>
        <w:rPr>
          <w:rFonts w:hint="eastAsia" w:ascii="仿宋" w:hAnsi="仿宋" w:eastAsia="仿宋" w:cs="Times New Roman"/>
          <w:color w:val="auto"/>
          <w:sz w:val="32"/>
          <w:szCs w:val="32"/>
          <w:highlight w:val="none"/>
          <w:u w:val="single"/>
          <w:lang w:val="en-US" w:eastAsia="zh-CN"/>
        </w:rPr>
        <w:t>其他未列明行业</w:t>
      </w:r>
      <w:r>
        <w:rPr>
          <w:rFonts w:hint="eastAsia" w:ascii="仿宋" w:hAnsi="仿宋" w:eastAsia="仿宋" w:cs="Times New Roman"/>
          <w:color w:val="auto"/>
          <w:sz w:val="32"/>
          <w:szCs w:val="32"/>
          <w:highlight w:val="none"/>
        </w:rPr>
        <w:t>；承建（承接）企业为</w:t>
      </w:r>
      <w:r>
        <w:rPr>
          <w:rFonts w:hint="eastAsia" w:ascii="仿宋" w:hAnsi="仿宋" w:eastAsia="仿宋" w:cs="Times New Roman"/>
          <w:color w:val="auto"/>
          <w:sz w:val="32"/>
          <w:szCs w:val="32"/>
          <w:highlight w:val="none"/>
          <w:u w:val="single"/>
        </w:rPr>
        <w:t xml:space="preserve"> </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u w:val="single"/>
        </w:rPr>
        <w:t xml:space="preserve">（企业名称） </w:t>
      </w:r>
      <w:r>
        <w:rPr>
          <w:rFonts w:hint="eastAsia" w:ascii="仿宋" w:hAnsi="仿宋" w:eastAsia="仿宋" w:cs="Times New Roman"/>
          <w:color w:val="auto"/>
          <w:sz w:val="32"/>
          <w:szCs w:val="32"/>
          <w:highlight w:val="none"/>
        </w:rPr>
        <w:t>，从业人员</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人，营业收入为</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万元，资产总额为</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万元1 ，属于</w:t>
      </w:r>
      <w:r>
        <w:rPr>
          <w:rFonts w:hint="eastAsia" w:ascii="仿宋" w:hAnsi="仿宋" w:eastAsia="仿宋" w:cs="Times New Roman"/>
          <w:color w:val="auto"/>
          <w:sz w:val="32"/>
          <w:szCs w:val="32"/>
          <w:highlight w:val="none"/>
          <w:u w:val="single"/>
        </w:rPr>
        <w:t xml:space="preserve"> </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u w:val="single"/>
        </w:rPr>
        <w:t xml:space="preserve">（中型企业、小型企业、微型企业） </w:t>
      </w:r>
      <w:r>
        <w:rPr>
          <w:rFonts w:hint="eastAsia" w:ascii="仿宋" w:hAnsi="仿宋" w:eastAsia="仿宋" w:cs="Times New Roman"/>
          <w:color w:val="auto"/>
          <w:sz w:val="32"/>
          <w:szCs w:val="32"/>
          <w:highlight w:val="none"/>
        </w:rPr>
        <w:t>；</w:t>
      </w:r>
    </w:p>
    <w:p w14:paraId="4FE15671">
      <w:pPr>
        <w:spacing w:line="500" w:lineRule="exact"/>
        <w:ind w:firstLine="640" w:firstLineChars="200"/>
        <w:rPr>
          <w:rFonts w:ascii="仿宋" w:hAnsi="仿宋" w:eastAsia="仿宋"/>
          <w:color w:val="auto"/>
          <w:sz w:val="32"/>
          <w:szCs w:val="32"/>
          <w:highlight w:val="none"/>
        </w:rPr>
      </w:pPr>
      <w:r>
        <w:rPr>
          <w:rFonts w:hint="eastAsia" w:ascii="仿宋" w:hAnsi="仿宋" w:eastAsia="仿宋" w:cs="Times New Roman"/>
          <w:color w:val="auto"/>
          <w:sz w:val="32"/>
          <w:szCs w:val="32"/>
          <w:highlight w:val="none"/>
        </w:rPr>
        <w:t>以上企业，不属于大企业的分支机构，不存在控股股东为大企</w:t>
      </w:r>
      <w:r>
        <w:rPr>
          <w:rFonts w:hint="eastAsia" w:ascii="仿宋" w:hAnsi="仿宋" w:eastAsia="仿宋"/>
          <w:color w:val="auto"/>
          <w:sz w:val="32"/>
          <w:szCs w:val="32"/>
          <w:highlight w:val="none"/>
        </w:rPr>
        <w:t>业的情形，也不存在与大企业的负责人为同一人的情形。</w:t>
      </w:r>
    </w:p>
    <w:p w14:paraId="2E5E4D21">
      <w:pPr>
        <w:spacing w:line="5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本企业对上述声明内容的真实性负责。如有虚假，将依法承担相应责任。</w:t>
      </w:r>
    </w:p>
    <w:p w14:paraId="0BFF8821">
      <w:pPr>
        <w:spacing w:line="500" w:lineRule="exact"/>
        <w:ind w:firstLine="640" w:firstLineChars="20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p>
    <w:p w14:paraId="5A02C450">
      <w:pPr>
        <w:spacing w:line="500" w:lineRule="exact"/>
        <w:ind w:firstLine="640" w:firstLineChars="200"/>
        <w:jc w:val="righ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p>
    <w:p w14:paraId="0C0757ED">
      <w:pPr>
        <w:spacing w:line="500" w:lineRule="exact"/>
        <w:ind w:right="560"/>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064EC0D7">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三</w:t>
      </w:r>
      <w:r>
        <w:rPr>
          <w:rFonts w:hint="eastAsia" w:ascii="仿宋" w:hAnsi="仿宋" w:eastAsia="仿宋"/>
          <w:bCs/>
          <w:color w:val="auto"/>
          <w:sz w:val="28"/>
          <w:szCs w:val="28"/>
          <w:highlight w:val="none"/>
        </w:rPr>
        <w:t>）</w:t>
      </w:r>
      <w:r>
        <w:rPr>
          <w:rFonts w:hint="eastAsia" w:ascii="仿宋" w:hAnsi="仿宋" w:eastAsia="仿宋" w:cs="Arial"/>
          <w:color w:val="auto"/>
          <w:sz w:val="28"/>
          <w:szCs w:val="28"/>
          <w:highlight w:val="none"/>
        </w:rPr>
        <w:t>残疾人福利性单位声明函</w:t>
      </w:r>
      <w:r>
        <w:rPr>
          <w:rFonts w:hint="eastAsia" w:ascii="仿宋" w:hAnsi="仿宋" w:eastAsia="仿宋"/>
          <w:color w:val="auto"/>
          <w:sz w:val="28"/>
          <w:szCs w:val="28"/>
          <w:highlight w:val="none"/>
        </w:rPr>
        <w:t>（根据响应供应商具体情况而定，如不属于可删除）</w:t>
      </w:r>
    </w:p>
    <w:p w14:paraId="11144A33">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197AE0A4">
      <w:pPr>
        <w:spacing w:line="500" w:lineRule="exact"/>
        <w:ind w:firstLine="560" w:firstLineChars="200"/>
        <w:rPr>
          <w:rFonts w:ascii="仿宋" w:hAnsi="仿宋" w:eastAsia="仿宋"/>
          <w:color w:val="auto"/>
          <w:sz w:val="28"/>
          <w:szCs w:val="28"/>
          <w:highlight w:val="none"/>
        </w:rPr>
      </w:pPr>
    </w:p>
    <w:p w14:paraId="2428328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〔2017〕141号</w:t>
      </w:r>
      <w:r>
        <w:rPr>
          <w:rFonts w:hint="eastAsia" w:ascii="仿宋" w:hAnsi="仿宋" w:eastAsia="仿宋"/>
          <w:color w:val="auto"/>
          <w:sz w:val="28"/>
          <w:szCs w:val="28"/>
          <w:highlight w:val="none"/>
        </w:rPr>
        <w:t>）的规定，本单位为符合条件的残疾人福利性单位，且本单位参加单位的项目编号为JSZC-320682-NTWY-G2026-0001的项目采购活动提供本单位制造的货物（由本单位承担工程/提供服务），或者提供其他残疾人福利性单位制造的货物（不包括使用非残疾人福利性单位注册商标的货物）。</w:t>
      </w:r>
    </w:p>
    <w:p w14:paraId="39DB050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40C57B3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733729FD">
      <w:pPr>
        <w:spacing w:line="500" w:lineRule="exact"/>
        <w:ind w:firstLine="560" w:firstLineChars="200"/>
        <w:rPr>
          <w:rFonts w:ascii="仿宋" w:hAnsi="仿宋" w:eastAsia="仿宋"/>
          <w:color w:val="auto"/>
          <w:sz w:val="28"/>
          <w:szCs w:val="28"/>
          <w:highlight w:val="none"/>
        </w:rPr>
      </w:pPr>
    </w:p>
    <w:p w14:paraId="3A90C0D6">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69C2AD32">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62B2882C">
      <w:pPr>
        <w:spacing w:line="500" w:lineRule="exact"/>
        <w:ind w:firstLine="560" w:firstLineChars="200"/>
        <w:rPr>
          <w:rFonts w:ascii="仿宋" w:hAnsi="仿宋" w:eastAsia="仿宋"/>
          <w:color w:val="auto"/>
          <w:sz w:val="28"/>
          <w:szCs w:val="28"/>
          <w:highlight w:val="none"/>
        </w:rPr>
      </w:pPr>
    </w:p>
    <w:p w14:paraId="0626DE68">
      <w:pPr>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注意：中标供应商提供的《中小企业声明函》、《残疾人福利性单位声明函》将随中标结果同时公告，接受社会监督。</w:t>
      </w:r>
    </w:p>
    <w:sectPr>
      <w:headerReference r:id="rId3" w:type="default"/>
      <w:footerReference r:id="rId4" w:type="default"/>
      <w:footerReference r:id="rId5" w:type="even"/>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0111722-86AC-48C1-A6B6-C9927732190E}"/>
  </w:font>
  <w:font w:name="黑体">
    <w:panose1 w:val="02010609060101010101"/>
    <w:charset w:val="86"/>
    <w:family w:val="auto"/>
    <w:pitch w:val="default"/>
    <w:sig w:usb0="800002BF" w:usb1="38CF7CFA" w:usb2="00000016" w:usb3="00000000" w:csb0="00040001" w:csb1="00000000"/>
    <w:embedRegular r:id="rId2" w:fontKey="{5F75ABF5-93EC-49D8-A2A7-F62667AE289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D7401F5-C015-4518-867E-7C5FAA58306E}"/>
  </w:font>
  <w:font w:name="仿宋_GB2312">
    <w:panose1 w:val="02010609030101010101"/>
    <w:charset w:val="86"/>
    <w:family w:val="modern"/>
    <w:pitch w:val="default"/>
    <w:sig w:usb0="00000001" w:usb1="080E0000" w:usb2="00000000" w:usb3="00000000" w:csb0="00040000" w:csb1="00000000"/>
    <w:embedRegular r:id="rId4" w:fontKey="{3E4E4860-701D-41F0-8610-76A8D3464DB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auto"/>
    <w:pitch w:val="default"/>
    <w:sig w:usb0="00000001" w:usb1="08000000" w:usb2="00000000" w:usb3="00000000" w:csb0="00040000" w:csb1="00000000"/>
    <w:embedRegular r:id="rId5" w:fontKey="{5D2BC19B-6E3E-41B1-9871-79E847D5B415}"/>
  </w:font>
  <w:font w:name="仿宋">
    <w:panose1 w:val="02010609060101010101"/>
    <w:charset w:val="86"/>
    <w:family w:val="modern"/>
    <w:pitch w:val="default"/>
    <w:sig w:usb0="800002BF" w:usb1="38CF7CFA" w:usb2="00000016" w:usb3="00000000" w:csb0="00040001" w:csb1="00000000"/>
    <w:embedRegular r:id="rId6" w:fontKey="{5FFB8B73-9813-4324-8413-FFA05571CF0D}"/>
  </w:font>
  <w:font w:name="文鼎CS楷体">
    <w:altName w:val="宋体"/>
    <w:panose1 w:val="02010609010101010101"/>
    <w:charset w:val="86"/>
    <w:family w:val="modern"/>
    <w:pitch w:val="default"/>
    <w:sig w:usb0="00000000" w:usb1="00000000" w:usb2="00000010" w:usb3="00000000" w:csb0="00040000" w:csb1="00000000"/>
    <w:embedRegular r:id="rId7" w:fontKey="{E1D538F8-0917-4642-B34A-93EA5DD14104}"/>
  </w:font>
  <w:font w:name="WPSEMBED2">
    <w:panose1 w:val="02000000000000000000"/>
    <w:charset w:val="86"/>
    <w:family w:val="auto"/>
    <w:pitch w:val="default"/>
    <w:sig w:usb0="00000001" w:usb1="08000000" w:usb2="00000000" w:usb3="00000000" w:csb0="00040000" w:csb1="00000000"/>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B287D">
    <w:pPr>
      <w:pStyle w:val="16"/>
      <w:framePr w:wrap="around" w:vAnchor="text" w:hAnchor="margin" w:xAlign="center" w:y="1"/>
      <w:rPr>
        <w:rStyle w:val="29"/>
      </w:rPr>
    </w:pPr>
    <w:r>
      <w:fldChar w:fldCharType="begin"/>
    </w:r>
    <w:r>
      <w:rPr>
        <w:rStyle w:val="29"/>
      </w:rPr>
      <w:instrText xml:space="preserve">PAGE  </w:instrText>
    </w:r>
    <w:r>
      <w:fldChar w:fldCharType="separate"/>
    </w:r>
    <w:r>
      <w:rPr>
        <w:rStyle w:val="29"/>
      </w:rPr>
      <w:t>8</w:t>
    </w:r>
    <w:r>
      <w:fldChar w:fldCharType="end"/>
    </w:r>
  </w:p>
  <w:p w14:paraId="68CC4AAF">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02A17">
    <w:pPr>
      <w:pStyle w:val="16"/>
      <w:framePr w:wrap="around" w:vAnchor="text" w:hAnchor="margin" w:xAlign="center" w:y="1"/>
      <w:rPr>
        <w:rStyle w:val="29"/>
      </w:rPr>
    </w:pPr>
    <w:r>
      <w:fldChar w:fldCharType="begin"/>
    </w:r>
    <w:r>
      <w:rPr>
        <w:rStyle w:val="29"/>
      </w:rPr>
      <w:instrText xml:space="preserve">PAGE  </w:instrText>
    </w:r>
    <w:r>
      <w:fldChar w:fldCharType="end"/>
    </w:r>
  </w:p>
  <w:p w14:paraId="0D2071A2">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8A13D">
    <w:pPr>
      <w:pStyle w:val="17"/>
    </w:pPr>
    <w:r>
      <w:rPr>
        <w:rFonts w:hint="eastAsia"/>
      </w:rPr>
      <w:t>如</w:t>
    </w:r>
    <w:r>
      <w:t>皋市政府采购</w:t>
    </w:r>
    <w:r>
      <w:rPr>
        <w:rFonts w:hint="eastAsia"/>
      </w:rPr>
      <w:t>公开招标</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8C7522"/>
    <w:multiLevelType w:val="singleLevel"/>
    <w:tmpl w:val="918C7522"/>
    <w:lvl w:ilvl="0" w:tentative="0">
      <w:start w:val="3"/>
      <w:numFmt w:val="chineseCounting"/>
      <w:suff w:val="nothing"/>
      <w:lvlText w:val="%1、"/>
      <w:lvlJc w:val="left"/>
      <w:rPr>
        <w:rFonts w:hint="eastAsia"/>
      </w:rPr>
    </w:lvl>
  </w:abstractNum>
  <w:abstractNum w:abstractNumId="1">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83B8EBD"/>
    <w:multiLevelType w:val="singleLevel"/>
    <w:tmpl w:val="183B8EBD"/>
    <w:lvl w:ilvl="0" w:tentative="0">
      <w:start w:val="4"/>
      <w:numFmt w:val="decimal"/>
      <w:suff w:val="space"/>
      <w:lvlText w:val="第%1章"/>
      <w:lvlJc w:val="left"/>
    </w:lvl>
  </w:abstractNum>
  <w:abstractNum w:abstractNumId="3">
    <w:nsid w:val="5915B70B"/>
    <w:multiLevelType w:val="singleLevel"/>
    <w:tmpl w:val="5915B70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2MTgwYzBkMTkzZDNjOGI1OWU1ZjZjODQwZWE5YWQifQ=="/>
  </w:docVars>
  <w:rsids>
    <w:rsidRoot w:val="00C8358F"/>
    <w:rsid w:val="00003ADC"/>
    <w:rsid w:val="00003D0F"/>
    <w:rsid w:val="000056BE"/>
    <w:rsid w:val="0000649A"/>
    <w:rsid w:val="00007D0D"/>
    <w:rsid w:val="000105A4"/>
    <w:rsid w:val="00010D73"/>
    <w:rsid w:val="00012515"/>
    <w:rsid w:val="00013A83"/>
    <w:rsid w:val="000146E4"/>
    <w:rsid w:val="00015172"/>
    <w:rsid w:val="00016AE2"/>
    <w:rsid w:val="00017872"/>
    <w:rsid w:val="000224F2"/>
    <w:rsid w:val="00024B8A"/>
    <w:rsid w:val="00026B11"/>
    <w:rsid w:val="00027BB8"/>
    <w:rsid w:val="000302F1"/>
    <w:rsid w:val="00030326"/>
    <w:rsid w:val="00033AD2"/>
    <w:rsid w:val="00043C24"/>
    <w:rsid w:val="0004483B"/>
    <w:rsid w:val="00045758"/>
    <w:rsid w:val="0004600C"/>
    <w:rsid w:val="00046680"/>
    <w:rsid w:val="00046FDD"/>
    <w:rsid w:val="00051A8F"/>
    <w:rsid w:val="000520C4"/>
    <w:rsid w:val="000521AA"/>
    <w:rsid w:val="00052999"/>
    <w:rsid w:val="00055450"/>
    <w:rsid w:val="0005552C"/>
    <w:rsid w:val="00055D14"/>
    <w:rsid w:val="000561C0"/>
    <w:rsid w:val="0006367C"/>
    <w:rsid w:val="000649E6"/>
    <w:rsid w:val="00064FB2"/>
    <w:rsid w:val="000650E9"/>
    <w:rsid w:val="00065B58"/>
    <w:rsid w:val="00065E0B"/>
    <w:rsid w:val="0007487C"/>
    <w:rsid w:val="00076998"/>
    <w:rsid w:val="00077225"/>
    <w:rsid w:val="0008063C"/>
    <w:rsid w:val="00081CE7"/>
    <w:rsid w:val="00084764"/>
    <w:rsid w:val="00086F34"/>
    <w:rsid w:val="000871A8"/>
    <w:rsid w:val="00087229"/>
    <w:rsid w:val="000908B9"/>
    <w:rsid w:val="00092E8B"/>
    <w:rsid w:val="00095018"/>
    <w:rsid w:val="00095630"/>
    <w:rsid w:val="000957D2"/>
    <w:rsid w:val="000958FB"/>
    <w:rsid w:val="00095E4C"/>
    <w:rsid w:val="000970E2"/>
    <w:rsid w:val="00097375"/>
    <w:rsid w:val="000A04A8"/>
    <w:rsid w:val="000A16E3"/>
    <w:rsid w:val="000A2DB2"/>
    <w:rsid w:val="000A3128"/>
    <w:rsid w:val="000A41F5"/>
    <w:rsid w:val="000A53AE"/>
    <w:rsid w:val="000A6601"/>
    <w:rsid w:val="000A720D"/>
    <w:rsid w:val="000A7606"/>
    <w:rsid w:val="000A7870"/>
    <w:rsid w:val="000B0233"/>
    <w:rsid w:val="000B0986"/>
    <w:rsid w:val="000B0D4C"/>
    <w:rsid w:val="000B2D6F"/>
    <w:rsid w:val="000B486C"/>
    <w:rsid w:val="000B49C4"/>
    <w:rsid w:val="000B627B"/>
    <w:rsid w:val="000B65BC"/>
    <w:rsid w:val="000B72C8"/>
    <w:rsid w:val="000B7662"/>
    <w:rsid w:val="000C024B"/>
    <w:rsid w:val="000C1489"/>
    <w:rsid w:val="000C62A7"/>
    <w:rsid w:val="000D0658"/>
    <w:rsid w:val="000D1DDB"/>
    <w:rsid w:val="000E08EF"/>
    <w:rsid w:val="000E10B3"/>
    <w:rsid w:val="000E455E"/>
    <w:rsid w:val="000E55E7"/>
    <w:rsid w:val="000E71A4"/>
    <w:rsid w:val="000E7622"/>
    <w:rsid w:val="000E7A24"/>
    <w:rsid w:val="000E7DA3"/>
    <w:rsid w:val="000F16F6"/>
    <w:rsid w:val="000F43BC"/>
    <w:rsid w:val="000F450C"/>
    <w:rsid w:val="000F596B"/>
    <w:rsid w:val="000F5F35"/>
    <w:rsid w:val="000F695B"/>
    <w:rsid w:val="000F6C1F"/>
    <w:rsid w:val="000F6D86"/>
    <w:rsid w:val="000F7FA8"/>
    <w:rsid w:val="001000E4"/>
    <w:rsid w:val="00100830"/>
    <w:rsid w:val="00100A97"/>
    <w:rsid w:val="0010140C"/>
    <w:rsid w:val="001041F0"/>
    <w:rsid w:val="00104F46"/>
    <w:rsid w:val="00105A76"/>
    <w:rsid w:val="00105AD1"/>
    <w:rsid w:val="001064C9"/>
    <w:rsid w:val="0010677C"/>
    <w:rsid w:val="001100C9"/>
    <w:rsid w:val="0011059B"/>
    <w:rsid w:val="00111314"/>
    <w:rsid w:val="0011345C"/>
    <w:rsid w:val="00113765"/>
    <w:rsid w:val="00113A63"/>
    <w:rsid w:val="00114B25"/>
    <w:rsid w:val="00114F40"/>
    <w:rsid w:val="001178F6"/>
    <w:rsid w:val="0012005A"/>
    <w:rsid w:val="00126D12"/>
    <w:rsid w:val="00127240"/>
    <w:rsid w:val="00127629"/>
    <w:rsid w:val="00130AB9"/>
    <w:rsid w:val="001312FD"/>
    <w:rsid w:val="0013182C"/>
    <w:rsid w:val="001334A5"/>
    <w:rsid w:val="00133659"/>
    <w:rsid w:val="0013368E"/>
    <w:rsid w:val="00133D14"/>
    <w:rsid w:val="001345E5"/>
    <w:rsid w:val="001349F1"/>
    <w:rsid w:val="001419AB"/>
    <w:rsid w:val="00145860"/>
    <w:rsid w:val="00146309"/>
    <w:rsid w:val="00150743"/>
    <w:rsid w:val="0015239E"/>
    <w:rsid w:val="00153255"/>
    <w:rsid w:val="001537F7"/>
    <w:rsid w:val="0015594A"/>
    <w:rsid w:val="001559A9"/>
    <w:rsid w:val="00155DF2"/>
    <w:rsid w:val="00156777"/>
    <w:rsid w:val="0016069F"/>
    <w:rsid w:val="00161510"/>
    <w:rsid w:val="00162EED"/>
    <w:rsid w:val="0016303D"/>
    <w:rsid w:val="00163BF8"/>
    <w:rsid w:val="001644AF"/>
    <w:rsid w:val="001645AA"/>
    <w:rsid w:val="001649F7"/>
    <w:rsid w:val="00165914"/>
    <w:rsid w:val="00167929"/>
    <w:rsid w:val="001705C6"/>
    <w:rsid w:val="001712E4"/>
    <w:rsid w:val="00171BAD"/>
    <w:rsid w:val="00172F5F"/>
    <w:rsid w:val="001740E6"/>
    <w:rsid w:val="0017426C"/>
    <w:rsid w:val="00180865"/>
    <w:rsid w:val="001812CA"/>
    <w:rsid w:val="00181918"/>
    <w:rsid w:val="00184BCE"/>
    <w:rsid w:val="00186730"/>
    <w:rsid w:val="00187D75"/>
    <w:rsid w:val="0019026D"/>
    <w:rsid w:val="00191574"/>
    <w:rsid w:val="001917E5"/>
    <w:rsid w:val="00194D5C"/>
    <w:rsid w:val="00195505"/>
    <w:rsid w:val="001A122F"/>
    <w:rsid w:val="001A14C3"/>
    <w:rsid w:val="001A17A9"/>
    <w:rsid w:val="001A2E15"/>
    <w:rsid w:val="001A4D58"/>
    <w:rsid w:val="001A5BBD"/>
    <w:rsid w:val="001A5E89"/>
    <w:rsid w:val="001A612C"/>
    <w:rsid w:val="001A6151"/>
    <w:rsid w:val="001A73A2"/>
    <w:rsid w:val="001A7452"/>
    <w:rsid w:val="001A7C78"/>
    <w:rsid w:val="001B00E4"/>
    <w:rsid w:val="001B00EC"/>
    <w:rsid w:val="001B090C"/>
    <w:rsid w:val="001B0AF2"/>
    <w:rsid w:val="001B1841"/>
    <w:rsid w:val="001B3AF0"/>
    <w:rsid w:val="001B4726"/>
    <w:rsid w:val="001B4841"/>
    <w:rsid w:val="001B4D60"/>
    <w:rsid w:val="001B729E"/>
    <w:rsid w:val="001C0199"/>
    <w:rsid w:val="001C01F6"/>
    <w:rsid w:val="001C281A"/>
    <w:rsid w:val="001C34B9"/>
    <w:rsid w:val="001C3F69"/>
    <w:rsid w:val="001C5507"/>
    <w:rsid w:val="001C5F46"/>
    <w:rsid w:val="001D3753"/>
    <w:rsid w:val="001D42B3"/>
    <w:rsid w:val="001D6A95"/>
    <w:rsid w:val="001D73F3"/>
    <w:rsid w:val="001D7FC6"/>
    <w:rsid w:val="001E2B14"/>
    <w:rsid w:val="001E35A1"/>
    <w:rsid w:val="001E4CA5"/>
    <w:rsid w:val="001F24A9"/>
    <w:rsid w:val="001F2B35"/>
    <w:rsid w:val="001F2FA0"/>
    <w:rsid w:val="001F6197"/>
    <w:rsid w:val="001F672D"/>
    <w:rsid w:val="001F6A0B"/>
    <w:rsid w:val="001F6DC3"/>
    <w:rsid w:val="001F78B2"/>
    <w:rsid w:val="001F7ED8"/>
    <w:rsid w:val="001F7F0B"/>
    <w:rsid w:val="00202637"/>
    <w:rsid w:val="00204680"/>
    <w:rsid w:val="0020473F"/>
    <w:rsid w:val="00204FF8"/>
    <w:rsid w:val="00206D9D"/>
    <w:rsid w:val="0020708E"/>
    <w:rsid w:val="00210D09"/>
    <w:rsid w:val="00211FDE"/>
    <w:rsid w:val="002120E9"/>
    <w:rsid w:val="00214D2E"/>
    <w:rsid w:val="002166F8"/>
    <w:rsid w:val="00217A36"/>
    <w:rsid w:val="00222308"/>
    <w:rsid w:val="002233E4"/>
    <w:rsid w:val="00223FE8"/>
    <w:rsid w:val="002248EF"/>
    <w:rsid w:val="00226BC6"/>
    <w:rsid w:val="00230887"/>
    <w:rsid w:val="0023390D"/>
    <w:rsid w:val="002341A3"/>
    <w:rsid w:val="00234AA1"/>
    <w:rsid w:val="00234FAA"/>
    <w:rsid w:val="00236047"/>
    <w:rsid w:val="002368D0"/>
    <w:rsid w:val="00241D07"/>
    <w:rsid w:val="00242069"/>
    <w:rsid w:val="00242BDE"/>
    <w:rsid w:val="0024454D"/>
    <w:rsid w:val="00245739"/>
    <w:rsid w:val="00245AD7"/>
    <w:rsid w:val="00247B31"/>
    <w:rsid w:val="00250F9F"/>
    <w:rsid w:val="002512E6"/>
    <w:rsid w:val="002533FB"/>
    <w:rsid w:val="0025552F"/>
    <w:rsid w:val="002559C4"/>
    <w:rsid w:val="00255ED0"/>
    <w:rsid w:val="00263E40"/>
    <w:rsid w:val="00263E7B"/>
    <w:rsid w:val="00266AA3"/>
    <w:rsid w:val="00267D7B"/>
    <w:rsid w:val="002709CB"/>
    <w:rsid w:val="00271AF8"/>
    <w:rsid w:val="002721FF"/>
    <w:rsid w:val="002737FA"/>
    <w:rsid w:val="002748FD"/>
    <w:rsid w:val="002766E2"/>
    <w:rsid w:val="00276B7A"/>
    <w:rsid w:val="00281501"/>
    <w:rsid w:val="00282304"/>
    <w:rsid w:val="0028486A"/>
    <w:rsid w:val="00285B89"/>
    <w:rsid w:val="00286DC8"/>
    <w:rsid w:val="00287690"/>
    <w:rsid w:val="002967B2"/>
    <w:rsid w:val="002A111D"/>
    <w:rsid w:val="002A2392"/>
    <w:rsid w:val="002A3476"/>
    <w:rsid w:val="002A47A2"/>
    <w:rsid w:val="002A77A3"/>
    <w:rsid w:val="002A7835"/>
    <w:rsid w:val="002A7DA5"/>
    <w:rsid w:val="002B0F3D"/>
    <w:rsid w:val="002B14AF"/>
    <w:rsid w:val="002B1D62"/>
    <w:rsid w:val="002B340A"/>
    <w:rsid w:val="002B37B5"/>
    <w:rsid w:val="002B3941"/>
    <w:rsid w:val="002B406D"/>
    <w:rsid w:val="002B505E"/>
    <w:rsid w:val="002B6ED5"/>
    <w:rsid w:val="002B7F98"/>
    <w:rsid w:val="002C1C9F"/>
    <w:rsid w:val="002C327B"/>
    <w:rsid w:val="002C4617"/>
    <w:rsid w:val="002C4CD8"/>
    <w:rsid w:val="002C4E4C"/>
    <w:rsid w:val="002C6149"/>
    <w:rsid w:val="002D0A56"/>
    <w:rsid w:val="002D297F"/>
    <w:rsid w:val="002D2CEA"/>
    <w:rsid w:val="002E08A5"/>
    <w:rsid w:val="002E08BC"/>
    <w:rsid w:val="002E38B2"/>
    <w:rsid w:val="002E39F6"/>
    <w:rsid w:val="002E672D"/>
    <w:rsid w:val="002F0A6C"/>
    <w:rsid w:val="002F2AC6"/>
    <w:rsid w:val="002F3F72"/>
    <w:rsid w:val="002F4A2C"/>
    <w:rsid w:val="002F741B"/>
    <w:rsid w:val="00300644"/>
    <w:rsid w:val="003015DA"/>
    <w:rsid w:val="003029DE"/>
    <w:rsid w:val="00303347"/>
    <w:rsid w:val="0030399E"/>
    <w:rsid w:val="003048FD"/>
    <w:rsid w:val="003050A1"/>
    <w:rsid w:val="003068B2"/>
    <w:rsid w:val="00311048"/>
    <w:rsid w:val="00313F9C"/>
    <w:rsid w:val="003149B4"/>
    <w:rsid w:val="00315EFE"/>
    <w:rsid w:val="003168E5"/>
    <w:rsid w:val="00316FEC"/>
    <w:rsid w:val="003210C3"/>
    <w:rsid w:val="00323EF6"/>
    <w:rsid w:val="003248D7"/>
    <w:rsid w:val="003250B4"/>
    <w:rsid w:val="00325A77"/>
    <w:rsid w:val="0033131E"/>
    <w:rsid w:val="003318D5"/>
    <w:rsid w:val="003338C9"/>
    <w:rsid w:val="00333B0E"/>
    <w:rsid w:val="00335B0E"/>
    <w:rsid w:val="003362A6"/>
    <w:rsid w:val="003363D5"/>
    <w:rsid w:val="00337283"/>
    <w:rsid w:val="00337736"/>
    <w:rsid w:val="00341F41"/>
    <w:rsid w:val="00343298"/>
    <w:rsid w:val="0034458A"/>
    <w:rsid w:val="00345375"/>
    <w:rsid w:val="00345CF9"/>
    <w:rsid w:val="0034773F"/>
    <w:rsid w:val="003516AA"/>
    <w:rsid w:val="00353806"/>
    <w:rsid w:val="00354CFF"/>
    <w:rsid w:val="00357832"/>
    <w:rsid w:val="00360AEB"/>
    <w:rsid w:val="00360FDE"/>
    <w:rsid w:val="003612FE"/>
    <w:rsid w:val="00362041"/>
    <w:rsid w:val="003621BB"/>
    <w:rsid w:val="00362D37"/>
    <w:rsid w:val="00363534"/>
    <w:rsid w:val="003636A7"/>
    <w:rsid w:val="00365AB4"/>
    <w:rsid w:val="0036607A"/>
    <w:rsid w:val="003660AE"/>
    <w:rsid w:val="00366540"/>
    <w:rsid w:val="00366D25"/>
    <w:rsid w:val="003672FB"/>
    <w:rsid w:val="00370FD4"/>
    <w:rsid w:val="003710F9"/>
    <w:rsid w:val="00371196"/>
    <w:rsid w:val="003719EF"/>
    <w:rsid w:val="003721CA"/>
    <w:rsid w:val="00372F7B"/>
    <w:rsid w:val="00373BBF"/>
    <w:rsid w:val="00375083"/>
    <w:rsid w:val="00375719"/>
    <w:rsid w:val="00375FDC"/>
    <w:rsid w:val="00376A9D"/>
    <w:rsid w:val="00382426"/>
    <w:rsid w:val="00385F5D"/>
    <w:rsid w:val="003867BC"/>
    <w:rsid w:val="003869C6"/>
    <w:rsid w:val="0039188A"/>
    <w:rsid w:val="00392FB7"/>
    <w:rsid w:val="00394048"/>
    <w:rsid w:val="00394338"/>
    <w:rsid w:val="003944F5"/>
    <w:rsid w:val="003A2953"/>
    <w:rsid w:val="003A34C0"/>
    <w:rsid w:val="003A4183"/>
    <w:rsid w:val="003A4FE6"/>
    <w:rsid w:val="003A5E0F"/>
    <w:rsid w:val="003A6468"/>
    <w:rsid w:val="003A6FB7"/>
    <w:rsid w:val="003A71FF"/>
    <w:rsid w:val="003A72D7"/>
    <w:rsid w:val="003B16A7"/>
    <w:rsid w:val="003B3D58"/>
    <w:rsid w:val="003B5884"/>
    <w:rsid w:val="003B6643"/>
    <w:rsid w:val="003C0F69"/>
    <w:rsid w:val="003C13CF"/>
    <w:rsid w:val="003C6B90"/>
    <w:rsid w:val="003D09FC"/>
    <w:rsid w:val="003D3723"/>
    <w:rsid w:val="003D3A49"/>
    <w:rsid w:val="003D3E54"/>
    <w:rsid w:val="003D4183"/>
    <w:rsid w:val="003D4E38"/>
    <w:rsid w:val="003D68A7"/>
    <w:rsid w:val="003D77F0"/>
    <w:rsid w:val="003E05C5"/>
    <w:rsid w:val="003E0928"/>
    <w:rsid w:val="003E25B4"/>
    <w:rsid w:val="003E3F16"/>
    <w:rsid w:val="003E41B3"/>
    <w:rsid w:val="003E5713"/>
    <w:rsid w:val="003F09BB"/>
    <w:rsid w:val="003F1B7F"/>
    <w:rsid w:val="003F2D2B"/>
    <w:rsid w:val="003F31F1"/>
    <w:rsid w:val="003F40A5"/>
    <w:rsid w:val="003F6497"/>
    <w:rsid w:val="00401129"/>
    <w:rsid w:val="00401FCA"/>
    <w:rsid w:val="004047F3"/>
    <w:rsid w:val="00404D20"/>
    <w:rsid w:val="00404FF5"/>
    <w:rsid w:val="004064FC"/>
    <w:rsid w:val="00410A9D"/>
    <w:rsid w:val="00410B14"/>
    <w:rsid w:val="00410C7F"/>
    <w:rsid w:val="00411081"/>
    <w:rsid w:val="00413350"/>
    <w:rsid w:val="004155F4"/>
    <w:rsid w:val="00415D3C"/>
    <w:rsid w:val="00415EED"/>
    <w:rsid w:val="0041675D"/>
    <w:rsid w:val="00416948"/>
    <w:rsid w:val="00417502"/>
    <w:rsid w:val="0042098E"/>
    <w:rsid w:val="00421507"/>
    <w:rsid w:val="00422129"/>
    <w:rsid w:val="00422CC9"/>
    <w:rsid w:val="004232C7"/>
    <w:rsid w:val="00423455"/>
    <w:rsid w:val="004234C5"/>
    <w:rsid w:val="00423F1E"/>
    <w:rsid w:val="00424021"/>
    <w:rsid w:val="00424A4D"/>
    <w:rsid w:val="00425C81"/>
    <w:rsid w:val="004264E0"/>
    <w:rsid w:val="00427191"/>
    <w:rsid w:val="0043055C"/>
    <w:rsid w:val="00433126"/>
    <w:rsid w:val="00434289"/>
    <w:rsid w:val="00434F18"/>
    <w:rsid w:val="00441244"/>
    <w:rsid w:val="00441291"/>
    <w:rsid w:val="00442326"/>
    <w:rsid w:val="00442D98"/>
    <w:rsid w:val="00443070"/>
    <w:rsid w:val="004436C8"/>
    <w:rsid w:val="0044376B"/>
    <w:rsid w:val="00443B43"/>
    <w:rsid w:val="00445047"/>
    <w:rsid w:val="0044567F"/>
    <w:rsid w:val="00450BF1"/>
    <w:rsid w:val="0045163D"/>
    <w:rsid w:val="00454521"/>
    <w:rsid w:val="0045479C"/>
    <w:rsid w:val="004554A4"/>
    <w:rsid w:val="0045618C"/>
    <w:rsid w:val="00456385"/>
    <w:rsid w:val="00457182"/>
    <w:rsid w:val="00457587"/>
    <w:rsid w:val="004606EC"/>
    <w:rsid w:val="00460884"/>
    <w:rsid w:val="00462D3B"/>
    <w:rsid w:val="00465D5D"/>
    <w:rsid w:val="00466E69"/>
    <w:rsid w:val="0046782D"/>
    <w:rsid w:val="004705A4"/>
    <w:rsid w:val="00472FCB"/>
    <w:rsid w:val="0047370E"/>
    <w:rsid w:val="00473D0C"/>
    <w:rsid w:val="004758A0"/>
    <w:rsid w:val="0047637E"/>
    <w:rsid w:val="00477522"/>
    <w:rsid w:val="00477D08"/>
    <w:rsid w:val="00477EB5"/>
    <w:rsid w:val="00480C42"/>
    <w:rsid w:val="00481CFB"/>
    <w:rsid w:val="00486085"/>
    <w:rsid w:val="004870A9"/>
    <w:rsid w:val="004873AA"/>
    <w:rsid w:val="00487824"/>
    <w:rsid w:val="00487FB2"/>
    <w:rsid w:val="00490F01"/>
    <w:rsid w:val="00491832"/>
    <w:rsid w:val="0049296A"/>
    <w:rsid w:val="00494667"/>
    <w:rsid w:val="004956DA"/>
    <w:rsid w:val="004961F1"/>
    <w:rsid w:val="00496680"/>
    <w:rsid w:val="00497431"/>
    <w:rsid w:val="004A6D5B"/>
    <w:rsid w:val="004A7FCA"/>
    <w:rsid w:val="004B046A"/>
    <w:rsid w:val="004B218B"/>
    <w:rsid w:val="004B3C2C"/>
    <w:rsid w:val="004B4C91"/>
    <w:rsid w:val="004B65E1"/>
    <w:rsid w:val="004B6918"/>
    <w:rsid w:val="004B751D"/>
    <w:rsid w:val="004B7E96"/>
    <w:rsid w:val="004C138F"/>
    <w:rsid w:val="004C345A"/>
    <w:rsid w:val="004C3971"/>
    <w:rsid w:val="004C4437"/>
    <w:rsid w:val="004C472C"/>
    <w:rsid w:val="004C7416"/>
    <w:rsid w:val="004D1C54"/>
    <w:rsid w:val="004D1FE1"/>
    <w:rsid w:val="004D4FD7"/>
    <w:rsid w:val="004D6C03"/>
    <w:rsid w:val="004E1D13"/>
    <w:rsid w:val="004E32BA"/>
    <w:rsid w:val="004E4141"/>
    <w:rsid w:val="004E576D"/>
    <w:rsid w:val="004E6612"/>
    <w:rsid w:val="004E72B4"/>
    <w:rsid w:val="004F409F"/>
    <w:rsid w:val="004F41EE"/>
    <w:rsid w:val="004F4DCD"/>
    <w:rsid w:val="004F5731"/>
    <w:rsid w:val="005007D1"/>
    <w:rsid w:val="00504C4C"/>
    <w:rsid w:val="0050766C"/>
    <w:rsid w:val="00507772"/>
    <w:rsid w:val="005107D4"/>
    <w:rsid w:val="005109F1"/>
    <w:rsid w:val="00510DCE"/>
    <w:rsid w:val="00511862"/>
    <w:rsid w:val="00513AD1"/>
    <w:rsid w:val="0051455F"/>
    <w:rsid w:val="005159D7"/>
    <w:rsid w:val="00520885"/>
    <w:rsid w:val="005217C8"/>
    <w:rsid w:val="005247CA"/>
    <w:rsid w:val="005256B1"/>
    <w:rsid w:val="00525D82"/>
    <w:rsid w:val="0052633A"/>
    <w:rsid w:val="005276B4"/>
    <w:rsid w:val="00527A3C"/>
    <w:rsid w:val="00527B03"/>
    <w:rsid w:val="00531DDD"/>
    <w:rsid w:val="0053276D"/>
    <w:rsid w:val="00532AA3"/>
    <w:rsid w:val="00535858"/>
    <w:rsid w:val="005360D8"/>
    <w:rsid w:val="0053612C"/>
    <w:rsid w:val="00537B74"/>
    <w:rsid w:val="005404D6"/>
    <w:rsid w:val="00540533"/>
    <w:rsid w:val="00540FA8"/>
    <w:rsid w:val="005444CA"/>
    <w:rsid w:val="00544847"/>
    <w:rsid w:val="00544E66"/>
    <w:rsid w:val="005462FD"/>
    <w:rsid w:val="005468FB"/>
    <w:rsid w:val="00546C4F"/>
    <w:rsid w:val="00550E8E"/>
    <w:rsid w:val="00552C0D"/>
    <w:rsid w:val="00553A6B"/>
    <w:rsid w:val="00557981"/>
    <w:rsid w:val="00560EA2"/>
    <w:rsid w:val="00561B47"/>
    <w:rsid w:val="005670D1"/>
    <w:rsid w:val="00567203"/>
    <w:rsid w:val="005735C6"/>
    <w:rsid w:val="00573A38"/>
    <w:rsid w:val="00576F6E"/>
    <w:rsid w:val="00577A9D"/>
    <w:rsid w:val="00580CCE"/>
    <w:rsid w:val="0058140C"/>
    <w:rsid w:val="00582345"/>
    <w:rsid w:val="00583328"/>
    <w:rsid w:val="0058492E"/>
    <w:rsid w:val="00585FBE"/>
    <w:rsid w:val="005864C5"/>
    <w:rsid w:val="00586512"/>
    <w:rsid w:val="00590A9F"/>
    <w:rsid w:val="005922B4"/>
    <w:rsid w:val="005957DA"/>
    <w:rsid w:val="005965B5"/>
    <w:rsid w:val="005968E5"/>
    <w:rsid w:val="00597A44"/>
    <w:rsid w:val="005A045E"/>
    <w:rsid w:val="005A2282"/>
    <w:rsid w:val="005A2C5C"/>
    <w:rsid w:val="005A2D04"/>
    <w:rsid w:val="005A355B"/>
    <w:rsid w:val="005A4A9D"/>
    <w:rsid w:val="005A5551"/>
    <w:rsid w:val="005A6054"/>
    <w:rsid w:val="005A6069"/>
    <w:rsid w:val="005A7F3B"/>
    <w:rsid w:val="005B0A48"/>
    <w:rsid w:val="005B163A"/>
    <w:rsid w:val="005B1CC5"/>
    <w:rsid w:val="005B1E67"/>
    <w:rsid w:val="005B3389"/>
    <w:rsid w:val="005B41B7"/>
    <w:rsid w:val="005B5547"/>
    <w:rsid w:val="005B6501"/>
    <w:rsid w:val="005B6CBD"/>
    <w:rsid w:val="005B6D90"/>
    <w:rsid w:val="005C067C"/>
    <w:rsid w:val="005C1670"/>
    <w:rsid w:val="005C2A99"/>
    <w:rsid w:val="005C3FA1"/>
    <w:rsid w:val="005C65BF"/>
    <w:rsid w:val="005C6A8F"/>
    <w:rsid w:val="005C6D22"/>
    <w:rsid w:val="005C7390"/>
    <w:rsid w:val="005D0832"/>
    <w:rsid w:val="005D0F8C"/>
    <w:rsid w:val="005D1409"/>
    <w:rsid w:val="005D1A07"/>
    <w:rsid w:val="005D1EBA"/>
    <w:rsid w:val="005D2E7D"/>
    <w:rsid w:val="005D6824"/>
    <w:rsid w:val="005D6E97"/>
    <w:rsid w:val="005E1B49"/>
    <w:rsid w:val="005E2A24"/>
    <w:rsid w:val="005E6266"/>
    <w:rsid w:val="005E68DA"/>
    <w:rsid w:val="005E71B2"/>
    <w:rsid w:val="005F194E"/>
    <w:rsid w:val="005F1E92"/>
    <w:rsid w:val="005F2D94"/>
    <w:rsid w:val="005F302E"/>
    <w:rsid w:val="005F3CE9"/>
    <w:rsid w:val="005F4415"/>
    <w:rsid w:val="005F54AC"/>
    <w:rsid w:val="005F6C63"/>
    <w:rsid w:val="00600863"/>
    <w:rsid w:val="006009E9"/>
    <w:rsid w:val="00603774"/>
    <w:rsid w:val="006039C3"/>
    <w:rsid w:val="00604A0E"/>
    <w:rsid w:val="00604CF7"/>
    <w:rsid w:val="00605CF1"/>
    <w:rsid w:val="00606A90"/>
    <w:rsid w:val="006077E3"/>
    <w:rsid w:val="006110E6"/>
    <w:rsid w:val="006163F8"/>
    <w:rsid w:val="00620CEA"/>
    <w:rsid w:val="00621656"/>
    <w:rsid w:val="00625485"/>
    <w:rsid w:val="00625842"/>
    <w:rsid w:val="00626F31"/>
    <w:rsid w:val="00627E79"/>
    <w:rsid w:val="00633158"/>
    <w:rsid w:val="00633CDA"/>
    <w:rsid w:val="00635B08"/>
    <w:rsid w:val="00635FB6"/>
    <w:rsid w:val="0063796E"/>
    <w:rsid w:val="00643BC1"/>
    <w:rsid w:val="00644015"/>
    <w:rsid w:val="0064785F"/>
    <w:rsid w:val="006521CF"/>
    <w:rsid w:val="0065347F"/>
    <w:rsid w:val="00653655"/>
    <w:rsid w:val="0065467A"/>
    <w:rsid w:val="0065589C"/>
    <w:rsid w:val="00655D09"/>
    <w:rsid w:val="00656A41"/>
    <w:rsid w:val="00661251"/>
    <w:rsid w:val="0066144A"/>
    <w:rsid w:val="00661AE6"/>
    <w:rsid w:val="00662CFD"/>
    <w:rsid w:val="00663737"/>
    <w:rsid w:val="0066525D"/>
    <w:rsid w:val="006666DB"/>
    <w:rsid w:val="00671049"/>
    <w:rsid w:val="0067146B"/>
    <w:rsid w:val="0067250E"/>
    <w:rsid w:val="00673A14"/>
    <w:rsid w:val="00673EEA"/>
    <w:rsid w:val="0067569A"/>
    <w:rsid w:val="006756F7"/>
    <w:rsid w:val="00675ACF"/>
    <w:rsid w:val="00676B2F"/>
    <w:rsid w:val="00676C31"/>
    <w:rsid w:val="00680007"/>
    <w:rsid w:val="0068242F"/>
    <w:rsid w:val="006832CD"/>
    <w:rsid w:val="0068362C"/>
    <w:rsid w:val="00684A3F"/>
    <w:rsid w:val="00685128"/>
    <w:rsid w:val="006852AB"/>
    <w:rsid w:val="00685974"/>
    <w:rsid w:val="00686C1A"/>
    <w:rsid w:val="00687C76"/>
    <w:rsid w:val="00687F65"/>
    <w:rsid w:val="00690669"/>
    <w:rsid w:val="00690B32"/>
    <w:rsid w:val="00690C05"/>
    <w:rsid w:val="0069154B"/>
    <w:rsid w:val="00691DA6"/>
    <w:rsid w:val="00693828"/>
    <w:rsid w:val="00694E56"/>
    <w:rsid w:val="00697286"/>
    <w:rsid w:val="006A0C8C"/>
    <w:rsid w:val="006A1B4A"/>
    <w:rsid w:val="006A45A2"/>
    <w:rsid w:val="006A479D"/>
    <w:rsid w:val="006A5509"/>
    <w:rsid w:val="006A5DD7"/>
    <w:rsid w:val="006A7341"/>
    <w:rsid w:val="006B019C"/>
    <w:rsid w:val="006B1982"/>
    <w:rsid w:val="006B226C"/>
    <w:rsid w:val="006B575A"/>
    <w:rsid w:val="006B57D6"/>
    <w:rsid w:val="006B7998"/>
    <w:rsid w:val="006C7682"/>
    <w:rsid w:val="006D2D87"/>
    <w:rsid w:val="006D6FED"/>
    <w:rsid w:val="006E37C2"/>
    <w:rsid w:val="006E41D2"/>
    <w:rsid w:val="006E46D7"/>
    <w:rsid w:val="006E4AC8"/>
    <w:rsid w:val="006E7BE6"/>
    <w:rsid w:val="006F1F3A"/>
    <w:rsid w:val="006F206F"/>
    <w:rsid w:val="006F3F40"/>
    <w:rsid w:val="006F4B62"/>
    <w:rsid w:val="006F53FC"/>
    <w:rsid w:val="006F582C"/>
    <w:rsid w:val="0070025C"/>
    <w:rsid w:val="00701A5B"/>
    <w:rsid w:val="007022A3"/>
    <w:rsid w:val="00702749"/>
    <w:rsid w:val="00702DED"/>
    <w:rsid w:val="007039B8"/>
    <w:rsid w:val="00704166"/>
    <w:rsid w:val="00704458"/>
    <w:rsid w:val="00706D61"/>
    <w:rsid w:val="00707147"/>
    <w:rsid w:val="00707764"/>
    <w:rsid w:val="007100ED"/>
    <w:rsid w:val="00710B1A"/>
    <w:rsid w:val="00711996"/>
    <w:rsid w:val="00714A08"/>
    <w:rsid w:val="00715048"/>
    <w:rsid w:val="007156B9"/>
    <w:rsid w:val="007164C0"/>
    <w:rsid w:val="00716F17"/>
    <w:rsid w:val="00722672"/>
    <w:rsid w:val="007227CD"/>
    <w:rsid w:val="00722C39"/>
    <w:rsid w:val="00723763"/>
    <w:rsid w:val="007254CE"/>
    <w:rsid w:val="00726F91"/>
    <w:rsid w:val="00727438"/>
    <w:rsid w:val="00730296"/>
    <w:rsid w:val="00730E18"/>
    <w:rsid w:val="00731810"/>
    <w:rsid w:val="00731C2D"/>
    <w:rsid w:val="007402E1"/>
    <w:rsid w:val="007406E3"/>
    <w:rsid w:val="00741CAC"/>
    <w:rsid w:val="007460E4"/>
    <w:rsid w:val="007469CD"/>
    <w:rsid w:val="00747873"/>
    <w:rsid w:val="00747EEB"/>
    <w:rsid w:val="00747F59"/>
    <w:rsid w:val="0075175B"/>
    <w:rsid w:val="00753CB1"/>
    <w:rsid w:val="0075569A"/>
    <w:rsid w:val="00761BCB"/>
    <w:rsid w:val="00762E34"/>
    <w:rsid w:val="007631D4"/>
    <w:rsid w:val="00763833"/>
    <w:rsid w:val="00767ECE"/>
    <w:rsid w:val="007709E6"/>
    <w:rsid w:val="00770A02"/>
    <w:rsid w:val="00771137"/>
    <w:rsid w:val="00771932"/>
    <w:rsid w:val="00771935"/>
    <w:rsid w:val="00772EF3"/>
    <w:rsid w:val="00775011"/>
    <w:rsid w:val="00775AB9"/>
    <w:rsid w:val="00776BD2"/>
    <w:rsid w:val="007771B5"/>
    <w:rsid w:val="00780386"/>
    <w:rsid w:val="00780DFE"/>
    <w:rsid w:val="00780FA3"/>
    <w:rsid w:val="00783A63"/>
    <w:rsid w:val="00783DCC"/>
    <w:rsid w:val="007851AA"/>
    <w:rsid w:val="007855C1"/>
    <w:rsid w:val="00786944"/>
    <w:rsid w:val="00786DFD"/>
    <w:rsid w:val="007900CC"/>
    <w:rsid w:val="00791FD3"/>
    <w:rsid w:val="00792375"/>
    <w:rsid w:val="0079314E"/>
    <w:rsid w:val="00793F9D"/>
    <w:rsid w:val="007948B7"/>
    <w:rsid w:val="00794CCA"/>
    <w:rsid w:val="007951E0"/>
    <w:rsid w:val="00795621"/>
    <w:rsid w:val="007959FE"/>
    <w:rsid w:val="00797A10"/>
    <w:rsid w:val="007A13FA"/>
    <w:rsid w:val="007A1F3D"/>
    <w:rsid w:val="007A2116"/>
    <w:rsid w:val="007A2DA5"/>
    <w:rsid w:val="007A45E4"/>
    <w:rsid w:val="007A45E6"/>
    <w:rsid w:val="007A4C07"/>
    <w:rsid w:val="007A4D7A"/>
    <w:rsid w:val="007A6262"/>
    <w:rsid w:val="007B1D92"/>
    <w:rsid w:val="007B2A53"/>
    <w:rsid w:val="007B34A8"/>
    <w:rsid w:val="007B37F0"/>
    <w:rsid w:val="007B5177"/>
    <w:rsid w:val="007B677B"/>
    <w:rsid w:val="007B6EF9"/>
    <w:rsid w:val="007C0399"/>
    <w:rsid w:val="007C0C96"/>
    <w:rsid w:val="007C2F32"/>
    <w:rsid w:val="007C3699"/>
    <w:rsid w:val="007C4867"/>
    <w:rsid w:val="007C75A3"/>
    <w:rsid w:val="007C7E20"/>
    <w:rsid w:val="007D188B"/>
    <w:rsid w:val="007D1DD6"/>
    <w:rsid w:val="007D3AF8"/>
    <w:rsid w:val="007D5271"/>
    <w:rsid w:val="007D6C62"/>
    <w:rsid w:val="007D7955"/>
    <w:rsid w:val="007D7B0E"/>
    <w:rsid w:val="007E00FB"/>
    <w:rsid w:val="007E0298"/>
    <w:rsid w:val="007E0C9D"/>
    <w:rsid w:val="007E17B8"/>
    <w:rsid w:val="007E1CF3"/>
    <w:rsid w:val="007E5C67"/>
    <w:rsid w:val="007E6F41"/>
    <w:rsid w:val="007E7C48"/>
    <w:rsid w:val="007F0571"/>
    <w:rsid w:val="007F1CAC"/>
    <w:rsid w:val="007F1F94"/>
    <w:rsid w:val="007F422A"/>
    <w:rsid w:val="007F4DF3"/>
    <w:rsid w:val="007F54BD"/>
    <w:rsid w:val="007F58EE"/>
    <w:rsid w:val="00800CD2"/>
    <w:rsid w:val="008051D4"/>
    <w:rsid w:val="0080691D"/>
    <w:rsid w:val="00812A1D"/>
    <w:rsid w:val="00812CC4"/>
    <w:rsid w:val="00816468"/>
    <w:rsid w:val="00817133"/>
    <w:rsid w:val="00817D75"/>
    <w:rsid w:val="00821268"/>
    <w:rsid w:val="00821719"/>
    <w:rsid w:val="00823949"/>
    <w:rsid w:val="00824032"/>
    <w:rsid w:val="008249E6"/>
    <w:rsid w:val="008251A4"/>
    <w:rsid w:val="00827ABF"/>
    <w:rsid w:val="00827EA9"/>
    <w:rsid w:val="0083034E"/>
    <w:rsid w:val="008309EE"/>
    <w:rsid w:val="00831582"/>
    <w:rsid w:val="00832567"/>
    <w:rsid w:val="0083270A"/>
    <w:rsid w:val="00833345"/>
    <w:rsid w:val="00833F53"/>
    <w:rsid w:val="008341A3"/>
    <w:rsid w:val="008365F8"/>
    <w:rsid w:val="008372B9"/>
    <w:rsid w:val="008379AC"/>
    <w:rsid w:val="00840519"/>
    <w:rsid w:val="00842E95"/>
    <w:rsid w:val="008448AB"/>
    <w:rsid w:val="008463C9"/>
    <w:rsid w:val="00850598"/>
    <w:rsid w:val="00850CBC"/>
    <w:rsid w:val="00851471"/>
    <w:rsid w:val="00852821"/>
    <w:rsid w:val="008549DA"/>
    <w:rsid w:val="00854A51"/>
    <w:rsid w:val="0085506A"/>
    <w:rsid w:val="0086053D"/>
    <w:rsid w:val="00861757"/>
    <w:rsid w:val="0086357C"/>
    <w:rsid w:val="008665D1"/>
    <w:rsid w:val="0086740E"/>
    <w:rsid w:val="00875772"/>
    <w:rsid w:val="00875C40"/>
    <w:rsid w:val="00877AD3"/>
    <w:rsid w:val="008826D4"/>
    <w:rsid w:val="00884718"/>
    <w:rsid w:val="008904BF"/>
    <w:rsid w:val="00891521"/>
    <w:rsid w:val="00891938"/>
    <w:rsid w:val="008924DD"/>
    <w:rsid w:val="00893255"/>
    <w:rsid w:val="0089479E"/>
    <w:rsid w:val="00894CD3"/>
    <w:rsid w:val="00895143"/>
    <w:rsid w:val="00895A7F"/>
    <w:rsid w:val="00896855"/>
    <w:rsid w:val="00896EE9"/>
    <w:rsid w:val="0089716A"/>
    <w:rsid w:val="008973D6"/>
    <w:rsid w:val="008978FB"/>
    <w:rsid w:val="008A061A"/>
    <w:rsid w:val="008A19AA"/>
    <w:rsid w:val="008A3EB6"/>
    <w:rsid w:val="008A4F6B"/>
    <w:rsid w:val="008A5748"/>
    <w:rsid w:val="008A5B1D"/>
    <w:rsid w:val="008A618A"/>
    <w:rsid w:val="008A6457"/>
    <w:rsid w:val="008A71EA"/>
    <w:rsid w:val="008B1FBF"/>
    <w:rsid w:val="008B2722"/>
    <w:rsid w:val="008B324A"/>
    <w:rsid w:val="008B324B"/>
    <w:rsid w:val="008B393E"/>
    <w:rsid w:val="008B3B46"/>
    <w:rsid w:val="008B6EB9"/>
    <w:rsid w:val="008B6FBE"/>
    <w:rsid w:val="008B71C8"/>
    <w:rsid w:val="008C3461"/>
    <w:rsid w:val="008C36BA"/>
    <w:rsid w:val="008C4290"/>
    <w:rsid w:val="008C5E05"/>
    <w:rsid w:val="008C664D"/>
    <w:rsid w:val="008C692D"/>
    <w:rsid w:val="008C7ED9"/>
    <w:rsid w:val="008D099D"/>
    <w:rsid w:val="008D113F"/>
    <w:rsid w:val="008D271C"/>
    <w:rsid w:val="008D4254"/>
    <w:rsid w:val="008D53DB"/>
    <w:rsid w:val="008D6341"/>
    <w:rsid w:val="008D6DFE"/>
    <w:rsid w:val="008E0A4D"/>
    <w:rsid w:val="008E1128"/>
    <w:rsid w:val="008E112A"/>
    <w:rsid w:val="008E1141"/>
    <w:rsid w:val="008E1C48"/>
    <w:rsid w:val="008E1FFD"/>
    <w:rsid w:val="008E2B52"/>
    <w:rsid w:val="008E3B6F"/>
    <w:rsid w:val="008E48B7"/>
    <w:rsid w:val="008F09C4"/>
    <w:rsid w:val="008F0E9B"/>
    <w:rsid w:val="008F2017"/>
    <w:rsid w:val="008F2050"/>
    <w:rsid w:val="008F31B4"/>
    <w:rsid w:val="009007BC"/>
    <w:rsid w:val="00900EB9"/>
    <w:rsid w:val="00901445"/>
    <w:rsid w:val="00901C56"/>
    <w:rsid w:val="0090558B"/>
    <w:rsid w:val="00905892"/>
    <w:rsid w:val="009068CA"/>
    <w:rsid w:val="00907CFD"/>
    <w:rsid w:val="00910187"/>
    <w:rsid w:val="009108C9"/>
    <w:rsid w:val="00913A8F"/>
    <w:rsid w:val="0092092A"/>
    <w:rsid w:val="00923006"/>
    <w:rsid w:val="009243D3"/>
    <w:rsid w:val="00924B70"/>
    <w:rsid w:val="00925174"/>
    <w:rsid w:val="00926C5D"/>
    <w:rsid w:val="00927691"/>
    <w:rsid w:val="009305A1"/>
    <w:rsid w:val="00930BC2"/>
    <w:rsid w:val="00931436"/>
    <w:rsid w:val="009321A8"/>
    <w:rsid w:val="009327ED"/>
    <w:rsid w:val="009335EF"/>
    <w:rsid w:val="00933EBA"/>
    <w:rsid w:val="00934FD7"/>
    <w:rsid w:val="00935573"/>
    <w:rsid w:val="00935A06"/>
    <w:rsid w:val="00936DCE"/>
    <w:rsid w:val="00937C0B"/>
    <w:rsid w:val="00946B49"/>
    <w:rsid w:val="009473CB"/>
    <w:rsid w:val="00947855"/>
    <w:rsid w:val="009478CD"/>
    <w:rsid w:val="00950BC0"/>
    <w:rsid w:val="00951514"/>
    <w:rsid w:val="00951F67"/>
    <w:rsid w:val="00951F9E"/>
    <w:rsid w:val="00952314"/>
    <w:rsid w:val="00952DB8"/>
    <w:rsid w:val="00953BFF"/>
    <w:rsid w:val="009547A9"/>
    <w:rsid w:val="009547E2"/>
    <w:rsid w:val="009559E3"/>
    <w:rsid w:val="00956C6F"/>
    <w:rsid w:val="00960332"/>
    <w:rsid w:val="00960351"/>
    <w:rsid w:val="00960D8D"/>
    <w:rsid w:val="009615E2"/>
    <w:rsid w:val="0096291E"/>
    <w:rsid w:val="00962B34"/>
    <w:rsid w:val="00964A21"/>
    <w:rsid w:val="00971806"/>
    <w:rsid w:val="0097312B"/>
    <w:rsid w:val="00975E69"/>
    <w:rsid w:val="00980598"/>
    <w:rsid w:val="00981485"/>
    <w:rsid w:val="0098213D"/>
    <w:rsid w:val="00982775"/>
    <w:rsid w:val="00984CAE"/>
    <w:rsid w:val="009858EA"/>
    <w:rsid w:val="00985A80"/>
    <w:rsid w:val="00985B1E"/>
    <w:rsid w:val="00987D51"/>
    <w:rsid w:val="009907E9"/>
    <w:rsid w:val="00990D00"/>
    <w:rsid w:val="009912E2"/>
    <w:rsid w:val="009923B2"/>
    <w:rsid w:val="00992580"/>
    <w:rsid w:val="00993A7A"/>
    <w:rsid w:val="00994DD0"/>
    <w:rsid w:val="00996840"/>
    <w:rsid w:val="009971D3"/>
    <w:rsid w:val="009A27AA"/>
    <w:rsid w:val="009A2863"/>
    <w:rsid w:val="009A2F64"/>
    <w:rsid w:val="009A4579"/>
    <w:rsid w:val="009A4D41"/>
    <w:rsid w:val="009A4FA9"/>
    <w:rsid w:val="009A6A5A"/>
    <w:rsid w:val="009A7084"/>
    <w:rsid w:val="009A736F"/>
    <w:rsid w:val="009B091B"/>
    <w:rsid w:val="009B0DB5"/>
    <w:rsid w:val="009B259F"/>
    <w:rsid w:val="009B2B15"/>
    <w:rsid w:val="009B468D"/>
    <w:rsid w:val="009B5F59"/>
    <w:rsid w:val="009B661B"/>
    <w:rsid w:val="009B703D"/>
    <w:rsid w:val="009B79D6"/>
    <w:rsid w:val="009C16CC"/>
    <w:rsid w:val="009C2C5E"/>
    <w:rsid w:val="009C72BD"/>
    <w:rsid w:val="009C73EF"/>
    <w:rsid w:val="009D2907"/>
    <w:rsid w:val="009E06BF"/>
    <w:rsid w:val="009E0A07"/>
    <w:rsid w:val="009E2471"/>
    <w:rsid w:val="009E42BC"/>
    <w:rsid w:val="009E457F"/>
    <w:rsid w:val="009E47B8"/>
    <w:rsid w:val="009E4827"/>
    <w:rsid w:val="009E70E3"/>
    <w:rsid w:val="009F1A8B"/>
    <w:rsid w:val="009F297D"/>
    <w:rsid w:val="009F2B56"/>
    <w:rsid w:val="009F3A33"/>
    <w:rsid w:val="009F492E"/>
    <w:rsid w:val="009F5160"/>
    <w:rsid w:val="009F55B3"/>
    <w:rsid w:val="009F58C0"/>
    <w:rsid w:val="009F6869"/>
    <w:rsid w:val="009F68CD"/>
    <w:rsid w:val="009F72EF"/>
    <w:rsid w:val="009F73C0"/>
    <w:rsid w:val="009F7D84"/>
    <w:rsid w:val="009F7F2E"/>
    <w:rsid w:val="00A0068E"/>
    <w:rsid w:val="00A020CF"/>
    <w:rsid w:val="00A02441"/>
    <w:rsid w:val="00A0247F"/>
    <w:rsid w:val="00A03729"/>
    <w:rsid w:val="00A03C1A"/>
    <w:rsid w:val="00A04A75"/>
    <w:rsid w:val="00A057BF"/>
    <w:rsid w:val="00A06959"/>
    <w:rsid w:val="00A109D0"/>
    <w:rsid w:val="00A15E13"/>
    <w:rsid w:val="00A160B1"/>
    <w:rsid w:val="00A163D6"/>
    <w:rsid w:val="00A16E76"/>
    <w:rsid w:val="00A177A2"/>
    <w:rsid w:val="00A207A7"/>
    <w:rsid w:val="00A20854"/>
    <w:rsid w:val="00A20F64"/>
    <w:rsid w:val="00A213D0"/>
    <w:rsid w:val="00A22E24"/>
    <w:rsid w:val="00A2387F"/>
    <w:rsid w:val="00A2429B"/>
    <w:rsid w:val="00A2738F"/>
    <w:rsid w:val="00A30C3E"/>
    <w:rsid w:val="00A30C66"/>
    <w:rsid w:val="00A331DF"/>
    <w:rsid w:val="00A344AA"/>
    <w:rsid w:val="00A3482E"/>
    <w:rsid w:val="00A35DB4"/>
    <w:rsid w:val="00A378D8"/>
    <w:rsid w:val="00A41E82"/>
    <w:rsid w:val="00A44605"/>
    <w:rsid w:val="00A44B5B"/>
    <w:rsid w:val="00A44EE8"/>
    <w:rsid w:val="00A46AA4"/>
    <w:rsid w:val="00A505BC"/>
    <w:rsid w:val="00A518EA"/>
    <w:rsid w:val="00A53393"/>
    <w:rsid w:val="00A53FBF"/>
    <w:rsid w:val="00A56DF9"/>
    <w:rsid w:val="00A60601"/>
    <w:rsid w:val="00A6063F"/>
    <w:rsid w:val="00A61BC9"/>
    <w:rsid w:val="00A61CE3"/>
    <w:rsid w:val="00A633AD"/>
    <w:rsid w:val="00A64540"/>
    <w:rsid w:val="00A72B22"/>
    <w:rsid w:val="00A7457F"/>
    <w:rsid w:val="00A75A20"/>
    <w:rsid w:val="00A77D81"/>
    <w:rsid w:val="00A8132C"/>
    <w:rsid w:val="00A82650"/>
    <w:rsid w:val="00A83BA0"/>
    <w:rsid w:val="00A84B26"/>
    <w:rsid w:val="00A91A7D"/>
    <w:rsid w:val="00A96994"/>
    <w:rsid w:val="00A97D63"/>
    <w:rsid w:val="00AA09B9"/>
    <w:rsid w:val="00AA0D95"/>
    <w:rsid w:val="00AA7746"/>
    <w:rsid w:val="00AB369E"/>
    <w:rsid w:val="00AB3A2E"/>
    <w:rsid w:val="00AB48F3"/>
    <w:rsid w:val="00AB5C54"/>
    <w:rsid w:val="00AB5C59"/>
    <w:rsid w:val="00AB7379"/>
    <w:rsid w:val="00AB7565"/>
    <w:rsid w:val="00AB7F52"/>
    <w:rsid w:val="00AC0853"/>
    <w:rsid w:val="00AC3650"/>
    <w:rsid w:val="00AC39AE"/>
    <w:rsid w:val="00AC4800"/>
    <w:rsid w:val="00AC4CB9"/>
    <w:rsid w:val="00AC4F96"/>
    <w:rsid w:val="00AC692D"/>
    <w:rsid w:val="00AC6DDB"/>
    <w:rsid w:val="00AC7C99"/>
    <w:rsid w:val="00AD25FF"/>
    <w:rsid w:val="00AD437F"/>
    <w:rsid w:val="00AD473A"/>
    <w:rsid w:val="00AD6143"/>
    <w:rsid w:val="00AD7470"/>
    <w:rsid w:val="00AE2421"/>
    <w:rsid w:val="00AE25AE"/>
    <w:rsid w:val="00AE3084"/>
    <w:rsid w:val="00AE6F46"/>
    <w:rsid w:val="00AE7968"/>
    <w:rsid w:val="00AF035D"/>
    <w:rsid w:val="00AF1159"/>
    <w:rsid w:val="00AF15A2"/>
    <w:rsid w:val="00AF1D59"/>
    <w:rsid w:val="00B0183D"/>
    <w:rsid w:val="00B019B5"/>
    <w:rsid w:val="00B01C01"/>
    <w:rsid w:val="00B03AA5"/>
    <w:rsid w:val="00B040B6"/>
    <w:rsid w:val="00B06FC1"/>
    <w:rsid w:val="00B071B1"/>
    <w:rsid w:val="00B078A6"/>
    <w:rsid w:val="00B1184E"/>
    <w:rsid w:val="00B12D48"/>
    <w:rsid w:val="00B13C08"/>
    <w:rsid w:val="00B13FF5"/>
    <w:rsid w:val="00B14490"/>
    <w:rsid w:val="00B1732E"/>
    <w:rsid w:val="00B17EAC"/>
    <w:rsid w:val="00B2002A"/>
    <w:rsid w:val="00B2035C"/>
    <w:rsid w:val="00B23182"/>
    <w:rsid w:val="00B23620"/>
    <w:rsid w:val="00B24487"/>
    <w:rsid w:val="00B24E76"/>
    <w:rsid w:val="00B25297"/>
    <w:rsid w:val="00B253B0"/>
    <w:rsid w:val="00B26835"/>
    <w:rsid w:val="00B30482"/>
    <w:rsid w:val="00B311D4"/>
    <w:rsid w:val="00B3252E"/>
    <w:rsid w:val="00B330EB"/>
    <w:rsid w:val="00B4292B"/>
    <w:rsid w:val="00B46C39"/>
    <w:rsid w:val="00B47B9C"/>
    <w:rsid w:val="00B5057F"/>
    <w:rsid w:val="00B52178"/>
    <w:rsid w:val="00B549F7"/>
    <w:rsid w:val="00B54B75"/>
    <w:rsid w:val="00B54EA0"/>
    <w:rsid w:val="00B64F01"/>
    <w:rsid w:val="00B6645E"/>
    <w:rsid w:val="00B66B78"/>
    <w:rsid w:val="00B6744D"/>
    <w:rsid w:val="00B67843"/>
    <w:rsid w:val="00B7065E"/>
    <w:rsid w:val="00B742DD"/>
    <w:rsid w:val="00B75567"/>
    <w:rsid w:val="00B75FCD"/>
    <w:rsid w:val="00B767EB"/>
    <w:rsid w:val="00B77E26"/>
    <w:rsid w:val="00B8156F"/>
    <w:rsid w:val="00B81A07"/>
    <w:rsid w:val="00B81E8E"/>
    <w:rsid w:val="00B81E90"/>
    <w:rsid w:val="00B844FE"/>
    <w:rsid w:val="00B84EA0"/>
    <w:rsid w:val="00B86920"/>
    <w:rsid w:val="00B87927"/>
    <w:rsid w:val="00B87C05"/>
    <w:rsid w:val="00B942CB"/>
    <w:rsid w:val="00B94563"/>
    <w:rsid w:val="00B94E71"/>
    <w:rsid w:val="00B95916"/>
    <w:rsid w:val="00B95AD4"/>
    <w:rsid w:val="00B97A93"/>
    <w:rsid w:val="00BA1E17"/>
    <w:rsid w:val="00BA3D4E"/>
    <w:rsid w:val="00BA3EEB"/>
    <w:rsid w:val="00BA543B"/>
    <w:rsid w:val="00BA55FB"/>
    <w:rsid w:val="00BA5E5D"/>
    <w:rsid w:val="00BA7616"/>
    <w:rsid w:val="00BB211C"/>
    <w:rsid w:val="00BB2C2B"/>
    <w:rsid w:val="00BB3437"/>
    <w:rsid w:val="00BB3896"/>
    <w:rsid w:val="00BB6F2D"/>
    <w:rsid w:val="00BC06C0"/>
    <w:rsid w:val="00BC2151"/>
    <w:rsid w:val="00BC268D"/>
    <w:rsid w:val="00BC3410"/>
    <w:rsid w:val="00BC3979"/>
    <w:rsid w:val="00BC4718"/>
    <w:rsid w:val="00BD0441"/>
    <w:rsid w:val="00BD06D6"/>
    <w:rsid w:val="00BD1997"/>
    <w:rsid w:val="00BD1E4E"/>
    <w:rsid w:val="00BD7A3F"/>
    <w:rsid w:val="00BE16D9"/>
    <w:rsid w:val="00BE2BA7"/>
    <w:rsid w:val="00BE3EA9"/>
    <w:rsid w:val="00BE41EA"/>
    <w:rsid w:val="00BE47C1"/>
    <w:rsid w:val="00BE5D77"/>
    <w:rsid w:val="00BE6AC4"/>
    <w:rsid w:val="00BF512D"/>
    <w:rsid w:val="00BF54E4"/>
    <w:rsid w:val="00BF56B4"/>
    <w:rsid w:val="00BF667E"/>
    <w:rsid w:val="00BF67D5"/>
    <w:rsid w:val="00BF6F36"/>
    <w:rsid w:val="00BF70A1"/>
    <w:rsid w:val="00C00503"/>
    <w:rsid w:val="00C0112B"/>
    <w:rsid w:val="00C02A60"/>
    <w:rsid w:val="00C03437"/>
    <w:rsid w:val="00C035A3"/>
    <w:rsid w:val="00C0589C"/>
    <w:rsid w:val="00C05E6E"/>
    <w:rsid w:val="00C06553"/>
    <w:rsid w:val="00C1060A"/>
    <w:rsid w:val="00C11AC4"/>
    <w:rsid w:val="00C123FF"/>
    <w:rsid w:val="00C135EB"/>
    <w:rsid w:val="00C136D5"/>
    <w:rsid w:val="00C151E4"/>
    <w:rsid w:val="00C155B3"/>
    <w:rsid w:val="00C165B3"/>
    <w:rsid w:val="00C17F90"/>
    <w:rsid w:val="00C207ED"/>
    <w:rsid w:val="00C2083B"/>
    <w:rsid w:val="00C21579"/>
    <w:rsid w:val="00C227F1"/>
    <w:rsid w:val="00C22902"/>
    <w:rsid w:val="00C2337F"/>
    <w:rsid w:val="00C25907"/>
    <w:rsid w:val="00C2641B"/>
    <w:rsid w:val="00C314FD"/>
    <w:rsid w:val="00C31573"/>
    <w:rsid w:val="00C3167C"/>
    <w:rsid w:val="00C316F1"/>
    <w:rsid w:val="00C31BFA"/>
    <w:rsid w:val="00C32D07"/>
    <w:rsid w:val="00C34389"/>
    <w:rsid w:val="00C34BF6"/>
    <w:rsid w:val="00C356FC"/>
    <w:rsid w:val="00C3633D"/>
    <w:rsid w:val="00C37013"/>
    <w:rsid w:val="00C37147"/>
    <w:rsid w:val="00C40D64"/>
    <w:rsid w:val="00C411E2"/>
    <w:rsid w:val="00C41DBF"/>
    <w:rsid w:val="00C4291C"/>
    <w:rsid w:val="00C43003"/>
    <w:rsid w:val="00C44677"/>
    <w:rsid w:val="00C44BF3"/>
    <w:rsid w:val="00C50D5C"/>
    <w:rsid w:val="00C5109A"/>
    <w:rsid w:val="00C5226D"/>
    <w:rsid w:val="00C52D13"/>
    <w:rsid w:val="00C52FF3"/>
    <w:rsid w:val="00C55B26"/>
    <w:rsid w:val="00C57B96"/>
    <w:rsid w:val="00C603E6"/>
    <w:rsid w:val="00C60730"/>
    <w:rsid w:val="00C60A80"/>
    <w:rsid w:val="00C6163C"/>
    <w:rsid w:val="00C62C10"/>
    <w:rsid w:val="00C66083"/>
    <w:rsid w:val="00C66293"/>
    <w:rsid w:val="00C673D6"/>
    <w:rsid w:val="00C6766E"/>
    <w:rsid w:val="00C70BD7"/>
    <w:rsid w:val="00C70D7F"/>
    <w:rsid w:val="00C71AA8"/>
    <w:rsid w:val="00C722B8"/>
    <w:rsid w:val="00C72D3B"/>
    <w:rsid w:val="00C73479"/>
    <w:rsid w:val="00C73707"/>
    <w:rsid w:val="00C74FD5"/>
    <w:rsid w:val="00C80909"/>
    <w:rsid w:val="00C80CD1"/>
    <w:rsid w:val="00C812D9"/>
    <w:rsid w:val="00C8194B"/>
    <w:rsid w:val="00C81FF9"/>
    <w:rsid w:val="00C8354A"/>
    <w:rsid w:val="00C8358F"/>
    <w:rsid w:val="00C845D5"/>
    <w:rsid w:val="00C84B57"/>
    <w:rsid w:val="00C9251A"/>
    <w:rsid w:val="00C93093"/>
    <w:rsid w:val="00C93B60"/>
    <w:rsid w:val="00C93EA1"/>
    <w:rsid w:val="00C9456C"/>
    <w:rsid w:val="00CA16D9"/>
    <w:rsid w:val="00CA1CC1"/>
    <w:rsid w:val="00CA2BE6"/>
    <w:rsid w:val="00CA4BE7"/>
    <w:rsid w:val="00CA5578"/>
    <w:rsid w:val="00CB0435"/>
    <w:rsid w:val="00CB04B1"/>
    <w:rsid w:val="00CB324B"/>
    <w:rsid w:val="00CB6386"/>
    <w:rsid w:val="00CB656A"/>
    <w:rsid w:val="00CC060D"/>
    <w:rsid w:val="00CC0786"/>
    <w:rsid w:val="00CC0ACC"/>
    <w:rsid w:val="00CC1652"/>
    <w:rsid w:val="00CC2D1F"/>
    <w:rsid w:val="00CC320B"/>
    <w:rsid w:val="00CC4A42"/>
    <w:rsid w:val="00CC71DA"/>
    <w:rsid w:val="00CD0A22"/>
    <w:rsid w:val="00CD194F"/>
    <w:rsid w:val="00CD3B00"/>
    <w:rsid w:val="00CD43AB"/>
    <w:rsid w:val="00CD4BFE"/>
    <w:rsid w:val="00CD641E"/>
    <w:rsid w:val="00CD6CC9"/>
    <w:rsid w:val="00CD75B6"/>
    <w:rsid w:val="00CD78F6"/>
    <w:rsid w:val="00CD7C28"/>
    <w:rsid w:val="00CE1361"/>
    <w:rsid w:val="00CE192C"/>
    <w:rsid w:val="00CE2A86"/>
    <w:rsid w:val="00CE78A7"/>
    <w:rsid w:val="00CE7CB5"/>
    <w:rsid w:val="00CF05B4"/>
    <w:rsid w:val="00CF07D2"/>
    <w:rsid w:val="00CF16EF"/>
    <w:rsid w:val="00CF3617"/>
    <w:rsid w:val="00CF40B5"/>
    <w:rsid w:val="00CF433B"/>
    <w:rsid w:val="00D010B9"/>
    <w:rsid w:val="00D02DD5"/>
    <w:rsid w:val="00D0588E"/>
    <w:rsid w:val="00D060F5"/>
    <w:rsid w:val="00D07325"/>
    <w:rsid w:val="00D0786F"/>
    <w:rsid w:val="00D104DB"/>
    <w:rsid w:val="00D11347"/>
    <w:rsid w:val="00D12024"/>
    <w:rsid w:val="00D14B88"/>
    <w:rsid w:val="00D20AC3"/>
    <w:rsid w:val="00D2138E"/>
    <w:rsid w:val="00D219FC"/>
    <w:rsid w:val="00D22374"/>
    <w:rsid w:val="00D24003"/>
    <w:rsid w:val="00D279BF"/>
    <w:rsid w:val="00D317BA"/>
    <w:rsid w:val="00D3302E"/>
    <w:rsid w:val="00D3334C"/>
    <w:rsid w:val="00D342C2"/>
    <w:rsid w:val="00D4034A"/>
    <w:rsid w:val="00D4374A"/>
    <w:rsid w:val="00D44421"/>
    <w:rsid w:val="00D45198"/>
    <w:rsid w:val="00D45808"/>
    <w:rsid w:val="00D4646C"/>
    <w:rsid w:val="00D47512"/>
    <w:rsid w:val="00D47AD7"/>
    <w:rsid w:val="00D47CE8"/>
    <w:rsid w:val="00D5043E"/>
    <w:rsid w:val="00D52095"/>
    <w:rsid w:val="00D53170"/>
    <w:rsid w:val="00D53C8B"/>
    <w:rsid w:val="00D5431E"/>
    <w:rsid w:val="00D54C0E"/>
    <w:rsid w:val="00D5580E"/>
    <w:rsid w:val="00D55A20"/>
    <w:rsid w:val="00D60840"/>
    <w:rsid w:val="00D615C7"/>
    <w:rsid w:val="00D63A43"/>
    <w:rsid w:val="00D63EBB"/>
    <w:rsid w:val="00D641ED"/>
    <w:rsid w:val="00D64A11"/>
    <w:rsid w:val="00D71C06"/>
    <w:rsid w:val="00D756A8"/>
    <w:rsid w:val="00D75B19"/>
    <w:rsid w:val="00D75CD0"/>
    <w:rsid w:val="00D804E4"/>
    <w:rsid w:val="00D858B5"/>
    <w:rsid w:val="00D85949"/>
    <w:rsid w:val="00D85AF3"/>
    <w:rsid w:val="00D85F0C"/>
    <w:rsid w:val="00D86E99"/>
    <w:rsid w:val="00D87B14"/>
    <w:rsid w:val="00D87DF7"/>
    <w:rsid w:val="00D90616"/>
    <w:rsid w:val="00D90D4E"/>
    <w:rsid w:val="00D90E9D"/>
    <w:rsid w:val="00D931B4"/>
    <w:rsid w:val="00D94462"/>
    <w:rsid w:val="00D95FE5"/>
    <w:rsid w:val="00D9731D"/>
    <w:rsid w:val="00DA2CD6"/>
    <w:rsid w:val="00DA3372"/>
    <w:rsid w:val="00DA5181"/>
    <w:rsid w:val="00DA6A43"/>
    <w:rsid w:val="00DA708B"/>
    <w:rsid w:val="00DA7E9F"/>
    <w:rsid w:val="00DB1362"/>
    <w:rsid w:val="00DB244A"/>
    <w:rsid w:val="00DB2890"/>
    <w:rsid w:val="00DB5BC5"/>
    <w:rsid w:val="00DB5CF2"/>
    <w:rsid w:val="00DB6129"/>
    <w:rsid w:val="00DB6CFF"/>
    <w:rsid w:val="00DB77B0"/>
    <w:rsid w:val="00DC0122"/>
    <w:rsid w:val="00DC12A9"/>
    <w:rsid w:val="00DC3517"/>
    <w:rsid w:val="00DC4BD9"/>
    <w:rsid w:val="00DC6024"/>
    <w:rsid w:val="00DD2C7C"/>
    <w:rsid w:val="00DD401A"/>
    <w:rsid w:val="00DD4263"/>
    <w:rsid w:val="00DD5C11"/>
    <w:rsid w:val="00DD60BC"/>
    <w:rsid w:val="00DD7318"/>
    <w:rsid w:val="00DE1268"/>
    <w:rsid w:val="00DE18B6"/>
    <w:rsid w:val="00DE20C0"/>
    <w:rsid w:val="00DE3431"/>
    <w:rsid w:val="00DE6457"/>
    <w:rsid w:val="00DE7A87"/>
    <w:rsid w:val="00DF0112"/>
    <w:rsid w:val="00DF3A20"/>
    <w:rsid w:val="00DF4276"/>
    <w:rsid w:val="00DF4830"/>
    <w:rsid w:val="00DF6BFB"/>
    <w:rsid w:val="00E00CF2"/>
    <w:rsid w:val="00E022F5"/>
    <w:rsid w:val="00E03E41"/>
    <w:rsid w:val="00E043DC"/>
    <w:rsid w:val="00E05654"/>
    <w:rsid w:val="00E05932"/>
    <w:rsid w:val="00E05B9C"/>
    <w:rsid w:val="00E06B07"/>
    <w:rsid w:val="00E0779F"/>
    <w:rsid w:val="00E10B81"/>
    <w:rsid w:val="00E111A0"/>
    <w:rsid w:val="00E17164"/>
    <w:rsid w:val="00E2301E"/>
    <w:rsid w:val="00E25117"/>
    <w:rsid w:val="00E25333"/>
    <w:rsid w:val="00E261CD"/>
    <w:rsid w:val="00E26E2F"/>
    <w:rsid w:val="00E31BF1"/>
    <w:rsid w:val="00E32C8E"/>
    <w:rsid w:val="00E34139"/>
    <w:rsid w:val="00E37B2C"/>
    <w:rsid w:val="00E41875"/>
    <w:rsid w:val="00E42C81"/>
    <w:rsid w:val="00E438D6"/>
    <w:rsid w:val="00E43A42"/>
    <w:rsid w:val="00E4475B"/>
    <w:rsid w:val="00E449C1"/>
    <w:rsid w:val="00E471DC"/>
    <w:rsid w:val="00E50264"/>
    <w:rsid w:val="00E515A0"/>
    <w:rsid w:val="00E51ACB"/>
    <w:rsid w:val="00E53190"/>
    <w:rsid w:val="00E53757"/>
    <w:rsid w:val="00E56EA6"/>
    <w:rsid w:val="00E61870"/>
    <w:rsid w:val="00E628AF"/>
    <w:rsid w:val="00E62C3D"/>
    <w:rsid w:val="00E63BDB"/>
    <w:rsid w:val="00E65471"/>
    <w:rsid w:val="00E66153"/>
    <w:rsid w:val="00E66350"/>
    <w:rsid w:val="00E66CA7"/>
    <w:rsid w:val="00E7023E"/>
    <w:rsid w:val="00E70E10"/>
    <w:rsid w:val="00E73B6B"/>
    <w:rsid w:val="00E75F59"/>
    <w:rsid w:val="00E80B40"/>
    <w:rsid w:val="00E8347F"/>
    <w:rsid w:val="00E84DC3"/>
    <w:rsid w:val="00E852B1"/>
    <w:rsid w:val="00E862DF"/>
    <w:rsid w:val="00E869D3"/>
    <w:rsid w:val="00E903D7"/>
    <w:rsid w:val="00E90CFC"/>
    <w:rsid w:val="00E9215B"/>
    <w:rsid w:val="00E94C23"/>
    <w:rsid w:val="00E97A88"/>
    <w:rsid w:val="00E97B0C"/>
    <w:rsid w:val="00EA108B"/>
    <w:rsid w:val="00EA1098"/>
    <w:rsid w:val="00EA1A65"/>
    <w:rsid w:val="00EA2DB3"/>
    <w:rsid w:val="00EA4B71"/>
    <w:rsid w:val="00EA5201"/>
    <w:rsid w:val="00EA7E12"/>
    <w:rsid w:val="00EB0FB2"/>
    <w:rsid w:val="00EB1513"/>
    <w:rsid w:val="00EB269C"/>
    <w:rsid w:val="00EB298C"/>
    <w:rsid w:val="00EB3222"/>
    <w:rsid w:val="00EB6F43"/>
    <w:rsid w:val="00EC1679"/>
    <w:rsid w:val="00EC34C2"/>
    <w:rsid w:val="00EC48F8"/>
    <w:rsid w:val="00ED2B12"/>
    <w:rsid w:val="00ED329E"/>
    <w:rsid w:val="00ED5293"/>
    <w:rsid w:val="00EE0531"/>
    <w:rsid w:val="00EE167D"/>
    <w:rsid w:val="00EE1FFC"/>
    <w:rsid w:val="00EE2478"/>
    <w:rsid w:val="00EE3C76"/>
    <w:rsid w:val="00EE3F91"/>
    <w:rsid w:val="00EE446A"/>
    <w:rsid w:val="00EE6279"/>
    <w:rsid w:val="00EE7357"/>
    <w:rsid w:val="00EE762F"/>
    <w:rsid w:val="00EF188A"/>
    <w:rsid w:val="00EF5985"/>
    <w:rsid w:val="00EF625F"/>
    <w:rsid w:val="00EF6459"/>
    <w:rsid w:val="00EF6A54"/>
    <w:rsid w:val="00EF6D43"/>
    <w:rsid w:val="00EF751B"/>
    <w:rsid w:val="00F00CE1"/>
    <w:rsid w:val="00F02AE9"/>
    <w:rsid w:val="00F03CB0"/>
    <w:rsid w:val="00F07639"/>
    <w:rsid w:val="00F11890"/>
    <w:rsid w:val="00F11EBE"/>
    <w:rsid w:val="00F122C4"/>
    <w:rsid w:val="00F128A4"/>
    <w:rsid w:val="00F156C7"/>
    <w:rsid w:val="00F16586"/>
    <w:rsid w:val="00F169DB"/>
    <w:rsid w:val="00F17A45"/>
    <w:rsid w:val="00F20A73"/>
    <w:rsid w:val="00F20F62"/>
    <w:rsid w:val="00F22273"/>
    <w:rsid w:val="00F226D8"/>
    <w:rsid w:val="00F22D0D"/>
    <w:rsid w:val="00F23C07"/>
    <w:rsid w:val="00F24484"/>
    <w:rsid w:val="00F247E3"/>
    <w:rsid w:val="00F2561D"/>
    <w:rsid w:val="00F25FA6"/>
    <w:rsid w:val="00F26A6D"/>
    <w:rsid w:val="00F26EAB"/>
    <w:rsid w:val="00F300DC"/>
    <w:rsid w:val="00F3153F"/>
    <w:rsid w:val="00F3161D"/>
    <w:rsid w:val="00F337C3"/>
    <w:rsid w:val="00F338AE"/>
    <w:rsid w:val="00F361DB"/>
    <w:rsid w:val="00F37B29"/>
    <w:rsid w:val="00F37E3F"/>
    <w:rsid w:val="00F45544"/>
    <w:rsid w:val="00F45A2E"/>
    <w:rsid w:val="00F50D7A"/>
    <w:rsid w:val="00F514C8"/>
    <w:rsid w:val="00F51E7E"/>
    <w:rsid w:val="00F5218E"/>
    <w:rsid w:val="00F54D97"/>
    <w:rsid w:val="00F55A08"/>
    <w:rsid w:val="00F561F9"/>
    <w:rsid w:val="00F60846"/>
    <w:rsid w:val="00F61EE3"/>
    <w:rsid w:val="00F62727"/>
    <w:rsid w:val="00F634AF"/>
    <w:rsid w:val="00F63687"/>
    <w:rsid w:val="00F64176"/>
    <w:rsid w:val="00F64DBA"/>
    <w:rsid w:val="00F65F90"/>
    <w:rsid w:val="00F703B0"/>
    <w:rsid w:val="00F7042A"/>
    <w:rsid w:val="00F719B0"/>
    <w:rsid w:val="00F7226D"/>
    <w:rsid w:val="00F7464E"/>
    <w:rsid w:val="00F74D12"/>
    <w:rsid w:val="00F758AE"/>
    <w:rsid w:val="00F75E81"/>
    <w:rsid w:val="00F7642E"/>
    <w:rsid w:val="00F76DA0"/>
    <w:rsid w:val="00F773DE"/>
    <w:rsid w:val="00F802B2"/>
    <w:rsid w:val="00F80BAD"/>
    <w:rsid w:val="00F82E80"/>
    <w:rsid w:val="00F83849"/>
    <w:rsid w:val="00F8417C"/>
    <w:rsid w:val="00F84D60"/>
    <w:rsid w:val="00F84FEC"/>
    <w:rsid w:val="00F9633A"/>
    <w:rsid w:val="00FA0D51"/>
    <w:rsid w:val="00FA1639"/>
    <w:rsid w:val="00FA1B7F"/>
    <w:rsid w:val="00FA2908"/>
    <w:rsid w:val="00FA4AD1"/>
    <w:rsid w:val="00FA6EF1"/>
    <w:rsid w:val="00FB0558"/>
    <w:rsid w:val="00FB069B"/>
    <w:rsid w:val="00FB1D1E"/>
    <w:rsid w:val="00FB54A8"/>
    <w:rsid w:val="00FB6F78"/>
    <w:rsid w:val="00FB7F1B"/>
    <w:rsid w:val="00FC0A1D"/>
    <w:rsid w:val="00FC17B0"/>
    <w:rsid w:val="00FC32F3"/>
    <w:rsid w:val="00FC36BF"/>
    <w:rsid w:val="00FC416D"/>
    <w:rsid w:val="00FC472F"/>
    <w:rsid w:val="00FC590A"/>
    <w:rsid w:val="00FC5AB9"/>
    <w:rsid w:val="00FC7E00"/>
    <w:rsid w:val="00FC7F55"/>
    <w:rsid w:val="00FD03FA"/>
    <w:rsid w:val="00FD124D"/>
    <w:rsid w:val="00FD17DA"/>
    <w:rsid w:val="00FD1FCD"/>
    <w:rsid w:val="00FD2969"/>
    <w:rsid w:val="00FD3D71"/>
    <w:rsid w:val="00FD5492"/>
    <w:rsid w:val="00FD54CF"/>
    <w:rsid w:val="00FD5591"/>
    <w:rsid w:val="00FE0CEF"/>
    <w:rsid w:val="00FE2296"/>
    <w:rsid w:val="00FE239C"/>
    <w:rsid w:val="00FE2E1E"/>
    <w:rsid w:val="00FE3DAD"/>
    <w:rsid w:val="00FE4705"/>
    <w:rsid w:val="00FE4803"/>
    <w:rsid w:val="00FE4E25"/>
    <w:rsid w:val="00FE5C5A"/>
    <w:rsid w:val="00FE7CAE"/>
    <w:rsid w:val="00FF1334"/>
    <w:rsid w:val="00FF29EB"/>
    <w:rsid w:val="00FF3791"/>
    <w:rsid w:val="00FF41CC"/>
    <w:rsid w:val="00FF60B0"/>
    <w:rsid w:val="00FF620A"/>
    <w:rsid w:val="00FF6297"/>
    <w:rsid w:val="00FF6A6F"/>
    <w:rsid w:val="00FF6BFF"/>
    <w:rsid w:val="00FF6DFB"/>
    <w:rsid w:val="00FF765E"/>
    <w:rsid w:val="00FF7EE3"/>
    <w:rsid w:val="01BD17FD"/>
    <w:rsid w:val="0349038D"/>
    <w:rsid w:val="037C7321"/>
    <w:rsid w:val="043A5559"/>
    <w:rsid w:val="05177A13"/>
    <w:rsid w:val="06361B7E"/>
    <w:rsid w:val="067B3F03"/>
    <w:rsid w:val="06E85D06"/>
    <w:rsid w:val="07A72104"/>
    <w:rsid w:val="087B3300"/>
    <w:rsid w:val="09C30F11"/>
    <w:rsid w:val="09DB2310"/>
    <w:rsid w:val="09DE4ADA"/>
    <w:rsid w:val="0B536D2E"/>
    <w:rsid w:val="0C247805"/>
    <w:rsid w:val="0C430B50"/>
    <w:rsid w:val="0C684007"/>
    <w:rsid w:val="0C8E798B"/>
    <w:rsid w:val="0D1A0C33"/>
    <w:rsid w:val="0D494B25"/>
    <w:rsid w:val="0DF6247B"/>
    <w:rsid w:val="0E061CEA"/>
    <w:rsid w:val="0E0C76A0"/>
    <w:rsid w:val="0E0E4CB2"/>
    <w:rsid w:val="0EEA1F36"/>
    <w:rsid w:val="0F164219"/>
    <w:rsid w:val="0F581641"/>
    <w:rsid w:val="0F852BA1"/>
    <w:rsid w:val="112039AB"/>
    <w:rsid w:val="116210AD"/>
    <w:rsid w:val="116920D3"/>
    <w:rsid w:val="11D568A9"/>
    <w:rsid w:val="122D527E"/>
    <w:rsid w:val="12753A2E"/>
    <w:rsid w:val="12A460C1"/>
    <w:rsid w:val="12AC5875"/>
    <w:rsid w:val="12FD254C"/>
    <w:rsid w:val="138E2FF9"/>
    <w:rsid w:val="13C95DDF"/>
    <w:rsid w:val="142B6677"/>
    <w:rsid w:val="14B27425"/>
    <w:rsid w:val="156B5DC3"/>
    <w:rsid w:val="16AA76E1"/>
    <w:rsid w:val="1760414B"/>
    <w:rsid w:val="18243682"/>
    <w:rsid w:val="18543042"/>
    <w:rsid w:val="198A2469"/>
    <w:rsid w:val="19E17B55"/>
    <w:rsid w:val="1A792232"/>
    <w:rsid w:val="1B885CD5"/>
    <w:rsid w:val="1BAB04C0"/>
    <w:rsid w:val="1C95537F"/>
    <w:rsid w:val="1D4666F2"/>
    <w:rsid w:val="1D632EBE"/>
    <w:rsid w:val="1E1E766F"/>
    <w:rsid w:val="1EB92499"/>
    <w:rsid w:val="1FBA6585"/>
    <w:rsid w:val="216276CF"/>
    <w:rsid w:val="21B207FA"/>
    <w:rsid w:val="22393715"/>
    <w:rsid w:val="225437B8"/>
    <w:rsid w:val="23B4085A"/>
    <w:rsid w:val="2480073C"/>
    <w:rsid w:val="25893620"/>
    <w:rsid w:val="261A62C4"/>
    <w:rsid w:val="263A5741"/>
    <w:rsid w:val="26486E0F"/>
    <w:rsid w:val="26EE2542"/>
    <w:rsid w:val="279A25BF"/>
    <w:rsid w:val="27F60D15"/>
    <w:rsid w:val="28C3509B"/>
    <w:rsid w:val="28E2004C"/>
    <w:rsid w:val="29040956"/>
    <w:rsid w:val="2909226F"/>
    <w:rsid w:val="2A0B6CFA"/>
    <w:rsid w:val="2ADE3FEA"/>
    <w:rsid w:val="2B8E1990"/>
    <w:rsid w:val="2C28332D"/>
    <w:rsid w:val="2C475FE3"/>
    <w:rsid w:val="2C674594"/>
    <w:rsid w:val="2CD81CF1"/>
    <w:rsid w:val="2CE973B4"/>
    <w:rsid w:val="2D452523"/>
    <w:rsid w:val="2E2B3684"/>
    <w:rsid w:val="2E9801FA"/>
    <w:rsid w:val="2EE77B38"/>
    <w:rsid w:val="2F307202"/>
    <w:rsid w:val="2FF133CA"/>
    <w:rsid w:val="30715421"/>
    <w:rsid w:val="30980C64"/>
    <w:rsid w:val="31940B55"/>
    <w:rsid w:val="3196159F"/>
    <w:rsid w:val="325524D0"/>
    <w:rsid w:val="325D20BC"/>
    <w:rsid w:val="32B50D76"/>
    <w:rsid w:val="32E27652"/>
    <w:rsid w:val="3320382D"/>
    <w:rsid w:val="34054F93"/>
    <w:rsid w:val="35CB37E1"/>
    <w:rsid w:val="36007566"/>
    <w:rsid w:val="369E7B31"/>
    <w:rsid w:val="36AC3C67"/>
    <w:rsid w:val="370A31C6"/>
    <w:rsid w:val="37B15786"/>
    <w:rsid w:val="393D20AD"/>
    <w:rsid w:val="39AC18F0"/>
    <w:rsid w:val="39E94BCD"/>
    <w:rsid w:val="3A331955"/>
    <w:rsid w:val="3B424D6C"/>
    <w:rsid w:val="3C1D3AD6"/>
    <w:rsid w:val="3C714930"/>
    <w:rsid w:val="3CAF5334"/>
    <w:rsid w:val="3CF5377D"/>
    <w:rsid w:val="3D177911"/>
    <w:rsid w:val="3E2717D1"/>
    <w:rsid w:val="3FF445A9"/>
    <w:rsid w:val="407360A4"/>
    <w:rsid w:val="41A434FC"/>
    <w:rsid w:val="41DD0CA1"/>
    <w:rsid w:val="429A6694"/>
    <w:rsid w:val="43D322F8"/>
    <w:rsid w:val="452C64E9"/>
    <w:rsid w:val="453235A6"/>
    <w:rsid w:val="45360AB0"/>
    <w:rsid w:val="45603F46"/>
    <w:rsid w:val="457C7DBE"/>
    <w:rsid w:val="45F7788A"/>
    <w:rsid w:val="469E73DA"/>
    <w:rsid w:val="471C4A9D"/>
    <w:rsid w:val="47EF5DF1"/>
    <w:rsid w:val="48270794"/>
    <w:rsid w:val="48771E1D"/>
    <w:rsid w:val="48E52647"/>
    <w:rsid w:val="49083A64"/>
    <w:rsid w:val="497C6219"/>
    <w:rsid w:val="49FF69DD"/>
    <w:rsid w:val="4A147A52"/>
    <w:rsid w:val="4AA20B5D"/>
    <w:rsid w:val="4B7D6ED4"/>
    <w:rsid w:val="4D6317A6"/>
    <w:rsid w:val="4F1B0EDE"/>
    <w:rsid w:val="4F950C90"/>
    <w:rsid w:val="4F9E0326"/>
    <w:rsid w:val="4FBB5260"/>
    <w:rsid w:val="50217E5B"/>
    <w:rsid w:val="51275030"/>
    <w:rsid w:val="52571783"/>
    <w:rsid w:val="536E3CD2"/>
    <w:rsid w:val="537D7DEB"/>
    <w:rsid w:val="543842E0"/>
    <w:rsid w:val="54FB6F56"/>
    <w:rsid w:val="552D40CE"/>
    <w:rsid w:val="55540CA5"/>
    <w:rsid w:val="558949EB"/>
    <w:rsid w:val="56356D29"/>
    <w:rsid w:val="57574A7D"/>
    <w:rsid w:val="57705D8E"/>
    <w:rsid w:val="58823D7B"/>
    <w:rsid w:val="58B77EC9"/>
    <w:rsid w:val="58D97F6D"/>
    <w:rsid w:val="58E54ED0"/>
    <w:rsid w:val="59624C9A"/>
    <w:rsid w:val="59DE3063"/>
    <w:rsid w:val="59F9238B"/>
    <w:rsid w:val="5A9D76B8"/>
    <w:rsid w:val="5B545E5B"/>
    <w:rsid w:val="5B56541C"/>
    <w:rsid w:val="5BE07737"/>
    <w:rsid w:val="5BE17A95"/>
    <w:rsid w:val="5E463B9F"/>
    <w:rsid w:val="5F1C5B9B"/>
    <w:rsid w:val="5F3D27AA"/>
    <w:rsid w:val="605444EB"/>
    <w:rsid w:val="60B44CEE"/>
    <w:rsid w:val="616A131A"/>
    <w:rsid w:val="61AB1C3D"/>
    <w:rsid w:val="64086C57"/>
    <w:rsid w:val="64122457"/>
    <w:rsid w:val="657D51CC"/>
    <w:rsid w:val="65DD6180"/>
    <w:rsid w:val="66FA3A68"/>
    <w:rsid w:val="673F2EFD"/>
    <w:rsid w:val="67C717AB"/>
    <w:rsid w:val="68906041"/>
    <w:rsid w:val="6AF91C7B"/>
    <w:rsid w:val="6B1271E1"/>
    <w:rsid w:val="6CA5589A"/>
    <w:rsid w:val="6D003260"/>
    <w:rsid w:val="6D035033"/>
    <w:rsid w:val="6D362951"/>
    <w:rsid w:val="6DCF05A0"/>
    <w:rsid w:val="6E3E3C48"/>
    <w:rsid w:val="6EB20ABF"/>
    <w:rsid w:val="700D7B92"/>
    <w:rsid w:val="705838E8"/>
    <w:rsid w:val="70E7268E"/>
    <w:rsid w:val="723D444A"/>
    <w:rsid w:val="72AB0DC6"/>
    <w:rsid w:val="73814F04"/>
    <w:rsid w:val="74671E54"/>
    <w:rsid w:val="74985512"/>
    <w:rsid w:val="74F27BE3"/>
    <w:rsid w:val="751853F4"/>
    <w:rsid w:val="75B22D35"/>
    <w:rsid w:val="75BD34FF"/>
    <w:rsid w:val="75C64E50"/>
    <w:rsid w:val="7971702E"/>
    <w:rsid w:val="7AF75AAB"/>
    <w:rsid w:val="7B484051"/>
    <w:rsid w:val="7BA479E1"/>
    <w:rsid w:val="7BC1389C"/>
    <w:rsid w:val="7BDA3CE7"/>
    <w:rsid w:val="7C3F3BAE"/>
    <w:rsid w:val="7E2272E3"/>
    <w:rsid w:val="7F7B50C0"/>
    <w:rsid w:val="7F9451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5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6"/>
    <w:link w:val="36"/>
    <w:qFormat/>
    <w:uiPriority w:val="0"/>
    <w:pPr>
      <w:keepNext/>
      <w:keepLines/>
      <w:spacing w:before="260" w:after="260" w:line="416" w:lineRule="auto"/>
      <w:outlineLvl w:val="2"/>
    </w:pPr>
    <w:rPr>
      <w:b/>
      <w:sz w:val="32"/>
      <w:szCs w:val="20"/>
    </w:rPr>
  </w:style>
  <w:style w:type="paragraph" w:styleId="7">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6">
    <w:name w:val="Normal Indent"/>
    <w:basedOn w:val="1"/>
    <w:next w:val="1"/>
    <w:link w:val="42"/>
    <w:qFormat/>
    <w:uiPriority w:val="0"/>
    <w:pPr>
      <w:ind w:firstLine="420" w:firstLineChars="200"/>
    </w:pPr>
  </w:style>
  <w:style w:type="paragraph" w:styleId="8">
    <w:name w:val="Document Map"/>
    <w:basedOn w:val="1"/>
    <w:semiHidden/>
    <w:qFormat/>
    <w:uiPriority w:val="0"/>
    <w:pPr>
      <w:shd w:val="clear" w:color="auto" w:fill="000080"/>
    </w:pPr>
  </w:style>
  <w:style w:type="paragraph" w:styleId="9">
    <w:name w:val="Body Text Indent"/>
    <w:basedOn w:val="1"/>
    <w:next w:val="10"/>
    <w:qFormat/>
    <w:uiPriority w:val="0"/>
    <w:pPr>
      <w:spacing w:after="120"/>
      <w:ind w:left="420" w:leftChars="200"/>
    </w:p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qFormat/>
    <w:uiPriority w:val="0"/>
    <w:pPr>
      <w:spacing w:line="360" w:lineRule="auto"/>
      <w:ind w:left="960" w:hanging="240"/>
      <w:jc w:val="left"/>
    </w:pPr>
    <w:rPr>
      <w:sz w:val="20"/>
      <w:szCs w:val="20"/>
    </w:rPr>
  </w:style>
  <w:style w:type="paragraph" w:styleId="12">
    <w:name w:val="Plain Text"/>
    <w:basedOn w:val="1"/>
    <w:link w:val="41"/>
    <w:qFormat/>
    <w:uiPriority w:val="99"/>
    <w:pPr>
      <w:widowControl/>
      <w:spacing w:after="200" w:line="252" w:lineRule="auto"/>
      <w:jc w:val="left"/>
    </w:pPr>
    <w:rPr>
      <w:rFonts w:ascii="宋体" w:hAnsi="Courier New"/>
      <w:szCs w:val="20"/>
    </w:rPr>
  </w:style>
  <w:style w:type="paragraph" w:styleId="13">
    <w:name w:val="Date"/>
    <w:basedOn w:val="1"/>
    <w:next w:val="1"/>
    <w:link w:val="32"/>
    <w:qFormat/>
    <w:uiPriority w:val="0"/>
    <w:rPr>
      <w:sz w:val="24"/>
      <w:szCs w:val="20"/>
    </w:rPr>
  </w:style>
  <w:style w:type="paragraph" w:styleId="14">
    <w:name w:val="Body Text Indent 2"/>
    <w:basedOn w:val="1"/>
    <w:link w:val="52"/>
    <w:qFormat/>
    <w:uiPriority w:val="0"/>
    <w:pPr>
      <w:spacing w:after="120" w:line="480" w:lineRule="auto"/>
      <w:ind w:left="420" w:leftChars="200"/>
    </w:pPr>
  </w:style>
  <w:style w:type="paragraph" w:styleId="15">
    <w:name w:val="Balloon Text"/>
    <w:basedOn w:val="1"/>
    <w:link w:val="34"/>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43"/>
    <w:qFormat/>
    <w:uiPriority w:val="99"/>
    <w:pPr>
      <w:pBdr>
        <w:bottom w:val="single" w:color="auto" w:sz="6" w:space="1"/>
      </w:pBdr>
      <w:tabs>
        <w:tab w:val="center" w:pos="4153"/>
        <w:tab w:val="right" w:pos="8306"/>
      </w:tabs>
      <w:snapToGrid w:val="0"/>
      <w:jc w:val="center"/>
    </w:pPr>
    <w:rPr>
      <w:sz w:val="18"/>
      <w:szCs w:val="18"/>
    </w:rPr>
  </w:style>
  <w:style w:type="paragraph" w:styleId="18">
    <w:name w:val="toc 6"/>
    <w:basedOn w:val="1"/>
    <w:next w:val="1"/>
    <w:qFormat/>
    <w:uiPriority w:val="0"/>
    <w:pPr>
      <w:ind w:left="1200"/>
    </w:pPr>
    <w:rPr>
      <w:rFonts w:ascii="Calibri" w:hAnsi="Calibri" w:eastAsia="宋体" w:cs="Calibri"/>
      <w:sz w:val="18"/>
      <w:szCs w:val="18"/>
    </w:rPr>
  </w:style>
  <w:style w:type="paragraph" w:styleId="19">
    <w:name w:val="Body Text Indent 3"/>
    <w:basedOn w:val="1"/>
    <w:link w:val="33"/>
    <w:qFormat/>
    <w:uiPriority w:val="0"/>
    <w:pPr>
      <w:spacing w:after="120"/>
      <w:ind w:left="420" w:leftChars="200"/>
    </w:pPr>
    <w:rPr>
      <w:sz w:val="16"/>
      <w:szCs w:val="16"/>
    </w:rPr>
  </w:style>
  <w:style w:type="paragraph" w:styleId="20">
    <w:name w:val="toc 2"/>
    <w:basedOn w:val="1"/>
    <w:next w:val="1"/>
    <w:qFormat/>
    <w:uiPriority w:val="39"/>
    <w:pPr>
      <w:tabs>
        <w:tab w:val="right" w:leader="dot" w:pos="9060"/>
      </w:tabs>
    </w:pPr>
    <w:rPr>
      <w:rFonts w:ascii="宋体" w:hAnsi="宋体"/>
      <w:b/>
      <w:bCs/>
      <w:sz w:val="24"/>
    </w:rPr>
  </w:style>
  <w:style w:type="paragraph" w:styleId="2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2">
    <w:name w:val="Body Text First Indent"/>
    <w:basedOn w:val="2"/>
    <w:next w:val="18"/>
    <w:qFormat/>
    <w:uiPriority w:val="0"/>
    <w:pPr>
      <w:spacing w:line="360" w:lineRule="auto"/>
      <w:ind w:firstLine="200" w:firstLineChars="200"/>
    </w:pPr>
    <w:rPr>
      <w:rFonts w:ascii="仿宋_GB2312" w:hAnsi="Times New Roman" w:eastAsia="仿宋_GB2312" w:cs="Times New Roman"/>
      <w:sz w:val="30"/>
      <w:szCs w:val="30"/>
    </w:rPr>
  </w:style>
  <w:style w:type="paragraph" w:styleId="23">
    <w:name w:val="Body Text First Indent 2"/>
    <w:basedOn w:val="9"/>
    <w:next w:val="24"/>
    <w:unhideWhenUsed/>
    <w:qFormat/>
    <w:uiPriority w:val="99"/>
    <w:pPr>
      <w:ind w:firstLine="420" w:firstLineChars="200"/>
    </w:pPr>
  </w:style>
  <w:style w:type="paragraph" w:customStyle="1" w:styleId="24">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hAnsi="宋体"/>
      <w:b/>
      <w:bCs/>
      <w:kern w:val="0"/>
      <w:sz w:val="20"/>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basedOn w:val="27"/>
    <w:qFormat/>
    <w:uiPriority w:val="0"/>
  </w:style>
  <w:style w:type="character" w:styleId="30">
    <w:name w:val="Hyperlink"/>
    <w:basedOn w:val="27"/>
    <w:qFormat/>
    <w:uiPriority w:val="0"/>
    <w:rPr>
      <w:color w:val="0000FF"/>
      <w:u w:val="single"/>
    </w:rPr>
  </w:style>
  <w:style w:type="paragraph" w:customStyle="1" w:styleId="3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2">
    <w:name w:val="日期 Char"/>
    <w:basedOn w:val="27"/>
    <w:link w:val="13"/>
    <w:qFormat/>
    <w:uiPriority w:val="0"/>
    <w:rPr>
      <w:kern w:val="2"/>
      <w:sz w:val="24"/>
    </w:rPr>
  </w:style>
  <w:style w:type="character" w:customStyle="1" w:styleId="33">
    <w:name w:val="正文文本缩进 3 Char"/>
    <w:basedOn w:val="27"/>
    <w:link w:val="19"/>
    <w:qFormat/>
    <w:uiPriority w:val="0"/>
    <w:rPr>
      <w:kern w:val="2"/>
      <w:sz w:val="16"/>
      <w:szCs w:val="16"/>
    </w:rPr>
  </w:style>
  <w:style w:type="character" w:customStyle="1" w:styleId="34">
    <w:name w:val="批注框文本 Char"/>
    <w:basedOn w:val="27"/>
    <w:link w:val="15"/>
    <w:qFormat/>
    <w:uiPriority w:val="0"/>
    <w:rPr>
      <w:kern w:val="2"/>
      <w:sz w:val="18"/>
      <w:szCs w:val="18"/>
    </w:rPr>
  </w:style>
  <w:style w:type="character" w:customStyle="1" w:styleId="35">
    <w:name w:val="纯文本 Char"/>
    <w:qFormat/>
    <w:uiPriority w:val="99"/>
    <w:rPr>
      <w:rFonts w:ascii="宋体" w:hAnsi="Courier New"/>
      <w:kern w:val="2"/>
      <w:sz w:val="21"/>
    </w:rPr>
  </w:style>
  <w:style w:type="character" w:customStyle="1" w:styleId="36">
    <w:name w:val="标题 3 Char"/>
    <w:basedOn w:val="27"/>
    <w:link w:val="5"/>
    <w:qFormat/>
    <w:uiPriority w:val="0"/>
    <w:rPr>
      <w:b/>
      <w:kern w:val="2"/>
      <w:sz w:val="32"/>
    </w:rPr>
  </w:style>
  <w:style w:type="character" w:customStyle="1" w:styleId="37">
    <w:name w:val="标题 4 Char"/>
    <w:basedOn w:val="27"/>
    <w:link w:val="7"/>
    <w:qFormat/>
    <w:uiPriority w:val="0"/>
    <w:rPr>
      <w:rFonts w:ascii="Arial" w:hAnsi="Arial" w:eastAsia="黑体"/>
      <w:b/>
      <w:bCs/>
      <w:kern w:val="2"/>
      <w:sz w:val="28"/>
      <w:szCs w:val="28"/>
    </w:rPr>
  </w:style>
  <w:style w:type="character" w:customStyle="1" w:styleId="38">
    <w:name w:val="正文缩进2格 Char"/>
    <w:link w:val="39"/>
    <w:qFormat/>
    <w:uiPriority w:val="0"/>
    <w:rPr>
      <w:rFonts w:ascii="仿宋_GB2312" w:hAnsi="宋体" w:eastAsia="仿宋_GB2312"/>
      <w:sz w:val="31"/>
      <w:szCs w:val="28"/>
      <w:lang w:bidi="ar-SA"/>
    </w:rPr>
  </w:style>
  <w:style w:type="paragraph" w:customStyle="1" w:styleId="39">
    <w:name w:val="正文缩进2格"/>
    <w:basedOn w:val="1"/>
    <w:link w:val="38"/>
    <w:qFormat/>
    <w:uiPriority w:val="0"/>
    <w:pPr>
      <w:spacing w:line="600" w:lineRule="exact"/>
      <w:ind w:firstLine="639" w:firstLineChars="206"/>
    </w:pPr>
    <w:rPr>
      <w:rFonts w:ascii="仿宋_GB2312" w:hAnsi="宋体" w:eastAsia="仿宋_GB2312"/>
      <w:kern w:val="0"/>
      <w:sz w:val="31"/>
      <w:szCs w:val="28"/>
    </w:rPr>
  </w:style>
  <w:style w:type="character" w:customStyle="1" w:styleId="40">
    <w:name w:val="纯文本 Char2"/>
    <w:basedOn w:val="27"/>
    <w:qFormat/>
    <w:uiPriority w:val="0"/>
    <w:rPr>
      <w:rFonts w:ascii="宋体" w:hAnsi="Courier New" w:eastAsia="宋体"/>
      <w:kern w:val="2"/>
      <w:sz w:val="24"/>
      <w:lang w:val="en-US" w:eastAsia="zh-CN" w:bidi="ar-SA"/>
    </w:rPr>
  </w:style>
  <w:style w:type="character" w:customStyle="1" w:styleId="41">
    <w:name w:val="纯文本 Char1"/>
    <w:basedOn w:val="27"/>
    <w:link w:val="12"/>
    <w:qFormat/>
    <w:uiPriority w:val="0"/>
    <w:rPr>
      <w:rFonts w:ascii="宋体" w:hAnsi="Courier New" w:cs="Courier New"/>
      <w:kern w:val="2"/>
      <w:sz w:val="21"/>
      <w:szCs w:val="21"/>
    </w:rPr>
  </w:style>
  <w:style w:type="character" w:customStyle="1" w:styleId="42">
    <w:name w:val="正文缩进 Char"/>
    <w:link w:val="6"/>
    <w:qFormat/>
    <w:uiPriority w:val="0"/>
    <w:rPr>
      <w:rFonts w:eastAsia="宋体"/>
      <w:kern w:val="2"/>
      <w:sz w:val="21"/>
      <w:szCs w:val="24"/>
      <w:lang w:val="en-US" w:eastAsia="zh-CN" w:bidi="ar-SA"/>
    </w:rPr>
  </w:style>
  <w:style w:type="character" w:customStyle="1" w:styleId="43">
    <w:name w:val="页眉 Char"/>
    <w:link w:val="17"/>
    <w:qFormat/>
    <w:uiPriority w:val="99"/>
    <w:rPr>
      <w:kern w:val="2"/>
      <w:sz w:val="18"/>
      <w:szCs w:val="18"/>
    </w:rPr>
  </w:style>
  <w:style w:type="paragraph" w:customStyle="1" w:styleId="44">
    <w:name w:val="Char"/>
    <w:basedOn w:val="8"/>
    <w:qFormat/>
    <w:uiPriority w:val="0"/>
    <w:rPr>
      <w:rFonts w:ascii="Tahoma" w:hAnsi="Tahoma"/>
      <w:sz w:val="24"/>
    </w:rPr>
  </w:style>
  <w:style w:type="paragraph" w:customStyle="1" w:styleId="4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6">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Char1"/>
    <w:basedOn w:val="1"/>
    <w:qFormat/>
    <w:uiPriority w:val="0"/>
    <w:pPr>
      <w:tabs>
        <w:tab w:val="left" w:pos="360"/>
      </w:tabs>
    </w:pPr>
    <w:rPr>
      <w:color w:val="000000"/>
      <w:sz w:val="24"/>
    </w:rPr>
  </w:style>
  <w:style w:type="paragraph" w:customStyle="1" w:styleId="48">
    <w:name w:val="Char Char Char Char"/>
    <w:basedOn w:val="8"/>
    <w:qFormat/>
    <w:uiPriority w:val="0"/>
    <w:pPr>
      <w:adjustRightInd w:val="0"/>
      <w:snapToGrid w:val="0"/>
      <w:spacing w:line="360" w:lineRule="auto"/>
    </w:pPr>
    <w:rPr>
      <w:szCs w:val="20"/>
    </w:rPr>
  </w:style>
  <w:style w:type="character" w:customStyle="1" w:styleId="49">
    <w:name w:val="p0 Char"/>
    <w:link w:val="50"/>
    <w:qFormat/>
    <w:uiPriority w:val="0"/>
    <w:rPr>
      <w:sz w:val="21"/>
      <w:szCs w:val="21"/>
    </w:rPr>
  </w:style>
  <w:style w:type="paragraph" w:customStyle="1" w:styleId="50">
    <w:name w:val="p0"/>
    <w:basedOn w:val="1"/>
    <w:link w:val="49"/>
    <w:qFormat/>
    <w:uiPriority w:val="0"/>
    <w:pPr>
      <w:widowControl/>
    </w:pPr>
    <w:rPr>
      <w:kern w:val="0"/>
      <w:szCs w:val="21"/>
    </w:rPr>
  </w:style>
  <w:style w:type="character" w:customStyle="1" w:styleId="51">
    <w:name w:val="标题 2 Char"/>
    <w:link w:val="4"/>
    <w:qFormat/>
    <w:uiPriority w:val="0"/>
    <w:rPr>
      <w:rFonts w:ascii="Arial" w:hAnsi="Arial" w:eastAsia="黑体"/>
      <w:b/>
      <w:bCs/>
      <w:kern w:val="2"/>
      <w:sz w:val="32"/>
      <w:szCs w:val="32"/>
    </w:rPr>
  </w:style>
  <w:style w:type="character" w:customStyle="1" w:styleId="52">
    <w:name w:val="正文文本缩进 2 Char"/>
    <w:basedOn w:val="27"/>
    <w:link w:val="14"/>
    <w:qFormat/>
    <w:uiPriority w:val="0"/>
    <w:rPr>
      <w:kern w:val="2"/>
      <w:sz w:val="21"/>
      <w:szCs w:val="24"/>
    </w:rPr>
  </w:style>
  <w:style w:type="paragraph" w:customStyle="1" w:styleId="53">
    <w:name w:val="Table Text"/>
    <w:basedOn w:val="1"/>
    <w:semiHidden/>
    <w:qFormat/>
    <w:uiPriority w:val="0"/>
    <w:rPr>
      <w:rFonts w:ascii="宋体" w:hAnsi="宋体" w:cs="宋体"/>
      <w:szCs w:val="21"/>
      <w:lang w:eastAsia="en-US"/>
    </w:rPr>
  </w:style>
  <w:style w:type="paragraph" w:customStyle="1" w:styleId="54">
    <w:name w:val="*正文"/>
    <w:basedOn w:val="1"/>
    <w:qFormat/>
    <w:uiPriority w:val="99"/>
    <w:pPr>
      <w:snapToGrid w:val="0"/>
      <w:spacing w:line="360" w:lineRule="auto"/>
      <w:ind w:firstLine="482"/>
      <w:textAlignment w:val="auto"/>
    </w:pPr>
    <w:rPr>
      <w:rFonts w:eastAsia="仿宋_GB2312"/>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058cc485-c640-490e-aee5-86b737b109c9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1D19D54F</paraID>
      <start>9</start>
      <end>10</end>
      <status>ignored</status>
      <modifiedWord/>
      <trackRevisions>false</trackRevisions>
    </reviewItem>
    <reviewItem>
      <errorID>52ec912b-0bc6-4c28-b70c-17a3ffb2e8b0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28951E16</paraID>
      <start>12</start>
      <end>13</end>
      <status>ignored</status>
      <modifiedWord/>
      <trackRevisions>false</trackRevisions>
    </reviewItem>
    <reviewItem>
      <errorID>b963e123-695d-4fe7-a4c8-559eb38312b9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3A82D05C</paraID>
      <start>12</start>
      <end>13</end>
      <status>ignored</status>
      <modifiedWord/>
      <trackRevisions>false</trackRevisions>
    </reviewItem>
    <reviewItem>
      <errorID>7413dac3-37ae-4630-b335-bf12ccd7090b</errorID>
      <errorWord>士壤污染</errorWord>
      <group>L1_Word</group>
      <groupName>字词问题</groupName>
      <ability>L2_Typo</ability>
      <abilityName>字词错误</abilityName>
      <candidateList>
        <item>土壤污染</item>
      </candidateList>
      <explain/>
      <paraID>3A82D05C</paraID>
      <start>26</start>
      <end>30</end>
      <status>modified</status>
      <modifiedWord>土壤污染</modifiedWord>
      <trackRevisions>false</trackRevisions>
    </reviewItem>
    <reviewItem>
      <errorID>05d9dc70-7109-4ddb-9d3e-d74652bef258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5BDDD43F</paraID>
      <start>17</start>
      <end>18</end>
      <status>ignored</status>
      <modifiedWord/>
      <trackRevisions>false</trackRevisions>
    </reviewItem>
    <reviewItem>
      <errorID>4750c79d-6768-407e-855c-449a17ca16c4</errorID>
      <errorWord>;</errorWord>
      <group>L1_Format</group>
      <groupName>格式问题</groupName>
      <ability>L2_HalfPunc_CN</ability>
      <abilityName/>
      <candidateList>
        <item>；</item>
      </candidateList>
      <explain>文本全半角错误。</explain>
      <paraID>27B2A440</paraID>
      <start>16</start>
      <end>17</end>
      <status>ignored</status>
      <modifiedWord/>
      <trackRevisions>false</trackRevisions>
    </reviewItem>
    <reviewItem>
      <errorID>228804d8-345b-40e0-b876-a072aadab4b4</errorID>
      <errorWord>;</errorWord>
      <group>L1_Format</group>
      <groupName>格式问题</groupName>
      <ability>L2_HalfPunc_CN</ability>
      <abilityName/>
      <candidateList>
        <item>；</item>
      </candidateList>
      <explain>文本全半角错误。</explain>
      <paraID>61E1BF79</paraID>
      <start>22</start>
      <end>23</end>
      <status>ignored</status>
      <modifiedWord/>
      <trackRevisions>false</trackRevisions>
    </reviewItem>
    <reviewItem>
      <errorID>448d0dcb-dbf9-4bda-99c1-44d0cadb16c3</errorID>
      <errorWord>;</errorWord>
      <group>L1_Format</group>
      <groupName>格式问题</groupName>
      <ability>L2_HalfPunc_CN</ability>
      <abilityName/>
      <candidateList>
        <item>；</item>
      </candidateList>
      <explain>文本全半角错误。</explain>
      <paraID>6ED8E2EA</paraID>
      <start>22</start>
      <end>23</end>
      <status>ignored</status>
      <modifiedWord/>
      <trackRevisions>false</trackRevisions>
    </reviewItem>
    <reviewItem>
      <errorID>e3ac3824-3cdc-4b29-9816-eac376129d68</errorID>
      <errorWord>;</errorWord>
      <group>L1_Format</group>
      <groupName>格式问题</groupName>
      <ability>L2_HalfPunc_CN</ability>
      <abilityName/>
      <candidateList>
        <item>；</item>
      </candidateList>
      <explain>文本全半角错误。</explain>
      <paraID>519721A4</paraID>
      <start>22</start>
      <end>23</end>
      <status>ignored</status>
      <modifiedWord/>
      <trackRevisions>false</trackRevisions>
    </reviewItem>
    <reviewItem>
      <errorID>79d1d5ab-c2da-4372-83f7-526f94529786</errorID>
      <errorWord>;</errorWord>
      <group>L1_Format</group>
      <groupName>格式问题</groupName>
      <ability>L2_HalfPunc_CN</ability>
      <abilityName/>
      <candidateList>
        <item>；</item>
      </candidateList>
      <explain>文本全半角错误。</explain>
      <paraID>5454D339</paraID>
      <start>30</start>
      <end>31</end>
      <status>ignored</status>
      <modifiedWord/>
      <trackRevisions>false</trackRevisions>
    </reviewItem>
    <reviewItem>
      <errorID>8c9763e7-99a1-41f7-8cec-56c380a88b2a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4D067161</paraID>
      <start>10</start>
      <end>13</end>
      <status>ignored</status>
      <modifiedWord/>
      <trackRevisions>false</trackRevisions>
    </reviewItem>
    <reviewItem>
      <errorID>9b2adb57-ec1f-466e-9b5d-f6b72ded9578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3C7CF89E</paraID>
      <start>33</start>
      <end>36</end>
      <status>ignored</status>
      <modifiedWord/>
      <trackRevisions>false</trackRevisions>
    </reviewItem>
    <reviewItem>
      <errorID>26d3de58-8ab2-4b86-ab38-f5e1e4b7767d</errorID>
      <errorWord>/）</errorWord>
      <group>L1_Punc</group>
      <groupName>标点问题</groupName>
      <ability>L2_Punc_CN</ability>
      <abilityName/>
      <candidateList>
        <item>）</item>
      </candidateList>
      <explain/>
      <paraID>3C7CF89E</paraID>
      <start>66</start>
      <end>68</end>
      <status>ignored</status>
      <modifiedWord/>
      <trackRevisions>false</trackRevisions>
    </reviewItem>
    <reviewItem>
      <errorID>792e9975-97be-4126-ae22-c16a46d325f9</errorID>
      <errorWord>/）</errorWord>
      <group>L1_Punc</group>
      <groupName>标点问题</groupName>
      <ability>L2_Punc_CN</ability>
      <abilityName/>
      <candidateList>
        <item>）</item>
      </candidateList>
      <explain/>
      <paraID>  CEA8DE</paraID>
      <start>38</start>
      <end>40</end>
      <status>ignored</status>
      <modifiedWord/>
      <trackRevisions>false</trackRevisions>
    </reviewItem>
    <reviewItem>
      <errorID>dff9f275-c419-4bc9-a0c5-595ee10be4b3</errorID>
      <errorWord>/；</errorWord>
      <group>L1_Punc</group>
      <groupName>标点问题</groupName>
      <ability>L2_Punc_CN</ability>
      <abilityName/>
      <candidateList>
        <item>/</item>
      </candidateList>
      <explain/>
      <paraID>4C555C68</paraID>
      <start>37</start>
      <end>39</end>
      <status>ignored</status>
      <modifiedWord/>
      <trackRevisions>false</trackRevisions>
    </reviewItem>
    <reviewItem>
      <errorID>bb1f0892-0169-4120-b1a2-02dc6f7b661e</errorID>
      <errorWord>未有</errorWord>
      <group>L1_Word</group>
      <groupName>字词问题</groupName>
      <ability>L2_Typo</ability>
      <abilityName>字词错误</abilityName>
      <candidateList>
        <item>未</item>
      </candidateList>
      <explain>〈副〉❶没（跟“已”相对）：尚～成年｜健康仍～恢复。❷不：～便｜～敢苟同｜～可厚非。</explain>
      <paraID>69562C42</paraID>
      <start>144</start>
      <end>146</end>
      <status>ignored</status>
      <modifiedWord/>
      <trackRevisions>false</trackRevisions>
    </reviewItem>
    <reviewItem>
      <errorID>d4abddff-1599-4c82-8bac-5442d7d3900f</errorID>
      <errorWord>履约合同</errorWord>
      <group>L1_Word</group>
      <groupName>字词问题</groupName>
      <ability>L2_Typo</ability>
      <abilityName>字词错误</abilityName>
      <candidateList>
        <item>履行合同</item>
      </candidateList>
      <explain/>
      <paraID>3A1ECABF</paraID>
      <start>10</start>
      <end>14</end>
      <status>ignored</status>
      <modifiedWord/>
      <trackRevisions>false</trackRevisions>
    </reviewItem>
    <reviewItem>
      <errorID>ba925bee-cc4b-43bd-9b08-766d66723c4b</errorID>
      <errorWord>日</errorWord>
      <group>L1_Word</group>
      <groupName>字词问题</groupName>
      <ability>L2_Typo</ability>
      <abilityName>字词错误</abilityName>
      <candidateList>
        <item>日内</item>
      </candidateList>
      <explain/>
      <paraID>3A1ECABF</paraID>
      <start>51</start>
      <end>52</end>
      <status>ignored</status>
      <modifiedWord/>
      <trackRevisions>false</trackRevisions>
    </reviewItem>
    <reviewItem>
      <errorID>42eb5beb-8ff4-4ad5-bb29-afdc15f34386</errorID>
      <errorWord>登陆</errorWord>
      <group>L1_Word</group>
      <groupName>字词问题</groupName>
      <ability>L2_Typo</ability>
      <abilityName>字词错误</abilityName>
      <candidateList>
        <item>登录</item>
      </candidateList>
      <explain>〈动〉❶登记：～在案。❷注册▲。</explain>
      <paraID>669D64C5</paraID>
      <start>85</start>
      <end>87</end>
      <status>ignored</status>
      <modifiedWord/>
      <trackRevisions>false</trackRevisions>
    </reviewItem>
    <reviewItem>
      <errorID>bbefc777-d99a-4e96-87e5-08d16a255975</errorID>
      <errorWord>-</errorWord>
      <group>L1_Format</group>
      <groupName>格式问题</groupName>
      <ability>L2_HalfPunc_CN</ability>
      <abilityName/>
      <candidateList>
        <item>－</item>
      </candidateList>
      <explain>文本全半角错误。</explain>
      <paraID>669D64C5</paraID>
      <start>99</start>
      <end>100</end>
      <status>ignored</status>
      <modifiedWord/>
      <trackRevisions>false</trackRevisions>
    </reviewItem>
    <reviewItem>
      <errorID>d4a38db4-669b-42c1-8add-4decd244f79a</errorID>
      <errorWord>:</errorWord>
      <group>L1_Format</group>
      <groupName>格式问题</groupName>
      <ability>L2_HalfPunc_CN</ability>
      <abilityName/>
      <candidateList>
        <item>：</item>
      </candidateList>
      <explain>文本全半角错误。</explain>
      <paraID>4C398DA6</paraID>
      <start>2</start>
      <end>3</end>
      <status>ignored</status>
      <modifiedWord/>
      <trackRevisions>false</trackRevisions>
    </reviewItem>
    <reviewItem>
      <errorID>4eb4d2ab-14d2-422e-b2b2-ebaf455f21ef</errorID>
      <errorWord>、以及</errorWord>
      <group>L1_Punc</group>
      <groupName>标点问题</groupName>
      <ability>L2_Punc_CN</ability>
      <abilityName/>
      <candidateList>
        <item>，以及</item>
      </candidateList>
      <explain>连接词前后不宜使用顿号，建议使用逗号。</explain>
      <paraID>7663985D</paraID>
      <start>76</start>
      <end>79</end>
      <status>ignored</status>
      <modifiedWord/>
      <trackRevisions>false</trackRevisions>
    </reviewItem>
    <reviewItem>
      <errorID>6dd667ef-a6b9-46df-9cc5-d0884547e8b7</errorID>
      <errorWord>“.</errorWord>
      <group>L1_Punc</group>
      <groupName>标点问题</groupName>
      <ability>L2_Punc_CN</ability>
      <abilityName/>
      <candidateList>
        <item>“</item>
      </candidateList>
      <explain/>
      <paraID> E0CF9F4</paraID>
      <start>134</start>
      <end>136</end>
      <status>ignored</status>
      <modifiedWord/>
      <trackRevisions>false</trackRevisions>
    </reviewItem>
    <reviewItem>
      <errorID>029aad25-72a3-4d82-8b63-1eeed1dfb14b</errorID>
      <errorWord>结果</errorWord>
      <group>L1_Word</group>
      <groupName>字词问题</groupName>
      <ability>L2_Typo</ability>
      <abilityName>字词错误</abilityName>
      <candidateList>
        <item>后果</item>
      </candidateList>
      <explain/>
      <paraID>5D4C66BF</paraID>
      <start>31</start>
      <end>33</end>
      <status>ignored</status>
      <modifiedWord/>
      <trackRevisions>false</trackRevisions>
    </reviewItem>
    <reviewItem>
      <errorID>5737b6fe-7ade-43f6-a022-f8723e708a23</errorID>
      <errorWord>保持通讯畅通</errorWord>
      <group>L1_Word</group>
      <groupName>字词问题</groupName>
      <ability>L2_Typo</ability>
      <abilityName>字词错误</abilityName>
      <candidateList>
        <item>保持通信畅通</item>
      </candidateList>
      <explain/>
      <paraID>2D9BABD8</paraID>
      <start>15</start>
      <end>21</end>
      <status>ignored</status>
      <modifiedWord/>
      <trackRevisions>false</trackRevisions>
    </reviewItem>
    <reviewItem>
      <errorID>07ab0069-3d8f-4014-9a3c-1f4e276317a3</errorID>
      <errorWord>规定的时间内做出</errorWord>
      <group>L1_Word</group>
      <groupName>字词问题</groupName>
      <ability>L2_Typo</ability>
      <abilityName>字词错误</abilityName>
      <candidateList>
        <item>规定的时间内作出</item>
      </candidateList>
      <explain/>
      <paraID>208A74A4</paraID>
      <start>23</start>
      <end>31</end>
      <status>ignored</status>
      <modifiedWord/>
      <trackRevisions>false</trackRevisions>
    </reviewItem>
    <reviewItem>
      <errorID>46ecc6b7-b155-462d-907e-ec3cccc2b5d8</errorID>
      <errorWord>&lt;</errorWord>
      <group>L1_Format</group>
      <groupName>格式问题</groupName>
      <ability>L2_HalfPunc_CN</ability>
      <abilityName/>
      <candidateList>
        <item>〈</item>
      </candidateList>
      <explain>文本全半角错误。</explain>
      <paraID>425D4875</paraID>
      <start>42</start>
      <end>43</end>
      <status>ignored</status>
      <modifiedWord/>
      <trackRevisions>false</trackRevisions>
    </reviewItem>
    <reviewItem>
      <errorID>65c98b26-e4d7-4a6a-94bb-f8acf7ab84d6</errorID>
      <errorWord>&lt;</errorWord>
      <group>L1_Format</group>
      <groupName>格式问题</groupName>
      <ability>L2_HalfPunc_CN</ability>
      <abilityName/>
      <candidateList>
        <item>〈</item>
      </candidateList>
      <explain>文本全半角错误。</explain>
      <paraID>647FD8B5</paraID>
      <start>42</start>
      <end>43</end>
      <status>ignored</status>
      <modifiedWord/>
      <trackRevisions>false</trackRevisions>
    </reviewItem>
    <reviewItem>
      <errorID>f66213a6-be10-4b30-bfa4-d915e8647f09</errorID>
      <errorWord>&lt;</errorWord>
      <group>L1_Format</group>
      <groupName>格式问题</groupName>
      <ability>L2_HalfPunc_CN</ability>
      <abilityName/>
      <candidateList>
        <item>〈</item>
      </candidateList>
      <explain>文本全半角错误。</explain>
      <paraID>13E57D17</paraID>
      <start>31</start>
      <end>32</end>
      <status>ignored</status>
      <modifiedWord/>
      <trackRevisions>false</trackRevisions>
    </reviewItem>
    <reviewItem>
      <errorID>31491b8d-1241-4159-9d41-f56778c28c1e</errorID>
      <errorWord>，</errorWord>
      <group>L1_Word</group>
      <groupName>字词问题</groupName>
      <ability>L2_Typo</ability>
      <abilityName>字词错误</abilityName>
      <candidateList>
        <item>，并</item>
      </candidateList>
      <explain/>
      <paraID>28FD55F7</paraID>
      <start>38</start>
      <end>39</end>
      <status>ignored</status>
      <modifiedWord/>
      <trackRevisions>false</trackRevisions>
    </reviewItem>
    <reviewItem>
      <errorID>953489a0-de63-483f-9129-b12b73c39846</errorID>
      <errorWord>、或者</errorWord>
      <group>L1_Word</group>
      <groupName>字词问题</groupName>
      <ability>L2_Typo</ability>
      <abilityName>字词错误</abilityName>
      <candidateList>
        <item>，或者</item>
      </candidateList>
      <explain/>
      <paraID>70023E2C</paraID>
      <start>58</start>
      <end>61</end>
      <status>ignored</status>
      <modifiedWord/>
      <trackRevisions>false</trackRevisions>
    </reviewItem>
    <reviewItem>
      <errorID>f1b79c70-7936-4f8d-b1f0-0feb67d1e63a</errorID>
      <errorWord>５</errorWord>
      <group>L1_Format</group>
      <groupName>格式问题</groupName>
      <ability>L2_HalfPunc_CN</ability>
      <abilityName/>
      <candidateList>
        <item>5</item>
      </candidateList>
      <explain>文本全半角错误。</explain>
      <paraID>685CA5CA</paraID>
      <start>49</start>
      <end>50</end>
      <status>ignored</status>
      <modifiedWord/>
      <trackRevisions>false</trackRevisions>
    </reviewItem>
    <reviewItem>
      <errorID>71c22b85-2652-4bc2-97bc-3bced37a603c</errorID>
      <errorWord>须</errorWord>
      <group>L1_Word</group>
      <groupName>字词问题</groupName>
      <ability>L2_Typo</ability>
      <abilityName>字词错误</abilityName>
      <candidateList>
        <item>需</item>
      </candidateList>
      <explain>存在发音相同字词的误用。</explain>
      <paraID>39B92668</paraID>
      <start>38</start>
      <end>39</end>
      <status>ignored</status>
      <modifiedWord/>
      <trackRevisions>false</trackRevisions>
    </reviewItem>
    <reviewItem>
      <errorID>9d3e2f1b-16d0-498a-8244-762164390610</errorID>
      <errorWord>（</errorWord>
      <group>L1_Punc</group>
      <groupName>标点问题</groupName>
      <ability>L2_Punc_CN</ability>
      <abilityName/>
      <candidateList/>
      <explain>同一形式括号套用。</explain>
      <paraID>256B112D</paraID>
      <start>54</start>
      <end>55</end>
      <status>ignored</status>
      <modifiedWord/>
      <trackRevisions>false</trackRevisions>
    </reviewItem>
    <reviewItem>
      <errorID>20bdfb02-2464-470b-8a8a-4b06b46d170a</errorID>
      <errorWord>）</errorWord>
      <group>L1_Punc</group>
      <groupName>标点问题</groupName>
      <ability>L2_Punc_CN</ability>
      <abilityName/>
      <candidateList/>
      <explain>同一形式括号套用。</explain>
      <paraID>256B112D</paraID>
      <start>59</start>
      <end>60</end>
      <status>ignored</status>
      <modifiedWord/>
      <trackRevisions>false</trackRevisions>
    </reviewItem>
    <reviewItem>
      <errorID>b856b86d-bfb3-4b5d-88d5-34043d1e3bb9</errorID>
      <errorWord>(</errorWord>
      <group>L1_Format</group>
      <groupName>格式问题</groupName>
      <ability>L2_HalfPunc_CN</ability>
      <abilityName/>
      <candidateList>
        <item>（</item>
      </candidateList>
      <explain>文本全半角错误。</explain>
      <paraID>724BD602</paraID>
      <start>93</start>
      <end>94</end>
      <status>ignored</status>
      <modifiedWord/>
      <trackRevisions>false</trackRevisions>
    </reviewItem>
    <reviewItem>
      <errorID>fedbdc93-bf1f-4810-a9fd-c3cc8c1108d5</errorID>
      <errorWord>)</errorWord>
      <group>L1_Format</group>
      <groupName>格式问题</groupName>
      <ability>L2_HalfPunc_CN</ability>
      <abilityName/>
      <candidateList>
        <item>）</item>
      </candidateList>
      <explain>文本全半角错误。</explain>
      <paraID>724BD602</paraID>
      <start>98</start>
      <end>99</end>
      <status>ignored</status>
      <modifiedWord/>
      <trackRevisions>false</trackRevisions>
    </reviewItem>
    <reviewItem>
      <errorID>41e3b5a7-cfef-4ddf-bd95-fef7a3e0e752</errorID>
      <errorWord>(</errorWord>
      <group>L1_Format</group>
      <groupName>格式问题</groupName>
      <ability>L2_HalfPunc_CN</ability>
      <abilityName/>
      <candidateList>
        <item>（</item>
      </candidateList>
      <explain>文本全半角错误。</explain>
      <paraID>44E5F786</paraID>
      <start>40</start>
      <end>41</end>
      <status>ignored</status>
      <modifiedWord/>
      <trackRevisions>false</trackRevisions>
    </reviewItem>
    <reviewItem>
      <errorID>fb8c0db1-8399-4a0b-b58f-e86d694d0bd1</errorID>
      <errorWord>)</errorWord>
      <group>L1_Format</group>
      <groupName>格式问题</groupName>
      <ability>L2_HalfPunc_CN</ability>
      <abilityName/>
      <candidateList>
        <item>）</item>
      </candidateList>
      <explain>文本全半角错误。</explain>
      <paraID>44E5F786</paraID>
      <start>50</start>
      <end>51</end>
      <status>ignored</status>
      <modifiedWord/>
      <trackRevisions>false</trackRevisions>
    </reviewItem>
    <reviewItem>
      <errorID>25b14ba3-4936-4416-9b12-3b84f7b9052d</errorID>
      <errorWord>法律、法规</errorWord>
      <group>L1_Word</group>
      <groupName>字词问题</groupName>
      <ability>L2_Typo</ability>
      <abilityName>字词错误</abilityName>
      <candidateList>
        <item>法律法规</item>
      </candidateList>
      <explain/>
      <paraID>67CFC30A</paraID>
      <start>9</start>
      <end>14</end>
      <status>ignored</status>
      <modifiedWord/>
      <trackRevisions>false</trackRevisions>
    </reviewItem>
    <reviewItem>
      <errorID>23a84904-9270-49c2-bc25-8ece03a3a800</errorID>
      <errorWord>国家发改委</errorWord>
      <group>L1_Knowledge</group>
      <groupName>知识性问题</groupName>
      <ability>L2_Knowledge</ability>
      <abilityName>其他知识</abilityName>
      <candidateList>
        <item>国家发展改革委</item>
      </candidateList>
      <explain/>
      <paraID>4D29E541</paraID>
      <start>18</start>
      <end>23</end>
      <status>ignored</status>
      <modifiedWord/>
      <trackRevisions>false</trackRevisions>
    </reviewItem>
    <reviewItem>
      <errorID>ef25c5c0-5528-48e3-88a7-ee9fe3deec15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4D29E541</paraID>
      <start>41</start>
      <end>44</end>
      <status>ignored</status>
      <modifiedWord/>
      <trackRevisions>false</trackRevisions>
    </reviewItem>
    <reviewItem>
      <errorID>5a629305-0a1a-4126-bddf-6e3f779d6000</errorID>
      <errorWord>,</errorWord>
      <group>L1_Format</group>
      <groupName>格式问题</groupName>
      <ability>L2_HalfPunc_CN</ability>
      <abilityName/>
      <candidateList>
        <item>，</item>
      </candidateList>
      <explain>文本全半角错误。</explain>
      <paraID>78A25177</paraID>
      <start>21</start>
      <end>22</end>
      <status>ignored</status>
      <modifiedWord/>
      <trackRevisions>false</trackRevisions>
    </reviewItem>
    <reviewItem>
      <errorID>b87ec656-2595-465f-ad35-c75830a0a946</errorID>
      <errorWord>法律、法规</errorWord>
      <group>L1_Word</group>
      <groupName>字词问题</groupName>
      <ability>L2_Typo</ability>
      <abilityName>字词错误</abilityName>
      <candidateList>
        <item>法律法规</item>
      </candidateList>
      <explain/>
      <paraID>55C676D9</paraID>
      <start>8</start>
      <end>13</end>
      <status>ignored</status>
      <modifiedWord/>
      <trackRevisions>false</trackRevisions>
    </reviewItem>
    <reviewItem>
      <errorID>2e014b67-cb50-499b-9388-5b0931442349</errorID>
      <errorWord>属</errorWord>
      <group>L1_Word</group>
      <groupName>字词问题</groupName>
      <ability>L2_Typo</ability>
      <abilityName>字词错误</abilityName>
      <candidateList>
        <item>属于</item>
      </candidateList>
      <explain/>
      <paraID>55C676D9</paraID>
      <start>22</start>
      <end>23</end>
      <status>ignored</status>
      <modifiedWord/>
      <trackRevisions>false</trackRevisions>
    </reviewItem>
    <reviewItem>
      <errorID>9d33c832-6a93-4517-9719-3363e1d6b4ce</errorID>
      <errorWord>(</errorWord>
      <group>L1_Format</group>
      <groupName>格式问题</groupName>
      <ability>L2_HalfPunc_CN</ability>
      <abilityName/>
      <candidateList>
        <item>（</item>
      </candidateList>
      <explain>文本全半角错误。</explain>
      <paraID>47E00119</paraID>
      <start>2</start>
      <end>3</end>
      <status>ignored</status>
      <modifiedWord/>
      <trackRevisions>false</trackRevisions>
    </reviewItem>
    <reviewItem>
      <errorID>15ae987e-4de8-4f7e-9672-3e422bc6d826</errorID>
      <errorWord>)</errorWord>
      <group>L1_Format</group>
      <groupName>格式问题</groupName>
      <ability>L2_HalfPunc_CN</ability>
      <abilityName/>
      <candidateList>
        <item>）</item>
      </candidateList>
      <explain>文本全半角错误。</explain>
      <paraID>47E00119</paraID>
      <start>5</start>
      <end>6</end>
      <status>ignored</status>
      <modifiedWord/>
      <trackRevisions>false</trackRevisions>
    </reviewItem>
    <reviewItem>
      <errorID>b173c633-15d4-43df-af64-c90549373c58</errorID>
      <errorWord>,</errorWord>
      <group>L1_Format</group>
      <groupName>格式问题</groupName>
      <ability>L2_HalfPunc_CN</ability>
      <abilityName/>
      <candidateList>
        <item>，</item>
      </candidateList>
      <explain>文本全半角错误。</explain>
      <paraID>3211068C</paraID>
      <start>11</start>
      <end>12</end>
      <status>ignored</status>
      <modifiedWord/>
      <trackRevisions>false</trackRevisions>
    </reviewItem>
    <reviewItem>
      <errorID>9d714ae9-ee84-4c34-8b26-2776b8b17d5f</errorID>
      <errorWord>,</errorWord>
      <group>L1_Format</group>
      <groupName>格式问题</groupName>
      <ability>L2_HalfPunc_CN</ability>
      <abilityName/>
      <candidateList>
        <item>，</item>
      </candidateList>
      <explain>文本全半角错误。</explain>
      <paraID>55FA854F</paraID>
      <start>11</start>
      <end>12</end>
      <status>ignored</status>
      <modifiedWord/>
      <trackRevisions>false</trackRevisions>
    </reviewItem>
    <reviewItem>
      <errorID>42a965e7-7042-47bb-ac84-a5bcc0ab02d3</errorID>
      <errorWord>:</errorWord>
      <group>L1_Format</group>
      <groupName>格式问题</groupName>
      <ability>L2_HalfPunc_CN</ability>
      <abilityName/>
      <candidateList>
        <item>：</item>
      </candidateList>
      <explain>文本全半角错误。</explain>
      <paraID>11C3EF7F</paraID>
      <start>6</start>
      <end>7</end>
      <status>ignored</status>
      <modifiedWord/>
      <trackRevisions>false</trackRevisions>
    </reviewItem>
    <reviewItem>
      <errorID>8b31085a-3875-4b0a-aee1-687a90811cfc</errorID>
      <errorWord>:</errorWord>
      <group>L1_Format</group>
      <groupName>格式问题</groupName>
      <ability>L2_HalfPunc_CN</ability>
      <abilityName/>
      <candidateList>
        <item>：</item>
      </candidateList>
      <explain>文本全半角错误。</explain>
      <paraID>294670FA</paraID>
      <start>6</start>
      <end>7</end>
      <status>ignored</status>
      <modifiedWord/>
      <trackRevisions>false</trackRevisions>
    </reviewItem>
    <reviewItem>
      <errorID>3b0b9ff8-6e8a-4758-9940-1bce4c2993e5</errorID>
      <errorWord>,</errorWord>
      <group>L1_Format</group>
      <groupName>格式问题</groupName>
      <ability>L2_HalfPunc_CN</ability>
      <abilityName/>
      <candidateList>
        <item>，</item>
      </candidateList>
      <explain>文本全半角错误。</explain>
      <paraID>384A0F44</paraID>
      <start>7</start>
      <end>8</end>
      <status>ignored</status>
      <modifiedWord/>
      <trackRevisions>false</trackRevisions>
    </reviewItem>
    <reviewItem>
      <errorID>45773361-122e-41b3-aa5e-f3511fb5afb6</errorID>
      <errorWord>,</errorWord>
      <group>L1_Format</group>
      <groupName>格式问题</groupName>
      <ability>L2_HalfPunc_CN</ability>
      <abilityName/>
      <candidateList>
        <item>，</item>
      </candidateList>
      <explain>文本全半角错误。</explain>
      <paraID>5CF1A8B1</paraID>
      <start>12</start>
      <end>13</end>
      <status>ignored</status>
      <modifiedWord/>
      <trackRevisions>false</trackRevisions>
    </reviewItem>
    <reviewItem>
      <errorID>f7dd2e96-028c-446d-8bab-6f2a6c72816e</errorID>
      <errorWord>(</errorWord>
      <group>L1_Format</group>
      <groupName>格式问题</groupName>
      <ability>L2_HalfPunc_CN</ability>
      <abilityName/>
      <candidateList>
        <item>（</item>
      </candidateList>
      <explain>文本全半角错误。</explain>
      <paraID>6E3D32D8</paraID>
      <start>2</start>
      <end>3</end>
      <status>ignored</status>
      <modifiedWord/>
      <trackRevisions>false</trackRevisions>
    </reviewItem>
    <reviewItem>
      <errorID>44d11898-baa1-435f-ba4e-c294eca65a36</errorID>
      <errorWord>)</errorWord>
      <group>L1_Format</group>
      <groupName>格式问题</groupName>
      <ability>L2_HalfPunc_CN</ability>
      <abilityName/>
      <candidateList>
        <item>）</item>
      </candidateList>
      <explain>文本全半角错误。</explain>
      <paraID>6E3D32D8</paraID>
      <start>5</start>
      <end>6</end>
      <status>ignored</status>
      <modifiedWord/>
      <trackRevisions>false</trackRevisions>
    </reviewItem>
    <reviewItem>
      <errorID>e06a0c98-4f58-4ab4-a895-a9fc43bf444b</errorID>
      <errorWord>-</errorWord>
      <group>L1_Format</group>
      <groupName>格式问题</groupName>
      <ability>L2_HalfPunc_CN</ability>
      <abilityName/>
      <candidateList>
        <item>－</item>
      </candidateList>
      <explain>文本全半角错误。</explain>
      <paraID>17A31632</paraID>
      <start>67</start>
      <end>68</end>
      <status>ignored</status>
      <modifiedWord/>
      <trackRevisions>false</trackRevisions>
    </reviewItem>
    <reviewItem>
      <errorID>d6be1bc4-a08c-47a9-b801-a19c5f92e634</errorID>
      <errorWord>-</errorWord>
      <group>L1_Format</group>
      <groupName>格式问题</groupName>
      <ability>L2_HalfPunc_CN</ability>
      <abilityName/>
      <candidateList>
        <item>－</item>
      </candidateList>
      <explain>文本全半角错误。</explain>
      <paraID>17A31632</paraID>
      <start>75</start>
      <end>76</end>
      <status>ignored</status>
      <modifiedWord/>
      <trackRevisions>false</trackRevisions>
    </reviewItem>
    <reviewItem>
      <errorID>e01ef37c-4078-4b4e-8d87-08ea1ed3b120</errorID>
      <errorWord>（</errorWord>
      <group>L1_Punc</group>
      <groupName>标点问题</groupName>
      <ability>L2_Punc_CN</ability>
      <abilityName/>
      <candidateList/>
      <explain>同一形式括号套用。</explain>
      <paraID>19443980</paraID>
      <start>83</start>
      <end>84</end>
      <status>ignored</status>
      <modifiedWord/>
      <trackRevisions>false</trackRevisions>
    </reviewItem>
    <reviewItem>
      <errorID>9685bf31-96c6-49a0-bd9f-1b1b5844ddb5</errorID>
      <errorWord>）</errorWord>
      <group>L1_Punc</group>
      <groupName>标点问题</groupName>
      <ability>L2_Punc_CN</ability>
      <abilityName/>
      <candidateList/>
      <explain>同一形式括号套用。</explain>
      <paraID>19443980</paraID>
      <start>85</start>
      <end>86</end>
      <status>ignored</status>
      <modifiedWord/>
      <trackRevisions>false</trackRevisions>
    </reviewItem>
    <reviewItem>
      <errorID>c46bb246-0ac7-4781-a8dc-f95a47db4a9b</errorID>
      <errorWord>~</errorWord>
      <group>L1_Format</group>
      <groupName>格式问题</groupName>
      <ability>L2_HalfPunc_CN</ability>
      <abilityName/>
      <candidateList>
        <item>～</item>
      </candidateList>
      <explain>文本全半角错误。</explain>
      <paraID>19443980</paraID>
      <start>103</start>
      <end>104</end>
      <status>modified</status>
      <modifiedWord>～</modifiedWord>
      <trackRevisions>false</trackRevisions>
    </reviewItem>
    <reviewItem>
      <errorID>f725fc77-ee11-402b-8c20-94f6139fc847</errorID>
      <errorWord>（</errorWord>
      <group>L1_Punc</group>
      <groupName>标点问题</groupName>
      <ability>L2_Punc_CN</ability>
      <abilityName/>
      <candidateList/>
      <explain>同一形式括号套用。</explain>
      <paraID>19443980</paraID>
      <start>110</start>
      <end>111</end>
      <status>ignored</status>
      <modifiedWord/>
      <trackRevisions>false</trackRevisions>
    </reviewItem>
    <reviewItem>
      <errorID>df037fd2-9842-4275-bd93-58969ee1d477</errorID>
      <errorWord>）</errorWord>
      <group>L1_Punc</group>
      <groupName>标点问题</groupName>
      <ability>L2_Punc_CN</ability>
      <abilityName/>
      <candidateList/>
      <explain>同一形式括号套用。</explain>
      <paraID>19443980</paraID>
      <start>112</start>
      <end>113</end>
      <status>ignored</status>
      <modifiedWord/>
      <trackRevisions>false</trackRevisions>
    </reviewItem>
    <reviewItem>
      <errorID>fdfd4336-cb24-4e2d-99e2-d54857d9b003</errorID>
      <errorWord>~</errorWord>
      <group>L1_Format</group>
      <groupName>格式问题</groupName>
      <ability>L2_HalfPunc_CN</ability>
      <abilityName/>
      <candidateList>
        <item>～</item>
      </candidateList>
      <explain>文本全半角错误。</explain>
      <paraID>19443980</paraID>
      <start>129</start>
      <end>130</end>
      <status>ignored</status>
      <modifiedWord/>
      <trackRevisions>false</trackRevisions>
    </reviewItem>
    <reviewItem>
      <errorID>12e44a1c-e07a-449d-8b42-6611d0e32d0d</errorID>
      <errorWord>（</errorWord>
      <group>L1_Punc</group>
      <groupName>标点问题</groupName>
      <ability>L2_Punc_CN</ability>
      <abilityName/>
      <candidateList/>
      <explain>同一形式括号套用。</explain>
      <paraID>19443980</paraID>
      <start>137</start>
      <end>138</end>
      <status>unmodified</status>
      <modifiedWord/>
      <trackRevisions>false</trackRevisions>
    </reviewItem>
    <reviewItem>
      <errorID>4267afc7-ac72-414a-969b-d6d19a15146d</errorID>
      <errorWord>）</errorWord>
      <group>L1_Punc</group>
      <groupName>标点问题</groupName>
      <ability>L2_Punc_CN</ability>
      <abilityName/>
      <candidateList/>
      <explain>同一形式括号套用。</explain>
      <paraID>19443980</paraID>
      <start>139</start>
      <end>140</end>
      <status>unmodified</status>
      <modifiedWord/>
      <trackRevisions>false</trackRevisions>
    </reviewItem>
    <reviewItem>
      <errorID>81c34863-8bde-468b-8432-c3b6cad6cae1</errorID>
      <errorWord>,</errorWord>
      <group>L1_Format</group>
      <groupName>格式问题</groupName>
      <ability>L2_HalfPunc_CN</ability>
      <abilityName/>
      <candidateList>
        <item>，</item>
      </candidateList>
      <explain>文本全半角错误。</explain>
      <paraID>19443980</paraID>
      <start>142</start>
      <end>143</end>
      <status>unmodified</status>
      <modifiedWord/>
      <trackRevisions>false</trackRevisions>
    </reviewItem>
    <reviewItem>
      <errorID>7595ebfd-7ce3-4e22-b043-2ed253d66ce2</errorID>
      <errorWord>~</errorWord>
      <group>L1_Format</group>
      <groupName>格式问题</groupName>
      <ability>L2_HalfPunc_CN</ability>
      <abilityName/>
      <candidateList>
        <item>～</item>
      </candidateList>
      <explain>文本全半角错误。</explain>
      <paraID>19443980</paraID>
      <start>157</start>
      <end>158</end>
      <status>unmodified</status>
      <modifiedWord/>
      <trackRevisions>false</trackRevisions>
    </reviewItem>
    <reviewItem>
      <errorID>30483a69-ff5b-4c21-8f81-d7bfc3f36615</errorID>
      <errorWord>（</errorWord>
      <group>L1_Punc</group>
      <groupName>标点问题</groupName>
      <ability>L2_Punc_CN</ability>
      <abilityName/>
      <candidateList/>
      <explain>同一形式括号套用。</explain>
      <paraID>19443980</paraID>
      <start>165</start>
      <end>166</end>
      <status>unmodified</status>
      <modifiedWord/>
      <trackRevisions>false</trackRevisions>
    </reviewItem>
    <reviewItem>
      <errorID>a4b2a620-6005-4c37-a361-be388dbce645</errorID>
      <errorWord>）</errorWord>
      <group>L1_Punc</group>
      <groupName>标点问题</groupName>
      <ability>L2_Punc_CN</ability>
      <abilityName/>
      <candidateList/>
      <explain>同一形式括号套用。</explain>
      <paraID>19443980</paraID>
      <start>167</start>
      <end>168</end>
      <status>unmodified</status>
      <modifiedWord/>
      <trackRevisions>false</trackRevisions>
    </reviewItem>
    <reviewItem>
      <errorID>a54415b2-d047-4111-b864-64d58a0f433e</errorID>
      <errorWord>,</errorWord>
      <group>L1_Format</group>
      <groupName>格式问题</groupName>
      <ability>L2_HalfPunc_CN</ability>
      <abilityName/>
      <candidateList>
        <item>，</item>
      </candidateList>
      <explain>文本全半角错误。</explain>
      <paraID>19443980</paraID>
      <start>170</start>
      <end>171</end>
      <status>unmodified</status>
      <modifiedWord/>
      <trackRevisions>false</trackRevisions>
    </reviewItem>
    <reviewItem>
      <errorID>31ffb8b2-8957-4206-8715-f75903fb2e6a</errorID>
      <errorWord>~</errorWord>
      <group>L1_Format</group>
      <groupName>格式问题</groupName>
      <ability>L2_HalfPunc_CN</ability>
      <abilityName/>
      <candidateList>
        <item>～</item>
      </candidateList>
      <explain>文本全半角错误。</explain>
      <paraID>19443980</paraID>
      <start>185</start>
      <end>186</end>
      <status>unmodified</status>
      <modifiedWord/>
      <trackRevisions>false</trackRevisions>
    </reviewItem>
    <reviewItem>
      <errorID>9754c547-1336-48bf-8eeb-638d42a55e89</errorID>
      <errorWord>（</errorWord>
      <group>L1_Punc</group>
      <groupName>标点问题</groupName>
      <ability>L2_Punc_CN</ability>
      <abilityName/>
      <candidateList/>
      <explain>同一形式括号套用。</explain>
      <paraID>19443980</paraID>
      <start>189</start>
      <end>190</end>
      <status>unmodified</status>
      <modifiedWord/>
      <trackRevisions>false</trackRevisions>
    </reviewItem>
    <reviewItem>
      <errorID>89ae5975-ab62-43b5-ba0c-e5c2a3e79d8b</errorID>
      <errorWord>）</errorWord>
      <group>L1_Punc</group>
      <groupName>标点问题</groupName>
      <ability>L2_Punc_CN</ability>
      <abilityName/>
      <candidateList/>
      <explain>同一形式括号套用。</explain>
      <paraID>19443980</paraID>
      <start>191</start>
      <end>192</end>
      <status>unmodified</status>
      <modifiedWord/>
      <trackRevisions>false</trackRevisions>
    </reviewItem>
    <reviewItem>
      <errorID>6fe6ecf7-27b9-43fb-b154-f93ec0bb7d99</errorID>
      <errorWord>,</errorWord>
      <group>L1_Format</group>
      <groupName>格式问题</groupName>
      <ability>L2_HalfPunc_CN</ability>
      <abilityName/>
      <candidateList>
        <item>，</item>
      </candidateList>
      <explain>文本全半角错误。</explain>
      <paraID>19443980</paraID>
      <start>194</start>
      <end>195</end>
      <status>unmodified</status>
      <modifiedWord/>
      <trackRevisions>false</trackRevisions>
    </reviewItem>
    <reviewItem>
      <errorID>9c13227e-b037-47d0-b7f4-5661c7cfb4bb</errorID>
      <errorWord>~</errorWord>
      <group>L1_Format</group>
      <groupName>格式问题</groupName>
      <ability>L2_HalfPunc_CN</ability>
      <abilityName/>
      <candidateList>
        <item>～</item>
      </candidateList>
      <explain>文本全半角错误。</explain>
      <paraID>19443980</paraID>
      <start>207</start>
      <end>208</end>
      <status>unmodified</status>
      <modifiedWord/>
      <trackRevisions>false</trackRevisions>
    </reviewItem>
    <reviewItem>
      <errorID>3fdd64b0-803d-41e6-834c-d493ca161f67</errorID>
      <errorWord>（</errorWord>
      <group>L1_Punc</group>
      <groupName>标点问题</groupName>
      <ability>L2_Punc_CN</ability>
      <abilityName/>
      <candidateList/>
      <explain>同一形式括号套用。</explain>
      <paraID>19443980</paraID>
      <start>212</start>
      <end>213</end>
      <status>unmodified</status>
      <modifiedWord/>
      <trackRevisions>false</trackRevisions>
    </reviewItem>
    <reviewItem>
      <errorID>d392a573-b5dc-4c75-81d9-917baa10fa77</errorID>
      <errorWord>）</errorWord>
      <group>L1_Punc</group>
      <groupName>标点问题</groupName>
      <ability>L2_Punc_CN</ability>
      <abilityName/>
      <candidateList/>
      <explain>同一形式括号套用。</explain>
      <paraID>19443980</paraID>
      <start>214</start>
      <end>215</end>
      <status>unmodified</status>
      <modifiedWord/>
      <trackRevisions>false</trackRevisions>
    </reviewItem>
    <reviewItem>
      <errorID>c86fe7d8-6537-46ca-8a78-c0b517ae17c7</errorID>
      <errorWord>,</errorWord>
      <group>L1_Format</group>
      <groupName>格式问题</groupName>
      <ability>L2_HalfPunc_CN</ability>
      <abilityName/>
      <candidateList>
        <item>，</item>
      </candidateList>
      <explain>文本全半角错误。</explain>
      <paraID>19443980</paraID>
      <start>217</start>
      <end>218</end>
      <status>unmodified</status>
      <modifiedWord/>
      <trackRevisions>false</trackRevisions>
    </reviewItem>
    <reviewItem>
      <errorID>e1916abc-3cd8-46c6-b566-91cc6e6b50ff</errorID>
      <errorWord>~</errorWord>
      <group>L1_Format</group>
      <groupName>格式问题</groupName>
      <ability>L2_HalfPunc_CN</ability>
      <abilityName/>
      <candidateList>
        <item>～</item>
      </candidateList>
      <explain>文本全半角错误。</explain>
      <paraID>19443980</paraID>
      <start>231</start>
      <end>232</end>
      <status>unmodified</status>
      <modifiedWord/>
      <trackRevisions>false</trackRevisions>
    </reviewItem>
    <reviewItem>
      <errorID>2176fcab-c289-45f2-8129-43d5e30cac9c</errorID>
      <errorWord>（</errorWord>
      <group>L1_Punc</group>
      <groupName>标点问题</groupName>
      <ability>L2_Punc_CN</ability>
      <abilityName/>
      <candidateList/>
      <explain>同一形式括号套用。</explain>
      <paraID>19443980</paraID>
      <start>236</start>
      <end>237</end>
      <status>unmodified</status>
      <modifiedWord/>
      <trackRevisions>false</trackRevisions>
    </reviewItem>
    <reviewItem>
      <errorID>1189ee9e-e81c-40a5-86b4-901251e36af8</errorID>
      <errorWord>）</errorWord>
      <group>L1_Punc</group>
      <groupName>标点问题</groupName>
      <ability>L2_Punc_CN</ability>
      <abilityName/>
      <candidateList/>
      <explain>同一形式括号套用。</explain>
      <paraID>19443980</paraID>
      <start>238</start>
      <end>239</end>
      <status>unmodified</status>
      <modifiedWord/>
      <trackRevisions>false</trackRevisions>
    </reviewItem>
    <reviewItem>
      <errorID>3d5161f4-f68a-4b94-a1b0-926ddd22c5dd</errorID>
      <errorWord>,</errorWord>
      <group>L1_Format</group>
      <groupName>格式问题</groupName>
      <ability>L2_HalfPunc_CN</ability>
      <abilityName/>
      <candidateList>
        <item>，</item>
      </candidateList>
      <explain>文本全半角错误。</explain>
      <paraID>19443980</paraID>
      <start>241</start>
      <end>242</end>
      <status>unmodified</status>
      <modifiedWord/>
      <trackRevisions>false</trackRevisions>
    </reviewItem>
    <reviewItem>
      <errorID>7c10f2d7-fca4-46b4-9ff5-0c4e5036268d</errorID>
      <errorWord>仟</errorWord>
      <group>L1_Word</group>
      <groupName>字词问题</groupName>
      <ability>L2_Typo</ability>
      <abilityName>字词错误</abilityName>
      <candidateList>
        <item>仟元</item>
      </candidateList>
      <explain/>
      <paraID>19443980</paraID>
      <start>288</start>
      <end>289</end>
      <status>ignored</status>
      <modifiedWord/>
      <trackRevisions>false</trackRevisions>
    </reviewItem>
    <reviewItem>
      <errorID>37043631-95ee-4e24-8e7b-10816df8bd1f</errorID>
      <errorWord>:</errorWord>
      <group>L1_Format</group>
      <groupName>格式问题</groupName>
      <ability>L2_HalfPunc_CN</ability>
      <abilityName/>
      <candidateList>
        <item>：</item>
      </candidateList>
      <explain>文本全半角错误。</explain>
      <paraID>6EC3D10A</paraID>
      <start>37</start>
      <end>38</end>
      <status>unmodified</status>
      <modifiedWord/>
      <trackRevisions>false</trackRevisions>
    </reviewItem>
    <reviewItem>
      <errorID>bf973ae4-9b63-41df-a0aa-4e19258f4d89</errorID>
      <errorWord>;</errorWord>
      <group>L1_Format</group>
      <groupName>格式问题</groupName>
      <ability>L2_HalfPunc_CN</ability>
      <abilityName/>
      <candidateList>
        <item>；</item>
      </candidateList>
      <explain>文本全半角错误。</explain>
      <paraID>6EC3D10A</paraID>
      <start>84</start>
      <end>85</end>
      <status>unmodified</status>
      <modifiedWord/>
      <trackRevisions>false</trackRevisions>
    </reviewItem>
    <reviewItem>
      <errorID>8fde81f0-0763-46d2-8a9e-b4246c1620b3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E5E1515</paraID>
      <start>15</start>
      <end>16</end>
      <status>unmodified</status>
      <modifiedWord/>
      <trackRevisions>false</trackRevisions>
    </reviewItem>
    <reviewItem>
      <errorID>0a6f774a-5be4-4348-a39a-6b9ad50a15e9</errorID>
      <errorWord>士壤污染</errorWord>
      <group>L1_Word</group>
      <groupName>字词问题</groupName>
      <ability>L2_Typo</ability>
      <abilityName>字词错误</abilityName>
      <candidateList>
        <item>土壤污染</item>
      </candidateList>
      <explain/>
      <paraID> E5E1515</paraID>
      <start>29</start>
      <end>33</end>
      <status>modified</status>
      <modifiedWord>土壤污染</modifiedWord>
      <trackRevisions>false</trackRevisions>
    </reviewItem>
    <reviewItem>
      <errorID>a8544714-7af0-425f-be6c-c376bbdc40a4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9BC4133</paraID>
      <start>0</start>
      <end>2</end>
      <status>ignored</status>
      <modifiedWord/>
      <trackRevisions>false</trackRevisions>
    </reviewItem>
    <reviewItem>
      <errorID>d224a8da-0167-43bd-996f-00e44d1dcb98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11D4A4BF</paraID>
      <start>0</start>
      <end>2</end>
      <status>unmodified</status>
      <modifiedWord/>
      <trackRevisions>false</trackRevisions>
    </reviewItem>
    <reviewItem>
      <errorID>fd60ba60-f84e-4f26-94aa-2fc3668fba40</errorID>
      <errorWord>(</errorWord>
      <group>L1_Format</group>
      <groupName>格式问题</groupName>
      <ability>L2_HalfPunc_CN</ability>
      <abilityName/>
      <candidateList>
        <item>（</item>
      </candidateList>
      <explain>文本全半角错误。</explain>
      <paraID>11D4A4BF</paraID>
      <start>46</start>
      <end>47</end>
      <status>unmodified</status>
      <modifiedWord/>
      <trackRevisions>false</trackRevisions>
    </reviewItem>
    <reviewItem>
      <errorID>e38674e3-b9c1-4913-8d27-3d1d8594f601</errorID>
      <errorWord>)</errorWord>
      <group>L1_Format</group>
      <groupName>格式问题</groupName>
      <ability>L2_HalfPunc_CN</ability>
      <abilityName/>
      <candidateList>
        <item>）</item>
      </candidateList>
      <explain>文本全半角错误。</explain>
      <paraID>11D4A4BF</paraID>
      <start>58</start>
      <end>59</end>
      <status>unmodified</status>
      <modifiedWord/>
      <trackRevisions>false</trackRevisions>
    </reviewItem>
    <reviewItem>
      <errorID>a1f4ef12-47d7-4102-ac2d-f28d49af31c9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75D004A3</paraID>
      <start>0</start>
      <end>2</end>
      <status>unmodified</status>
      <modifiedWord/>
      <trackRevisions>false</trackRevisions>
    </reviewItem>
    <reviewItem>
      <errorID>e42b2ff9-6017-4c17-a28f-25009b44bf5b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7211EF99</paraID>
      <start>0</start>
      <end>2</end>
      <status>unmodified</status>
      <modifiedWord/>
      <trackRevisions>false</trackRevisions>
    </reviewItem>
    <reviewItem>
      <errorID>87f44ccf-16cf-45ed-b223-19bba8f5294f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A52F8BE</paraID>
      <start>0</start>
      <end>2</end>
      <status>unmodified</status>
      <modifiedWord/>
      <trackRevisions>false</trackRevisions>
    </reviewItem>
    <reviewItem>
      <errorID>32cbc7cc-9be6-4d5a-bf53-7d3fc2416057</errorID>
      <errorWord>[2023]1号</errorWord>
      <group>L1_Knowledge</group>
      <groupName>知识性问题</groupName>
      <ability>L2_Knowledge</ability>
      <abilityName>其他知识</abilityName>
      <candidateList>
        <item>〔2023〕1号</item>
      </candidateList>
      <explain>发文字号格式错误。</explain>
      <paraID>13A63958</paraID>
      <start>85</start>
      <end>93</end>
      <status>unmodified</status>
      <modifiedWord/>
      <trackRevisions>false</trackRevisions>
    </reviewItem>
    <reviewItem>
      <errorID>1f60aece-56a5-4d1d-aa97-45665e3c0530</errorID>
      <errorWord>[2026]2号</errorWord>
      <group>L1_Knowledge</group>
      <groupName>知识性问题</groupName>
      <ability>L2_Knowledge</ability>
      <abilityName>其他知识</abilityName>
      <candidateList>
        <item>〔2026〕2号</item>
      </candidateList>
      <explain>发文字号格式错误。</explain>
      <paraID>13A63958</paraID>
      <start>228</start>
      <end>236</end>
      <status>unmodified</status>
      <modifiedWord/>
      <trackRevisions>false</trackRevisions>
    </reviewItem>
    <reviewItem>
      <errorID>4124e41c-89d5-4286-a70b-6ceb6b71817a</errorID>
      <errorWord>（</errorWord>
      <group>L1_Punc</group>
      <groupName>标点问题</groupName>
      <ability>L2_Punc_CN</ability>
      <abilityName/>
      <candidateList/>
      <explain>此处标点可能未正确匹配，请检查句子中是否存在标点冗余、缺失或使用错误的情况。</explain>
      <paraID>13A63958</paraID>
      <start>236</start>
      <end>237</end>
      <status>unmodified</status>
      <modifiedWord/>
      <trackRevisions>false</trackRevisions>
    </reviewItem>
    <reviewItem>
      <errorID>27c21736-5f2b-45e8-90ad-1f312ac74fe9</errorID>
      <errorWord>[2026]6号</errorWord>
      <group>L1_Knowledge</group>
      <groupName>知识性问题</groupName>
      <ability>L2_Knowledge</ability>
      <abilityName>其他知识</abilityName>
      <candidateList>
        <item>〔2026〕6号</item>
      </candidateList>
      <explain>发文字号格式错误。</explain>
      <paraID>13A63958</paraID>
      <start>269</start>
      <end>277</end>
      <status>unmodified</status>
      <modifiedWord/>
      <trackRevisions>false</trackRevisions>
    </reviewItem>
    <reviewItem>
      <errorID>fdfe7869-b9e0-4bf9-9eeb-e9dd4eecf051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3207246</paraID>
      <start>12</start>
      <end>13</end>
      <status>unmodified</status>
      <modifiedWord/>
      <trackRevisions>false</trackRevisions>
    </reviewItem>
    <reviewItem>
      <errorID>524e2ddd-181a-4a38-a5cb-7a212220043f</errorID>
      <errorWord>扣</errorWord>
      <group>L1_Word</group>
      <groupName>字词问题</groupName>
      <ability>L2_Typo</ability>
      <abilityName>字词错误</abilityName>
      <candidateList>
        <item>扣除</item>
      </candidateList>
      <explain/>
      <paraID>2B27BC9A</paraID>
      <start>50</start>
      <end>51</end>
      <status>unmodified</status>
      <modifiedWord/>
      <trackRevisions>false</trackRevisions>
    </reviewItem>
    <reviewItem>
      <errorID>58fd3e3e-6db5-47b8-8225-10735e72f261</errorID>
      <errorWord>士壤污染</errorWord>
      <group>L1_Word</group>
      <groupName>字词问题</groupName>
      <ability>L2_Typo</ability>
      <abilityName>字词错误</abilityName>
      <candidateList>
        <item>土壤污染</item>
      </candidateList>
      <explain/>
      <paraID>37048939</paraID>
      <start>7</start>
      <end>11</end>
      <status>modified</status>
      <modifiedWord>土壤污染</modifiedWord>
      <trackRevisions>false</trackRevisions>
    </reviewItem>
    <reviewItem>
      <errorID>b6f6b7bb-a45e-412d-a6da-10bfea0bf246</errorID>
      <errorWord>鉴定鉴定</errorWord>
      <group>L1_Word</group>
      <groupName>字词问题</groupName>
      <ability>L2_Typo</ability>
      <abilityName>字词错误</abilityName>
      <candidateList>
        <item>鉴定</item>
      </candidateList>
      <explain/>
      <paraID>37048939</paraID>
      <start>43</start>
      <end>47</end>
      <status>ignored</status>
      <modifiedWord/>
      <trackRevisions>false</trackRevisions>
    </reviewItem>
    <reviewItem>
      <errorID>dd7ee88d-f4fd-4503-b872-9266a6badf31</errorID>
      <errorWord>一切等</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67A08353</paraID>
      <start>174</start>
      <end>177</end>
      <status>unmodified</status>
      <modifiedWord/>
      <trackRevisions>false</trackRevisions>
    </reviewItem>
    <reviewItem>
      <errorID>0af40268-9f91-45a6-9949-3e2d6cce97a0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482718EC</paraID>
      <start>0</start>
      <end>2</end>
      <status>unmodified</status>
      <modifiedWord/>
      <trackRevisions>false</trackRevisions>
    </reviewItem>
    <reviewItem>
      <errorID>33af7716-cc46-4387-9c4a-174b544d5f11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346528AB</paraID>
      <start>0</start>
      <end>2</end>
      <status>unmodified</status>
      <modifiedWord/>
      <trackRevisions>false</trackRevisions>
    </reviewItem>
    <reviewItem>
      <errorID>af8cf20a-9ccf-4309-96c5-16fe3de62d5f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415A495D</paraID>
      <start>0</start>
      <end>2</end>
      <status>unmodified</status>
      <modifiedWord/>
      <trackRevisions>false</trackRevisions>
    </reviewItem>
    <reviewItem>
      <errorID>ddbc46cb-48ef-4291-975e-922b34e247e7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67660312</paraID>
      <start>0</start>
      <end>2</end>
      <status>unmodified</status>
      <modifiedWord/>
      <trackRevisions>false</trackRevisions>
    </reviewItem>
    <reviewItem>
      <errorID>a215ac3f-1659-46a1-845c-382aaf8cf9b9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6DDD6AAF</paraID>
      <start>0</start>
      <end>2</end>
      <status>unmodified</status>
      <modifiedWord/>
      <trackRevisions>false</trackRevisions>
    </reviewItem>
    <reviewItem>
      <errorID>b09d2ac2-b542-4964-9a8e-9ff715fc2f1a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6B3BB8C5</paraID>
      <start>0</start>
      <end>2</end>
      <status>unmodified</status>
      <modifiedWord/>
      <trackRevisions>false</trackRevisions>
    </reviewItem>
    <reviewItem>
      <errorID>9ab8a89c-d590-4bfc-8609-5945e5826522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48AB56B7</paraID>
      <start>0</start>
      <end>2</end>
      <status>unmodified</status>
      <modifiedWord/>
      <trackRevisions>false</trackRevisions>
    </reviewItem>
    <reviewItem>
      <errorID>f8d3f4b8-afed-4c78-b1e8-7be4dea1b34e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737CFD8</paraID>
      <start>9</start>
      <end>10</end>
      <status>unmodified</status>
      <modifiedWord/>
      <trackRevisions>false</trackRevisions>
    </reviewItem>
    <reviewItem>
      <errorID>107a3e33-ed0b-4ac4-bcce-699bbd5f0ad2</errorID>
      <errorWord>士壤污染</errorWord>
      <group>L1_Word</group>
      <groupName>字词问题</groupName>
      <ability>L2_Typo</ability>
      <abilityName>字词错误</abilityName>
      <candidateList>
        <item>土壤污染</item>
      </candidateList>
      <explain/>
      <paraID> 737CFD8</paraID>
      <start>23</start>
      <end>27</end>
      <status>modified</status>
      <modifiedWord>土壤污染</modifiedWord>
      <trackRevisions>false</trackRevisions>
    </reviewItem>
    <reviewItem>
      <errorID>a5bbd997-9630-4ab0-a521-7d9b8613b5cf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1B3BD01</paraID>
      <start>15</start>
      <end>16</end>
      <status>unmodified</status>
      <modifiedWord/>
      <trackRevisions>false</trackRevisions>
    </reviewItem>
    <reviewItem>
      <errorID>50be21b5-9274-4e9d-a912-c2a663d106b3</errorID>
      <errorWord>士壤污染</errorWord>
      <group>L1_Word</group>
      <groupName>字词问题</groupName>
      <ability>L2_Typo</ability>
      <abilityName>字词错误</abilityName>
      <candidateList>
        <item>土壤污染</item>
      </candidateList>
      <explain/>
      <paraID> 1B3BD01</paraID>
      <start>29</start>
      <end>33</end>
      <status>modified</status>
      <modifiedWord>土壤污染</modifiedWord>
      <trackRevisions>false</trackRevisions>
    </reviewItem>
    <reviewItem>
      <errorID>d8bc5d04-d57f-49b5-b5d0-d812ac45c9d9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56729B69</paraID>
      <start>12</start>
      <end>15</end>
      <status>unmodified</status>
      <modifiedWord/>
      <trackRevisions>false</trackRevisions>
    </reviewItem>
    <reviewItem>
      <errorID>7fb8d7ed-5833-46be-b5c3-85186595e39d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76B5F98C</paraID>
      <start>30</start>
      <end>33</end>
      <status>unmodified</status>
      <modifiedWord/>
      <trackRevisions>false</trackRevisions>
    </reviewItem>
    <reviewItem>
      <errorID>f35da8ba-679c-40be-b8c2-8b5d312236f0</errorID>
      <errorWord>：；</errorWord>
      <group>L1_Punc</group>
      <groupName>标点问题</groupName>
      <ability>L2_Punc_CN</ability>
      <abilityName/>
      <candidateList>
        <item>：</item>
      </candidateList>
      <explain/>
      <paraID>3D6FC466</paraID>
      <start>7</start>
      <end>9</end>
      <status>unmodified</status>
      <modifiedWord/>
      <trackRevisions>false</trackRevisions>
    </reviewItem>
    <reviewItem>
      <errorID>1e06c6f3-25ac-4413-a24c-48453499cecc</errorID>
      <errorWord>：。</errorWord>
      <group>L1_Punc</group>
      <groupName>标点问题</groupName>
      <ability>L2_Punc_CN</ability>
      <abilityName/>
      <candidateList>
        <item>：</item>
      </candidateList>
      <explain/>
      <paraID>3D6FC466</paraID>
      <start>14</start>
      <end>16</end>
      <status>unmodified</status>
      <modifiedWord/>
      <trackRevisions>false</trackRevisions>
    </reviewItem>
    <reviewItem>
      <errorID>33f6e2c7-ac69-4a3d-90f7-166dccebd5e9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44C83B37</paraID>
      <start>9</start>
      <end>11</end>
      <status>unmodified</status>
      <modifiedWord/>
      <trackRevisions>false</trackRevisions>
    </reviewItem>
    <reviewItem>
      <errorID>aaa6f1cb-1957-4239-9d53-84ce05b31348</errorID>
      <errorWord>《政府采购法》</errorWord>
      <group>L1_Word</group>
      <groupName>字词问题</groupName>
      <ability>L2_Typo</ability>
      <abilityName>字词错误</abilityName>
      <candidateList>
        <item>《中华人民共和国政府采购法》</item>
      </candidateList>
      <explain/>
      <paraID> A9155B2</paraID>
      <start>7</start>
      <end>14</end>
      <status>unmodified</status>
      <modifiedWord/>
      <trackRevisions>false</trackRevisions>
    </reviewItem>
    <reviewItem>
      <errorID>ca9f2f6a-adff-48db-b3bb-8031b0222c35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 A9155B2</paraID>
      <start>14</start>
      <end>18</end>
      <status>unmodified</status>
      <modifiedWord/>
      <trackRevisions>false</trackRevisions>
    </reviewItem>
    <reviewItem>
      <errorID>aad9c3c3-deed-4f51-a565-57bf3ca260e9</errorID>
      <errorWord>其它</errorWord>
      <group>L1_Word</group>
      <groupName>字词问题</groupName>
      <ability>L2_Alias</ability>
      <abilityName>也作/曾用词</abilityName>
      <candidateList>
        <item>其他</item>
      </candidateList>
      <explain>词汇[其它]为不规范表述或旧称，其规范书面表述为[其他]。</explain>
      <paraID>45BD548A</paraID>
      <start>2</start>
      <end>4</end>
      <status>unmodified</status>
      <modifiedWord/>
      <trackRevisions>false</trackRevisions>
    </reviewItem>
    <reviewItem>
      <errorID>b9ac1227-8357-4c1b-b497-9eb2521c52c4</errorID>
      <errorWord>《民法典》</errorWord>
      <group>L1_Word</group>
      <groupName>字词问题</groupName>
      <ability>L2_Typo</ability>
      <abilityName>字词错误</abilityName>
      <candidateList>
        <item>《中华人民共和国民法典》</item>
      </candidateList>
      <explain/>
      <paraID>45BD548A</paraID>
      <start>10</start>
      <end>15</end>
      <status>unmodified</status>
      <modifiedWord/>
      <trackRevisions>false</trackRevisions>
    </reviewItem>
    <reviewItem>
      <errorID>2d808ab5-e7cd-4b8f-be3e-aef8bc3c603f</errorID>
      <errorWord>《政府采购法》</errorWord>
      <group>L1_Word</group>
      <groupName>字词问题</groupName>
      <ability>L2_Typo</ability>
      <abilityName>字词错误</abilityName>
      <candidateList>
        <item>《中华人民共和国政府采购法》</item>
      </candidateList>
      <explain/>
      <paraID>45BD548A</paraID>
      <start>16</start>
      <end>23</end>
      <status>unmodified</status>
      <modifiedWord/>
      <trackRevisions>false</trackRevisions>
    </reviewItem>
    <reviewItem>
      <errorID>135b96d1-1306-4cf7-9f55-f8d72136281c</errorID>
      <errorWord>《政府采购法》</errorWord>
      <group>L1_Word</group>
      <groupName>字词问题</groupName>
      <ability>L2_Typo</ability>
      <abilityName>字词错误</abilityName>
      <candidateList>
        <item>《中华人民共和国政府采购法》</item>
      </candidateList>
      <explain/>
      <paraID>64F2D178</paraID>
      <start>2</start>
      <end>9</end>
      <status>unmodified</status>
      <modifiedWord/>
      <trackRevisions>false</trackRevisions>
    </reviewItem>
    <reviewItem>
      <errorID>dd7b166e-9397-4dce-a6c5-cb74443d0ca0</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64F2D178</paraID>
      <start>9</start>
      <end>13</end>
      <status>unmodified</status>
      <modifiedWord/>
      <trackRevisions>false</trackRevisions>
    </reviewItem>
    <reviewItem>
      <errorID>d712c7da-bdce-4fcd-9e79-6fdd72807f9b</errorID>
      <errorWord>(</errorWord>
      <group>L1_Format</group>
      <groupName>格式问题</groupName>
      <ability>L2_HalfPunc_CN</ability>
      <abilityName/>
      <candidateList>
        <item>（</item>
      </candidateList>
      <explain>文本全半角错误。</explain>
      <paraID>66F9438B</paraID>
      <start>61</start>
      <end>62</end>
      <status>unmodified</status>
      <modifiedWord/>
      <trackRevisions>false</trackRevisions>
    </reviewItem>
    <reviewItem>
      <errorID>fee00211-a2b3-482f-85c9-8a69973ea74e</errorID>
      <errorWord>)</errorWord>
      <group>L1_Format</group>
      <groupName>格式问题</groupName>
      <ability>L2_HalfPunc_CN</ability>
      <abilityName/>
      <candidateList>
        <item>）</item>
      </candidateList>
      <explain>文本全半角错误。</explain>
      <paraID>66F9438B</paraID>
      <start>71</start>
      <end>72</end>
      <status>unmodified</status>
      <modifiedWord/>
      <trackRevisions>false</trackRevisions>
    </reviewItem>
    <reviewItem>
      <errorID>e3b3044c-5030-4658-8b1f-3d78bf870dfe</errorID>
      <errorWord>(</errorWord>
      <group>L1_Format</group>
      <groupName>格式问题</groupName>
      <ability>L2_HalfPunc_CN</ability>
      <abilityName/>
      <candidateList>
        <item>（</item>
      </candidateList>
      <explain>文本全半角错误。</explain>
      <paraID>66F9438B</paraID>
      <start>91</start>
      <end>92</end>
      <status>unmodified</status>
      <modifiedWord/>
      <trackRevisions>false</trackRevisions>
    </reviewItem>
    <reviewItem>
      <errorID>5707853e-9b5c-4fae-8a05-65e08832c85b</errorID>
      <errorWord>)</errorWord>
      <group>L1_Format</group>
      <groupName>格式问题</groupName>
      <ability>L2_HalfPunc_CN</ability>
      <abilityName/>
      <candidateList>
        <item>）</item>
      </candidateList>
      <explain>文本全半角错误。</explain>
      <paraID>66F9438B</paraID>
      <start>98</start>
      <end>99</end>
      <status>unmodified</status>
      <modifiedWord/>
      <trackRevisions>false</trackRevisions>
    </reviewItem>
    <reviewItem>
      <errorID>433d203d-da64-402f-8749-85477fbfe8d4</errorID>
      <errorWord>(</errorWord>
      <group>L1_Format</group>
      <groupName>格式问题</groupName>
      <ability>L2_HalfPunc_CN</ability>
      <abilityName/>
      <candidateList>
        <item>（</item>
      </candidateList>
      <explain>文本全半角错误。</explain>
      <paraID>778F3B98</paraID>
      <start>7</start>
      <end>8</end>
      <status>unmodified</status>
      <modifiedWord/>
      <trackRevisions>false</trackRevisions>
    </reviewItem>
    <reviewItem>
      <errorID>f6b83b87-1413-447a-b76f-70505bdb7d4c</errorID>
      <errorWord>)</errorWord>
      <group>L1_Format</group>
      <groupName>格式问题</groupName>
      <ability>L2_HalfPunc_CN</ability>
      <abilityName/>
      <candidateList>
        <item>）</item>
      </candidateList>
      <explain>文本全半角错误。</explain>
      <paraID>778F3B98</paraID>
      <start>18</start>
      <end>19</end>
      <status>unmodified</status>
      <modifiedWord/>
      <trackRevisions>false</trackRevisions>
    </reviewItem>
    <reviewItem>
      <errorID>3abed762-4099-4270-90ea-3f7581b82ed9</errorID>
      <errorWord>2022年01月</errorWord>
      <group>L1_Knowledge</group>
      <groupName>知识性问题</groupName>
      <ability>L2_Time</ability>
      <abilityName>日期时间</abilityName>
      <candidateList>
        <item>2022年1月</item>
      </candidateList>
      <explain>根据日常书写习惯，月份一般会省略前导零。</explain>
      <paraID> 6F25029</paraID>
      <start>4</start>
      <end>12</end>
      <status>unmodified</status>
      <modifiedWord/>
      <trackRevisions>false</trackRevisions>
    </reviewItem>
    <reviewItem>
      <errorID>15043fae-e936-4049-8f2f-81f747638c3b</errorID>
      <errorWord>2022年01月</errorWord>
      <group>L1_Knowledge</group>
      <groupName>知识性问题</groupName>
      <ability>L2_Time</ability>
      <abilityName>日期时间</abilityName>
      <candidateList>
        <item>2022年1月</item>
      </candidateList>
      <explain>根据日常书写习惯，月份一般会省略前导零。</explain>
      <paraID>1B24DF34</paraID>
      <start>4</start>
      <end>12</end>
      <status>unmodified</status>
      <modifiedWord/>
      <trackRevisions>false</trackRevisions>
    </reviewItem>
    <reviewItem>
      <errorID>f66da222-23b3-427b-94cb-b48d0f5fae54</errorID>
      <errorWord>的的</errorWord>
      <group>L1_Word</group>
      <groupName>字词问题</groupName>
      <ability>L2_Typo</ability>
      <abilityName>字词错误</abilityName>
      <candidateList>
        <item>的</item>
      </candidateList>
      <explain>“的”常用于连接修饰语与名词性中心语，表示属性、所属或描述。</explain>
      <paraID>1B24DF34</paraID>
      <start>59</start>
      <end>61</end>
      <status>unmodified</status>
      <modifiedWord/>
      <trackRevisions>false</trackRevisions>
    </reviewItem>
    <reviewItem>
      <errorID>6ea82f59-2c71-4f39-9e9c-22046f6448df</errorID>
      <errorWord>）</errorWord>
      <group>L1_Word</group>
      <groupName>字词问题</groupName>
      <ability>L2_Typo</ability>
      <abilityName>字词错误</abilityName>
      <candidateList>
        <item>）在</item>
      </candidateList>
      <explain/>
      <paraID>707D0291</paraID>
      <start>18</start>
      <end>19</end>
      <status>unmodified</status>
      <modifiedWord/>
      <trackRevisions>false</trackRevisions>
    </reviewItem>
    <reviewItem>
      <errorID>51695d24-0715-4e83-add2-15599799078e</errorID>
      <errorWord>2022年01月</errorWord>
      <group>L1_Knowledge</group>
      <groupName>知识性问题</groupName>
      <ability>L2_Time</ability>
      <abilityName>日期时间</abilityName>
      <candidateList>
        <item>2022年1月</item>
      </candidateList>
      <explain>根据日常书写习惯，月份一般会省略前导零。</explain>
      <paraID>769B183C</paraID>
      <start>6</start>
      <end>14</end>
      <status>unmodified</status>
      <modifiedWord/>
      <trackRevisions>false</trackRevisions>
    </reviewItem>
    <reviewItem>
      <errorID>807bf897-439d-4e7d-963c-b94f46ff66d4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2407E29</paraID>
      <start>0</start>
      <end>2</end>
      <status>unmodified</status>
      <modifiedWord/>
      <trackRevisions>false</trackRevisions>
    </reviewItem>
    <reviewItem>
      <errorID>1dd052d2-2e10-4fda-92e5-6b62bb8dffb7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238667A2</paraID>
      <start>0</start>
      <end>2</end>
      <status>unmodified</status>
      <modifiedWord/>
      <trackRevisions>false</trackRevisions>
    </reviewItem>
    <reviewItem>
      <errorID>9fbed391-a988-434f-ac87-f92c3480c699</errorID>
      <errorWord>2022年01月</errorWord>
      <group>L1_Knowledge</group>
      <groupName>知识性问题</groupName>
      <ability>L2_Time</ability>
      <abilityName>日期时间</abilityName>
      <candidateList>
        <item>2022年1月</item>
      </candidateList>
      <explain>根据日常书写习惯，月份一般会省略前导零。</explain>
      <paraID>4BE4A99A</paraID>
      <start>6</start>
      <end>14</end>
      <status>unmodified</status>
      <modifiedWord/>
      <trackRevisions>false</trackRevisions>
    </reviewItem>
    <reviewItem>
      <errorID>f2e15d9a-6fcb-44bf-8e36-e95100ff98cb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6719BE4D</paraID>
      <start>0</start>
      <end>2</end>
      <status>unmodified</status>
      <modifiedWord/>
      <trackRevisions>false</trackRevisions>
    </reviewItem>
    <reviewItem>
      <errorID>b64b6a6b-34d2-4145-8eec-b14687182a03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66992764</paraID>
      <start>0</start>
      <end>2</end>
      <status>unmodified</status>
      <modifiedWord/>
      <trackRevisions>false</trackRevisions>
    </reviewItem>
    <reviewItem>
      <errorID>b44b177a-2dca-4b96-8453-2c7b74e6d1c4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23600095</paraID>
      <start>0</start>
      <end>2</end>
      <status>unmodified</status>
      <modifiedWord/>
      <trackRevisions>false</trackRevisions>
    </reviewItem>
    <reviewItem>
      <errorID>ee0eb5c9-045a-421f-b3b4-c512ed8cd6f6</errorID>
      <errorWord>仅限与</errorWord>
      <group>L1_Word</group>
      <groupName>字词问题</groupName>
      <ability>L2_Typo</ability>
      <abilityName>字词错误</abilityName>
      <candidateList>
        <item>仅限于</item>
      </candidateList>
      <explain/>
      <paraID>75AAEEF6</paraID>
      <start>10</start>
      <end>13</end>
      <status>ignored</status>
      <modifiedWord/>
      <trackRevisions>false</trackRevisions>
    </reviewItem>
    <reviewItem>
      <errorID>c2cd9035-356a-48d0-8c26-f5858fff507b</errorID>
      <errorWord>数据据处理</errorWord>
      <group>L1_Knowledge</group>
      <groupName>知识性问题</groupName>
      <ability>L2_Term</ability>
      <abilityName>专业术语</abilityName>
      <candidateList>
        <item>数据预处理</item>
      </candidateList>
      <explain/>
      <paraID>492DFFCB</paraID>
      <start>54</start>
      <end>59</end>
      <status>unmodified</status>
      <modifiedWord/>
      <trackRevisions>false</trackRevisions>
    </reviewItem>
    <reviewItem>
      <errorID>6a47495b-ec49-43f7-8754-9581e904d18e</errorID>
      <errorWord>数据据处理</errorWord>
      <group>L1_Knowledge</group>
      <groupName>知识性问题</groupName>
      <ability>L2_Term</ability>
      <abilityName>专业术语</abilityName>
      <candidateList>
        <item>数据预处理</item>
      </candidateList>
      <explain/>
      <paraID>7134C2B9</paraID>
      <start>54</start>
      <end>59</end>
      <status>unmodified</status>
      <modifiedWord/>
      <trackRevisions>false</trackRevisions>
    </reviewItem>
    <reviewItem>
      <errorID>b12bb2f2-8eb3-416f-b577-187c9c0f155d</errorID>
      <errorWord>作好</errorWord>
      <group>L1_Word</group>
      <groupName>字词问题</groupName>
      <ability>L2_Typo</ability>
      <abilityName>字词错误</abilityName>
      <candidateList>
        <item>做好</item>
      </candidateList>
      <explain/>
      <paraID>6C4F5DD7</paraID>
      <start>107</start>
      <end>109</end>
      <status>unmodified</status>
      <modifiedWord/>
      <trackRevisions>false</trackRevisions>
    </reviewItem>
    <reviewItem>
      <errorID>be2bc9a2-9f7a-47be-b62b-604266dfa506</errorID>
      <errorWord>(</errorWord>
      <group>L1_Format</group>
      <groupName>格式问题</groupName>
      <ability>L2_HalfPunc_CN</ability>
      <abilityName/>
      <candidateList>
        <item>（</item>
      </candidateList>
      <explain>文本全半角错误。</explain>
      <paraID> 4B724A4</paraID>
      <start>71</start>
      <end>72</end>
      <status>unmodified</status>
      <modifiedWord/>
      <trackRevisions>false</trackRevisions>
    </reviewItem>
    <reviewItem>
      <errorID>7b2305bd-a616-4a9c-ac1d-51687e90c789</errorID>
      <errorWord>)</errorWord>
      <group>L1_Format</group>
      <groupName>格式问题</groupName>
      <ability>L2_HalfPunc_CN</ability>
      <abilityName/>
      <candidateList>
        <item>）</item>
      </candidateList>
      <explain>文本全半角错误。</explain>
      <paraID> 4B724A4</paraID>
      <start>80</start>
      <end>81</end>
      <status>unmodified</status>
      <modifiedWord/>
      <trackRevisions>false</trackRevisions>
    </reviewItem>
    <reviewItem>
      <errorID>f3fb6245-d709-4d57-b214-281cbe0593f3</errorID>
      <errorWord>(</errorWord>
      <group>L1_Format</group>
      <groupName>格式问题</groupName>
      <ability>L2_HalfPunc_CN</ability>
      <abilityName/>
      <candidateList>
        <item>（</item>
      </candidateList>
      <explain>文本全半角错误。</explain>
      <paraID>76AC57B0</paraID>
      <start>7</start>
      <end>8</end>
      <status>unmodified</status>
      <modifiedWord/>
      <trackRevisions>false</trackRevisions>
    </reviewItem>
    <reviewItem>
      <errorID>6688dfc0-c99b-4051-8c08-0230a5fe66bf</errorID>
      <errorWord>)</errorWord>
      <group>L1_Format</group>
      <groupName>格式问题</groupName>
      <ability>L2_HalfPunc_CN</ability>
      <abilityName/>
      <candidateList>
        <item>）</item>
      </candidateList>
      <explain>文本全半角错误。</explain>
      <paraID>76AC57B0</paraID>
      <start>18</start>
      <end>19</end>
      <status>unmodified</status>
      <modifiedWord/>
      <trackRevisions>false</trackRevisions>
    </reviewItem>
    <reviewItem>
      <errorID>a18eb364-378e-4183-ac42-bdcaa66e34c9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1493F2F3</paraID>
      <start>0</start>
      <end>2</end>
      <status>unmodified</status>
      <modifiedWord/>
      <trackRevisions>false</trackRevisions>
    </reviewItem>
    <reviewItem>
      <errorID>fafcf5a1-7c0a-405b-ad75-dec15c8052a3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4F20905E</paraID>
      <start>0</start>
      <end>2</end>
      <status>unmodified</status>
      <modifiedWord/>
      <trackRevisions>false</trackRevisions>
    </reviewItem>
    <reviewItem>
      <errorID>2bbdde55-6ceb-4148-a812-6d3c8d8e7cc7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2A5777F4</paraID>
      <start>0</start>
      <end>2</end>
      <status>unmodified</status>
      <modifiedWord/>
      <trackRevisions>false</trackRevisions>
    </reviewItem>
    <reviewItem>
      <errorID>7e1a4036-6c64-4826-a8d3-0305ff7aa225</errorID>
      <errorWord>位</errorWord>
      <group>L1_Word</group>
      <groupName>字词问题</groupName>
      <ability>L2_Typo</ability>
      <abilityName>字词错误</abilityName>
      <candidateList>
        <item>位在</item>
      </candidateList>
      <explain/>
      <paraID>2A5777F4</paraID>
      <start>58</start>
      <end>59</end>
      <status>unmodified</status>
      <modifiedWord/>
      <trackRevisions>false</trackRevisions>
    </reviewItem>
    <reviewItem>
      <errorID>6299de8c-a3a5-4a16-b0c6-83d61410b056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EDFC61E</paraID>
      <start>9</start>
      <end>10</end>
      <status>unmodified</status>
      <modifiedWord/>
      <trackRevisions>false</trackRevisions>
    </reviewItem>
    <reviewItem>
      <errorID>ba179d93-dffd-40c3-a577-35a716c1ca38</errorID>
      <errorWord>士壤污染</errorWord>
      <group>L1_Word</group>
      <groupName>字词问题</groupName>
      <ability>L2_Typo</ability>
      <abilityName>字词错误</abilityName>
      <candidateList>
        <item>土壤污染</item>
      </candidateList>
      <explain/>
      <paraID> EDFC61E</paraID>
      <start>23</start>
      <end>27</end>
      <status>modified</status>
      <modifiedWord>土壤污染</modifiedWord>
      <trackRevisions>false</trackRevisions>
    </reviewItem>
    <reviewItem>
      <errorID>599b64f5-7717-4deb-af9e-5c8981ff29eb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234F15B3</paraID>
      <start>9</start>
      <end>10</end>
      <status>unmodified</status>
      <modifiedWord/>
      <trackRevisions>false</trackRevisions>
    </reviewItem>
    <reviewItem>
      <errorID>e05d1904-4b26-4f07-8c65-6e2104f5eff9</errorID>
      <errorWord>士壤污染</errorWord>
      <group>L1_Word</group>
      <groupName>字词问题</groupName>
      <ability>L2_Typo</ability>
      <abilityName>字词错误</abilityName>
      <candidateList>
        <item>土壤污染</item>
      </candidateList>
      <explain/>
      <paraID>234F15B3</paraID>
      <start>23</start>
      <end>27</end>
      <status>modified</status>
      <modifiedWord>土壤污染</modifiedWord>
      <trackRevisions>false</trackRevisions>
    </reviewItem>
    <reviewItem>
      <errorID>627ad486-1fa8-465d-be43-4675d3578158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3D9B024A</paraID>
      <start>71</start>
      <end>72</end>
      <status>unmodified</status>
      <modifiedWord/>
      <trackRevisions>false</trackRevisions>
    </reviewItem>
    <reviewItem>
      <errorID>0fcece65-82cc-4a78-aef1-fc34f0657d94</errorID>
      <errorWord>士壤污染</errorWord>
      <group>L1_Word</group>
      <groupName>字词问题</groupName>
      <ability>L2_Typo</ability>
      <abilityName>字词错误</abilityName>
      <candidateList>
        <item>土壤污染</item>
      </candidateList>
      <explain/>
      <paraID>3D9B024A</paraID>
      <start>85</start>
      <end>89</end>
      <status>modified</status>
      <modifiedWord>土壤污染</modifiedWord>
      <trackRevisions>false</trackRevisions>
    </reviewItem>
    <reviewItem>
      <errorID>d96c2f28-b441-4bd3-9727-76d96b6458b8</errorID>
      <errorWord>:</errorWord>
      <group>L1_Format</group>
      <groupName>格式问题</groupName>
      <ability>L2_HalfPunc_CN</ability>
      <abilityName/>
      <candidateList>
        <item>：</item>
      </candidateList>
      <explain>文本全半角错误。</explain>
      <paraID>3D9B024A</paraID>
      <start>113</start>
      <end>114</end>
      <status>unmodified</status>
      <modifiedWord/>
      <trackRevisions>false</trackRevisions>
    </reviewItem>
    <reviewItem>
      <errorID>d405dbfd-1e60-44c3-9bf6-8a7f15996aea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1C63B566</paraID>
      <start>9</start>
      <end>10</end>
      <status>unmodified</status>
      <modifiedWord/>
      <trackRevisions>false</trackRevisions>
    </reviewItem>
    <reviewItem>
      <errorID>61eacb85-eb99-41eb-a022-50a2da857503</errorID>
      <errorWord>士壤污染</errorWord>
      <group>L1_Word</group>
      <groupName>字词问题</groupName>
      <ability>L2_Typo</ability>
      <abilityName>字词错误</abilityName>
      <candidateList>
        <item>土壤污染</item>
      </candidateList>
      <explain/>
      <paraID>1C63B566</paraID>
      <start>23</start>
      <end>27</end>
      <status>modified</status>
      <modifiedWord>土壤污染</modifiedWord>
      <trackRevisions>false</trackRevisions>
    </reviewItem>
    <reviewItem>
      <errorID>9d4438e4-55f6-4e25-a22d-84f43fbe9380</errorID>
      <errorWord>(</errorWord>
      <group>L1_Format</group>
      <groupName>格式问题</groupName>
      <ability>L2_HalfPunc_CN</ability>
      <abilityName/>
      <candidateList>
        <item>（</item>
      </candidateList>
      <explain>文本全半角错误。</explain>
      <paraID>1C63B566</paraID>
      <start>83</start>
      <end>84</end>
      <status>unmodified</status>
      <modifiedWord/>
      <trackRevisions>false</trackRevisions>
    </reviewItem>
    <reviewItem>
      <errorID>44f73dea-ea34-4cf7-8af9-9aae765fc398</errorID>
      <errorWord>)</errorWord>
      <group>L1_Format</group>
      <groupName>格式问题</groupName>
      <ability>L2_HalfPunc_CN</ability>
      <abilityName/>
      <candidateList>
        <item>）</item>
      </candidateList>
      <explain>文本全半角错误。</explain>
      <paraID>1C63B566</paraID>
      <start>89</start>
      <end>90</end>
      <status>unmodified</status>
      <modifiedWord/>
      <trackRevisions>false</trackRevisions>
    </reviewItem>
    <reviewItem>
      <errorID>760a9427-8cd4-4715-8b77-05f4f086f783</errorID>
      <errorWord>间</errorWord>
      <group>L1_Word</group>
      <groupName>字词问题</groupName>
      <ability>L2_Typo</ability>
      <abilityName>字词错误</abilityName>
      <candidateList>
        <item>间内</item>
      </candidateList>
      <explain/>
      <paraID>6C68963C</paraID>
      <start>40</start>
      <end>41</end>
      <status>unmodified</status>
      <modifiedWord/>
      <trackRevisions>false</trackRevisions>
    </reviewItem>
    <reviewItem>
      <errorID>aef1f9e6-f988-4ba1-9022-056ccbc1b4f7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13CAFBDD</paraID>
      <start>9</start>
      <end>10</end>
      <status>unmodified</status>
      <modifiedWord/>
      <trackRevisions>false</trackRevisions>
    </reviewItem>
    <reviewItem>
      <errorID>00e179d4-663a-49d1-aadb-4d6e3606f152</errorID>
      <errorWord>士壤污染</errorWord>
      <group>L1_Word</group>
      <groupName>字词问题</groupName>
      <ability>L2_Typo</ability>
      <abilityName>字词错误</abilityName>
      <candidateList>
        <item>土壤污染</item>
      </candidateList>
      <explain/>
      <paraID>13CAFBDD</paraID>
      <start>23</start>
      <end>27</end>
      <status>modified</status>
      <modifiedWord>土壤污染</modifiedWord>
      <trackRevisions>false</trackRevisions>
    </reviewItem>
    <reviewItem>
      <errorID>8ce6788a-833f-4580-9c0b-4316b3ae3603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6ECF825B</paraID>
      <start>9</start>
      <end>10</end>
      <status>unmodified</status>
      <modifiedWord/>
      <trackRevisions>false</trackRevisions>
    </reviewItem>
    <reviewItem>
      <errorID>c301afe9-bd7c-44f5-b331-3767a73e3ee1</errorID>
      <errorWord>士壤污染</errorWord>
      <group>L1_Word</group>
      <groupName>字词问题</groupName>
      <ability>L2_Typo</ability>
      <abilityName>字词错误</abilityName>
      <candidateList>
        <item>土壤污染</item>
      </candidateList>
      <explain/>
      <paraID>6ECF825B</paraID>
      <start>23</start>
      <end>27</end>
      <status>modified</status>
      <modifiedWord>土壤污染</modifiedWord>
      <trackRevisions>false</trackRevisions>
    </reviewItem>
    <reviewItem>
      <errorID>c196b38a-9a6a-4658-9107-f06f49980eb4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45BAA6FC</paraID>
      <start>0</start>
      <end>2</end>
      <status>unmodified</status>
      <modifiedWord/>
      <trackRevisions>false</trackRevisions>
    </reviewItem>
    <reviewItem>
      <errorID>d5131da6-d679-4e1e-9098-897a9ee25592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3969F654</paraID>
      <start>0</start>
      <end>2</end>
      <status>unmodified</status>
      <modifiedWord/>
      <trackRevisions>false</trackRevisions>
    </reviewItem>
    <reviewItem>
      <errorID>c16c056a-4337-4e1c-aa3b-78233fda7421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16263CB2</paraID>
      <start>74</start>
      <end>75</end>
      <status>unmodified</status>
      <modifiedWord/>
      <trackRevisions>false</trackRevisions>
    </reviewItem>
    <reviewItem>
      <errorID>30d5b4fc-bbc2-4d2e-a6ff-8aeaedd9a515</errorID>
      <errorWord>士壤污染</errorWord>
      <group>L1_Word</group>
      <groupName>字词问题</groupName>
      <ability>L2_Typo</ability>
      <abilityName>字词错误</abilityName>
      <candidateList>
        <item>土壤污染</item>
      </candidateList>
      <explain/>
      <paraID>16263CB2</paraID>
      <start>88</start>
      <end>92</end>
      <status>modified</status>
      <modifiedWord>土壤污染</modifiedWord>
      <trackRevisions>false</trackRevisions>
    </reviewItem>
    <reviewItem>
      <errorID>91f19de5-6580-4194-95e5-b252de4bc017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2277B4A0</paraID>
      <start>4</start>
      <end>5</end>
      <status>unmodified</status>
      <modifiedWord/>
      <trackRevisions>false</trackRevisions>
    </reviewItem>
    <reviewItem>
      <errorID>6667d54c-2823-4689-ac08-a258afd71756</errorID>
      <errorWord>士壤污染</errorWord>
      <group>L1_Word</group>
      <groupName>字词问题</groupName>
      <ability>L2_Typo</ability>
      <abilityName>字词错误</abilityName>
      <candidateList>
        <item>土壤污染</item>
      </candidateList>
      <explain/>
      <paraID>2277B4A0</paraID>
      <start>18</start>
      <end>22</end>
      <status>modified</status>
      <modifiedWord>土壤污染</modifiedWord>
      <trackRevisions>false</trackRevisions>
    </reviewItem>
    <reviewItem>
      <errorID>d0092155-10fd-422e-b65c-3c31720ba82b</errorID>
      <errorWord>〔2017〕 141号</errorWord>
      <group>L1_Knowledge</group>
      <groupName>知识性问题</groupName>
      <ability>L2_Knowledge</ability>
      <abilityName>其他知识</abilityName>
      <candidateList>
        <item>〔2017〕141号</item>
      </candidateList>
      <explain>发文字号格式错误。</explain>
      <paraID>24283285</paraID>
      <start>49</start>
      <end>59</end>
      <status>modified</status>
      <modifiedWord>〔2017〕141号</modifiedWord>
      <trackRevisions>false</trackRevisions>
    </reviewItem>
    <reviewItem>
      <errorID>da77bb93-308d-4e7e-861a-49d08954429d</errorID>
      <errorWord>：）</errorWord>
      <group>L1_Punc</group>
      <groupName>标点问题</groupName>
      <ability>L2_Punc_CN</ability>
      <abilityName/>
      <candidateList>
        <item>）</item>
      </candidateList>
      <explain/>
      <paraID>39DB050C</paraID>
      <start>41</start>
      <end>43</end>
      <status>ignored</status>
      <modifiedWord/>
      <trackRevisions>false</trackRevisions>
    </reviewItem>
    <reviewItem>
      <errorID>aec60f9f-d380-4a38-a627-d20110fb8d27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2992F5CC</paraID>
      <start>19</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773ab74c-9b0f-4ed4-9d77-5ad6cd9f8191}">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59</Pages>
  <Words>7668</Words>
  <Characters>8309</Characters>
  <Lines>203</Lines>
  <Paragraphs>57</Paragraphs>
  <TotalTime>6</TotalTime>
  <ScaleCrop>false</ScaleCrop>
  <LinksUpToDate>false</LinksUpToDate>
  <CharactersWithSpaces>8402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2023-07-31T00:20:00Z</dcterms:created>
  <dc:creator>chencd</dc:creator>
  <cp:lastModifiedBy>璃诺</cp:lastModifiedBy>
  <cp:lastPrinted>2026-07-20T07:50:00Z</cp:lastPrinted>
  <dcterms:modified xsi:type="dcterms:W3CDTF">2026-07-27T01:03:45Z</dcterms:modified>
  <dc:title>招标技术规格及要求</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3D3E99510E2044F388F826F303898DDC_13</vt:lpwstr>
  </property>
  <property fmtid="{D5CDD505-2E9C-101B-9397-08002B2CF9AE}" pid="4" name="KSOTemplateDocerSaveRecord">
    <vt:lpwstr>eyJoZGlkIjoiYjc0OTY2MzgwODY5MTY4OWUyNDhmZjg3MzE3YjdlMjgiLCJ1c2VySWQiOiI5MTA3NDY1MzMifQ==</vt:lpwstr>
  </property>
</Properties>
</file>