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黑体" w:hAnsi="黑体" w:eastAsia="黑体"/>
          <w:bCs/>
          <w:color w:val="auto"/>
          <w:sz w:val="72"/>
          <w:szCs w:val="24"/>
          <w:highlight w:val="none"/>
        </w:rPr>
      </w:pPr>
      <w:r/>
      <w:bookmarkStart w:id="204" w:name="_GoBack"/>
      <w:r/>
      <w:bookmarkEnd w:id="204"/>
      <w:r/>
      <w:r/>
    </w:p>
    <w:p>
      <w:pPr>
        <w:jc w:val="center"/>
        <w:spacing w:before="120" w:after="120" w:line="360" w:lineRule="auto"/>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 xml:space="preserve">招 标 文 件</w:t>
      </w:r>
      <w:r/>
    </w:p>
    <w:p>
      <w:pPr>
        <w:ind w:firstLine="2249"/>
        <w:jc w:val="left"/>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ind w:firstLine="366"/>
        <w:jc w:val="both"/>
        <w:spacing w:before="120" w:after="120" w:line="480" w:lineRule="auto"/>
        <w:rPr>
          <w:rFonts w:hint="eastAsia" w:ascii="黑体" w:hAnsi="黑体" w:eastAsia="黑体"/>
          <w:bCs/>
          <w:color w:val="auto"/>
          <w:spacing w:val="-17"/>
          <w:sz w:val="40"/>
          <w:szCs w:val="40"/>
          <w:highlight w:val="none"/>
        </w:rPr>
      </w:pPr>
      <w:r>
        <w:rPr>
          <w:rFonts w:hint="eastAsia" w:ascii="黑体" w:hAnsi="黑体" w:eastAsia="黑体"/>
          <w:bCs/>
          <w:color w:val="auto"/>
          <w:spacing w:val="-17"/>
          <w:sz w:val="40"/>
          <w:szCs w:val="40"/>
          <w:highlight w:val="none"/>
        </w:rPr>
        <w:t xml:space="preserve">项目名称：阜宁县生物多样性本底调查项目</w:t>
      </w:r>
      <w:r>
        <w:rPr>
          <w:rFonts w:hint="eastAsia" w:ascii="黑体" w:hAnsi="黑体" w:eastAsia="黑体"/>
          <w:bCs/>
          <w:color w:val="auto"/>
          <w:spacing w:val="-17"/>
          <w:sz w:val="40"/>
          <w:szCs w:val="40"/>
          <w:highlight w:val="none"/>
        </w:rPr>
        <w:tab/>
      </w:r>
      <w:r/>
    </w:p>
    <w:p>
      <w:pPr>
        <w:ind w:firstLine="400"/>
        <w:jc w:val="both"/>
        <w:spacing w:before="120" w:after="120" w:line="480" w:lineRule="auto"/>
        <w:rPr>
          <w:rFonts w:hint="eastAsia" w:ascii="黑体" w:hAnsi="黑体" w:eastAsia="黑体"/>
          <w:bCs/>
          <w:color w:val="auto"/>
          <w:spacing w:val="-17"/>
          <w:sz w:val="40"/>
          <w:szCs w:val="40"/>
          <w:highlight w:val="none"/>
          <w:lang w:eastAsia="zh-CN"/>
        </w:rPr>
      </w:pPr>
      <w:r>
        <w:rPr>
          <w:rFonts w:hint="eastAsia" w:ascii="黑体" w:hAnsi="黑体" w:eastAsia="黑体"/>
          <w:bCs/>
          <w:color w:val="auto"/>
          <w:sz w:val="40"/>
          <w:szCs w:val="40"/>
          <w:highlight w:val="none"/>
        </w:rPr>
        <w:t xml:space="preserve">项目编号</w:t>
      </w:r>
      <w:r>
        <w:rPr>
          <w:rFonts w:hint="eastAsia" w:ascii="黑体" w:hAnsi="黑体" w:eastAsia="黑体"/>
          <w:bCs/>
          <w:color w:val="auto"/>
          <w:spacing w:val="-17"/>
          <w:sz w:val="40"/>
          <w:szCs w:val="40"/>
          <w:highlight w:val="none"/>
          <w:lang w:eastAsia="zh-CN"/>
        </w:rPr>
        <w:t xml:space="preserve">：JSZC-320923-SWGC-G2026-0091</w:t>
      </w:r>
      <w:r/>
    </w:p>
    <w:p>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r>
      <w:r/>
    </w:p>
    <w:p>
      <w:pPr>
        <w:jc w:val="center"/>
        <w:spacing w:before="120" w:after="120" w:line="600" w:lineRule="auto"/>
        <w:rPr>
          <w:rFonts w:hint="eastAsia" w:ascii="黑体" w:hAnsi="黑体" w:eastAsia="黑体"/>
          <w:bCs/>
          <w:color w:val="auto"/>
          <w:sz w:val="36"/>
          <w:szCs w:val="24"/>
          <w:highlight w:val="none"/>
        </w:rPr>
      </w:pPr>
      <w:r>
        <w:rPr>
          <w:rFonts w:hint="eastAsia" w:ascii="黑体" w:hAnsi="黑体" w:eastAsia="黑体"/>
          <w:bCs/>
          <w:color w:val="auto"/>
          <w:sz w:val="36"/>
          <w:szCs w:val="24"/>
          <w:highlight w:val="none"/>
        </w:rPr>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 xml:space="preserve">采购单位：</w:t>
      </w:r>
      <w:r>
        <w:rPr>
          <w:rStyle w:val="1024"/>
          <w:rFonts w:hint="eastAsia" w:ascii="黑体" w:hAnsi="黑体" w:eastAsia="黑体"/>
          <w:color w:val="auto"/>
          <w:sz w:val="36"/>
          <w:szCs w:val="30"/>
          <w:highlight w:val="none"/>
          <w:lang w:eastAsia="zh-CN"/>
        </w:rPr>
        <w:t xml:space="preserve">盐城市阜宁生态环境局</w:t>
      </w:r>
      <w:r/>
    </w:p>
    <w:p>
      <w:pPr>
        <w:jc w:val="center"/>
        <w:spacing w:before="120" w:after="120" w:line="600" w:lineRule="auto"/>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 xml:space="preserve">2026年</w:t>
      </w:r>
      <w:r>
        <w:rPr>
          <w:rFonts w:hint="eastAsia" w:ascii="黑体" w:hAnsi="黑体" w:eastAsia="黑体"/>
          <w:bCs/>
          <w:color w:val="auto"/>
          <w:sz w:val="36"/>
          <w:szCs w:val="24"/>
          <w:highlight w:val="none"/>
          <w:lang w:val="en-US" w:eastAsia="zh-CN"/>
        </w:rPr>
        <w:t xml:space="preserve">07</w:t>
      </w:r>
      <w:r>
        <w:rPr>
          <w:rFonts w:hint="eastAsia" w:ascii="黑体" w:hAnsi="黑体" w:eastAsia="黑体"/>
          <w:bCs/>
          <w:color w:val="auto"/>
          <w:sz w:val="36"/>
          <w:szCs w:val="24"/>
          <w:highlight w:val="none"/>
          <w:lang w:eastAsia="zh-CN"/>
        </w:rPr>
        <w:t xml:space="preserve">月</w:t>
      </w:r>
      <w:r>
        <w:rPr>
          <w:rFonts w:hint="eastAsia" w:ascii="黑体" w:hAnsi="黑体" w:eastAsia="黑体"/>
          <w:bCs/>
          <w:color w:val="auto"/>
          <w:sz w:val="36"/>
          <w:szCs w:val="24"/>
          <w:highlight w:val="none"/>
          <w:lang w:val="en-US" w:eastAsia="zh-CN"/>
        </w:rPr>
        <w:t xml:space="preserve">03</w:t>
      </w:r>
      <w:r>
        <w:rPr>
          <w:rFonts w:hint="eastAsia" w:ascii="黑体" w:hAnsi="黑体" w:eastAsia="黑体"/>
          <w:bCs/>
          <w:color w:val="auto"/>
          <w:sz w:val="36"/>
          <w:szCs w:val="24"/>
          <w:highlight w:val="none"/>
          <w:lang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 xml:space="preserve">总  目  录</w:t>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第一章  招标公告</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21"/>
          <w:highlight w:val="none"/>
        </w:rPr>
        <w:t xml:space="preserve"> </w:t>
      </w:r>
      <w:r/>
    </w:p>
    <w:p>
      <w:pPr>
        <w:ind w:firstLine="720"/>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第三章  合同文本</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第四章  采购需求</w:t>
      </w:r>
      <w:r/>
    </w:p>
    <w:p>
      <w:pPr>
        <w:ind w:firstLine="720"/>
        <w:spacing w:line="480" w:lineRule="auto"/>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 xml:space="preserve">评标方法与评标标准</w:t>
      </w:r>
      <w:r/>
    </w:p>
    <w:p>
      <w:pPr>
        <w:ind w:firstLine="720"/>
        <w:spacing w:line="480" w:lineRule="auto"/>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 xml:space="preserve">投标文件格式</w:t>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ind w:firstLine="720"/>
        <w:spacing w:line="720" w:lineRule="auto"/>
        <w:rPr>
          <w:rFonts w:hint="eastAsia" w:ascii="黑体" w:hAnsi="宋体" w:eastAsia="黑体"/>
          <w:color w:val="auto"/>
          <w:sz w:val="36"/>
          <w:szCs w:val="21"/>
          <w:highlight w:val="none"/>
        </w:rPr>
      </w:pPr>
      <w:r>
        <w:rPr>
          <w:rFonts w:hint="eastAsia" w:ascii="黑体" w:hAnsi="宋体" w:eastAsia="黑体"/>
          <w:color w:val="auto"/>
          <w:sz w:val="36"/>
          <w:szCs w:val="21"/>
          <w:highlight w:val="none"/>
        </w:rPr>
      </w:r>
      <w:r/>
    </w:p>
    <w:p>
      <w:pPr>
        <w:jc w:val="center"/>
        <w:keepNext/>
        <w:spacing w:line="360" w:lineRule="auto"/>
        <w:rPr>
          <w:rFonts w:ascii="黑体" w:eastAsia="黑体"/>
          <w:bCs/>
          <w:color w:val="auto"/>
          <w:sz w:val="44"/>
          <w:szCs w:val="44"/>
          <w:highlight w:val="none"/>
        </w:rPr>
        <w:outlineLvl w:val="0"/>
      </w:pPr>
      <w:r>
        <w:rPr>
          <w:rFonts w:ascii="黑体" w:eastAsia="黑体"/>
          <w:color w:val="auto"/>
          <w:sz w:val="44"/>
          <w:szCs w:val="44"/>
          <w:highlight w:val="none"/>
        </w:rPr>
        <w:br w:type="page" w:clear="all"/>
      </w:r>
      <w:r>
        <w:rPr>
          <w:rFonts w:hint="eastAsia" w:ascii="黑体" w:eastAsia="黑体"/>
          <w:color w:val="auto"/>
          <w:sz w:val="44"/>
          <w:szCs w:val="44"/>
          <w:highlight w:val="none"/>
        </w:rPr>
        <w:t xml:space="preserve">第一章 招标公告</w:t>
      </w:r>
      <w:r/>
    </w:p>
    <w:p>
      <w:pPr>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50" w:lineRule="exact"/>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阜宁县生物多样性本底调查项目</w:t>
      </w:r>
      <w:r>
        <w:rPr>
          <w:rFonts w:hint="eastAsia" w:ascii="宋体" w:hAnsi="宋体"/>
          <w:color w:val="auto"/>
          <w:sz w:val="24"/>
          <w:szCs w:val="24"/>
          <w:highlight w:val="none"/>
        </w:rPr>
        <w:t xml:space="preserve">招标项目的潜在投标人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在“苏采云”系统内免费下载（投标人必须在苏采云系统中获取采购文件，方能参与政府采购项目），并于</w:t>
      </w:r>
      <w:r>
        <w:rPr>
          <w:rFonts w:hint="eastAsia" w:ascii="宋体" w:hAnsi="宋体"/>
          <w:color w:val="auto"/>
          <w:sz w:val="24"/>
          <w:szCs w:val="24"/>
          <w:highlight w:val="none"/>
          <w:u w:val="single"/>
          <w:lang w:eastAsia="zh-CN"/>
        </w:rPr>
        <w:t xml:space="preserve">2026年0</w:t>
      </w:r>
      <w:r>
        <w:rPr>
          <w:rFonts w:hint="eastAsia" w:ascii="宋体" w:hAnsi="宋体"/>
          <w:color w:val="auto"/>
          <w:sz w:val="24"/>
          <w:szCs w:val="24"/>
          <w:highlight w:val="none"/>
          <w:u w:val="single"/>
          <w:lang w:val="en-US" w:eastAsia="zh-CN"/>
        </w:rPr>
        <w:t xml:space="preserve">7</w:t>
      </w:r>
      <w:r>
        <w:rPr>
          <w:rFonts w:hint="eastAsia" w:ascii="宋体" w:hAnsi="宋体"/>
          <w:color w:val="auto"/>
          <w:sz w:val="24"/>
          <w:szCs w:val="24"/>
          <w:highlight w:val="none"/>
          <w:u w:val="single"/>
          <w:lang w:eastAsia="zh-CN"/>
        </w:rPr>
        <w:t xml:space="preserve">月</w:t>
      </w:r>
      <w:r>
        <w:rPr>
          <w:rFonts w:hint="eastAsia" w:ascii="宋体" w:hAnsi="宋体"/>
          <w:color w:val="auto"/>
          <w:sz w:val="24"/>
          <w:szCs w:val="24"/>
          <w:highlight w:val="none"/>
          <w:u w:val="single"/>
          <w:lang w:val="en-US" w:eastAsia="zh-CN"/>
        </w:rPr>
        <w:t xml:space="preserve">27</w:t>
      </w:r>
      <w:r>
        <w:rPr>
          <w:rFonts w:hint="eastAsia" w:ascii="宋体" w:hAnsi="宋体"/>
          <w:color w:val="auto"/>
          <w:sz w:val="24"/>
          <w:szCs w:val="24"/>
          <w:highlight w:val="none"/>
          <w:u w:val="single"/>
          <w:lang w:eastAsia="zh-CN"/>
        </w:rPr>
        <w:t xml:space="preserve">日</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lang w:eastAsia="zh-CN"/>
        </w:rPr>
        <w:t xml:space="preserve">点00分</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80"/>
        <w:pageBreakBefore w:val="0"/>
        <w:spacing w:line="400" w:lineRule="exact"/>
        <w:rPr>
          <w:rFonts w:hint="eastAsia" w:ascii="宋体" w:hAnsi="宋体"/>
          <w:b/>
          <w:color w:val="auto"/>
          <w:sz w:val="24"/>
          <w:szCs w:val="24"/>
          <w:highlight w:val="none"/>
        </w:rPr>
      </w:pPr>
      <w:r/>
      <w:bookmarkStart w:id="0" w:name="_Toc28359002"/>
      <w:r/>
      <w:bookmarkStart w:id="1" w:name="_Toc38985263"/>
      <w:r/>
      <w:bookmarkStart w:id="2" w:name="_Toc28359079"/>
      <w:r/>
      <w:bookmarkStart w:id="3" w:name="_Toc35393790"/>
      <w:r/>
      <w:bookmarkStart w:id="4" w:name="_Toc35393621"/>
      <w:r/>
      <w:bookmarkStart w:id="5" w:name="_Hlk24379207"/>
      <w:r>
        <w:rPr>
          <w:rFonts w:hint="eastAsia" w:ascii="宋体" w:hAnsi="宋体"/>
          <w:b/>
          <w:color w:val="auto"/>
          <w:sz w:val="24"/>
          <w:szCs w:val="24"/>
          <w:highlight w:val="none"/>
        </w:rPr>
        <w:t xml:space="preserve">一、项目基本情况</w:t>
      </w:r>
      <w:bookmarkEnd w:id="0"/>
      <w:r/>
      <w:bookmarkEnd w:id="1"/>
      <w:r/>
      <w:bookmarkEnd w:id="2"/>
      <w:r/>
      <w:bookmarkEnd w:id="3"/>
      <w:r/>
      <w:bookmarkEnd w:id="4"/>
      <w:r/>
      <w:bookmarkEnd w:id="5"/>
      <w:r/>
      <w:r/>
    </w:p>
    <w:p>
      <w:pPr>
        <w:ind w:firstLine="480"/>
        <w:pageBreakBefore w:val="0"/>
        <w:spacing w:line="400" w:lineRule="exact"/>
        <w:rPr>
          <w:rFonts w:hint="eastAsia" w:ascii="宋体" w:hAnsi="宋体" w:eastAsia="宋体"/>
          <w:color w:val="auto"/>
          <w:sz w:val="24"/>
          <w:szCs w:val="24"/>
          <w:highlight w:val="none"/>
          <w:lang w:eastAsia="zh-CN"/>
        </w:rPr>
      </w:pPr>
      <w:r/>
      <w:bookmarkStart w:id="6" w:name="_Toc35393622"/>
      <w:r/>
      <w:bookmarkStart w:id="7" w:name="_Toc35393791"/>
      <w:r/>
      <w:bookmarkStart w:id="8" w:name="_Toc38985264"/>
      <w:r/>
      <w:bookmarkStart w:id="9" w:name="_Toc28359003"/>
      <w:r/>
      <w:bookmarkStart w:id="10" w:name="_Toc28359080"/>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JSZC-320923-SWGC-G2026-0091</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阜宁县生物多样性本底调查项目</w:t>
      </w:r>
      <w:r>
        <w:rPr>
          <w:rFonts w:hint="eastAsia" w:ascii="宋体" w:hAnsi="宋体"/>
          <w:color w:val="auto"/>
          <w:sz w:val="24"/>
          <w:szCs w:val="24"/>
          <w:highlight w:val="none"/>
        </w:rPr>
        <w:tab/>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3.采购方式：公开招标</w:t>
      </w:r>
      <w:r/>
    </w:p>
    <w:p>
      <w:pPr>
        <w:pStyle w:val="748"/>
        <w:ind w:firstLine="480"/>
        <w:jc w:val="both"/>
        <w:pageBreakBefore w:val="0"/>
        <w:spacing w:beforeAutospacing="0" w:afterAutospacing="0" w:line="4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4.预算金额：</w:t>
      </w:r>
      <w:r>
        <w:rPr>
          <w:rFonts w:hint="eastAsia" w:cs="Times New Roman"/>
          <w:color w:val="auto"/>
          <w:sz w:val="24"/>
          <w:szCs w:val="24"/>
          <w:highlight w:val="none"/>
          <w:lang w:val="en-US" w:eastAsia="zh-CN" w:bidi="ar-SA"/>
        </w:rPr>
        <w:t xml:space="preserve">170</w:t>
      </w:r>
      <w:r>
        <w:rPr>
          <w:rFonts w:hint="eastAsia" w:ascii="宋体" w:hAnsi="宋体" w:eastAsia="宋体" w:cs="Times New Roman"/>
          <w:color w:val="auto"/>
          <w:sz w:val="24"/>
          <w:szCs w:val="24"/>
          <w:highlight w:val="none"/>
          <w:lang w:val="en-US" w:eastAsia="zh-CN" w:bidi="ar-SA"/>
        </w:rPr>
        <w:t xml:space="preserve">万元</w:t>
      </w:r>
      <w:r/>
    </w:p>
    <w:p>
      <w:pPr>
        <w:pStyle w:val="748"/>
        <w:ind w:firstLine="480"/>
        <w:jc w:val="both"/>
        <w:pageBreakBefore w:val="0"/>
        <w:spacing w:beforeAutospacing="0" w:afterAutospacing="0" w:line="40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5.最高限价：</w:t>
      </w:r>
      <w:r>
        <w:rPr>
          <w:rFonts w:hint="eastAsia" w:cs="Times New Roman"/>
          <w:color w:val="auto"/>
          <w:sz w:val="24"/>
          <w:szCs w:val="24"/>
          <w:highlight w:val="none"/>
          <w:lang w:val="en-US" w:eastAsia="zh-CN" w:bidi="ar-SA"/>
        </w:rPr>
        <w:t xml:space="preserve">170</w:t>
      </w:r>
      <w:r>
        <w:rPr>
          <w:rFonts w:hint="eastAsia" w:ascii="宋体" w:hAnsi="宋体" w:eastAsia="宋体" w:cs="Times New Roman"/>
          <w:color w:val="auto"/>
          <w:sz w:val="24"/>
          <w:szCs w:val="24"/>
          <w:highlight w:val="none"/>
          <w:lang w:val="en-US" w:eastAsia="zh-CN" w:bidi="ar-SA"/>
        </w:rPr>
        <w:t xml:space="preserve">万元</w:t>
      </w:r>
      <w:r/>
    </w:p>
    <w:p>
      <w:pPr>
        <w:pStyle w:val="748"/>
        <w:numPr>
          <w:ilvl w:val="0"/>
          <w:numId w:val="4"/>
        </w:numPr>
        <w:ind w:firstLine="480"/>
        <w:jc w:val="both"/>
        <w:pageBreakBefore w:val="0"/>
        <w:spacing w:beforeAutospacing="0" w:afterAutospacing="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采购需求（简介）：</w:t>
      </w:r>
      <w:r>
        <w:rPr>
          <w:rFonts w:hint="eastAsia" w:cs="宋体"/>
          <w:color w:val="000000"/>
          <w:sz w:val="24"/>
          <w:szCs w:val="24"/>
          <w:highlight w:val="none"/>
          <w:lang w:eastAsia="zh-CN"/>
        </w:rPr>
        <w:t xml:space="preserve">阜宁县生物多样性本底调查项目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主要内容</w:t>
      </w:r>
      <w:r>
        <w:rPr>
          <w:rFonts w:hint="eastAsia" w:ascii="宋体" w:hAnsi="宋体" w:eastAsia="宋体" w:cs="宋体"/>
          <w:color w:val="000000"/>
          <w:sz w:val="24"/>
          <w:szCs w:val="24"/>
          <w:highlight w:val="none"/>
        </w:rPr>
        <w:t xml:space="preserve">为</w:t>
      </w:r>
      <w:r>
        <w:rPr>
          <w:rFonts w:hint="eastAsia" w:cs="宋体"/>
          <w:color w:val="000000"/>
          <w:sz w:val="24"/>
          <w:szCs w:val="24"/>
          <w:highlight w:val="none"/>
          <w:lang w:val="en-US" w:eastAsia="zh-CN"/>
        </w:rPr>
        <w:t xml:space="preserve">根据</w:t>
      </w:r>
      <w:r>
        <w:rPr>
          <w:rFonts w:hint="eastAsia" w:cs="宋体"/>
          <w:color w:val="000000"/>
          <w:sz w:val="24"/>
          <w:szCs w:val="24"/>
          <w:highlight w:val="none"/>
          <w:lang w:eastAsia="zh-CN"/>
        </w:rPr>
        <w:t xml:space="preserve">《江苏省生物多样性保护战略与行动纲要（2024-203</w:t>
      </w:r>
      <w:r>
        <w:rPr>
          <w:rFonts w:hint="eastAsia" w:cs="宋体"/>
          <w:color w:val="000000"/>
          <w:sz w:val="24"/>
          <w:szCs w:val="24"/>
          <w:highlight w:val="none"/>
          <w:lang w:eastAsia="zh-CN"/>
        </w:rPr>
        <w:t xml:space="preserve">5年）》（苏环发〔2024〕11号）、《省生态环境厅关于印发&lt;江苏省新一轮生物多样性调查工作方案&gt;的通知》（苏环办〔2025〕177号），对生物多样性调查监测工作作出具体部署，要求通过新一轮调查，更新完善我省生物多样性本底数据，掌握生态系统多样性和物种多样性现状及变化情况，推动重要生态系统、生物物种和生物遗传资源得到全面有效保护。根据《省生态环境厅关于印发&lt;江苏省新一轮生物多样性调查工作方案&gt;的通知》（苏环办〔2025〕177号）中的报告文本要求，提交生物多样性本底调查实施方案、工作报告、技术报告和编目报告</w:t>
      </w:r>
      <w:r>
        <w:rPr>
          <w:rFonts w:hint="eastAsia" w:ascii="宋体" w:hAnsi="宋体" w:eastAsia="宋体" w:cs="宋体"/>
          <w:color w:val="000000"/>
          <w:sz w:val="24"/>
          <w:szCs w:val="24"/>
          <w:highlight w:val="none"/>
        </w:rPr>
        <w:t xml:space="preserve">等工作</w:t>
      </w:r>
      <w:r>
        <w:rPr>
          <w:rFonts w:hint="eastAsia" w:ascii="宋体" w:hAnsi="宋体"/>
          <w:color w:val="auto"/>
          <w:sz w:val="24"/>
          <w:szCs w:val="24"/>
          <w:highlight w:val="none"/>
          <w:lang w:eastAsia="zh-CN"/>
        </w:rPr>
        <w:t xml:space="preserve">（详细内容见本招标文件第四章）</w:t>
      </w:r>
      <w:r>
        <w:rPr>
          <w:rFonts w:hint="eastAsia" w:ascii="宋体" w:hAnsi="宋体" w:eastAsia="宋体" w:cs="宋体"/>
          <w:color w:val="000000"/>
          <w:sz w:val="24"/>
          <w:szCs w:val="24"/>
          <w:highlight w:val="none"/>
        </w:rPr>
        <w:t xml:space="preserve">。</w:t>
      </w:r>
      <w:r/>
    </w:p>
    <w:p>
      <w:pPr>
        <w:pStyle w:val="748"/>
        <w:ind w:firstLine="480"/>
        <w:jc w:val="both"/>
        <w:pageBreakBefore w:val="0"/>
        <w:spacing w:beforeAutospacing="0" w:afterAutospacing="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cs="宋体"/>
          <w:color w:val="000000"/>
          <w:sz w:val="24"/>
          <w:szCs w:val="24"/>
          <w:highlight w:val="none"/>
          <w:lang w:eastAsia="zh-CN"/>
        </w:rPr>
        <w:t xml:space="preserve">供应商需在中标后1个月内编制并提交实施方案，中标后12个月内完成野外调查，中标后15个月内编制完成全部成果报告并通过验收</w:t>
      </w:r>
      <w:r>
        <w:rPr>
          <w:rFonts w:hint="eastAsia" w:ascii="宋体" w:hAnsi="宋体" w:eastAsia="宋体" w:cs="宋体"/>
          <w:color w:val="000000"/>
          <w:sz w:val="24"/>
          <w:szCs w:val="24"/>
          <w:highlight w:val="none"/>
          <w:lang w:eastAsia="zh-CN"/>
        </w:rPr>
        <w:t xml:space="preserve">。</w:t>
      </w:r>
      <w:r/>
    </w:p>
    <w:p>
      <w:pPr>
        <w:pStyle w:val="748"/>
        <w:ind w:firstLine="498"/>
        <w:jc w:val="both"/>
        <w:keepLines/>
        <w:keepNext/>
        <w:pageBreakBefore w:val="0"/>
        <w:spacing w:before="145" w:beforeAutospacing="0" w:after="145" w:afterAutospacing="0" w:line="400" w:lineRule="exact"/>
        <w:rPr>
          <w:rFonts w:hint="eastAsia" w:ascii="宋体" w:hAnsi="宋体"/>
          <w:color w:val="auto"/>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color w:val="auto"/>
          <w:sz w:val="24"/>
          <w:szCs w:val="24"/>
          <w:highlight w:val="none"/>
        </w:rPr>
        <w:t xml:space="preserve">本项目（是/否）接受联合体：否。</w:t>
      </w:r>
      <w:r/>
    </w:p>
    <w:p>
      <w:pPr>
        <w:pStyle w:val="748"/>
        <w:ind w:firstLine="498"/>
        <w:jc w:val="both"/>
        <w:keepLines/>
        <w:keepNext/>
        <w:pageBreakBefore w:val="0"/>
        <w:spacing w:before="145" w:beforeAutospacing="0" w:after="145" w:afterAutospacing="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二、申请人的资格要求：</w:t>
      </w:r>
      <w:bookmarkEnd w:id="6"/>
      <w:r/>
      <w:bookmarkEnd w:id="7"/>
      <w:r/>
      <w:bookmarkEnd w:id="8"/>
      <w:r/>
      <w:bookmarkEnd w:id="9"/>
      <w:r/>
      <w:bookmarkEnd w:id="10"/>
      <w:r/>
      <w:r/>
    </w:p>
    <w:p>
      <w:pPr>
        <w:pStyle w:val="748"/>
        <w:ind w:firstLine="480"/>
        <w:jc w:val="both"/>
        <w:pageBreakBefore w:val="0"/>
        <w:spacing w:beforeAutospacing="0" w:afterAutospacing="0" w:line="400" w:lineRule="exact"/>
        <w:rPr>
          <w:rFonts w:hint="eastAsia"/>
          <w:b/>
          <w:color w:val="auto"/>
          <w:highlight w:val="none"/>
        </w:rPr>
      </w:pPr>
      <w:r/>
      <w:bookmarkStart w:id="11" w:name="_Toc28359081"/>
      <w:r/>
      <w:bookmarkStart w:id="12" w:name="_Toc35393792"/>
      <w:r/>
      <w:bookmarkStart w:id="13" w:name="_Toc28359004"/>
      <w:r/>
      <w:bookmarkStart w:id="14" w:name="_Toc38985265"/>
      <w:r/>
      <w:bookmarkStart w:id="15" w:name="_Toc35393623"/>
      <w:r>
        <w:rPr>
          <w:rFonts w:hint="eastAsia"/>
          <w:b/>
          <w:color w:val="auto"/>
          <w:highlight w:val="none"/>
        </w:rPr>
        <w:t xml:space="preserve">（一）满足《中华人民共和国政府采购法》第二十二条规定：</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40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4"/>
      <w:r/>
      <w:bookmarkStart w:id="17" w:name="OLE_LINK5"/>
      <w:r>
        <w:rPr>
          <w:rFonts w:hint="eastAsia" w:ascii="宋体" w:hAnsi="宋体"/>
          <w:color w:val="auto"/>
          <w:sz w:val="24"/>
          <w:szCs w:val="24"/>
          <w:highlight w:val="none"/>
        </w:rPr>
        <w:t xml:space="preserve">法人或者其他组织</w:t>
      </w:r>
      <w:r>
        <w:rPr>
          <w:rFonts w:hint="eastAsia" w:ascii="宋体" w:hAnsi="宋体" w:eastAsia="宋体" w:cs="Times New Roman"/>
          <w:color w:val="auto"/>
          <w:sz w:val="24"/>
          <w:szCs w:val="24"/>
          <w:highlight w:val="none"/>
        </w:rPr>
        <w:t xml:space="preserve">的营业执照等证明文件，自然人的身份证明</w:t>
      </w:r>
      <w:bookmarkEnd w:id="16"/>
      <w:r/>
      <w:bookmarkEnd w:id="17"/>
      <w:r>
        <w:rPr>
          <w:rFonts w:hint="eastAsia" w:ascii="宋体" w:hAnsi="宋体" w:eastAsia="宋体" w:cs="Times New Roman"/>
          <w:color w:val="auto"/>
          <w:sz w:val="24"/>
          <w:szCs w:val="24"/>
          <w:highlight w:val="none"/>
        </w:rPr>
        <w:t xml:space="preserve">；</w:t>
      </w:r>
      <w:r/>
    </w:p>
    <w:p>
      <w:pPr>
        <w:ind w:firstLine="480"/>
        <w:pageBreakBefore w:val="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bookmarkStart w:id="18" w:name="OLE_LINK6"/>
      <w:r/>
      <w:bookmarkStart w:id="19" w:name="OLE_LINK9"/>
      <w:r/>
      <w:bookmarkStart w:id="20" w:name="OLE_LINK8"/>
      <w:r/>
      <w:bookmarkStart w:id="21" w:name="OLE_LINK7"/>
      <w:r>
        <w:rPr>
          <w:rFonts w:hint="eastAsia" w:ascii="宋体" w:hAnsi="宋体" w:cs="Times New Roman"/>
          <w:color w:val="auto"/>
          <w:sz w:val="24"/>
          <w:szCs w:val="24"/>
          <w:highlight w:val="none"/>
          <w:lang w:eastAsia="zh-CN"/>
        </w:rPr>
        <w:t xml:space="preserve">上一年度（2025年度）的财务状况报告</w:t>
      </w:r>
      <w:r>
        <w:rPr>
          <w:rFonts w:hint="eastAsia" w:ascii="宋体" w:hAnsi="宋体" w:eastAsia="宋体" w:cs="Times New Roman"/>
          <w:color w:val="auto"/>
          <w:sz w:val="24"/>
          <w:szCs w:val="24"/>
          <w:highlight w:val="none"/>
        </w:rPr>
        <w:t xml:space="preserve">（财务报告至少应包括资产负债表、利润表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距投标截止之日止，成立不满一年的</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无需提供）；</w:t>
      </w:r>
      <w:bookmarkEnd w:id="18"/>
      <w:r/>
      <w:bookmarkEnd w:id="19"/>
      <w:r/>
      <w:bookmarkEnd w:id="20"/>
      <w:r/>
      <w:bookmarkEnd w:id="21"/>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w:t>
      </w:r>
      <w:bookmarkStart w:id="22" w:name="OLE_LINK11"/>
      <w:r/>
      <w:bookmarkStart w:id="23" w:name="OLE_LINK10"/>
      <w:r>
        <w:rPr>
          <w:rFonts w:hint="eastAsia" w:ascii="宋体" w:hAnsi="宋体"/>
          <w:color w:val="auto"/>
          <w:sz w:val="24"/>
          <w:szCs w:val="24"/>
          <w:highlight w:val="none"/>
        </w:rPr>
        <w:t xml:space="preserve">具备履行合同所必需的设备和专业技术能力的书面声明</w:t>
      </w:r>
      <w:bookmarkEnd w:id="22"/>
      <w:r/>
      <w:bookmarkEnd w:id="23"/>
      <w:r>
        <w:rPr>
          <w:rFonts w:hint="eastAsia" w:ascii="宋体" w:hAnsi="宋体"/>
          <w:color w:val="auto"/>
          <w:sz w:val="24"/>
          <w:szCs w:val="24"/>
          <w:highlight w:val="none"/>
        </w:rPr>
        <w:t xml:space="preserve">；</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w:t>
      </w:r>
      <w:bookmarkStart w:id="24" w:name="OLE_LINK13"/>
      <w:r/>
      <w:bookmarkStart w:id="25" w:name="OLE_LINK12"/>
      <w:r>
        <w:rPr>
          <w:rFonts w:hint="eastAsia" w:ascii="宋体" w:hAnsi="宋体"/>
          <w:color w:val="auto"/>
          <w:sz w:val="24"/>
          <w:szCs w:val="24"/>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依法享受缓缴、免缴税收、社会保障资金的提供证明材料。）；</w:t>
      </w:r>
      <w:bookmarkEnd w:id="24"/>
      <w:r/>
      <w:bookmarkEnd w:id="25"/>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1.6法律、行政法规规定的其他条件；</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1.8单位负责人为同一人或者存在直接控股、管理关系的不同</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，不得参加同一合同项下的政府采购活动。</w:t>
      </w:r>
      <w:bookmarkEnd w:id="11"/>
      <w:r/>
      <w:bookmarkEnd w:id="12"/>
      <w:r/>
      <w:bookmarkEnd w:id="13"/>
      <w:r/>
      <w:bookmarkEnd w:id="14"/>
      <w:r/>
      <w:bookmarkEnd w:id="15"/>
      <w:r/>
      <w:r/>
    </w:p>
    <w:p>
      <w:pPr>
        <w:ind w:firstLine="480"/>
        <w:spacing w:line="450" w:lineRule="exact"/>
        <w:rPr>
          <w:rFonts w:hint="eastAsia" w:ascii="宋体" w:hAnsi="宋体"/>
          <w:b/>
          <w:bCs/>
          <w:color w:val="auto"/>
          <w:sz w:val="24"/>
          <w:szCs w:val="24"/>
          <w:highlight w:val="none"/>
        </w:rPr>
      </w:pPr>
      <w:r/>
      <w:bookmarkStart w:id="26" w:name="_Toc28359005"/>
      <w:r/>
      <w:bookmarkStart w:id="27" w:name="_Toc28359082"/>
      <w:r/>
      <w:bookmarkStart w:id="28" w:name="_Toc35393793"/>
      <w:r/>
      <w:bookmarkStart w:id="29" w:name="_Toc38985266"/>
      <w:r/>
      <w:bookmarkStart w:id="30" w:name="_Toc35393624"/>
      <w:r>
        <w:rPr>
          <w:rFonts w:hint="eastAsia" w:ascii="宋体" w:hAnsi="宋体" w:eastAsia="宋体"/>
          <w:b/>
          <w:bCs/>
          <w:color w:val="auto"/>
          <w:sz w:val="24"/>
          <w:szCs w:val="24"/>
          <w:highlight w:val="none"/>
        </w:rPr>
        <w:t xml:space="preserve">2.落实政府采购政策需满足的资格要求：</w:t>
      </w:r>
      <w:r>
        <w:rPr>
          <w:rFonts w:hint="eastAsia" w:ascii="宋体" w:hAnsi="宋体"/>
          <w:b/>
          <w:bCs/>
          <w:color w:val="auto"/>
          <w:sz w:val="24"/>
          <w:szCs w:val="24"/>
          <w:highlight w:val="none"/>
        </w:rPr>
        <w:t xml:space="preserve">本项目专门面向中小企业采购，只接受中小微企业投标，响应文件中提供《中小企业声明函》并加盖公章。</w:t>
      </w:r>
      <w:r/>
    </w:p>
    <w:p>
      <w:pPr>
        <w:ind w:firstLine="480"/>
        <w:spacing w:line="45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特别说明：</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予以关注。</w:t>
      </w:r>
      <w:r/>
    </w:p>
    <w:p>
      <w:pPr>
        <w:ind w:firstLine="480"/>
        <w:pageBreakBefore w:val="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3.本项目的特定资格要求：无</w:t>
      </w:r>
      <w:r/>
    </w:p>
    <w:p>
      <w:pPr>
        <w:ind w:firstLine="48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三、获取招标文件</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1.时间：自招标文件公告发布之日起5个工作日 。</w:t>
      </w:r>
      <w:r/>
    </w:p>
    <w:p>
      <w:pPr>
        <w:ind w:firstLine="480"/>
        <w:pageBreakBefore w:val="0"/>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2.地点：</w:t>
      </w:r>
      <w:r>
        <w:rPr>
          <w:rFonts w:hint="eastAsia" w:ascii="宋体" w:hAnsi="宋体"/>
          <w:bCs/>
          <w:color w:val="auto"/>
          <w:sz w:val="24"/>
          <w:szCs w:val="24"/>
          <w:highlight w:val="none"/>
          <w:lang w:val="en-US" w:eastAsia="zh-CN"/>
        </w:rPr>
        <w:t xml:space="preserve">在</w:t>
      </w:r>
      <w:r>
        <w:rPr>
          <w:rFonts w:hint="eastAsia" w:ascii="宋体" w:hAnsi="宋体"/>
          <w:bCs/>
          <w:color w:val="auto"/>
          <w:sz w:val="24"/>
          <w:szCs w:val="24"/>
          <w:highlight w:val="none"/>
        </w:rPr>
        <w:t xml:space="preserve">“苏采云”系统内免费下载(投标人必须在苏采云系统中获取采购文件，方能参与政府采购项目)</w:t>
      </w:r>
      <w:r>
        <w:rPr>
          <w:rFonts w:hint="eastAsia" w:ascii="宋体" w:hAnsi="宋体"/>
          <w:bCs/>
          <w:color w:val="auto"/>
          <w:sz w:val="24"/>
          <w:szCs w:val="24"/>
          <w:highlight w:val="none"/>
          <w:lang w:eastAsia="zh-CN"/>
        </w:rPr>
        <w:t xml:space="preserve">。</w:t>
      </w:r>
      <w:r/>
    </w:p>
    <w:p>
      <w:pPr>
        <w:pStyle w:val="748"/>
        <w:ind w:firstLine="480"/>
        <w:jc w:val="both"/>
        <w:pageBreakBefore w:val="0"/>
        <w:spacing w:beforeAutospacing="0" w:afterAutospacing="0" w:line="400" w:lineRule="exact"/>
        <w:rPr>
          <w:rFonts w:hint="eastAsia"/>
          <w:color w:val="auto"/>
          <w:highlight w:val="none"/>
        </w:rPr>
      </w:pPr>
      <w:r>
        <w:rPr>
          <w:rFonts w:hint="eastAsia"/>
          <w:bCs/>
          <w:color w:val="auto"/>
          <w:highlight w:val="none"/>
        </w:rPr>
        <w:t xml:space="preserve">3.方式：</w:t>
      </w:r>
      <w:r>
        <w:rPr>
          <w:rFonts w:hint="eastAsia"/>
          <w:bCs/>
          <w:color w:val="auto"/>
          <w:highlight w:val="none"/>
          <w:lang w:val="en-US" w:eastAsia="zh-CN"/>
        </w:rPr>
        <w:t xml:space="preserve">本项目采用网上注册登记方式。</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4.售价：0元</w:t>
      </w:r>
      <w:r/>
    </w:p>
    <w:p>
      <w:pPr>
        <w:ind w:firstLine="48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四、提交投标文件</w:t>
      </w:r>
      <w:bookmarkEnd w:id="26"/>
      <w:r/>
      <w:bookmarkEnd w:id="27"/>
      <w:r>
        <w:rPr>
          <w:rFonts w:hint="eastAsia" w:ascii="宋体" w:hAnsi="宋体"/>
          <w:b/>
          <w:color w:val="auto"/>
          <w:sz w:val="24"/>
          <w:szCs w:val="24"/>
          <w:highlight w:val="none"/>
        </w:rPr>
        <w:t xml:space="preserve">截止时间、开标时间和地点</w:t>
      </w:r>
      <w:bookmarkEnd w:id="28"/>
      <w:r/>
      <w:bookmarkEnd w:id="29"/>
      <w:r/>
      <w:bookmarkEnd w:id="30"/>
      <w:r/>
      <w:r/>
    </w:p>
    <w:p>
      <w:pPr>
        <w:ind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1、时间：</w:t>
      </w:r>
      <w:r>
        <w:rPr>
          <w:rFonts w:hint="eastAsia" w:ascii="宋体" w:hAnsi="宋体"/>
          <w:color w:val="auto"/>
          <w:sz w:val="24"/>
          <w:szCs w:val="24"/>
          <w:highlight w:val="none"/>
          <w:lang w:eastAsia="zh-CN"/>
        </w:rPr>
        <w:t xml:space="preserve">2026年0</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27</w:t>
      </w:r>
      <w:r>
        <w:rPr>
          <w:rFonts w:hint="eastAsia" w:ascii="宋体" w:hAnsi="宋体"/>
          <w:color w:val="auto"/>
          <w:sz w:val="24"/>
          <w:szCs w:val="24"/>
          <w:highlight w:val="none"/>
          <w:lang w:eastAsia="zh-CN"/>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lang w:eastAsia="zh-CN"/>
        </w:rPr>
        <w:t xml:space="preserve">点00分</w:t>
      </w:r>
      <w:r>
        <w:rPr>
          <w:rFonts w:hint="eastAsia" w:ascii="宋体" w:hAnsi="宋体"/>
          <w:color w:val="auto"/>
          <w:sz w:val="24"/>
          <w:szCs w:val="24"/>
          <w:highlight w:val="none"/>
        </w:rPr>
        <w:t xml:space="preserve">（北京时间）</w:t>
      </w:r>
      <w:r/>
    </w:p>
    <w:p>
      <w:pPr>
        <w:ind w:firstLine="480"/>
        <w:pageBreakBefore w:val="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2、地点：“苏采云”政府采购交易系统网上开标大厅。</w:t>
      </w:r>
      <w:r/>
    </w:p>
    <w:p>
      <w:pPr>
        <w:ind w:firstLine="480"/>
        <w:pageBreakBefore w:val="0"/>
        <w:spacing w:line="400" w:lineRule="exact"/>
        <w:rPr>
          <w:rFonts w:hint="eastAsia" w:ascii="宋体" w:hAnsi="宋体"/>
          <w:b/>
          <w:color w:val="auto"/>
          <w:sz w:val="24"/>
          <w:szCs w:val="24"/>
          <w:highlight w:val="none"/>
        </w:rPr>
      </w:pPr>
      <w:r/>
      <w:bookmarkStart w:id="31" w:name="_Toc28359084"/>
      <w:r/>
      <w:bookmarkStart w:id="32" w:name="_Toc28359007"/>
      <w:r/>
      <w:bookmarkStart w:id="33" w:name="_Toc35393625"/>
      <w:r/>
      <w:bookmarkStart w:id="34" w:name="_Toc35393794"/>
      <w:r/>
      <w:bookmarkStart w:id="35" w:name="_Toc38985267"/>
      <w:r>
        <w:rPr>
          <w:rFonts w:hint="eastAsia" w:ascii="宋体" w:hAnsi="宋体"/>
          <w:b/>
          <w:color w:val="auto"/>
          <w:sz w:val="24"/>
          <w:szCs w:val="24"/>
          <w:highlight w:val="none"/>
        </w:rPr>
        <w:t xml:space="preserve">五、公告期限</w:t>
      </w:r>
      <w:bookmarkEnd w:id="31"/>
      <w:r/>
      <w:bookmarkEnd w:id="32"/>
      <w:r/>
      <w:bookmarkEnd w:id="33"/>
      <w:r/>
      <w:bookmarkEnd w:id="34"/>
      <w:r/>
      <w:bookmarkEnd w:id="35"/>
      <w:r/>
      <w:r/>
    </w:p>
    <w:p>
      <w:pPr>
        <w:ind w:firstLine="480"/>
        <w:pageBreakBefore w:val="0"/>
        <w:spacing w:line="400" w:lineRule="exact"/>
        <w:rPr>
          <w:rFonts w:hint="eastAsia" w:ascii="宋体" w:hAnsi="宋体"/>
          <w:color w:val="auto"/>
          <w:sz w:val="24"/>
          <w:szCs w:val="24"/>
          <w:highlight w:val="none"/>
        </w:rPr>
      </w:pPr>
      <w:r/>
      <w:bookmarkStart w:id="36" w:name="_Toc35393626"/>
      <w:r/>
      <w:bookmarkStart w:id="37" w:name="_Toc35393795"/>
      <w:r/>
      <w:bookmarkStart w:id="38" w:name="_Toc38985268"/>
      <w:r>
        <w:rPr>
          <w:rFonts w:hint="eastAsia" w:ascii="宋体" w:hAnsi="宋体"/>
          <w:color w:val="auto"/>
          <w:sz w:val="24"/>
          <w:szCs w:val="24"/>
          <w:highlight w:val="none"/>
        </w:rPr>
        <w:t xml:space="preserve">自本公告发布之日起5个工作日。</w:t>
      </w:r>
      <w:r/>
    </w:p>
    <w:p>
      <w:pPr>
        <w:ind w:firstLine="480"/>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bookmarkEnd w:id="36"/>
      <w:r/>
      <w:bookmarkEnd w:id="37"/>
      <w:r/>
      <w:bookmarkEnd w:id="38"/>
      <w:r/>
      <w:r/>
    </w:p>
    <w:p>
      <w:pPr>
        <w:ind w:firstLine="480"/>
        <w:pageBreakBefore w:val="0"/>
        <w:spacing w:line="400" w:lineRule="exact"/>
        <w:rPr>
          <w:rFonts w:hint="eastAsia" w:ascii="宋体" w:hAnsi="宋体"/>
          <w:bCs/>
          <w:color w:val="auto"/>
          <w:sz w:val="24"/>
          <w:szCs w:val="24"/>
          <w:highlight w:val="none"/>
        </w:rPr>
      </w:pPr>
      <w:r/>
      <w:bookmarkStart w:id="39" w:name="_Toc38985269"/>
      <w:r/>
      <w:bookmarkStart w:id="40" w:name="_Toc28359085"/>
      <w:r/>
      <w:bookmarkStart w:id="41" w:name="_Toc35393796"/>
      <w:r/>
      <w:bookmarkStart w:id="42" w:name="_Toc28359008"/>
      <w:r/>
      <w:bookmarkStart w:id="43" w:name="_Toc35393627"/>
      <w:r>
        <w:rPr>
          <w:rFonts w:hint="eastAsia" w:ascii="宋体" w:hAnsi="宋体"/>
          <w:bCs/>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盐城市盐都区府西路1号四楼盐城市公共资源交易中心</w:t>
      </w:r>
      <w:r>
        <w:rPr>
          <w:rFonts w:hint="eastAsia" w:ascii="宋体" w:hAnsi="宋体"/>
          <w:bCs/>
          <w:color w:val="auto"/>
          <w:sz w:val="24"/>
          <w:szCs w:val="24"/>
          <w:highlight w:val="none"/>
        </w:rPr>
        <w:t xml:space="preserve">办理，联系电话：15051556883，办理邮箱：yancheng@ideabank.net.cn，具体联系方式见《苏采云系统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操作手册》（以下简称《操作手册》））、进行注册并按《操作手册》要求制作、上传电子投标文件,《苏采云系统</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操作手册》：在盐城市政府采购网点击【办事指南】-【</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参与政府采购活动相关资料】。</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投标人在使用系统进行投标的过程中如遇到涉及“苏采云”系统使用的任何问题，应在工作日期间致电技术支持热线咨询，联系电话：0519-86722805、0519-86722801。</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3.本次招标不收取投标保证金，不收取质量保证金</w:t>
      </w:r>
      <w:r>
        <w:rPr>
          <w:rFonts w:hint="eastAsia" w:ascii="宋体" w:hAnsi="宋体"/>
          <w:bCs/>
          <w:color w:val="auto"/>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不收履约保证金</w:t>
      </w:r>
      <w:r>
        <w:rPr>
          <w:rFonts w:hint="eastAsia" w:ascii="宋体" w:hAnsi="宋体"/>
          <w:bCs/>
          <w:color w:val="auto"/>
          <w:sz w:val="24"/>
          <w:szCs w:val="24"/>
          <w:highlight w:val="none"/>
        </w:rPr>
        <w:t xml:space="preserve">。</w:t>
      </w:r>
      <w:r/>
    </w:p>
    <w:p>
      <w:pPr>
        <w:ind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4.因</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的系统环境、操作等原因导致报名、开评标过程中出现问题由</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自行承担负责。</w:t>
      </w:r>
      <w:r/>
    </w:p>
    <w:p>
      <w:pPr>
        <w:ind w:firstLine="480"/>
        <w:pageBreakBefore w:val="0"/>
        <w:spacing w:line="400" w:lineRule="exact"/>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 xml:space="preserve">七、本次招标联系方式</w:t>
      </w:r>
      <w:bookmarkEnd w:id="39"/>
      <w:r/>
      <w:bookmarkEnd w:id="40"/>
      <w:r/>
      <w:bookmarkEnd w:id="41"/>
      <w:r/>
      <w:bookmarkEnd w:id="42"/>
      <w:r/>
      <w:bookmarkEnd w:id="43"/>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称：盐城市阜宁生态环境局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址：阜宁县城南大厦C座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cs="宋体"/>
          <w:i w:val="0"/>
          <w:iCs w:val="0"/>
          <w:caps w:val="0"/>
          <w:color w:val="333333"/>
          <w:spacing w:val="0"/>
          <w:sz w:val="24"/>
          <w:szCs w:val="24"/>
          <w:highlight w:val="none"/>
          <w:shd w:val="clear" w:color="auto" w:fill="ffffff"/>
          <w:lang w:val="en-US" w:eastAsia="zh-CN"/>
        </w:rPr>
        <w:t xml:space="preserve">陈斌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cs="宋体"/>
          <w:i w:val="0"/>
          <w:iCs w:val="0"/>
          <w:caps w:val="0"/>
          <w:color w:val="333333"/>
          <w:spacing w:val="0"/>
          <w:sz w:val="24"/>
          <w:szCs w:val="24"/>
          <w:highlight w:val="none"/>
          <w:shd w:val="clear" w:color="auto" w:fill="ffffff"/>
          <w:lang w:val="en-US" w:eastAsia="zh-CN"/>
        </w:rPr>
        <w:t xml:space="preserve">13815582267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w:t>
      </w:r>
      <w:r>
        <w:rPr>
          <w:rStyle w:val="1039"/>
          <w:rFonts w:hint="eastAsia" w:ascii="宋体" w:hAnsi="宋体"/>
          <w:color w:val="auto"/>
          <w:sz w:val="24"/>
          <w:highlight w:val="none"/>
        </w:rPr>
        <w:t xml:space="preserve">江苏苏维工程管理有限公司</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址：阜宁县城南大厦A座10层</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联系人：陈婷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44" w:name="_Toc28359087"/>
      <w:r/>
      <w:bookmarkStart w:id="45"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15251035050  </w:t>
      </w:r>
      <w:bookmarkEnd w:id="44"/>
      <w:r/>
      <w:bookmarkEnd w:id="4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46"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46"/>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w:t>
      </w:r>
      <w:r>
        <w:rPr>
          <w:rFonts w:hint="eastAsia" w:cs="宋体"/>
          <w:i w:val="0"/>
          <w:iCs w:val="0"/>
          <w:caps w:val="0"/>
          <w:color w:val="333333"/>
          <w:spacing w:val="0"/>
          <w:sz w:val="24"/>
          <w:szCs w:val="24"/>
          <w:highlight w:val="none"/>
          <w:shd w:val="clear" w:color="auto" w:fill="ffffff"/>
          <w:lang w:val="en-US" w:eastAsia="zh-CN"/>
        </w:rPr>
        <w:t xml:space="preserve">陈斌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、陈婷</w:t>
      </w:r>
      <w:r/>
    </w:p>
    <w:p>
      <w:pPr>
        <w:pStyle w:val="748"/>
        <w:ind w:left="0" w:right="0" w:firstLine="560"/>
        <w:jc w:val="both"/>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w:t>
      </w:r>
      <w:r>
        <w:rPr>
          <w:rFonts w:hint="eastAsia" w:cs="宋体"/>
          <w:i w:val="0"/>
          <w:iCs w:val="0"/>
          <w:caps w:val="0"/>
          <w:color w:val="333333"/>
          <w:spacing w:val="0"/>
          <w:sz w:val="24"/>
          <w:szCs w:val="24"/>
          <w:highlight w:val="none"/>
          <w:shd w:val="clear" w:color="auto" w:fill="ffffff"/>
          <w:lang w:val="en-US" w:eastAsia="zh-CN"/>
        </w:rPr>
        <w:t xml:space="preserve">13815582267</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、15251035050</w:t>
      </w:r>
      <w:r/>
    </w:p>
    <w:p>
      <w:pPr>
        <w:ind w:firstLine="480"/>
        <w:jc w:val="righ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righ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2026年0</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03</w:t>
      </w:r>
      <w:r>
        <w:rPr>
          <w:rFonts w:hint="eastAsia" w:ascii="宋体" w:hAnsi="宋体"/>
          <w:color w:val="auto"/>
          <w:sz w:val="24"/>
          <w:szCs w:val="24"/>
          <w:highlight w:val="none"/>
          <w:lang w:eastAsia="zh-CN"/>
        </w:rPr>
        <w:t xml:space="preserve">日</w:t>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spacing w:line="450" w:lineRule="exact"/>
        <w:rPr>
          <w:rFonts w:hint="eastAsia" w:ascii="楷体_GB2312" w:hAnsi="楷体_GB2312" w:cs="楷体_GB2312"/>
          <w:color w:val="auto"/>
          <w:sz w:val="24"/>
          <w:highlight w:val="none"/>
        </w:rPr>
      </w:pPr>
      <w:r>
        <w:rPr>
          <w:rFonts w:hint="eastAsia" w:ascii="楷体_GB2312" w:hAnsi="楷体_GB2312" w:cs="楷体_GB2312"/>
          <w:color w:val="auto"/>
          <w:sz w:val="24"/>
          <w:highlight w:val="none"/>
        </w:rPr>
      </w:r>
      <w:r/>
    </w:p>
    <w:p>
      <w:pPr>
        <w:jc w:val="center"/>
        <w:spacing w:line="450" w:lineRule="exact"/>
        <w:rPr>
          <w:rFonts w:hint="eastAsia" w:ascii="黑体" w:hAnsi="Arial" w:eastAsia="黑体" w:cs="Arial"/>
          <w:b/>
          <w:bCs/>
          <w:color w:val="auto"/>
          <w:sz w:val="44"/>
          <w:szCs w:val="44"/>
          <w:highlight w:val="none"/>
        </w:rPr>
      </w:pPr>
      <w:r/>
      <w:bookmarkStart w:id="47" w:name="_Toc120614211"/>
      <w:r/>
      <w:r/>
    </w:p>
    <w:p>
      <w:pPr>
        <w:jc w:val="center"/>
        <w:spacing w:line="450" w:lineRule="exact"/>
        <w:rPr>
          <w:rFonts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47"/>
      <w:r/>
      <w:bookmarkStart w:id="48" w:name="_Toc120614213"/>
      <w:r/>
      <w:bookmarkStart w:id="49" w:name="_Toc16938518"/>
      <w:r/>
      <w:bookmarkStart w:id="50" w:name="_Toc513029202"/>
      <w:r/>
      <w:bookmarkStart w:id="51" w:name="_Toc20823274"/>
      <w:r>
        <w:rPr>
          <w:rFonts w:hint="eastAsia" w:ascii="黑体" w:hAnsi="Arial" w:eastAsia="黑体" w:cs="Arial"/>
          <w:b/>
          <w:bCs/>
          <w:color w:val="auto"/>
          <w:sz w:val="44"/>
          <w:szCs w:val="44"/>
          <w:highlight w:val="none"/>
        </w:rPr>
        <w:t xml:space="preserve">投标人须知</w:t>
      </w:r>
      <w:bookmarkEnd w:id="48"/>
      <w:r/>
      <w:bookmarkEnd w:id="49"/>
      <w:r/>
      <w:bookmarkEnd w:id="50"/>
      <w:r/>
      <w:bookmarkEnd w:id="51"/>
      <w:r/>
      <w:r/>
    </w:p>
    <w:p>
      <w:pPr>
        <w:ind w:firstLine="480"/>
        <w:spacing w:line="460" w:lineRule="exact"/>
        <w:rPr>
          <w:rFonts w:hint="eastAsia" w:ascii="宋体" w:hAnsi="宋体"/>
          <w:b/>
          <w:color w:val="auto"/>
          <w:sz w:val="24"/>
          <w:szCs w:val="24"/>
          <w:highlight w:val="none"/>
        </w:rPr>
      </w:pPr>
      <w:r/>
      <w:bookmarkStart w:id="52" w:name="_Toc513029203"/>
      <w:r/>
      <w:bookmarkStart w:id="53" w:name="_Toc16938519"/>
      <w:r/>
      <w:bookmarkStart w:id="54" w:name="_Toc20823275"/>
      <w:r/>
      <w:bookmarkStart w:id="55" w:name="_Toc120614214"/>
      <w:r>
        <w:rPr>
          <w:rFonts w:hint="eastAsia" w:ascii="宋体" w:hAnsi="宋体"/>
          <w:b/>
          <w:color w:val="auto"/>
          <w:sz w:val="24"/>
          <w:szCs w:val="24"/>
          <w:highlight w:val="none"/>
        </w:rPr>
        <w:t xml:space="preserve">一、总则</w:t>
      </w:r>
      <w:bookmarkEnd w:id="52"/>
      <w:r/>
      <w:bookmarkEnd w:id="53"/>
      <w:r/>
      <w:bookmarkEnd w:id="54"/>
      <w:r/>
      <w:bookmarkEnd w:id="55"/>
      <w:r/>
      <w:r/>
    </w:p>
    <w:p>
      <w:pPr>
        <w:ind w:firstLine="480"/>
        <w:spacing w:line="460" w:lineRule="exact"/>
        <w:rPr>
          <w:rFonts w:hint="eastAsia" w:ascii="宋体" w:hAnsi="宋体"/>
          <w:b/>
          <w:color w:val="auto"/>
          <w:sz w:val="24"/>
          <w:szCs w:val="24"/>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宋体" w:hAnsi="宋体"/>
          <w:b/>
          <w:color w:val="auto"/>
          <w:sz w:val="24"/>
          <w:szCs w:val="24"/>
          <w:highlight w:val="none"/>
        </w:rPr>
        <w:t xml:space="preserve">1</w:t>
      </w:r>
      <w:bookmarkEnd w:id="57"/>
      <w:r>
        <w:rPr>
          <w:rFonts w:hint="eastAsia" w:ascii="宋体" w:hAnsi="宋体"/>
          <w:b/>
          <w:color w:val="auto"/>
          <w:sz w:val="24"/>
          <w:szCs w:val="24"/>
          <w:highlight w:val="none"/>
        </w:rPr>
        <w:t xml:space="preserve">、招标方式</w:t>
      </w:r>
      <w:bookmarkEnd w:id="58"/>
      <w:r/>
      <w:bookmarkEnd w:id="59"/>
      <w:r/>
      <w:bookmarkEnd w:id="6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0"/>
        <w:spacing w:line="460" w:lineRule="exact"/>
        <w:rPr>
          <w:rFonts w:hint="eastAsia" w:ascii="宋体" w:hAnsi="宋体"/>
          <w:b/>
          <w:color w:val="auto"/>
          <w:sz w:val="24"/>
          <w:szCs w:val="24"/>
          <w:highlight w:val="none"/>
        </w:rPr>
      </w:pPr>
      <w:r/>
      <w:bookmarkStart w:id="61" w:name="_Toc20823277"/>
      <w:r/>
      <w:bookmarkStart w:id="62" w:name="_Toc513029205"/>
      <w:r/>
      <w:bookmarkStart w:id="63" w:name="_Toc16938521"/>
      <w:r>
        <w:rPr>
          <w:rFonts w:hint="eastAsia" w:ascii="宋体" w:hAnsi="宋体"/>
          <w:b/>
          <w:color w:val="auto"/>
          <w:sz w:val="24"/>
          <w:szCs w:val="24"/>
          <w:highlight w:val="none"/>
        </w:rPr>
        <w:t xml:space="preserve">2、合格的投标人</w:t>
      </w:r>
      <w:bookmarkEnd w:id="61"/>
      <w:r/>
      <w:bookmarkEnd w:id="62"/>
      <w:r/>
      <w:bookmarkEnd w:id="63"/>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的资格要求的规定。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480"/>
        <w:spacing w:line="460" w:lineRule="exact"/>
        <w:rPr>
          <w:rFonts w:hint="eastAsia" w:ascii="宋体" w:hAnsi="宋体"/>
          <w:b/>
          <w:color w:val="auto"/>
          <w:sz w:val="24"/>
          <w:szCs w:val="24"/>
          <w:highlight w:val="none"/>
        </w:rPr>
      </w:pPr>
      <w:r/>
      <w:bookmarkStart w:id="64" w:name="_Toc20823278"/>
      <w:r/>
      <w:bookmarkStart w:id="65" w:name="_Toc16938522"/>
      <w:r/>
      <w:bookmarkStart w:id="66" w:name="_Toc513029206"/>
      <w:r>
        <w:rPr>
          <w:rFonts w:hint="eastAsia" w:ascii="宋体" w:hAnsi="宋体"/>
          <w:b/>
          <w:color w:val="auto"/>
          <w:sz w:val="24"/>
          <w:szCs w:val="24"/>
          <w:highlight w:val="none"/>
        </w:rPr>
        <w:t xml:space="preserve">3、适用法律</w:t>
      </w:r>
      <w:bookmarkEnd w:id="64"/>
      <w:r/>
      <w:bookmarkEnd w:id="65"/>
      <w:r/>
      <w:bookmarkEnd w:id="66"/>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在本项目政府采购活动过程中，如果所执行的标准有更新的，按照最新标准执行。</w:t>
      </w:r>
      <w:r/>
    </w:p>
    <w:p>
      <w:pPr>
        <w:ind w:firstLine="480"/>
        <w:spacing w:line="460" w:lineRule="exact"/>
        <w:rPr>
          <w:rFonts w:hint="eastAsia" w:ascii="宋体" w:hAnsi="宋体"/>
          <w:b/>
          <w:color w:val="auto"/>
          <w:sz w:val="24"/>
          <w:szCs w:val="24"/>
          <w:highlight w:val="none"/>
        </w:rPr>
      </w:pPr>
      <w:r/>
      <w:bookmarkStart w:id="67" w:name="_Toc20823279"/>
      <w:r/>
      <w:bookmarkStart w:id="68" w:name="_Toc462564067"/>
      <w:r/>
      <w:bookmarkStart w:id="69" w:name="_Toc513029207"/>
      <w:r/>
      <w:bookmarkStart w:id="70" w:name="_Toc16938523"/>
      <w:r>
        <w:rPr>
          <w:rFonts w:hint="eastAsia" w:ascii="宋体" w:hAnsi="宋体"/>
          <w:b/>
          <w:color w:val="auto"/>
          <w:sz w:val="24"/>
          <w:szCs w:val="24"/>
          <w:highlight w:val="none"/>
        </w:rPr>
        <w:t xml:space="preserve">4、投标费用</w:t>
      </w:r>
      <w:bookmarkEnd w:id="67"/>
      <w:r/>
      <w:bookmarkEnd w:id="68"/>
      <w:r/>
      <w:bookmarkEnd w:id="69"/>
      <w:r/>
      <w:bookmarkEnd w:id="70"/>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4.2代理</w:t>
      </w:r>
      <w:r>
        <w:rPr>
          <w:rFonts w:hint="eastAsia" w:ascii="宋体" w:hAnsi="宋体"/>
          <w:color w:val="000000" w:themeColor="text1"/>
          <w:sz w:val="24"/>
          <w:szCs w:val="24"/>
          <w:highlight w:val="none"/>
          <w14:textFill>
            <w14:solidFill>
              <w14:schemeClr w14:val="tx1"/>
            </w14:solidFill>
          </w14:textFill>
        </w:rPr>
        <w:t xml:space="preserve">机构将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代理合同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中标价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向中标人收取服务费用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潜在供应商在报价时充分考虑其费用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auto"/>
          <w:sz w:val="24"/>
          <w:szCs w:val="24"/>
          <w:highlight w:val="none"/>
        </w:rPr>
        <w:t xml:space="preserve">由中标人在领取中标通知书前一次性支付</w:t>
      </w:r>
      <w:r>
        <w:rPr>
          <w:rFonts w:hint="eastAsia" w:ascii="宋体" w:hAnsi="宋体"/>
          <w:color w:val="auto"/>
          <w:sz w:val="24"/>
          <w:szCs w:val="24"/>
          <w:highlight w:val="none"/>
        </w:rPr>
        <w:t xml:space="preserve">。</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5、招标文件的约束力</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投标人一旦参加本项目采购活动，即被认为接受了本招标文件的规定和约束。</w:t>
      </w:r>
      <w:r/>
    </w:p>
    <w:p>
      <w:pPr>
        <w:ind w:firstLine="480"/>
        <w:spacing w:line="460" w:lineRule="exact"/>
        <w:rPr>
          <w:rFonts w:hint="eastAsia" w:ascii="宋体" w:hAnsi="宋体"/>
          <w:b/>
          <w:color w:val="auto"/>
          <w:sz w:val="24"/>
          <w:szCs w:val="24"/>
          <w:highlight w:val="none"/>
        </w:rPr>
      </w:pPr>
      <w:r/>
      <w:bookmarkStart w:id="71" w:name="_Toc16938525"/>
      <w:r/>
      <w:bookmarkStart w:id="72" w:name="_Toc120614215"/>
      <w:r/>
      <w:bookmarkStart w:id="73" w:name="_Toc513029209"/>
      <w:r/>
      <w:bookmarkStart w:id="74" w:name="_Toc20823281"/>
      <w:r>
        <w:rPr>
          <w:rFonts w:hint="eastAsia" w:ascii="宋体" w:hAnsi="宋体"/>
          <w:b/>
          <w:color w:val="auto"/>
          <w:sz w:val="24"/>
          <w:szCs w:val="24"/>
          <w:highlight w:val="none"/>
        </w:rPr>
        <w:t xml:space="preserve">二、招标文件</w:t>
      </w:r>
      <w:bookmarkEnd w:id="71"/>
      <w:r/>
      <w:bookmarkEnd w:id="72"/>
      <w:r/>
      <w:bookmarkEnd w:id="73"/>
      <w:r/>
      <w:bookmarkEnd w:id="74"/>
      <w:r/>
      <w:r/>
    </w:p>
    <w:p>
      <w:pPr>
        <w:ind w:firstLine="480"/>
        <w:spacing w:line="460" w:lineRule="exact"/>
        <w:rPr>
          <w:rFonts w:hint="eastAsia" w:ascii="宋体" w:hAnsi="宋体"/>
          <w:b/>
          <w:color w:val="auto"/>
          <w:sz w:val="24"/>
          <w:szCs w:val="24"/>
          <w:highlight w:val="none"/>
        </w:rPr>
      </w:pPr>
      <w:r/>
      <w:bookmarkStart w:id="75" w:name="_Toc513029210"/>
      <w:r/>
      <w:bookmarkStart w:id="76" w:name="_Toc20823282"/>
      <w:r/>
      <w:bookmarkStart w:id="77" w:name="_Toc16938526"/>
      <w:r>
        <w:rPr>
          <w:rFonts w:hint="eastAsia" w:ascii="宋体" w:hAnsi="宋体"/>
          <w:b/>
          <w:color w:val="auto"/>
          <w:sz w:val="24"/>
          <w:szCs w:val="24"/>
          <w:highlight w:val="none"/>
        </w:rPr>
        <w:t xml:space="preserve">6、招标文件构成</w:t>
      </w:r>
      <w:bookmarkEnd w:id="75"/>
      <w:r/>
      <w:bookmarkEnd w:id="76"/>
      <w:r/>
      <w:bookmarkEnd w:id="7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招标文件由以下部分组成：</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请仔细检查招标文</w:t>
      </w:r>
      <w:r>
        <w:rPr>
          <w:rFonts w:hint="eastAsia" w:ascii="宋体" w:hAnsi="宋体"/>
          <w:color w:val="auto"/>
          <w:sz w:val="24"/>
          <w:szCs w:val="21"/>
          <w:highlight w:val="none"/>
        </w:rPr>
        <w:t xml:space="preserve">件是否齐全，如有缺漏请立即与采购人或采购代理机构联系解决。</w:t>
      </w:r>
      <w:r/>
    </w:p>
    <w:p>
      <w:pPr>
        <w:ind w:firstLine="480"/>
        <w:spacing w:line="460" w:lineRule="exact"/>
        <w:rPr>
          <w:rFonts w:hint="eastAsia" w:ascii="宋体" w:hAnsi="宋体"/>
          <w:color w:val="auto"/>
          <w:sz w:val="24"/>
          <w:szCs w:val="24"/>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w:t>
      </w:r>
      <w:r>
        <w:rPr>
          <w:rFonts w:hint="eastAsia" w:ascii="宋体" w:hAnsi="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hint="eastAsia" w:ascii="宋体" w:hAnsi="宋体"/>
          <w:b/>
          <w:bCs/>
          <w:color w:val="auto"/>
          <w:sz w:val="24"/>
          <w:szCs w:val="24"/>
          <w:highlight w:val="none"/>
        </w:rPr>
      </w:pPr>
      <w:r/>
      <w:bookmarkStart w:id="78" w:name="_Toc513029211"/>
      <w:r/>
      <w:bookmarkStart w:id="79" w:name="_Toc462564070"/>
      <w:r/>
      <w:bookmarkStart w:id="80" w:name="_Toc16938527"/>
      <w:r/>
      <w:bookmarkStart w:id="81" w:name="_Toc20823283"/>
      <w:r>
        <w:rPr>
          <w:rFonts w:hint="eastAsia" w:ascii="宋体" w:hAnsi="宋体"/>
          <w:b/>
          <w:bCs/>
          <w:color w:val="auto"/>
          <w:sz w:val="24"/>
          <w:szCs w:val="24"/>
          <w:highlight w:val="none"/>
        </w:rPr>
        <w:t xml:space="preserve">7、招标文件的澄清</w:t>
      </w:r>
      <w:bookmarkEnd w:id="78"/>
      <w:r/>
      <w:bookmarkEnd w:id="79"/>
      <w:r/>
      <w:bookmarkEnd w:id="80"/>
      <w:r/>
      <w:bookmarkEnd w:id="81"/>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任何要求对招标文件进行澄清的投标人，应在投标截止期十日前按招标公告中的通讯地址，以书面形式通知采购人或采购代理机构。</w:t>
      </w:r>
      <w:r/>
    </w:p>
    <w:p>
      <w:pPr>
        <w:ind w:firstLine="480"/>
        <w:spacing w:line="460" w:lineRule="exact"/>
        <w:rPr>
          <w:rFonts w:hint="eastAsia" w:ascii="宋体" w:hAnsi="宋体"/>
          <w:b/>
          <w:bCs/>
          <w:color w:val="auto"/>
          <w:sz w:val="24"/>
          <w:szCs w:val="24"/>
          <w:highlight w:val="none"/>
        </w:rPr>
      </w:pPr>
      <w:r/>
      <w:bookmarkStart w:id="82" w:name="_Toc20823284"/>
      <w:r/>
      <w:bookmarkStart w:id="83" w:name="_Toc16938528"/>
      <w:r/>
      <w:bookmarkStart w:id="84" w:name="_Toc462564071"/>
      <w:r/>
      <w:bookmarkStart w:id="85" w:name="_Toc513029212"/>
      <w:r>
        <w:rPr>
          <w:rFonts w:hint="eastAsia" w:ascii="宋体" w:hAnsi="宋体"/>
          <w:b/>
          <w:bCs/>
          <w:color w:val="auto"/>
          <w:sz w:val="24"/>
          <w:szCs w:val="24"/>
          <w:highlight w:val="none"/>
        </w:rPr>
        <w:t xml:space="preserve">8、招标文件的修改</w:t>
      </w:r>
      <w:bookmarkEnd w:id="82"/>
      <w:r/>
      <w:bookmarkEnd w:id="83"/>
      <w:r/>
      <w:bookmarkEnd w:id="84"/>
      <w:r/>
      <w:bookmarkEnd w:id="85"/>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 在投标截止时间前，采购人或采购代理机构可以对招标文件进行修改。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采购人或采购代理机构有权按照法定的要求推迟投标截止日期和开标日期。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hint="eastAsia" w:ascii="宋体" w:hAnsi="宋体"/>
          <w:b/>
          <w:bCs/>
          <w:color w:val="auto"/>
          <w:sz w:val="24"/>
          <w:szCs w:val="24"/>
          <w:highlight w:val="none"/>
        </w:rPr>
      </w:pPr>
      <w:r/>
      <w:bookmarkStart w:id="86" w:name="_Toc120614216"/>
      <w:r/>
      <w:bookmarkStart w:id="87" w:name="_Toc20823285"/>
      <w:r/>
      <w:bookmarkStart w:id="88" w:name="_Toc462564072"/>
      <w:r/>
      <w:bookmarkStart w:id="89" w:name="_Toc513029213"/>
      <w:r/>
      <w:bookmarkStart w:id="90" w:name="_Toc16938529"/>
      <w:r>
        <w:rPr>
          <w:rFonts w:hint="eastAsia" w:ascii="宋体" w:hAnsi="宋体"/>
          <w:b/>
          <w:bCs/>
          <w:color w:val="auto"/>
          <w:sz w:val="24"/>
          <w:szCs w:val="24"/>
          <w:highlight w:val="none"/>
        </w:rPr>
        <w:t xml:space="preserve">三、投标文件的编制</w:t>
      </w:r>
      <w:bookmarkEnd w:id="86"/>
      <w:r/>
      <w:bookmarkEnd w:id="87"/>
      <w:r/>
      <w:bookmarkEnd w:id="88"/>
      <w:r/>
      <w:bookmarkEnd w:id="89"/>
      <w:r/>
      <w:bookmarkEnd w:id="90"/>
      <w:r/>
      <w:r/>
    </w:p>
    <w:p>
      <w:pPr>
        <w:ind w:firstLine="480"/>
        <w:spacing w:line="460" w:lineRule="exact"/>
        <w:rPr>
          <w:rFonts w:hint="eastAsia" w:ascii="宋体" w:hAnsi="宋体"/>
          <w:color w:val="auto"/>
          <w:sz w:val="24"/>
          <w:szCs w:val="24"/>
          <w:highlight w:val="none"/>
        </w:rPr>
      </w:pPr>
      <w:r/>
      <w:bookmarkStart w:id="91" w:name="_Toc20823286"/>
      <w:r/>
      <w:bookmarkStart w:id="92" w:name="_Toc462564073"/>
      <w:r/>
      <w:bookmarkStart w:id="93" w:name="_Toc16938530"/>
      <w:r/>
      <w:bookmarkStart w:id="94" w:name="_Toc513029214"/>
      <w:r>
        <w:rPr>
          <w:rFonts w:hint="eastAsia" w:ascii="宋体" w:hAnsi="宋体"/>
          <w:color w:val="auto"/>
          <w:sz w:val="24"/>
          <w:szCs w:val="24"/>
          <w:highlight w:val="none"/>
        </w:rPr>
        <w:t xml:space="preserve">9、投标文件的语言及度量衡单位</w:t>
      </w:r>
      <w:bookmarkEnd w:id="91"/>
      <w:r/>
      <w:bookmarkEnd w:id="92"/>
      <w:r/>
      <w:bookmarkEnd w:id="93"/>
      <w:r/>
      <w:bookmarkEnd w:id="94"/>
      <w:r>
        <w:rPr>
          <w:rFonts w:hint="eastAsia" w:ascii="宋体" w:hAnsi="宋体"/>
          <w:color w:val="auto"/>
          <w:sz w:val="24"/>
          <w:szCs w:val="24"/>
          <w:highlight w:val="none"/>
        </w:rPr>
        <w:tab/>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 xml:space="preserve">简体中文。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除技术性能另有规定外，投标文件所使用的度量衡单位，均须采用国家法定计量单位。</w:t>
      </w:r>
      <w:r/>
    </w:p>
    <w:p>
      <w:pPr>
        <w:ind w:firstLine="480"/>
        <w:spacing w:line="460" w:lineRule="exact"/>
        <w:rPr>
          <w:rFonts w:hint="eastAsia" w:ascii="宋体" w:hAnsi="宋体"/>
          <w:b/>
          <w:bCs/>
          <w:color w:val="auto"/>
          <w:sz w:val="24"/>
          <w:szCs w:val="24"/>
          <w:highlight w:val="none"/>
        </w:rPr>
      </w:pPr>
      <w:r/>
      <w:bookmarkStart w:id="95" w:name="_Toc513029215"/>
      <w:r/>
      <w:bookmarkStart w:id="96" w:name="_Toc16938531"/>
      <w:r/>
      <w:bookmarkStart w:id="97" w:name="_Toc462564074"/>
      <w:r/>
      <w:bookmarkStart w:id="98" w:name="_Toc20823287"/>
      <w:r>
        <w:rPr>
          <w:rFonts w:hint="eastAsia" w:ascii="宋体" w:hAnsi="宋体"/>
          <w:b/>
          <w:bCs/>
          <w:color w:val="auto"/>
          <w:sz w:val="24"/>
          <w:szCs w:val="24"/>
          <w:highlight w:val="none"/>
        </w:rPr>
        <w:t xml:space="preserve">10、投标文件构成</w:t>
      </w:r>
      <w:bookmarkEnd w:id="95"/>
      <w:r/>
      <w:bookmarkEnd w:id="96"/>
      <w:r/>
      <w:bookmarkEnd w:id="97"/>
      <w:r/>
      <w:bookmarkEnd w:id="98"/>
      <w:r/>
      <w:r/>
    </w:p>
    <w:p>
      <w:pPr>
        <w:ind w:firstLine="480"/>
        <w:spacing w:line="460" w:lineRule="exact"/>
        <w:rPr>
          <w:rFonts w:hint="eastAsia" w:ascii="宋体" w:hAnsi="宋体"/>
          <w:color w:val="auto"/>
          <w:sz w:val="24"/>
          <w:szCs w:val="24"/>
          <w:highlight w:val="none"/>
        </w:rPr>
      </w:pPr>
      <w:r/>
      <w:bookmarkStart w:id="99" w:name="_Hlt26668975"/>
      <w:r/>
      <w:bookmarkEnd w:id="99"/>
      <w:r/>
      <w:bookmarkStart w:id="100" w:name="_Hlt26670360"/>
      <w:r/>
      <w:bookmarkEnd w:id="100"/>
      <w:r/>
      <w:bookmarkStart w:id="101" w:name="_Hlt26954838"/>
      <w:r/>
      <w:bookmarkEnd w:id="101"/>
      <w:r/>
      <w:bookmarkStart w:id="102" w:name="_Toc14577354"/>
      <w:r/>
      <w:bookmarkStart w:id="103" w:name="_Toc14577357"/>
      <w:r/>
      <w:bookmarkStart w:id="104" w:name="_Toc513029216"/>
      <w:r/>
      <w:bookmarkStart w:id="105" w:name="_Toc49090507"/>
      <w:r/>
      <w:bookmarkStart w:id="106" w:name="_Toc513029219"/>
      <w:r/>
      <w:bookmarkStart w:id="107" w:name="_Toc49090509"/>
      <w:r/>
      <w:bookmarkStart w:id="108" w:name="_Toc49090508"/>
      <w:r/>
      <w:bookmarkStart w:id="109" w:name="_Toc14577355"/>
      <w:r>
        <w:rPr>
          <w:rFonts w:hint="eastAsia" w:ascii="宋体" w:hAnsi="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hint="eastAsia" w:ascii="宋体" w:hAnsi="宋体"/>
          <w:color w:val="auto"/>
          <w:sz w:val="24"/>
          <w:szCs w:val="24"/>
          <w:highlight w:val="none"/>
        </w:rPr>
      </w:pPr>
      <w:r>
        <w:rPr>
          <w:rFonts w:hint="eastAsia" w:ascii="宋体" w:hAnsi="宋体"/>
          <w:b/>
          <w:bCs/>
          <w:color w:val="auto"/>
          <w:sz w:val="24"/>
          <w:szCs w:val="24"/>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投标人应按照招标文件要求提交证明文件，证明其及投标标的符合招标文件规定。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8"/>
      <w:r/>
      <w:bookmarkEnd w:id="109"/>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12、投标分项报价表（如有）</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投标人应按照招标文件规定格式填报投标分项报价表。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spacing w:line="460" w:lineRule="exact"/>
        <w:rPr>
          <w:rFonts w:hint="eastAsia" w:ascii="宋体" w:hAnsi="宋体"/>
          <w:b/>
          <w:color w:val="auto"/>
          <w:sz w:val="24"/>
          <w:szCs w:val="24"/>
          <w:highlight w:val="none"/>
        </w:rPr>
      </w:pPr>
      <w:r/>
      <w:bookmarkStart w:id="110" w:name="_Hlt26670486"/>
      <w:r/>
      <w:bookmarkEnd w:id="110"/>
      <w:r/>
      <w:bookmarkStart w:id="111" w:name="_Hlt26670482"/>
      <w:r/>
      <w:bookmarkEnd w:id="111"/>
      <w:r/>
      <w:bookmarkStart w:id="112" w:name="_Hlt26954846"/>
      <w:r/>
      <w:bookmarkEnd w:id="112"/>
      <w:r/>
      <w:bookmarkStart w:id="113" w:name="_Hlt26954848"/>
      <w:r/>
      <w:bookmarkEnd w:id="113"/>
      <w:r/>
      <w:bookmarkStart w:id="114" w:name="_Hlt26954731"/>
      <w:r/>
      <w:bookmarkEnd w:id="114"/>
      <w:r>
        <w:rPr>
          <w:rFonts w:hint="eastAsia" w:ascii="宋体" w:hAnsi="宋体"/>
          <w:b/>
          <w:color w:val="auto"/>
          <w:sz w:val="24"/>
          <w:szCs w:val="24"/>
          <w:highlight w:val="none"/>
        </w:rPr>
        <w:t xml:space="preserve">13、技术要求响应及偏离表、商务要求响应及偏离表</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投标人需对招标文件中的技术要求与商务要求逐项作出响应或偏离，并说明原因。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投标人可在投标文件中提供认为需要的其他技术文件或说明。</w:t>
      </w:r>
      <w:r/>
    </w:p>
    <w:p>
      <w:pPr>
        <w:ind w:firstLine="480"/>
        <w:spacing w:line="460" w:lineRule="exact"/>
        <w:rPr>
          <w:rFonts w:hint="eastAsia" w:ascii="宋体" w:hAnsi="宋体"/>
          <w:b/>
          <w:color w:val="auto"/>
          <w:sz w:val="24"/>
          <w:szCs w:val="24"/>
          <w:highlight w:val="none"/>
        </w:rPr>
      </w:pPr>
      <w:r/>
      <w:bookmarkStart w:id="115" w:name="_Toc14577359"/>
      <w:r/>
      <w:bookmarkStart w:id="116" w:name="_Toc49090510"/>
      <w:r>
        <w:rPr>
          <w:rFonts w:hint="eastAsia" w:ascii="宋体" w:hAnsi="宋体"/>
          <w:b/>
          <w:color w:val="auto"/>
          <w:sz w:val="24"/>
          <w:szCs w:val="24"/>
          <w:highlight w:val="none"/>
        </w:rPr>
        <w:t xml:space="preserve">14、投标函和开标一览表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投标人应按照招标文件中提供的格式完整、正确填写投标函、开标一览表。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80"/>
        <w:spacing w:line="460" w:lineRule="exact"/>
        <w:rPr>
          <w:rFonts w:hint="eastAsia" w:ascii="宋体" w:hAnsi="宋体"/>
          <w:b/>
          <w:color w:val="auto"/>
          <w:sz w:val="24"/>
          <w:szCs w:val="24"/>
          <w:highlight w:val="none"/>
        </w:rPr>
      </w:pPr>
      <w:r/>
      <w:bookmarkStart w:id="117" w:name="_Toc49090511"/>
      <w:r/>
      <w:bookmarkStart w:id="118" w:name="_Toc14577360"/>
      <w:r>
        <w:rPr>
          <w:rFonts w:hint="eastAsia" w:ascii="宋体" w:hAnsi="宋体"/>
          <w:b/>
          <w:color w:val="auto"/>
          <w:sz w:val="24"/>
          <w:szCs w:val="24"/>
          <w:highlight w:val="none"/>
        </w:rPr>
        <w:t xml:space="preserve">15、投标有效期</w:t>
      </w:r>
      <w:bookmarkEnd w:id="117"/>
      <w:r/>
      <w:bookmarkEnd w:id="118"/>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六</w:t>
      </w:r>
      <w:r>
        <w:rPr>
          <w:rFonts w:hint="eastAsia" w:ascii="宋体" w:hAnsi="宋体" w:eastAsia="宋体" w:cs="宋体"/>
          <w:b/>
          <w:color w:val="auto"/>
          <w:sz w:val="24"/>
          <w:szCs w:val="24"/>
          <w:highlight w:val="none"/>
          <w:u w:val="single"/>
        </w:rPr>
        <w:t xml:space="preserve">十（</w:t>
      </w:r>
      <w:r>
        <w:rPr>
          <w:rFonts w:hint="eastAsia" w:ascii="宋体" w:hAnsi="宋体" w:cs="宋体"/>
          <w:b/>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0）</w:t>
      </w:r>
      <w:r>
        <w:rPr>
          <w:rFonts w:hint="eastAsia" w:ascii="宋体" w:hAnsi="宋体"/>
          <w:b/>
          <w:bCs/>
          <w:color w:val="auto"/>
          <w:sz w:val="24"/>
          <w:szCs w:val="24"/>
          <w:highlight w:val="none"/>
        </w:rPr>
        <w:t xml:space="preserve">天</w:t>
      </w:r>
      <w:r>
        <w:rPr>
          <w:rFonts w:hint="eastAsia" w:ascii="宋体" w:hAnsi="宋体"/>
          <w:color w:val="auto"/>
          <w:sz w:val="24"/>
          <w:szCs w:val="24"/>
          <w:highlight w:val="none"/>
        </w:rPr>
        <w:t xml:space="preserve">。投标有效期比规定短的将被视为未实质性响应招标文件而予以拒绝。</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16、投标有效期的延长</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hint="eastAsia" w:ascii="宋体" w:hAnsi="宋体"/>
          <w:b/>
          <w:color w:val="auto"/>
          <w:sz w:val="24"/>
          <w:szCs w:val="24"/>
          <w:highlight w:val="none"/>
        </w:rPr>
      </w:pPr>
      <w:r/>
      <w:bookmarkStart w:id="119" w:name="_Hlt26954739"/>
      <w:r/>
      <w:bookmarkEnd w:id="119"/>
      <w:r/>
      <w:bookmarkStart w:id="120" w:name="_Hlt26954852"/>
      <w:r/>
      <w:bookmarkEnd w:id="120"/>
      <w:r/>
      <w:bookmarkStart w:id="121" w:name="_Toc120614217"/>
      <w:r/>
      <w:bookmarkStart w:id="122" w:name="_Toc16938540"/>
      <w:r/>
      <w:bookmarkStart w:id="123" w:name="_Toc513029224"/>
      <w:r/>
      <w:bookmarkStart w:id="124" w:name="_Toc20823296"/>
      <w:r>
        <w:rPr>
          <w:rFonts w:hint="eastAsia" w:ascii="宋体" w:hAnsi="宋体"/>
          <w:b/>
          <w:color w:val="auto"/>
          <w:sz w:val="24"/>
          <w:szCs w:val="24"/>
          <w:highlight w:val="none"/>
        </w:rPr>
        <w:t xml:space="preserve">四、投标文件的递交</w:t>
      </w:r>
      <w:bookmarkEnd w:id="121"/>
      <w:r/>
      <w:bookmarkEnd w:id="122"/>
      <w:r/>
      <w:bookmarkEnd w:id="123"/>
      <w:r/>
      <w:bookmarkEnd w:id="124"/>
      <w:r/>
      <w:r/>
    </w:p>
    <w:p>
      <w:pPr>
        <w:ind w:firstLine="480"/>
        <w:spacing w:line="460" w:lineRule="exact"/>
        <w:rPr>
          <w:rFonts w:hint="eastAsia" w:ascii="宋体" w:hAnsi="宋体"/>
          <w:b/>
          <w:color w:val="auto"/>
          <w:sz w:val="24"/>
          <w:szCs w:val="24"/>
          <w:highlight w:val="none"/>
        </w:rPr>
      </w:pPr>
      <w:r/>
      <w:bookmarkStart w:id="125" w:name="_Toc16938541"/>
      <w:r/>
      <w:bookmarkStart w:id="126" w:name="_Toc513029225"/>
      <w:r/>
      <w:bookmarkStart w:id="127" w:name="_Toc20823297"/>
      <w:r/>
      <w:bookmarkStart w:id="128" w:name="_Toc462564084"/>
      <w:r>
        <w:rPr>
          <w:rFonts w:hint="eastAsia" w:ascii="宋体" w:hAnsi="宋体"/>
          <w:b/>
          <w:color w:val="auto"/>
          <w:sz w:val="24"/>
          <w:szCs w:val="24"/>
          <w:highlight w:val="none"/>
        </w:rPr>
        <w:t xml:space="preserve">17、电子投标文件</w:t>
      </w:r>
      <w:bookmarkEnd w:id="125"/>
      <w:r/>
      <w:bookmarkEnd w:id="126"/>
      <w:r/>
      <w:bookmarkEnd w:id="127"/>
      <w:r/>
      <w:bookmarkEnd w:id="128"/>
      <w:r>
        <w:rPr>
          <w:rFonts w:hint="eastAsia" w:ascii="宋体" w:hAnsi="宋体"/>
          <w:b/>
          <w:color w:val="auto"/>
          <w:sz w:val="24"/>
          <w:szCs w:val="24"/>
          <w:highlight w:val="none"/>
        </w:rPr>
        <w:t xml:space="preserve">的递交</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17.1投标人应当按照《操作手册》规定，在投标截止时间前</w:t>
      </w:r>
      <w:r>
        <w:rPr>
          <w:rFonts w:ascii="宋体" w:hAnsi="宋体"/>
          <w:color w:val="auto"/>
          <w:sz w:val="24"/>
          <w:szCs w:val="24"/>
          <w:highlight w:val="none"/>
        </w:rPr>
        <w:t xml:space="preserve">制作</w:t>
      </w:r>
      <w:r>
        <w:rPr>
          <w:rFonts w:hint="eastAsia" w:ascii="宋体" w:hAnsi="宋体"/>
          <w:color w:val="auto"/>
          <w:sz w:val="24"/>
          <w:szCs w:val="24"/>
          <w:highlight w:val="none"/>
        </w:rPr>
        <w:t xml:space="preserve">并上传电子投标文件。</w:t>
      </w:r>
      <w:bookmarkStart w:id="129" w:name="_Toc513029226"/>
      <w:r/>
      <w:bookmarkStart w:id="130" w:name="_Toc16938542"/>
      <w:r/>
      <w:bookmarkStart w:id="131" w:name="_Toc20823298"/>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w:t>
      </w:r>
      <w:r>
        <w:rPr>
          <w:rFonts w:hint="eastAsia" w:ascii="宋体" w:hAnsi="宋体"/>
          <w:b/>
          <w:color w:val="auto"/>
          <w:sz w:val="24"/>
          <w:szCs w:val="24"/>
          <w:highlight w:val="none"/>
        </w:rPr>
        <w:t xml:space="preserve">中标人在领取中标通知书之前，必须提供</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份与电子投标文件一致的纸质打印投标文件并且加盖投标人公章。</w:t>
      </w:r>
      <w:r/>
    </w:p>
    <w:p>
      <w:pPr>
        <w:ind w:firstLine="480"/>
        <w:spacing w:line="460" w:lineRule="exact"/>
        <w:rPr>
          <w:rFonts w:hint="eastAsia" w:ascii="宋体" w:hAnsi="宋体"/>
          <w:color w:val="auto"/>
          <w:sz w:val="24"/>
          <w:szCs w:val="24"/>
          <w:highlight w:val="none"/>
        </w:rPr>
      </w:pP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8、投标截止日期</w:t>
      </w:r>
      <w:bookmarkEnd w:id="129"/>
      <w:r/>
      <w:bookmarkEnd w:id="130"/>
      <w:r/>
      <w:bookmarkEnd w:id="131"/>
      <w:r/>
      <w:r/>
    </w:p>
    <w:p>
      <w:pPr>
        <w:ind w:firstLine="480"/>
        <w:spacing w:line="460" w:lineRule="exact"/>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 xml:space="preserve">1</w:t>
      </w:r>
      <w:r>
        <w:rPr>
          <w:rFonts w:hint="eastAsia" w:ascii="宋体" w:hAnsi="宋体"/>
          <w:b/>
          <w:i/>
          <w:iCs/>
          <w:color w:val="auto"/>
          <w:sz w:val="24"/>
          <w:szCs w:val="24"/>
          <w:highlight w:val="none"/>
          <w:u w:val="single"/>
        </w:rPr>
        <w:t xml:space="preserve">8.1 投标人上传电子投标文件的时间不得迟于招标公告中规定的投标截止时间。</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.1.2条规定做无效投标处理。</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hint="eastAsia" w:ascii="宋体" w:hAnsi="宋体"/>
          <w:b/>
          <w:color w:val="auto"/>
          <w:sz w:val="24"/>
          <w:szCs w:val="24"/>
          <w:highlight w:val="none"/>
        </w:rPr>
      </w:pPr>
      <w:r/>
      <w:bookmarkStart w:id="132" w:name="_Toc20823299"/>
      <w:r/>
      <w:bookmarkStart w:id="133" w:name="_Toc513029227"/>
      <w:r/>
      <w:bookmarkStart w:id="134" w:name="_Toc16938543"/>
      <w:r>
        <w:rPr>
          <w:rFonts w:hint="eastAsia" w:ascii="宋体" w:hAnsi="宋体"/>
          <w:b/>
          <w:color w:val="auto"/>
          <w:sz w:val="24"/>
          <w:szCs w:val="24"/>
          <w:highlight w:val="none"/>
        </w:rPr>
        <w:t xml:space="preserve">19、投标文件</w:t>
      </w:r>
      <w:bookmarkEnd w:id="132"/>
      <w:r/>
      <w:bookmarkEnd w:id="133"/>
      <w:r/>
      <w:bookmarkEnd w:id="134"/>
      <w:r>
        <w:rPr>
          <w:rFonts w:hint="eastAsia" w:ascii="宋体" w:hAnsi="宋体"/>
          <w:b/>
          <w:color w:val="auto"/>
          <w:sz w:val="24"/>
          <w:szCs w:val="24"/>
          <w:highlight w:val="none"/>
        </w:rPr>
        <w:t xml:space="preserve">的拒收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 采购人及采购代理机构拒绝接收在其规定的投标截止时间后上传的任何投标文件。</w:t>
      </w:r>
      <w:r/>
    </w:p>
    <w:p>
      <w:pPr>
        <w:ind w:firstLine="480"/>
        <w:spacing w:line="460" w:lineRule="exact"/>
        <w:rPr>
          <w:rFonts w:hint="eastAsia" w:ascii="宋体" w:hAnsi="宋体"/>
          <w:b/>
          <w:color w:val="auto"/>
          <w:sz w:val="24"/>
          <w:szCs w:val="24"/>
          <w:highlight w:val="none"/>
        </w:rPr>
      </w:pPr>
      <w:r/>
      <w:bookmarkStart w:id="135" w:name="_Toc20823300"/>
      <w:r/>
      <w:bookmarkStart w:id="136" w:name="_Toc16938544"/>
      <w:r/>
      <w:bookmarkStart w:id="137" w:name="_Toc513029228"/>
      <w:r>
        <w:rPr>
          <w:rFonts w:hint="eastAsia" w:ascii="宋体" w:hAnsi="宋体"/>
          <w:b/>
          <w:color w:val="auto"/>
          <w:sz w:val="24"/>
          <w:szCs w:val="24"/>
          <w:highlight w:val="none"/>
        </w:rPr>
        <w:t xml:space="preserve">20、投标文件的撤回和修改</w:t>
      </w:r>
      <w:bookmarkEnd w:id="135"/>
      <w:r/>
      <w:bookmarkEnd w:id="136"/>
      <w:r/>
      <w:bookmarkEnd w:id="13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20.1.1 电子投标文件的撤回</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w:t>
      </w:r>
      <w:r>
        <w:rPr>
          <w:rFonts w:ascii="宋体" w:hAnsi="宋体"/>
          <w:color w:val="auto"/>
          <w:sz w:val="24"/>
          <w:szCs w:val="24"/>
          <w:highlight w:val="none"/>
        </w:rPr>
        <w:t xml:space="preserve">2.2</w:t>
      </w:r>
      <w:r>
        <w:rPr>
          <w:rFonts w:hint="eastAsia" w:ascii="宋体" w:hAnsi="宋体"/>
          <w:color w:val="auto"/>
          <w:sz w:val="24"/>
          <w:szCs w:val="24"/>
          <w:highlight w:val="none"/>
        </w:rPr>
        <w:t xml:space="preserve"> 在投标截止时间之后，投标人不得对其电子投标文件作任何修改。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20.3 在投标截止时间至招标文件中规定的投标有效期满之间的这段时间内，投标人不得撤回其投标。</w:t>
      </w:r>
      <w:r/>
    </w:p>
    <w:p>
      <w:pPr>
        <w:ind w:firstLine="480"/>
        <w:spacing w:line="460" w:lineRule="exact"/>
        <w:rPr>
          <w:rFonts w:hint="eastAsia" w:ascii="宋体" w:hAnsi="宋体"/>
          <w:b/>
          <w:color w:val="auto"/>
          <w:sz w:val="24"/>
          <w:szCs w:val="24"/>
          <w:highlight w:val="none"/>
        </w:rPr>
      </w:pPr>
      <w:r/>
      <w:bookmarkStart w:id="138" w:name="_Toc513029229"/>
      <w:r/>
      <w:bookmarkStart w:id="139" w:name="_Toc20823301"/>
      <w:r/>
      <w:bookmarkStart w:id="140" w:name="_Toc16938545"/>
      <w:r/>
      <w:bookmarkStart w:id="141" w:name="_Toc120614218"/>
      <w:r>
        <w:rPr>
          <w:rFonts w:hint="eastAsia" w:ascii="宋体" w:hAnsi="宋体"/>
          <w:b/>
          <w:color w:val="auto"/>
          <w:sz w:val="24"/>
          <w:szCs w:val="24"/>
          <w:highlight w:val="none"/>
        </w:rPr>
        <w:t xml:space="preserve">五、开标与评标</w:t>
      </w:r>
      <w:bookmarkEnd w:id="138"/>
      <w:r/>
      <w:bookmarkEnd w:id="139"/>
      <w:r/>
      <w:bookmarkEnd w:id="140"/>
      <w:r/>
      <w:bookmarkEnd w:id="141"/>
      <w:r/>
      <w:r/>
    </w:p>
    <w:p>
      <w:pPr>
        <w:ind w:firstLine="480"/>
        <w:spacing w:line="460" w:lineRule="exact"/>
        <w:rPr>
          <w:rFonts w:hint="eastAsia" w:ascii="宋体" w:hAnsi="宋体"/>
          <w:b/>
          <w:color w:val="auto"/>
          <w:sz w:val="24"/>
          <w:szCs w:val="24"/>
          <w:highlight w:val="none"/>
        </w:rPr>
      </w:pPr>
      <w:r/>
      <w:bookmarkStart w:id="142" w:name="_Toc16938546"/>
      <w:r/>
      <w:bookmarkStart w:id="143" w:name="_Toc20823302"/>
      <w:r/>
      <w:bookmarkStart w:id="144" w:name="_Toc513029230"/>
      <w:r>
        <w:rPr>
          <w:rFonts w:hint="eastAsia" w:ascii="宋体" w:hAnsi="宋体"/>
          <w:b/>
          <w:color w:val="auto"/>
          <w:sz w:val="24"/>
          <w:szCs w:val="24"/>
          <w:highlight w:val="none"/>
        </w:rPr>
        <w:t xml:space="preserve">21、开标</w:t>
      </w:r>
      <w:bookmarkEnd w:id="142"/>
      <w:r/>
      <w:bookmarkEnd w:id="143"/>
      <w:r/>
      <w:bookmarkEnd w:id="144"/>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 采购人或采购代理机构将在招标公告中规定的时间和地点组织公开开标。投标人应当按照《操作手册》规定，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21.3投标人在开标过程中涉及到的投标文件解密、开标结果确认等工作，应按照《操作手册》规定执行。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hint="eastAsia" w:ascii="宋体" w:hAnsi="宋体"/>
          <w:b/>
          <w:color w:val="auto"/>
          <w:sz w:val="24"/>
          <w:szCs w:val="24"/>
          <w:highlight w:val="none"/>
        </w:rPr>
      </w:pPr>
      <w:r/>
      <w:bookmarkStart w:id="145" w:name="_Toc20823303"/>
      <w:r/>
      <w:bookmarkStart w:id="146" w:name="_Toc513029231"/>
      <w:r/>
      <w:bookmarkStart w:id="147" w:name="_Toc16938547"/>
      <w:r>
        <w:rPr>
          <w:rFonts w:hint="eastAsia" w:ascii="宋体" w:hAnsi="宋体"/>
          <w:b/>
          <w:color w:val="auto"/>
          <w:sz w:val="24"/>
          <w:szCs w:val="24"/>
          <w:highlight w:val="none"/>
        </w:rPr>
        <w:t xml:space="preserve">22、评标委员会</w:t>
      </w:r>
      <w:r/>
    </w:p>
    <w:p>
      <w:pPr>
        <w:ind w:firstLine="480"/>
        <w:spacing w:line="4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 开标后，采购人将立即组织评标委员会（以下简称评委会）进行评标。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 评委会由采购人代表和有关技术、经济等方面的专家组成，且人员构成符合政府采购有关规定。</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23、评标过程的保密与公正</w:t>
      </w:r>
      <w:bookmarkEnd w:id="145"/>
      <w:r/>
      <w:bookmarkEnd w:id="146"/>
      <w:r/>
      <w:bookmarkEnd w:id="147"/>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b/>
          <w:color w:val="auto"/>
          <w:sz w:val="24"/>
          <w:szCs w:val="24"/>
          <w:highlight w:val="none"/>
        </w:rPr>
      </w:pPr>
      <w:r/>
      <w:bookmarkStart w:id="148" w:name="_Toc16938548"/>
      <w:r/>
      <w:bookmarkStart w:id="149" w:name="_Toc513029232"/>
      <w:r/>
      <w:bookmarkStart w:id="150" w:name="_Toc20823304"/>
      <w:r>
        <w:rPr>
          <w:rFonts w:hint="eastAsia" w:ascii="宋体" w:hAnsi="宋体"/>
          <w:b/>
          <w:color w:val="auto"/>
          <w:sz w:val="24"/>
          <w:szCs w:val="24"/>
          <w:highlight w:val="none"/>
        </w:rPr>
        <w:t xml:space="preserve">24、投标文件的澄清</w:t>
      </w:r>
      <w:bookmarkEnd w:id="148"/>
      <w:r/>
      <w:bookmarkEnd w:id="149"/>
      <w:r/>
      <w:bookmarkEnd w:id="150"/>
      <w:r/>
      <w:r/>
    </w:p>
    <w:p>
      <w:pPr>
        <w:ind w:firstLine="480"/>
        <w:spacing w:line="460" w:lineRule="exact"/>
        <w:rPr>
          <w:rFonts w:hint="eastAsia" w:ascii="宋体" w:hAnsi="宋体"/>
          <w:color w:val="auto"/>
          <w:sz w:val="24"/>
          <w:szCs w:val="24"/>
          <w:highlight w:val="none"/>
        </w:rPr>
      </w:pPr>
      <w:r/>
      <w:bookmarkStart w:id="151" w:name="_Toc16938549"/>
      <w:r/>
      <w:bookmarkStart w:id="152" w:name="_Toc513029233"/>
      <w:r/>
      <w:bookmarkStart w:id="153" w:name="_Toc20823305"/>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进行澄清、说明和补正的，评委会将通过苏采云系统向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 接到评委会澄清、说明和补正要求的投标人如未按规定做出澄清、说明和补正，其风险由投标人自行承担。</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25、对投标文件的初审</w:t>
      </w:r>
      <w:bookmarkEnd w:id="151"/>
      <w:r/>
      <w:bookmarkEnd w:id="152"/>
      <w:r/>
      <w:bookmarkEnd w:id="153"/>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25.1投标文件初审分为资格审查和符合性审查。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的身份共同参加政府采购活动的,联合体成员中任何一方存在不良信用记录的，视同联合体存在不良应用记录。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25.4评委会将对确定为实质性响应的投标进行进一步审核，看其是否有计算上或累加上的算术错误，修正错误的原则如下：</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25.5评委会将按上述修正错误的方法调整投标文件中的投标报价，并</w:t>
      </w:r>
      <w:r>
        <w:rPr>
          <w:rFonts w:ascii="宋体" w:hAnsi="宋体"/>
          <w:color w:val="auto"/>
          <w:sz w:val="24"/>
          <w:szCs w:val="24"/>
          <w:highlight w:val="none"/>
        </w:rPr>
        <w:t xml:space="preserve">通过</w:t>
      </w:r>
      <w:r>
        <w:rPr>
          <w:rFonts w:hint="eastAsia" w:ascii="宋体" w:hAnsi="宋体"/>
          <w:color w:val="auto"/>
          <w:sz w:val="24"/>
          <w:szCs w:val="24"/>
          <w:highlight w:val="none"/>
        </w:rPr>
        <w:t xml:space="preserve">苏采云系统告知</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color w:val="auto"/>
          <w:sz w:val="24"/>
          <w:szCs w:val="24"/>
          <w:highlight w:val="none"/>
        </w:rPr>
      </w:pPr>
      <w:r/>
      <w:bookmarkStart w:id="154" w:name="_Toc16938550"/>
      <w:r/>
      <w:bookmarkStart w:id="155" w:name="_Toc513029234"/>
      <w:r/>
      <w:bookmarkStart w:id="156" w:name="_Toc20823306"/>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并安排专人与采购代理机构及评标委员会联系。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26、</w:t>
      </w:r>
      <w:bookmarkEnd w:id="154"/>
      <w:r/>
      <w:bookmarkEnd w:id="155"/>
      <w:r/>
      <w:bookmarkEnd w:id="156"/>
      <w:r>
        <w:rPr>
          <w:rFonts w:hint="eastAsia" w:ascii="宋体" w:hAnsi="宋体"/>
          <w:b/>
          <w:color w:val="auto"/>
          <w:sz w:val="24"/>
          <w:szCs w:val="24"/>
          <w:highlight w:val="none"/>
        </w:rPr>
        <w:t xml:space="preserve">无效投标条款和废标条款</w:t>
      </w:r>
      <w:r/>
    </w:p>
    <w:p>
      <w:pPr>
        <w:ind w:firstLine="480"/>
        <w:spacing w:line="460" w:lineRule="exact"/>
        <w:rPr>
          <w:rFonts w:hint="eastAsia" w:ascii="宋体" w:hAnsi="宋体"/>
          <w:color w:val="auto"/>
          <w:sz w:val="24"/>
          <w:szCs w:val="24"/>
          <w:highlight w:val="none"/>
        </w:rPr>
      </w:pPr>
      <w:r/>
      <w:bookmarkStart w:id="157" w:name="_Toc16938551"/>
      <w:r/>
      <w:bookmarkStart w:id="158" w:name="_Toc20823307"/>
      <w:r/>
      <w:bookmarkStart w:id="159" w:name="_Toc513029235"/>
      <w:r>
        <w:rPr>
          <w:rFonts w:hint="eastAsia" w:ascii="宋体" w:hAnsi="宋体"/>
          <w:color w:val="auto"/>
          <w:sz w:val="24"/>
          <w:szCs w:val="24"/>
          <w:highlight w:val="none"/>
        </w:rPr>
        <w:t xml:space="preserve">26.1无效投标条款</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 投标人在苏采云系统规定的时间内未成功解密电子投标文件的。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投标人未按照招标文件要求上传电子投标文件的。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同一投标人提交两个</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含</w:t>
      </w:r>
      <w:r>
        <w:rPr>
          <w:rFonts w:ascii="宋体" w:hAnsi="宋体"/>
          <w:color w:val="auto"/>
          <w:sz w:val="24"/>
          <w:szCs w:val="24"/>
          <w:highlight w:val="none"/>
        </w:rPr>
        <w:t xml:space="preserve">两个）</w:t>
      </w:r>
      <w:r>
        <w:rPr>
          <w:rFonts w:hint="eastAsia" w:ascii="宋体" w:hAnsi="宋体"/>
          <w:color w:val="auto"/>
          <w:sz w:val="24"/>
          <w:szCs w:val="24"/>
          <w:highlight w:val="none"/>
        </w:rPr>
        <w:t xml:space="preserve">以上不同的</w:t>
      </w:r>
      <w:r>
        <w:rPr>
          <w:rFonts w:ascii="宋体" w:hAnsi="宋体"/>
          <w:color w:val="auto"/>
          <w:sz w:val="24"/>
          <w:szCs w:val="24"/>
          <w:highlight w:val="none"/>
        </w:rPr>
        <w:t xml:space="preserve">投标报价的。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投标人不具备招标文件中规定资格要求的。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投标人的报价超过了采购预算或最高限价的。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未通过符合性审查的。</w:t>
      </w:r>
      <w:r/>
    </w:p>
    <w:p>
      <w:pPr>
        <w:ind w:firstLine="480"/>
        <w:spacing w:line="460" w:lineRule="exact"/>
        <w:rPr>
          <w:rFonts w:hint="eastAsia" w:ascii="宋体" w:hAnsi="宋体"/>
          <w:i/>
          <w:iCs/>
          <w:color w:val="auto"/>
          <w:sz w:val="24"/>
          <w:szCs w:val="24"/>
          <w:highlight w:val="none"/>
          <w:u w:val="singl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不符合招标文件中规定的实质性要求和条件的</w:t>
      </w:r>
      <w:r>
        <w:rPr>
          <w:rFonts w:hint="eastAsia" w:ascii="宋体" w:hAnsi="宋体"/>
          <w:i/>
          <w:iCs/>
          <w:color w:val="auto"/>
          <w:sz w:val="24"/>
          <w:szCs w:val="24"/>
          <w:highlight w:val="none"/>
          <w:u w:val="single"/>
        </w:rPr>
        <w:t xml:space="preserve">（本招标文件中斜体且有下划线部分为实质性要求和条件）。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9</w:t>
      </w:r>
      <w:r>
        <w:rPr>
          <w:rFonts w:hint="eastAsia" w:ascii="宋体" w:hAnsi="宋体"/>
          <w:color w:val="auto"/>
          <w:sz w:val="24"/>
          <w:szCs w:val="24"/>
          <w:highlight w:val="none"/>
        </w:rPr>
        <w:t xml:space="preserve">  投标文件含有采购人不能接受的附加条件的。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根据江苏省财政厅《关于推动解决政府采购异常低价问题相关工作的通知》（苏财购〔2025〕62号）的规定要求：</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26.1.10.1评审过程中出现下列情形之一的，评审委员会应当启动异常低价投标（响应）审查程序：</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26.1.10.1.1投标（响应）报价低于采购项目预算 50% 的，即投标（响应）报价&lt;采购项目预算×50%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26.1.10.1.2投标（响应）报价低于采购项目最高限价 45% 的，即投标（响应）报价&lt;采购项目最高限价×45% ；</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26.1.10.1.3评审委员会认定的</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报价过低、有可能影响产品质量或者不能诚信履约的其他情形。</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26.1.10.2启动异常低价投标（响应）审查后，评审委员会应当要求相关</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报价合理性进行判断。投标（响应）</w:t>
      </w:r>
      <w:r>
        <w:rPr>
          <w:rFonts w:hint="eastAsia" w:ascii="宋体" w:hAnsi="宋体"/>
          <w:b/>
          <w:bCs/>
          <w:color w:val="auto"/>
          <w:sz w:val="24"/>
          <w:szCs w:val="24"/>
          <w:highlight w:val="none"/>
          <w:lang w:eastAsia="zh-CN"/>
        </w:rPr>
        <w:t xml:space="preserve">投标人</w:t>
      </w:r>
      <w:r>
        <w:rPr>
          <w:rFonts w:hint="eastAsia" w:ascii="宋体" w:hAnsi="宋体"/>
          <w:b/>
          <w:bCs/>
          <w:color w:val="auto"/>
          <w:sz w:val="24"/>
          <w:szCs w:val="24"/>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26.1.11 投标文件未按照招标文件要求加盖CA电子公章的。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26.1.12其他法律、法规及本招标文件规定的属无效投标的情形。</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26.2废标条款</w:t>
      </w:r>
      <w:r/>
    </w:p>
    <w:p>
      <w:pPr>
        <w:ind w:left="479"/>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26.2.1符合专业条件的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或者对招标文件作实质响应的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不足三家的。26.2.2出现影响采购公正的违法、违规行为的。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26.2.3因重大变故，采购任务取消的。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26.2.4评标委员会认定招标文件存在歧义、重大缺陷导致评审工作无法进行。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26.2.5 因苏采云系统</w:t>
      </w:r>
      <w:r>
        <w:rPr>
          <w:rFonts w:ascii="宋体" w:hAnsi="宋体"/>
          <w:color w:val="auto"/>
          <w:sz w:val="24"/>
          <w:szCs w:val="24"/>
          <w:highlight w:val="none"/>
        </w:rPr>
        <w:t xml:space="preserve">系统故障原因造成开标不成功</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 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不足三家的处理：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26.3.1如出现投标截止时间结束后参加投标的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或者在评标期间对招标文件做出实质响应的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不足三家情况，按政府采购相关规定执行。</w:t>
      </w:r>
      <w:r/>
    </w:p>
    <w:p>
      <w:pPr>
        <w:ind w:firstLine="480"/>
        <w:spacing w:line="460" w:lineRule="exact"/>
        <w:rPr>
          <w:rFonts w:hint="eastAsia" w:ascii="宋体" w:hAnsi="宋体"/>
          <w:b/>
          <w:color w:val="auto"/>
          <w:sz w:val="24"/>
          <w:szCs w:val="24"/>
          <w:highlight w:val="none"/>
        </w:rPr>
      </w:pPr>
      <w:r/>
      <w:bookmarkStart w:id="160" w:name="_Toc120614219"/>
      <w:r>
        <w:rPr>
          <w:rFonts w:hint="eastAsia" w:ascii="宋体" w:hAnsi="宋体"/>
          <w:b/>
          <w:color w:val="auto"/>
          <w:sz w:val="24"/>
          <w:szCs w:val="24"/>
          <w:highlight w:val="none"/>
        </w:rPr>
        <w:t xml:space="preserve">六、</w:t>
      </w:r>
      <w:bookmarkEnd w:id="157"/>
      <w:r/>
      <w:bookmarkEnd w:id="158"/>
      <w:r/>
      <w:bookmarkEnd w:id="159"/>
      <w:r>
        <w:rPr>
          <w:rFonts w:hint="eastAsia" w:ascii="宋体" w:hAnsi="宋体"/>
          <w:b/>
          <w:color w:val="auto"/>
          <w:sz w:val="24"/>
          <w:szCs w:val="24"/>
          <w:highlight w:val="none"/>
        </w:rPr>
        <w:t xml:space="preserve">定标</w:t>
      </w:r>
      <w:bookmarkEnd w:id="160"/>
      <w:r/>
      <w:r/>
    </w:p>
    <w:p>
      <w:pPr>
        <w:ind w:firstLine="480"/>
        <w:spacing w:line="460" w:lineRule="exact"/>
        <w:rPr>
          <w:rFonts w:hint="eastAsia" w:ascii="宋体" w:hAnsi="宋体"/>
          <w:b/>
          <w:color w:val="auto"/>
          <w:sz w:val="24"/>
          <w:szCs w:val="24"/>
          <w:highlight w:val="none"/>
        </w:rPr>
      </w:pPr>
      <w:r/>
      <w:bookmarkStart w:id="161" w:name="_Toc513029238"/>
      <w:r/>
      <w:bookmarkStart w:id="162" w:name="_Toc16938554"/>
      <w:r/>
      <w:bookmarkStart w:id="163" w:name="_Toc20823310"/>
      <w:r>
        <w:rPr>
          <w:rFonts w:hint="eastAsia" w:ascii="宋体" w:hAnsi="宋体"/>
          <w:b/>
          <w:color w:val="auto"/>
          <w:sz w:val="24"/>
          <w:szCs w:val="24"/>
          <w:highlight w:val="none"/>
        </w:rPr>
        <w:t xml:space="preserve">27、</w:t>
      </w:r>
      <w:bookmarkEnd w:id="161"/>
      <w:r>
        <w:rPr>
          <w:rFonts w:hint="eastAsia" w:ascii="宋体" w:hAnsi="宋体"/>
          <w:b/>
          <w:color w:val="auto"/>
          <w:sz w:val="24"/>
          <w:szCs w:val="24"/>
          <w:highlight w:val="none"/>
        </w:rPr>
        <w:t xml:space="preserve">确定</w:t>
      </w:r>
      <w:bookmarkEnd w:id="162"/>
      <w:r/>
      <w:bookmarkEnd w:id="163"/>
      <w:r>
        <w:rPr>
          <w:rFonts w:hint="eastAsia" w:ascii="宋体" w:hAnsi="宋体"/>
          <w:b/>
          <w:color w:val="auto"/>
          <w:sz w:val="24"/>
          <w:szCs w:val="24"/>
          <w:highlight w:val="none"/>
        </w:rPr>
        <w:t xml:space="preserve">中标单位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采购人应根据评委会推荐的中标候选人确定中标人。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 采购代理机构将在中国政府采购网”、“江苏政府采购网”、“盐城市政府采购网”、“阜宁县公共资源电子化服务平台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发布中标公告，公告期限为1个工作日。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27.4.2向采购人行贿或者提供其他不正当利益的。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恶意串通的。</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的。</w:t>
      </w:r>
      <w:r/>
    </w:p>
    <w:p>
      <w:pPr>
        <w:ind w:firstLine="480"/>
        <w:spacing w:line="460" w:lineRule="exact"/>
        <w:rPr>
          <w:rFonts w:hint="eastAsia" w:ascii="宋体" w:hAnsi="宋体"/>
          <w:color w:val="auto"/>
          <w:sz w:val="24"/>
          <w:szCs w:val="24"/>
          <w:highlight w:val="none"/>
        </w:rPr>
      </w:pPr>
      <w:r/>
      <w:bookmarkStart w:id="164" w:name="_Toc200451960"/>
      <w:r>
        <w:rPr>
          <w:rFonts w:hint="eastAsia" w:ascii="宋体" w:hAnsi="宋体"/>
          <w:color w:val="auto"/>
          <w:sz w:val="24"/>
          <w:szCs w:val="24"/>
          <w:highlight w:val="none"/>
        </w:rPr>
        <w:t xml:space="preserve">27.5. </w:t>
      </w:r>
      <w:r>
        <w:rPr>
          <w:rFonts w:ascii="宋体" w:hAnsi="宋体"/>
          <w:color w:val="auto"/>
          <w:sz w:val="24"/>
          <w:szCs w:val="24"/>
          <w:highlight w:val="none"/>
        </w:rPr>
        <w:t xml:space="preserve">有下列情形之一的，</w:t>
      </w:r>
      <w:r>
        <w:rPr>
          <w:rFonts w:hint="eastAsia" w:ascii="宋体" w:hAnsi="宋体"/>
          <w:color w:val="auto"/>
          <w:sz w:val="24"/>
          <w:szCs w:val="24"/>
          <w:highlight w:val="none"/>
        </w:rPr>
        <w:t xml:space="preserve">视为投标人</w:t>
      </w:r>
      <w:r>
        <w:rPr>
          <w:rFonts w:ascii="宋体" w:hAnsi="宋体"/>
          <w:color w:val="auto"/>
          <w:sz w:val="24"/>
          <w:szCs w:val="24"/>
          <w:highlight w:val="none"/>
        </w:rPr>
        <w:t xml:space="preserve">串通</w:t>
      </w:r>
      <w:r>
        <w:rPr>
          <w:rFonts w:hint="eastAsia" w:ascii="宋体" w:hAnsi="宋体"/>
          <w:color w:val="auto"/>
          <w:sz w:val="24"/>
          <w:szCs w:val="24"/>
          <w:highlight w:val="none"/>
        </w:rPr>
        <w:t xml:space="preserve">投标，投标无效：</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480"/>
        <w:spacing w:line="460" w:lineRule="exact"/>
        <w:rPr>
          <w:rFonts w:hint="eastAsia" w:ascii="宋体" w:hAnsi="宋体"/>
          <w:b/>
          <w:color w:val="auto"/>
          <w:sz w:val="24"/>
          <w:szCs w:val="24"/>
          <w:highlight w:val="none"/>
        </w:rPr>
      </w:pP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8、质疑处理</w:t>
      </w:r>
      <w:bookmarkEnd w:id="164"/>
      <w:r/>
      <w:r/>
    </w:p>
    <w:p>
      <w:pPr>
        <w:ind w:firstLine="480"/>
        <w:spacing w:line="46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8.1 提出质疑的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应当是参与所质疑项目采购活动的</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依法获取其可质疑的采购文件的，可以对采购文件提出质疑。</w:t>
      </w:r>
      <w:r/>
    </w:p>
    <w:p>
      <w:pPr>
        <w:ind w:firstLine="480"/>
        <w:spacing w:line="460" w:lineRule="exact"/>
        <w:rPr>
          <w:rFonts w:hint="eastAsia" w:ascii="宋体" w:hAnsi="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8.2参加投标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 xml:space="preserve">内，以书面形式根据下述29.4条款的规定向采购代理机构或采购人提出质疑。上述应知其权益受到损害之日，是指：</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文件提出质疑的，为收到</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文件之日或者</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对中标结果提出质疑的，为中标结果公告期限届满之日。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应当在法定质疑期内一次性提出针对同一采购程序环节的质疑。</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如在法定期限内对同一采购程序环节提出多次质疑的，采购代理机构、采购人将只对</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第一次质疑作出答复。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如组成联合体参加投标，则《质疑函范本》中要求签字、盖章、加盖公章之处，联合体各方均须按要求签字、盖章、加盖公章。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（含潜在</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）对采购方式、招标文件中采购需求、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对其他事项的询问、质疑请向采购代理机构提出，由采购代理机构负责答复。</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采购人及采购代理机构只接收以纸质原件形式送达的质疑,采购人和采购代理机构不接受未填写快递运单的快件。</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 以下情形的质疑不予受理</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28.5.1 内容不符合《政府采购质疑和投诉办法》第十二条规定的质疑。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28.5.2 超出政府采购法定期限的质疑。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28.5.3 以传真、电子邮件等方式递交的非原件形式的质疑。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28.5.4 未参加投标活动的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或在投标活动中自身权益未受到损害的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所提出的质疑。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28.5.5</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组成联合体参加投标，联合体中任何一方或多方未按要求签字、盖章、加盖公章的质疑。</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28.6</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进行相应的行政处罚和记录该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的失信信息。</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29、中标通知书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均具有法律效力。中标通知书发出后，采购人改变中标结果的，或者中标</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放弃中标项目的，应当依法承担法律责任。</w:t>
      </w:r>
      <w:r/>
    </w:p>
    <w:p>
      <w:pPr>
        <w:ind w:firstLine="480"/>
        <w:spacing w:line="460" w:lineRule="exact"/>
        <w:rPr>
          <w:rFonts w:hint="eastAsia" w:ascii="宋体" w:hAnsi="宋体"/>
          <w:b/>
          <w:color w:val="auto"/>
          <w:sz w:val="24"/>
          <w:szCs w:val="24"/>
          <w:highlight w:val="none"/>
        </w:rPr>
      </w:pPr>
      <w:r/>
      <w:bookmarkStart w:id="165" w:name="_Toc16938552"/>
      <w:r/>
      <w:bookmarkStart w:id="166" w:name="_Toc20823308"/>
      <w:r/>
      <w:bookmarkStart w:id="167" w:name="_Toc120614220"/>
      <w:r/>
      <w:bookmarkStart w:id="168" w:name="_Toc513029236"/>
      <w:r>
        <w:rPr>
          <w:rFonts w:hint="eastAsia" w:ascii="宋体" w:hAnsi="宋体"/>
          <w:b/>
          <w:color w:val="auto"/>
          <w:sz w:val="24"/>
          <w:szCs w:val="24"/>
          <w:highlight w:val="none"/>
        </w:rPr>
        <w:t xml:space="preserve">七、授予合同</w:t>
      </w:r>
      <w:bookmarkEnd w:id="165"/>
      <w:r/>
      <w:bookmarkEnd w:id="166"/>
      <w:r/>
      <w:bookmarkEnd w:id="167"/>
      <w:r/>
      <w:bookmarkEnd w:id="168"/>
      <w:r/>
      <w:r/>
    </w:p>
    <w:p>
      <w:pPr>
        <w:ind w:firstLine="480"/>
        <w:spacing w:line="460" w:lineRule="exact"/>
        <w:rPr>
          <w:rFonts w:hint="eastAsia" w:ascii="宋体" w:hAnsi="宋体"/>
          <w:b/>
          <w:color w:val="auto"/>
          <w:sz w:val="24"/>
          <w:szCs w:val="24"/>
          <w:highlight w:val="none"/>
        </w:rPr>
      </w:pPr>
      <w:r/>
      <w:bookmarkStart w:id="169" w:name="_Toc16938553"/>
      <w:r/>
      <w:bookmarkStart w:id="170" w:name="_Toc20823309"/>
      <w:r/>
      <w:bookmarkStart w:id="171" w:name="_Toc513029237"/>
      <w:r>
        <w:rPr>
          <w:rFonts w:hint="eastAsia" w:ascii="宋体" w:hAnsi="宋体"/>
          <w:b/>
          <w:color w:val="auto"/>
          <w:sz w:val="24"/>
          <w:szCs w:val="24"/>
          <w:highlight w:val="none"/>
        </w:rPr>
        <w:t xml:space="preserve">30、签订合同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30.l中标人应当在中标通知书发出之日起30日内，按照招标文件确定的事项与采购人签订政府采购合同。</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招标文件、中标人的投标文件及招标过程中有关澄清、承诺文件均应作为合同附件。</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i/>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31、服务（包含与服务相关的货物）的追加</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w:t>
      </w:r>
      <w:bookmarkEnd w:id="169"/>
      <w:r/>
      <w:bookmarkEnd w:id="170"/>
      <w:r/>
      <w:bookmarkEnd w:id="171"/>
      <w:r>
        <w:rPr>
          <w:rFonts w:hint="eastAsia" w:ascii="宋体" w:hAnsi="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32.政府采购政策功能落实</w:t>
      </w:r>
      <w:r/>
    </w:p>
    <w:p>
      <w:pPr>
        <w:pStyle w:val="748"/>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33、履约保证金政策</w:t>
      </w:r>
      <w:r/>
    </w:p>
    <w:p>
      <w:pPr>
        <w:pStyle w:val="1028"/>
        <w:ind w:left="0" w:firstLine="560"/>
        <w:spacing w:after="0" w:line="360" w:lineRule="auto"/>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480"/>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34、 预付款制度</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%。在签订合同时，中标、成交</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明确书面表示无需预付款或者主动要求降低预付款比例的，采购人可就预付款比例作相应调整。</w:t>
      </w:r>
      <w:r/>
    </w:p>
    <w:p>
      <w:pPr>
        <w:jc w:val="center"/>
        <w:keepLines/>
        <w:keepNext/>
        <w:pageBreakBefore w:val="0"/>
        <w:spacing w:after="156"/>
        <w:widowControl/>
        <w:rPr>
          <w:rFonts w:ascii="黑体" w:eastAsia="黑体"/>
          <w:bCs/>
          <w:color w:val="auto"/>
          <w:sz w:val="44"/>
          <w:szCs w:val="28"/>
          <w:highlight w:val="none"/>
        </w:rPr>
        <w:outlineLvl w:val="0"/>
      </w:pPr>
      <w:r/>
      <w:bookmarkStart w:id="172" w:name="_Hlt16619350"/>
      <w:r/>
      <w:bookmarkStart w:id="173" w:name="_Toc20823346"/>
      <w:r/>
      <w:bookmarkStart w:id="174" w:name="_Toc16938590"/>
      <w:r/>
      <w:bookmarkStart w:id="175" w:name="_Toc120614244"/>
      <w:r>
        <w:rPr>
          <w:rFonts w:hint="eastAsia" w:ascii="黑体" w:eastAsia="黑体"/>
          <w:bCs/>
          <w:color w:val="auto"/>
          <w:sz w:val="44"/>
          <w:szCs w:val="28"/>
          <w:highlight w:val="none"/>
        </w:rPr>
        <w:t xml:space="preserve">第三章 合同文本</w:t>
      </w:r>
      <w:r/>
    </w:p>
    <w:p>
      <w:pPr>
        <w:pStyle w:val="1034"/>
        <w:ind w:firstLine="480"/>
        <w:jc w:val="both"/>
        <w:keepLines/>
        <w:keepNext/>
        <w:pageBreakBefore w:val="0"/>
        <w:spacing w:beforeAutospacing="0" w:afterAutospacing="0" w:line="0" w:lineRule="atLeast"/>
        <w:widowControl/>
        <w:rPr>
          <w:color w:val="auto"/>
          <w:highlight w:val="none"/>
        </w:rPr>
      </w:pPr>
      <w:r/>
      <w:bookmarkStart w:id="176" w:name="_Toc20823315"/>
      <w:r/>
      <w:bookmarkStart w:id="177" w:name="_Toc513029243"/>
      <w:r/>
      <w:bookmarkStart w:id="178" w:name="_Toc16938559"/>
      <w:r>
        <w:rPr>
          <w:rFonts w:hint="eastAsia" w:ascii="宋体" w:hAnsi="宋体" w:eastAsia="宋体" w:cs="宋体"/>
          <w:color w:val="auto"/>
          <w:highlight w:val="none"/>
        </w:rPr>
        <w:t xml:space="preserve">以下为中标后签定本项目合同的通用条款，中标人不得提出实质性的修改。</w:t>
      </w:r>
      <w:bookmarkEnd w:id="176"/>
      <w:r/>
      <w:bookmarkEnd w:id="177"/>
      <w:r/>
      <w:bookmarkEnd w:id="178"/>
      <w:r/>
      <w:r/>
    </w:p>
    <w:p>
      <w:pPr>
        <w:jc w:val="center"/>
        <w:keepLines/>
        <w:keepNext/>
        <w:pageBreakBefore w:val="0"/>
        <w:spacing w:after="156"/>
        <w:widowControl/>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r>
      <w:r/>
    </w:p>
    <w:p>
      <w:pPr>
        <w:jc w:val="center"/>
        <w:keepLines/>
        <w:keepNext/>
        <w:pageBreakBefore w:val="0"/>
        <w:spacing w:after="156"/>
        <w:widowControl/>
        <w:rPr>
          <w:rFonts w:ascii="黑体" w:eastAsia="黑体"/>
          <w:bCs/>
          <w:color w:val="auto"/>
          <w:sz w:val="44"/>
          <w:szCs w:val="28"/>
          <w:highlight w:val="none"/>
        </w:rPr>
        <w:outlineLvl w:val="0"/>
      </w:pPr>
      <w:r>
        <w:rPr>
          <w:rFonts w:hint="eastAsia" w:ascii="宋体" w:hAnsi="宋体" w:cs="宋体"/>
          <w:b/>
          <w:color w:val="auto"/>
          <w:sz w:val="30"/>
          <w:szCs w:val="30"/>
          <w:highlight w:val="none"/>
        </w:rPr>
        <w:t xml:space="preserve">盐城市政府采购合同（服务）</w:t>
      </w:r>
      <w:r/>
    </w:p>
    <w:p>
      <w:pPr>
        <w:pStyle w:val="748"/>
        <w:jc w:val="both"/>
        <w:keepLines/>
        <w:keepNext/>
        <w:pageBreakBefore w:val="0"/>
        <w:spacing w:before="120" w:beforeAutospacing="0" w:after="120" w:afterAutospacing="0" w:line="460" w:lineRule="exact"/>
        <w:widowControl/>
        <w:rPr>
          <w:rFonts w:hint="eastAsia" w:eastAsia="宋体"/>
          <w:color w:val="auto"/>
          <w:highlight w:val="none"/>
          <w:lang w:eastAsia="zh-CN"/>
        </w:rPr>
      </w:pPr>
      <w:r>
        <w:rPr>
          <w:rFonts w:hint="eastAsia"/>
          <w:color w:val="auto"/>
          <w:highlight w:val="none"/>
        </w:rPr>
        <w:t xml:space="preserve">项目名称：</w:t>
      </w:r>
      <w:r>
        <w:rPr>
          <w:rFonts w:hint="eastAsia"/>
          <w:color w:val="auto"/>
          <w:sz w:val="24"/>
          <w:highlight w:val="none"/>
          <w:lang w:eastAsia="zh-CN"/>
        </w:rPr>
        <w:t xml:space="preserve">阜宁县生物多样性本底调查项目</w:t>
      </w:r>
      <w:r/>
    </w:p>
    <w:p>
      <w:pPr>
        <w:pStyle w:val="748"/>
        <w:jc w:val="both"/>
        <w:keepLines/>
        <w:keepNext/>
        <w:pageBreakBefore w:val="0"/>
        <w:spacing w:before="120" w:beforeAutospacing="0" w:after="120" w:afterAutospacing="0" w:line="460" w:lineRule="exact"/>
        <w:widowControl/>
        <w:rPr>
          <w:rFonts w:hint="eastAsia" w:eastAsia="宋体"/>
          <w:color w:val="auto"/>
          <w:highlight w:val="white"/>
        </w:rPr>
      </w:pPr>
      <w:r>
        <w:rPr>
          <w:rFonts w:hint="eastAsia"/>
          <w:color w:val="auto"/>
          <w:highlight w:val="none"/>
        </w:rPr>
        <w:t xml:space="preserve">项目编号</w:t>
      </w:r>
      <w:r>
        <w:rPr>
          <w:rFonts w:hint="eastAsia"/>
          <w:color w:val="auto"/>
          <w:highlight w:val="white"/>
        </w:rPr>
        <w:t xml:space="preserve">：</w:t>
      </w:r>
      <w:r>
        <w:rPr>
          <w:rFonts w:hint="eastAsia"/>
          <w:color w:val="auto"/>
          <w:highlight w:val="white"/>
          <w:lang w:eastAsia="zh-CN"/>
        </w:rPr>
        <w:t xml:space="preserve">JSZC-320923-SWGC-G2026-0091</w:t>
      </w:r>
      <w:r/>
    </w:p>
    <w:p>
      <w:pPr>
        <w:jc w:val="both"/>
        <w:keepLines/>
        <w:keepNext/>
        <w:pageBreakBefore w:val="0"/>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甲方（采购人）：</w:t>
      </w:r>
      <w:r>
        <w:rPr>
          <w:rFonts w:hint="eastAsia" w:ascii="宋体" w:hAnsi="宋体" w:cs="宋体"/>
          <w:bCs/>
          <w:color w:val="auto"/>
          <w:sz w:val="24"/>
          <w:szCs w:val="24"/>
          <w:highlight w:val="none"/>
          <w:u w:val="single"/>
          <w:lang w:eastAsia="zh-CN"/>
        </w:rPr>
        <w:t xml:space="preserve">盐城市阜宁生态环境局</w:t>
      </w:r>
      <w:r>
        <w:rPr>
          <w:rFonts w:hint="eastAsia" w:ascii="宋体" w:hAnsi="宋体" w:cs="宋体"/>
          <w:bCs/>
          <w:color w:val="auto"/>
          <w:sz w:val="24"/>
          <w:szCs w:val="24"/>
          <w:highlight w:val="none"/>
          <w:u w:val="single"/>
        </w:rPr>
        <w:t xml:space="preserve"> </w:t>
      </w:r>
      <w:r/>
    </w:p>
    <w:p>
      <w:pPr>
        <w:pStyle w:val="748"/>
        <w:jc w:val="both"/>
        <w:keepLines/>
        <w:keepNext/>
        <w:pageBreakBefore w:val="0"/>
        <w:spacing w:before="120" w:beforeAutospacing="0" w:after="120" w:afterAutospacing="0" w:line="460" w:lineRule="exact"/>
        <w:widowControl/>
        <w:rPr>
          <w:rFonts w:hint="eastAsia"/>
          <w:color w:val="auto"/>
          <w:highlight w:val="none"/>
        </w:rPr>
      </w:pPr>
      <w:r>
        <w:rPr>
          <w:rFonts w:hint="eastAsia"/>
          <w:color w:val="auto"/>
          <w:highlight w:val="none"/>
        </w:rPr>
        <w:t xml:space="preserve">乙方（</w:t>
      </w:r>
      <w:r>
        <w:rPr>
          <w:rFonts w:hint="eastAsia"/>
          <w:color w:val="auto"/>
          <w:highlight w:val="none"/>
          <w:lang w:eastAsia="zh-CN"/>
        </w:rPr>
        <w:t xml:space="preserve">投标人</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（本次采购招标活动的成交</w:t>
      </w:r>
      <w:r>
        <w:rPr>
          <w:rFonts w:hint="eastAsia"/>
          <w:color w:val="auto"/>
          <w:highlight w:val="none"/>
          <w:lang w:eastAsia="zh-CN"/>
        </w:rPr>
        <w:t xml:space="preserve">投标人</w:t>
      </w:r>
      <w:r>
        <w:rPr>
          <w:rFonts w:hint="eastAsia"/>
          <w:color w:val="auto"/>
          <w:highlight w:val="none"/>
        </w:rPr>
        <w:t xml:space="preserve">）</w:t>
      </w:r>
      <w:r/>
    </w:p>
    <w:p>
      <w:pPr>
        <w:pStyle w:val="748"/>
        <w:jc w:val="both"/>
        <w:keepLines/>
        <w:keepNext/>
        <w:pageBreakBefore w:val="0"/>
        <w:spacing w:before="120" w:beforeAutospacing="0" w:after="120" w:afterAutospacing="0" w:line="460" w:lineRule="exact"/>
        <w:widowControl/>
        <w:rPr>
          <w:rFonts w:hint="eastAsia"/>
          <w:color w:val="auto"/>
          <w:highlight w:val="none"/>
        </w:rPr>
      </w:pPr>
      <w:r>
        <w:rPr>
          <w:rFonts w:hint="eastAsia"/>
          <w:b/>
          <w:color w:val="auto"/>
          <w:highlight w:val="none"/>
        </w:rPr>
        <w:t xml:space="preserve">   </w:t>
      </w:r>
      <w:r>
        <w:rPr>
          <w:rFonts w:hint="eastAsia"/>
          <w:bCs/>
          <w:color w:val="auto"/>
          <w:highlight w:val="none"/>
        </w:rPr>
        <w:t xml:space="preserve">根据《中华人民共和国政府采购法》、《中华人民共和国民法典》等法律法规的规定，甲、乙双方根据</w:t>
      </w:r>
      <w:r>
        <w:rPr>
          <w:rFonts w:hint="eastAsia"/>
          <w:bCs/>
          <w:color w:val="auto"/>
          <w:highlight w:val="none"/>
          <w:u w:val="single"/>
          <w:lang w:eastAsia="zh-CN"/>
        </w:rPr>
        <w:t xml:space="preserve">阜宁县生物多样性本底调查项目</w:t>
      </w:r>
      <w:r>
        <w:rPr>
          <w:rFonts w:hint="eastAsia"/>
          <w:bCs/>
          <w:color w:val="auto"/>
          <w:highlight w:val="none"/>
        </w:rPr>
        <w:t xml:space="preserve">公开招标的结果，签署本合同。</w:t>
      </w:r>
      <w:r/>
    </w:p>
    <w:p>
      <w:pPr>
        <w:pStyle w:val="729"/>
        <w:ind w:firstLine="482"/>
        <w:jc w:val="both"/>
        <w:keepLines/>
        <w:keepNext/>
        <w:pageBreakBefore w:val="0"/>
        <w:spacing w:line="460" w:lineRule="exact"/>
        <w:widowControl/>
        <w:rPr>
          <w:rFonts w:hint="eastAsia" w:hAnsi="宋体" w:cs="宋体"/>
          <w:color w:val="auto"/>
          <w:sz w:val="24"/>
          <w:szCs w:val="24"/>
          <w:highlight w:val="none"/>
        </w:rPr>
      </w:pPr>
      <w:r>
        <w:rPr>
          <w:rFonts w:hint="eastAsia" w:hAnsi="宋体" w:cs="宋体"/>
          <w:b/>
          <w:color w:val="auto"/>
          <w:sz w:val="24"/>
          <w:szCs w:val="24"/>
          <w:highlight w:val="none"/>
        </w:rPr>
        <w:t xml:space="preserve">一、合同内容</w:t>
      </w:r>
      <w:r/>
    </w:p>
    <w:p>
      <w:pPr>
        <w:pStyle w:val="729"/>
        <w:ind w:firstLine="480"/>
        <w:jc w:val="both"/>
        <w:keepLines/>
        <w:keepNext/>
        <w:pageBreakBefore w:val="0"/>
        <w:spacing w:line="460" w:lineRule="exact"/>
        <w:widowControl/>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1.1 标的名称：</w:t>
      </w:r>
      <w:r>
        <w:rPr>
          <w:rFonts w:hint="eastAsia" w:hAnsi="宋体" w:cs="宋体"/>
          <w:b w:val="0"/>
          <w:bCs w:val="0"/>
          <w:color w:val="auto"/>
          <w:sz w:val="24"/>
          <w:szCs w:val="24"/>
          <w:highlight w:val="none"/>
          <w:lang w:eastAsia="zh-CN"/>
        </w:rPr>
        <w:t xml:space="preserve">阜宁县生物多样性本底调查项目</w:t>
      </w:r>
      <w:r/>
    </w:p>
    <w:p>
      <w:pPr>
        <w:pStyle w:val="729"/>
        <w:ind w:firstLine="480"/>
        <w:jc w:val="both"/>
        <w:keepLines/>
        <w:keepNext/>
        <w:pageBreakBefore w:val="0"/>
        <w:spacing w:line="460" w:lineRule="exact"/>
        <w:widowControl/>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1.2 质量</w:t>
      </w:r>
      <w:r>
        <w:rPr>
          <w:rFonts w:hint="eastAsia" w:hAnsi="宋体" w:cs="宋体"/>
          <w:b w:val="0"/>
          <w:bCs w:val="0"/>
          <w:color w:val="auto"/>
          <w:sz w:val="24"/>
          <w:szCs w:val="24"/>
          <w:highlight w:val="none"/>
          <w:lang w:val="en-US" w:eastAsia="zh-CN"/>
        </w:rPr>
        <w:t xml:space="preserve">要求</w:t>
      </w:r>
      <w:r>
        <w:rPr>
          <w:rFonts w:hint="eastAsia" w:hAnsi="宋体" w:cs="宋体"/>
          <w:b w:val="0"/>
          <w:bCs w:val="0"/>
          <w:color w:val="auto"/>
          <w:sz w:val="24"/>
          <w:szCs w:val="24"/>
          <w:highlight w:val="none"/>
        </w:rPr>
        <w:t xml:space="preserve">：</w:t>
      </w:r>
      <w:r>
        <w:rPr>
          <w:rFonts w:hint="eastAsia" w:hAnsi="宋体" w:cs="宋体"/>
          <w:b w:val="0"/>
          <w:bCs w:val="0"/>
          <w:color w:val="auto"/>
          <w:sz w:val="24"/>
          <w:szCs w:val="24"/>
          <w:highlight w:val="none"/>
          <w:lang w:eastAsia="zh-CN"/>
        </w:rPr>
        <w:t xml:space="preserve">合格标准，符合相关国家标准及招标文件的要求</w:t>
      </w:r>
      <w:r>
        <w:rPr>
          <w:rFonts w:hint="eastAsia" w:hAnsi="宋体" w:cs="宋体"/>
          <w:b w:val="0"/>
          <w:bCs w:val="0"/>
          <w:color w:val="auto"/>
          <w:sz w:val="24"/>
          <w:szCs w:val="24"/>
          <w:highlight w:val="none"/>
          <w:lang w:val="en-US" w:eastAsia="zh-CN"/>
        </w:rPr>
        <w:t xml:space="preserve">。</w:t>
      </w:r>
      <w:r/>
    </w:p>
    <w:p>
      <w:pPr>
        <w:pStyle w:val="748"/>
        <w:ind w:firstLine="480"/>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w:t>
      </w:r>
      <w:r/>
    </w:p>
    <w:p>
      <w:pPr>
        <w:pStyle w:val="748"/>
        <w:ind w:firstLine="480"/>
        <w:jc w:val="both"/>
        <w:keepLines w:val="0"/>
        <w:keepNext w:val="0"/>
        <w:pageBreakBefore w:val="0"/>
        <w:spacing w:before="120" w:beforeAutospacing="0" w:after="120" w:afterAutospacing="0" w:line="4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Times New Roman" w:hAnsi="Times New Roman"/>
          <w:lang w:eastAsia="zh-CN"/>
        </w:rPr>
        <w:t xml:space="preserve">供应商需在中标后1个月内编制并提交实施方案，中标后12个月内完成野外调查，中标后15个月内编制完成全部成果报告并通过验收。</w:t>
      </w:r>
      <w:r/>
    </w:p>
    <w:p>
      <w:pPr>
        <w:pStyle w:val="748"/>
        <w:ind w:firstLine="480"/>
        <w:jc w:val="both"/>
        <w:keepLines w:val="0"/>
        <w:keepNext w:val="0"/>
        <w:pageBreakBefore w:val="0"/>
        <w:spacing w:before="120" w:beforeAutospacing="0" w:after="120" w:afterAutospacing="0" w:line="4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阜宁县境内。</w:t>
      </w:r>
      <w:r/>
    </w:p>
    <w:p>
      <w:pPr>
        <w:pStyle w:val="748"/>
        <w:ind w:firstLine="480"/>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rPr>
          <w:rFonts w:hint="eastAsia" w:hAnsi="宋体" w:cs="宋体"/>
          <w:b w:val="0"/>
          <w:bCs w:val="0"/>
          <w:color w:val="auto"/>
          <w:sz w:val="24"/>
          <w:szCs w:val="24"/>
          <w:highlight w:val="none"/>
        </w:rPr>
        <w:t xml:space="preserve">符合</w:t>
      </w:r>
      <w:r>
        <w:rPr>
          <w:rFonts w:hint="eastAsia" w:hAnsi="宋体" w:cs="宋体"/>
          <w:b w:val="0"/>
          <w:bCs w:val="0"/>
          <w:color w:val="auto"/>
          <w:sz w:val="24"/>
          <w:szCs w:val="24"/>
          <w:highlight w:val="none"/>
          <w:lang w:eastAsia="zh-CN"/>
        </w:rPr>
        <w:t xml:space="preserve">招标文件</w:t>
      </w:r>
      <w:r>
        <w:rPr>
          <w:rFonts w:hint="eastAsia" w:hAnsi="宋体" w:cs="宋体"/>
          <w:b w:val="0"/>
          <w:bCs w:val="0"/>
          <w:color w:val="auto"/>
          <w:sz w:val="24"/>
          <w:szCs w:val="24"/>
          <w:highlight w:val="none"/>
        </w:rPr>
        <w:t xml:space="preserve">文件相关要求。</w:t>
      </w:r>
      <w:r/>
    </w:p>
    <w:p>
      <w:pPr>
        <w:pStyle w:val="729"/>
        <w:ind w:firstLine="482"/>
        <w:jc w:val="both"/>
        <w:keepLines/>
        <w:keepNext w:val="0"/>
        <w:pageBreakBefore w:val="0"/>
        <w:spacing w:line="460" w:lineRule="exact"/>
        <w:rPr>
          <w:rFonts w:hint="eastAsia" w:hAnsi="宋体" w:cs="宋体"/>
          <w:color w:val="auto"/>
          <w:sz w:val="24"/>
          <w:szCs w:val="24"/>
          <w:highlight w:val="none"/>
        </w:rPr>
      </w:pPr>
      <w:r>
        <w:rPr>
          <w:rFonts w:hint="eastAsia" w:hAnsi="宋体" w:cs="宋体"/>
          <w:b/>
          <w:bCs/>
          <w:color w:val="auto"/>
          <w:sz w:val="24"/>
          <w:szCs w:val="24"/>
          <w:highlight w:val="none"/>
        </w:rPr>
        <w:t xml:space="preserve">二、合同金额</w:t>
      </w:r>
      <w:r/>
    </w:p>
    <w:p>
      <w:pPr>
        <w:pStyle w:val="729"/>
        <w:ind w:left="479" w:firstLine="64"/>
        <w:jc w:val="both"/>
        <w:keepLines/>
        <w:keepNext w:val="0"/>
        <w:pageBreakBefore w:val="0"/>
        <w:spacing w:line="460" w:lineRule="exact"/>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 xml:space="preserve">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w:t>
      </w:r>
      <w:r/>
    </w:p>
    <w:p>
      <w:pPr>
        <w:pStyle w:val="729"/>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 xml:space="preserve">2、上述金额是乙方对本次采</w:t>
      </w:r>
      <w:r>
        <w:rPr>
          <w:rFonts w:hint="eastAsia" w:ascii="宋体" w:hAnsi="宋体" w:eastAsia="宋体" w:cs="宋体"/>
          <w:color w:val="auto"/>
          <w:sz w:val="24"/>
          <w:szCs w:val="24"/>
          <w:highlight w:val="none"/>
        </w:rPr>
        <w:t xml:space="preserve">购及其伴随服务各项支付金额的总和。合同总金额</w:t>
      </w:r>
      <w:r>
        <w:rPr>
          <w:rFonts w:hint="eastAsia" w:hAnsi="宋体" w:cs="宋体"/>
          <w:color w:val="auto"/>
          <w:sz w:val="24"/>
          <w:szCs w:val="24"/>
          <w:highlight w:val="none"/>
          <w:lang w:eastAsia="zh-CN"/>
        </w:rPr>
        <w:t xml:space="preserve">包括采购人需求的服务（包含与服务相关的货物）价格、质量保证费用、</w:t>
      </w:r>
      <w:r>
        <w:rPr>
          <w:rFonts w:hint="eastAsia" w:hAnsi="宋体" w:cs="宋体"/>
          <w:color w:val="auto"/>
          <w:sz w:val="24"/>
          <w:szCs w:val="24"/>
          <w:highlight w:val="none"/>
          <w:lang w:val="en-US" w:eastAsia="zh-CN"/>
        </w:rPr>
        <w:t xml:space="preserve">招标代理费、</w:t>
      </w:r>
      <w:r>
        <w:rPr>
          <w:rFonts w:hint="eastAsia" w:hAnsi="宋体" w:cs="宋体"/>
          <w:color w:val="auto"/>
          <w:sz w:val="24"/>
          <w:szCs w:val="24"/>
          <w:highlight w:val="none"/>
          <w:lang w:eastAsia="zh-CN"/>
        </w:rPr>
        <w:t xml:space="preserve">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 xml:space="preserve">。采购人不再支付其他款项。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报价已充分考虑项目完成的政策性调整、各种市场价格的浮动等因素造成的价格变动，项目完成期内的合同价格不作调整。</w:t>
      </w:r>
      <w:r/>
    </w:p>
    <w:p>
      <w:pPr>
        <w:pStyle w:val="729"/>
        <w:ind w:firstLine="480"/>
        <w:jc w:val="both"/>
        <w:keepLines/>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3、乙方在履行合同过程中,所发生的全部生产、生活、安全等费用均由乙方负责。</w:t>
      </w:r>
      <w:r/>
    </w:p>
    <w:p>
      <w:pPr>
        <w:ind w:firstLine="562"/>
        <w:jc w:val="both"/>
        <w:keepLines/>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三、税费</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3.1中国政府根据现行税法规定对乙方征收的、与本合同有关的一切税费，均由乙方负担。</w:t>
      </w:r>
      <w:r/>
    </w:p>
    <w:p>
      <w:pPr>
        <w:ind w:firstLine="560"/>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3.2在中国境外发生的与本合同执行过程的一切税费由乙方负担。</w:t>
      </w:r>
      <w:r/>
    </w:p>
    <w:p>
      <w:pPr>
        <w:ind w:firstLine="562"/>
        <w:jc w:val="both"/>
        <w:keepLines/>
        <w:keepNext w:val="0"/>
        <w:pageBreakBefore w:val="0"/>
        <w:spacing w:line="46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合同履行期限：供应商需在中标后1个月内编制并提交实施方案，中标后12个月内完成野外调查，中标后15个月内编制完成全部成果报告并通过验收</w:t>
      </w:r>
      <w:r>
        <w:rPr>
          <w:rFonts w:hint="eastAsia" w:cs="宋体"/>
          <w:color w:val="auto"/>
          <w:sz w:val="24"/>
          <w:szCs w:val="24"/>
          <w:lang w:eastAsia="zh-CN"/>
        </w:rPr>
        <w:t xml:space="preserve">。</w:t>
      </w:r>
      <w:r/>
    </w:p>
    <w:p>
      <w:pPr>
        <w:pStyle w:val="748"/>
        <w:ind w:firstLine="482"/>
        <w:jc w:val="both"/>
        <w:keepLines/>
        <w:keepNext w:val="0"/>
        <w:pageBreakBefore w:val="0"/>
        <w:spacing w:before="120" w:beforeAutospacing="0" w:after="120" w:afterAutospacing="0" w:line="4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五、质量要求</w:t>
      </w:r>
      <w:r>
        <w:rPr>
          <w:rFonts w:hint="eastAsia" w:ascii="宋体" w:hAnsi="宋体" w:eastAsia="宋体" w:cs="宋体"/>
          <w:b/>
          <w:bCs/>
          <w:color w:val="auto"/>
          <w:sz w:val="24"/>
          <w:szCs w:val="24"/>
          <w:lang w:eastAsia="zh-CN"/>
        </w:rPr>
        <w:t xml:space="preserve">：</w:t>
      </w:r>
      <w:r>
        <w:rPr>
          <w:rFonts w:hint="eastAsia" w:cs="宋体"/>
          <w:color w:val="auto"/>
          <w:sz w:val="24"/>
          <w:szCs w:val="24"/>
          <w:lang w:eastAsia="zh-CN"/>
        </w:rPr>
        <w:t xml:space="preserve">合格标准，符合相关国家标准及招标文件的要求</w:t>
      </w:r>
      <w:r>
        <w:rPr>
          <w:rFonts w:hint="eastAsia" w:ascii="宋体" w:hAnsi="宋体" w:eastAsia="宋体" w:cs="宋体"/>
          <w:color w:val="auto"/>
          <w:sz w:val="24"/>
          <w:szCs w:val="24"/>
        </w:rPr>
        <w:t xml:space="preserve">。</w:t>
      </w:r>
      <w:r/>
    </w:p>
    <w:p>
      <w:pPr>
        <w:ind w:firstLine="562"/>
        <w:jc w:val="both"/>
        <w:keepLines/>
        <w:keepNext w:val="0"/>
        <w:pageBreakBefore w:val="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六、付款</w:t>
      </w:r>
      <w:r/>
    </w:p>
    <w:p>
      <w:pPr>
        <w:ind w:firstLine="560"/>
        <w:jc w:val="both"/>
        <w:keepLines w:val="0"/>
        <w:keepNext w:val="0"/>
        <w:pageBreakBefore w:val="0"/>
        <w:spacing w:line="4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 xml:space="preserve">6</w:t>
      </w:r>
      <w:r>
        <w:rPr>
          <w:rFonts w:hint="eastAsia" w:ascii="宋体" w:hAnsi="宋体" w:eastAsia="宋体" w:cs="宋体"/>
          <w:sz w:val="24"/>
          <w:szCs w:val="24"/>
          <w:highlight w:val="yellow"/>
        </w:rPr>
        <w:t xml:space="preserve">.1合同款项的支付方式及进度安排</w:t>
      </w:r>
      <w:r/>
    </w:p>
    <w:p>
      <w:pPr>
        <w:ind w:firstLine="560"/>
        <w:jc w:val="both"/>
        <w:keepLines w:val="0"/>
        <w:keepNext w:val="0"/>
        <w:pageBreakBefore w:val="0"/>
        <w:spacing w:line="4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 xml:space="preserve">6</w:t>
      </w:r>
      <w:r>
        <w:rPr>
          <w:rFonts w:hint="eastAsia" w:ascii="宋体" w:hAnsi="宋体" w:eastAsia="宋体" w:cs="宋体"/>
          <w:sz w:val="24"/>
          <w:szCs w:val="24"/>
          <w:highlight w:val="yellow"/>
        </w:rPr>
        <w:t xml:space="preserve">.1</w:t>
      </w:r>
      <w:r>
        <w:rPr>
          <w:rFonts w:hint="eastAsia" w:ascii="宋体" w:hAnsi="宋体" w:eastAsia="宋体" w:cs="宋体"/>
          <w:sz w:val="24"/>
          <w:szCs w:val="24"/>
          <w:highlight w:val="yellow"/>
          <w:lang w:val="en-US" w:eastAsia="zh-CN"/>
        </w:rPr>
        <w:t xml:space="preserve">.1</w:t>
      </w:r>
      <w:r>
        <w:rPr>
          <w:rFonts w:hint="eastAsia" w:ascii="宋体" w:hAnsi="宋体" w:eastAsia="宋体" w:cs="宋体"/>
          <w:sz w:val="24"/>
          <w:szCs w:val="24"/>
          <w:highlight w:val="yellow"/>
        </w:rPr>
        <w:t xml:space="preserve">合同签订后</w:t>
      </w:r>
      <w:r>
        <w:rPr>
          <w:rFonts w:hint="eastAsia" w:ascii="宋体" w:hAnsi="宋体" w:cs="宋体"/>
          <w:sz w:val="24"/>
          <w:szCs w:val="24"/>
          <w:highlight w:val="yellow"/>
          <w:lang w:val="en-US" w:eastAsia="zh-CN"/>
        </w:rPr>
        <w:t xml:space="preserve">待财政资金到位，</w:t>
      </w:r>
      <w:r>
        <w:rPr>
          <w:rFonts w:hint="eastAsia" w:ascii="宋体" w:hAnsi="宋体" w:eastAsia="宋体" w:cs="宋体"/>
          <w:sz w:val="24"/>
          <w:szCs w:val="24"/>
          <w:highlight w:val="yellow"/>
        </w:rPr>
        <w:t xml:space="preserve">甲方向乙方支付合同价的</w:t>
      </w:r>
      <w:r>
        <w:rPr>
          <w:rFonts w:hint="eastAsia" w:ascii="宋体" w:hAnsi="宋体" w:cs="宋体"/>
          <w:sz w:val="24"/>
          <w:szCs w:val="24"/>
          <w:highlight w:val="yellow"/>
          <w:lang w:val="en-US" w:eastAsia="zh-CN"/>
        </w:rPr>
        <w:t xml:space="preserve">3</w:t>
      </w:r>
      <w:r>
        <w:rPr>
          <w:rFonts w:hint="eastAsia" w:ascii="宋体" w:hAnsi="宋体" w:eastAsia="宋体" w:cs="宋体"/>
          <w:sz w:val="24"/>
          <w:szCs w:val="24"/>
          <w:highlight w:val="yellow"/>
        </w:rPr>
        <w:t xml:space="preserve">0%为预付款。（签订合同时，如乙方明确表示无需预付款或者主动要求降低预付款比例的，甲方可不适用前述规定）。</w:t>
      </w:r>
      <w:r/>
    </w:p>
    <w:p>
      <w:pPr>
        <w:ind w:firstLine="560"/>
        <w:jc w:val="both"/>
        <w:keepLines w:val="0"/>
        <w:keepNext w:val="0"/>
        <w:pageBreakBefore w:val="0"/>
        <w:spacing w:line="46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w:t>
      </w:r>
      <w:r>
        <w:rPr>
          <w:rFonts w:hint="default" w:ascii="宋体" w:hAnsi="宋体" w:eastAsia="宋体" w:cs="宋体"/>
          <w:sz w:val="24"/>
          <w:szCs w:val="24"/>
          <w:highlight w:val="yellow"/>
          <w:lang w:val="en-US" w:eastAsia="zh-CN"/>
        </w:rPr>
        <w:t xml:space="preserve">.</w:t>
      </w:r>
      <w:r>
        <w:rPr>
          <w:rFonts w:hint="eastAsia" w:ascii="宋体" w:hAnsi="宋体" w:eastAsia="宋体" w:cs="宋体"/>
          <w:sz w:val="24"/>
          <w:szCs w:val="24"/>
          <w:highlight w:val="yellow"/>
          <w:lang w:val="en-US" w:eastAsia="zh-CN"/>
        </w:rPr>
        <w:t xml:space="preserve">1.2.项目完成所有外业调查工作后</w:t>
      </w:r>
      <w:r>
        <w:rPr>
          <w:rFonts w:hint="eastAsia" w:ascii="宋体" w:hAnsi="宋体" w:cs="宋体"/>
          <w:sz w:val="24"/>
          <w:szCs w:val="24"/>
          <w:highlight w:val="yellow"/>
          <w:lang w:val="en-US" w:eastAsia="zh-CN"/>
        </w:rPr>
        <w:t xml:space="preserve">待财政资金到位</w:t>
      </w:r>
      <w:r>
        <w:rPr>
          <w:rFonts w:hint="eastAsia" w:ascii="宋体" w:hAnsi="宋体" w:eastAsia="宋体" w:cs="宋体"/>
          <w:sz w:val="24"/>
          <w:szCs w:val="24"/>
          <w:highlight w:val="yellow"/>
          <w:lang w:val="en-US" w:eastAsia="zh-CN"/>
        </w:rPr>
        <w:t xml:space="preserve">，支付合同总价的40%。</w:t>
      </w:r>
      <w:r/>
    </w:p>
    <w:p>
      <w:pPr>
        <w:ind w:firstLine="480"/>
        <w:jc w:val="left"/>
        <w:spacing w:line="440" w:lineRule="exact"/>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 xml:space="preserve">6.1.3.项目通过验收后</w:t>
      </w:r>
      <w:r>
        <w:rPr>
          <w:rFonts w:hint="eastAsia" w:ascii="宋体" w:hAnsi="宋体" w:cs="宋体"/>
          <w:sz w:val="24"/>
          <w:szCs w:val="24"/>
          <w:highlight w:val="yellow"/>
          <w:lang w:val="en-US" w:eastAsia="zh-CN"/>
        </w:rPr>
        <w:t xml:space="preserve">待财政资金到位</w:t>
      </w:r>
      <w:r>
        <w:rPr>
          <w:rFonts w:hint="eastAsia" w:ascii="宋体" w:hAnsi="宋体" w:eastAsia="宋体" w:cs="宋体"/>
          <w:sz w:val="24"/>
          <w:szCs w:val="24"/>
          <w:highlight w:val="yellow"/>
          <w:lang w:val="en-US" w:eastAsia="zh-CN"/>
        </w:rPr>
        <w:t xml:space="preserve">，一次性付清余款</w:t>
      </w:r>
      <w:r>
        <w:rPr>
          <w:rFonts w:hint="eastAsia" w:ascii="Times New Roman" w:hAnsi="Times New Roman" w:eastAsia="宋体" w:cs="Times New Roman"/>
          <w:color w:val="auto"/>
          <w:sz w:val="24"/>
          <w:szCs w:val="24"/>
          <w:highlight w:val="yellow"/>
          <w:lang w:val="en-US" w:eastAsia="zh-CN"/>
        </w:rPr>
        <w:t xml:space="preserve">。（以上付款均无息）</w:t>
      </w:r>
      <w:r/>
    </w:p>
    <w:p>
      <w:pPr>
        <w:ind w:firstLine="562"/>
        <w:jc w:val="both"/>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7.1负责本项目的组织协调，配合乙方做好相关资料收集和准备工作。</w:t>
      </w:r>
      <w:r/>
    </w:p>
    <w:p>
      <w:pPr>
        <w:ind w:firstLine="560"/>
        <w:jc w:val="both"/>
        <w:keepLines w:val="0"/>
        <w:keepNext w:val="0"/>
        <w:pageBreakBefore w:val="0"/>
        <w:spacing w:line="4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7.2对乙方成果进行检查，按时足额向乙方支付工作经费。</w:t>
      </w:r>
      <w:r/>
    </w:p>
    <w:p>
      <w:pPr>
        <w:ind w:firstLine="562"/>
        <w:jc w:val="both"/>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八、乙方义务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Cs/>
          <w:sz w:val="24"/>
          <w:szCs w:val="24"/>
        </w:rPr>
        <w:t xml:space="preserve">严格按照甲方的委托要求独立开展工作并保证及时保质保量完成本委托业务，</w:t>
      </w:r>
      <w:r>
        <w:rPr>
          <w:rFonts w:hint="eastAsia" w:ascii="宋体" w:hAnsi="宋体" w:eastAsia="宋体" w:cs="宋体"/>
          <w:sz w:val="24"/>
          <w:szCs w:val="24"/>
        </w:rPr>
        <w:t xml:space="preserve">根据甲方要求提交的成果格式及文件交付时间，提交相关文字及电子数据成果资料。</w:t>
      </w:r>
      <w:r/>
    </w:p>
    <w:p>
      <w:pPr>
        <w:ind w:firstLine="562"/>
        <w:jc w:val="both"/>
        <w:keepLines w:val="0"/>
        <w:keepNext w:val="0"/>
        <w:pageBreakBefore w:val="0"/>
        <w:spacing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九、双方权利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（一）甲方权利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9.1.1甲方有权要求乙方按合同规定提供咨询服务。</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9.1.2乙方违反合同任何条款，甲方有权提前3天以书面形式通知乙方终止合同。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9.1.3非经甲方书面同意，乙方不得向任何第三方透露咨询项目的任何内容。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9.1.4乙方不得向任何第三方透露从甲方得到或研究发现的甲方内部信息。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9.1.5乙方人员在甲方活动时，需听从甲方有关人员安排和引导。</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9.1.6甲方提出收回向乙方提供的有关资料时，乙方应按照甲方要求将有关资料及其复制件返还甲方。</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9.1.7甲方在项目结束后，有权要求乙方提供招标文件和合同要求中约定的全部资料。</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9.1.8甲方委托乙方研究形成的工作报告书及相应成果知识产权归甲方所有。</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（二）乙方权利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9.2.1乙方有权要求甲方遵守本合同规定及其附件。</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9.2.2未经乙方书面同意，甲方不得向任何第三方透露咨询项目合同、咨询费用等相关的信息。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十、双方责任</w:t>
      </w:r>
      <w:r/>
    </w:p>
    <w:p>
      <w:pPr>
        <w:ind w:firstLine="560"/>
        <w:jc w:val="both"/>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（一）甲方责任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10.1.1甲方必须遵守本合同之规定及相关法律规定。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10.1.2甲方向乙方提供可靠、详细的资料，并保证资料的真实性、准确性。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10.2.1乙方必须遵守本合同之规定及相关法律规定。</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10.2.2乙方不得拒绝甲方委托乙方研究内容的相关咨询，对甲方的咨询乙方必须给予正式的书面答复，并应具有科学性和适用性。</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10.2.3乙方按照本合同及附件为甲方提供服务工作，乙方需要对项目组主要成员进行调整时，须书面征得甲方同意。</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十一、违约</w:t>
      </w:r>
      <w:r/>
    </w:p>
    <w:p>
      <w:pPr>
        <w:pStyle w:val="74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w:t>
      </w:r>
      <w:r/>
    </w:p>
    <w:p>
      <w:pPr>
        <w:pStyle w:val="74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ascii="宋体" w:hAnsi="宋体" w:eastAsia="宋体" w:cs="宋体"/>
          <w:u w:val="single"/>
        </w:rPr>
        <w:t xml:space="preserve"> </w:t>
      </w:r>
      <w:r>
        <w:rPr>
          <w:rFonts w:hint="eastAsia" w:cs="宋体"/>
          <w:u w:val="single"/>
          <w:lang w:val="en-US" w:eastAsia="zh-CN"/>
        </w:rPr>
        <w:t xml:space="preserve">1</w:t>
      </w:r>
      <w:r>
        <w:rPr>
          <w:rFonts w:hint="eastAsia" w:cs="宋体"/>
          <w:u w:val="single"/>
          <w:lang w:eastAsia="zh-CN"/>
        </w:rPr>
        <w:t xml:space="preserve">‱</w:t>
      </w:r>
      <w:r>
        <w:rPr>
          <w:rFonts w:hint="eastAsia" w:ascii="宋体" w:hAnsi="宋体" w:eastAsia="宋体" w:cs="宋体"/>
          <w:u w:val="single"/>
        </w:rPr>
        <w:t xml:space="preserve">  </w:t>
      </w:r>
      <w:r>
        <w:rPr>
          <w:rFonts w:hint="eastAsia" w:ascii="宋体" w:hAnsi="宋体" w:eastAsia="宋体" w:cs="宋体"/>
          <w:color w:val="000000"/>
          <w:sz w:val="24"/>
          <w:szCs w:val="24"/>
          <w:highlight w:val="none"/>
        </w:rPr>
        <w:t xml:space="preserve">每日向乙方支付违约金。</w:t>
      </w:r>
      <w:r/>
    </w:p>
    <w:p>
      <w:pPr>
        <w:pStyle w:val="74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48"/>
        <w:ind w:left="415" w:hanging="228"/>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11.4乙方所提供服务的标准不符合合同规定及招标文件规定标准的，甲方有权拒绝接受服务，并可单方面解除合同。</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十二、转让</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除甲方事先书面同意外，乙方不得转让任何其应履行的合同义务。</w:t>
      </w:r>
      <w:r/>
    </w:p>
    <w:p>
      <w:pPr>
        <w:ind w:firstLine="562"/>
        <w:jc w:val="both"/>
        <w:keepLines w:val="0"/>
        <w:keepNext w:val="0"/>
        <w:pageBreakBefore w:val="0"/>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十三、履约保证金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本项目免收履约保证金。</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十四、索赔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1、乙方可按以下规定向甲方索赔：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（2）索赔事件发生后20天内，向甲方发出要求索赔的通知，超出20天，作自动放弃索赔处理；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（3）甲方在接到索赔通知后10天内给予响应，或要求乙方进一步补充索赔理由和证据，甲方在10天内未予答复，应视为该项索赔已经认可。</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2、甲方可按以下规定向乙方索赔：</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（1）有正当索赔理由，且有索赔事件发生时的有关证据；</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（2）索赔事件发生后20天内，向乙方发出要求索赔的通知；</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（3）乙方在接到索赔通知后10天内给予响应，或要求甲方进一步补充索赔理由或证据，乙方在10天内未予答复，应视为该项索赔已经认可。</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十五、知识产权：</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乙方应保障甲方免于承担乙方所用的任何技术、软件、设备、文章及音像作品等方面因侵犯专利权等知识产权引起的一切索赔和诉讼，保障甲方免于承担由此导致或与此有关的一切损害赔偿费、诉讼费和其它有关费用。</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十六、产权担保：</w:t>
      </w:r>
      <w:r>
        <w:rPr>
          <w:rFonts w:hint="eastAsia" w:ascii="宋体" w:hAnsi="宋体" w:eastAsia="宋体" w:cs="宋体"/>
          <w:sz w:val="24"/>
          <w:szCs w:val="24"/>
        </w:rPr>
        <w:t xml:space="preserve">乙方保证所交付的服务的所有权完全属于乙方且无任何抵押、查封等产权瑕疵。</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十七、违约责任：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按照标书的规定和国家的有关规定处理。</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十八、不可抗力事件处理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18.1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18.2本条所述的“不可抗力”系指那些双方不能预见、不能克服并无法避免的事件，但不包括任何一方的违约或疏忽。不可预见的事件包括战争、严重火灾、洪水、台风、地震及其他双方同意的情况。</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r/>
    </w:p>
    <w:p>
      <w:pPr>
        <w:ind w:firstLine="562"/>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b/>
          <w:sz w:val="24"/>
          <w:szCs w:val="24"/>
        </w:rPr>
        <w:t xml:space="preserve">十九、争议的解决：</w:t>
      </w:r>
      <w:r>
        <w:rPr>
          <w:rFonts w:hint="eastAsia" w:ascii="宋体" w:hAnsi="宋体" w:eastAsia="宋体" w:cs="宋体"/>
          <w:sz w:val="24"/>
          <w:szCs w:val="24"/>
        </w:rPr>
        <w:t xml:space="preserve">本合同在履行过程中发生争议，由当事人双方协商解决，协商不成，双方同意将争议提交甲方所在地有管辖权的人民法院解决。</w:t>
      </w:r>
      <w:r/>
    </w:p>
    <w:p>
      <w:pPr>
        <w:ind w:firstLine="562"/>
        <w:jc w:val="both"/>
        <w:keepLines w:val="0"/>
        <w:keepNext w:val="0"/>
        <w:pageBreakBefore w:val="0"/>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二十、其他</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20.1合同双方可以就本合同主要内容以外的事项进行协商。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 本合同自双方签字盖章之日起生效。合同生效后如需变更合同条款，须经双方协商同意。</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 本合同任何条款不能认定为任何一方提供的格式条款。</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20.4本合同若有未尽事宜，双方可协商解决。</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20.5本合同一式捌份，甲、乙双方各执叁份，财政监管部门执贰份。</w:t>
      </w:r>
      <w:r/>
    </w:p>
    <w:p>
      <w:pPr>
        <w:ind w:firstLine="560"/>
        <w:jc w:val="both"/>
        <w:keepLines w:val="0"/>
        <w:keepNext w:val="0"/>
        <w:pageBreakBefore w:val="0"/>
        <w:spacing w:line="460" w:lineRule="exact"/>
        <w:rPr>
          <w:rFonts w:hint="eastAsia"/>
          <w:color w:val="auto"/>
          <w:highlight w:val="none"/>
        </w:rPr>
      </w:pPr>
      <w:r>
        <w:rPr>
          <w:rFonts w:hint="eastAsia" w:ascii="宋体" w:hAnsi="宋体" w:eastAsia="宋体" w:cs="宋体"/>
          <w:sz w:val="24"/>
          <w:szCs w:val="24"/>
        </w:rPr>
        <w:t xml:space="preserve">20.6本合同未注明事项</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文件中有规定的，按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文件中的规定处理，没有规定的，按照国家有关规定处理。</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w:t>
      </w:r>
      <w:r>
        <w:rPr>
          <w:rFonts w:hint="eastAsia" w:ascii="宋体" w:hAnsi="宋体" w:eastAsia="宋体" w:cs="宋体"/>
          <w:sz w:val="24"/>
          <w:szCs w:val="24"/>
          <w:lang w:val="en-US" w:eastAsia="zh-CN"/>
        </w:rPr>
        <w:t xml:space="preserve">理人（签字）</w:t>
      </w:r>
      <w:r>
        <w:rPr>
          <w:rFonts w:hint="eastAsia" w:ascii="宋体" w:hAnsi="宋体" w:eastAsia="宋体" w:cs="宋体"/>
          <w:sz w:val="24"/>
          <w:szCs w:val="24"/>
        </w:rPr>
        <w:t xml:space="preserve">：</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帐    号：</w:t>
      </w:r>
      <w:r/>
    </w:p>
    <w:p>
      <w:pPr>
        <w:ind w:firstLine="560"/>
        <w:jc w:val="both"/>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年 月 日</w:t>
      </w:r>
      <w:r/>
    </w:p>
    <w:p>
      <w:pPr>
        <w:numPr>
          <w:ilvl w:val="0"/>
          <w:numId w:val="0"/>
        </w:numPr>
        <w:jc w:val="center"/>
        <w:spacing w:before="120" w:after="120" w:line="0" w:lineRule="atLeast"/>
        <w:rPr>
          <w:rFonts w:hint="eastAsia" w:ascii="宋体" w:hAnsi="宋体" w:eastAsia="宋体" w:cs="宋体"/>
          <w:b/>
          <w:bCs/>
          <w:color w:val="auto"/>
          <w:sz w:val="24"/>
          <w:szCs w:val="24"/>
          <w:highlight w:val="none"/>
        </w:rPr>
      </w:pPr>
      <w:r>
        <w:rPr>
          <w:rFonts w:ascii="黑体" w:hAnsi="Courier New" w:eastAsia="黑体" w:cs="Courier New"/>
          <w:bCs/>
          <w:color w:val="auto"/>
          <w:sz w:val="44"/>
          <w:szCs w:val="21"/>
          <w:highlight w:val="none"/>
        </w:rPr>
        <w:br w:type="page" w:clear="all"/>
      </w:r>
      <w:bookmarkEnd w:id="172"/>
      <w:r>
        <w:rPr>
          <w:rFonts w:hint="eastAsia" w:ascii="黑体" w:hAnsi="Courier New" w:eastAsia="黑体" w:cs="Courier New"/>
          <w:bCs/>
          <w:color w:val="auto"/>
          <w:sz w:val="44"/>
          <w:szCs w:val="21"/>
          <w:highlight w:val="none"/>
          <w:lang w:val="en-US" w:eastAsia="zh-CN"/>
        </w:rPr>
        <w:t xml:space="preserve">第四章 </w:t>
      </w:r>
      <w:r>
        <w:rPr>
          <w:rFonts w:hint="eastAsia" w:ascii="黑体" w:hAnsi="Courier New" w:eastAsia="黑体" w:cs="Courier New"/>
          <w:bCs/>
          <w:color w:val="auto"/>
          <w:sz w:val="44"/>
          <w:szCs w:val="21"/>
          <w:highlight w:val="none"/>
        </w:rPr>
        <w:t xml:space="preserve">采购需求</w:t>
      </w:r>
      <w:bookmarkEnd w:id="173"/>
      <w:r/>
      <w:bookmarkEnd w:id="174"/>
      <w:r/>
      <w:bookmarkEnd w:id="175"/>
      <w:r/>
      <w:r/>
    </w:p>
    <w:p>
      <w:pPr>
        <w:pStyle w:val="748"/>
        <w:ind w:firstLine="562"/>
        <w:jc w:val="both"/>
        <w:spacing w:beforeAutospacing="0" w:afterAutospacing="0" w:line="360" w:lineRule="auto"/>
        <w:rPr>
          <w:b/>
          <w:bCs/>
          <w:sz w:val="28"/>
          <w:szCs w:val="28"/>
        </w:rPr>
      </w:pPr>
      <w:r/>
      <w:bookmarkStart w:id="179" w:name="_Toc26554093"/>
      <w:r/>
      <w:bookmarkStart w:id="180" w:name="_Toc49090575"/>
      <w:r>
        <w:rPr>
          <w:rFonts w:hint="eastAsia" w:ascii="宋体" w:hAnsi="宋体" w:eastAsia="宋体" w:cs="宋体"/>
          <w:b/>
          <w:bCs/>
          <w:color w:val="000000"/>
          <w:sz w:val="28"/>
          <w:szCs w:val="28"/>
        </w:rPr>
        <w:t xml:space="preserve">项目属性:服务类项目</w:t>
      </w:r>
      <w:bookmarkEnd w:id="179"/>
      <w:r/>
      <w:bookmarkEnd w:id="180"/>
      <w:r/>
      <w:r/>
    </w:p>
    <w:p>
      <w:pPr>
        <w:pStyle w:val="704"/>
        <w:numPr>
          <w:ilvl w:val="0"/>
          <w:numId w:val="5"/>
        </w:numPr>
        <w:jc w:val="both"/>
        <w:keepLines w:val="0"/>
        <w:keepNext w:val="0"/>
        <w:pageBreakBefore w:val="0"/>
        <w:spacing w:line="400" w:lineRule="exact"/>
        <w:rPr>
          <w:rFonts w:eastAsia="宋体"/>
          <w:sz w:val="32"/>
          <w:szCs w:val="32"/>
        </w:rPr>
      </w:pPr>
      <w:r>
        <w:rPr>
          <w:rFonts w:eastAsia="宋体"/>
          <w:sz w:val="32"/>
          <w:szCs w:val="32"/>
        </w:rPr>
        <w:t xml:space="preserve">项目概况</w:t>
      </w:r>
      <w:r/>
    </w:p>
    <w:p>
      <w:pPr>
        <w:pStyle w:val="704"/>
        <w:numPr>
          <w:ilvl w:val="0"/>
          <w:numId w:val="0"/>
        </w:numPr>
        <w:ind w:firstLine="480"/>
        <w:jc w:val="both"/>
        <w:keepLines w:val="0"/>
        <w:keepNext w:val="0"/>
        <w:pageBreakBefore w:val="0"/>
        <w:spacing w:line="4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生物多样性是人类生存与发展的基本条件，经济社会可持续发展的物质基础，也是生态安全的重要保障。党中央、国务院高度重视生物多样性保护工作，将生物多样性保护上升为国家战略。近年来，我省相继出台《江苏省生物多样性保护战略与行动纲要（20</w:t>
      </w:r>
      <w:r>
        <w:rPr>
          <w:rFonts w:hint="eastAsia" w:ascii="宋体" w:hAnsi="宋体" w:eastAsia="宋体" w:cs="宋体"/>
          <w:b w:val="0"/>
          <w:bCs w:val="0"/>
          <w:sz w:val="24"/>
          <w:szCs w:val="24"/>
          <w:lang w:val="en-US" w:eastAsia="zh-CN" w:bidi="ar-SA"/>
        </w:rPr>
        <w:t xml:space="preserve">24-2035年）》（苏环发〔2024〕11号）、《省生态环境厅关于印发&lt;江苏省新一轮生物多样性调查工作方案&gt;的通知》（苏环办〔2025〕177号），对生物多样性调查监测工作作出具体部署，要求通过新一轮调查，更新完善我省生物多样性本底数据，掌握生态系统多样性和物种多样性现状及变化情况，推动重要生态系统、生物物种和生物遗传资源得到全面有效保护。在此背景下，阜宁县拟开展新一轮生物多样性本底调查工作，系统掌握辖区生物多样性信息，进一步提升生物多样性保护基础能力，实现生物物种资源长效管理，为管理和决策提供科学依据。</w:t>
      </w:r>
      <w:r/>
    </w:p>
    <w:p>
      <w:pPr>
        <w:numPr>
          <w:ilvl w:val="0"/>
          <w:numId w:val="0"/>
        </w:numPr>
        <w:keepLines w:val="0"/>
        <w:keepNext w:val="0"/>
        <w:pageBreakBefore w:val="0"/>
        <w:spacing w:line="400" w:lineRule="exact"/>
        <w:widowControl w:val="off"/>
        <w:rPr>
          <w:rFonts w:hint="default" w:ascii="Arial" w:hAnsi="Arial" w:eastAsia="宋体" w:cs="Arial"/>
          <w:b/>
          <w:bCs/>
          <w:sz w:val="32"/>
          <w:szCs w:val="32"/>
          <w:lang w:val="en-US" w:eastAsia="zh-CN" w:bidi="ar-SA"/>
        </w:rPr>
      </w:pPr>
      <w:r>
        <w:rPr>
          <w:rFonts w:hint="eastAsia" w:ascii="Arial" w:hAnsi="Arial" w:eastAsia="宋体" w:cs="Arial"/>
          <w:b/>
          <w:bCs/>
          <w:sz w:val="32"/>
          <w:szCs w:val="32"/>
          <w:lang w:val="en-US" w:eastAsia="zh-CN" w:bidi="ar-SA"/>
        </w:rPr>
        <w:t xml:space="preserve">二、采购需求</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（一）工作范围</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按照《全国生物多样性调查网格设置》，全国生物多样性调查网格中与阜宁县行政范围有共同区域，且县域面积≥25km2（即网格面积的 25%）的网格，应视为工作网格，必须纳入项目调查范围，反之则为非有效网格。因此，阜宁县划定生物多样性工作网格21个。</w:t>
      </w:r>
      <w:r/>
    </w:p>
    <w:p>
      <w:pPr>
        <w:rPr>
          <w:rFonts w:ascii="Times New Roman" w:hAnsi="Times New Roman" w:eastAsia="方正仿宋简体" w:cs="Times New Roman"/>
          <w:sz w:val="28"/>
          <w:szCs w:val="28"/>
          <w14:ligatures w14:val="none"/>
        </w:rPr>
      </w:pPr>
      <w:r>
        <mc:AlternateContent>
          <mc:Choice Requires="wpg">
            <w:drawing>
              <wp:inline xmlns:wp="http://schemas.openxmlformats.org/drawingml/2006/wordprocessingDrawing" distT="0" distB="0" distL="0" distR="0">
                <wp:extent cx="4164965" cy="2943860"/>
                <wp:effectExtent l="0" t="0" r="6985" b="8890"/>
                <wp:docPr id="1" name="图片 1" descr="E:/4.项目/141 阜宁生物多样性本底调查2025-2026/01实施方案/02 制图/04 出图/01出图250929/01阜宁网格图.png01阜宁网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4.项目/141 阜宁生物多样性本底调查2025-2026/01实施方案/02 制图/04 出图/01出图250929/01阜宁网格图.png01阜宁网格图"/>
                        <pic:cNvPicPr>
                          <a:picLocks noChangeAspect="1"/>
                        </pic:cNvPicPr>
                        <pic:nvPr/>
                      </pic:nvPicPr>
                      <pic:blipFill>
                        <a:blip r:embed="rId12"/>
                        <a:srcRect l="0" t="37" r="0" b="37"/>
                        <a:stretch/>
                      </pic:blipFill>
                      <pic:spPr bwMode="auto">
                        <a:xfrm>
                          <a:off x="0" y="0"/>
                          <a:ext cx="4164965" cy="2943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7.9pt;height:231.8pt;mso-wrap-distance-left:0.0pt;mso-wrap-distance-top:0.0pt;mso-wrap-distance-right:0.0pt;mso-wrap-distance-bottom:0.0pt;" stroked="f">
                <v:path textboxrect="0,0,0,0"/>
                <v:imagedata r:id="rId12" o:title=""/>
              </v:shape>
            </w:pict>
          </mc:Fallback>
        </mc:AlternateConten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（二）工作内容</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生态系统多样性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物种多样性调查：开展大型真菌、地衣和苔藓、陆生维管植物、陆生脊椎动物（两栖动物、爬行动物、鸟类、哺乳动物）、陆生昆虫、大中型土壤动物、淡水水生生物（鱼类、底栖动物、浮游动物、浮游植物、着生藻类、水生维管植物）、共 7 大类群物种多样性调查，更新阜宁县物种种类组成、分布状况、生境类型，特别是重点保护物种、受威胁物种和外来入侵物种的种类组成、数量、分布状况、生境类型、保护现状、受威胁现状等，根据不同生物类群特点，分析变化特点、趋势，提出管理对策和措施建议。</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生物多样性评估：主要包括物种多样性评估和生境质量评估，其中物种多样性评估指标为物种数量、种群密度、物种新记录种类与数量、生物多样性指数、特有物种比例、受威胁物种种数、物种红色名录指数等，开展重要外来入侵物种识别及影响分析、珍稀濒危物种受威胁程度分析。以物种多样性和生态系统多样性调查分析结果为基础，对阜宁县生物多样性保护现状、存在问题进行分析，提出保护策略。</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（三）调查时间和频次</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大型真菌全年至少调查3次（建议5-10月，可根据县域内大型真菌实际生长状况调整）。</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地衣和苔藓全年至少开展2次野外调查，可选择地衣和苔藓生长旺盛期进行，苔藓的调查适合选择春季和秋季的雨后或潮湿天气，地衣的观测时间不限。</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陆生维管植物野外调查工作主要在2月至11月开展，全年至少调查3次，分别在春季、夏季及秋季开展。</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陆生脊椎动物中两栖动物全年开展2次调查，分别在繁殖期（4-5月）和非繁殖期（6-9月）进行；爬行动物全年开展3次调查，分别在繁殖前（3-4月）、繁殖期（5-6月）和繁殖后（8-9月）进行；鸟类全年开展9次调查，分别在越冬期（12月-次年2月，3次）、春季迁徙期（4-5月，2次）、繁殖期（6-7月，2次）、秋季迁徙期（9-10月，2次）进行；哺乳动物红外相机全季节布设，单次工作时长不少于60天。</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陆生昆虫全年开展3次调查，分别在春季、夏季和秋季进行。</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大中型土壤动物全年开展2次调查，分别在春季、秋季进行。</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淡水水生生物除着生藻类全年开展1次（枯水期或平水期）调查外，其余类群全年开展2次调查，分别在春季、秋季进行。</w:t>
      </w:r>
      <w:r/>
    </w:p>
    <w:p>
      <w:pPr>
        <w:pStyle w:val="714"/>
        <w:rPr>
          <w:rFonts w:hint="eastAsia"/>
          <w:lang w:val="en-US" w:eastAsia="zh-CN"/>
        </w:rPr>
      </w:pPr>
      <w:r>
        <w:rPr>
          <w:rFonts w:hint="eastAsia"/>
          <w:lang w:val="en-US" w:eastAsia="zh-CN"/>
        </w:rPr>
      </w:r>
      <w:r/>
    </w:p>
    <w:p>
      <w:pPr>
        <w:spacing w:line="360" w:lineRule="auto"/>
        <w:rPr>
          <w:rFonts w:hint="eastAsia" w:ascii="宋体" w:hAnsi="宋体" w:eastAsia="宋体" w:cs="宋体"/>
          <w:b/>
          <w:bCs/>
          <w:sz w:val="32"/>
          <w:szCs w:val="32"/>
          <w:highlight w:val="none"/>
          <w:lang w:val="en-US" w:eastAsia="zh-CN" w:bidi="ar"/>
        </w:rPr>
      </w:pPr>
      <w:r>
        <w:rPr>
          <w:rFonts w:hint="eastAsia" w:ascii="宋体" w:hAnsi="宋体" w:eastAsia="宋体" w:cs="宋体"/>
          <w:b/>
          <w:bCs/>
          <w:sz w:val="32"/>
          <w:szCs w:val="32"/>
          <w:highlight w:val="none"/>
          <w:lang w:val="en-US" w:eastAsia="zh-CN" w:bidi="ar"/>
        </w:rPr>
        <w:t xml:space="preserve">三、成果要求</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根据《省生态环境厅关于印发&lt;江苏省新一轮生物多样性调查工作方案&gt;的通知》（苏环办〔2025〕177号）中的报告文本要求，提交生物多样性本底调查实施方案、工作报告、技术报告和编目报告。</w:t>
      </w:r>
      <w:r/>
    </w:p>
    <w:p>
      <w:pPr>
        <w:ind w:firstLine="480"/>
        <w:spacing w:line="50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按照统一的表格制式和填报要求完成野外调查相关成果数据上报，包括电子标本、工作照、生境照、调查轨迹（样线法）、结果数据表、现场调查记录表等。</w:t>
      </w:r>
      <w:r/>
    </w:p>
    <w:p>
      <w:pPr>
        <w:spacing w:line="360" w:lineRule="auto"/>
        <w:rPr>
          <w:rFonts w:hint="eastAsia" w:ascii="宋体" w:hAnsi="宋体" w:eastAsia="宋体" w:cs="宋体"/>
          <w:b/>
          <w:bCs/>
          <w:sz w:val="32"/>
          <w:szCs w:val="32"/>
          <w:highlight w:val="none"/>
          <w:lang w:val="en-US" w:eastAsia="zh-CN" w:bidi="ar"/>
        </w:rPr>
      </w:pPr>
      <w:r>
        <w:rPr>
          <w:rFonts w:hint="eastAsia" w:ascii="宋体" w:hAnsi="宋体" w:cs="宋体"/>
          <w:b/>
          <w:bCs/>
          <w:sz w:val="32"/>
          <w:szCs w:val="32"/>
          <w:highlight w:val="none"/>
          <w:lang w:val="en-US" w:eastAsia="zh-CN" w:bidi="ar"/>
        </w:rPr>
        <w:t xml:space="preserve">四</w:t>
      </w:r>
      <w:r>
        <w:rPr>
          <w:rFonts w:hint="eastAsia" w:ascii="宋体" w:hAnsi="宋体" w:eastAsia="宋体" w:cs="宋体"/>
          <w:b/>
          <w:bCs/>
          <w:sz w:val="32"/>
          <w:szCs w:val="32"/>
          <w:highlight w:val="none"/>
          <w:lang w:val="en-US" w:eastAsia="zh-CN" w:bidi="ar"/>
        </w:rPr>
        <w:t xml:space="preserve">、付款方式</w:t>
      </w:r>
      <w:r/>
    </w:p>
    <w:p>
      <w:pPr>
        <w:ind w:firstLine="480"/>
        <w:spacing w:line="360" w:lineRule="auto"/>
        <w:rPr>
          <w:rFonts w:ascii="宋体" w:hAnsi="宋体"/>
          <w:sz w:val="24"/>
          <w:highlight w:val="none"/>
        </w:rPr>
      </w:pPr>
      <w:r>
        <w:rPr>
          <w:rFonts w:hint="eastAsia" w:ascii="宋体" w:hAnsi="宋体"/>
          <w:sz w:val="24"/>
          <w:highlight w:val="none"/>
        </w:rPr>
        <w:t xml:space="preserve">按本文件第三章合同条款中的相关条款执行。</w:t>
      </w:r>
      <w:r/>
    </w:p>
    <w:p>
      <w:pPr>
        <w:spacing w:line="360" w:lineRule="auto"/>
        <w:rPr>
          <w:rFonts w:hint="eastAsia" w:ascii="宋体" w:hAnsi="宋体" w:eastAsia="宋体" w:cs="宋体"/>
          <w:b/>
          <w:bCs/>
          <w:sz w:val="32"/>
          <w:szCs w:val="32"/>
          <w:highlight w:val="none"/>
          <w:lang w:val="en-US" w:eastAsia="zh-CN" w:bidi="ar"/>
        </w:rPr>
      </w:pPr>
      <w:r>
        <w:rPr>
          <w:rFonts w:hint="eastAsia" w:ascii="宋体" w:hAnsi="宋体" w:cs="宋体"/>
          <w:b/>
          <w:bCs/>
          <w:sz w:val="32"/>
          <w:szCs w:val="32"/>
          <w:highlight w:val="none"/>
          <w:lang w:val="en-US" w:eastAsia="zh-CN" w:bidi="ar"/>
        </w:rPr>
        <w:t xml:space="preserve">五</w:t>
      </w:r>
      <w:r>
        <w:rPr>
          <w:rFonts w:hint="eastAsia" w:ascii="宋体" w:hAnsi="宋体" w:eastAsia="宋体" w:cs="宋体"/>
          <w:b/>
          <w:bCs/>
          <w:sz w:val="32"/>
          <w:szCs w:val="32"/>
          <w:highlight w:val="none"/>
          <w:lang w:val="en-US" w:eastAsia="zh-CN" w:bidi="ar"/>
        </w:rPr>
        <w:t xml:space="preserve">、应充分响应的技术规范和商务条款</w:t>
      </w:r>
      <w:r/>
    </w:p>
    <w:p>
      <w:pPr>
        <w:pStyle w:val="783"/>
        <w:ind w:firstLine="480"/>
        <w:spacing w:line="360" w:lineRule="auto"/>
        <w:rPr>
          <w:rFonts w:ascii="Times New Roman" w:hAnsi="Times New Roman" w:eastAsia="宋体"/>
          <w:highlight w:val="none"/>
        </w:rPr>
      </w:pPr>
      <w:r>
        <w:rPr>
          <w:rFonts w:hint="eastAsia" w:ascii="宋体" w:hAnsi="宋体" w:eastAsia="宋体" w:cs="宋体"/>
          <w:sz w:val="24"/>
          <w:szCs w:val="24"/>
          <w:highlight w:val="none"/>
        </w:rPr>
        <w:t xml:space="preserve">本</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所提出的各项要求、付款方式、合同履行期限、服务内容、服务要求等重要商务要求，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应充分响应，否则</w:t>
      </w: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有权酌情认定为实质性或重大负偏离。</w:t>
      </w:r>
      <w:r>
        <w:rPr>
          <w:highlight w:val="none"/>
        </w:rPr>
        <w:t xml:space="preserve"> </w:t>
      </w:r>
      <w:r/>
    </w:p>
    <w:p>
      <w:pPr>
        <w:pStyle w:val="748"/>
        <w:jc w:val="both"/>
        <w:spacing w:beforeAutospacing="0" w:afterAutospacing="0" w:line="500" w:lineRule="exact"/>
        <w:rPr>
          <w:rFonts w:hint="eastAsia" w:ascii="宋体" w:hAnsi="宋体" w:eastAsia="宋体" w:cs="宋体"/>
          <w:b/>
          <w:bCs/>
          <w:sz w:val="32"/>
          <w:szCs w:val="32"/>
          <w:highlight w:val="none"/>
          <w:lang w:val="en-US" w:eastAsia="zh-CN" w:bidi="ar"/>
        </w:rPr>
      </w:pPr>
      <w:r>
        <w:rPr>
          <w:rFonts w:hint="eastAsia" w:cs="宋体"/>
          <w:b/>
          <w:bCs/>
          <w:sz w:val="32"/>
          <w:szCs w:val="32"/>
          <w:highlight w:val="none"/>
          <w:lang w:val="en-US" w:eastAsia="zh-CN" w:bidi="ar"/>
        </w:rPr>
        <w:t xml:space="preserve">六</w:t>
      </w:r>
      <w:r>
        <w:rPr>
          <w:rFonts w:hint="eastAsia" w:ascii="宋体" w:hAnsi="宋体" w:eastAsia="宋体" w:cs="宋体"/>
          <w:b/>
          <w:bCs/>
          <w:sz w:val="32"/>
          <w:szCs w:val="32"/>
          <w:highlight w:val="none"/>
          <w:lang w:val="en-US" w:eastAsia="zh-CN" w:bidi="ar"/>
        </w:rPr>
        <w:t xml:space="preserve">、服务期限</w:t>
      </w:r>
      <w:r/>
    </w:p>
    <w:p>
      <w:pPr>
        <w:pStyle w:val="748"/>
        <w:ind w:firstLine="480"/>
        <w:jc w:val="both"/>
        <w:spacing w:beforeAutospacing="0" w:afterAutospacing="0" w:line="500" w:lineRule="exact"/>
        <w:rPr>
          <w:rFonts w:ascii="宋体" w:hAnsi="宋体" w:eastAsia="宋体" w:cs="宋体"/>
          <w:highlight w:val="none"/>
        </w:rPr>
      </w:pPr>
      <w:r>
        <w:rPr>
          <w:rFonts w:hint="eastAsia" w:cs="宋体"/>
          <w:color w:val="000000"/>
          <w:sz w:val="24"/>
          <w:szCs w:val="24"/>
          <w:highlight w:val="none"/>
          <w:lang w:eastAsia="zh-CN"/>
        </w:rPr>
        <w:t xml:space="preserve">供应商需在中标后1个月内编制并提交实施方案，中标后12个月内完成野外调查，中标后15个月内编制完成全部成果报告并通过验收</w:t>
      </w:r>
      <w:r>
        <w:rPr>
          <w:rFonts w:hint="eastAsia" w:ascii="宋体" w:hAnsi="宋体" w:eastAsia="宋体" w:cs="宋体"/>
          <w:highlight w:val="none"/>
        </w:rPr>
        <w:t xml:space="preserve">。</w:t>
      </w:r>
      <w:r/>
    </w:p>
    <w:p>
      <w:pPr>
        <w:pStyle w:val="1041"/>
        <w:ind w:left="0" w:firstLine="0"/>
        <w:spacing w:line="360" w:lineRule="auto"/>
        <w:tabs>
          <w:tab w:val="left" w:pos="1440" w:leader="none"/>
        </w:tabs>
        <w:rPr>
          <w:rFonts w:hint="eastAsia" w:ascii="宋体" w:hAnsi="宋体" w:eastAsia="宋体" w:cs="宋体"/>
          <w:b/>
          <w:bCs/>
          <w:sz w:val="32"/>
          <w:szCs w:val="32"/>
          <w:lang w:val="en-US" w:eastAsia="zh-CN" w:bidi="ar"/>
        </w:rPr>
      </w:pPr>
      <w:r>
        <w:rPr>
          <w:rFonts w:hint="eastAsia" w:ascii="宋体" w:hAnsi="宋体" w:cs="宋体"/>
          <w:b/>
          <w:bCs/>
          <w:sz w:val="32"/>
          <w:szCs w:val="32"/>
          <w:lang w:val="en-US" w:eastAsia="zh-CN" w:bidi="ar"/>
        </w:rPr>
        <w:t xml:space="preserve">七</w:t>
      </w:r>
      <w:r>
        <w:rPr>
          <w:rFonts w:hint="eastAsia" w:ascii="宋体" w:hAnsi="宋体" w:eastAsia="宋体" w:cs="宋体"/>
          <w:b/>
          <w:bCs/>
          <w:sz w:val="32"/>
          <w:szCs w:val="32"/>
          <w:lang w:val="en-US" w:eastAsia="zh-CN" w:bidi="ar"/>
        </w:rPr>
        <w:t xml:space="preserve">、报价要求</w:t>
      </w:r>
      <w:r/>
    </w:p>
    <w:p>
      <w:pPr>
        <w:ind w:firstLine="482"/>
        <w:spacing w:line="480" w:lineRule="exact"/>
        <w:rPr>
          <w:rFonts w:hint="eastAsia" w:ascii="宋体" w:hAnsi="宋体" w:cs="宋体"/>
          <w:sz w:val="24"/>
          <w:szCs w:val="24"/>
        </w:rPr>
      </w:pPr>
      <w:r>
        <w:rPr>
          <w:rFonts w:hint="eastAsia" w:ascii="宋体" w:hAnsi="宋体" w:cs="宋体"/>
          <w:b/>
          <w:sz w:val="24"/>
          <w:szCs w:val="24"/>
        </w:rPr>
        <w:t xml:space="preserve">1、本项目采购人设定的投标报价最高限价为</w:t>
      </w:r>
      <w:r>
        <w:rPr>
          <w:rFonts w:hint="eastAsia" w:ascii="宋体" w:hAnsi="宋体" w:cs="宋体"/>
          <w:b/>
          <w:sz w:val="24"/>
          <w:szCs w:val="24"/>
          <w:lang w:val="en-US" w:eastAsia="zh-CN"/>
        </w:rPr>
        <w:t xml:space="preserve">170万元</w:t>
      </w:r>
      <w:r>
        <w:rPr>
          <w:rFonts w:hint="eastAsia" w:ascii="宋体" w:hAnsi="宋体" w:cs="宋体"/>
          <w:b/>
          <w:bCs/>
          <w:sz w:val="24"/>
          <w:szCs w:val="24"/>
        </w:rPr>
        <w:t xml:space="preserve">，</w:t>
      </w:r>
      <w:r>
        <w:rPr>
          <w:rFonts w:hint="eastAsia" w:ascii="宋体" w:hAnsi="宋体" w:cs="宋体"/>
          <w:b/>
          <w:bCs/>
          <w:sz w:val="24"/>
          <w:szCs w:val="24"/>
        </w:rPr>
        <w:t xml:space="preserve">投标人的投标分项报价</w:t>
      </w:r>
      <w:r>
        <w:rPr>
          <w:rFonts w:hint="eastAsia" w:ascii="宋体" w:hAnsi="宋体" w:cs="宋体"/>
          <w:sz w:val="24"/>
          <w:szCs w:val="24"/>
        </w:rPr>
        <w:t xml:space="preserve">不得超出采购设定的分项最高限价上限，否则，其投标文件按无效投标处理。</w:t>
      </w:r>
      <w:r/>
    </w:p>
    <w:p>
      <w:pPr>
        <w:ind w:firstLine="480"/>
        <w:spacing w:line="420" w:lineRule="exact"/>
        <w:rPr>
          <w:rFonts w:ascii="宋体" w:hAnsi="宋体" w:cs="宋体"/>
          <w:sz w:val="24"/>
        </w:rPr>
      </w:pPr>
      <w:r>
        <w:rPr>
          <w:rFonts w:hint="eastAsia" w:ascii="宋体" w:hAnsi="宋体" w:cs="宋体"/>
          <w:sz w:val="24"/>
        </w:rPr>
        <w:t xml:space="preserve">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ascii="Times New Roman" w:hAnsi="Times New Roman" w:eastAsia="宋体" w:cs="Times New Roman"/>
          <w:sz w:val="24"/>
        </w:rPr>
        <w:t xml:space="preserve">中标单位须承担专家评审费用和会务费用</w:t>
      </w:r>
      <w:r>
        <w:rPr>
          <w:rFonts w:hint="eastAsia" w:ascii="Times New Roman" w:hAnsi="Times New Roman" w:eastAsia="宋体" w:cs="Times New Roman"/>
          <w:sz w:val="24"/>
        </w:rPr>
        <w:t xml:space="preserve">，</w:t>
      </w:r>
      <w:r>
        <w:rPr>
          <w:rFonts w:hint="eastAsia" w:ascii="宋体" w:hAnsi="宋体" w:cs="宋体"/>
          <w:sz w:val="24"/>
        </w:rPr>
        <w:t xml:space="preserve">除中标价外，采购单位不再支付其他任何费用。</w:t>
      </w:r>
      <w:r/>
    </w:p>
    <w:p>
      <w:pPr>
        <w:ind w:left="-1" w:firstLine="480"/>
        <w:spacing w:line="420" w:lineRule="exact"/>
        <w:rPr>
          <w:rFonts w:ascii="宋体" w:hAnsi="宋体" w:cs="宋体"/>
          <w:sz w:val="24"/>
        </w:rPr>
      </w:pPr>
      <w:r>
        <w:rPr>
          <w:rFonts w:hint="eastAsia" w:ascii="宋体" w:hAnsi="宋体" w:cs="宋体"/>
          <w:sz w:val="24"/>
        </w:rPr>
        <w:t xml:space="preserve">3、供应商根据自己的经营状况和掌握的市场信息自主报价。决定供应商响应文件的响应性只根据响应文件本身的内容，而不寻求外部的证据。</w:t>
      </w:r>
      <w:r/>
    </w:p>
    <w:p>
      <w:pPr>
        <w:ind w:firstLine="480"/>
        <w:spacing w:line="400" w:lineRule="exact"/>
        <w:rPr>
          <w:rFonts w:ascii="宋体" w:hAnsi="宋体" w:cs="宋体"/>
          <w:sz w:val="24"/>
        </w:rPr>
      </w:pPr>
      <w:r>
        <w:rPr>
          <w:rFonts w:hint="eastAsia" w:ascii="宋体" w:hAnsi="宋体" w:cs="宋体"/>
          <w:sz w:val="24"/>
        </w:rPr>
        <w:t xml:space="preserve">4、要求报价单的每一页都必须盖投标供应商公章。</w:t>
      </w:r>
      <w:r/>
    </w:p>
    <w:p>
      <w:pPr>
        <w:ind w:firstLine="480"/>
        <w:spacing w:line="480" w:lineRule="exact"/>
        <w:rPr>
          <w:rFonts w:hint="eastAsia" w:ascii="宋体" w:hAnsi="宋体" w:eastAsia="宋体" w:cs="宋体"/>
          <w:b/>
          <w:bCs/>
          <w:sz w:val="32"/>
          <w:szCs w:val="32"/>
          <w:lang w:val="en-US" w:eastAsia="zh-CN" w:bidi="ar"/>
        </w:rPr>
      </w:pPr>
      <w:r>
        <w:rPr>
          <w:rFonts w:hint="eastAsia" w:ascii="宋体" w:hAnsi="宋体" w:cs="宋体"/>
          <w:sz w:val="24"/>
        </w:rPr>
        <w:t xml:space="preserve">注：采购人保留对工作量进行变更或增减的权利。</w:t>
      </w:r>
      <w:r/>
    </w:p>
    <w:p>
      <w:pPr>
        <w:pStyle w:val="705"/>
        <w:spacing w:before="0" w:after="0" w:line="360" w:lineRule="auto"/>
        <w:rPr>
          <w:rFonts w:hint="eastAsia" w:ascii="宋体" w:hAnsi="宋体" w:eastAsia="宋体" w:cs="宋体"/>
          <w:b/>
          <w:bCs/>
          <w:sz w:val="32"/>
          <w:szCs w:val="32"/>
          <w:lang w:val="en-US" w:eastAsia="zh-CN" w:bidi="ar"/>
        </w:rPr>
      </w:pPr>
      <w:r/>
      <w:bookmarkStart w:id="181" w:name="_Toc187054180"/>
      <w:r>
        <w:rPr>
          <w:rFonts w:hint="eastAsia" w:ascii="宋体" w:hAnsi="宋体" w:eastAsia="宋体" w:cs="宋体"/>
          <w:b/>
          <w:bCs/>
          <w:sz w:val="32"/>
          <w:szCs w:val="32"/>
          <w:lang w:val="en-US" w:eastAsia="zh-CN" w:bidi="ar"/>
        </w:rPr>
        <w:t xml:space="preserve">八、履约能力要求</w:t>
      </w:r>
      <w:bookmarkEnd w:id="181"/>
      <w:r/>
      <w:r/>
    </w:p>
    <w:p>
      <w:pPr>
        <w:pStyle w:val="1041"/>
        <w:ind w:firstLine="480"/>
        <w:spacing w:line="360" w:lineRule="auto"/>
        <w:tabs>
          <w:tab w:val="left" w:pos="1440" w:leader="none"/>
        </w:tabs>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1、投标人2023年1月1日至今（以合同签订时间为准）</w:t>
      </w:r>
      <w:r>
        <w:rPr>
          <w:rFonts w:hint="eastAsia" w:ascii="Times New Roman" w:hAnsi="Times New Roman" w:eastAsia="宋体" w:cs="Times New Roman"/>
          <w:b w:val="0"/>
          <w:bCs w:val="0"/>
          <w:sz w:val="24"/>
          <w:szCs w:val="24"/>
          <w:lang w:val="zh-CN" w:eastAsia="zh-CN" w:bidi="ar-SA"/>
        </w:rPr>
        <w:t xml:space="preserve">，开展过</w:t>
      </w:r>
      <w:r>
        <w:rPr>
          <w:rFonts w:hint="eastAsia" w:ascii="Times New Roman" w:hAnsi="Times New Roman" w:eastAsia="宋体" w:cs="Times New Roman"/>
          <w:b w:val="0"/>
          <w:bCs w:val="0"/>
          <w:sz w:val="24"/>
          <w:szCs w:val="24"/>
          <w:lang w:val="en-US" w:eastAsia="zh-CN" w:bidi="ar-SA"/>
        </w:rPr>
        <w:t xml:space="preserve">承接过生物多样性调查相关服务案例；</w:t>
      </w:r>
      <w:r/>
    </w:p>
    <w:p>
      <w:pPr>
        <w:pStyle w:val="1041"/>
        <w:ind w:firstLine="480"/>
        <w:spacing w:line="360" w:lineRule="auto"/>
        <w:tabs>
          <w:tab w:val="left" w:pos="1440" w:leader="none"/>
        </w:tabs>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2、投标人具有检验检测机构能力、林业调查规划设计能力</w:t>
      </w:r>
      <w:r>
        <w:rPr>
          <w:rFonts w:hint="eastAsia" w:cs="Times New Roman"/>
          <w:b w:val="0"/>
          <w:bCs w:val="0"/>
          <w:sz w:val="24"/>
          <w:szCs w:val="24"/>
          <w:lang w:val="en-US" w:eastAsia="zh-CN" w:bidi="ar-SA"/>
        </w:rPr>
        <w:t xml:space="preserve">、</w:t>
      </w:r>
      <w:r>
        <w:rPr>
          <w:rFonts w:hint="eastAsia" w:ascii="Times New Roman" w:hAnsi="Times New Roman" w:eastAsia="宋体" w:cs="Times New Roman"/>
          <w:b w:val="0"/>
          <w:bCs w:val="0"/>
          <w:sz w:val="24"/>
          <w:szCs w:val="24"/>
          <w:lang w:val="en-US" w:eastAsia="zh-CN" w:bidi="ar-SA"/>
        </w:rPr>
        <w:t xml:space="preserve">类群调查资质。</w:t>
      </w:r>
      <w:r/>
    </w:p>
    <w:p>
      <w:pPr>
        <w:pStyle w:val="1041"/>
        <w:ind w:firstLine="480"/>
        <w:spacing w:line="360" w:lineRule="auto"/>
        <w:tabs>
          <w:tab w:val="left" w:pos="1440" w:leader="none"/>
        </w:tabs>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3、服务项目团队要求：项目负责人自2023年1月1日以来承担过生物多样性调查相关业绩、担任过生物多样性保护监测相关国家重点课题项目负责人的且具有生态环境、林业相关专业相关职称</w:t>
      </w:r>
      <w:r>
        <w:rPr>
          <w:rFonts w:hint="eastAsia" w:cs="Times New Roman"/>
          <w:b w:val="0"/>
          <w:bCs w:val="0"/>
          <w:sz w:val="24"/>
          <w:szCs w:val="24"/>
          <w:lang w:val="en-US" w:eastAsia="zh-CN" w:bidi="ar-SA"/>
        </w:rPr>
        <w:t xml:space="preserve">并纳入相关</w:t>
      </w:r>
      <w:r>
        <w:rPr>
          <w:rFonts w:hint="eastAsia" w:ascii="Times New Roman" w:hAnsi="Times New Roman" w:eastAsia="宋体" w:cs="Times New Roman"/>
          <w:b w:val="0"/>
          <w:bCs w:val="0"/>
          <w:sz w:val="24"/>
          <w:szCs w:val="24"/>
          <w:lang w:val="en-US" w:eastAsia="zh-CN" w:bidi="ar-SA"/>
        </w:rPr>
        <w:t xml:space="preserve">专家库</w:t>
      </w:r>
      <w:r>
        <w:rPr>
          <w:rFonts w:hint="eastAsia" w:cs="Times New Roman"/>
          <w:b w:val="0"/>
          <w:bCs w:val="0"/>
          <w:sz w:val="24"/>
          <w:szCs w:val="24"/>
          <w:lang w:val="en-US" w:eastAsia="zh-CN" w:bidi="ar-SA"/>
        </w:rPr>
        <w:t xml:space="preserve">成员</w:t>
      </w:r>
      <w:r>
        <w:rPr>
          <w:rFonts w:hint="eastAsia" w:ascii="Times New Roman" w:hAnsi="Times New Roman" w:eastAsia="宋体" w:cs="Times New Roman"/>
          <w:b w:val="0"/>
          <w:bCs w:val="0"/>
          <w:sz w:val="24"/>
          <w:szCs w:val="24"/>
          <w:lang w:val="en-US" w:eastAsia="zh-CN" w:bidi="ar-SA"/>
        </w:rPr>
        <w:t xml:space="preserve">，组建的团队人员有相关职称及相关专业能力</w:t>
      </w:r>
      <w:r>
        <w:rPr>
          <w:rFonts w:hint="eastAsia" w:cs="Times New Roman"/>
          <w:b w:val="0"/>
          <w:bCs w:val="0"/>
          <w:sz w:val="24"/>
          <w:szCs w:val="24"/>
          <w:lang w:val="en-US" w:eastAsia="zh-CN" w:bidi="ar-SA"/>
        </w:rPr>
        <w:t xml:space="preserve">，并纳入相关</w:t>
      </w:r>
      <w:r>
        <w:rPr>
          <w:rFonts w:hint="eastAsia" w:ascii="Times New Roman" w:hAnsi="Times New Roman" w:eastAsia="宋体" w:cs="Times New Roman"/>
          <w:b w:val="0"/>
          <w:bCs w:val="0"/>
          <w:sz w:val="24"/>
          <w:szCs w:val="24"/>
          <w:lang w:val="en-US" w:eastAsia="zh-CN" w:bidi="ar-SA"/>
        </w:rPr>
        <w:t xml:space="preserve">专家库</w:t>
      </w:r>
      <w:r>
        <w:rPr>
          <w:rFonts w:hint="eastAsia" w:cs="Times New Roman"/>
          <w:b w:val="0"/>
          <w:bCs w:val="0"/>
          <w:sz w:val="24"/>
          <w:szCs w:val="24"/>
          <w:lang w:val="en-US" w:eastAsia="zh-CN" w:bidi="ar-SA"/>
        </w:rPr>
        <w:t xml:space="preserve">成员。</w:t>
      </w:r>
      <w:r/>
    </w:p>
    <w:p>
      <w:pPr>
        <w:pStyle w:val="748"/>
        <w:jc w:val="both"/>
        <w:spacing w:beforeAutospacing="0" w:afterAutospacing="0" w:line="0" w:lineRule="atLeast"/>
        <w:rPr>
          <w:rFonts w:hint="eastAsia" w:ascii="宋体" w:hAnsi="宋体" w:eastAsia="宋体" w:cs="宋体"/>
          <w:b/>
          <w:bCs/>
          <w:sz w:val="32"/>
          <w:szCs w:val="32"/>
          <w:lang w:val="en-US" w:eastAsia="zh-CN" w:bidi="ar"/>
        </w:rPr>
      </w:pPr>
      <w:r>
        <w:rPr>
          <w:rFonts w:hint="eastAsia" w:cs="宋体"/>
          <w:b/>
          <w:bCs/>
          <w:sz w:val="32"/>
          <w:szCs w:val="32"/>
          <w:lang w:val="en-US" w:eastAsia="zh-CN" w:bidi="ar"/>
        </w:rPr>
        <w:t xml:space="preserve">九</w:t>
      </w:r>
      <w:r>
        <w:rPr>
          <w:rFonts w:hint="eastAsia" w:ascii="宋体" w:hAnsi="宋体" w:eastAsia="宋体" w:cs="宋体"/>
          <w:b/>
          <w:bCs/>
          <w:sz w:val="32"/>
          <w:szCs w:val="32"/>
          <w:lang w:val="en-US" w:eastAsia="zh-CN" w:bidi="ar"/>
        </w:rPr>
        <w:t xml:space="preserve">、采购标的对应的中小企业划分标准所属行业一览表</w:t>
      </w:r>
      <w:r/>
    </w:p>
    <w:tbl>
      <w:tblPr>
        <w:tblStyle w:val="713"/>
        <w:tblW w:w="796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6"/>
        <w:gridCol w:w="3823"/>
        <w:gridCol w:w="3673"/>
      </w:tblGrid>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7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7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748"/>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cs="宋体"/>
                <w:color w:val="000000"/>
                <w:sz w:val="24"/>
                <w:szCs w:val="24"/>
                <w:highlight w:val="none"/>
                <w:lang w:val="en-US" w:eastAsia="zh-CN"/>
              </w:rPr>
              <w:t xml:space="preserve">阜宁县生物多样性本底调查项目</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748"/>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b/>
                <w:bCs/>
                <w:lang w:val="en-US" w:eastAsia="zh-CN"/>
              </w:rPr>
              <w:t xml:space="preserve">其他未列明行业</w:t>
            </w:r>
            <w:r/>
          </w:p>
        </w:tc>
      </w:tr>
    </w:tbl>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48"/>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spacing w:before="120" w:after="120" w:line="360" w:lineRule="auto"/>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第五章  评标方法与评标标准</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本项目采用 </w:t>
      </w:r>
      <w:r>
        <w:rPr>
          <w:rFonts w:hint="eastAsia" w:ascii="宋体" w:hAnsi="宋体" w:eastAsia="宋体" w:cs="宋体"/>
          <w:bCs/>
          <w:color w:val="000000"/>
          <w:sz w:val="24"/>
          <w:szCs w:val="24"/>
          <w:highlight w:val="none"/>
          <w:u w:val="single"/>
          <w:lang w:eastAsia="zh-CN"/>
        </w:rPr>
        <w:t xml:space="preserve">综合评分</w:t>
      </w:r>
      <w:r>
        <w:rPr>
          <w:rFonts w:hint="eastAsia" w:ascii="宋体" w:hAnsi="宋体" w:eastAsia="宋体" w:cs="宋体"/>
          <w:bCs/>
          <w:color w:val="000000"/>
          <w:sz w:val="24"/>
          <w:szCs w:val="24"/>
          <w:highlight w:val="none"/>
          <w:lang w:eastAsia="zh-CN"/>
        </w:rPr>
        <w:t xml:space="preserve"> 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48"/>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keepLines w:val="0"/>
        <w:keepNext w:val="0"/>
        <w:pageBreakBefore w:val="0"/>
        <w:spacing w:line="460" w:lineRule="exact"/>
        <w:rPr>
          <w:rFonts w:hint="eastAsia" w:ascii="宋体" w:hAnsi="宋体"/>
          <w:b/>
          <w:bCs/>
          <w:color w:val="auto"/>
          <w:sz w:val="24"/>
          <w:highlight w:val="none"/>
        </w:rPr>
      </w:pPr>
      <w:r>
        <w:rPr>
          <w:rFonts w:hint="eastAsia" w:ascii="宋体" w:hAnsi="宋体"/>
          <w:b/>
          <w:bCs/>
          <w:color w:val="auto"/>
          <w:sz w:val="24"/>
          <w:szCs w:val="24"/>
          <w:highlight w:val="none"/>
        </w:rPr>
        <w:t xml:space="preserve">1.因本项目属专门</w:t>
      </w:r>
      <w:r>
        <w:rPr>
          <w:rFonts w:hint="eastAsia" w:ascii="宋体" w:hAnsi="宋体"/>
          <w:b/>
          <w:bCs/>
          <w:color w:val="auto"/>
          <w:sz w:val="24"/>
          <w:highlight w:val="none"/>
        </w:rPr>
        <w:t xml:space="preserve">面向中小企业采购项目，只接受中小企业投标，故本项目在评审时，不再对小型和微型企业投标价格给予扣除，请各</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予以关注。</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2.中小企业</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参加本项目政府采购活动的，应当按照采购文件的要求提供相应的《中小企业声明函》。除此之外，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无需提供《中小企业声明函》之外的中小企业身份证明文件。</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keepLines w:val="0"/>
        <w:keepNext w:val="0"/>
        <w:pageBreakBefore w:val="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pStyle w:val="748"/>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t xml:space="preserve">评标方法与评标标准</w:t>
      </w:r>
      <w:r/>
    </w:p>
    <w:tbl>
      <w:tblPr>
        <w:tblStyle w:val="713"/>
        <w:tblpPr w:horzAnchor="page" w:tblpX="1790" w:vertAnchor="text" w:tblpY="499"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74"/>
        <w:gridCol w:w="678"/>
        <w:gridCol w:w="7291"/>
        <w:gridCol w:w="771"/>
      </w:tblGrid>
      <w:tr>
        <w:trPr>
          <w:trHeight w:val="278"/>
          <w:tblHeader/>
        </w:trPr>
        <w:tc>
          <w:tcPr>
            <w:tcBorders>
              <w:top w:val="single" w:color="000000" w:sz="8" w:space="0"/>
              <w:left w:val="single" w:color="000000" w:sz="8" w:space="0"/>
              <w:bottom w:val="single" w:color="000000" w:sz="8" w:space="0"/>
              <w:right w:val="single" w:color="000000" w:sz="8" w:space="0"/>
            </w:tcBorders>
            <w:tcW w:w="406" w:type="pct"/>
            <w:vAlign w:val="center"/>
            <w:textDirection w:val="lrTb"/>
            <w:noWrap/>
          </w:tcPr>
          <w:p>
            <w:pPr>
              <w:jc w:val="center"/>
              <w:widowControl/>
              <w:rPr>
                <w:rFonts w:hint="eastAsia" w:ascii="宋体" w:hAnsi="宋体" w:eastAsia="宋体"/>
                <w:b/>
                <w:bCs/>
                <w:sz w:val="22"/>
                <w14:ligatures w14:val="none"/>
              </w:rPr>
            </w:pPr>
            <w:r>
              <w:rPr>
                <w:rFonts w:ascii="宋体" w:hAnsi="宋体" w:eastAsia="宋体"/>
                <w:b/>
                <w:bCs/>
                <w:sz w:val="22"/>
                <w14:ligatures w14:val="none"/>
              </w:rPr>
              <w:t xml:space="preserve">占比</w:t>
            </w:r>
            <w:r/>
          </w:p>
        </w:tc>
        <w:tc>
          <w:tcPr>
            <w:tcBorders>
              <w:top w:val="single" w:color="000000" w:sz="8" w:space="0"/>
              <w:left w:val="none" w:color="000000" w:sz="4"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b/>
                <w:bCs/>
                <w:sz w:val="22"/>
                <w14:ligatures w14:val="none"/>
              </w:rPr>
            </w:pPr>
            <w:r>
              <w:rPr>
                <w:rFonts w:ascii="宋体" w:hAnsi="宋体" w:eastAsia="宋体"/>
                <w:b/>
                <w:bCs/>
                <w:sz w:val="22"/>
                <w14:ligatures w14:val="none"/>
              </w:rPr>
              <w:t xml:space="preserve">评分因素</w:t>
            </w:r>
            <w:r/>
          </w:p>
        </w:tc>
        <w:tc>
          <w:tcPr>
            <w:tcBorders>
              <w:top w:val="single" w:color="000000" w:sz="8" w:space="0"/>
              <w:left w:val="none" w:color="000000" w:sz="4" w:space="0"/>
              <w:bottom w:val="single" w:color="000000" w:sz="8" w:space="0"/>
              <w:right w:val="single" w:color="000000" w:sz="8" w:space="0"/>
            </w:tcBorders>
            <w:tcW w:w="3831" w:type="pct"/>
            <w:vAlign w:val="center"/>
            <w:textDirection w:val="lrTb"/>
            <w:noWrap/>
          </w:tcPr>
          <w:p>
            <w:pPr>
              <w:jc w:val="center"/>
              <w:widowControl/>
              <w:rPr>
                <w:rFonts w:hint="eastAsia" w:ascii="宋体" w:hAnsi="宋体" w:eastAsia="宋体"/>
                <w:b/>
                <w:bCs/>
                <w:sz w:val="22"/>
                <w14:ligatures w14:val="none"/>
              </w:rPr>
            </w:pPr>
            <w:r>
              <w:rPr>
                <w:rFonts w:ascii="宋体" w:hAnsi="宋体" w:eastAsia="宋体"/>
                <w:b/>
                <w:bCs/>
                <w:sz w:val="22"/>
                <w14:ligatures w14:val="none"/>
              </w:rPr>
              <w:t xml:space="preserve">评分标准</w:t>
            </w:r>
            <w:r/>
          </w:p>
        </w:tc>
        <w:tc>
          <w:tcPr>
            <w:tcBorders>
              <w:top w:val="single" w:color="000000" w:sz="8" w:space="0"/>
              <w:left w:val="none" w:color="000000" w:sz="4" w:space="0"/>
              <w:bottom w:val="single" w:color="000000" w:sz="8" w:space="0"/>
              <w:right w:val="single" w:color="000000" w:sz="8" w:space="0"/>
            </w:tcBorders>
            <w:tcW w:w="405" w:type="pct"/>
            <w:vAlign w:val="center"/>
            <w:textDirection w:val="lrTb"/>
            <w:noWrap/>
          </w:tcPr>
          <w:p>
            <w:pPr>
              <w:jc w:val="center"/>
              <w:widowControl/>
              <w:rPr>
                <w:rFonts w:hint="eastAsia" w:ascii="宋体" w:hAnsi="宋体" w:eastAsia="宋体"/>
                <w:b/>
                <w:bCs/>
                <w:sz w:val="22"/>
                <w14:ligatures w14:val="none"/>
              </w:rPr>
            </w:pPr>
            <w:r>
              <w:rPr>
                <w:rFonts w:ascii="宋体" w:hAnsi="宋体" w:eastAsia="宋体"/>
                <w:b/>
                <w:bCs/>
                <w:sz w:val="22"/>
                <w14:ligatures w14:val="none"/>
              </w:rPr>
              <w:t xml:space="preserve">分值</w:t>
            </w:r>
            <w:r/>
          </w:p>
        </w:tc>
      </w:tr>
      <w:tr>
        <w:trPr>
          <w:trHeight w:val="514"/>
        </w:trPr>
        <w:tc>
          <w:tcPr>
            <w:tcBorders>
              <w:top w:val="none" w:color="000000" w:sz="4" w:space="0"/>
              <w:left w:val="single" w:color="000000" w:sz="8" w:space="0"/>
              <w:bottom w:val="single" w:color="000000" w:sz="8" w:space="0"/>
              <w:right w:val="single" w:color="000000" w:sz="8" w:space="0"/>
            </w:tcBorders>
            <w:tcW w:w="40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价格</w:t>
            </w:r>
            <w:r>
              <w:rPr>
                <w:rFonts w:hint="eastAsia" w:ascii="Times New Roman" w:hAnsi="Times New Roman" w:eastAsia="宋体" w:cs="Times New Roman"/>
                <w:sz w:val="22"/>
                <w14:ligatures w14:val="none"/>
              </w:rPr>
              <w:t xml:space="preserve">20分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报价</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pStyle w:val="735"/>
              <w:ind w:firstLine="480"/>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采用最低价优先法计算，即满足招标文件要求且响应价格最低的响应报价为评标基准价，其价格分为满分20分。</w:t>
            </w:r>
            <w:r/>
          </w:p>
          <w:p>
            <w:pPr>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其他供应商的价格分统一按照下列公式计算：响应报价得分=(评标基准价/响应报价)×20，（保留小数点后两位第三位四舍五入）。</w:t>
            </w:r>
            <w:r/>
          </w:p>
          <w:p>
            <w:pPr>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Borders>
              <w:top w:val="none" w:color="000000" w:sz="4" w:space="0"/>
              <w:left w:val="none" w:color="000000" w:sz="4"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hint="eastAsia" w:ascii="Times New Roman" w:hAnsi="Times New Roman" w:eastAsia="宋体" w:cs="Times New Roman"/>
                <w:sz w:val="22"/>
                <w14:ligatures w14:val="none"/>
              </w:rPr>
              <w:t xml:space="preserve">20</w:t>
            </w:r>
            <w:r/>
          </w:p>
        </w:tc>
      </w:tr>
      <w:tr>
        <w:trPr>
          <w:trHeight w:val="848"/>
        </w:trPr>
        <w:tc>
          <w:tcPr>
            <w:tcBorders>
              <w:top w:val="none" w:color="000000" w:sz="4" w:space="0"/>
              <w:left w:val="single" w:color="000000" w:sz="8" w:space="0"/>
              <w:bottom w:val="none" w:color="000000" w:sz="4" w:space="0"/>
              <w:right w:val="single" w:color="000000" w:sz="8" w:space="0"/>
            </w:tcBorders>
            <w:tcW w:w="406" w:type="pct"/>
            <w:vAlign w:val="center"/>
            <w:vMerge w:val="restart"/>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商务</w:t>
            </w:r>
            <w:r/>
          </w:p>
          <w:p>
            <w:pPr>
              <w:jc w:val="center"/>
              <w:widowControl/>
              <w:rPr>
                <w:rFonts w:hint="eastAsia" w:ascii="宋体" w:hAnsi="宋体" w:eastAsia="宋体"/>
                <w:sz w:val="22"/>
                <w14:ligatures w14:val="none"/>
              </w:rPr>
            </w:pPr>
            <w:r>
              <w:rPr>
                <w:rFonts w:hint="eastAsia" w:ascii="宋体" w:hAnsi="宋体" w:eastAsia="宋体"/>
                <w:sz w:val="22"/>
                <w14:ligatures w14:val="none"/>
              </w:rPr>
              <w:t xml:space="preserve">部分</w:t>
            </w:r>
            <w:r>
              <w:rPr>
                <w:rFonts w:hint="eastAsia" w:cs="Times New Roman"/>
                <w:sz w:val="22"/>
                <w:lang w:val="en-US" w:eastAsia="zh-CN"/>
                <w14:ligatures w14:val="none"/>
              </w:rPr>
              <w:t xml:space="preserve">3</w:t>
            </w:r>
            <w:r>
              <w:rPr>
                <w:rFonts w:ascii="Times New Roman" w:hAnsi="Times New Roman" w:eastAsia="宋体" w:cs="Times New Roman"/>
                <w:sz w:val="22"/>
                <w14:ligatures w14:val="none"/>
              </w:rPr>
              <w:t xml:space="preserve">5</w:t>
            </w:r>
            <w:r>
              <w:rPr>
                <w:rFonts w:hint="eastAsia" w:ascii="Times New Roman" w:hAnsi="Times New Roman" w:eastAsia="宋体" w:cs="Times New Roman"/>
                <w:sz w:val="22"/>
                <w14:ligatures w14:val="none"/>
              </w:rPr>
              <w:t xml:space="preserve">分</w:t>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企业业绩</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投标人</w:t>
            </w:r>
            <w:r>
              <w:rPr>
                <w:rFonts w:ascii="Times New Roman" w:hAnsi="Times New Roman" w:eastAsia="宋体" w:cs="Times New Roman"/>
                <w:sz w:val="22"/>
                <w14:ligatures w14:val="none"/>
              </w:rPr>
              <w:t xml:space="preserve">2023</w:t>
            </w:r>
            <w:r>
              <w:rPr>
                <w:rFonts w:ascii="宋体" w:hAnsi="宋体" w:eastAsia="宋体" w:cs="Times New Roman"/>
                <w:sz w:val="22"/>
                <w14:ligatures w14:val="none"/>
              </w:rPr>
              <w:t xml:space="preserve">年</w:t>
            </w:r>
            <w:r>
              <w:rPr>
                <w:rFonts w:ascii="Times New Roman" w:hAnsi="Times New Roman" w:eastAsia="宋体" w:cs="Times New Roman"/>
                <w:sz w:val="22"/>
                <w14:ligatures w14:val="none"/>
              </w:rPr>
              <w:t xml:space="preserve">1</w:t>
            </w:r>
            <w:r>
              <w:rPr>
                <w:rFonts w:ascii="宋体" w:hAnsi="宋体" w:eastAsia="宋体" w:cs="Times New Roman"/>
                <w:sz w:val="22"/>
                <w14:ligatures w14:val="none"/>
              </w:rPr>
              <w:t xml:space="preserve">月</w:t>
            </w:r>
            <w:r>
              <w:rPr>
                <w:rFonts w:ascii="Times New Roman" w:hAnsi="Times New Roman" w:eastAsia="宋体" w:cs="Times New Roman"/>
                <w:sz w:val="22"/>
                <w14:ligatures w14:val="none"/>
              </w:rPr>
              <w:t xml:space="preserve">1</w:t>
            </w:r>
            <w:r>
              <w:rPr>
                <w:rFonts w:ascii="宋体" w:hAnsi="宋体" w:eastAsia="宋体" w:cs="Times New Roman"/>
                <w:sz w:val="22"/>
                <w14:ligatures w14:val="none"/>
              </w:rPr>
              <w:t xml:space="preserve">日至今</w:t>
            </w:r>
            <w:r>
              <w:rPr>
                <w:rFonts w:ascii="Times New Roman" w:hAnsi="Times New Roman" w:eastAsia="宋体" w:cs="Times New Roman"/>
                <w:sz w:val="22"/>
                <w14:ligatures w14:val="none"/>
              </w:rPr>
              <w:t xml:space="preserve">(</w:t>
            </w:r>
            <w:r>
              <w:rPr>
                <w:rFonts w:ascii="宋体" w:hAnsi="宋体" w:eastAsia="宋体" w:cs="Times New Roman"/>
                <w:sz w:val="22"/>
                <w14:ligatures w14:val="none"/>
              </w:rPr>
              <w:t xml:space="preserve">时间以合同签订时间为准），承接过生物多样性调查相关业绩，每提供一份业绩得</w:t>
            </w:r>
            <w:r>
              <w:rPr>
                <w:rFonts w:ascii="Times New Roman" w:hAnsi="Times New Roman" w:eastAsia="宋体" w:cs="Times New Roman"/>
                <w:sz w:val="22"/>
                <w14:ligatures w14:val="none"/>
              </w:rPr>
              <w:t xml:space="preserve">1</w:t>
            </w:r>
            <w:r>
              <w:rPr>
                <w:rFonts w:ascii="宋体" w:hAnsi="宋体" w:eastAsia="宋体" w:cs="Times New Roman"/>
                <w:sz w:val="22"/>
                <w14:ligatures w14:val="none"/>
              </w:rPr>
              <w:t xml:space="preserve">分，本项最多得</w:t>
            </w:r>
            <w:r>
              <w:rPr>
                <w:rFonts w:hint="eastAsia" w:ascii="Times New Roman" w:hAnsi="Times New Roman" w:eastAsia="宋体" w:cs="Times New Roman"/>
                <w:sz w:val="22"/>
                <w14:ligatures w14:val="none"/>
              </w:rPr>
              <w:t xml:space="preserve">10</w:t>
            </w:r>
            <w:r>
              <w:rPr>
                <w:rFonts w:ascii="宋体" w:hAnsi="宋体" w:eastAsia="宋体" w:cs="Times New Roman"/>
                <w:sz w:val="22"/>
                <w14:ligatures w14:val="none"/>
              </w:rPr>
              <w:t xml:space="preserve">分。</w:t>
            </w:r>
            <w:r>
              <w:rPr>
                <w:rFonts w:hint="eastAsia" w:ascii="宋体" w:hAnsi="宋体" w:eastAsia="宋体" w:cs="宋体"/>
                <w:b w:val="0"/>
                <w:bCs w:val="0"/>
                <w:color w:val="000000"/>
                <w:sz w:val="24"/>
                <w:szCs w:val="24"/>
                <w:highlight w:val="none"/>
                <w:lang w:val="en-US" w:eastAsia="zh-CN" w:bidi="ar-SA"/>
              </w:rPr>
              <w:t xml:space="preserve">（投标人须提供中标通知书、合同证明材料（甲乙双方及服务内容）复印件加盖公章，未提供或不符合要求的不得分）</w:t>
            </w:r>
            <w:r/>
          </w:p>
        </w:tc>
        <w:tc>
          <w:tcPr>
            <w:tcBorders>
              <w:top w:val="none" w:color="000000" w:sz="4" w:space="0"/>
              <w:left w:val="none" w:color="000000" w:sz="4"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hint="eastAsia" w:ascii="Times New Roman" w:hAnsi="Times New Roman" w:eastAsia="宋体" w:cs="Times New Roman"/>
                <w:sz w:val="22"/>
                <w14:ligatures w14:val="none"/>
              </w:rPr>
              <w:t xml:space="preserve">10</w:t>
            </w:r>
            <w:r/>
          </w:p>
        </w:tc>
      </w:tr>
      <w:tr>
        <w:trPr>
          <w:trHeight w:val="1325"/>
        </w:trPr>
        <w:tc>
          <w:tcPr>
            <w:tcBorders>
              <w:top w:val="none" w:color="000000" w:sz="4" w:space="0"/>
              <w:left w:val="single" w:color="000000" w:sz="8" w:space="0"/>
              <w:bottom w:val="none" w:color="000000" w:sz="4"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企业实力</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widowControl/>
              <w:rPr>
                <w:rFonts w:hint="eastAsia" w:ascii="宋体" w:hAnsi="宋体" w:eastAsia="宋体"/>
                <w:sz w:val="22"/>
                <w14:ligatures w14:val="none"/>
              </w:rPr>
            </w:pPr>
            <w:r>
              <w:rPr>
                <w:rFonts w:ascii="宋体" w:hAnsi="宋体" w:eastAsia="宋体"/>
                <w:sz w:val="22"/>
                <w14:ligatures w14:val="none"/>
              </w:rPr>
              <w:t xml:space="preserve">投标人具有检验检测机构资质认定证书的（附表认证类别需要包含</w:t>
            </w:r>
            <w:r>
              <w:rPr>
                <w:rFonts w:hint="eastAsia" w:ascii="宋体" w:hAnsi="宋体" w:eastAsia="宋体"/>
                <w:sz w:val="22"/>
                <w14:ligatures w14:val="none"/>
              </w:rPr>
              <w:t xml:space="preserve">大型真菌、</w:t>
            </w:r>
            <w:r>
              <w:rPr>
                <w:rFonts w:ascii="宋体" w:hAnsi="宋体" w:eastAsia="宋体"/>
                <w:sz w:val="22"/>
                <w14:ligatures w14:val="none"/>
              </w:rPr>
              <w:t xml:space="preserve">植物、动物、</w:t>
            </w:r>
            <w:r>
              <w:rPr>
                <w:rFonts w:hint="eastAsia" w:ascii="宋体" w:hAnsi="宋体" w:eastAsia="宋体"/>
                <w:sz w:val="22"/>
                <w14:ligatures w14:val="none"/>
              </w:rPr>
              <w:t xml:space="preserve">昆虫、</w:t>
            </w:r>
            <w:r>
              <w:rPr>
                <w:rFonts w:ascii="宋体" w:hAnsi="宋体" w:eastAsia="宋体"/>
                <w:sz w:val="22"/>
                <w14:ligatures w14:val="none"/>
              </w:rPr>
              <w:t xml:space="preserve">水生生物任意一个类群），得</w:t>
            </w:r>
            <w:r>
              <w:rPr>
                <w:rFonts w:hint="eastAsia" w:ascii="宋体" w:hAnsi="宋体" w:eastAsia="宋体"/>
                <w:sz w:val="22"/>
                <w14:ligatures w14:val="none"/>
              </w:rPr>
              <w:t xml:space="preserve">3</w:t>
            </w:r>
            <w:r>
              <w:rPr>
                <w:rFonts w:ascii="宋体" w:hAnsi="宋体" w:eastAsia="宋体"/>
                <w:sz w:val="22"/>
                <w14:ligatures w14:val="none"/>
              </w:rPr>
              <w:t xml:space="preserve">分</w:t>
            </w:r>
            <w:r>
              <w:rPr>
                <w:rFonts w:hint="eastAsia" w:ascii="宋体" w:hAnsi="宋体" w:eastAsia="宋体"/>
                <w:sz w:val="22"/>
                <w14:ligatures w14:val="none"/>
              </w:rPr>
              <w:t xml:space="preserve">，</w:t>
            </w:r>
            <w:r>
              <w:rPr>
                <w:rFonts w:ascii="宋体" w:hAnsi="宋体" w:eastAsia="宋体"/>
                <w:sz w:val="22"/>
                <w14:ligatures w14:val="none"/>
              </w:rPr>
              <w:t xml:space="preserve">没有不得分</w:t>
            </w:r>
            <w:r>
              <w:rPr>
                <w:rFonts w:hint="eastAsia" w:ascii="宋体" w:hAnsi="宋体" w:eastAsia="宋体"/>
                <w:sz w:val="22"/>
                <w14:ligatures w14:val="none"/>
              </w:rPr>
              <w:t xml:space="preserve">；</w:t>
            </w:r>
            <w:r>
              <w:rPr>
                <w:rFonts w:ascii="宋体" w:hAnsi="宋体" w:eastAsia="宋体"/>
                <w:sz w:val="22"/>
                <w:highlight w:val="yellow"/>
                <w14:ligatures w14:val="none"/>
              </w:rPr>
              <w:t xml:space="preserve">投标人具有</w:t>
            </w:r>
            <w:r>
              <w:rPr>
                <w:rFonts w:hint="eastAsia" w:ascii="宋体" w:hAnsi="宋体" w:eastAsia="宋体"/>
                <w:sz w:val="22"/>
                <w:highlight w:val="yellow"/>
                <w14:ligatures w14:val="none"/>
              </w:rPr>
              <w:t xml:space="preserve">大型真菌、</w:t>
            </w:r>
            <w:r>
              <w:rPr>
                <w:rFonts w:ascii="宋体" w:hAnsi="宋体" w:eastAsia="宋体"/>
                <w:sz w:val="22"/>
                <w:highlight w:val="yellow"/>
                <w14:ligatures w14:val="none"/>
              </w:rPr>
              <w:t xml:space="preserve">植物、动物、</w:t>
            </w:r>
            <w:r>
              <w:rPr>
                <w:rFonts w:hint="eastAsia" w:ascii="宋体" w:hAnsi="宋体" w:eastAsia="宋体"/>
                <w:sz w:val="22"/>
                <w:highlight w:val="yellow"/>
                <w14:ligatures w14:val="none"/>
              </w:rPr>
              <w:t xml:space="preserve">昆虫、</w:t>
            </w:r>
            <w:r>
              <w:rPr>
                <w:rFonts w:ascii="宋体" w:hAnsi="宋体" w:eastAsia="宋体"/>
                <w:sz w:val="22"/>
                <w:highlight w:val="yellow"/>
                <w14:ligatures w14:val="none"/>
              </w:rPr>
              <w:t xml:space="preserve">水生生物任意一个类群</w:t>
            </w:r>
            <w:r>
              <w:rPr>
                <w:rFonts w:hint="eastAsia" w:ascii="宋体" w:hAnsi="宋体"/>
                <w:sz w:val="22"/>
                <w:highlight w:val="yellow"/>
                <w:lang w:val="en-US" w:eastAsia="zh-CN"/>
                <w14:ligatures w14:val="none"/>
              </w:rPr>
              <w:t xml:space="preserve">调查</w:t>
            </w:r>
            <w:r>
              <w:rPr>
                <w:rFonts w:ascii="宋体" w:hAnsi="宋体" w:eastAsia="宋体"/>
                <w:sz w:val="22"/>
                <w:highlight w:val="yellow"/>
                <w14:ligatures w14:val="none"/>
              </w:rPr>
              <w:t xml:space="preserve">资质得</w:t>
            </w:r>
            <w:r>
              <w:rPr>
                <w:rFonts w:hint="eastAsia" w:ascii="宋体" w:hAnsi="宋体" w:eastAsia="宋体"/>
                <w:sz w:val="22"/>
                <w:highlight w:val="yellow"/>
                <w14:ligatures w14:val="none"/>
              </w:rPr>
              <w:t xml:space="preserve">3</w:t>
            </w:r>
            <w:r>
              <w:rPr>
                <w:rFonts w:ascii="宋体" w:hAnsi="宋体" w:eastAsia="宋体"/>
                <w:sz w:val="22"/>
                <w:highlight w:val="yellow"/>
                <w14:ligatures w14:val="none"/>
              </w:rPr>
              <w:t xml:space="preserve">分，没有不得分</w:t>
            </w:r>
            <w:r>
              <w:rPr>
                <w:rFonts w:hint="eastAsia" w:ascii="宋体" w:hAnsi="宋体" w:eastAsia="宋体"/>
                <w:sz w:val="22"/>
                <w:highlight w:val="yellow"/>
                <w14:ligatures w14:val="none"/>
              </w:rPr>
              <w:t xml:space="preserve">；</w:t>
            </w:r>
            <w:r>
              <w:rPr>
                <w:rFonts w:hint="eastAsia" w:ascii="宋体" w:hAnsi="宋体" w:eastAsia="宋体"/>
                <w:sz w:val="22"/>
                <w14:ligatures w14:val="none"/>
              </w:rPr>
              <w:t xml:space="preserve">本项最高得6分。</w:t>
            </w:r>
            <w:r>
              <w:rPr>
                <w:rFonts w:ascii="宋体" w:hAnsi="宋体" w:eastAsia="宋体"/>
                <w:sz w:val="22"/>
                <w14:ligatures w14:val="none"/>
              </w:rPr>
              <w:t xml:space="preserve">（注：须提供证书扫描件</w:t>
            </w:r>
            <w:r>
              <w:rPr>
                <w:rFonts w:hint="eastAsia" w:ascii="宋体" w:hAnsi="宋体"/>
                <w:sz w:val="22"/>
                <w:lang w:val="en-US" w:eastAsia="zh-CN"/>
                <w14:ligatures w14:val="none"/>
              </w:rPr>
              <w:t xml:space="preserve">或官网</w:t>
            </w:r>
            <w:r>
              <w:rPr>
                <w:rFonts w:ascii="宋体" w:hAnsi="宋体" w:eastAsia="宋体"/>
                <w:sz w:val="22"/>
                <w14:ligatures w14:val="none"/>
              </w:rPr>
              <w:t xml:space="preserve">截图并加盖公章，否则不得分。）</w:t>
            </w:r>
            <w:r/>
          </w:p>
        </w:tc>
        <w:tc>
          <w:tcPr>
            <w:tcBorders>
              <w:top w:val="none" w:color="000000" w:sz="4" w:space="0"/>
              <w:left w:val="single" w:color="000000" w:sz="8"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hint="eastAsia" w:ascii="Times New Roman" w:hAnsi="Times New Roman" w:eastAsia="宋体" w:cs="Times New Roman"/>
                <w:sz w:val="22"/>
                <w14:ligatures w14:val="none"/>
              </w:rPr>
              <w:t xml:space="preserve">6</w:t>
            </w:r>
            <w:r/>
          </w:p>
        </w:tc>
      </w:tr>
      <w:tr>
        <w:trPr>
          <w:trHeight w:val="1133"/>
        </w:trPr>
        <w:tc>
          <w:tcPr>
            <w:tcBorders>
              <w:top w:val="none" w:color="000000" w:sz="4" w:space="0"/>
              <w:left w:val="single" w:color="000000" w:sz="8" w:space="0"/>
              <w:bottom w:val="none" w:color="000000" w:sz="4"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single" w:color="000000" w:sz="8" w:space="0"/>
              <w:right w:val="single" w:color="000000" w:sz="8" w:space="0"/>
            </w:tcBorders>
            <w:tcW w:w="356" w:type="pct"/>
            <w:vAlign w:val="center"/>
            <w:vMerge w:val="restart"/>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项目负责人</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numPr>
                <w:ilvl w:val="0"/>
                <w:numId w:val="6"/>
              </w:numPr>
              <w:widowControl/>
              <w:rPr>
                <w:rFonts w:hint="eastAsia" w:ascii="宋体" w:hAnsi="宋体" w:eastAsia="宋体"/>
                <w:sz w:val="22"/>
                <w14:ligatures w14:val="none"/>
              </w:rPr>
            </w:pPr>
            <w:r>
              <w:rPr>
                <w:rFonts w:ascii="宋体" w:hAnsi="宋体" w:eastAsia="宋体"/>
                <w:sz w:val="22"/>
                <w14:ligatures w14:val="none"/>
              </w:rPr>
              <w:t xml:space="preserve">项目负责人自</w:t>
            </w:r>
            <w:r>
              <w:rPr>
                <w:rFonts w:ascii="Times New Roman" w:hAnsi="Times New Roman" w:eastAsia="宋体" w:cs="Times New Roman"/>
                <w:sz w:val="22"/>
                <w14:ligatures w14:val="none"/>
              </w:rPr>
              <w:t xml:space="preserve">2023</w:t>
            </w:r>
            <w:r>
              <w:rPr>
                <w:rFonts w:ascii="宋体" w:hAnsi="宋体" w:eastAsia="宋体"/>
                <w:sz w:val="22"/>
                <w14:ligatures w14:val="none"/>
              </w:rPr>
              <w:t xml:space="preserve">年</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月</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日以来承担过生物多样性调查相关业绩</w:t>
            </w:r>
            <w:r>
              <w:rPr>
                <w:rFonts w:hint="eastAsia" w:ascii="宋体" w:hAnsi="宋体" w:eastAsia="宋体"/>
                <w:sz w:val="22"/>
                <w14:ligatures w14:val="none"/>
              </w:rPr>
              <w:t xml:space="preserve">且</w:t>
            </w:r>
            <w:r>
              <w:rPr>
                <w:rFonts w:ascii="宋体" w:hAnsi="宋体" w:eastAsia="宋体"/>
                <w:sz w:val="22"/>
                <w14:ligatures w14:val="none"/>
              </w:rPr>
              <w:t xml:space="preserve">具有生态环境、林业相关专业正高级职称的，得</w:t>
            </w:r>
            <w:r>
              <w:rPr>
                <w:rFonts w:hint="eastAsia" w:ascii="Times New Roman" w:hAnsi="Times New Roman" w:eastAsia="宋体" w:cs="Times New Roman"/>
                <w:sz w:val="22"/>
                <w14:ligatures w14:val="none"/>
              </w:rPr>
              <w:t xml:space="preserve">2</w:t>
            </w:r>
            <w:r>
              <w:rPr>
                <w:rFonts w:ascii="宋体" w:hAnsi="宋体" w:eastAsia="宋体"/>
                <w:sz w:val="22"/>
                <w14:ligatures w14:val="none"/>
              </w:rPr>
              <w:t xml:space="preserve">分；</w:t>
            </w:r>
            <w:r>
              <w:rPr>
                <w:rFonts w:hint="eastAsia" w:ascii="宋体" w:hAnsi="宋体" w:eastAsia="宋体"/>
                <w:sz w:val="22"/>
                <w14:ligatures w14:val="none"/>
              </w:rPr>
              <w:t xml:space="preserve">承担过相关业绩</w:t>
            </w:r>
            <w:r>
              <w:rPr>
                <w:rFonts w:ascii="宋体" w:hAnsi="宋体" w:eastAsia="宋体"/>
                <w:sz w:val="22"/>
                <w14:ligatures w14:val="none"/>
              </w:rPr>
              <w:t xml:space="preserve">具有生态环境、林业相关专业高级职称的，得</w:t>
            </w:r>
            <w:r>
              <w:rPr>
                <w:rFonts w:hint="eastAsia" w:ascii="Times New Roman" w:hAnsi="Times New Roman" w:eastAsia="宋体" w:cs="Times New Roman"/>
                <w:sz w:val="22"/>
                <w14:ligatures w14:val="none"/>
              </w:rPr>
              <w:t xml:space="preserve">1</w:t>
            </w:r>
            <w:r>
              <w:rPr>
                <w:rFonts w:ascii="宋体" w:hAnsi="宋体" w:eastAsia="宋体"/>
                <w:sz w:val="22"/>
                <w14:ligatures w14:val="none"/>
              </w:rPr>
              <w:t xml:space="preserve">分。</w:t>
            </w:r>
            <w:r>
              <w:rPr>
                <w:rFonts w:hint="eastAsia" w:ascii="宋体" w:hAnsi="宋体" w:eastAsia="宋体"/>
                <w:sz w:val="22"/>
                <w:highlight w:val="yellow"/>
                <w14:ligatures w14:val="none"/>
              </w:rPr>
              <w:t xml:space="preserve">承担过相关业绩</w:t>
            </w:r>
            <w:r>
              <w:rPr>
                <w:rFonts w:ascii="宋体" w:hAnsi="宋体" w:eastAsia="宋体"/>
                <w:sz w:val="22"/>
                <w:highlight w:val="yellow"/>
                <w14:ligatures w14:val="none"/>
              </w:rPr>
              <w:t xml:space="preserve">具有生态环境、林业相关专业</w:t>
            </w:r>
            <w:r>
              <w:rPr>
                <w:rFonts w:hint="eastAsia" w:ascii="宋体" w:hAnsi="宋体"/>
                <w:sz w:val="22"/>
                <w:highlight w:val="yellow"/>
                <w:lang w:val="en-US" w:eastAsia="zh-CN"/>
                <w14:ligatures w14:val="none"/>
              </w:rPr>
              <w:t xml:space="preserve">中级</w:t>
            </w:r>
            <w:r>
              <w:rPr>
                <w:rFonts w:ascii="宋体" w:hAnsi="宋体" w:eastAsia="宋体"/>
                <w:sz w:val="22"/>
                <w:highlight w:val="yellow"/>
                <w14:ligatures w14:val="none"/>
              </w:rPr>
              <w:t xml:space="preserve">职称的，得</w:t>
            </w:r>
            <w:r>
              <w:rPr>
                <w:rFonts w:hint="eastAsia" w:cs="Times New Roman"/>
                <w:sz w:val="22"/>
                <w:highlight w:val="yellow"/>
                <w:lang w:val="en-US" w:eastAsia="zh-CN"/>
                <w14:ligatures w14:val="none"/>
              </w:rPr>
              <w:t xml:space="preserve">0.5</w:t>
            </w:r>
            <w:r>
              <w:rPr>
                <w:rFonts w:ascii="宋体" w:hAnsi="宋体" w:eastAsia="宋体"/>
                <w:sz w:val="22"/>
                <w:highlight w:val="yellow"/>
                <w14:ligatures w14:val="none"/>
              </w:rPr>
              <w:t xml:space="preserve">分</w:t>
            </w:r>
            <w:r>
              <w:rPr>
                <w:rFonts w:ascii="宋体" w:hAnsi="宋体" w:eastAsia="宋体"/>
                <w:sz w:val="22"/>
                <w14:ligatures w14:val="none"/>
              </w:rPr>
              <w:t xml:space="preserve">。</w:t>
            </w:r>
            <w:r/>
          </w:p>
          <w:p>
            <w:pPr>
              <w:widowControl/>
              <w:rPr>
                <w:rFonts w:ascii="宋体" w:hAnsi="宋体" w:eastAsia="宋体"/>
                <w:sz w:val="22"/>
                <w14:ligatures w14:val="none"/>
              </w:rPr>
            </w:pPr>
            <w:r>
              <w:rPr>
                <w:rFonts w:ascii="宋体" w:hAnsi="宋体" w:eastAsia="宋体"/>
                <w:sz w:val="22"/>
                <w14:ligatures w14:val="none"/>
              </w:rPr>
              <w:t xml:space="preserve">（需提供项目负责人职称证书、</w:t>
            </w:r>
            <w:r>
              <w:rPr>
                <w:rFonts w:hint="eastAsia" w:ascii="宋体" w:hAnsi="宋体" w:eastAsia="宋体"/>
                <w:sz w:val="22"/>
                <w14:ligatures w14:val="none"/>
              </w:rPr>
              <w:t xml:space="preserve">项目负责人业绩</w:t>
            </w:r>
            <w:r>
              <w:rPr>
                <w:rFonts w:ascii="宋体" w:hAnsi="宋体" w:eastAsia="宋体"/>
                <w:sz w:val="22"/>
                <w14:ligatures w14:val="none"/>
              </w:rPr>
              <w:t xml:space="preserve">合同与中标通知书扫描件，如无法体现</w:t>
            </w:r>
            <w:r>
              <w:rPr>
                <w:rFonts w:hint="eastAsia" w:ascii="宋体" w:hAnsi="宋体" w:eastAsia="宋体"/>
                <w:sz w:val="22"/>
                <w14:ligatures w14:val="none"/>
              </w:rPr>
              <w:t xml:space="preserve">则</w:t>
            </w:r>
            <w:r>
              <w:rPr>
                <w:rFonts w:ascii="宋体" w:hAnsi="宋体" w:eastAsia="宋体"/>
                <w:sz w:val="22"/>
                <w14:ligatures w14:val="none"/>
              </w:rPr>
              <w:t xml:space="preserve">需提供加盖合同甲方公章的证明材料。</w:t>
            </w:r>
            <w:r>
              <w:rPr>
                <w:rFonts w:hint="eastAsia" w:ascii="宋体" w:hAnsi="宋体" w:eastAsia="宋体"/>
                <w:sz w:val="22"/>
                <w14:ligatures w14:val="none"/>
              </w:rPr>
              <w:t xml:space="preserve">上述</w:t>
            </w:r>
            <w:r>
              <w:rPr>
                <w:rFonts w:ascii="宋体" w:hAnsi="宋体" w:eastAsia="宋体"/>
                <w:sz w:val="22"/>
                <w14:ligatures w14:val="none"/>
              </w:rPr>
              <w:t xml:space="preserve">加盖公章，未按要求提供者不得分）</w:t>
            </w:r>
            <w:r/>
          </w:p>
          <w:p>
            <w:pPr>
              <w:widowControl/>
              <w:rPr>
                <w:rFonts w:hint="eastAsia" w:ascii="宋体" w:hAnsi="宋体" w:eastAsia="宋体"/>
                <w:sz w:val="22"/>
                <w14:ligatures w14:val="none"/>
              </w:rPr>
            </w:pPr>
            <w:r>
              <w:rPr>
                <w:rFonts w:hint="eastAsia" w:ascii="宋体" w:hAnsi="宋体" w:eastAsia="宋体"/>
                <w:sz w:val="22"/>
                <w14:ligatures w14:val="none"/>
              </w:rPr>
              <w:t xml:space="preserve">注：同一人员不得重复累加计分，以最高得分计入。</w:t>
            </w:r>
            <w:r/>
          </w:p>
        </w:tc>
        <w:tc>
          <w:tcPr>
            <w:tcBorders>
              <w:top w:val="none" w:color="000000" w:sz="4" w:space="0"/>
              <w:left w:val="single" w:color="000000" w:sz="8" w:space="0"/>
              <w:bottom w:val="single" w:color="000000" w:sz="8" w:space="0"/>
              <w:right w:val="single" w:color="000000" w:sz="8" w:space="0"/>
            </w:tcBorders>
            <w:tcW w:w="405" w:type="pct"/>
            <w:vAlign w:val="center"/>
            <w:vMerge w:val="restart"/>
            <w:textDirection w:val="lrTb"/>
            <w:noWrap/>
          </w:tcPr>
          <w:p>
            <w:pPr>
              <w:jc w:val="center"/>
              <w:widowControl/>
              <w:rPr>
                <w:rFonts w:ascii="Times New Roman" w:hAnsi="Times New Roman" w:eastAsia="宋体" w:cs="Times New Roman"/>
                <w:sz w:val="22"/>
                <w14:ligatures w14:val="none"/>
              </w:rPr>
            </w:pPr>
            <w:r>
              <w:rPr>
                <w:rFonts w:hint="eastAsia" w:ascii="Times New Roman" w:hAnsi="Times New Roman" w:eastAsia="宋体" w:cs="Times New Roman"/>
                <w:sz w:val="22"/>
                <w14:ligatures w14:val="none"/>
              </w:rPr>
              <w:t xml:space="preserve">8</w:t>
            </w:r>
            <w:r/>
          </w:p>
        </w:tc>
      </w:tr>
      <w:tr>
        <w:trPr>
          <w:trHeight w:val="848"/>
        </w:trPr>
        <w:tc>
          <w:tcPr>
            <w:tcBorders>
              <w:top w:val="none" w:color="000000" w:sz="4" w:space="0"/>
              <w:left w:val="single" w:color="000000" w:sz="8" w:space="0"/>
              <w:bottom w:val="none" w:color="000000" w:sz="4"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single" w:color="000000" w:sz="8" w:space="0"/>
              <w:right w:val="single" w:color="000000" w:sz="8" w:space="0"/>
            </w:tcBorders>
            <w:tcW w:w="35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numPr>
                <w:ilvl w:val="0"/>
                <w:numId w:val="6"/>
              </w:numPr>
              <w:widowControl/>
              <w:rPr>
                <w:rFonts w:hint="eastAsia" w:ascii="宋体" w:hAnsi="宋体" w:eastAsia="宋体"/>
                <w:sz w:val="22"/>
                <w14:ligatures w14:val="none"/>
              </w:rPr>
            </w:pPr>
            <w:r>
              <w:rPr>
                <w:rFonts w:ascii="宋体" w:hAnsi="宋体" w:eastAsia="宋体"/>
                <w:sz w:val="22"/>
                <w14:ligatures w14:val="none"/>
              </w:rPr>
              <w:t xml:space="preserve">项目负责人被纳入省级及以上森林资源管理专家库成员的得</w:t>
            </w:r>
            <w:r>
              <w:rPr>
                <w:rFonts w:hint="eastAsia" w:ascii="宋体" w:hAnsi="宋体" w:eastAsia="宋体"/>
                <w:sz w:val="22"/>
                <w14:ligatures w14:val="none"/>
              </w:rPr>
              <w:t xml:space="preserve">3</w:t>
            </w:r>
            <w:r>
              <w:rPr>
                <w:rFonts w:ascii="宋体" w:hAnsi="宋体" w:eastAsia="宋体"/>
                <w:sz w:val="22"/>
                <w14:ligatures w14:val="none"/>
              </w:rPr>
              <w:t xml:space="preserve">分，</w:t>
            </w:r>
            <w:r>
              <w:rPr>
                <w:rFonts w:hint="eastAsia" w:ascii="宋体" w:hAnsi="宋体" w:eastAsia="宋体"/>
                <w:sz w:val="22"/>
                <w14:ligatures w14:val="none"/>
              </w:rPr>
              <w:t xml:space="preserve">没有</w:t>
            </w:r>
            <w:r>
              <w:rPr>
                <w:rFonts w:ascii="宋体" w:hAnsi="宋体" w:eastAsia="宋体"/>
                <w:sz w:val="22"/>
                <w14:ligatures w14:val="none"/>
              </w:rPr>
              <w:t xml:space="preserve">不得分</w:t>
            </w:r>
            <w:r>
              <w:rPr>
                <w:rFonts w:hint="eastAsia" w:ascii="宋体" w:hAnsi="宋体" w:eastAsia="宋体"/>
                <w:sz w:val="22"/>
                <w14:ligatures w14:val="none"/>
              </w:rPr>
              <w:t xml:space="preserve">；</w:t>
            </w:r>
            <w:r>
              <w:rPr>
                <w:rFonts w:ascii="宋体" w:hAnsi="宋体" w:eastAsia="宋体"/>
                <w:sz w:val="22"/>
                <w14:ligatures w14:val="none"/>
              </w:rPr>
              <w:t xml:space="preserve">项目负责人自</w:t>
            </w:r>
            <w:r>
              <w:rPr>
                <w:rFonts w:ascii="Times New Roman" w:hAnsi="Times New Roman" w:eastAsia="宋体" w:cs="Times New Roman"/>
                <w:sz w:val="22"/>
                <w14:ligatures w14:val="none"/>
              </w:rPr>
              <w:t xml:space="preserve">2023</w:t>
            </w:r>
            <w:r>
              <w:rPr>
                <w:rFonts w:ascii="宋体" w:hAnsi="宋体" w:eastAsia="宋体"/>
                <w:sz w:val="22"/>
                <w14:ligatures w14:val="none"/>
              </w:rPr>
              <w:t xml:space="preserve">年</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月</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日以来</w:t>
            </w:r>
            <w:r>
              <w:rPr>
                <w:rFonts w:ascii="Times New Roman" w:hAnsi="Times New Roman" w:eastAsia="宋体" w:cs="Times New Roman"/>
                <w:sz w:val="22"/>
                <w14:ligatures w14:val="none"/>
              </w:rPr>
              <w:t xml:space="preserve">(</w:t>
            </w:r>
            <w:r>
              <w:rPr>
                <w:rFonts w:ascii="宋体" w:hAnsi="宋体" w:eastAsia="宋体"/>
                <w:sz w:val="22"/>
                <w14:ligatures w14:val="none"/>
              </w:rPr>
              <w:t xml:space="preserve">以签章处时间为准</w:t>
            </w:r>
            <w:r>
              <w:rPr>
                <w:rFonts w:ascii="Times New Roman" w:hAnsi="Times New Roman" w:eastAsia="宋体" w:cs="Times New Roman"/>
                <w:sz w:val="22"/>
                <w14:ligatures w14:val="none"/>
              </w:rPr>
              <w:t xml:space="preserve">)</w:t>
            </w:r>
            <w:r>
              <w:rPr>
                <w:rFonts w:ascii="宋体" w:hAnsi="宋体" w:eastAsia="宋体"/>
                <w:sz w:val="22"/>
                <w14:ligatures w14:val="none"/>
              </w:rPr>
              <w:t xml:space="preserve">担任过生物多样性保护监测相关国家重点课题项目负责人的，得</w:t>
            </w:r>
            <w:r>
              <w:rPr>
                <w:rFonts w:hint="eastAsia" w:ascii="宋体" w:hAnsi="宋体" w:eastAsia="宋体"/>
                <w:sz w:val="22"/>
                <w14:ligatures w14:val="none"/>
              </w:rPr>
              <w:t xml:space="preserve">3</w:t>
            </w:r>
            <w:r>
              <w:rPr>
                <w:rFonts w:ascii="宋体" w:hAnsi="宋体" w:eastAsia="宋体"/>
                <w:sz w:val="22"/>
                <w14:ligatures w14:val="none"/>
              </w:rPr>
              <w:t xml:space="preserve">分，承担过省级重点课题项目负责人的，得</w:t>
            </w:r>
            <w:r>
              <w:rPr>
                <w:rFonts w:hint="eastAsia" w:ascii="宋体" w:hAnsi="宋体" w:eastAsia="宋体"/>
                <w:sz w:val="22"/>
                <w14:ligatures w14:val="none"/>
              </w:rPr>
              <w:t xml:space="preserve">1.5</w:t>
            </w:r>
            <w:r>
              <w:rPr>
                <w:rFonts w:ascii="宋体" w:hAnsi="宋体" w:eastAsia="宋体"/>
                <w:sz w:val="22"/>
                <w14:ligatures w14:val="none"/>
              </w:rPr>
              <w:t xml:space="preserve">分，</w:t>
            </w:r>
            <w:r>
              <w:rPr>
                <w:rFonts w:hint="eastAsia" w:ascii="宋体" w:hAnsi="宋体" w:eastAsia="宋体"/>
                <w:sz w:val="22"/>
                <w14:ligatures w14:val="none"/>
              </w:rPr>
              <w:t xml:space="preserve">没有不得分。本项最高得6分。</w:t>
            </w:r>
            <w:r>
              <w:rPr>
                <w:rFonts w:ascii="宋体" w:hAnsi="宋体" w:eastAsia="宋体"/>
                <w:sz w:val="22"/>
                <w14:ligatures w14:val="none"/>
              </w:rPr>
              <w:t xml:space="preserve">（需提供林业主管部门盖章的证明材料和官方公示截图</w:t>
            </w:r>
            <w:r>
              <w:rPr>
                <w:rFonts w:hint="eastAsia" w:ascii="宋体" w:hAnsi="宋体" w:eastAsia="宋体"/>
                <w:sz w:val="22"/>
                <w14:ligatures w14:val="none"/>
              </w:rPr>
              <w:t xml:space="preserve">，</w:t>
            </w:r>
            <w:r>
              <w:rPr>
                <w:rFonts w:ascii="宋体" w:hAnsi="宋体" w:eastAsia="宋体"/>
                <w:sz w:val="22"/>
                <w14:ligatures w14:val="none"/>
              </w:rPr>
              <w:t xml:space="preserve">提供课题任务书原件扫描上传，如课题任务书未注明课题负责人的，需提供课题发包单位盖章的证明材料原件扫描上传</w:t>
            </w:r>
            <w:r>
              <w:rPr>
                <w:rFonts w:hint="eastAsia" w:ascii="宋体" w:hAnsi="宋体" w:eastAsia="宋体"/>
                <w:sz w:val="22"/>
                <w14:ligatures w14:val="none"/>
              </w:rPr>
              <w:t xml:space="preserve">。未提供或不符合要求的不得分</w:t>
            </w:r>
            <w:r>
              <w:rPr>
                <w:rFonts w:ascii="Times New Roman" w:hAnsi="Times New Roman" w:eastAsia="宋体" w:cs="Times New Roman"/>
                <w:sz w:val="22"/>
                <w14:ligatures w14:val="none"/>
              </w:rPr>
              <w:t xml:space="preserve">)</w:t>
            </w:r>
            <w:r/>
          </w:p>
        </w:tc>
        <w:tc>
          <w:tcPr>
            <w:tcBorders>
              <w:top w:val="none" w:color="000000" w:sz="4" w:space="0"/>
              <w:left w:val="single" w:color="000000" w:sz="8" w:space="0"/>
              <w:bottom w:val="single" w:color="000000" w:sz="8" w:space="0"/>
              <w:right w:val="single" w:color="000000" w:sz="8" w:space="0"/>
            </w:tcBorders>
            <w:tcW w:w="405" w:type="pct"/>
            <w:vAlign w:val="center"/>
            <w:vMerge w:val="continue"/>
            <w:textDirection w:val="lrTb"/>
            <w:noWrap w:val="false"/>
          </w:tcPr>
          <w:p>
            <w:pPr>
              <w:jc w:val="left"/>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r>
            <w:r/>
          </w:p>
        </w:tc>
      </w:tr>
      <w:tr>
        <w:trPr>
          <w:trHeight w:val="1433"/>
        </w:trPr>
        <w:tc>
          <w:tcPr>
            <w:tcBorders>
              <w:top w:val="none" w:color="000000" w:sz="4" w:space="0"/>
              <w:left w:val="single" w:color="000000" w:sz="8" w:space="0"/>
              <w:bottom w:val="none" w:color="000000" w:sz="4"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none" w:color="000000" w:sz="4" w:space="0"/>
              <w:right w:val="single" w:color="000000" w:sz="8" w:space="0"/>
            </w:tcBorders>
            <w:tcW w:w="356" w:type="pct"/>
            <w:vAlign w:val="center"/>
            <w:vMerge w:val="restart"/>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人员配备</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widowControl/>
              <w:rPr>
                <w:rFonts w:hint="eastAsia" w:ascii="宋体" w:hAnsi="宋体" w:eastAsia="宋体"/>
                <w:sz w:val="22"/>
                <w14:ligatures w14:val="none"/>
              </w:rPr>
            </w:pPr>
            <w:r>
              <w:rPr>
                <w:rFonts w:ascii="宋体" w:hAnsi="宋体" w:eastAsia="宋体"/>
                <w:sz w:val="22"/>
                <w14:ligatures w14:val="none"/>
              </w:rPr>
              <w:t xml:space="preserve">（</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）项目组成员中（除项目负责人外），具备野生动植物保护与利用、植物学、动物学、</w:t>
            </w:r>
            <w:r>
              <w:rPr>
                <w:rFonts w:hint="eastAsia" w:ascii="宋体" w:hAnsi="宋体" w:eastAsia="宋体"/>
                <w:sz w:val="22"/>
                <w14:ligatures w14:val="none"/>
              </w:rPr>
              <w:t xml:space="preserve">生物安全、生物学、生态学、</w:t>
            </w:r>
            <w:r>
              <w:rPr>
                <w:rFonts w:ascii="宋体" w:hAnsi="宋体" w:eastAsia="宋体"/>
                <w:sz w:val="22"/>
                <w14:ligatures w14:val="none"/>
              </w:rPr>
              <w:t xml:space="preserve">环境科学、</w:t>
            </w:r>
            <w:r>
              <w:rPr>
                <w:rFonts w:ascii="Times New Roman" w:hAnsi="Times New Roman" w:eastAsia="宋体" w:cs="Times New Roman"/>
                <w:sz w:val="22"/>
                <w14:ligatures w14:val="none"/>
              </w:rPr>
              <w:t xml:space="preserve">3S</w:t>
            </w:r>
            <w:r>
              <w:rPr>
                <w:rFonts w:ascii="宋体" w:hAnsi="宋体" w:eastAsia="宋体"/>
                <w:sz w:val="22"/>
                <w14:ligatures w14:val="none"/>
              </w:rPr>
              <w:t xml:space="preserve">集成等相关专业的，每具备一个专业得</w:t>
            </w:r>
            <w:r>
              <w:rPr>
                <w:rFonts w:hint="eastAsia" w:ascii="Times New Roman" w:hAnsi="Times New Roman" w:eastAsia="宋体" w:cs="Times New Roman"/>
                <w:sz w:val="22"/>
                <w14:ligatures w14:val="none"/>
              </w:rPr>
              <w:t xml:space="preserve">1</w:t>
            </w:r>
            <w:r>
              <w:rPr>
                <w:rFonts w:ascii="宋体" w:hAnsi="宋体" w:eastAsia="宋体"/>
                <w:sz w:val="22"/>
                <w14:ligatures w14:val="none"/>
              </w:rPr>
              <w:t xml:space="preserve">分，本小项最高得</w:t>
            </w:r>
            <w:r>
              <w:rPr>
                <w:rFonts w:hint="eastAsia" w:ascii="Times New Roman" w:hAnsi="Times New Roman" w:eastAsia="宋体" w:cs="Times New Roman"/>
                <w:sz w:val="22"/>
                <w14:ligatures w14:val="none"/>
              </w:rPr>
              <w:t xml:space="preserve">8</w:t>
            </w:r>
            <w:r>
              <w:rPr>
                <w:rFonts w:ascii="宋体" w:hAnsi="宋体" w:eastAsia="宋体"/>
                <w:sz w:val="22"/>
                <w14:ligatures w14:val="none"/>
              </w:rPr>
              <w:t xml:space="preserve">分；（需提供项目组成员毕业证书并加盖公章，</w:t>
            </w:r>
            <w:r>
              <w:rPr>
                <w:rFonts w:hint="eastAsia" w:ascii="宋体" w:hAnsi="宋体" w:eastAsia="宋体"/>
                <w:sz w:val="22"/>
                <w14:ligatures w14:val="none"/>
              </w:rPr>
              <w:t xml:space="preserve">未提供或不符合要求的不得分</w:t>
            </w:r>
            <w:r>
              <w:rPr>
                <w:rFonts w:ascii="宋体" w:hAnsi="宋体" w:eastAsia="宋体"/>
                <w:sz w:val="22"/>
                <w14:ligatures w14:val="none"/>
              </w:rPr>
              <w:t xml:space="preserve">）</w:t>
            </w:r>
            <w:r/>
          </w:p>
        </w:tc>
        <w:tc>
          <w:tcPr>
            <w:tcBorders>
              <w:top w:val="none" w:color="000000" w:sz="4" w:space="0"/>
              <w:left w:val="single" w:color="000000" w:sz="8" w:space="0"/>
              <w:bottom w:val="none" w:color="000000" w:sz="4" w:space="0"/>
              <w:right w:val="single" w:color="000000" w:sz="8" w:space="0"/>
            </w:tcBorders>
            <w:tcW w:w="405" w:type="pct"/>
            <w:vAlign w:val="center"/>
            <w:vMerge w:val="restart"/>
            <w:textDirection w:val="lrTb"/>
            <w:noWrap/>
          </w:tcPr>
          <w:p>
            <w:pPr>
              <w:jc w:val="center"/>
              <w:widowControl/>
              <w:rPr>
                <w:rFonts w:ascii="Times New Roman" w:hAnsi="Times New Roman" w:eastAsia="宋体" w:cs="Times New Roman"/>
                <w:sz w:val="22"/>
                <w14:ligatures w14:val="none"/>
              </w:rPr>
            </w:pPr>
            <w:r>
              <w:rPr>
                <w:rFonts w:hint="eastAsia" w:ascii="Times New Roman" w:hAnsi="Times New Roman" w:eastAsia="宋体" w:cs="Times New Roman"/>
                <w:sz w:val="22"/>
                <w14:ligatures w14:val="none"/>
              </w:rPr>
              <w:t xml:space="preserve">11</w:t>
            </w:r>
            <w:r/>
          </w:p>
        </w:tc>
      </w:tr>
      <w:tr>
        <w:trPr>
          <w:trHeight w:val="433"/>
        </w:trPr>
        <w:tc>
          <w:tcPr>
            <w:tcBorders>
              <w:top w:val="none" w:color="000000" w:sz="4" w:space="0"/>
              <w:left w:val="single" w:color="000000" w:sz="8" w:space="0"/>
              <w:bottom w:val="none" w:color="000000" w:sz="4"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none" w:color="000000" w:sz="4" w:space="0"/>
              <w:right w:val="single" w:color="000000" w:sz="8" w:space="0"/>
            </w:tcBorders>
            <w:tcW w:w="35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widowControl/>
              <w:rPr>
                <w:rFonts w:hint="eastAsia" w:ascii="宋体" w:hAnsi="宋体" w:eastAsia="宋体"/>
                <w:sz w:val="22"/>
                <w14:ligatures w14:val="none"/>
              </w:rPr>
            </w:pPr>
            <w:r>
              <w:rPr>
                <w:rFonts w:ascii="宋体" w:hAnsi="宋体" w:eastAsia="宋体"/>
                <w:sz w:val="22"/>
                <w14:ligatures w14:val="none"/>
              </w:rPr>
              <w:t xml:space="preserve">（</w:t>
            </w:r>
            <w:r>
              <w:rPr>
                <w:rFonts w:ascii="Times New Roman" w:hAnsi="Times New Roman" w:eastAsia="宋体" w:cs="Times New Roman"/>
                <w:sz w:val="22"/>
                <w14:ligatures w14:val="none"/>
              </w:rPr>
              <w:t xml:space="preserve">2</w:t>
            </w:r>
            <w:r>
              <w:rPr>
                <w:rFonts w:ascii="宋体" w:hAnsi="宋体" w:eastAsia="宋体"/>
                <w:sz w:val="22"/>
                <w14:ligatures w14:val="none"/>
              </w:rPr>
              <w:t xml:space="preserve">）上述专业项目组成员中，被纳入省级及以上野生动植物识别相关专家库的，每有</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人得</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分，被纳入市级野生动植物识别相关专家库的，每有</w:t>
            </w:r>
            <w:r>
              <w:rPr>
                <w:rFonts w:ascii="Times New Roman" w:hAnsi="Times New Roman" w:eastAsia="宋体" w:cs="Times New Roman"/>
                <w:sz w:val="22"/>
                <w14:ligatures w14:val="none"/>
              </w:rPr>
              <w:t xml:space="preserve">1</w:t>
            </w:r>
            <w:r>
              <w:rPr>
                <w:rFonts w:ascii="宋体" w:hAnsi="宋体" w:eastAsia="宋体"/>
                <w:sz w:val="22"/>
                <w14:ligatures w14:val="none"/>
              </w:rPr>
              <w:t xml:space="preserve">人得</w:t>
            </w:r>
            <w:r>
              <w:rPr>
                <w:rFonts w:ascii="Times New Roman" w:hAnsi="Times New Roman" w:eastAsia="宋体" w:cs="Times New Roman"/>
                <w:sz w:val="22"/>
                <w14:ligatures w14:val="none"/>
              </w:rPr>
              <w:t xml:space="preserve">0.5</w:t>
            </w:r>
            <w:r>
              <w:rPr>
                <w:rFonts w:ascii="宋体" w:hAnsi="宋体" w:eastAsia="宋体"/>
                <w:sz w:val="22"/>
                <w14:ligatures w14:val="none"/>
              </w:rPr>
              <w:t xml:space="preserve">分，本项最高得</w:t>
            </w:r>
            <w:r>
              <w:rPr>
                <w:rFonts w:ascii="Times New Roman" w:hAnsi="Times New Roman" w:eastAsia="宋体" w:cs="Times New Roman"/>
                <w:sz w:val="22"/>
                <w14:ligatures w14:val="none"/>
              </w:rPr>
              <w:t xml:space="preserve">3</w:t>
            </w:r>
            <w:r>
              <w:rPr>
                <w:rFonts w:ascii="宋体" w:hAnsi="宋体" w:eastAsia="宋体"/>
                <w:sz w:val="22"/>
                <w14:ligatures w14:val="none"/>
              </w:rPr>
              <w:t xml:space="preserve">分。（需提供相关主管部门盖章的证明材料和官方公示截图</w:t>
            </w:r>
            <w:r>
              <w:rPr>
                <w:rFonts w:ascii="Times New Roman" w:hAnsi="Times New Roman" w:eastAsia="宋体" w:cs="Times New Roman"/>
                <w:sz w:val="22"/>
                <w14:ligatures w14:val="none"/>
              </w:rPr>
              <w:t xml:space="preserve">,</w:t>
            </w:r>
            <w:r>
              <w:rPr>
                <w:rFonts w:hint="eastAsia" w:ascii="Times New Roman" w:hAnsi="Times New Roman" w:eastAsia="宋体" w:cs="Times New Roman"/>
                <w:sz w:val="22"/>
                <w14:ligatures w14:val="none"/>
              </w:rPr>
              <w:t xml:space="preserve">未提供或不符合要求的不得分</w:t>
            </w:r>
            <w:r>
              <w:rPr>
                <w:rFonts w:ascii="宋体" w:hAnsi="宋体" w:eastAsia="宋体"/>
                <w:sz w:val="22"/>
                <w14:ligatures w14:val="none"/>
              </w:rPr>
              <w:t xml:space="preserve">）</w:t>
            </w:r>
            <w:r/>
          </w:p>
        </w:tc>
        <w:tc>
          <w:tcPr>
            <w:tcBorders>
              <w:top w:val="none" w:color="000000" w:sz="4" w:space="0"/>
              <w:left w:val="single" w:color="000000" w:sz="8" w:space="0"/>
              <w:bottom w:val="none" w:color="000000" w:sz="4" w:space="0"/>
              <w:right w:val="single" w:color="000000" w:sz="8" w:space="0"/>
            </w:tcBorders>
            <w:tcW w:w="405" w:type="pct"/>
            <w:vAlign w:val="center"/>
            <w:vMerge w:val="continue"/>
            <w:textDirection w:val="lrTb"/>
            <w:noWrap w:val="false"/>
          </w:tcPr>
          <w:p>
            <w:pPr>
              <w:jc w:val="left"/>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r>
            <w:r/>
          </w:p>
        </w:tc>
      </w:tr>
      <w:tr>
        <w:trPr>
          <w:trHeight w:val="1118"/>
        </w:trPr>
        <w:tc>
          <w:tcPr>
            <w:tcBorders>
              <w:top w:val="single" w:color="000000" w:sz="8" w:space="0"/>
              <w:left w:val="single" w:color="000000" w:sz="8" w:space="0"/>
              <w:bottom w:val="single" w:color="000000" w:sz="8" w:space="0"/>
              <w:right w:val="single" w:color="000000" w:sz="8" w:space="0"/>
            </w:tcBorders>
            <w:tcW w:w="406" w:type="pct"/>
            <w:vAlign w:val="center"/>
            <w:vMerge w:val="restart"/>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技术</w:t>
            </w:r>
            <w:r>
              <w:rPr>
                <w:rFonts w:hint="eastAsia" w:ascii="宋体" w:hAnsi="宋体" w:eastAsia="宋体"/>
                <w:sz w:val="22"/>
                <w14:ligatures w14:val="none"/>
              </w:rPr>
              <w:t xml:space="preserve">部分45分</w:t>
            </w:r>
            <w:r/>
          </w:p>
        </w:tc>
        <w:tc>
          <w:tcPr>
            <w:tcBorders>
              <w:top w:val="single" w:color="000000" w:sz="8" w:space="0"/>
              <w:left w:val="single" w:color="000000" w:sz="8"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项目理解程度</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numPr>
                <w:ilvl w:val="0"/>
                <w:numId w:val="7"/>
              </w:numPr>
              <w:rPr>
                <w:rFonts w:hint="eastAsia"/>
                <w:szCs w:val="21"/>
              </w:rPr>
            </w:pPr>
            <w:r>
              <w:rPr>
                <w:rFonts w:hint="eastAsia"/>
                <w:szCs w:val="21"/>
              </w:rPr>
              <w:t xml:space="preserve">工作范围与工作目标完整性（3分）工作范围应涵盖项目调查对象全部范畴（至少包含生态系统多样性、物种多样性两个层次，前者包括植被类型、自然生态系统等，后者包括陆生高等植物、陆生脊椎动物、淡水水生生物及代表性类群等）。工作目标应包含调查指标与预期成果两个方面。</w:t>
            </w:r>
            <w:r/>
          </w:p>
          <w:p>
            <w:pPr>
              <w:rPr>
                <w:rFonts w:hint="eastAsia"/>
                <w:szCs w:val="21"/>
              </w:rPr>
            </w:pPr>
            <w:r>
              <w:rPr>
                <w:rFonts w:hint="eastAsia"/>
                <w:szCs w:val="21"/>
              </w:rPr>
              <w:t xml:space="preserve">（1）工作范围完整覆盖项目调查的全部范畴（至少包含生态系统多样性、物种多样性两个层次），范围表述无遗漏；工作目标同时包含调查指标（调查结束后需要达成的工作目标）与预期成果（调查结束后提交的具体产出）两个维度，表述清晰明确。得3分。</w:t>
            </w:r>
            <w:r/>
          </w:p>
          <w:p>
            <w:pPr>
              <w:rPr>
                <w:rFonts w:hint="eastAsia"/>
                <w:szCs w:val="21"/>
              </w:rPr>
            </w:pPr>
            <w:r>
              <w:rPr>
                <w:rFonts w:hint="eastAsia"/>
                <w:szCs w:val="21"/>
              </w:rPr>
              <w:t xml:space="preserve">（2）工作范围基本覆盖主要范畴，存在少量遗漏（1-2项类群或区域）；工作目标仅包含调查指标或预期成果中的单一维度。得2分。（3）工作范围覆盖不全，遗漏3项及以上内容；或工作目标过于笼统，缺乏具体描述。得1分。</w:t>
            </w:r>
            <w:r/>
          </w:p>
          <w:p>
            <w:pPr>
              <w:rPr>
                <w:rFonts w:hint="eastAsia"/>
                <w:szCs w:val="21"/>
              </w:rPr>
            </w:pPr>
            <w:r>
              <w:rPr>
                <w:rFonts w:hint="eastAsia"/>
                <w:szCs w:val="21"/>
              </w:rPr>
              <w:t xml:space="preserve">（4）未提供相关内容，或所提供内容与本项目需求无关。不得分。</w:t>
            </w:r>
            <w:r/>
          </w:p>
          <w:p>
            <w:pPr>
              <w:rPr>
                <w:rFonts w:hint="eastAsia"/>
                <w:szCs w:val="21"/>
              </w:rPr>
            </w:pPr>
            <w:r>
              <w:rPr>
                <w:rFonts w:hint="eastAsia"/>
                <w:szCs w:val="21"/>
              </w:rPr>
              <w:t xml:space="preserve">2、工作原则与工作程序符合性（4分）。生物多样性本底调查的核心技术依据为《县域生物多样性调查与评估技术规定》（环境保护部公告2017年第84号）及《生物多样性观测技术导则》（HJ 710系列）。该规定涵盖《县域陆生高等植物多样性调查与评估技术规定》《县域鸟类多样性调查与评估技术规定》《县域两栖类和爬行类多样性调查与评估技术规定》《内陆鱼类多样性调查与评估技术规定》《内陆浮游生物多样性调查与评估技术规定》等系列技术规定。</w:t>
            </w:r>
            <w:r/>
          </w:p>
          <w:p>
            <w:pPr>
              <w:rPr>
                <w:rFonts w:hint="eastAsia"/>
                <w:szCs w:val="21"/>
              </w:rPr>
            </w:pPr>
            <w:r>
              <w:rPr>
                <w:rFonts w:hint="eastAsia"/>
                <w:szCs w:val="21"/>
              </w:rPr>
              <w:t xml:space="preserve">（1）工作原则准确阐明了不少于3条本调查工作的基本原则（如客观性原则、系统性原则、可操作性原则等），且每项原则均有具体说明；工作程序列出完整流程（至少包含资料收集、野外调查、内业鉴定、数据分析、报告编制5个阶段），每个阶段均标注具体工作内容，且程序完全符合上述导则要求。得4分。</w:t>
            </w:r>
            <w:r/>
          </w:p>
          <w:p>
            <w:pPr>
              <w:rPr>
                <w:rFonts w:hint="eastAsia"/>
                <w:szCs w:val="21"/>
              </w:rPr>
            </w:pPr>
            <w:r>
              <w:rPr>
                <w:rFonts w:hint="eastAsia"/>
                <w:szCs w:val="21"/>
              </w:rPr>
              <w:t xml:space="preserve">（2）工作原则阐述基本清楚（仅列出原则条目但缺乏具体说明，或列出的原则不足3条）；工作程序基本完整（涵盖4个阶段）且符合导则要求。得2.5分。</w:t>
            </w:r>
            <w:r/>
          </w:p>
          <w:p>
            <w:pPr>
              <w:rPr>
                <w:rFonts w:hint="eastAsia"/>
                <w:szCs w:val="21"/>
              </w:rPr>
            </w:pPr>
            <w:r>
              <w:rPr>
                <w:rFonts w:hint="eastAsia"/>
                <w:szCs w:val="21"/>
              </w:rPr>
              <w:t xml:space="preserve">（3）工作原则或工作程序仅简要提及，内容较为笼统，或部分不符合导则要求。得1分。</w:t>
            </w:r>
            <w:r/>
          </w:p>
          <w:p>
            <w:pPr>
              <w:rPr>
                <w:rFonts w:hint="eastAsia"/>
                <w:szCs w:val="21"/>
              </w:rPr>
            </w:pPr>
            <w:r>
              <w:rPr>
                <w:rFonts w:hint="eastAsia"/>
                <w:szCs w:val="21"/>
              </w:rPr>
              <w:t xml:space="preserve">（4）未提供相关内容，或所提供内容与本项目需求无关。不得分。</w:t>
            </w:r>
            <w:r/>
          </w:p>
          <w:p>
            <w:pPr>
              <w:rPr>
                <w:rFonts w:hint="eastAsia"/>
                <w:szCs w:val="21"/>
              </w:rPr>
            </w:pPr>
            <w:r>
              <w:rPr>
                <w:rFonts w:hint="eastAsia"/>
                <w:szCs w:val="21"/>
              </w:rPr>
              <w:t xml:space="preserve">3、报告章节框架合理性（3分）。按照《县域生物多样性调查与评估技术规定》及相关导则要求，生物多样性本底调查报告应涵盖以下全部8项内容：①前言与背景；②调查区域概况；③调查内容与方法；④各生物类群调查结果（分章论述，含植物、动物、水生生物等）；⑤生态系统调查结果；⑥受威胁因素分析；⑦保护与管理对策建议；⑧结论。</w:t>
            </w:r>
            <w:r/>
          </w:p>
          <w:p>
            <w:pPr>
              <w:rPr>
                <w:rFonts w:hint="eastAsia"/>
                <w:szCs w:val="21"/>
              </w:rPr>
            </w:pPr>
            <w:r>
              <w:rPr>
                <w:rFonts w:hint="eastAsia"/>
                <w:szCs w:val="21"/>
              </w:rPr>
              <w:t xml:space="preserve">(1)8项内容全部具备，且框架逻辑严密（内容顺序符合从背景→方法→结果→分析→对策的报告编制逻辑），单元划分完全贴合导则规范。得3分。</w:t>
            </w:r>
            <w:r/>
          </w:p>
          <w:p>
            <w:pPr>
              <w:rPr>
                <w:rFonts w:hint="eastAsia"/>
                <w:szCs w:val="21"/>
              </w:rPr>
            </w:pPr>
            <w:r>
              <w:rPr>
                <w:rFonts w:hint="eastAsia"/>
                <w:szCs w:val="21"/>
              </w:rPr>
              <w:t xml:space="preserve">（2）具备6-7项内容，框架基本合理，单元划分基本贴合导则规范。得2分。</w:t>
            </w:r>
            <w:r/>
          </w:p>
          <w:p>
            <w:pPr>
              <w:rPr>
                <w:rFonts w:hint="eastAsia"/>
                <w:szCs w:val="21"/>
              </w:rPr>
            </w:pPr>
            <w:r>
              <w:rPr>
                <w:rFonts w:hint="eastAsia"/>
                <w:szCs w:val="21"/>
              </w:rPr>
              <w:t xml:space="preserve">（3）具备4-5项内容，框架存在明显不足，或单元划分不符合导则规范。得1分。</w:t>
            </w:r>
            <w:r/>
          </w:p>
          <w:p>
            <w:pPr>
              <w:rPr>
                <w:rFonts w:hint="eastAsia"/>
                <w:szCs w:val="21"/>
              </w:rPr>
            </w:pPr>
            <w:r>
              <w:rPr>
                <w:rFonts w:hint="eastAsia"/>
                <w:szCs w:val="21"/>
              </w:rPr>
              <w:t xml:space="preserve">（4）具备不足4项内容，或未提供相关内容。不得分。</w:t>
            </w:r>
            <w:r/>
          </w:p>
          <w:p>
            <w:pPr>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single" w:color="000000" w:sz="8" w:space="0"/>
              <w:left w:val="single" w:color="000000" w:sz="8"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t xml:space="preserve">10</w:t>
            </w:r>
            <w:r/>
          </w:p>
        </w:tc>
      </w:tr>
      <w:tr>
        <w:trPr>
          <w:trHeight w:val="2700"/>
        </w:trPr>
        <w:tc>
          <w:tcPr>
            <w:tcBorders>
              <w:top w:val="single" w:color="000000" w:sz="8" w:space="0"/>
              <w:left w:val="single" w:color="000000" w:sz="8" w:space="0"/>
              <w:bottom w:val="single" w:color="000000" w:sz="8"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实施方案</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rPr>
                <w:rFonts w:hint="eastAsia"/>
                <w:szCs w:val="21"/>
              </w:rPr>
            </w:pPr>
            <w:r>
              <w:rPr>
                <w:rFonts w:hint="eastAsia"/>
                <w:szCs w:val="21"/>
              </w:rPr>
              <w:t xml:space="preserve">1、重难点理解与分析（5分）</w:t>
            </w:r>
            <w:r/>
          </w:p>
          <w:p>
            <w:pPr>
              <w:rPr>
                <w:rFonts w:hint="eastAsia"/>
                <w:szCs w:val="21"/>
              </w:rPr>
            </w:pPr>
            <w:r>
              <w:rPr>
                <w:rFonts w:hint="eastAsia"/>
                <w:szCs w:val="21"/>
              </w:rPr>
              <w:t xml:space="preserve">（1）投标文件中明确列出至少3项本项目生物多样性本底调查的核心重难点，并针对每项重难点逐一提出具体、可行的解决方案；分析内容与技术方案高度对应，解决方案具有项目区域针对性。得5分。</w:t>
            </w:r>
            <w:r/>
          </w:p>
          <w:p>
            <w:pPr>
              <w:rPr>
                <w:rFonts w:hint="eastAsia"/>
                <w:szCs w:val="21"/>
              </w:rPr>
            </w:pPr>
            <w:r>
              <w:rPr>
                <w:rFonts w:hint="eastAsia"/>
                <w:szCs w:val="21"/>
              </w:rPr>
              <w:t xml:space="preserve">（2）列出至少2项核心重难点，并提出解决方案，方案基本可行，但部分方案缺乏区域针对性。得3分。</w:t>
            </w:r>
            <w:r/>
          </w:p>
          <w:p>
            <w:pPr>
              <w:rPr>
                <w:rFonts w:hint="eastAsia"/>
                <w:szCs w:val="21"/>
              </w:rPr>
            </w:pPr>
            <w:r>
              <w:rPr>
                <w:rFonts w:hint="eastAsia"/>
                <w:szCs w:val="21"/>
              </w:rPr>
              <w:t xml:space="preserve">（3）列出至少1项核心重难点，或仅提出重难点但未提供对应解决方案。得1分。</w:t>
            </w:r>
            <w:r/>
          </w:p>
          <w:p>
            <w:pPr>
              <w:rPr>
                <w:rFonts w:hint="eastAsia"/>
                <w:szCs w:val="21"/>
              </w:rPr>
            </w:pPr>
            <w:r>
              <w:rPr>
                <w:rFonts w:hint="eastAsia"/>
                <w:szCs w:val="21"/>
              </w:rPr>
              <w:t xml:space="preserve">（4）未提供相关内容，或所提供内容与本项目需求无关。不得分。</w:t>
            </w:r>
            <w:r/>
          </w:p>
          <w:p>
            <w:pPr>
              <w:rPr>
                <w:rFonts w:hint="eastAsia"/>
                <w:szCs w:val="21"/>
              </w:rPr>
            </w:pPr>
            <w:r>
              <w:rPr>
                <w:rFonts w:hint="eastAsia"/>
                <w:szCs w:val="21"/>
              </w:rPr>
              <w:t xml:space="preserve">2、调查方法与技术规程符合性（5分）。调查方法设计完全符合《县域生物多样性调查与评估技术规定》（环境保护部公告2017年第84号）及《生物多样性观测技术导则》（HJ 710系列）相关要求。</w:t>
            </w:r>
            <w:r/>
          </w:p>
          <w:p>
            <w:pPr>
              <w:rPr>
                <w:rFonts w:hint="eastAsia"/>
                <w:szCs w:val="21"/>
              </w:rPr>
            </w:pPr>
            <w:r>
              <w:rPr>
                <w:rFonts w:hint="eastAsia"/>
                <w:szCs w:val="21"/>
              </w:rPr>
              <w:t xml:space="preserve">（1）对项目要求的全部生物类群（至少包括陆生高等植物、陆生脊椎动物、淡水水生生物等）均逐一明确其调查方法和技术依据；调查时间、频次设计科学合理（符合导则要求的观测频次，如季节性调查覆盖春、夏、秋三季以上），且针对项目实施区域的特点提出适应性调整方案（如针对特殊生境、气候条件或物种分布特征的调查方法优化）。得5分。</w:t>
            </w:r>
            <w:r/>
          </w:p>
          <w:p>
            <w:pPr>
              <w:rPr>
                <w:rFonts w:hint="eastAsia"/>
                <w:szCs w:val="21"/>
              </w:rPr>
            </w:pPr>
            <w:r>
              <w:rPr>
                <w:rFonts w:hint="eastAsia"/>
                <w:szCs w:val="21"/>
              </w:rPr>
              <w:t xml:space="preserve">（2）基本符合上述技术规程要求，对全部生物类群均有调查方法说明，调查时间、频次设计基本合理。得3分。</w:t>
            </w:r>
            <w:r/>
          </w:p>
          <w:p>
            <w:pPr>
              <w:rPr>
                <w:rFonts w:hint="eastAsia"/>
                <w:szCs w:val="21"/>
              </w:rPr>
            </w:pPr>
            <w:r>
              <w:rPr>
                <w:rFonts w:hint="eastAsia"/>
                <w:szCs w:val="21"/>
              </w:rPr>
              <w:t xml:space="preserve">（3）部分符合技术规程要求，或生物类群覆盖不完整（缺失1-2个类群），调查方法设计存在明显不足。得1分</w:t>
            </w:r>
            <w:r/>
          </w:p>
          <w:p>
            <w:pPr>
              <w:rPr>
                <w:rFonts w:hint="eastAsia"/>
                <w:szCs w:val="21"/>
              </w:rPr>
            </w:pPr>
            <w:r>
              <w:rPr>
                <w:rFonts w:hint="eastAsia"/>
                <w:szCs w:val="21"/>
              </w:rPr>
              <w:t xml:space="preserve">（4）不符合技术规程要求，或未提供相关内容。不得分。</w:t>
            </w:r>
            <w:r/>
          </w:p>
          <w:p>
            <w:pPr>
              <w:rPr>
                <w:rFonts w:hint="eastAsia"/>
                <w:szCs w:val="21"/>
              </w:rPr>
            </w:pPr>
            <w:r>
              <w:rPr>
                <w:rFonts w:hint="eastAsia"/>
                <w:szCs w:val="21"/>
              </w:rPr>
              <w:t xml:space="preserve">3、报告编制大纲的可操作性与完整性（5分）</w:t>
            </w:r>
            <w:r/>
          </w:p>
          <w:p>
            <w:pPr>
              <w:rPr>
                <w:rFonts w:hint="eastAsia"/>
                <w:szCs w:val="21"/>
              </w:rPr>
            </w:pPr>
            <w:r>
              <w:rPr>
                <w:rFonts w:hint="eastAsia"/>
                <w:szCs w:val="21"/>
              </w:rPr>
              <w:t xml:space="preserve">（1）报告编制大纲完全贴合本项目实际需求，大纲涵盖的项目要素与项目招标文件要求的具体产出成果一一对应；大纲中每一项内容均包含完成该项内容所需的关键信息点；大纲设计可直接指导后续报告撰写工作。得5分。</w:t>
            </w:r>
            <w:r/>
          </w:p>
          <w:p>
            <w:pPr>
              <w:rPr>
                <w:rFonts w:hint="eastAsia"/>
                <w:szCs w:val="21"/>
              </w:rPr>
            </w:pPr>
            <w:r>
              <w:rPr>
                <w:rFonts w:hint="eastAsia"/>
                <w:szCs w:val="21"/>
              </w:rPr>
              <w:t xml:space="preserve">（2）大纲基本贴合项目需求，与招标文件要求的主要产出成果对应，但存在少量内容要素缺漏；大纲中包含关键信息点但不够详尽。得3分。</w:t>
            </w:r>
            <w:r/>
          </w:p>
          <w:p>
            <w:pPr>
              <w:rPr>
                <w:rFonts w:hint="eastAsia"/>
                <w:szCs w:val="21"/>
              </w:rPr>
            </w:pPr>
            <w:r>
              <w:rPr>
                <w:rFonts w:hint="eastAsia"/>
                <w:szCs w:val="21"/>
              </w:rPr>
              <w:t xml:space="preserve">（3）大纲存在框架但比较笼统，与招标文件产出要求的对应性较弱，或缺乏关键信息点设置。得1分。</w:t>
            </w:r>
            <w:r/>
          </w:p>
          <w:p>
            <w:pPr>
              <w:rPr>
                <w:rFonts w:hint="eastAsia"/>
                <w:szCs w:val="21"/>
              </w:rPr>
            </w:pPr>
            <w:r>
              <w:rPr>
                <w:rFonts w:hint="eastAsia"/>
                <w:szCs w:val="21"/>
              </w:rPr>
              <w:t xml:space="preserve">（4）未提供相关内容，或所提供内容与本项目需求无关。不得分。</w:t>
            </w:r>
            <w:r/>
          </w:p>
          <w:p>
            <w:pPr>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none" w:color="000000" w:sz="4"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t xml:space="preserve">1</w:t>
            </w:r>
            <w:r>
              <w:rPr>
                <w:rFonts w:hint="eastAsia" w:ascii="Times New Roman" w:hAnsi="Times New Roman" w:eastAsia="宋体" w:cs="Times New Roman"/>
                <w:sz w:val="22"/>
                <w14:ligatures w14:val="none"/>
              </w:rPr>
              <w:t xml:space="preserve">5</w:t>
            </w:r>
            <w:r/>
          </w:p>
        </w:tc>
      </w:tr>
      <w:tr>
        <w:trPr>
          <w:trHeight w:val="818"/>
        </w:trPr>
        <w:tc>
          <w:tcPr>
            <w:tcBorders>
              <w:top w:val="single" w:color="000000" w:sz="8" w:space="0"/>
              <w:left w:val="single" w:color="000000" w:sz="8" w:space="0"/>
              <w:bottom w:val="single" w:color="000000" w:sz="8"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single" w:color="000000" w:sz="8"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ascii="宋体" w:hAnsi="宋体" w:eastAsia="宋体"/>
                <w:sz w:val="22"/>
                <w14:ligatures w14:val="none"/>
              </w:rPr>
              <w:t xml:space="preserve">进度实施计划</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numPr>
                <w:ilvl w:val="0"/>
                <w:numId w:val="8"/>
              </w:numPr>
              <w:rPr>
                <w:rFonts w:hint="eastAsia"/>
                <w:szCs w:val="21"/>
              </w:rPr>
            </w:pPr>
            <w:r>
              <w:rPr>
                <w:rFonts w:hint="eastAsia"/>
                <w:szCs w:val="21"/>
              </w:rPr>
              <w:t xml:space="preserve">编制进度计划表（5分）。</w:t>
            </w:r>
            <w:r/>
          </w:p>
          <w:p>
            <w:pPr>
              <w:rPr>
                <w:rFonts w:hint="eastAsia"/>
                <w:szCs w:val="21"/>
              </w:rPr>
            </w:pPr>
            <w:r>
              <w:rPr>
                <w:rFonts w:hint="eastAsia"/>
                <w:szCs w:val="21"/>
              </w:rPr>
              <w:t xml:space="preserve">（1）提供详细的进度计划表，明确列出从合同签订到成果提交的全过程不少于6个关键节点（如资料收集与方案细化、野外调查与标本采集、标本鉴定与数据整理、数据汇总与分析、报告编制、成果评审与提交等），每个节点均标注具体起止日期或时间跨度（如“野外调查：5月—9月”），且各节点间的逻辑关系清晰（能够看出哪些任务可并行、哪些需串行，并行任务需说明统筹安排方式），且进度安排符合生物季节性规律（如野外调查覆盖适宜季节，与物候期匹配）。得5分。</w:t>
            </w:r>
            <w:r/>
          </w:p>
          <w:p>
            <w:pPr>
              <w:rPr>
                <w:rFonts w:hint="eastAsia"/>
                <w:szCs w:val="21"/>
              </w:rPr>
            </w:pPr>
            <w:r>
              <w:rPr>
                <w:rFonts w:hint="eastAsia"/>
                <w:szCs w:val="21"/>
              </w:rPr>
              <w:t xml:space="preserve">（2）提供进度计划表，列出4-5个关键节点并标注大致时间，节点间关系基本清晰。得3分。</w:t>
            </w:r>
            <w:r/>
          </w:p>
          <w:p>
            <w:pPr>
              <w:rPr>
                <w:rFonts w:hint="eastAsia"/>
                <w:szCs w:val="21"/>
              </w:rPr>
            </w:pPr>
            <w:r>
              <w:rPr>
                <w:rFonts w:hint="eastAsia"/>
                <w:szCs w:val="21"/>
              </w:rPr>
              <w:t xml:space="preserve">（3）仅提供笼统的进度安排（如“第一阶段：野外调查”“第二阶段：报告编制”等），未标注具体时间或未列明关键节点。得1分。</w:t>
            </w:r>
            <w:r/>
          </w:p>
          <w:p>
            <w:pPr>
              <w:rPr>
                <w:rFonts w:hint="eastAsia"/>
                <w:szCs w:val="21"/>
              </w:rPr>
            </w:pPr>
            <w:r>
              <w:rPr>
                <w:rFonts w:hint="eastAsia"/>
                <w:szCs w:val="21"/>
              </w:rPr>
              <w:t xml:space="preserve">（4）未提供进度计划表。不得分。</w:t>
            </w:r>
            <w:r/>
          </w:p>
          <w:p>
            <w:pPr>
              <w:rPr>
                <w:rFonts w:hint="eastAsia"/>
                <w:szCs w:val="21"/>
              </w:rPr>
            </w:pPr>
            <w:r>
              <w:rPr>
                <w:rFonts w:hint="eastAsia"/>
                <w:szCs w:val="21"/>
              </w:rPr>
              <w:t xml:space="preserve">2、进度保证措施（5分）</w:t>
            </w:r>
            <w:r/>
          </w:p>
          <w:p>
            <w:pPr>
              <w:rPr>
                <w:rFonts w:hint="eastAsia"/>
                <w:szCs w:val="21"/>
              </w:rPr>
            </w:pPr>
            <w:r>
              <w:rPr>
                <w:rFonts w:hint="eastAsia"/>
                <w:szCs w:val="21"/>
              </w:rPr>
              <w:t xml:space="preserve">（1）提供不少于4项具体的进度保证措施（如人员投入保障机制、仪器设备保障清单与应急预案、标本鉴定外包管理机制与验收标准、野外调查天气应急预案、技术难题攻关机制与专家支持等），每项措施均包含具体的操作说明。得5分。</w:t>
            </w:r>
            <w:r/>
          </w:p>
          <w:p>
            <w:pPr>
              <w:rPr>
                <w:rFonts w:hint="eastAsia"/>
                <w:szCs w:val="21"/>
              </w:rPr>
            </w:pPr>
            <w:r>
              <w:rPr>
                <w:rFonts w:hint="eastAsia"/>
                <w:szCs w:val="21"/>
              </w:rPr>
              <w:t xml:space="preserve">（2）提供2-3项进度保证措施，措施基本可行，但部分措施较为笼统。得3分。</w:t>
            </w:r>
            <w:r/>
          </w:p>
          <w:p>
            <w:pPr>
              <w:rPr>
                <w:rFonts w:hint="eastAsia"/>
                <w:szCs w:val="21"/>
              </w:rPr>
            </w:pPr>
            <w:r>
              <w:rPr>
                <w:rFonts w:hint="eastAsia"/>
                <w:szCs w:val="21"/>
              </w:rPr>
              <w:t xml:space="preserve">（3）提供1项进度保证措施，或措施内容过于笼统（仅列标题而无具体操作说明）。得1分。</w:t>
            </w:r>
            <w:r/>
          </w:p>
          <w:p>
            <w:pPr>
              <w:rPr>
                <w:rFonts w:hint="eastAsia"/>
                <w:szCs w:val="21"/>
              </w:rPr>
            </w:pPr>
            <w:r>
              <w:rPr>
                <w:rFonts w:hint="eastAsia"/>
                <w:szCs w:val="21"/>
              </w:rPr>
              <w:t xml:space="preserve">（4）未提供进度保证措施。不得分。</w:t>
            </w:r>
            <w:r/>
          </w:p>
          <w:p>
            <w:pPr>
              <w:rPr>
                <w:rFonts w:hint="eastAsia"/>
                <w:szCs w:val="21"/>
              </w:rPr>
            </w:pPr>
            <w:r>
              <w:rPr>
                <w:rFonts w:hint="eastAsia"/>
                <w:szCs w:val="21"/>
              </w:rPr>
              <w:t xml:space="preserve">3、各环节衔接与协调机制（5分）</w:t>
            </w:r>
            <w:r/>
          </w:p>
          <w:p>
            <w:pPr>
              <w:rPr>
                <w:rFonts w:hint="eastAsia"/>
                <w:szCs w:val="21"/>
              </w:rPr>
            </w:pPr>
            <w:r>
              <w:rPr>
                <w:rFonts w:hint="eastAsia"/>
                <w:szCs w:val="21"/>
              </w:rPr>
              <w:t xml:space="preserve">（1）明确说明各调查类群（植物、动物、水生生物等）之间的时间统筹安排（如野外调查同一时段覆盖多个类群以减少重复进场），确保调查效率最大化；提出清晰的工作协调机制（如定期例会制度，明确例会周期、参会人员、会议议程和决策机制）；针对可能出现的衔接风险（如调查人员因天气原因无法按时完成某一类群调查，或某类群调查进度滞后影响后续分析），提出至少2类具体应对预案并明确启动条件和执行流程。得5分。</w:t>
            </w:r>
            <w:r/>
          </w:p>
          <w:p>
            <w:pPr>
              <w:rPr>
                <w:rFonts w:hint="eastAsia"/>
                <w:szCs w:val="21"/>
              </w:rPr>
            </w:pPr>
            <w:r>
              <w:rPr>
                <w:rFonts w:hint="eastAsia"/>
                <w:szCs w:val="21"/>
              </w:rPr>
              <w:t xml:space="preserve">（2）说明了各环节衔接的基本安排，提出了1类应对预案或协调机制基本明确但不够具体。得3分。</w:t>
            </w:r>
            <w:r/>
          </w:p>
          <w:p>
            <w:pPr>
              <w:rPr>
                <w:rFonts w:hint="eastAsia"/>
                <w:szCs w:val="21"/>
              </w:rPr>
            </w:pPr>
            <w:r>
              <w:rPr>
                <w:rFonts w:hint="eastAsia"/>
                <w:szCs w:val="21"/>
              </w:rPr>
              <w:t xml:space="preserve">（3）仅简单提及各环节衔接安排（如“各环节密切配合”等概括性表述），无具体协调机制或应对预案。得1分。</w:t>
            </w:r>
            <w:r/>
          </w:p>
          <w:p>
            <w:pPr>
              <w:rPr>
                <w:rFonts w:hint="eastAsia" w:ascii="宋体" w:hAnsi="宋体" w:eastAsia="宋体"/>
                <w:sz w:val="22"/>
                <w14:ligatures w14:val="none"/>
              </w:rPr>
            </w:pPr>
            <w:r>
              <w:rPr>
                <w:rFonts w:hint="eastAsia"/>
                <w:szCs w:val="21"/>
              </w:rPr>
              <w:t xml:space="preserve">（4）未涉及各环节衔接与协调内容。不得分。</w:t>
            </w:r>
            <w:r/>
          </w:p>
        </w:tc>
        <w:tc>
          <w:tcPr>
            <w:tcBorders>
              <w:top w:val="single" w:color="000000" w:sz="8" w:space="0"/>
              <w:left w:val="single" w:color="000000" w:sz="8"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t xml:space="preserve">1</w:t>
            </w:r>
            <w:r>
              <w:rPr>
                <w:rFonts w:hint="eastAsia" w:ascii="Times New Roman" w:hAnsi="Times New Roman" w:eastAsia="宋体" w:cs="Times New Roman"/>
                <w:sz w:val="22"/>
                <w14:ligatures w14:val="none"/>
              </w:rPr>
              <w:t xml:space="preserve">5</w:t>
            </w:r>
            <w:r/>
          </w:p>
        </w:tc>
      </w:tr>
      <w:tr>
        <w:trPr>
          <w:trHeight w:val="1088"/>
        </w:trPr>
        <w:tc>
          <w:tcPr>
            <w:tcBorders>
              <w:top w:val="single" w:color="000000" w:sz="8" w:space="0"/>
              <w:left w:val="single" w:color="000000" w:sz="8" w:space="0"/>
              <w:bottom w:val="single" w:color="000000" w:sz="8" w:space="0"/>
              <w:right w:val="single" w:color="000000" w:sz="8" w:space="0"/>
            </w:tcBorders>
            <w:tcW w:w="406" w:type="pct"/>
            <w:vAlign w:val="center"/>
            <w:vMerge w:val="continue"/>
            <w:textDirection w:val="lrTb"/>
            <w:noWrap w:val="false"/>
          </w:tcPr>
          <w:p>
            <w:pPr>
              <w:jc w:val="left"/>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single" w:color="000000" w:sz="8" w:space="0"/>
              <w:right w:val="single" w:color="000000" w:sz="8" w:space="0"/>
            </w:tcBorders>
            <w:tcW w:w="356" w:type="pct"/>
            <w:vAlign w:val="center"/>
            <w:textDirection w:val="lrTb"/>
            <w:noWrap/>
          </w:tcPr>
          <w:p>
            <w:pPr>
              <w:jc w:val="center"/>
              <w:widowControl/>
              <w:rPr>
                <w:rFonts w:hint="eastAsia" w:ascii="宋体" w:hAnsi="宋体" w:eastAsia="宋体"/>
                <w:sz w:val="22"/>
                <w14:ligatures w14:val="none"/>
              </w:rPr>
            </w:pPr>
            <w:r>
              <w:rPr>
                <w:rFonts w:hint="eastAsia"/>
                <w:szCs w:val="21"/>
              </w:rPr>
              <w:t xml:space="preserve">售后</w:t>
            </w:r>
            <w:r>
              <w:rPr>
                <w:rFonts w:ascii="宋体" w:hAnsi="宋体" w:eastAsia="宋体"/>
                <w:sz w:val="22"/>
                <w14:ligatures w14:val="none"/>
              </w:rPr>
              <w:t xml:space="preserve">服务</w:t>
            </w:r>
            <w:r/>
          </w:p>
        </w:tc>
        <w:tc>
          <w:tcPr>
            <w:tcBorders>
              <w:top w:val="none" w:color="000000" w:sz="4" w:space="0"/>
              <w:left w:val="none" w:color="000000" w:sz="4" w:space="0"/>
              <w:bottom w:val="single" w:color="000000" w:sz="8" w:space="0"/>
              <w:right w:val="single" w:color="000000" w:sz="8" w:space="0"/>
            </w:tcBorders>
            <w:tcW w:w="3831" w:type="pct"/>
            <w:vAlign w:val="center"/>
            <w:textDirection w:val="lrTb"/>
            <w:noWrap/>
          </w:tcPr>
          <w:p>
            <w:pPr>
              <w:rPr>
                <w:rFonts w:hint="eastAsia"/>
                <w:szCs w:val="21"/>
              </w:rPr>
            </w:pPr>
            <w:r>
              <w:rPr>
                <w:rFonts w:hint="eastAsia"/>
                <w:szCs w:val="21"/>
              </w:rPr>
              <w:t xml:space="preserve">1、售后服务方案（3分）。售后服务方案应涵盖以下5项内容：①数据成果交付后的技术咨询服务（明确响应时限）；②调查数据更新与维护服务（明确服务期限，）；③成果使用培训服务（明确培训时长、培训形式、培训对象）；④售后服务团队配置；⑤售后服务承诺的具体内容（如免费质保期限、服务范围边界等）。</w:t>
            </w:r>
            <w:r/>
          </w:p>
          <w:p>
            <w:pPr>
              <w:ind w:firstLine="210"/>
              <w:rPr>
                <w:rFonts w:hint="eastAsia"/>
                <w:szCs w:val="21"/>
              </w:rPr>
            </w:pPr>
            <w:r>
              <w:rPr>
                <w:rFonts w:hint="eastAsia"/>
                <w:szCs w:val="21"/>
              </w:rPr>
              <w:t xml:space="preserve">(1)5项内容全部具备，且响应时限、服务期限、人员配置数量等关键参数明确具体。得</w:t>
            </w:r>
            <w:r>
              <w:rPr>
                <w:rFonts w:hint="eastAsia"/>
                <w:szCs w:val="21"/>
                <w:lang w:val="en-US" w:eastAsia="zh-CN"/>
              </w:rPr>
              <w:t xml:space="preserve">3</w:t>
            </w:r>
            <w:r>
              <w:rPr>
                <w:rFonts w:hint="eastAsia"/>
                <w:szCs w:val="21"/>
              </w:rPr>
              <w:t xml:space="preserve">分。</w:t>
            </w:r>
            <w:r/>
          </w:p>
          <w:p>
            <w:pPr>
              <w:rPr>
                <w:rFonts w:hint="eastAsia"/>
                <w:szCs w:val="21"/>
              </w:rPr>
            </w:pPr>
            <w:r>
              <w:rPr>
                <w:rFonts w:hint="eastAsia"/>
                <w:szCs w:val="21"/>
              </w:rPr>
              <w:t xml:space="preserve">（2）具备3-4项内容，关键参数基本明确。得</w:t>
            </w:r>
            <w:r>
              <w:rPr>
                <w:rFonts w:hint="eastAsia"/>
                <w:szCs w:val="21"/>
                <w:lang w:val="en-US" w:eastAsia="zh-CN"/>
              </w:rPr>
              <w:t xml:space="preserve">2</w:t>
            </w:r>
            <w:r>
              <w:rPr>
                <w:rFonts w:hint="eastAsia"/>
                <w:szCs w:val="21"/>
              </w:rPr>
              <w:t xml:space="preserve">分。</w:t>
            </w:r>
            <w:r/>
          </w:p>
          <w:p>
            <w:pPr>
              <w:rPr>
                <w:rFonts w:hint="eastAsia"/>
                <w:szCs w:val="21"/>
              </w:rPr>
            </w:pPr>
            <w:r>
              <w:rPr>
                <w:rFonts w:hint="eastAsia"/>
                <w:szCs w:val="21"/>
              </w:rPr>
              <w:t xml:space="preserve">（3）具备1-2项内容。得1分。</w:t>
            </w:r>
            <w:r/>
          </w:p>
          <w:p>
            <w:pPr>
              <w:rPr>
                <w:rFonts w:hint="eastAsia"/>
                <w:szCs w:val="21"/>
              </w:rPr>
            </w:pPr>
            <w:r>
              <w:rPr>
                <w:rFonts w:hint="eastAsia"/>
                <w:szCs w:val="21"/>
              </w:rPr>
              <w:t xml:space="preserve">（4）未提供相关内容，或内容与本项目需求无关。不得分。</w:t>
            </w:r>
            <w:r/>
          </w:p>
          <w:p>
            <w:pPr>
              <w:rPr>
                <w:rFonts w:hint="eastAsia"/>
                <w:szCs w:val="21"/>
              </w:rPr>
            </w:pPr>
            <w:r>
              <w:rPr>
                <w:rFonts w:hint="eastAsia"/>
                <w:szCs w:val="21"/>
              </w:rPr>
              <w:t xml:space="preserve">2、应急保障措施方案（2分）。应急保障措施方案应涵盖以下4项内容：①突发环境事件（如极端天气导致野外调查中断）应急响应预案（明确启动条件和具体应对步骤）；②关键人员变动（如项目负责人因突发情况无法继续参与项目）应对方案（明确备选负责人及能力资质）；③仪器设备故障应急处理方案（明确备用设备清单及调配流程）；④数据安全备份与恢复方案（明确备份频率、存储方式和恢复流程）。</w:t>
            </w:r>
            <w:r/>
          </w:p>
          <w:p>
            <w:pPr>
              <w:rPr>
                <w:rFonts w:hint="eastAsia"/>
                <w:szCs w:val="21"/>
              </w:rPr>
            </w:pPr>
            <w:r>
              <w:rPr>
                <w:rFonts w:hint="eastAsia"/>
                <w:szCs w:val="21"/>
              </w:rPr>
              <w:t xml:space="preserve">（1）4项内容全部具备，且每项措施均包含具体的行动步骤、责任人和执行流程。得2分。</w:t>
            </w:r>
            <w:r/>
          </w:p>
          <w:p>
            <w:pPr>
              <w:rPr>
                <w:rFonts w:hint="eastAsia"/>
                <w:szCs w:val="21"/>
              </w:rPr>
            </w:pPr>
            <w:r>
              <w:rPr>
                <w:rFonts w:hint="eastAsia"/>
                <w:szCs w:val="21"/>
              </w:rPr>
              <w:t xml:space="preserve">（2）具备2-3项内容，措施基本具有可操作性但部分内容不够具体。得1分。</w:t>
            </w:r>
            <w:r/>
          </w:p>
          <w:p>
            <w:pPr>
              <w:rPr>
                <w:rFonts w:hint="eastAsia"/>
                <w:szCs w:val="21"/>
              </w:rPr>
            </w:pPr>
            <w:r>
              <w:rPr>
                <w:rFonts w:hint="eastAsia"/>
                <w:szCs w:val="21"/>
              </w:rPr>
              <w:t xml:space="preserve">（3）具备不足2项内容，或未提供相关内容。不得分。</w:t>
            </w:r>
            <w:r/>
          </w:p>
          <w:p>
            <w:pPr>
              <w:widowControl/>
              <w:rPr>
                <w:rFonts w:hint="eastAsia" w:ascii="宋体" w:hAnsi="宋体" w:eastAsia="宋体"/>
                <w:sz w:val="22"/>
                <w14:ligatures w14:val="none"/>
              </w:rPr>
            </w:pPr>
            <w:r>
              <w:rPr>
                <w:rFonts w:hint="eastAsia" w:ascii="宋体" w:hAnsi="宋体" w:eastAsia="宋体"/>
                <w:sz w:val="22"/>
                <w14:ligatures w14:val="none"/>
              </w:rPr>
            </w:r>
            <w:r/>
          </w:p>
        </w:tc>
        <w:tc>
          <w:tcPr>
            <w:tcBorders>
              <w:top w:val="none" w:color="000000" w:sz="4" w:space="0"/>
              <w:left w:val="none" w:color="000000" w:sz="4" w:space="0"/>
              <w:bottom w:val="single" w:color="000000" w:sz="8" w:space="0"/>
              <w:right w:val="single" w:color="000000" w:sz="8" w:space="0"/>
            </w:tcBorders>
            <w:tcW w:w="405" w:type="pct"/>
            <w:vAlign w:val="center"/>
            <w:textDirection w:val="lrTb"/>
            <w:noWrap/>
          </w:tcPr>
          <w:p>
            <w:pPr>
              <w:jc w:val="center"/>
              <w:widowControl/>
              <w:rPr>
                <w:rFonts w:ascii="Times New Roman" w:hAnsi="Times New Roman" w:eastAsia="宋体" w:cs="Times New Roman"/>
                <w:sz w:val="22"/>
                <w14:ligatures w14:val="none"/>
              </w:rPr>
            </w:pPr>
            <w:r>
              <w:rPr>
                <w:rFonts w:ascii="Times New Roman" w:hAnsi="Times New Roman" w:eastAsia="宋体" w:cs="Times New Roman"/>
                <w:sz w:val="22"/>
                <w14:ligatures w14:val="none"/>
              </w:rPr>
              <w:t xml:space="preserve">5</w:t>
            </w:r>
            <w:r/>
          </w:p>
        </w:tc>
      </w:tr>
    </w:tbl>
    <w:p>
      <w:pPr>
        <w:pStyle w:val="748"/>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ind w:firstLine="482"/>
        <w:spacing w:before="120" w:beforeAutospacing="0" w:after="12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keepNext/>
        <w:rPr>
          <w:rFonts w:ascii="黑体" w:eastAsia="黑体"/>
          <w:bCs/>
          <w:color w:val="auto"/>
          <w:sz w:val="44"/>
          <w:szCs w:val="28"/>
          <w:highlight w:val="none"/>
        </w:rPr>
        <w:outlineLvl w:val="0"/>
      </w:pPr>
      <w:r>
        <w:rPr>
          <w:rFonts w:ascii="黑体" w:eastAsia="黑体"/>
          <w:bCs/>
          <w:color w:val="auto"/>
          <w:sz w:val="44"/>
          <w:szCs w:val="28"/>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第六章  投标文件格式 </w:t>
      </w:r>
      <w:r/>
    </w:p>
    <w:p>
      <w:pPr>
        <w:jc w:val="center"/>
        <w:rPr>
          <w:rFonts w:hint="eastAsia" w:ascii="宋体" w:hAnsi="宋体"/>
          <w:b/>
          <w:color w:val="auto"/>
          <w:sz w:val="72"/>
          <w:szCs w:val="21"/>
          <w:highlight w:val="none"/>
        </w:rPr>
      </w:pPr>
      <w:r/>
      <w:bookmarkStart w:id="182" w:name="_Hlt26955039"/>
      <w:r/>
      <w:bookmarkEnd w:id="182"/>
      <w:r/>
      <w:bookmarkStart w:id="183" w:name="_Hlt26671244"/>
      <w:r/>
      <w:bookmarkEnd w:id="183"/>
      <w:r/>
      <w:bookmarkStart w:id="184" w:name="_Toc120614282"/>
      <w:r/>
      <w:bookmarkStart w:id="185" w:name="_Toc49090576"/>
      <w:r/>
      <w:bookmarkStart w:id="186"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48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r/>
    </w:p>
    <w:p>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jc w:val="left"/>
        <w:widowControl/>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keepLines w:val="0"/>
        <w:keepNext w:val="0"/>
        <w:pageBreakBefore w:val="0"/>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numPr>
          <w:ilvl w:val="0"/>
          <w:numId w:val="9"/>
        </w:num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二、</w:t>
      </w:r>
      <w:r>
        <w:rPr>
          <w:rFonts w:hint="eastAsia" w:ascii="宋体" w:hAnsi="宋体" w:cs="宋体"/>
          <w:i/>
          <w:iCs/>
          <w:color w:val="auto"/>
          <w:sz w:val="24"/>
          <w:szCs w:val="24"/>
          <w:highlight w:val="none"/>
          <w:u w:val="single"/>
          <w:lang w:eastAsia="zh-CN"/>
        </w:rPr>
        <w:t xml:space="preserve">上一年度（2025年度）的财务状况报告</w:t>
      </w:r>
      <w:r>
        <w:rPr>
          <w:rFonts w:hint="eastAsia" w:ascii="宋体" w:hAnsi="宋体" w:cs="宋体"/>
          <w:i/>
          <w:iCs/>
          <w:color w:val="auto"/>
          <w:sz w:val="24"/>
          <w:szCs w:val="24"/>
          <w:highlight w:val="none"/>
          <w:u w:val="single"/>
        </w:rPr>
        <w:t xml:space="preserve">（财务报告至少应包括资产负债表、利润表</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距投标截止之日止，成立不满一年的</w:t>
      </w:r>
      <w:r>
        <w:rPr>
          <w:rFonts w:hint="eastAsia" w:ascii="宋体" w:hAnsi="宋体" w:cs="宋体"/>
          <w:i/>
          <w:iCs/>
          <w:color w:val="auto"/>
          <w:sz w:val="24"/>
          <w:szCs w:val="24"/>
          <w:highlight w:val="none"/>
          <w:u w:val="single"/>
          <w:lang w:eastAsia="zh-CN"/>
        </w:rPr>
        <w:t xml:space="preserve">投标人</w:t>
      </w:r>
      <w:r>
        <w:rPr>
          <w:rFonts w:hint="eastAsia" w:ascii="宋体" w:hAnsi="宋体" w:cs="宋体"/>
          <w:i/>
          <w:iCs/>
          <w:color w:val="auto"/>
          <w:sz w:val="24"/>
          <w:szCs w:val="24"/>
          <w:highlight w:val="none"/>
          <w:u w:val="single"/>
        </w:rPr>
        <w:t xml:space="preserve">无需提供）；</w:t>
      </w:r>
      <w:r/>
    </w:p>
    <w:p>
      <w:pPr>
        <w:ind w:firstLine="480"/>
        <w:keepLines w:val="0"/>
        <w:keepNext w:val="0"/>
        <w:pageBreakBefore w:val="0"/>
        <w:spacing w:line="460" w:lineRule="exact"/>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 xml:space="preserve">三、具备履行合同所必需的设备和专业技术能力的书面声明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五、参加政府采购活动前 3 年内在经营活动中没有重大违法记录的书面声明</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六</w:t>
      </w:r>
      <w:r>
        <w:rPr>
          <w:rFonts w:hint="eastAsia" w:ascii="宋体" w:hAnsi="宋体" w:cs="宋体"/>
          <w:i/>
          <w:iCs/>
          <w:color w:val="auto"/>
          <w:sz w:val="24"/>
          <w:szCs w:val="24"/>
          <w:highlight w:val="none"/>
          <w:u w:val="single"/>
        </w:rPr>
        <w:t xml:space="preserve">、特定资格要求的证明文件（如果本项目设置特定资格要求，则需要提供）</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七</w:t>
      </w:r>
      <w:r>
        <w:rPr>
          <w:rFonts w:hint="eastAsia" w:ascii="宋体" w:hAnsi="宋体" w:cs="宋体"/>
          <w:i/>
          <w:iCs/>
          <w:color w:val="auto"/>
          <w:sz w:val="24"/>
          <w:szCs w:val="24"/>
          <w:highlight w:val="none"/>
          <w:u w:val="single"/>
        </w:rPr>
        <w:t xml:space="preserve">、法人授权书</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八</w:t>
      </w:r>
      <w:r>
        <w:rPr>
          <w:rFonts w:hint="eastAsia" w:ascii="宋体" w:hAnsi="宋体" w:cs="宋体"/>
          <w:i/>
          <w:iCs/>
          <w:color w:val="auto"/>
          <w:sz w:val="24"/>
          <w:szCs w:val="24"/>
          <w:highlight w:val="none"/>
          <w:u w:val="single"/>
        </w:rPr>
        <w:t xml:space="preserve">、投标函</w:t>
      </w:r>
      <w:r/>
    </w:p>
    <w:p>
      <w:pPr>
        <w:ind w:firstLine="480"/>
        <w:keepLines w:val="0"/>
        <w:keepNext w:val="0"/>
        <w:pageBreakBefore w:val="0"/>
        <w:spacing w:line="460" w:lineRule="exac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九</w:t>
      </w:r>
      <w:r>
        <w:rPr>
          <w:rFonts w:hint="eastAsia" w:ascii="宋体" w:hAnsi="宋体" w:cs="宋体"/>
          <w:i/>
          <w:iCs/>
          <w:color w:val="auto"/>
          <w:sz w:val="24"/>
          <w:szCs w:val="24"/>
          <w:highlight w:val="none"/>
          <w:u w:val="single"/>
        </w:rPr>
        <w:t xml:space="preserve">、中小企业声明函（残疾人福利性单位声明函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 xml:space="preserve">监狱企业证明函）</w:t>
      </w:r>
      <w:r/>
    </w:p>
    <w:p>
      <w:pPr>
        <w:pStyle w:val="74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十、投标分项报价表</w:t>
      </w:r>
      <w:r/>
    </w:p>
    <w:p>
      <w:pPr>
        <w:pStyle w:val="74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w:t>
      </w:r>
      <w:r>
        <w:rPr>
          <w:rFonts w:hint="eastAsia" w:cs="宋体"/>
          <w:i/>
          <w:iCs/>
          <w:color w:val="auto"/>
          <w:sz w:val="24"/>
          <w:szCs w:val="24"/>
          <w:highlight w:val="none"/>
          <w:u w:val="single"/>
          <w:lang w:val="en-US" w:eastAsia="zh-CN" w:bidi="ar-SA"/>
        </w:rPr>
        <w:t xml:space="preserve">一</w:t>
      </w:r>
      <w:r>
        <w:rPr>
          <w:rFonts w:hint="eastAsia" w:ascii="宋体" w:hAnsi="宋体" w:eastAsia="宋体" w:cs="宋体"/>
          <w:i/>
          <w:iCs/>
          <w:color w:val="auto"/>
          <w:sz w:val="24"/>
          <w:szCs w:val="24"/>
          <w:highlight w:val="none"/>
          <w:u w:val="single"/>
          <w:lang w:val="en-US" w:eastAsia="zh-CN" w:bidi="ar-SA"/>
        </w:rPr>
        <w:t xml:space="preserve">、技术要求响应及偏离表</w:t>
      </w:r>
      <w:r/>
    </w:p>
    <w:p>
      <w:pPr>
        <w:pStyle w:val="748"/>
        <w:ind w:firstLine="480"/>
        <w:jc w:val="both"/>
        <w:spacing w:beforeAutospacing="0" w:afterAutospacing="0" w:line="0" w:lineRule="atLeas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w:t>
      </w:r>
      <w:r>
        <w:rPr>
          <w:rFonts w:hint="eastAsia" w:cs="宋体"/>
          <w:i/>
          <w:iCs/>
          <w:color w:val="auto"/>
          <w:sz w:val="24"/>
          <w:szCs w:val="24"/>
          <w:highlight w:val="none"/>
          <w:u w:val="single"/>
          <w:lang w:val="en-US" w:eastAsia="zh-CN" w:bidi="ar-SA"/>
        </w:rPr>
        <w:t xml:space="preserve">二</w:t>
      </w:r>
      <w:r>
        <w:rPr>
          <w:rFonts w:hint="eastAsia" w:ascii="宋体" w:hAnsi="宋体" w:eastAsia="宋体" w:cs="宋体"/>
          <w:i/>
          <w:iCs/>
          <w:color w:val="auto"/>
          <w:sz w:val="24"/>
          <w:szCs w:val="24"/>
          <w:highlight w:val="none"/>
          <w:u w:val="single"/>
          <w:lang w:val="en-US" w:eastAsia="zh-CN" w:bidi="ar-SA"/>
        </w:rPr>
        <w:t xml:space="preserve">、商务要求响应及偏离表</w:t>
      </w:r>
      <w:r/>
    </w:p>
    <w:p>
      <w:pPr>
        <w:pStyle w:val="748"/>
        <w:ind w:left="480"/>
        <w:jc w:val="both"/>
        <w:spacing w:beforeAutospacing="0" w:afterAutospacing="0"/>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w:t>
      </w:r>
      <w:r>
        <w:rPr>
          <w:rFonts w:hint="eastAsia" w:cs="宋体"/>
          <w:i/>
          <w:iCs/>
          <w:color w:val="auto"/>
          <w:sz w:val="24"/>
          <w:szCs w:val="24"/>
          <w:highlight w:val="none"/>
          <w:u w:val="single"/>
          <w:lang w:val="en-US" w:eastAsia="zh-CN" w:bidi="ar-SA"/>
        </w:rPr>
        <w:t xml:space="preserve">三</w:t>
      </w:r>
      <w:r>
        <w:rPr>
          <w:rFonts w:hint="eastAsia" w:ascii="宋体" w:hAnsi="宋体" w:eastAsia="宋体" w:cs="宋体"/>
          <w:i/>
          <w:iCs/>
          <w:color w:val="auto"/>
          <w:sz w:val="24"/>
          <w:szCs w:val="24"/>
          <w:highlight w:val="none"/>
          <w:u w:val="single"/>
          <w:lang w:val="en-US" w:eastAsia="zh-CN" w:bidi="ar-SA"/>
        </w:rPr>
        <w:t xml:space="preserve">、开标一览表</w:t>
      </w:r>
      <w:r/>
    </w:p>
    <w:p>
      <w:pPr>
        <w:ind w:firstLine="480"/>
        <w:spacing w:before="50" w:after="50"/>
        <w:widowControl/>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w:t>
      </w:r>
      <w:r>
        <w:rPr>
          <w:rFonts w:hint="eastAsia" w:ascii="宋体" w:hAnsi="宋体" w:cs="宋体"/>
          <w:i/>
          <w:iCs/>
          <w:color w:val="auto"/>
          <w:sz w:val="24"/>
          <w:szCs w:val="24"/>
          <w:highlight w:val="none"/>
          <w:u w:val="single"/>
          <w:lang w:val="en-US" w:eastAsia="zh-CN" w:bidi="ar-SA"/>
        </w:rPr>
        <w:t xml:space="preserve">四</w:t>
      </w:r>
      <w:r>
        <w:rPr>
          <w:rFonts w:hint="eastAsia" w:ascii="宋体" w:hAnsi="宋体" w:eastAsia="宋体" w:cs="宋体"/>
          <w:i/>
          <w:iCs/>
          <w:color w:val="auto"/>
          <w:sz w:val="24"/>
          <w:szCs w:val="24"/>
          <w:highlight w:val="none"/>
          <w:u w:val="single"/>
          <w:lang w:val="en-US" w:eastAsia="zh-CN" w:bidi="ar-SA"/>
        </w:rPr>
        <w:t xml:space="preserve">、技术方案、服务承诺、培训承诺等</w:t>
      </w:r>
      <w:r/>
    </w:p>
    <w:p>
      <w:pPr>
        <w:pStyle w:val="748"/>
        <w:ind w:firstLine="480"/>
        <w:jc w:val="both"/>
        <w:spacing w:beforeAutospacing="0" w:afterAutospacing="0" w:line="360" w:lineRule="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w:t>
      </w:r>
      <w:r>
        <w:rPr>
          <w:rFonts w:hint="eastAsia" w:cs="宋体"/>
          <w:i/>
          <w:iCs/>
          <w:color w:val="auto"/>
          <w:sz w:val="24"/>
          <w:szCs w:val="24"/>
          <w:highlight w:val="none"/>
          <w:u w:val="single"/>
          <w:lang w:val="en-US" w:eastAsia="zh-CN" w:bidi="ar-SA"/>
        </w:rPr>
        <w:t xml:space="preserve">五</w:t>
      </w:r>
      <w:r>
        <w:rPr>
          <w:rFonts w:hint="eastAsia" w:ascii="宋体" w:hAnsi="宋体" w:eastAsia="宋体" w:cs="宋体"/>
          <w:i/>
          <w:iCs/>
          <w:color w:val="auto"/>
          <w:sz w:val="24"/>
          <w:szCs w:val="24"/>
          <w:highlight w:val="none"/>
          <w:u w:val="single"/>
          <w:lang w:val="en-US" w:eastAsia="zh-CN" w:bidi="ar-SA"/>
        </w:rPr>
        <w:t xml:space="preserve">、盐城市政府采购事前信用承诺书</w:t>
      </w:r>
      <w:r/>
    </w:p>
    <w:p>
      <w:pPr>
        <w:pStyle w:val="782"/>
        <w:rPr>
          <w:color w:val="auto"/>
          <w:highlight w:val="none"/>
        </w:rPr>
      </w:pPr>
      <w:r>
        <w:rPr>
          <w:color w:val="auto"/>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753"/>
        <w:ind w:left="0" w:firstLine="0"/>
        <w:rPr>
          <w:rFonts w:hint="eastAsia"/>
          <w:color w:val="auto"/>
          <w:sz w:val="24"/>
          <w:szCs w:val="21"/>
          <w:highlight w:val="none"/>
        </w:rPr>
      </w:pPr>
      <w:r>
        <w:rPr>
          <w:rFonts w:hint="eastAsia"/>
          <w:color w:val="auto"/>
          <w:sz w:val="24"/>
          <w:szCs w:val="21"/>
          <w:highlight w:val="none"/>
        </w:rPr>
      </w:r>
      <w:r/>
    </w:p>
    <w:p>
      <w:pPr>
        <w:rPr>
          <w:color w:val="auto"/>
          <w:highlight w:val="none"/>
        </w:rPr>
      </w:pPr>
      <w:r>
        <w:rPr>
          <w:color w:val="auto"/>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hAnsi="宋体" w:eastAsia="宋体"/>
          <w:b/>
          <w:bCs/>
          <w:lang w:val="zh-CN" w:eastAsia="zh-CN"/>
        </w:rPr>
      </w:pPr>
      <w:r>
        <w:rPr>
          <w:rFonts w:hint="eastAsia" w:ascii="宋体" w:hAnsi="宋体" w:cs="宋体"/>
          <w:b/>
          <w:color w:val="auto"/>
          <w:sz w:val="32"/>
          <w:szCs w:val="32"/>
          <w:highlight w:val="none"/>
        </w:rPr>
        <w:t xml:space="preserve">一、</w:t>
      </w:r>
      <w:r>
        <w:rPr>
          <w:rFonts w:hint="eastAsia" w:ascii="宋体" w:hAnsi="宋体" w:cs="宋体"/>
          <w:b/>
          <w:color w:val="auto"/>
          <w:sz w:val="30"/>
          <w:szCs w:val="30"/>
          <w:highlight w:val="none"/>
        </w:rPr>
        <w:t xml:space="preserve">法人或者其他组织的营业执照等证明文件，自然人的身份证明</w:t>
      </w:r>
      <w:r>
        <w:rPr>
          <w:rFonts w:hint="eastAsia" w:ascii="宋体" w:hAnsi="宋体" w:cs="宋体"/>
          <w:b/>
          <w:color w:val="auto"/>
          <w:sz w:val="30"/>
          <w:szCs w:val="30"/>
          <w:highlight w:val="none"/>
          <w:lang w:eastAsia="zh-CN"/>
        </w:rPr>
        <w:t xml:space="preserve">；</w:t>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ind w:firstLine="632"/>
        <w:spacing w:line="480" w:lineRule="exact"/>
        <w:rPr>
          <w:rFonts w:hAnsi="宋体" w:eastAsia="宋体"/>
          <w:b/>
          <w:bCs/>
          <w:lang w:val="zh-CN"/>
        </w:rPr>
      </w:pPr>
      <w:r>
        <w:rPr>
          <w:rFonts w:hAnsi="宋体" w:eastAsia="宋体"/>
          <w:b/>
          <w:bCs/>
          <w:lang w:val="zh-CN"/>
        </w:r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54"/>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11"/>
        <w:gridCol w:w="4252"/>
      </w:tblGrid>
      <w:tr>
        <w:trPr>
          <w:trHeight w:val="2905"/>
        </w:trPr>
        <w:tc>
          <w:tcPr>
            <w:tcW w:w="4111"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eastAsia="宋体" w:cs="宋体"/>
                <w:b/>
              </w:rPr>
            </w:pPr>
            <w:r>
              <w:rPr>
                <w:rFonts w:hAnsi="宋体" w:eastAsia="宋体" w:cs="宋体"/>
                <w:b/>
              </w:rPr>
            </w:r>
            <w:r/>
          </w:p>
          <w:p>
            <w:pPr>
              <w:jc w:val="center"/>
              <w:spacing w:line="400" w:lineRule="exact"/>
              <w:rPr>
                <w:rFonts w:hAnsi="宋体" w:eastAsia="宋体" w:cs="宋体"/>
                <w:b/>
              </w:rPr>
            </w:pPr>
            <w:r>
              <w:rPr>
                <w:rFonts w:hAnsi="宋体" w:eastAsia="宋体" w:cs="宋体"/>
                <w:b/>
              </w:rPr>
            </w:r>
            <w:r/>
          </w:p>
          <w:p>
            <w:pPr>
              <w:jc w:val="center"/>
              <w:rPr>
                <w:rFonts w:hAnsi="宋体" w:eastAsia="宋体" w:cs="黑体"/>
                <w:b/>
                <w:szCs w:val="28"/>
              </w:rPr>
            </w:pPr>
            <w:r>
              <w:rPr>
                <w:rFonts w:hint="eastAsia" w:ascii="宋体" w:hAnsi="宋体" w:cs="宋体"/>
                <w:b/>
                <w:iCs/>
                <w:sz w:val="28"/>
                <w:szCs w:val="36"/>
                <w:lang w:val="zh-CN"/>
              </w:rPr>
              <w:t xml:space="preserve">反面</w:t>
            </w:r>
            <w:r/>
          </w:p>
        </w:tc>
      </w:tr>
    </w:tbl>
    <w:p>
      <w:pPr>
        <w:pStyle w:val="753"/>
        <w:rPr>
          <w:rFonts w:hint="eastAsia" w:cs="宋体"/>
          <w:bCs/>
          <w:iCs/>
          <w:color w:val="auto"/>
          <w:sz w:val="28"/>
          <w:szCs w:val="21"/>
          <w:highlight w:val="none"/>
        </w:rPr>
      </w:pPr>
      <w:r>
        <w:rPr>
          <w:rFonts w:hint="eastAsia" w:cs="宋体"/>
          <w:bCs/>
          <w:iCs/>
          <w:color w:val="auto"/>
          <w:sz w:val="28"/>
          <w:szCs w:val="21"/>
          <w:highlight w:val="none"/>
        </w:rPr>
      </w:r>
      <w:r/>
    </w:p>
    <w:p>
      <w:pPr>
        <w:pStyle w:val="786"/>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pStyle w:val="786"/>
        <w:rPr>
          <w:rFonts w:hint="eastAsia" w:ascii="宋体" w:hAnsi="宋体" w:eastAsia="宋体"/>
          <w:bCs/>
          <w:iCs/>
          <w:color w:val="auto"/>
          <w:sz w:val="28"/>
          <w:szCs w:val="21"/>
          <w:highlight w:val="none"/>
        </w:rPr>
      </w:pPr>
      <w:r>
        <w:rPr>
          <w:rFonts w:hint="eastAsia" w:ascii="宋体" w:hAnsi="宋体" w:eastAsia="宋体"/>
          <w:bCs/>
          <w:iCs/>
          <w:color w:val="auto"/>
          <w:sz w:val="28"/>
          <w:szCs w:val="21"/>
          <w:highlight w:val="none"/>
        </w:rPr>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二、</w:t>
      </w:r>
      <w:r>
        <w:rPr>
          <w:rFonts w:hint="eastAsia" w:ascii="宋体" w:hAnsi="宋体" w:cs="宋体"/>
          <w:b/>
          <w:color w:val="auto"/>
          <w:sz w:val="32"/>
          <w:szCs w:val="32"/>
          <w:highlight w:val="none"/>
          <w:lang w:eastAsia="zh-CN"/>
        </w:rPr>
        <w:t xml:space="preserve">上一年度（2025年度）的财务状况报告</w:t>
      </w:r>
      <w:r/>
    </w:p>
    <w:p>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 xml:space="preserve">财务报告至少应包括资产负债表、利润表</w:t>
      </w:r>
      <w:r>
        <w:rPr>
          <w:rFonts w:hint="eastAsia" w:ascii="宋体" w:hAnsi="宋体" w:cs="宋体"/>
          <w:iCs/>
          <w:color w:val="auto"/>
          <w:sz w:val="32"/>
          <w:szCs w:val="32"/>
          <w:highlight w:val="none"/>
          <w:lang w:eastAsia="zh-CN"/>
        </w:rPr>
        <w:t xml:space="preserve">，</w:t>
      </w:r>
      <w:r>
        <w:rPr>
          <w:rFonts w:hint="eastAsia" w:ascii="宋体" w:hAnsi="宋体" w:cs="宋体"/>
          <w:iCs/>
          <w:color w:val="auto"/>
          <w:sz w:val="32"/>
          <w:szCs w:val="32"/>
          <w:highlight w:val="none"/>
        </w:rPr>
        <w:t xml:space="preserve">距投标截止之日止，成立不满一年的</w:t>
      </w:r>
      <w:r>
        <w:rPr>
          <w:rFonts w:hint="eastAsia" w:ascii="宋体" w:hAnsi="宋体" w:cs="宋体"/>
          <w:iCs/>
          <w:color w:val="auto"/>
          <w:sz w:val="32"/>
          <w:szCs w:val="32"/>
          <w:highlight w:val="none"/>
          <w:lang w:eastAsia="zh-CN"/>
        </w:rPr>
        <w:t xml:space="preserve">投标人</w:t>
      </w:r>
      <w:r>
        <w:rPr>
          <w:rFonts w:hint="eastAsia" w:ascii="宋体" w:hAnsi="宋体" w:cs="宋体"/>
          <w:iCs/>
          <w:color w:val="auto"/>
          <w:sz w:val="32"/>
          <w:szCs w:val="32"/>
          <w:highlight w:val="none"/>
        </w:rPr>
        <w:t xml:space="preserve">无需提供；</w:t>
      </w:r>
      <w:r/>
    </w:p>
    <w:p>
      <w:pPr>
        <w:rPr>
          <w:rFonts w:hint="eastAsia" w:ascii="宋体" w:hAnsi="宋体" w:cs="宋体"/>
          <w:iCs/>
          <w:color w:val="auto"/>
          <w:sz w:val="32"/>
          <w:szCs w:val="32"/>
          <w:highlight w:val="none"/>
        </w:rPr>
      </w:pPr>
      <w:r>
        <w:rPr>
          <w:rFonts w:hint="eastAsia" w:ascii="宋体" w:hAnsi="宋体" w:cs="宋体"/>
          <w:iCs/>
          <w:color w:val="auto"/>
          <w:sz w:val="32"/>
          <w:szCs w:val="32"/>
          <w:highlight w:val="non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82"/>
        <w:rPr>
          <w:color w:val="auto"/>
          <w:highlight w:val="none"/>
        </w:rPr>
      </w:pPr>
      <w:r>
        <w:rPr>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三、具备履行合同所必需的设备和专业技术能力的书面声明</w:t>
      </w:r>
      <w:r/>
    </w:p>
    <w:p>
      <w:pPr>
        <w:ind w:firstLine="480"/>
        <w:spacing w:line="360" w:lineRule="auto"/>
        <w:rPr>
          <w:rFonts w:hint="eastAsia" w:ascii="宋体" w:hAnsi="宋体" w:cs="宋体"/>
          <w:color w:val="auto"/>
          <w:sz w:val="28"/>
          <w:szCs w:val="24"/>
          <w:highlight w:val="none"/>
        </w:rPr>
      </w:pPr>
      <w:r>
        <w:rPr>
          <w:rFonts w:hint="eastAsia" w:ascii="宋体" w:hAnsi="宋体" w:cs="宋体"/>
          <w:bCs/>
          <w:iCs/>
          <w:color w:val="auto"/>
          <w:sz w:val="28"/>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ind w:firstLine="480"/>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t xml:space="preserve">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 xml:space="preserve">。</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r/>
    </w:p>
    <w:p>
      <w:pPr>
        <w:jc w:val="right"/>
        <w:spacing w:line="360" w:lineRule="auto"/>
        <w:rPr>
          <w:rFonts w:hint="eastAsia" w:ascii="宋体" w:hAnsi="宋体"/>
          <w:color w:val="auto"/>
          <w:sz w:val="28"/>
          <w:szCs w:val="24"/>
          <w:highlight w:val="none"/>
          <w:u w:val="single"/>
        </w:rPr>
      </w:pPr>
      <w:r>
        <w:rPr>
          <w:rFonts w:hint="eastAsia" w:ascii="宋体" w:hAnsi="宋体"/>
          <w:color w:val="auto"/>
          <w:sz w:val="28"/>
          <w:szCs w:val="24"/>
          <w:highlight w:val="none"/>
        </w:rPr>
        <w:t xml:space="preserve">投标人全称：</w:t>
      </w:r>
      <w:r>
        <w:rPr>
          <w:rFonts w:hint="eastAsia" w:ascii="宋体" w:hAnsi="宋体"/>
          <w:color w:val="auto"/>
          <w:sz w:val="28"/>
          <w:szCs w:val="24"/>
          <w:highlight w:val="none"/>
          <w:u w:val="single"/>
        </w:rPr>
        <w:t xml:space="preserve">  （加盖CA电子签章或盖公章 ）</w:t>
      </w:r>
      <w:r/>
    </w:p>
    <w:p>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r/>
    </w:p>
    <w:p>
      <w:pPr>
        <w:pStyle w:val="782"/>
        <w:rPr>
          <w:color w:val="auto"/>
          <w:sz w:val="28"/>
          <w:highlight w:val="none"/>
          <w:u w:val="single"/>
        </w:rPr>
      </w:pPr>
      <w:r>
        <w:rPr>
          <w:color w:val="auto"/>
          <w:sz w:val="28"/>
          <w:highlight w:val="none"/>
          <w:u w:val="single"/>
        </w:rPr>
      </w:r>
      <w:r/>
    </w:p>
    <w:p>
      <w:pPr>
        <w:pStyle w:val="782"/>
        <w:rPr>
          <w:color w:val="auto"/>
          <w:sz w:val="28"/>
          <w:szCs w:val="28"/>
          <w:highlight w:val="none"/>
          <w:u w:val="single"/>
        </w:rPr>
      </w:pPr>
      <w:r>
        <w:rPr>
          <w:color w:val="auto"/>
          <w:sz w:val="28"/>
          <w:szCs w:val="28"/>
          <w:highlight w:val="none"/>
          <w:u w:val="single"/>
        </w:rPr>
      </w:r>
      <w:r/>
    </w:p>
    <w:p>
      <w:pPr>
        <w:pStyle w:val="782"/>
        <w:rPr>
          <w:color w:val="auto"/>
          <w:sz w:val="28"/>
          <w:szCs w:val="28"/>
          <w:highlight w:val="none"/>
          <w:u w:val="single"/>
        </w:rPr>
      </w:pPr>
      <w:r>
        <w:rPr>
          <w:color w:val="auto"/>
          <w:sz w:val="28"/>
          <w:szCs w:val="28"/>
          <w:highlight w:val="none"/>
          <w:u w:val="single"/>
        </w:rPr>
      </w:r>
      <w:r/>
    </w:p>
    <w:p>
      <w:pPr>
        <w:pStyle w:val="782"/>
        <w:rPr>
          <w:color w:val="auto"/>
          <w:sz w:val="28"/>
          <w:szCs w:val="28"/>
          <w:highlight w:val="none"/>
          <w:u w:val="single"/>
        </w:rPr>
      </w:pPr>
      <w:r>
        <w:rPr>
          <w:color w:val="auto"/>
          <w:sz w:val="28"/>
          <w:szCs w:val="28"/>
          <w:highlight w:val="none"/>
          <w:u w:val="single"/>
        </w:rPr>
      </w:r>
      <w:r/>
    </w:p>
    <w:p>
      <w:pPr>
        <w:pStyle w:val="782"/>
        <w:rPr>
          <w:color w:val="auto"/>
          <w:sz w:val="28"/>
          <w:szCs w:val="28"/>
          <w:highlight w:val="none"/>
          <w:u w:val="single"/>
        </w:rPr>
      </w:pPr>
      <w:r>
        <w:rPr>
          <w:color w:val="auto"/>
          <w:sz w:val="28"/>
          <w:szCs w:val="28"/>
          <w:highlight w:val="none"/>
          <w:u w:val="single"/>
        </w:rPr>
      </w:r>
      <w:r/>
    </w:p>
    <w:p>
      <w:pPr>
        <w:pStyle w:val="782"/>
        <w:rPr>
          <w:color w:val="auto"/>
          <w:sz w:val="28"/>
          <w:szCs w:val="28"/>
          <w:highlight w:val="none"/>
          <w:u w:val="single"/>
        </w:rPr>
      </w:pPr>
      <w:r>
        <w:rPr>
          <w:color w:val="auto"/>
          <w:sz w:val="28"/>
          <w:szCs w:val="28"/>
          <w:highlight w:val="none"/>
          <w:u w:val="singl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iCs/>
          <w:color w:val="auto"/>
          <w:sz w:val="32"/>
          <w:szCs w:val="32"/>
          <w:highlight w:val="none"/>
        </w:rPr>
      </w:pPr>
      <w:r>
        <w:rPr>
          <w:rFonts w:hint="eastAsia" w:ascii="宋体" w:hAnsi="宋体" w:cs="宋体"/>
          <w:b/>
          <w:color w:val="auto"/>
          <w:sz w:val="32"/>
          <w:szCs w:val="32"/>
          <w:highlight w:val="none"/>
        </w:rPr>
        <w:t xml:space="preserve">四、依法缴纳税收和社会保障资金的相关材料</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hint="eastAsia" w:ascii="宋体" w:hAnsi="宋体" w:cs="宋体"/>
          <w:b/>
          <w:iCs/>
          <w:color w:val="auto"/>
          <w:sz w:val="28"/>
          <w:szCs w:val="36"/>
          <w:highlight w:val="none"/>
        </w:rPr>
      </w:pPr>
      <w:r>
        <w:rPr>
          <w:rFonts w:hint="eastAsia" w:ascii="宋体" w:hAnsi="宋体" w:cs="宋体"/>
          <w:b/>
          <w:iCs/>
          <w:color w:val="auto"/>
          <w:sz w:val="28"/>
          <w:szCs w:val="36"/>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10"/>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w:t>
      </w:r>
      <w:r/>
    </w:p>
    <w:p>
      <w:pPr>
        <w:numPr>
          <w:ilvl w:val="0"/>
          <w:numId w:val="0"/>
        </w:numPr>
        <w:ind w:firstLine="964"/>
        <w:jc w:val="both"/>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3 年内在经营活动中没有重大违法记录的书面声明</w:t>
      </w:r>
      <w:r/>
    </w:p>
    <w:p>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 xml:space="preserve">声  明</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r>
      <w:r/>
    </w:p>
    <w:p>
      <w:pPr>
        <w:ind w:firstLine="480"/>
        <w:jc w:val="center"/>
        <w:spacing w:line="360" w:lineRule="auto"/>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r/>
    </w:p>
    <w:p>
      <w:pPr>
        <w:ind w:firstLine="480"/>
        <w:jc w:val="center"/>
        <w:spacing w:line="360" w:lineRule="auto"/>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r/>
    </w:p>
    <w:p>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r/>
    </w:p>
    <w:p>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4"/>
      <w:r/>
      <w:bookmarkEnd w:id="185"/>
      <w:r/>
      <w:bookmarkEnd w:id="186"/>
      <w:r/>
      <w:r/>
    </w:p>
    <w:p>
      <w:pPr>
        <w:pStyle w:val="748"/>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pStyle w:val="748"/>
        <w:jc w:val="center"/>
        <w:spacing w:beforeAutospacing="0" w:afterAutospacing="0"/>
        <w:rPr>
          <w:rFonts w:ascii="宋体" w:hAnsi="宋体" w:eastAsia="宋体" w:cs="宋体"/>
          <w:b/>
          <w:bCs/>
          <w:i/>
          <w:iCs/>
          <w:sz w:val="28"/>
          <w:szCs w:val="28"/>
        </w:rPr>
      </w:pPr>
      <w:r>
        <w:rPr>
          <w:rFonts w:ascii="宋体" w:hAnsi="宋体" w:eastAsia="宋体" w:cs="宋体"/>
          <w:b/>
          <w:bCs/>
          <w:i/>
          <w:iCs/>
          <w:sz w:val="28"/>
          <w:szCs w:val="28"/>
        </w:rPr>
      </w:r>
      <w:r/>
    </w:p>
    <w:p>
      <w:pPr>
        <w:jc w:val="center"/>
        <w:rPr>
          <w:rFonts w:hint="eastAsia" w:ascii="宋体" w:hAnsi="宋体" w:cs="宋体"/>
          <w:bCs/>
          <w:iCs/>
          <w:color w:val="auto"/>
          <w:sz w:val="28"/>
          <w:szCs w:val="21"/>
          <w:highlight w:val="none"/>
          <w:lang w:eastAsia="zh-CN"/>
        </w:rPr>
      </w:pPr>
      <w:r>
        <w:rPr>
          <w:rFonts w:hint="eastAsia" w:ascii="宋体" w:hAnsi="宋体" w:cs="宋体"/>
          <w:b/>
          <w:bCs/>
          <w:i/>
          <w:iCs/>
          <w:sz w:val="28"/>
          <w:szCs w:val="28"/>
          <w:lang w:val="en-US" w:eastAsia="zh-CN"/>
        </w:rPr>
        <w:t xml:space="preserve">六</w:t>
      </w:r>
      <w:r>
        <w:rPr>
          <w:rFonts w:hint="eastAsia" w:ascii="宋体" w:hAnsi="宋体" w:eastAsia="宋体" w:cs="宋体"/>
          <w:b/>
          <w:bCs/>
          <w:i/>
          <w:iCs/>
          <w:sz w:val="28"/>
          <w:szCs w:val="28"/>
        </w:rPr>
        <w:t xml:space="preserve">、</w:t>
      </w:r>
      <w:r>
        <w:rPr>
          <w:rFonts w:hint="eastAsia" w:ascii="宋体" w:hAnsi="宋体" w:cs="宋体"/>
          <w:b/>
          <w:i/>
          <w:iCs/>
          <w:color w:val="auto"/>
          <w:sz w:val="32"/>
          <w:szCs w:val="32"/>
          <w:highlight w:val="none"/>
          <w:u w:val="single"/>
        </w:rPr>
        <w:t xml:space="preserve">特定资格要求的证明文件</w:t>
      </w:r>
      <w:r>
        <w:rPr>
          <w:rFonts w:hint="eastAsia" w:ascii="宋体" w:hAnsi="宋体" w:cs="宋体"/>
          <w:i/>
          <w:iCs/>
          <w:color w:val="auto"/>
          <w:sz w:val="24"/>
          <w:szCs w:val="24"/>
          <w:highlight w:val="none"/>
          <w:u w:val="single"/>
        </w:rPr>
        <w:t xml:space="preserve">（如果本项目设置特定资格要求，则需要提供）</w:t>
      </w:r>
      <w:r/>
    </w:p>
    <w:p>
      <w:pPr>
        <w:pStyle w:val="748"/>
        <w:jc w:val="center"/>
        <w:spacing w:beforeAutospacing="0" w:afterAutospacing="0"/>
        <w:rPr>
          <w:rFonts w:ascii="黑体" w:hAnsi="黑体" w:eastAsia="黑体" w:cs="宋体"/>
          <w:iCs/>
          <w:sz w:val="36"/>
          <w:szCs w:val="32"/>
        </w:rPr>
      </w:pPr>
      <w:r>
        <w:rPr>
          <w:rFonts w:ascii="黑体" w:hAnsi="黑体" w:eastAsia="黑体" w:cs="宋体"/>
          <w:iCs/>
          <w:sz w:val="36"/>
          <w:szCs w:val="32"/>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r/>
    </w:p>
    <w:p>
      <w:pPr>
        <w:jc w:val="center"/>
        <w:spacing w:line="480" w:lineRule="auto"/>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 xml:space="preserve">七</w:t>
      </w:r>
      <w:r>
        <w:rPr>
          <w:rFonts w:hint="eastAsia" w:ascii="宋体" w:hAnsi="宋体" w:cs="新宋体"/>
          <w:b/>
          <w:i/>
          <w:iCs w:val="0"/>
          <w:color w:val="auto"/>
          <w:sz w:val="36"/>
          <w:szCs w:val="36"/>
          <w:highlight w:val="none"/>
          <w:u w:val="single"/>
        </w:rPr>
        <w:t xml:space="preserve">、法人授权书</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本授权书声明：__________（投标人名称）授权___________（被授权人的姓名）为我方就</w:t>
      </w:r>
      <w:r>
        <w:rPr>
          <w:rFonts w:hint="eastAsia" w:ascii="宋体" w:hAnsi="宋体"/>
          <w:color w:val="auto"/>
          <w:sz w:val="28"/>
          <w:szCs w:val="28"/>
          <w:highlight w:val="none"/>
          <w:lang w:eastAsia="zh-CN"/>
        </w:rPr>
        <w:t xml:space="preserve">JSZC-320923-SWGC-G2026-0091</w:t>
      </w:r>
      <w:r>
        <w:rPr>
          <w:rFonts w:hint="eastAsia" w:ascii="宋体" w:hAnsi="宋体"/>
          <w:color w:val="auto"/>
          <w:sz w:val="28"/>
          <w:szCs w:val="28"/>
          <w:highlight w:val="none"/>
        </w:rPr>
        <w:t xml:space="preserve">号项目采购活动的合法代理人，以本单位名义全权处理一切与该项目采购有关的事务。</w:t>
      </w:r>
      <w:r/>
    </w:p>
    <w:p>
      <w:pPr>
        <w:ind w:firstLine="560"/>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日起生效，特此声明。</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被授权人身份证号码：</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被授权人联系电话：（手机）</w:t>
      </w:r>
      <w:r>
        <w:rPr>
          <w:rFonts w:hint="eastAsia" w:ascii="宋体" w:hAnsi="宋体"/>
          <w:color w:val="auto"/>
          <w:sz w:val="28"/>
          <w:szCs w:val="28"/>
          <w:highlight w:val="none"/>
          <w:u w:val="single"/>
        </w:rPr>
        <w:t xml:space="preserve">               </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授权单位名称：</w:t>
      </w:r>
      <w:r>
        <w:rPr>
          <w:rFonts w:hint="eastAsia" w:ascii="宋体" w:hAnsi="宋体"/>
          <w:color w:val="auto"/>
          <w:sz w:val="28"/>
          <w:szCs w:val="28"/>
          <w:highlight w:val="none"/>
          <w:u w:val="single"/>
        </w:rPr>
        <w:t xml:space="preserve">（加盖CA电子签章或盖公章）</w:t>
      </w:r>
      <w:r/>
    </w:p>
    <w:p>
      <w:pPr>
        <w:ind w:firstLine="1120"/>
        <w:spacing w:line="480" w:lineRule="auto"/>
        <w:tabs>
          <w:tab w:val="left" w:pos="360" w:leader="none"/>
        </w:tabs>
        <w:rPr>
          <w:rFonts w:hint="eastAsia" w:ascii="宋体" w:hAnsi="宋体"/>
          <w:color w:val="auto"/>
          <w:sz w:val="28"/>
          <w:szCs w:val="28"/>
          <w:highlight w:val="none"/>
          <w:u w:val="single"/>
        </w:rPr>
      </w:pPr>
      <w:r>
        <w:rPr>
          <w:rFonts w:hint="eastAsia" w:ascii="宋体" w:hAnsi="宋体"/>
          <w:color w:val="auto"/>
          <w:sz w:val="28"/>
          <w:szCs w:val="28"/>
          <w:highlight w:val="none"/>
        </w:rPr>
        <w:t xml:space="preserve">单位地址：</w:t>
      </w:r>
      <w:r>
        <w:rPr>
          <w:rFonts w:hint="eastAsia" w:ascii="宋体" w:hAnsi="宋体"/>
          <w:color w:val="auto"/>
          <w:sz w:val="28"/>
          <w:szCs w:val="28"/>
          <w:highlight w:val="none"/>
          <w:u w:val="single"/>
        </w:rPr>
        <w:t xml:space="preserve">                               </w:t>
      </w:r>
      <w:r/>
    </w:p>
    <w:p>
      <w:pPr>
        <w:ind w:firstLine="1195"/>
        <w:spacing w:line="480" w:lineRule="auto"/>
        <w:tabs>
          <w:tab w:val="left" w:pos="36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日期：</w:t>
      </w:r>
      <w:bookmarkStart w:id="187" w:name="_Hlt26955070"/>
      <w:r/>
      <w:bookmarkEnd w:id="187"/>
      <w:r/>
      <w:bookmarkStart w:id="188" w:name="_格式3__银行出具的资信证明"/>
      <w:r/>
      <w:bookmarkEnd w:id="188"/>
      <w:r/>
      <w:bookmarkStart w:id="189" w:name="_Hlt26671380"/>
      <w:r/>
      <w:bookmarkEnd w:id="189"/>
      <w:r>
        <w:rPr>
          <w:rFonts w:hint="eastAsia" w:ascii="宋体" w:hAnsi="宋体"/>
          <w:color w:val="auto"/>
          <w:sz w:val="28"/>
          <w:szCs w:val="28"/>
          <w:highlight w:val="none"/>
          <w:u w:val="single"/>
        </w:rPr>
        <w:t xml:space="preserve">                                  </w:t>
      </w:r>
      <w:r/>
    </w:p>
    <w:p>
      <w:pPr>
        <w:pStyle w:val="748"/>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w:t>
      </w:r>
      <w:r>
        <w:rPr>
          <w:rFonts w:hint="eastAsia" w:asciiTheme="minorEastAsia" w:hAnsiTheme="minorEastAsia"/>
          <w:b/>
          <w:bCs/>
          <w:sz w:val="28"/>
          <w:szCs w:val="28"/>
          <w:lang w:val="en-US" w:eastAsia="zh-CN"/>
        </w:rPr>
        <w:t xml:space="preserve">复印件</w:t>
      </w:r>
      <w:r>
        <w:rPr>
          <w:rFonts w:hint="eastAsia" w:asciiTheme="minorEastAsia" w:hAnsiTheme="minorEastAsia"/>
          <w:b/>
          <w:bCs/>
          <w:sz w:val="28"/>
          <w:szCs w:val="28"/>
        </w:rPr>
        <w:t xml:space="preserve">）</w:t>
      </w:r>
      <w:r/>
    </w:p>
    <w:tbl>
      <w:tblPr>
        <w:tblStyle w:val="75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48"/>
              <w:jc w:val="center"/>
              <w:rPr>
                <w:rFonts w:ascii="宋体" w:hAnsi="宋体" w:eastAsia="宋体" w:cs="宋体"/>
                <w:b/>
                <w:iCs/>
                <w:szCs w:val="32"/>
              </w:rPr>
            </w:pPr>
            <w:r>
              <w:rPr>
                <w:rFonts w:ascii="宋体" w:hAnsi="宋体" w:eastAsia="宋体" w:cs="宋体"/>
                <w:b/>
                <w:iCs/>
                <w:szCs w:val="32"/>
              </w:rPr>
            </w:r>
            <w:r/>
          </w:p>
          <w:p>
            <w:pPr>
              <w:pStyle w:val="748"/>
              <w:jc w:val="center"/>
              <w:rPr>
                <w:rFonts w:ascii="宋体" w:hAnsi="宋体" w:eastAsia="宋体" w:cs="宋体"/>
                <w:b/>
                <w:iCs/>
                <w:szCs w:val="32"/>
              </w:rPr>
            </w:pPr>
            <w:r>
              <w:rPr>
                <w:rFonts w:ascii="宋体" w:hAnsi="宋体" w:eastAsia="宋体" w:cs="宋体"/>
                <w:b/>
                <w:iCs/>
                <w:szCs w:val="32"/>
              </w:rPr>
            </w:r>
            <w:r/>
          </w:p>
          <w:p>
            <w:pPr>
              <w:pStyle w:val="748"/>
              <w:jc w:val="center"/>
              <w:rPr>
                <w:rFonts w:ascii="宋体" w:hAnsi="宋体" w:eastAsia="宋体" w:cs="宋体"/>
                <w:b/>
                <w:iCs/>
                <w:szCs w:val="32"/>
              </w:rPr>
            </w:pPr>
            <w:r>
              <w:rPr>
                <w:rFonts w:hint="eastAsia" w:ascii="宋体" w:hAnsi="宋体" w:eastAsia="宋体" w:cs="宋体"/>
                <w:b/>
                <w:iCs/>
                <w:szCs w:val="32"/>
              </w:rPr>
              <w:t xml:space="preserve">正面</w:t>
            </w:r>
            <w:r/>
          </w:p>
        </w:tc>
        <w:tc>
          <w:tcPr>
            <w:tcW w:w="4111" w:type="dxa"/>
            <w:textDirection w:val="lrTb"/>
            <w:noWrap/>
          </w:tcPr>
          <w:p>
            <w:pPr>
              <w:pStyle w:val="748"/>
              <w:jc w:val="center"/>
              <w:rPr>
                <w:rFonts w:ascii="宋体" w:hAnsi="宋体" w:eastAsia="宋体" w:cs="宋体"/>
                <w:b/>
                <w:iCs/>
                <w:szCs w:val="32"/>
              </w:rPr>
            </w:pPr>
            <w:r>
              <w:rPr>
                <w:rFonts w:ascii="宋体" w:hAnsi="宋体" w:eastAsia="宋体" w:cs="宋体"/>
                <w:b/>
                <w:iCs/>
                <w:szCs w:val="32"/>
              </w:rPr>
            </w:r>
            <w:r/>
          </w:p>
          <w:p>
            <w:pPr>
              <w:pStyle w:val="748"/>
              <w:jc w:val="center"/>
              <w:rPr>
                <w:rFonts w:ascii="宋体" w:hAnsi="宋体" w:eastAsia="宋体" w:cs="宋体"/>
                <w:b/>
                <w:iCs/>
                <w:szCs w:val="32"/>
              </w:rPr>
            </w:pPr>
            <w:r>
              <w:rPr>
                <w:rFonts w:ascii="宋体" w:hAnsi="宋体" w:eastAsia="宋体" w:cs="宋体"/>
                <w:b/>
                <w:iCs/>
                <w:szCs w:val="32"/>
              </w:rPr>
            </w:r>
            <w:r/>
          </w:p>
          <w:p>
            <w:pPr>
              <w:pStyle w:val="748"/>
              <w:jc w:val="center"/>
              <w:rPr>
                <w:rFonts w:ascii="宋体" w:hAnsi="宋体" w:eastAsia="宋体" w:cs="宋体"/>
                <w:b/>
                <w:iCs/>
                <w:szCs w:val="32"/>
              </w:rPr>
            </w:pPr>
            <w:r>
              <w:rPr>
                <w:rFonts w:hint="eastAsia" w:ascii="宋体" w:hAnsi="宋体" w:eastAsia="宋体" w:cs="宋体"/>
                <w:b/>
                <w:iCs/>
                <w:szCs w:val="32"/>
              </w:rPr>
              <w:t xml:space="preserve">反面</w:t>
            </w:r>
            <w:r/>
          </w:p>
        </w:tc>
      </w:tr>
    </w:tbl>
    <w:p>
      <w:pPr>
        <w:ind w:firstLine="420"/>
        <w:spacing w:line="480" w:lineRule="auto"/>
        <w:rPr>
          <w:i/>
          <w:color w:val="auto"/>
          <w:sz w:val="24"/>
          <w:szCs w:val="24"/>
          <w:highlight w:val="none"/>
          <w:u w:val="single"/>
        </w:rPr>
      </w:pPr>
      <w:r>
        <w:rPr>
          <w:i/>
          <w:color w:val="auto"/>
          <w:sz w:val="24"/>
          <w:szCs w:val="24"/>
          <w:highlight w:val="none"/>
          <w:u w:val="singl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753"/>
        <w:rPr>
          <w:rFonts w:hint="eastAsia"/>
          <w:color w:val="auto"/>
          <w:highlight w:val="none"/>
        </w:rPr>
      </w:pPr>
      <w:r>
        <w:rPr>
          <w:rFonts w:hint="eastAsia"/>
          <w:color w:val="auto"/>
          <w:highlight w:val="none"/>
        </w:rPr>
      </w:r>
      <w:r/>
    </w:p>
    <w:p>
      <w:pPr>
        <w:numPr>
          <w:ilvl w:val="0"/>
          <w:numId w:val="0"/>
        </w:numPr>
        <w:jc w:val="center"/>
        <w:spacing w:line="480" w:lineRule="auto"/>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lang w:val="en-US" w:eastAsia="zh-CN"/>
        </w:rPr>
        <w:t xml:space="preserve">八</w:t>
      </w:r>
      <w:r>
        <w:rPr>
          <w:rFonts w:hint="eastAsia" w:ascii="宋体" w:hAnsi="宋体" w:cs="新宋体"/>
          <w:b/>
          <w:i/>
          <w:iCs w:val="0"/>
          <w:color w:val="auto"/>
          <w:sz w:val="36"/>
          <w:szCs w:val="36"/>
          <w:highlight w:val="none"/>
          <w:u w:val="single"/>
        </w:rPr>
        <w:t xml:space="preserve">、投标函</w:t>
      </w:r>
      <w:r/>
    </w:p>
    <w:p>
      <w:pPr>
        <w:jc w:val="left"/>
        <w:spacing w:line="360" w:lineRule="auto"/>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 xml:space="preserve">盐城市阜宁生态环境局</w:t>
      </w:r>
      <w:r/>
    </w:p>
    <w:p>
      <w:pPr>
        <w:ind w:firstLine="480"/>
        <w:jc w:val="left"/>
        <w:spacing w:line="360" w:lineRule="auto"/>
        <w:rPr>
          <w:rFonts w:hint="eastAsia" w:ascii="宋体" w:hAnsi="宋体"/>
          <w:color w:val="auto"/>
          <w:sz w:val="28"/>
          <w:highlight w:val="none"/>
        </w:rPr>
      </w:pPr>
      <w:r>
        <w:rPr>
          <w:rFonts w:hint="eastAsia" w:ascii="宋体" w:hAnsi="宋体" w:eastAsia="宋体" w:cs="Times New Roman"/>
          <w:color w:val="auto"/>
          <w:sz w:val="28"/>
          <w:highlight w:val="none"/>
        </w:rPr>
        <w:t xml:space="preserve">根据贵方的</w:t>
      </w:r>
      <w:r>
        <w:rPr>
          <w:rFonts w:hint="eastAsia" w:ascii="宋体" w:hAnsi="宋体" w:cs="Times New Roman"/>
          <w:color w:val="auto"/>
          <w:sz w:val="28"/>
          <w:highlight w:val="none"/>
          <w:lang w:eastAsia="zh-CN"/>
        </w:rPr>
        <w:t xml:space="preserve">JSZC-320923-SWGC-G2026-0091</w:t>
      </w:r>
      <w:r>
        <w:rPr>
          <w:rFonts w:hint="eastAsia" w:ascii="宋体" w:hAnsi="宋体" w:eastAsia="宋体" w:cs="Times New Roman"/>
          <w:color w:val="auto"/>
          <w:sz w:val="28"/>
          <w:highlight w:val="none"/>
        </w:rPr>
        <w:t xml:space="preserve">号招标文件，正式授权下</w:t>
      </w:r>
      <w:r>
        <w:rPr>
          <w:rFonts w:hint="eastAsia" w:ascii="宋体" w:hAnsi="宋体"/>
          <w:color w:val="auto"/>
          <w:sz w:val="28"/>
          <w:highlight w:val="none"/>
        </w:rPr>
        <w:t xml:space="preserve">述签字人_________________(姓名)代表我方______________（投标人的名称），全权处理本次项目投标的有关事宜。</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据此函，签字人兹宣布同意如下：</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1.按招标文件规定的各项要求，向买方提供所需货物（包含与货物相关的服务）。</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2.我们完全理解贵方不一定将合同授予最低报价的投标人。</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5</w:t>
      </w:r>
      <w:r>
        <w:rPr>
          <w:rFonts w:hint="eastAsia" w:ascii="宋体" w:hAnsi="宋体"/>
          <w:color w:val="auto"/>
          <w:sz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auto"/>
          <w:sz w:val="28"/>
          <w:highlight w:val="none"/>
        </w:rPr>
      </w:pPr>
      <w:r>
        <w:rPr>
          <w:rFonts w:ascii="宋体" w:hAnsi="宋体"/>
          <w:color w:val="auto"/>
          <w:sz w:val="28"/>
          <w:highlight w:val="none"/>
        </w:rPr>
        <w:t xml:space="preserve">6</w:t>
      </w:r>
      <w:r>
        <w:rPr>
          <w:rFonts w:hint="eastAsia" w:ascii="宋体" w:hAnsi="宋体"/>
          <w:color w:val="auto"/>
          <w:sz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宋体" w:hAnsi="宋体"/>
          <w:color w:val="auto"/>
          <w:sz w:val="28"/>
          <w:highlight w:val="none"/>
        </w:rPr>
      </w:pPr>
      <w:r>
        <w:rPr>
          <w:rFonts w:ascii="宋体" w:hAnsi="宋体"/>
          <w:color w:val="auto"/>
          <w:sz w:val="28"/>
          <w:highlight w:val="none"/>
        </w:rPr>
        <w:t xml:space="preserve">7</w:t>
      </w:r>
      <w:r>
        <w:rPr>
          <w:rFonts w:hint="eastAsia" w:ascii="宋体" w:hAnsi="宋体"/>
          <w:color w:val="auto"/>
          <w:sz w:val="28"/>
          <w:highlight w:val="none"/>
        </w:rPr>
        <w:t xml:space="preserve">.与本投标有关的正式通讯地址为：</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地      址：</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电      话：</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传      真：</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投标人开户行：</w:t>
      </w:r>
      <w:r/>
    </w:p>
    <w:p>
      <w:pPr>
        <w:ind w:left="420" w:firstLine="480"/>
        <w:jc w:val="left"/>
        <w:spacing w:line="360" w:lineRule="auto"/>
        <w:rPr>
          <w:rFonts w:hint="eastAsia" w:ascii="宋体" w:hAnsi="宋体"/>
          <w:color w:val="auto"/>
          <w:sz w:val="28"/>
          <w:highlight w:val="none"/>
        </w:rPr>
      </w:pPr>
      <w:r>
        <w:rPr>
          <w:rFonts w:hint="eastAsia" w:ascii="宋体" w:hAnsi="宋体"/>
          <w:color w:val="auto"/>
          <w:sz w:val="28"/>
          <w:highlight w:val="none"/>
        </w:rPr>
        <w:t xml:space="preserve">账      号： </w:t>
      </w:r>
      <w:r/>
    </w:p>
    <w:p>
      <w:pPr>
        <w:pStyle w:val="748"/>
        <w:ind w:left="420" w:firstLine="480"/>
        <w:spacing w:beforeAutospacing="0" w:afterAutospacing="0" w:line="500" w:lineRule="exact"/>
        <w:rPr>
          <w:rFonts w:hAnsi="宋体" w:eastAsia="宋体" w:cs="宋体"/>
          <w:b/>
        </w:rPr>
      </w:pPr>
      <w:r>
        <w:rPr>
          <w:rFonts w:hint="eastAsia" w:cs="宋体" w:asciiTheme="minorEastAsia" w:hAnsiTheme="minorEastAsia"/>
          <w:b/>
          <w:bCs/>
          <w:sz w:val="28"/>
          <w:szCs w:val="28"/>
        </w:rPr>
        <w:t xml:space="preserve">投标人授权代表姓名（签字）：</w:t>
      </w:r>
      <w:r/>
    </w:p>
    <w:p>
      <w:pPr>
        <w:ind w:left="420" w:firstLine="480"/>
        <w:spacing w:line="360" w:lineRule="auto"/>
        <w:rPr>
          <w:rFonts w:hint="eastAsia" w:ascii="宋体" w:hAnsi="宋体"/>
          <w:color w:val="auto"/>
          <w:sz w:val="28"/>
          <w:highlight w:val="none"/>
        </w:rPr>
      </w:pPr>
      <w:r>
        <w:rPr>
          <w:rFonts w:hint="eastAsia" w:ascii="宋体" w:hAnsi="宋体"/>
          <w:color w:val="auto"/>
          <w:sz w:val="28"/>
          <w:highlight w:val="none"/>
        </w:rPr>
        <w:t xml:space="preserve">日      期：________年____月____日</w:t>
      </w:r>
      <w:r/>
    </w:p>
    <w:p>
      <w:pPr>
        <w:jc w:val="center"/>
        <w:spacing w:line="360" w:lineRule="auto"/>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 xml:space="preserve">九</w:t>
      </w:r>
      <w:r>
        <w:rPr>
          <w:rFonts w:hint="eastAsia" w:ascii="宋体" w:hAnsi="宋体" w:cs="新宋体"/>
          <w:b/>
          <w:i/>
          <w:iCs w:val="0"/>
          <w:color w:val="auto"/>
          <w:sz w:val="36"/>
          <w:szCs w:val="36"/>
          <w:highlight w:val="none"/>
          <w:u w:val="single"/>
        </w:rPr>
        <w:t xml:space="preserve">、中小企业声明函</w:t>
      </w:r>
      <w:r>
        <w:rPr>
          <w:rFonts w:hint="eastAsia" w:ascii="宋体" w:hAnsi="宋体" w:cs="新宋体"/>
          <w:b/>
          <w:i/>
          <w:iCs w:val="0"/>
          <w:color w:val="auto"/>
          <w:sz w:val="36"/>
          <w:szCs w:val="36"/>
          <w:highlight w:val="none"/>
          <w:u w:val="single"/>
          <w:lang w:eastAsia="zh-CN"/>
        </w:rPr>
        <w:t xml:space="preserve">（</w:t>
      </w:r>
      <w:r>
        <w:rPr>
          <w:rFonts w:hint="eastAsia" w:ascii="宋体" w:hAnsi="宋体" w:cs="新宋体"/>
          <w:b/>
          <w:i/>
          <w:iCs w:val="0"/>
          <w:color w:val="auto"/>
          <w:sz w:val="36"/>
          <w:szCs w:val="36"/>
          <w:highlight w:val="none"/>
          <w:u w:val="single"/>
          <w:lang w:val="en-US" w:eastAsia="zh-CN"/>
        </w:rPr>
        <w:t xml:space="preserve">服务）</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盐城市阜宁生态环境局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组织的采购编号为</w:t>
      </w:r>
      <w:r>
        <w:rPr>
          <w:rFonts w:hint="eastAsia" w:ascii="宋体" w:hAnsi="宋体"/>
          <w:color w:val="auto"/>
          <w:sz w:val="24"/>
          <w:szCs w:val="24"/>
          <w:highlight w:val="none"/>
          <w:u w:val="none"/>
          <w:lang w:eastAsia="zh-CN"/>
        </w:rPr>
        <w:t xml:space="preserve">JSZC-320923-SWGC-G2026-0091</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single"/>
          <w:lang w:eastAsia="zh-CN"/>
        </w:rPr>
        <w:t xml:space="preserve">阜宁县生物多样性本底调查项目</w:t>
      </w:r>
      <w:r>
        <w:rPr>
          <w:rFonts w:hint="eastAsia" w:ascii="宋体" w:hAnsi="宋体"/>
          <w:color w:val="auto"/>
          <w:sz w:val="24"/>
          <w:szCs w:val="24"/>
          <w:highlight w:val="none"/>
        </w:rPr>
        <w:t xml:space="preserve">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11"/>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 xml:space="preserve">阜宁县生物多样性本底调查项目</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numPr>
          <w:ilvl w:val="0"/>
          <w:numId w:val="11"/>
        </w:numPr>
        <w:ind w:firstLine="360"/>
        <w:spacing w:line="46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s="宋体"/>
          <w:i/>
          <w:iCs/>
          <w:color w:val="auto"/>
          <w:sz w:val="24"/>
          <w:highlight w:val="none"/>
          <w:u w:val="single"/>
        </w:rPr>
        <w:t xml:space="preserve">，三者选一填写</w:t>
      </w:r>
      <w:r>
        <w:rPr>
          <w:rFonts w:hint="eastAsia" w:ascii="宋体" w:hAnsi="宋体"/>
          <w:color w:val="auto"/>
          <w:sz w:val="24"/>
          <w:szCs w:val="24"/>
          <w:highlight w:val="none"/>
          <w:u w:val="single"/>
        </w:rPr>
        <w:t xml:space="preserve">）；</w:t>
      </w:r>
      <w:r/>
    </w:p>
    <w:p>
      <w:pPr>
        <w:ind w:firstLine="360"/>
        <w:spacing w:line="4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企业名称（加盖CA电子签章或盖公章）：</w:t>
      </w:r>
      <w:r/>
    </w:p>
    <w:p>
      <w:pPr>
        <w:ind w:right="480" w:firstLine="540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如不提供此声明函，价格将不做相应扣除。</w:t>
      </w:r>
      <w:r/>
    </w:p>
    <w:p>
      <w:pPr>
        <w:pStyle w:val="74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4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4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4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48"/>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748"/>
        <w:jc w:val="center"/>
        <w:spacing w:beforeAutospacing="0" w:afterAutospacing="0" w:line="0" w:lineRule="atLeast"/>
        <w:rPr>
          <w:rFonts w:hint="eastAsia" w:eastAsia="黑体"/>
          <w:i/>
          <w:iCs/>
          <w:color w:val="auto"/>
          <w:highlight w:val="none"/>
          <w:u w:val="single"/>
        </w:rPr>
      </w:pPr>
      <w:r>
        <w:rPr>
          <w:rFonts w:hint="eastAsia" w:ascii="黑体" w:eastAsia="黑体" w:cs="黑体"/>
          <w:b/>
          <w:i/>
          <w:iCs/>
          <w:color w:val="auto"/>
          <w:sz w:val="32"/>
          <w:szCs w:val="32"/>
          <w:highlight w:val="none"/>
          <w:u w:val="single"/>
        </w:rPr>
        <w:t xml:space="preserve">残疾人福利性单位声明函（如</w:t>
      </w:r>
      <w:r>
        <w:rPr>
          <w:rFonts w:hint="eastAsia" w:ascii="黑体" w:eastAsia="黑体" w:cs="黑体"/>
          <w:b/>
          <w:i/>
          <w:iCs/>
          <w:color w:val="auto"/>
          <w:sz w:val="32"/>
          <w:szCs w:val="32"/>
          <w:highlight w:val="none"/>
          <w:u w:val="single"/>
          <w:lang w:val="en-US" w:eastAsia="zh-CN"/>
        </w:rPr>
        <w:t xml:space="preserve">是</w:t>
      </w:r>
      <w:r>
        <w:rPr>
          <w:rFonts w:hint="eastAsia" w:ascii="黑体" w:eastAsia="黑体" w:cs="黑体"/>
          <w:b/>
          <w:i/>
          <w:iCs/>
          <w:color w:val="auto"/>
          <w:sz w:val="32"/>
          <w:szCs w:val="32"/>
          <w:highlight w:val="none"/>
          <w:u w:val="single"/>
        </w:rPr>
        <w:t xml:space="preserve">）</w:t>
      </w:r>
      <w:r/>
    </w:p>
    <w:p>
      <w:pPr>
        <w:pStyle w:val="74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74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 xml:space="preserve">盐城市阜宁生态环境局</w:t>
      </w:r>
      <w:r>
        <w:rPr>
          <w:rFonts w:hint="eastAsia" w:cs="Times New Roman"/>
          <w:color w:val="auto"/>
          <w:highlight w:val="none"/>
          <w:u w:val="single"/>
        </w:rPr>
        <w:t xml:space="preserve"> </w:t>
      </w:r>
      <w:r>
        <w:rPr>
          <w:rFonts w:hint="eastAsia" w:cs="Times New Roman"/>
          <w:color w:val="auto"/>
          <w:highlight w:val="none"/>
        </w:rPr>
        <w:t xml:space="preserve">单位的采购文件编号为______的</w:t>
      </w:r>
      <w:r>
        <w:rPr>
          <w:rFonts w:hint="eastAsia" w:cs="Times New Roman"/>
          <w:color w:val="auto"/>
          <w:highlight w:val="none"/>
          <w:u w:val="single"/>
        </w:rPr>
        <w:t xml:space="preserve">       </w:t>
      </w:r>
      <w:r>
        <w:rPr>
          <w:rFonts w:hint="eastAsia" w:cs="Times New Roman"/>
          <w:color w:val="auto"/>
          <w:highlight w:val="none"/>
        </w:rPr>
        <w:t xml:space="preserve">项目采购活动提供本单位制造的货物，或者提供其他残疾人福利性单位制造的货物（不包括使用非残疾人福利性单位注册商标的货物）。</w:t>
      </w:r>
      <w:r/>
    </w:p>
    <w:p>
      <w:pPr>
        <w:pStyle w:val="748"/>
        <w:ind w:firstLine="480"/>
        <w:jc w:val="both"/>
        <w:spacing w:beforeAutospacing="0" w:afterAutospacing="0" w:line="360" w:lineRule="auto"/>
        <w:rPr>
          <w:rFonts w:hint="eastAsia"/>
          <w:color w:val="auto"/>
          <w:highlight w:val="none"/>
        </w:rPr>
      </w:pPr>
      <w:r>
        <w:rPr>
          <w:rFonts w:hint="eastAsia" w:cs="Times New Roman"/>
          <w:color w:val="auto"/>
          <w:highlight w:val="none"/>
        </w:rPr>
        <w:t xml:space="preserve">本单位对上述声明的真实性负责。如有虚假，将依法承担相应责任。</w:t>
      </w:r>
      <w:r/>
    </w:p>
    <w:p>
      <w:pPr>
        <w:pStyle w:val="748"/>
        <w:ind w:firstLine="480"/>
        <w:jc w:val="both"/>
        <w:spacing w:beforeAutospacing="0" w:afterAutospacing="0" w:line="360" w:lineRule="auto"/>
        <w:rPr>
          <w:rFonts w:hint="eastAsia"/>
          <w:color w:val="auto"/>
          <w:highlight w:val="none"/>
        </w:rPr>
      </w:pPr>
      <w:r>
        <w:rPr>
          <w:color w:val="auto"/>
          <w:highlight w:val="none"/>
        </w:rPr>
        <w:t xml:space="preserve"> </w:t>
      </w:r>
      <w:r/>
    </w:p>
    <w:p>
      <w:pPr>
        <w:pStyle w:val="748"/>
        <w:ind w:firstLine="480"/>
        <w:jc w:val="both"/>
        <w:spacing w:beforeAutospacing="0" w:afterAutospacing="0" w:line="360" w:lineRule="auto"/>
        <w:rPr>
          <w:rFonts w:hint="eastAsia"/>
          <w:color w:val="auto"/>
          <w:highlight w:val="none"/>
        </w:rPr>
      </w:pPr>
      <w:r>
        <w:rPr>
          <w:rFonts w:hint="eastAsia"/>
          <w:color w:val="auto"/>
          <w:highlight w:val="none"/>
        </w:rPr>
        <w:t xml:space="preserve">备注：1、</w:t>
      </w:r>
      <w:r>
        <w:rPr>
          <w:rFonts w:hint="eastAsia"/>
          <w:color w:val="auto"/>
          <w:highlight w:val="none"/>
          <w:lang w:eastAsia="zh-CN"/>
        </w:rPr>
        <w:t xml:space="preserve">投标人</w:t>
      </w:r>
      <w:r>
        <w:rPr>
          <w:rFonts w:hint="eastAsia"/>
          <w:color w:val="auto"/>
          <w:highlight w:val="none"/>
        </w:rPr>
        <w:t xml:space="preserve">如不提供此声明函，价格将不做相应扣除（如项目全面面向中小企业，则资格审查不通过）。2、中标</w:t>
      </w:r>
      <w:r>
        <w:rPr>
          <w:rFonts w:hint="eastAsia"/>
          <w:color w:val="auto"/>
          <w:highlight w:val="none"/>
          <w:lang w:eastAsia="zh-CN"/>
        </w:rPr>
        <w:t xml:space="preserve">投标人</w:t>
      </w:r>
      <w:r>
        <w:rPr>
          <w:rFonts w:hint="eastAsia"/>
          <w:color w:val="auto"/>
          <w:highlight w:val="none"/>
        </w:rPr>
        <w:t xml:space="preserve">为残疾人福利单位的，此声明函将随中标结果同时公告，接受社会监督</w:t>
      </w:r>
      <w:r/>
    </w:p>
    <w:p>
      <w:pPr>
        <w:pStyle w:val="748"/>
        <w:ind w:firstLine="624"/>
        <w:jc w:val="both"/>
        <w:spacing w:beforeAutospacing="0" w:afterAutospacing="0" w:line="0" w:lineRule="atLeast"/>
        <w:rPr>
          <w:rFonts w:hint="eastAsia"/>
          <w:color w:val="auto"/>
          <w:highlight w:val="none"/>
        </w:rPr>
      </w:pPr>
      <w:r>
        <w:rPr>
          <w:color w:val="auto"/>
          <w:highlight w:val="none"/>
        </w:rPr>
        <w:t xml:space="preserve"> </w:t>
      </w:r>
      <w:r/>
    </w:p>
    <w:p>
      <w:pPr>
        <w:pStyle w:val="748"/>
        <w:ind w:firstLine="480"/>
        <w:jc w:val="both"/>
        <w:spacing w:beforeAutospacing="0" w:afterAutospacing="0" w:line="360" w:lineRule="auto"/>
        <w:rPr>
          <w:rFonts w:hint="eastAsia" w:cs="Times New Roman"/>
          <w:color w:val="auto"/>
          <w:highlight w:val="none"/>
        </w:rPr>
      </w:pPr>
      <w:r>
        <w:rPr>
          <w:rFonts w:ascii="仿宋_GB2312" w:eastAsia="仿宋_GB2312" w:cs="仿宋_GB2312"/>
          <w:color w:val="auto"/>
          <w:sz w:val="30"/>
          <w:szCs w:val="30"/>
          <w:highlight w:val="none"/>
        </w:rPr>
        <w:t xml:space="preserve">  </w:t>
      </w:r>
      <w:r>
        <w:rPr>
          <w:rFonts w:hint="eastAsia" w:cs="Times New Roman"/>
          <w:color w:val="auto"/>
          <w:highlight w:val="none"/>
        </w:rPr>
        <w:t xml:space="preserve">         </w:t>
      </w:r>
      <w:r/>
    </w:p>
    <w:p>
      <w:pPr>
        <w:pStyle w:val="74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投标人全称：（加盖CA电子签章或盖公章）</w:t>
      </w:r>
      <w:r/>
    </w:p>
    <w:p>
      <w:pPr>
        <w:pStyle w:val="74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t xml:space="preserve">                            日  期：</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14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1928"/>
        <w:spacing w:line="360" w:lineRule="auto"/>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属于监狱企业的证明文件（如是）</w:t>
      </w:r>
      <w:r/>
    </w:p>
    <w:p>
      <w:pPr>
        <w:ind w:firstLine="560"/>
        <w:jc w:val="left"/>
        <w:spacing w:line="500" w:lineRule="exact"/>
        <w:widowControl/>
        <w:rPr>
          <w:rFonts w:hint="eastAsia" w:ascii="宋体" w:hAnsi="宋体" w:cs="Arial"/>
          <w:color w:val="auto"/>
          <w:sz w:val="28"/>
          <w:szCs w:val="28"/>
          <w:highlight w:val="none"/>
        </w:rPr>
      </w:pPr>
      <w:r>
        <w:rPr>
          <w:rFonts w:ascii="宋体" w:hAnsi="宋体" w:cs="Arial"/>
          <w:color w:val="auto"/>
          <w:sz w:val="28"/>
          <w:szCs w:val="28"/>
          <w:highlight w:val="none"/>
        </w:rPr>
        <w:t xml:space="preserve">提供由省级以上监狱管理局、戒毒管理局(含新疆生产建设兵团)出具的属于监狱企业的证明文件</w:t>
      </w:r>
      <w:r/>
    </w:p>
    <w:p>
      <w:pPr>
        <w:pStyle w:val="748"/>
        <w:ind w:firstLine="480"/>
        <w:jc w:val="both"/>
        <w:spacing w:beforeAutospacing="0" w:afterAutospacing="0" w:line="360" w:lineRule="auto"/>
        <w:rPr>
          <w:rFonts w:hint="eastAsia" w:cs="Times New Roman"/>
          <w:color w:val="auto"/>
          <w:highlight w:val="none"/>
        </w:rPr>
      </w:pPr>
      <w:r>
        <w:rPr>
          <w:rFonts w:hint="eastAsia" w:cs="Times New Roman"/>
          <w:color w:val="auto"/>
          <w:highlight w:val="none"/>
        </w:rPr>
      </w:r>
      <w:r/>
    </w:p>
    <w:p>
      <w:pPr>
        <w:pStyle w:val="1016"/>
        <w:jc w:val="both"/>
        <w:spacing w:after="0" w:line="460" w:lineRule="exact"/>
        <w:widowControl/>
        <w:tabs>
          <w:tab w:val="left" w:pos="180" w:leader="none"/>
        </w:tabs>
        <w:rPr>
          <w:rFonts w:hint="eastAsia" w:ascii="黑体" w:hAnsi="黑体" w:eastAsia="黑体"/>
          <w:b/>
          <w:color w:val="auto"/>
          <w:sz w:val="32"/>
          <w:szCs w:val="32"/>
          <w:highlight w:val="none"/>
          <w:lang w:val="en-US" w:eastAsia="zh-CN"/>
        </w:rPr>
      </w:pPr>
      <w:r>
        <w:rPr>
          <w:rFonts w:ascii="黑体" w:hAnsi="黑体" w:eastAsia="黑体"/>
          <w:b/>
          <w:color w:val="auto"/>
          <w:sz w:val="32"/>
          <w:szCs w:val="32"/>
          <w:highlight w:val="none"/>
        </w:rPr>
        <w:br w:type="page" w:clear="all"/>
      </w:r>
      <w:bookmarkStart w:id="190" w:name="_Hlt26955054"/>
      <w:r/>
      <w:bookmarkEnd w:id="190"/>
      <w:r/>
      <w:r/>
    </w:p>
    <w:p>
      <w:pPr>
        <w:pStyle w:val="748"/>
        <w:jc w:val="center"/>
        <w:spacing w:beforeAutospacing="0" w:afterAutospacing="0"/>
        <w:rPr>
          <w:highlight w:val="none"/>
        </w:rPr>
      </w:pPr>
      <w:r>
        <w:rPr>
          <w:rFonts w:hint="eastAsia" w:ascii="黑体" w:hAnsi="宋体" w:eastAsia="黑体" w:cs="黑体"/>
          <w:b/>
          <w:color w:val="000000"/>
          <w:sz w:val="32"/>
          <w:szCs w:val="32"/>
          <w:highlight w:val="none"/>
        </w:rPr>
        <w:t xml:space="preserve">十、投标分项报价表</w:t>
      </w:r>
      <w:r/>
    </w:p>
    <w:tbl>
      <w:tblPr>
        <w:tblStyle w:val="713"/>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center"/>
              <w:spacing w:beforeAutospacing="0" w:afterAutospacing="0" w:line="0" w:lineRule="atLeast"/>
              <w:rPr>
                <w:highlight w:val="none"/>
              </w:rPr>
            </w:pPr>
            <w:r>
              <w:rPr>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48"/>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48"/>
              <w:jc w:val="both"/>
              <w:spacing w:beforeAutospacing="0" w:afterAutospacing="0" w:line="0" w:lineRule="atLeast"/>
              <w:rPr>
                <w:highlight w:val="none"/>
              </w:rPr>
            </w:pPr>
            <w:r>
              <w:rPr>
                <w:highlight w:val="none"/>
              </w:rPr>
              <w:t xml:space="preserve"> </w:t>
            </w:r>
            <w:r/>
          </w:p>
        </w:tc>
      </w:tr>
    </w:tbl>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的其它所有费用，招标文件另有规定的除外。2. “投标分项报价表”中“投标总报价”数额应当与“开标一览表”中“投标总报价”数额一致。</w:t>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748"/>
        <w:jc w:val="center"/>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rFonts w:hint="eastAsia" w:ascii="黑体" w:hAnsi="宋体" w:eastAsia="黑体" w:cs="黑体"/>
          <w:b/>
          <w:color w:val="000000"/>
          <w:sz w:val="32"/>
          <w:szCs w:val="32"/>
          <w:highlight w:val="none"/>
        </w:rPr>
      </w:pPr>
      <w:r>
        <w:rPr>
          <w:highlight w:val="none"/>
        </w:rPr>
        <w:t xml:space="preserve">  </w:t>
      </w:r>
      <w:r>
        <w:rPr>
          <w:rFonts w:hint="eastAsia" w:ascii="黑体" w:hAnsi="宋体" w:eastAsia="黑体" w:cs="黑体"/>
          <w:b/>
          <w:color w:val="000000"/>
          <w:sz w:val="32"/>
          <w:szCs w:val="32"/>
          <w:highlight w:val="none"/>
        </w:rPr>
        <w:br w:type="page" w:clear="all"/>
      </w:r>
      <w:r/>
    </w:p>
    <w:p>
      <w:pPr>
        <w:pStyle w:val="74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w:t>
      </w:r>
      <w:r/>
    </w:p>
    <w:tbl>
      <w:tblPr>
        <w:tblStyle w:val="71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8"/>
              <w:jc w:val="center"/>
              <w:spacing w:beforeAutospacing="0" w:afterAutospacing="0"/>
              <w:rPr>
                <w:highlight w:val="none"/>
              </w:rPr>
            </w:pPr>
            <w:r>
              <w:rPr>
                <w:highlight w:val="none"/>
              </w:rPr>
              <w:t xml:space="preserve"> </w:t>
            </w:r>
            <w:r/>
          </w:p>
        </w:tc>
      </w:tr>
    </w:tbl>
    <w:p>
      <w:pPr>
        <w:pStyle w:val="7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center"/>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center"/>
        <w:spacing w:beforeAutospacing="0" w:afterAutospacing="0"/>
        <w:rPr>
          <w:highlight w:val="none"/>
        </w:rPr>
      </w:pPr>
      <w:r>
        <w:rPr>
          <w:rFonts w:hint="eastAsia" w:ascii="黑体" w:hAnsi="宋体" w:eastAsia="黑体" w:cs="黑体"/>
          <w:b/>
          <w:color w:val="000000"/>
          <w:sz w:val="32"/>
          <w:szCs w:val="32"/>
          <w:highlight w:val="none"/>
          <w:lang w:val="en-US" w:eastAsia="zh-CN"/>
        </w:rPr>
        <w:t xml:space="preserve">十</w:t>
      </w:r>
      <w:r>
        <w:rPr>
          <w:rFonts w:hint="eastAsia" w:ascii="黑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、商务要求响应及偏离表</w:t>
      </w:r>
      <w:r/>
    </w:p>
    <w:tbl>
      <w:tblPr>
        <w:tblStyle w:val="71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bookmarkStart w:id="191" w:name="_Hlt26671343"/>
            <w:r/>
            <w:bookmarkStart w:id="192" w:name="_Hlt26955056"/>
            <w:r/>
            <w:bookmarkStart w:id="193" w:name="_Hlt26580838"/>
            <w:r/>
            <w:bookmarkStart w:id="194" w:name="_Hlt26671372"/>
            <w:r/>
            <w:bookmarkStart w:id="195" w:name="_Hlt26955064"/>
            <w:r/>
            <w:bookmarkStart w:id="196" w:name="_Hlt26609391"/>
            <w:r/>
            <w:bookmarkStart w:id="197" w:name="_Hlt26782999"/>
            <w:r/>
            <w:bookmarkStart w:id="198" w:name="_Hlt24879081"/>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4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48"/>
              <w:jc w:val="center"/>
              <w:spacing w:beforeAutospacing="0" w:afterAutospacing="0"/>
              <w:rPr>
                <w:highlight w:val="none"/>
              </w:rPr>
            </w:pPr>
            <w:r>
              <w:rPr>
                <w:highlight w:val="none"/>
              </w:rPr>
              <w:t xml:space="preserve"> </w:t>
            </w:r>
            <w:r/>
          </w:p>
        </w:tc>
      </w:tr>
    </w:tbl>
    <w:p>
      <w:pPr>
        <w:pStyle w:val="74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8"/>
        <w:jc w:val="both"/>
        <w:spacing w:beforeAutospacing="0" w:afterAutospacing="0" w:line="480" w:lineRule="auto"/>
        <w:rPr>
          <w:highlight w:val="none"/>
        </w:rPr>
      </w:pPr>
      <w:r>
        <w:rPr>
          <w:highlight w:val="none"/>
        </w:rPr>
        <w:t xml:space="preserve"> </w:t>
      </w:r>
      <w:r/>
    </w:p>
    <w:p>
      <w:pPr>
        <w:pStyle w:val="748"/>
        <w:jc w:val="both"/>
        <w:spacing w:beforeAutospacing="0" w:afterAutospacing="0" w:line="480" w:lineRule="auto"/>
        <w:rPr>
          <w:highlight w:val="none"/>
        </w:rPr>
      </w:pPr>
      <w:r>
        <w:rPr>
          <w:highlight w:val="none"/>
        </w:rPr>
        <w:t xml:space="preserve"> </w:t>
      </w:r>
      <w:r/>
    </w:p>
    <w:p>
      <w:pPr>
        <w:pStyle w:val="748"/>
        <w:jc w:val="center"/>
        <w:spacing w:beforeAutospacing="0" w:afterAutospacing="0"/>
        <w:rPr>
          <w:highlight w:val="none"/>
        </w:rPr>
      </w:pPr>
      <w:r/>
      <w:bookmarkStart w:id="199" w:name="_Hlt26609389"/>
      <w:r/>
      <w:bookmarkStart w:id="200" w:name="_格式2__法定代表人授权书"/>
      <w:r/>
      <w:bookmarkStart w:id="201" w:name="_Toc462564146"/>
      <w:r/>
      <w:bookmarkStart w:id="202" w:name="_Hlt26955066"/>
      <w:r/>
      <w:bookmarkStart w:id="203" w:name="_Hlt26671374"/>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t xml:space="preserve"> </w:t>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highlight w:val="none"/>
        </w:rPr>
      </w:pPr>
      <w:r>
        <w:rPr>
          <w:highlight w:val="none"/>
        </w:rPr>
      </w:r>
      <w:r/>
    </w:p>
    <w:p>
      <w:pPr>
        <w:pStyle w:val="74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74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4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1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4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48"/>
        <w:jc w:val="both"/>
        <w:spacing w:beforeAutospacing="0" w:afterAutospacing="0"/>
        <w:rPr>
          <w:color w:val="auto"/>
          <w:highlight w:val="none"/>
        </w:rPr>
      </w:pPr>
      <w:r>
        <w:rPr>
          <w:color w:val="auto"/>
          <w:highlight w:val="none"/>
        </w:rPr>
        <w:t xml:space="preserve"> </w:t>
      </w:r>
      <w:r/>
    </w:p>
    <w:p>
      <w:pPr>
        <w:pStyle w:val="74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48"/>
        <w:ind w:firstLine="480"/>
        <w:jc w:val="both"/>
        <w:spacing w:beforeAutospacing="0" w:afterAutospacing="0"/>
        <w:rPr>
          <w:highlight w:val="none"/>
        </w:rPr>
      </w:pPr>
      <w:r>
        <w:rPr>
          <w:highlight w:val="none"/>
        </w:rPr>
        <w:t xml:space="preserve"> </w:t>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pStyle w:val="782"/>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、技术方案、服务承诺、培训承诺等</w:t>
      </w:r>
      <w:r/>
    </w:p>
    <w:p>
      <w:pPr>
        <w:pStyle w:val="748"/>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color w:val="000000"/>
          <w:sz w:val="24"/>
          <w:highlight w:val="none"/>
          <w:lang w:val="en-US" w:eastAsia="zh-CN"/>
        </w:rPr>
        <w:t xml:space="preserve">或盖章</w:t>
      </w:r>
      <w:r>
        <w:rPr>
          <w:rFonts w:hint="eastAsia" w:ascii="宋体" w:hAnsi="宋体" w:eastAsia="宋体" w:cs="宋体"/>
          <w:color w:val="000000"/>
          <w:sz w:val="24"/>
          <w:highlight w:val="none"/>
        </w:rPr>
        <w:t xml:space="preserve">：</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748"/>
        <w:jc w:val="center"/>
        <w:spacing w:beforeAutospacing="0" w:afterAutospacing="0"/>
        <w:rPr>
          <w:highlight w:val="none"/>
        </w:rPr>
      </w:pPr>
      <w:r>
        <w:rPr>
          <w:highlight w:val="none"/>
        </w:rPr>
      </w:r>
      <w:r/>
    </w:p>
    <w:p>
      <w:pPr>
        <w:pStyle w:val="748"/>
        <w:jc w:val="center"/>
        <w:spacing w:beforeAutospacing="0" w:afterAutospacing="0"/>
        <w:rPr>
          <w:highlight w:val="none"/>
        </w:rPr>
      </w:pPr>
      <w:r>
        <w:rPr>
          <w:highlight w:val="none"/>
        </w:rPr>
      </w:r>
      <w:bookmarkEnd w:id="199"/>
      <w:r/>
      <w:bookmarkEnd w:id="200"/>
      <w:r/>
      <w:bookmarkEnd w:id="201"/>
      <w:r/>
      <w:bookmarkEnd w:id="202"/>
      <w:r/>
      <w:bookmarkEnd w:id="203"/>
      <w:r/>
      <w:r/>
    </w:p>
    <w:p>
      <w:pPr>
        <w:rPr>
          <w:highlight w:val="none"/>
        </w:rPr>
      </w:pPr>
      <w:r>
        <w:rPr>
          <w:highlight w:val="none"/>
        </w:rPr>
      </w:r>
      <w:r/>
    </w:p>
    <w:p>
      <w:pPr>
        <w:pStyle w:val="74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4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4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4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4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4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4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8"/>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spacing w:line="500" w:lineRule="exact"/>
        <w:rPr>
          <w:rStyle w:val="1009"/>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04" w:bottom="1418" w:left="130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简体">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7"/>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3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8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8"/>
      <w:isLgl w:val="false"/>
      <w:suff w:val="nothing"/>
      <w:lvlText w:val=""/>
      <w:lvlJc w:val="left"/>
      <w:pPr>
        <w:ind w:left="0" w:firstLine="0"/>
      </w:pPr>
      <w:rPr>
        <w:rFonts w:hint="eastAsia"/>
      </w:rPr>
    </w:lvl>
    <w:lvl w:ilvl="6">
      <w:start w:val="1"/>
      <w:numFmt w:val="decimal"/>
      <w:pStyle w:val="709"/>
      <w:isLgl w:val="false"/>
      <w:suff w:val="nothing"/>
      <w:lvlText w:val=""/>
      <w:lvlJc w:val="left"/>
      <w:pPr>
        <w:ind w:left="0" w:firstLine="0"/>
      </w:pPr>
      <w:rPr>
        <w:rFonts w:hint="eastAsia"/>
      </w:rPr>
    </w:lvl>
    <w:lvl w:ilvl="7">
      <w:start w:val="1"/>
      <w:numFmt w:val="decimal"/>
      <w:pStyle w:val="710"/>
      <w:isLgl w:val="false"/>
      <w:suff w:val="nothing"/>
      <w:lvlText w:val=""/>
      <w:lvlJc w:val="left"/>
      <w:pPr>
        <w:ind w:left="0" w:firstLine="0"/>
      </w:pPr>
      <w:rPr>
        <w:rFonts w:hint="eastAsia"/>
      </w:rPr>
    </w:lvl>
    <w:lvl w:ilvl="8">
      <w:start w:val="1"/>
      <w:numFmt w:val="decimal"/>
      <w:pStyle w:val="71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10"/>
  </w:num>
  <w:num w:numId="4">
    <w:abstractNumId w:val="3"/>
  </w:num>
  <w:num w:numId="5">
    <w:abstractNumId w:val="9"/>
  </w:num>
  <w:num w:numId="6">
    <w:abstractNumId w:val="1"/>
  </w:num>
  <w:num w:numId="7">
    <w:abstractNumId w:val="7"/>
  </w:num>
  <w:num w:numId="8">
    <w:abstractNumId w:val="0"/>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3">
    <w:name w:val="Heading 1"/>
    <w:basedOn w:val="702"/>
    <w:next w:val="702"/>
    <w:link w:val="945"/>
    <w:uiPriority w:val="0"/>
    <w:qFormat/>
    <w:pPr>
      <w:jc w:val="center"/>
      <w:keepNext/>
      <w:outlineLvl w:val="0"/>
    </w:pPr>
    <w:rPr>
      <w:rFonts w:ascii="楷体_GB2312" w:eastAsia="楷体_GB2312"/>
      <w:sz w:val="28"/>
      <w:szCs w:val="28"/>
    </w:rPr>
  </w:style>
  <w:style w:type="paragraph" w:styleId="704">
    <w:name w:val="Heading 2"/>
    <w:basedOn w:val="702"/>
    <w:next w:val="702"/>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5">
    <w:name w:val="Heading 3"/>
    <w:basedOn w:val="702"/>
    <w:next w:val="714"/>
    <w:link w:val="948"/>
    <w:uiPriority w:val="0"/>
    <w:qFormat/>
    <w:pPr>
      <w:keepLines/>
      <w:keepNext/>
      <w:spacing w:before="260" w:after="260" w:line="416" w:lineRule="auto"/>
      <w:outlineLvl w:val="2"/>
    </w:pPr>
    <w:rPr>
      <w:b/>
      <w:bCs/>
      <w:sz w:val="32"/>
      <w:szCs w:val="32"/>
    </w:rPr>
  </w:style>
  <w:style w:type="paragraph" w:styleId="706">
    <w:name w:val="Heading 4"/>
    <w:basedOn w:val="702"/>
    <w:next w:val="714"/>
    <w:link w:val="949"/>
    <w:uiPriority w:val="0"/>
    <w:qFormat/>
    <w:pPr>
      <w:keepLines/>
      <w:keepNext/>
      <w:spacing w:before="280" w:after="290" w:line="376" w:lineRule="auto"/>
      <w:outlineLvl w:val="3"/>
    </w:pPr>
    <w:rPr>
      <w:rFonts w:ascii="Arial" w:hAnsi="Arial" w:eastAsia="黑体" w:cs="Arial"/>
      <w:b/>
      <w:bCs/>
      <w:sz w:val="28"/>
      <w:szCs w:val="28"/>
    </w:rPr>
  </w:style>
  <w:style w:type="paragraph" w:styleId="707">
    <w:name w:val="Heading 5"/>
    <w:basedOn w:val="702"/>
    <w:next w:val="714"/>
    <w:link w:val="950"/>
    <w:uiPriority w:val="0"/>
    <w:qFormat/>
    <w:pPr>
      <w:keepNext/>
      <w:outlineLvl w:val="4"/>
    </w:pPr>
    <w:rPr>
      <w:rFonts w:ascii="宋体"/>
      <w:color w:val="000000"/>
      <w:sz w:val="28"/>
      <w:szCs w:val="28"/>
    </w:rPr>
  </w:style>
  <w:style w:type="paragraph" w:styleId="708">
    <w:name w:val="Heading 6"/>
    <w:basedOn w:val="702"/>
    <w:next w:val="702"/>
    <w:link w:val="9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Heading 7"/>
    <w:basedOn w:val="702"/>
    <w:next w:val="702"/>
    <w:link w:val="952"/>
    <w:uiPriority w:val="0"/>
    <w:qFormat/>
    <w:pPr>
      <w:numPr>
        <w:ilvl w:val="6"/>
        <w:numId w:val="1"/>
      </w:numPr>
      <w:keepLines/>
      <w:keepNext/>
      <w:spacing w:before="240" w:after="64" w:line="320" w:lineRule="auto"/>
      <w:outlineLvl w:val="6"/>
    </w:pPr>
    <w:rPr>
      <w:b/>
      <w:bCs/>
      <w:sz w:val="24"/>
      <w:szCs w:val="24"/>
    </w:rPr>
  </w:style>
  <w:style w:type="paragraph" w:styleId="710">
    <w:name w:val="Heading 8"/>
    <w:basedOn w:val="702"/>
    <w:next w:val="702"/>
    <w:link w:val="9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Heading 9"/>
    <w:basedOn w:val="702"/>
    <w:next w:val="702"/>
    <w:link w:val="954"/>
    <w:uiPriority w:val="0"/>
    <w:qFormat/>
    <w:pPr>
      <w:numPr>
        <w:ilvl w:val="8"/>
        <w:numId w:val="1"/>
      </w:numPr>
      <w:keepLines/>
      <w:keepNext/>
      <w:spacing w:before="240" w:after="64" w:line="320" w:lineRule="auto"/>
      <w:outlineLvl w:val="8"/>
    </w:pPr>
    <w:rPr>
      <w:rFonts w:ascii="Arial" w:hAnsi="Arial" w:eastAsia="黑体"/>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Normal Indent"/>
    <w:basedOn w:val="702"/>
    <w:link w:val="947"/>
    <w:uiPriority w:val="0"/>
    <w:qFormat/>
    <w:pPr>
      <w:ind w:firstLine="420"/>
    </w:pPr>
    <w:rPr>
      <w:szCs w:val="21"/>
    </w:rPr>
  </w:style>
  <w:style w:type="paragraph" w:styleId="715">
    <w:name w:val="List 3"/>
    <w:basedOn w:val="702"/>
    <w:uiPriority w:val="0"/>
    <w:qFormat/>
    <w:pPr>
      <w:ind w:left="100" w:hanging="200"/>
    </w:pPr>
    <w:rPr>
      <w:szCs w:val="21"/>
    </w:rPr>
  </w:style>
  <w:style w:type="paragraph" w:styleId="716">
    <w:name w:val="toc 7"/>
    <w:basedOn w:val="702"/>
    <w:next w:val="702"/>
    <w:uiPriority w:val="0"/>
    <w:semiHidden/>
    <w:qFormat/>
    <w:pPr>
      <w:ind w:left="1260"/>
      <w:jc w:val="left"/>
    </w:pPr>
    <w:rPr>
      <w:szCs w:val="21"/>
    </w:rPr>
  </w:style>
  <w:style w:type="paragraph" w:styleId="717">
    <w:name w:val="Caption"/>
    <w:basedOn w:val="702"/>
    <w:uiPriority w:val="35"/>
    <w:semiHidden/>
    <w:unhideWhenUsed/>
    <w:qFormat/>
    <w:pPr>
      <w:spacing w:line="276" w:lineRule="auto"/>
    </w:pPr>
    <w:rPr>
      <w:b/>
      <w:bCs/>
      <w:color w:val="4f81bd"/>
      <w:sz w:val="18"/>
      <w:szCs w:val="18"/>
    </w:rPr>
  </w:style>
  <w:style w:type="paragraph" w:styleId="718">
    <w:name w:val="Document Map"/>
    <w:basedOn w:val="702"/>
    <w:link w:val="955"/>
    <w:uiPriority w:val="0"/>
    <w:semiHidden/>
    <w:qFormat/>
    <w:pPr>
      <w:shd w:val="clear" w:color="auto" w:fill="000080"/>
    </w:pPr>
    <w:rPr>
      <w:szCs w:val="21"/>
    </w:rPr>
  </w:style>
  <w:style w:type="paragraph" w:styleId="719">
    <w:name w:val="annotation text"/>
    <w:basedOn w:val="702"/>
    <w:link w:val="956"/>
    <w:uiPriority w:val="0"/>
    <w:unhideWhenUsed/>
    <w:qFormat/>
    <w:pPr>
      <w:jc w:val="left"/>
    </w:pPr>
  </w:style>
  <w:style w:type="paragraph" w:styleId="720">
    <w:name w:val="Body Text 3"/>
    <w:basedOn w:val="702"/>
    <w:link w:val="957"/>
    <w:uiPriority w:val="0"/>
    <w:qFormat/>
    <w:rPr>
      <w:rFonts w:ascii="仿宋_GB2312" w:hAnsi="Arial" w:eastAsia="仿宋_GB2312"/>
      <w:sz w:val="32"/>
      <w:szCs w:val="32"/>
    </w:rPr>
  </w:style>
  <w:style w:type="paragraph" w:styleId="721">
    <w:name w:val="Body Text"/>
    <w:basedOn w:val="702"/>
    <w:link w:val="958"/>
    <w:uiPriority w:val="0"/>
    <w:qFormat/>
    <w:rPr>
      <w:rFonts w:ascii="楷体_GB2312" w:hAnsi="Arial" w:eastAsia="楷体_GB2312"/>
      <w:sz w:val="28"/>
      <w:szCs w:val="28"/>
    </w:rPr>
  </w:style>
  <w:style w:type="paragraph" w:styleId="722">
    <w:name w:val="Body Text Indent"/>
    <w:basedOn w:val="702"/>
    <w:next w:val="723"/>
    <w:link w:val="959"/>
    <w:uiPriority w:val="0"/>
    <w:unhideWhenUsed/>
    <w:qFormat/>
    <w:pPr>
      <w:ind w:left="420"/>
      <w:spacing w:after="120"/>
    </w:pPr>
  </w:style>
  <w:style w:type="paragraph" w:styleId="723">
    <w:name w:val="envelope return"/>
    <w:basedOn w:val="702"/>
    <w:uiPriority w:val="0"/>
    <w:qFormat/>
    <w:rPr>
      <w:rFonts w:ascii="Arial" w:hAnsi="Arial"/>
    </w:rPr>
  </w:style>
  <w:style w:type="paragraph" w:styleId="724">
    <w:name w:val="List 2"/>
    <w:basedOn w:val="702"/>
    <w:uiPriority w:val="0"/>
    <w:qFormat/>
    <w:pPr>
      <w:ind w:left="100" w:hanging="200"/>
    </w:pPr>
    <w:rPr>
      <w:szCs w:val="21"/>
    </w:rPr>
  </w:style>
  <w:style w:type="paragraph" w:styleId="725">
    <w:name w:val="Block Text"/>
    <w:basedOn w:val="702"/>
    <w:uiPriority w:val="0"/>
    <w:unhideWhenUsed/>
    <w:qFormat/>
    <w:pPr>
      <w:ind w:left="1440"/>
      <w:spacing w:after="120"/>
    </w:pPr>
    <w:rPr>
      <w:rFonts w:hint="eastAsia"/>
    </w:rPr>
  </w:style>
  <w:style w:type="paragraph" w:styleId="726">
    <w:name w:val="index 4"/>
    <w:basedOn w:val="702"/>
    <w:next w:val="702"/>
    <w:uiPriority w:val="99"/>
    <w:qFormat/>
    <w:pPr>
      <w:ind w:left="1260"/>
      <w:jc w:val="left"/>
      <w:spacing w:before="160" w:after="160" w:line="240" w:lineRule="atLeast"/>
      <w:widowControl/>
    </w:pPr>
    <w:rPr>
      <w:rFonts w:cs="Arial"/>
      <w:szCs w:val="21"/>
    </w:rPr>
  </w:style>
  <w:style w:type="paragraph" w:styleId="727">
    <w:name w:val="toc 5"/>
    <w:basedOn w:val="702"/>
    <w:next w:val="702"/>
    <w:uiPriority w:val="0"/>
    <w:semiHidden/>
    <w:qFormat/>
    <w:pPr>
      <w:ind w:left="840"/>
      <w:jc w:val="left"/>
    </w:pPr>
    <w:rPr>
      <w:szCs w:val="21"/>
    </w:rPr>
  </w:style>
  <w:style w:type="paragraph" w:styleId="728">
    <w:name w:val="toc 3"/>
    <w:basedOn w:val="702"/>
    <w:next w:val="702"/>
    <w:uiPriority w:val="0"/>
    <w:semiHidden/>
    <w:qFormat/>
    <w:pPr>
      <w:ind w:left="420"/>
      <w:jc w:val="left"/>
    </w:pPr>
    <w:rPr>
      <w:i/>
      <w:iCs/>
      <w:szCs w:val="24"/>
    </w:rPr>
  </w:style>
  <w:style w:type="paragraph" w:styleId="729">
    <w:name w:val="Plain Text"/>
    <w:basedOn w:val="702"/>
    <w:link w:val="960"/>
    <w:uiPriority w:val="0"/>
    <w:qFormat/>
    <w:rPr>
      <w:rFonts w:ascii="宋体" w:hAnsi="Courier New" w:cs="Courier New"/>
      <w:szCs w:val="21"/>
    </w:rPr>
  </w:style>
  <w:style w:type="paragraph" w:styleId="730">
    <w:name w:val="toc 8"/>
    <w:basedOn w:val="702"/>
    <w:next w:val="702"/>
    <w:uiPriority w:val="0"/>
    <w:semiHidden/>
    <w:qFormat/>
    <w:pPr>
      <w:ind w:left="1470"/>
      <w:jc w:val="left"/>
    </w:pPr>
    <w:rPr>
      <w:szCs w:val="21"/>
    </w:rPr>
  </w:style>
  <w:style w:type="paragraph" w:styleId="731">
    <w:name w:val="Date"/>
    <w:basedOn w:val="702"/>
    <w:next w:val="702"/>
    <w:link w:val="961"/>
    <w:uiPriority w:val="0"/>
    <w:qFormat/>
    <w:rPr>
      <w:sz w:val="24"/>
      <w:szCs w:val="24"/>
    </w:rPr>
  </w:style>
  <w:style w:type="paragraph" w:styleId="732">
    <w:name w:val="Body Text Indent 2"/>
    <w:basedOn w:val="702"/>
    <w:link w:val="962"/>
    <w:uiPriority w:val="0"/>
    <w:qFormat/>
    <w:pPr>
      <w:ind w:left="630" w:firstLine="645"/>
    </w:pPr>
    <w:rPr>
      <w:rFonts w:ascii="Arial" w:hAnsi="Arial" w:eastAsia="仿宋_GB2312" w:cs="Arial"/>
      <w:sz w:val="32"/>
      <w:szCs w:val="32"/>
    </w:rPr>
  </w:style>
  <w:style w:type="paragraph" w:styleId="733">
    <w:name w:val="endnote text"/>
    <w:basedOn w:val="702"/>
    <w:link w:val="943"/>
    <w:uiPriority w:val="99"/>
    <w:semiHidden/>
    <w:unhideWhenUsed/>
    <w:qFormat/>
    <w:rPr>
      <w:sz w:val="20"/>
    </w:rPr>
  </w:style>
  <w:style w:type="paragraph" w:styleId="734">
    <w:name w:val="Balloon Text"/>
    <w:basedOn w:val="702"/>
    <w:link w:val="963"/>
    <w:uiPriority w:val="0"/>
    <w:semiHidden/>
    <w:qFormat/>
    <w:rPr>
      <w:sz w:val="18"/>
      <w:szCs w:val="18"/>
    </w:rPr>
  </w:style>
  <w:style w:type="paragraph" w:styleId="735">
    <w:name w:val="Footer"/>
    <w:basedOn w:val="702"/>
    <w:link w:val="964"/>
    <w:uiPriority w:val="0"/>
    <w:qFormat/>
    <w:pPr>
      <w:jc w:val="left"/>
      <w:tabs>
        <w:tab w:val="center" w:pos="4153" w:leader="none"/>
        <w:tab w:val="right" w:pos="8306" w:leader="none"/>
      </w:tabs>
    </w:pPr>
    <w:rPr>
      <w:sz w:val="18"/>
      <w:szCs w:val="18"/>
    </w:rPr>
  </w:style>
  <w:style w:type="paragraph" w:styleId="736">
    <w:name w:val="Header"/>
    <w:basedOn w:val="702"/>
    <w:link w:val="965"/>
    <w:uiPriority w:val="0"/>
    <w:qFormat/>
    <w:pPr>
      <w:jc w:val="center"/>
      <w:tabs>
        <w:tab w:val="center" w:pos="4153" w:leader="none"/>
        <w:tab w:val="right" w:pos="8306" w:leader="none"/>
      </w:tabs>
      <w:pBdr>
        <w:bottom w:val="single" w:color="000000" w:sz="6" w:space="1"/>
      </w:pBdr>
    </w:pPr>
    <w:rPr>
      <w:sz w:val="18"/>
      <w:szCs w:val="18"/>
    </w:rPr>
  </w:style>
  <w:style w:type="paragraph" w:styleId="737">
    <w:name w:val="toc 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738">
    <w:name w:val="toc 4"/>
    <w:basedOn w:val="702"/>
    <w:next w:val="702"/>
    <w:uiPriority w:val="0"/>
    <w:semiHidden/>
    <w:qFormat/>
    <w:pPr>
      <w:ind w:left="630"/>
      <w:jc w:val="left"/>
    </w:pPr>
    <w:rPr>
      <w:szCs w:val="21"/>
    </w:rPr>
  </w:style>
  <w:style w:type="paragraph" w:styleId="739">
    <w:name w:val="Subtitle"/>
    <w:basedOn w:val="702"/>
    <w:next w:val="702"/>
    <w:link w:val="809"/>
    <w:uiPriority w:val="11"/>
    <w:qFormat/>
    <w:pPr>
      <w:spacing w:before="200" w:after="200"/>
    </w:pPr>
    <w:rPr>
      <w:sz w:val="24"/>
      <w:szCs w:val="24"/>
    </w:rPr>
  </w:style>
  <w:style w:type="paragraph" w:styleId="740">
    <w:name w:val="List"/>
    <w:basedOn w:val="702"/>
    <w:uiPriority w:val="0"/>
    <w:qFormat/>
    <w:pPr>
      <w:ind w:left="200" w:hanging="200"/>
    </w:pPr>
    <w:rPr>
      <w:szCs w:val="21"/>
    </w:rPr>
  </w:style>
  <w:style w:type="paragraph" w:styleId="741">
    <w:name w:val="footnote text"/>
    <w:basedOn w:val="702"/>
    <w:link w:val="942"/>
    <w:uiPriority w:val="99"/>
    <w:semiHidden/>
    <w:unhideWhenUsed/>
    <w:qFormat/>
    <w:pPr>
      <w:spacing w:after="40"/>
    </w:pPr>
    <w:rPr>
      <w:sz w:val="18"/>
    </w:rPr>
  </w:style>
  <w:style w:type="paragraph" w:styleId="742">
    <w:name w:val="toc 6"/>
    <w:basedOn w:val="702"/>
    <w:next w:val="702"/>
    <w:uiPriority w:val="0"/>
    <w:semiHidden/>
    <w:qFormat/>
    <w:pPr>
      <w:ind w:left="1050"/>
      <w:jc w:val="left"/>
    </w:pPr>
    <w:rPr>
      <w:szCs w:val="21"/>
    </w:rPr>
  </w:style>
  <w:style w:type="paragraph" w:styleId="743">
    <w:name w:val="Body Text Indent 3"/>
    <w:basedOn w:val="702"/>
    <w:link w:val="966"/>
    <w:uiPriority w:val="0"/>
    <w:qFormat/>
    <w:pPr>
      <w:ind w:left="645" w:firstLine="645"/>
    </w:pPr>
    <w:rPr>
      <w:rFonts w:ascii="Arial" w:hAnsi="Arial" w:eastAsia="仿宋_GB2312" w:cs="Arial"/>
      <w:color w:val="ffff00"/>
      <w:sz w:val="32"/>
      <w:szCs w:val="32"/>
    </w:rPr>
  </w:style>
  <w:style w:type="paragraph" w:styleId="744">
    <w:name w:val="table of figures"/>
    <w:basedOn w:val="702"/>
    <w:next w:val="702"/>
    <w:uiPriority w:val="0"/>
    <w:semiHidden/>
    <w:qFormat/>
    <w:pPr>
      <w:ind w:left="840" w:hanging="420"/>
    </w:pPr>
    <w:rPr>
      <w:szCs w:val="21"/>
    </w:rPr>
  </w:style>
  <w:style w:type="paragraph" w:styleId="745">
    <w:name w:val="toc 2"/>
    <w:basedOn w:val="702"/>
    <w:next w:val="702"/>
    <w:uiPriority w:val="0"/>
    <w:semiHidden/>
    <w:qFormat/>
    <w:pPr>
      <w:ind w:left="210"/>
      <w:jc w:val="left"/>
    </w:pPr>
    <w:rPr>
      <w:smallCaps/>
      <w:szCs w:val="24"/>
    </w:rPr>
  </w:style>
  <w:style w:type="paragraph" w:styleId="746">
    <w:name w:val="toc 9"/>
    <w:basedOn w:val="702"/>
    <w:next w:val="702"/>
    <w:uiPriority w:val="0"/>
    <w:semiHidden/>
    <w:qFormat/>
    <w:pPr>
      <w:ind w:left="1680"/>
      <w:jc w:val="left"/>
    </w:pPr>
    <w:rPr>
      <w:szCs w:val="21"/>
    </w:rPr>
  </w:style>
  <w:style w:type="paragraph" w:styleId="747">
    <w:name w:val="Body Text 2"/>
    <w:basedOn w:val="702"/>
    <w:link w:val="967"/>
    <w:uiPriority w:val="0"/>
    <w:qFormat/>
    <w:pPr>
      <w:jc w:val="center"/>
      <w:widowControl/>
    </w:pPr>
    <w:rPr>
      <w:rFonts w:ascii="楷体_GB2312" w:eastAsia="楷体_GB2312"/>
      <w:sz w:val="28"/>
      <w:szCs w:val="28"/>
    </w:rPr>
  </w:style>
  <w:style w:type="paragraph" w:styleId="748">
    <w:name w:val="Normal (Web)"/>
    <w:basedOn w:val="702"/>
    <w:uiPriority w:val="99"/>
    <w:qFormat/>
    <w:pPr>
      <w:jc w:val="left"/>
      <w:spacing w:before="100" w:beforeAutospacing="1" w:after="100" w:afterAutospacing="1"/>
      <w:widowControl/>
    </w:pPr>
    <w:rPr>
      <w:rFonts w:ascii="宋体" w:hAnsi="宋体" w:cs="宋体"/>
      <w:sz w:val="24"/>
      <w:szCs w:val="24"/>
    </w:rPr>
  </w:style>
  <w:style w:type="paragraph" w:styleId="749">
    <w:name w:val="index 1"/>
    <w:basedOn w:val="702"/>
    <w:next w:val="702"/>
    <w:uiPriority w:val="0"/>
    <w:semiHidden/>
    <w:qFormat/>
    <w:pPr>
      <w:spacing w:line="240" w:lineRule="atLeast"/>
    </w:pPr>
    <w:rPr>
      <w:b/>
      <w:bCs/>
      <w:szCs w:val="21"/>
    </w:rPr>
  </w:style>
  <w:style w:type="paragraph" w:styleId="750">
    <w:name w:val="Title"/>
    <w:basedOn w:val="702"/>
    <w:next w:val="702"/>
    <w:link w:val="808"/>
    <w:uiPriority w:val="10"/>
    <w:qFormat/>
    <w:pPr>
      <w:contextualSpacing/>
      <w:spacing w:before="300" w:after="200"/>
    </w:pPr>
    <w:rPr>
      <w:sz w:val="48"/>
      <w:szCs w:val="48"/>
    </w:rPr>
  </w:style>
  <w:style w:type="paragraph" w:styleId="751">
    <w:name w:val="annotation subject"/>
    <w:basedOn w:val="719"/>
    <w:next w:val="719"/>
    <w:link w:val="968"/>
    <w:uiPriority w:val="0"/>
    <w:semiHidden/>
    <w:qFormat/>
    <w:rPr>
      <w:b/>
      <w:bCs/>
      <w:szCs w:val="21"/>
    </w:rPr>
  </w:style>
  <w:style w:type="paragraph" w:styleId="752">
    <w:name w:val="Body Text First Indent"/>
    <w:basedOn w:val="702"/>
    <w:link w:val="969"/>
    <w:uiPriority w:val="0"/>
    <w:qFormat/>
    <w:pPr>
      <w:ind w:firstLine="200"/>
      <w:spacing w:line="360" w:lineRule="auto"/>
    </w:pPr>
    <w:rPr>
      <w:rFonts w:ascii="仿宋_GB2312" w:eastAsia="仿宋_GB2312"/>
      <w:sz w:val="30"/>
      <w:szCs w:val="30"/>
    </w:rPr>
  </w:style>
  <w:style w:type="paragraph" w:styleId="753">
    <w:name w:val="Body Text First Indent 2"/>
    <w:basedOn w:val="722"/>
    <w:link w:val="970"/>
    <w:uiPriority w:val="0"/>
    <w:qFormat/>
    <w:pPr>
      <w:ind w:left="0" w:firstLine="420"/>
      <w:spacing w:after="0" w:line="360" w:lineRule="auto"/>
    </w:pPr>
    <w:rPr>
      <w:rFonts w:ascii="宋体" w:hAnsi="宋体"/>
      <w:szCs w:val="20"/>
    </w:rPr>
  </w:style>
  <w:style w:type="table" w:styleId="754">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0"/>
    <w:qFormat/>
    <w:rPr>
      <w:b/>
      <w:bCs/>
    </w:rPr>
  </w:style>
  <w:style w:type="character" w:styleId="756">
    <w:name w:val="endnote reference"/>
    <w:uiPriority w:val="99"/>
    <w:semiHidden/>
    <w:unhideWhenUsed/>
    <w:qFormat/>
    <w:rPr>
      <w:vertAlign w:val="superscript"/>
    </w:rPr>
  </w:style>
  <w:style w:type="character" w:styleId="757">
    <w:name w:val="page number"/>
    <w:uiPriority w:val="0"/>
    <w:qFormat/>
  </w:style>
  <w:style w:type="character" w:styleId="758">
    <w:name w:val="Hyperlink"/>
    <w:uiPriority w:val="0"/>
    <w:qFormat/>
    <w:rPr>
      <w:color w:val="0000ff"/>
      <w:u w:val="single"/>
    </w:rPr>
  </w:style>
  <w:style w:type="character" w:styleId="759">
    <w:name w:val="annotation reference"/>
    <w:uiPriority w:val="0"/>
    <w:semiHidden/>
    <w:qFormat/>
    <w:rPr>
      <w:sz w:val="21"/>
      <w:szCs w:val="21"/>
    </w:rPr>
  </w:style>
  <w:style w:type="character" w:styleId="760">
    <w:name w:val="footnote reference"/>
    <w:uiPriority w:val="99"/>
    <w:unhideWhenUsed/>
    <w:qFormat/>
    <w:rPr>
      <w:vertAlign w:val="superscript"/>
    </w:rPr>
  </w:style>
  <w:style w:type="table" w:styleId="761"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Heading 3"/>
    <w:basedOn w:val="702"/>
    <w:next w:val="702"/>
    <w:uiPriority w:val="0"/>
    <w:qFormat/>
    <w:pPr>
      <w:numPr>
        <w:ilvl w:val="2"/>
        <w:numId w:val="1"/>
      </w:numPr>
      <w:keepLines/>
      <w:keepNext/>
      <w:spacing w:before="260" w:after="260" w:line="416" w:lineRule="atLeast"/>
      <w:outlineLvl w:val="2"/>
    </w:pPr>
    <w:rPr>
      <w:b/>
      <w:bCs/>
      <w:sz w:val="32"/>
      <w:szCs w:val="32"/>
    </w:rPr>
  </w:style>
  <w:style w:type="paragraph" w:styleId="782"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783" w:customStyle="1">
    <w:name w:val="正文1"/>
    <w:basedOn w:val="784"/>
    <w:uiPriority w:val="0"/>
    <w:qFormat/>
    <w:pPr>
      <w:ind w:firstLine="420"/>
      <w:spacing w:line="400" w:lineRule="exact"/>
    </w:pPr>
    <w:rPr>
      <w:rFonts w:ascii="宋体" w:hAnsi="宋体"/>
      <w:szCs w:val="21"/>
    </w:rPr>
  </w:style>
  <w:style w:type="paragraph" w:styleId="784" w:customStyle="1">
    <w:name w:val="正文11"/>
    <w:next w:val="785"/>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85" w:customStyle="1">
    <w:name w:val="文本块1"/>
    <w:basedOn w:val="784"/>
    <w:uiPriority w:val="0"/>
    <w:qFormat/>
    <w:pPr>
      <w:ind w:left="256" w:right="6" w:firstLine="624"/>
    </w:pPr>
    <w:rPr>
      <w:rFonts w:eastAsia="仿宋"/>
      <w:sz w:val="28"/>
    </w:rPr>
  </w:style>
  <w:style w:type="paragraph" w:styleId="786" w:customStyle="1">
    <w:name w:val="样式 标题 3 + (中文) 黑体 小四 非加粗 段前: 7.8 磅 段后: 0 磅 行距: 固定值 20 磅_0"/>
    <w:basedOn w:val="787"/>
    <w:uiPriority w:val="0"/>
    <w:qFormat/>
    <w:pPr>
      <w:spacing w:before="0" w:after="0" w:line="400" w:lineRule="exact"/>
    </w:pPr>
    <w:rPr>
      <w:rFonts w:ascii="Times New Roman" w:hAnsi="Times New Roman" w:eastAsia="黑体" w:cs="宋体"/>
      <w:b w:val="0"/>
      <w:bCs w:val="0"/>
      <w:sz w:val="21"/>
      <w:szCs w:val="20"/>
    </w:rPr>
  </w:style>
  <w:style w:type="paragraph" w:styleId="787" w:customStyle="1">
    <w:name w:val="标题 3_0"/>
    <w:basedOn w:val="788"/>
    <w:next w:val="789"/>
    <w:uiPriority w:val="0"/>
    <w:qFormat/>
    <w:pPr>
      <w:keepLines/>
      <w:keepNext/>
      <w:spacing w:before="260" w:after="260" w:line="416" w:lineRule="auto"/>
      <w:outlineLvl w:val="2"/>
    </w:pPr>
    <w:rPr>
      <w:rFonts w:eastAsia="宋体"/>
      <w:b/>
      <w:bCs/>
      <w:sz w:val="32"/>
      <w:szCs w:val="32"/>
    </w:rPr>
  </w:style>
  <w:style w:type="paragraph" w:styleId="788" w:customStyle="1">
    <w:name w:val="正文_0"/>
    <w:next w:val="753"/>
    <w:uiPriority w:val="0"/>
    <w:qFormat/>
    <w:pPr>
      <w:jc w:val="both"/>
      <w:widowControl w:val="off"/>
    </w:pPr>
    <w:rPr>
      <w:rFonts w:hint="default" w:ascii="Calibri" w:hAnsi="Calibri" w:eastAsia="仿宋_GB2312" w:cs="Times New Roman"/>
      <w:sz w:val="21"/>
      <w:szCs w:val="22"/>
      <w:lang w:val="en-US" w:eastAsia="zh-CN" w:bidi="ar-SA"/>
    </w:rPr>
  </w:style>
  <w:style w:type="paragraph" w:styleId="789" w:customStyle="1">
    <w:name w:val="正文_1"/>
    <w:next w:val="753"/>
    <w:uiPriority w:val="0"/>
    <w:qFormat/>
    <w:pPr>
      <w:jc w:val="both"/>
      <w:widowControl w:val="off"/>
    </w:pPr>
    <w:rPr>
      <w:rFonts w:hint="default" w:ascii="Calibri" w:hAnsi="Calibri" w:eastAsia="仿宋_GB2312" w:cs="Times New Roman"/>
      <w:sz w:val="21"/>
      <w:szCs w:val="22"/>
      <w:lang w:val="en-US" w:eastAsia="zh-CN" w:bidi="ar-SA"/>
    </w:rPr>
  </w:style>
  <w:style w:type="character" w:styleId="790" w:customStyle="1">
    <w:name w:val="Title Char"/>
    <w:basedOn w:val="712"/>
    <w:uiPriority w:val="10"/>
    <w:qFormat/>
    <w:rPr>
      <w:sz w:val="48"/>
      <w:szCs w:val="48"/>
    </w:rPr>
  </w:style>
  <w:style w:type="character" w:styleId="791" w:customStyle="1">
    <w:name w:val="Subtitle Char"/>
    <w:basedOn w:val="71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hint="default" w:ascii="Times New Roman" w:hAnsi="Times New Roman" w:eastAsia="宋体" w:cs="Times New Roman"/>
      <w:lang w:val="en-US" w:eastAsia="zh-CN" w:bidi="ar-SA"/>
    </w:rPr>
  </w:style>
  <w:style w:type="character" w:styleId="797" w:customStyle="1">
    <w:name w:val="Heading 1 Char"/>
    <w:uiPriority w:val="9"/>
    <w:qFormat/>
    <w:rPr>
      <w:rFonts w:ascii="Arial" w:hAnsi="Arial" w:eastAsia="Arial" w:cs="Arial"/>
      <w:sz w:val="40"/>
      <w:szCs w:val="40"/>
    </w:rPr>
  </w:style>
  <w:style w:type="character" w:styleId="798" w:customStyle="1">
    <w:name w:val="Heading 2 Char"/>
    <w:uiPriority w:val="9"/>
    <w:qFormat/>
    <w:rPr>
      <w:rFonts w:ascii="Arial" w:hAnsi="Arial" w:eastAsia="Arial" w:cs="Arial"/>
      <w:sz w:val="34"/>
    </w:rPr>
  </w:style>
  <w:style w:type="character" w:styleId="799" w:customStyle="1">
    <w:name w:val="Heading 3 Char"/>
    <w:uiPriority w:val="9"/>
    <w:qFormat/>
    <w:rPr>
      <w:rFonts w:ascii="Arial" w:hAnsi="Arial" w:eastAsia="Arial" w:cs="Arial"/>
      <w:sz w:val="30"/>
      <w:szCs w:val="30"/>
    </w:rPr>
  </w:style>
  <w:style w:type="character" w:styleId="800" w:customStyle="1">
    <w:name w:val="Heading 4 Char"/>
    <w:uiPriority w:val="9"/>
    <w:qFormat/>
    <w:rPr>
      <w:rFonts w:ascii="Arial" w:hAnsi="Arial" w:eastAsia="Arial" w:cs="Arial"/>
      <w:b/>
      <w:bCs/>
      <w:sz w:val="26"/>
      <w:szCs w:val="26"/>
    </w:rPr>
  </w:style>
  <w:style w:type="character" w:styleId="801" w:customStyle="1">
    <w:name w:val="Heading 5 Char"/>
    <w:uiPriority w:val="9"/>
    <w:qFormat/>
    <w:rPr>
      <w:rFonts w:ascii="Arial" w:hAnsi="Arial" w:eastAsia="Arial" w:cs="Arial"/>
      <w:b/>
      <w:bCs/>
      <w:sz w:val="24"/>
      <w:szCs w:val="24"/>
    </w:rPr>
  </w:style>
  <w:style w:type="character" w:styleId="802" w:customStyle="1">
    <w:name w:val="Heading 6 Char"/>
    <w:uiPriority w:val="9"/>
    <w:qFormat/>
    <w:rPr>
      <w:rFonts w:ascii="Arial" w:hAnsi="Arial" w:eastAsia="Arial" w:cs="Arial"/>
      <w:b/>
      <w:bCs/>
      <w:sz w:val="22"/>
      <w:szCs w:val="22"/>
    </w:rPr>
  </w:style>
  <w:style w:type="character" w:styleId="803" w:customStyle="1">
    <w:name w:val="Heading 7 Char"/>
    <w:uiPriority w:val="9"/>
    <w:qFormat/>
    <w:rPr>
      <w:rFonts w:ascii="Arial" w:hAnsi="Arial" w:eastAsia="Arial" w:cs="Arial"/>
      <w:b/>
      <w:bCs/>
      <w:i/>
      <w:iCs/>
      <w:sz w:val="22"/>
      <w:szCs w:val="22"/>
    </w:rPr>
  </w:style>
  <w:style w:type="character" w:styleId="804" w:customStyle="1">
    <w:name w:val="Heading 8 Char"/>
    <w:uiPriority w:val="9"/>
    <w:qFormat/>
    <w:rPr>
      <w:rFonts w:ascii="Arial" w:hAnsi="Arial" w:eastAsia="Arial" w:cs="Arial"/>
      <w:i/>
      <w:iCs/>
      <w:sz w:val="22"/>
      <w:szCs w:val="22"/>
    </w:rPr>
  </w:style>
  <w:style w:type="character" w:styleId="805" w:customStyle="1">
    <w:name w:val="Heading 9 Char"/>
    <w:uiPriority w:val="9"/>
    <w:qFormat/>
    <w:rPr>
      <w:rFonts w:ascii="Arial" w:hAnsi="Arial" w:eastAsia="Arial" w:cs="Arial"/>
      <w:i/>
      <w:iCs/>
      <w:sz w:val="21"/>
      <w:szCs w:val="21"/>
    </w:rPr>
  </w:style>
  <w:style w:type="paragraph" w:styleId="806">
    <w:name w:val="List Paragraph"/>
    <w:basedOn w:val="702"/>
    <w:uiPriority w:val="0"/>
    <w:qFormat/>
    <w:pPr>
      <w:contextualSpacing/>
      <w:ind w:left="720"/>
      <w:jc w:val="left"/>
      <w:widowControl/>
    </w:pPr>
    <w:rPr>
      <w:rFonts w:ascii="Calibri" w:hAnsi="Calibri"/>
      <w:sz w:val="24"/>
      <w:szCs w:val="24"/>
      <w:lang w:eastAsia="en-US" w:bidi="en-US"/>
    </w:rPr>
  </w:style>
  <w:style w:type="paragraph" w:styleId="80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08" w:customStyle="1">
    <w:name w:val="标题 字符"/>
    <w:link w:val="750"/>
    <w:uiPriority w:val="10"/>
    <w:qFormat/>
    <w:rPr>
      <w:sz w:val="48"/>
      <w:szCs w:val="48"/>
    </w:rPr>
  </w:style>
  <w:style w:type="character" w:styleId="809" w:customStyle="1">
    <w:name w:val="副标题 字符"/>
    <w:link w:val="739"/>
    <w:uiPriority w:val="11"/>
    <w:qFormat/>
    <w:rPr>
      <w:sz w:val="24"/>
      <w:szCs w:val="24"/>
    </w:rPr>
  </w:style>
  <w:style w:type="paragraph" w:styleId="810">
    <w:name w:val="Quote"/>
    <w:basedOn w:val="702"/>
    <w:next w:val="702"/>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02"/>
    <w:next w:val="70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uiPriority w:val="99"/>
    <w:qFormat/>
  </w:style>
  <w:style w:type="character" w:styleId="815" w:customStyle="1">
    <w:name w:val="Footer Char"/>
    <w:uiPriority w:val="99"/>
    <w:qFormat/>
  </w:style>
  <w:style w:type="character" w:styleId="816" w:customStyle="1">
    <w:name w:val="Caption Char"/>
    <w:uiPriority w:val="99"/>
    <w:qFormat/>
  </w:style>
  <w:style w:type="table" w:styleId="81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0" w:customStyle="1">
    <w:name w:val="无格式表格 31"/>
    <w:uiPriority w:val="99"/>
    <w:qFormat/>
    <w:tblPr>
      <w:tblCellMar>
        <w:left w:w="0" w:type="dxa"/>
        <w:top w:w="0" w:type="dxa"/>
        <w:right w:w="0" w:type="dxa"/>
        <w:bottom w:w="0" w:type="dxa"/>
      </w:tblCellMar>
    </w:tblPr>
  </w:style>
  <w:style w:type="table" w:styleId="821" w:customStyle="1">
    <w:name w:val="无格式表格 41"/>
    <w:uiPriority w:val="99"/>
    <w:qFormat/>
    <w:tblPr>
      <w:tblCellMar>
        <w:left w:w="0" w:type="dxa"/>
        <w:top w:w="0" w:type="dxa"/>
        <w:right w:w="0" w:type="dxa"/>
        <w:bottom w:w="0" w:type="dxa"/>
      </w:tblCellMar>
    </w:tblPr>
  </w:style>
  <w:style w:type="table" w:styleId="822" w:customStyle="1">
    <w:name w:val="无格式表格 51"/>
    <w:uiPriority w:val="99"/>
    <w:qFormat/>
    <w:tblPr>
      <w:tblCellMar>
        <w:left w:w="0" w:type="dxa"/>
        <w:top w:w="0" w:type="dxa"/>
        <w:right w:w="0" w:type="dxa"/>
        <w:bottom w:w="0" w:type="dxa"/>
      </w:tblCellMar>
    </w:tblPr>
  </w:style>
  <w:style w:type="table" w:styleId="82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2" w:customStyle="1">
    <w:name w:val="清单表 1 浅色1"/>
    <w:uiPriority w:val="99"/>
    <w:qFormat/>
    <w:tblPr>
      <w:tblCellMar>
        <w:left w:w="0" w:type="dxa"/>
        <w:top w:w="0" w:type="dxa"/>
        <w:right w:w="0" w:type="dxa"/>
        <w:bottom w:w="0" w:type="dxa"/>
      </w:tblCellMar>
    </w:tblPr>
  </w:style>
  <w:style w:type="table" w:styleId="873" w:customStyle="1">
    <w:name w:val="List Table 1 Light - Accent 1"/>
    <w:uiPriority w:val="99"/>
    <w:qFormat/>
    <w:tblPr>
      <w:tblCellMar>
        <w:left w:w="0" w:type="dxa"/>
        <w:top w:w="0" w:type="dxa"/>
        <w:right w:w="0" w:type="dxa"/>
        <w:bottom w:w="0" w:type="dxa"/>
      </w:tblCellMar>
    </w:tblPr>
  </w:style>
  <w:style w:type="table" w:styleId="874" w:customStyle="1">
    <w:name w:val="List Table 1 Light - Accent 2"/>
    <w:uiPriority w:val="99"/>
    <w:qFormat/>
    <w:tblPr>
      <w:tblCellMar>
        <w:left w:w="0" w:type="dxa"/>
        <w:top w:w="0" w:type="dxa"/>
        <w:right w:w="0" w:type="dxa"/>
        <w:bottom w:w="0" w:type="dxa"/>
      </w:tblCellMar>
    </w:tblPr>
  </w:style>
  <w:style w:type="table" w:styleId="875" w:customStyle="1">
    <w:name w:val="List Table 1 Light - Accent 3"/>
    <w:uiPriority w:val="99"/>
    <w:qFormat/>
    <w:tblPr>
      <w:tblCellMar>
        <w:left w:w="0" w:type="dxa"/>
        <w:top w:w="0" w:type="dxa"/>
        <w:right w:w="0" w:type="dxa"/>
        <w:bottom w:w="0" w:type="dxa"/>
      </w:tblCellMar>
    </w:tblPr>
  </w:style>
  <w:style w:type="table" w:styleId="876" w:customStyle="1">
    <w:name w:val="List Table 1 Light - Accent 4"/>
    <w:uiPriority w:val="99"/>
    <w:qFormat/>
    <w:tblPr>
      <w:tblCellMar>
        <w:left w:w="0" w:type="dxa"/>
        <w:top w:w="0" w:type="dxa"/>
        <w:right w:w="0" w:type="dxa"/>
        <w:bottom w:w="0" w:type="dxa"/>
      </w:tblCellMar>
    </w:tblPr>
  </w:style>
  <w:style w:type="table" w:styleId="877" w:customStyle="1">
    <w:name w:val="List Table 1 Light - Accent 5"/>
    <w:uiPriority w:val="99"/>
    <w:qFormat/>
    <w:tblPr>
      <w:tblCellMar>
        <w:left w:w="0" w:type="dxa"/>
        <w:top w:w="0" w:type="dxa"/>
        <w:right w:w="0" w:type="dxa"/>
        <w:bottom w:w="0" w:type="dxa"/>
      </w:tblCellMar>
    </w:tblPr>
  </w:style>
  <w:style w:type="table" w:styleId="878" w:customStyle="1">
    <w:name w:val="List Table 1 Light - Accent 6"/>
    <w:uiPriority w:val="99"/>
    <w:qFormat/>
    <w:tblPr>
      <w:tblCellMar>
        <w:left w:w="0" w:type="dxa"/>
        <w:top w:w="0" w:type="dxa"/>
        <w:right w:w="0" w:type="dxa"/>
        <w:bottom w:w="0" w:type="dxa"/>
      </w:tblCellMar>
    </w:tblPr>
  </w:style>
  <w:style w:type="table" w:styleId="87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2" w:customStyle="1">
    <w:name w:val="脚注文本 字符"/>
    <w:link w:val="741"/>
    <w:uiPriority w:val="99"/>
    <w:qFormat/>
    <w:rPr>
      <w:sz w:val="18"/>
    </w:rPr>
  </w:style>
  <w:style w:type="character" w:styleId="943" w:customStyle="1">
    <w:name w:val="尾注文本 字符"/>
    <w:link w:val="733"/>
    <w:uiPriority w:val="99"/>
    <w:qFormat/>
    <w:rPr>
      <w:sz w:val="20"/>
    </w:rPr>
  </w:style>
  <w:style w:type="paragraph" w:styleId="944" w:customStyle="1">
    <w:name w:val="TOC 标题11"/>
    <w:uiPriority w:val="39"/>
    <w:unhideWhenUsed/>
    <w:qFormat/>
    <w:rPr>
      <w:rFonts w:hint="default" w:ascii="Times New Roman" w:hAnsi="Times New Roman" w:eastAsia="宋体" w:cs="Times New Roman"/>
      <w:lang w:val="en-US" w:eastAsia="zh-CN" w:bidi="ar-SA"/>
    </w:rPr>
  </w:style>
  <w:style w:type="character" w:styleId="945" w:customStyle="1">
    <w:name w:val="标题 1 字符"/>
    <w:link w:val="703"/>
    <w:uiPriority w:val="0"/>
    <w:qFormat/>
    <w:rPr>
      <w:rFonts w:ascii="楷体_GB2312" w:hAnsi="Times New Roman" w:eastAsia="楷体_GB2312" w:cs="Times New Roman"/>
      <w:sz w:val="28"/>
      <w:szCs w:val="28"/>
    </w:rPr>
  </w:style>
  <w:style w:type="character" w:styleId="946" w:customStyle="1">
    <w:name w:val="标题 2 字符"/>
    <w:link w:val="704"/>
    <w:uiPriority w:val="0"/>
    <w:qFormat/>
    <w:rPr>
      <w:rFonts w:ascii="Arial" w:hAnsi="Arial" w:eastAsia="幼圆" w:cs="Arial"/>
      <w:b/>
      <w:bCs/>
      <w:sz w:val="44"/>
      <w:szCs w:val="44"/>
    </w:rPr>
  </w:style>
  <w:style w:type="character" w:styleId="947" w:customStyle="1">
    <w:name w:val="正文缩进 字符"/>
    <w:link w:val="714"/>
    <w:uiPriority w:val="0"/>
    <w:qFormat/>
    <w:rPr>
      <w:szCs w:val="21"/>
    </w:rPr>
  </w:style>
  <w:style w:type="character" w:styleId="948" w:customStyle="1">
    <w:name w:val="标题 3 字符"/>
    <w:link w:val="705"/>
    <w:uiPriority w:val="0"/>
    <w:qFormat/>
    <w:rPr>
      <w:rFonts w:ascii="Times New Roman" w:hAnsi="Times New Roman" w:eastAsia="宋体" w:cs="Times New Roman"/>
      <w:b/>
      <w:bCs/>
      <w:sz w:val="32"/>
      <w:szCs w:val="32"/>
    </w:rPr>
  </w:style>
  <w:style w:type="character" w:styleId="949" w:customStyle="1">
    <w:name w:val="标题 4 字符"/>
    <w:link w:val="706"/>
    <w:uiPriority w:val="0"/>
    <w:qFormat/>
    <w:rPr>
      <w:rFonts w:ascii="Arial" w:hAnsi="Arial" w:eastAsia="黑体" w:cs="Arial"/>
      <w:b/>
      <w:bCs/>
      <w:sz w:val="28"/>
      <w:szCs w:val="28"/>
    </w:rPr>
  </w:style>
  <w:style w:type="character" w:styleId="950" w:customStyle="1">
    <w:name w:val="标题 5 字符"/>
    <w:link w:val="707"/>
    <w:uiPriority w:val="0"/>
    <w:qFormat/>
    <w:rPr>
      <w:rFonts w:ascii="宋体" w:hAnsi="Times New Roman" w:eastAsia="宋体" w:cs="Times New Roman"/>
      <w:color w:val="000000"/>
      <w:sz w:val="28"/>
      <w:szCs w:val="28"/>
    </w:rPr>
  </w:style>
  <w:style w:type="character" w:styleId="951" w:customStyle="1">
    <w:name w:val="标题 6 字符"/>
    <w:link w:val="708"/>
    <w:uiPriority w:val="0"/>
    <w:qFormat/>
    <w:rPr>
      <w:rFonts w:ascii="Arial" w:hAnsi="Arial" w:eastAsia="黑体" w:cs="Times New Roman"/>
      <w:b/>
      <w:bCs/>
      <w:sz w:val="24"/>
      <w:szCs w:val="24"/>
    </w:rPr>
  </w:style>
  <w:style w:type="character" w:styleId="952" w:customStyle="1">
    <w:name w:val="标题 7 字符"/>
    <w:link w:val="709"/>
    <w:uiPriority w:val="0"/>
    <w:qFormat/>
    <w:rPr>
      <w:rFonts w:ascii="Times New Roman" w:hAnsi="Times New Roman" w:eastAsia="宋体" w:cs="Times New Roman"/>
      <w:b/>
      <w:bCs/>
      <w:sz w:val="24"/>
      <w:szCs w:val="24"/>
    </w:rPr>
  </w:style>
  <w:style w:type="character" w:styleId="953" w:customStyle="1">
    <w:name w:val="标题 8 字符"/>
    <w:link w:val="710"/>
    <w:uiPriority w:val="0"/>
    <w:qFormat/>
    <w:rPr>
      <w:rFonts w:ascii="Arial" w:hAnsi="Arial" w:eastAsia="黑体" w:cs="Times New Roman"/>
      <w:sz w:val="24"/>
      <w:szCs w:val="24"/>
    </w:rPr>
  </w:style>
  <w:style w:type="character" w:styleId="954" w:customStyle="1">
    <w:name w:val="标题 9 字符"/>
    <w:link w:val="711"/>
    <w:uiPriority w:val="0"/>
    <w:qFormat/>
    <w:rPr>
      <w:rFonts w:ascii="Arial" w:hAnsi="Arial" w:eastAsia="黑体" w:cs="Times New Roman"/>
      <w:szCs w:val="21"/>
    </w:rPr>
  </w:style>
  <w:style w:type="character" w:styleId="955" w:customStyle="1">
    <w:name w:val="文档结构图 字符"/>
    <w:link w:val="718"/>
    <w:uiPriority w:val="0"/>
    <w:semiHidden/>
    <w:qFormat/>
    <w:rPr>
      <w:rFonts w:ascii="Times New Roman" w:hAnsi="Times New Roman" w:eastAsia="宋体" w:cs="Times New Roman"/>
      <w:szCs w:val="21"/>
      <w:shd w:val="clear" w:color="auto" w:fill="000080"/>
    </w:rPr>
  </w:style>
  <w:style w:type="character" w:styleId="956" w:customStyle="1">
    <w:name w:val="批注文字 字符"/>
    <w:basedOn w:val="712"/>
    <w:link w:val="719"/>
    <w:uiPriority w:val="99"/>
    <w:semiHidden/>
    <w:qFormat/>
  </w:style>
  <w:style w:type="character" w:styleId="957" w:customStyle="1">
    <w:name w:val="正文文本 3 字符"/>
    <w:link w:val="720"/>
    <w:uiPriority w:val="0"/>
    <w:qFormat/>
    <w:rPr>
      <w:rFonts w:ascii="仿宋_GB2312" w:hAnsi="Arial" w:eastAsia="仿宋_GB2312" w:cs="Times New Roman"/>
      <w:sz w:val="32"/>
      <w:szCs w:val="32"/>
    </w:rPr>
  </w:style>
  <w:style w:type="character" w:styleId="958" w:customStyle="1">
    <w:name w:val="正文文本 字符"/>
    <w:link w:val="721"/>
    <w:uiPriority w:val="0"/>
    <w:qFormat/>
    <w:rPr>
      <w:rFonts w:ascii="楷体_GB2312" w:hAnsi="Arial" w:eastAsia="楷体_GB2312" w:cs="Times New Roman"/>
      <w:sz w:val="28"/>
      <w:szCs w:val="28"/>
    </w:rPr>
  </w:style>
  <w:style w:type="character" w:styleId="959" w:customStyle="1">
    <w:name w:val="正文文本缩进 字符"/>
    <w:basedOn w:val="712"/>
    <w:link w:val="722"/>
    <w:uiPriority w:val="99"/>
    <w:semiHidden/>
    <w:qFormat/>
  </w:style>
  <w:style w:type="character" w:styleId="960" w:customStyle="1">
    <w:name w:val="纯文本 字符"/>
    <w:link w:val="729"/>
    <w:uiPriority w:val="0"/>
    <w:qFormat/>
    <w:rPr>
      <w:rFonts w:ascii="宋体" w:hAnsi="Courier New" w:eastAsia="宋体" w:cs="Courier New"/>
      <w:szCs w:val="21"/>
    </w:rPr>
  </w:style>
  <w:style w:type="character" w:styleId="961" w:customStyle="1">
    <w:name w:val="日期 字符"/>
    <w:link w:val="731"/>
    <w:uiPriority w:val="0"/>
    <w:qFormat/>
    <w:rPr>
      <w:rFonts w:ascii="Times New Roman" w:hAnsi="Times New Roman" w:eastAsia="宋体" w:cs="Times New Roman"/>
      <w:sz w:val="24"/>
      <w:szCs w:val="24"/>
    </w:rPr>
  </w:style>
  <w:style w:type="character" w:styleId="962" w:customStyle="1">
    <w:name w:val="正文文本缩进 2 字符"/>
    <w:link w:val="732"/>
    <w:uiPriority w:val="0"/>
    <w:qFormat/>
    <w:rPr>
      <w:rFonts w:ascii="Arial" w:hAnsi="Arial" w:eastAsia="仿宋_GB2312" w:cs="Arial"/>
      <w:sz w:val="32"/>
      <w:szCs w:val="32"/>
    </w:rPr>
  </w:style>
  <w:style w:type="character" w:styleId="963" w:customStyle="1">
    <w:name w:val="批注框文本 字符"/>
    <w:link w:val="734"/>
    <w:uiPriority w:val="0"/>
    <w:semiHidden/>
    <w:qFormat/>
    <w:rPr>
      <w:rFonts w:ascii="Times New Roman" w:hAnsi="Times New Roman" w:eastAsia="宋体" w:cs="Times New Roman"/>
      <w:sz w:val="18"/>
      <w:szCs w:val="18"/>
    </w:rPr>
  </w:style>
  <w:style w:type="character" w:styleId="964" w:customStyle="1">
    <w:name w:val="页脚 字符"/>
    <w:link w:val="735"/>
    <w:uiPriority w:val="0"/>
    <w:qFormat/>
    <w:rPr>
      <w:rFonts w:ascii="Times New Roman" w:hAnsi="Times New Roman" w:eastAsia="宋体" w:cs="Times New Roman"/>
      <w:sz w:val="18"/>
      <w:szCs w:val="18"/>
    </w:rPr>
  </w:style>
  <w:style w:type="character" w:styleId="965" w:customStyle="1">
    <w:name w:val="页眉 字符"/>
    <w:link w:val="736"/>
    <w:uiPriority w:val="0"/>
    <w:qFormat/>
    <w:rPr>
      <w:rFonts w:ascii="Times New Roman" w:hAnsi="Times New Roman" w:eastAsia="宋体" w:cs="Times New Roman"/>
      <w:sz w:val="18"/>
      <w:szCs w:val="18"/>
    </w:rPr>
  </w:style>
  <w:style w:type="character" w:styleId="966" w:customStyle="1">
    <w:name w:val="正文文本缩进 3 字符"/>
    <w:link w:val="743"/>
    <w:uiPriority w:val="0"/>
    <w:qFormat/>
    <w:rPr>
      <w:rFonts w:ascii="Arial" w:hAnsi="Arial" w:eastAsia="仿宋_GB2312" w:cs="Arial"/>
      <w:color w:val="ffff00"/>
      <w:sz w:val="32"/>
      <w:szCs w:val="32"/>
    </w:rPr>
  </w:style>
  <w:style w:type="character" w:styleId="967" w:customStyle="1">
    <w:name w:val="正文文本 2 字符"/>
    <w:link w:val="747"/>
    <w:uiPriority w:val="0"/>
    <w:qFormat/>
    <w:rPr>
      <w:rFonts w:ascii="楷体_GB2312" w:hAnsi="Times New Roman" w:eastAsia="楷体_GB2312" w:cs="Times New Roman"/>
      <w:sz w:val="28"/>
      <w:szCs w:val="28"/>
    </w:rPr>
  </w:style>
  <w:style w:type="character" w:styleId="968" w:customStyle="1">
    <w:name w:val="批注主题 字符"/>
    <w:link w:val="751"/>
    <w:uiPriority w:val="0"/>
    <w:semiHidden/>
    <w:qFormat/>
    <w:rPr>
      <w:rFonts w:ascii="Times New Roman" w:hAnsi="Times New Roman" w:eastAsia="宋体" w:cs="Times New Roman"/>
      <w:b/>
      <w:bCs/>
      <w:szCs w:val="21"/>
    </w:rPr>
  </w:style>
  <w:style w:type="character" w:styleId="969" w:customStyle="1">
    <w:name w:val="正文文本首行缩进 字符"/>
    <w:link w:val="752"/>
    <w:uiPriority w:val="0"/>
    <w:qFormat/>
    <w:rPr>
      <w:rFonts w:ascii="仿宋_GB2312" w:hAnsi="Times New Roman" w:eastAsia="仿宋_GB2312" w:cs="Times New Roman"/>
      <w:sz w:val="30"/>
      <w:szCs w:val="30"/>
    </w:rPr>
  </w:style>
  <w:style w:type="character" w:styleId="970" w:customStyle="1">
    <w:name w:val="正文文本首行缩进 2 字符"/>
    <w:link w:val="753"/>
    <w:uiPriority w:val="0"/>
    <w:qFormat/>
    <w:rPr>
      <w:rFonts w:ascii="宋体" w:hAnsi="宋体" w:eastAsia="宋体" w:cs="Times New Roman"/>
      <w:szCs w:val="20"/>
    </w:rPr>
  </w:style>
  <w:style w:type="character" w:styleId="971" w:customStyle="1">
    <w:name w:val="已访问的超链接1"/>
    <w:uiPriority w:val="0"/>
    <w:qFormat/>
    <w:rPr>
      <w:color w:val="800080"/>
      <w:u w:val="single"/>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02"/>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02"/>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02"/>
    <w:next w:val="721"/>
    <w:uiPriority w:val="0"/>
    <w:qFormat/>
    <w:pPr>
      <w:spacing w:after="120"/>
    </w:pPr>
    <w:rPr>
      <w:rFonts w:ascii="宋体" w:hAnsi="Arial"/>
      <w:bCs/>
      <w:iCs/>
      <w:szCs w:val="24"/>
    </w:rPr>
  </w:style>
  <w:style w:type="paragraph" w:styleId="978"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02"/>
    <w:uiPriority w:val="0"/>
    <w:qFormat/>
    <w:pPr>
      <w:ind w:firstLine="200"/>
      <w:tabs>
        <w:tab w:val="left" w:pos="360" w:leader="none"/>
      </w:tabs>
    </w:pPr>
    <w:rPr>
      <w:sz w:val="28"/>
      <w:szCs w:val="30"/>
    </w:rPr>
  </w:style>
  <w:style w:type="paragraph" w:styleId="981" w:customStyle="1">
    <w:name w:val="Char1"/>
    <w:basedOn w:val="718"/>
    <w:uiPriority w:val="0"/>
    <w:qFormat/>
    <w:rPr>
      <w:rFonts w:ascii="Tahoma" w:hAnsi="Tahoma"/>
      <w:sz w:val="24"/>
      <w:szCs w:val="24"/>
    </w:rPr>
  </w:style>
  <w:style w:type="paragraph" w:styleId="982"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02"/>
    <w:uiPriority w:val="0"/>
    <w:qFormat/>
    <w:pPr>
      <w:jc w:val="left"/>
      <w:widowControl/>
    </w:pPr>
    <w:rPr>
      <w:sz w:val="20"/>
      <w:szCs w:val="20"/>
      <w:lang w:val="de-DE" w:eastAsia="de-DE"/>
    </w:rPr>
  </w:style>
  <w:style w:type="paragraph" w:styleId="98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5"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718"/>
    <w:uiPriority w:val="0"/>
    <w:qFormat/>
    <w:pPr>
      <w:spacing w:line="360" w:lineRule="auto"/>
    </w:pPr>
    <w:rPr>
      <w:rFonts w:ascii="Tahoma" w:hAnsi="Tahoma"/>
      <w:sz w:val="24"/>
      <w:szCs w:val="24"/>
    </w:rPr>
  </w:style>
  <w:style w:type="paragraph" w:styleId="987" w:customStyle="1">
    <w:name w:val="4"/>
    <w:basedOn w:val="702"/>
    <w:next w:val="743"/>
    <w:uiPriority w:val="0"/>
    <w:qFormat/>
    <w:pPr>
      <w:ind w:firstLine="420"/>
      <w:spacing w:line="360" w:lineRule="auto"/>
    </w:pPr>
    <w:rPr>
      <w:color w:val="ff0000"/>
      <w:sz w:val="24"/>
      <w:szCs w:val="24"/>
    </w:rPr>
  </w:style>
  <w:style w:type="paragraph" w:styleId="988"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702"/>
    <w:uiPriority w:val="0"/>
    <w:qFormat/>
    <w:pPr>
      <w:spacing w:line="360" w:lineRule="auto"/>
    </w:pPr>
    <w:rPr>
      <w:sz w:val="24"/>
      <w:szCs w:val="20"/>
    </w:rPr>
  </w:style>
  <w:style w:type="paragraph" w:styleId="990" w:customStyle="1">
    <w:name w:val="样式1"/>
    <w:basedOn w:val="702"/>
    <w:uiPriority w:val="0"/>
    <w:qFormat/>
    <w:pPr>
      <w:numPr>
        <w:ilvl w:val="0"/>
        <w:numId w:val="3"/>
      </w:numPr>
    </w:pPr>
    <w:rPr>
      <w:rFonts w:ascii="宋体" w:hAnsi="宋体"/>
      <w:szCs w:val="21"/>
    </w:rPr>
  </w:style>
  <w:style w:type="paragraph" w:styleId="991"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95"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8"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1000"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718"/>
    <w:uiPriority w:val="0"/>
    <w:qFormat/>
    <w:pPr>
      <w:spacing w:line="360" w:lineRule="auto"/>
    </w:pPr>
    <w:rPr>
      <w:rFonts w:ascii="Tahoma" w:hAnsi="Tahoma"/>
      <w:sz w:val="24"/>
      <w:szCs w:val="24"/>
    </w:rPr>
  </w:style>
  <w:style w:type="paragraph" w:styleId="1002" w:customStyle="1">
    <w:name w:val="table_1stline"/>
    <w:basedOn w:val="702"/>
    <w:uiPriority w:val="0"/>
    <w:qFormat/>
    <w:pPr>
      <w:jc w:val="left"/>
      <w:spacing w:before="120"/>
      <w:widowControl/>
    </w:pPr>
    <w:rPr>
      <w:bCs/>
      <w:sz w:val="20"/>
      <w:szCs w:val="20"/>
      <w:lang w:val="de-DE" w:eastAsia="de-DE"/>
    </w:rPr>
  </w:style>
  <w:style w:type="paragraph" w:styleId="1003"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正文文本1"/>
    <w:basedOn w:val="702"/>
    <w:next w:val="702"/>
    <w:uiPriority w:val="99"/>
    <w:unhideWhenUsed/>
    <w:qFormat/>
    <w:pPr>
      <w:spacing w:after="120"/>
    </w:pPr>
  </w:style>
  <w:style w:type="paragraph" w:styleId="1007" w:customStyle="1">
    <w:name w:val="信息标题1"/>
    <w:basedOn w:val="702"/>
    <w:next w:val="70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08"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1009" w:customStyle="1">
    <w:name w:val="NormalCharacter1"/>
    <w:uiPriority w:val="0"/>
    <w:semiHidden/>
    <w:qFormat/>
  </w:style>
  <w:style w:type="paragraph" w:styleId="1010"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段"/>
    <w:next w:val="1012"/>
    <w:uiPriority w:val="99"/>
    <w:qFormat/>
    <w:pPr>
      <w:ind w:firstLine="200"/>
      <w:jc w:val="both"/>
    </w:pPr>
    <w:rPr>
      <w:rFonts w:hint="default" w:ascii="宋体" w:hAnsi="Times New Roman" w:eastAsia="宋体" w:cs="Times New Roman"/>
      <w:sz w:val="22"/>
      <w:lang w:val="en-US" w:eastAsia="zh-CN" w:bidi="ar-SA"/>
    </w:rPr>
  </w:style>
  <w:style w:type="paragraph" w:styleId="1012" w:customStyle="1">
    <w:name w:val="正文 A"/>
    <w:next w:val="1011"/>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1013" w:customStyle="1">
    <w:name w:val="font21"/>
    <w:uiPriority w:val="0"/>
    <w:qFormat/>
    <w:rPr>
      <w:rFonts w:ascii="宋体" w:hAnsi="宋体" w:eastAsia="宋体" w:cs="宋体"/>
      <w:b/>
      <w:bCs/>
      <w:color w:val="000000"/>
      <w:sz w:val="14"/>
      <w:szCs w:val="14"/>
      <w:u w:val="none"/>
    </w:rPr>
  </w:style>
  <w:style w:type="character" w:styleId="1014" w:customStyle="1">
    <w:name w:val="font31"/>
    <w:uiPriority w:val="0"/>
    <w:qFormat/>
    <w:rPr>
      <w:rFonts w:ascii="宋体" w:hAnsi="宋体" w:eastAsia="宋体" w:cs="宋体"/>
      <w:color w:val="000000"/>
      <w:sz w:val="14"/>
      <w:szCs w:val="14"/>
      <w:u w:val="none"/>
    </w:rPr>
  </w:style>
  <w:style w:type="paragraph" w:styleId="1015" w:customStyle="1">
    <w:name w:val="TOC Heading1"/>
    <w:next w:val="702"/>
    <w:uiPriority w:val="0"/>
    <w:qFormat/>
    <w:rPr>
      <w:rFonts w:hint="default" w:ascii="Calibri" w:hAnsi="Calibri" w:eastAsia="宋体" w:cs="Times New Roman"/>
      <w:sz w:val="32"/>
      <w:lang w:val="en-US" w:eastAsia="zh-CN" w:bidi="ar-SA"/>
    </w:rPr>
  </w:style>
  <w:style w:type="paragraph" w:styleId="1016" w:customStyle="1">
    <w:name w:val="BodyText1I21"/>
    <w:basedOn w:val="1017"/>
    <w:uiPriority w:val="0"/>
    <w:qFormat/>
    <w:pPr>
      <w:ind w:left="420" w:firstLine="420"/>
      <w:spacing w:after="120" w:line="240" w:lineRule="auto"/>
    </w:pPr>
    <w:rPr>
      <w:rFonts w:ascii="Calibri" w:hAnsi="Calibri"/>
      <w:szCs w:val="22"/>
    </w:rPr>
  </w:style>
  <w:style w:type="paragraph" w:styleId="1017" w:customStyle="1">
    <w:name w:val="BodyTextIndent1"/>
    <w:basedOn w:val="702"/>
    <w:next w:val="1018"/>
    <w:uiPriority w:val="0"/>
    <w:qFormat/>
    <w:pPr>
      <w:ind w:firstLine="412"/>
      <w:spacing w:line="280" w:lineRule="atLeast"/>
    </w:pPr>
    <w:rPr>
      <w:rFonts w:ascii="Courier New" w:hAnsi="Courier New"/>
      <w:szCs w:val="20"/>
    </w:rPr>
  </w:style>
  <w:style w:type="paragraph" w:styleId="1018" w:customStyle="1">
    <w:name w:val="EnvelopeReturn1"/>
    <w:basedOn w:val="702"/>
    <w:uiPriority w:val="0"/>
    <w:qFormat/>
    <w:rPr>
      <w:rFonts w:ascii="Arial" w:hAnsi="Arial"/>
      <w:szCs w:val="24"/>
    </w:rPr>
  </w:style>
  <w:style w:type="paragraph" w:styleId="1019" w:customStyle="1">
    <w:name w:val="PlainText1"/>
    <w:basedOn w:val="702"/>
    <w:uiPriority w:val="0"/>
    <w:qFormat/>
    <w:rPr>
      <w:rFonts w:ascii="宋体" w:hAnsi="Courier New"/>
      <w:szCs w:val="21"/>
    </w:rPr>
  </w:style>
  <w:style w:type="character" w:styleId="1020" w:customStyle="1">
    <w:name w:val="UserStyle_6"/>
    <w:basedOn w:val="1009"/>
    <w:uiPriority w:val="0"/>
    <w:qFormat/>
  </w:style>
  <w:style w:type="character" w:styleId="1021" w:customStyle="1">
    <w:name w:val="font41"/>
    <w:uiPriority w:val="0"/>
    <w:qFormat/>
    <w:rPr>
      <w:rFonts w:hint="eastAsia" w:ascii="宋体" w:hAnsi="宋体" w:eastAsia="宋体" w:cs="宋体"/>
      <w:color w:val="000000"/>
      <w:sz w:val="24"/>
      <w:szCs w:val="24"/>
      <w:u w:val="none"/>
    </w:rPr>
  </w:style>
  <w:style w:type="paragraph" w:styleId="1022" w:customStyle="1">
    <w:name w:val="UserStyle_29"/>
    <w:next w:val="1023"/>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1023" w:customStyle="1">
    <w:name w:val="UserStyle_30"/>
    <w:next w:val="1022"/>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1024" w:customStyle="1">
    <w:name w:val="NormalCharacter"/>
    <w:uiPriority w:val="0"/>
    <w:semiHidden/>
    <w:qFormat/>
  </w:style>
  <w:style w:type="paragraph" w:styleId="1025" w:customStyle="1">
    <w:name w:val="列出段落3"/>
    <w:basedOn w:val="702"/>
    <w:uiPriority w:val="0"/>
    <w:qFormat/>
    <w:pPr>
      <w:ind w:firstLine="420"/>
      <w:widowControl/>
    </w:pPr>
    <w:rPr>
      <w:rFonts w:ascii="Calibri" w:hAnsi="Calibri"/>
      <w:szCs w:val="20"/>
    </w:rPr>
  </w:style>
  <w:style w:type="paragraph" w:styleId="1026" w:customStyle="1">
    <w:name w:val="foot-second"/>
    <w:basedOn w:val="702"/>
    <w:uiPriority w:val="0"/>
    <w:qFormat/>
    <w:pPr>
      <w:jc w:val="left"/>
      <w:spacing w:before="100" w:beforeAutospacing="1" w:after="100" w:afterAutospacing="1"/>
      <w:widowControl/>
    </w:pPr>
    <w:rPr>
      <w:rFonts w:ascii="宋体" w:hAnsi="宋体" w:cs="宋体"/>
      <w:sz w:val="24"/>
      <w:szCs w:val="24"/>
    </w:rPr>
  </w:style>
  <w:style w:type="character" w:styleId="1027" w:customStyle="1">
    <w:name w:val="foot-second-space"/>
    <w:uiPriority w:val="0"/>
    <w:qFormat/>
  </w:style>
  <w:style w:type="paragraph" w:styleId="1028" w:customStyle="1">
    <w:name w:val="正文首行缩进 21"/>
    <w:basedOn w:val="1029"/>
    <w:uiPriority w:val="0"/>
    <w:qFormat/>
    <w:pPr>
      <w:ind w:firstLine="420"/>
    </w:pPr>
  </w:style>
  <w:style w:type="paragraph" w:styleId="1029" w:customStyle="1">
    <w:name w:val="正文文本缩进1"/>
    <w:basedOn w:val="702"/>
    <w:uiPriority w:val="0"/>
    <w:qFormat/>
    <w:pPr>
      <w:ind w:left="420"/>
      <w:spacing w:after="120"/>
    </w:pPr>
  </w:style>
  <w:style w:type="paragraph" w:styleId="103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1" w:customStyle="1">
    <w:name w:val="页脚1"/>
    <w:basedOn w:val="702"/>
    <w:uiPriority w:val="99"/>
    <w:unhideWhenUsed/>
    <w:qFormat/>
    <w:pPr>
      <w:jc w:val="left"/>
      <w:tabs>
        <w:tab w:val="center" w:pos="4153" w:leader="none"/>
        <w:tab w:val="right" w:pos="8306" w:leader="none"/>
      </w:tabs>
    </w:pPr>
    <w:rPr>
      <w:sz w:val="18"/>
      <w:szCs w:val="18"/>
    </w:rPr>
  </w:style>
  <w:style w:type="paragraph" w:styleId="1032"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标题 31"/>
    <w:basedOn w:val="702"/>
    <w:next w:val="702"/>
    <w:uiPriority w:val="0"/>
    <w:qFormat/>
    <w:pPr>
      <w:numPr>
        <w:ilvl w:val="2"/>
        <w:numId w:val="1"/>
      </w:numPr>
      <w:keepLines/>
      <w:keepNext/>
      <w:spacing w:before="260" w:after="260" w:line="416" w:lineRule="atLeast"/>
      <w:outlineLvl w:val="2"/>
    </w:pPr>
    <w:rPr>
      <w:b/>
      <w:bCs/>
      <w:sz w:val="32"/>
      <w:szCs w:val="32"/>
    </w:rPr>
  </w:style>
  <w:style w:type="paragraph" w:styleId="1034" w:customStyle="1">
    <w:name w:val="普通(网站)12"/>
    <w:basedOn w:val="702"/>
    <w:uiPriority w:val="0"/>
    <w:unhideWhenUsed/>
    <w:qFormat/>
    <w:pPr>
      <w:jc w:val="left"/>
      <w:spacing w:before="100" w:beforeAutospacing="1" w:after="100" w:afterAutospacing="1"/>
      <w:widowControl/>
    </w:pPr>
    <w:rPr>
      <w:rFonts w:eastAsia="Times New Roman"/>
      <w:sz w:val="24"/>
    </w:rPr>
  </w:style>
  <w:style w:type="paragraph" w:styleId="1035" w:customStyle="1">
    <w:name w:val="Normal_0_2"/>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1036" w:customStyle="1">
    <w:name w:val="Normal_21"/>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1037" w:customStyle="1">
    <w:name w:val="Normal_18"/>
    <w:uiPriority w:val="0"/>
    <w:qFormat/>
    <w:pPr>
      <w:spacing w:after="0" w:line="240" w:lineRule="auto"/>
    </w:pPr>
    <w:rPr>
      <w:rFonts w:ascii="Times New Roman" w:hAnsi="Times New Roman" w:eastAsia="Times New Roman" w:cs="Times New Roman"/>
      <w:sz w:val="24"/>
      <w:szCs w:val="24"/>
      <w:lang w:val="en-US" w:eastAsia="zh-CN" w:bidi="ar-SA"/>
      <w14:ligatures w14:val="none"/>
    </w:rPr>
  </w:style>
  <w:style w:type="paragraph" w:styleId="1038" w:customStyle="1">
    <w:name w:val="彩色列表1"/>
    <w:basedOn w:val="702"/>
    <w:uiPriority w:val="0"/>
    <w:qFormat/>
    <w:pPr>
      <w:ind w:firstLine="420"/>
    </w:pPr>
    <w:rPr>
      <w:szCs w:val="24"/>
    </w:rPr>
  </w:style>
  <w:style w:type="character" w:styleId="1039" w:customStyle="1">
    <w:name w:val="UserStyle_28"/>
    <w:uiPriority w:val="0"/>
    <w:semiHidden/>
    <w:qFormat/>
  </w:style>
  <w:style w:type="paragraph" w:styleId="1040" w:customStyle="1">
    <w:name w:val="_Style 3"/>
    <w:next w:val="743"/>
    <w:uiPriority w:val="99"/>
    <w:qFormat/>
    <w:pPr>
      <w:jc w:val="both"/>
      <w:widowControl w:val="off"/>
    </w:pPr>
    <w:rPr>
      <w:rFonts w:ascii="Times New Roman" w:hAnsi="Times New Roman" w:eastAsia="宋体" w:cs="Times New Roman"/>
      <w:sz w:val="21"/>
      <w:szCs w:val="22"/>
      <w:lang w:val="en-US" w:eastAsia="zh-CN" w:bidi="ar-SA"/>
    </w:rPr>
  </w:style>
  <w:style w:type="paragraph" w:styleId="1041" w:customStyle="1">
    <w:name w:val="p17"/>
    <w:basedOn w:val="702"/>
    <w:uiPriority w:val="0"/>
    <w:qFormat/>
    <w:pPr>
      <w:ind w:firstLine="420"/>
    </w:pPr>
    <w:rPr>
      <w:rFonts w:ascii="Times New Roman" w:hAnsi="Times New Roman" w:eastAsia="宋体" w:cs="Times New Roman"/>
      <w:b/>
      <w:bCs/>
      <w:sz w:val="28"/>
      <w:szCs w:val="28"/>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陈婷</cp:lastModifiedBy>
  <cp:revision>68</cp:revision>
  <dcterms:created xsi:type="dcterms:W3CDTF">2023-03-16T18:13:00Z</dcterms:created>
  <dcterms:modified xsi:type="dcterms:W3CDTF">2026-07-02T10:07:14Z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80C7520441B442CA83D37DDA74480AB6_13</vt:lpwstr>
  </property>
  <property fmtid="{D5CDD505-2E9C-101B-9397-08002B2CF9AE}" pid="4" name="KSOTemplateDocerSaveRecord">
    <vt:lpwstr>eyJoZGlkIjoiZThjMTNiYmMyNjYzZjg4YTJmYjhlOTViYjEzZDViODAiLCJ1c2VySWQiOiIxNTIwMjU0MTk4In0=</vt:lpwstr>
  </property>
</Properties>
</file>