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spacing w:before="120" w:after="120" w:line="360" w:lineRule="auto"/>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灌云县2026年度农村供水工程维修养护项目</w:t>
      </w:r>
      <w:r>
        <w:rPr>
          <w:rFonts w:hint="eastAsia" w:ascii="宋体" w:hAnsi="宋体" w:eastAsia="宋体" w:cs="宋体"/>
          <w:b/>
          <w:bCs/>
          <w:sz w:val="36"/>
          <w:szCs w:val="36"/>
          <w:lang w:eastAsia="zh-CN"/>
        </w:rPr>
      </w:r>
      <w:r/>
    </w:p>
    <w:p>
      <w:pPr>
        <w:pStyle w:val="700"/>
        <w:jc w:val="center"/>
        <w:spacing w:before="120" w:after="120" w:line="360" w:lineRule="auto"/>
        <w:rPr>
          <w:rFonts w:ascii="宋体" w:hAnsi="宋体" w:eastAsia="宋体" w:cs="宋体"/>
          <w:b/>
          <w:bCs/>
          <w:sz w:val="32"/>
          <w:szCs w:val="32"/>
        </w:rPr>
      </w:pPr>
      <w:r>
        <w:rPr>
          <w:rFonts w:hint="eastAsia" w:ascii="宋体" w:hAnsi="宋体" w:eastAsia="宋体" w:cs="宋体"/>
          <w:b/>
          <w:bCs/>
          <w:sz w:val="32"/>
          <w:szCs w:val="32"/>
        </w:rPr>
        <w:t xml:space="preserve">（专门面向中小企业）</w:t>
      </w:r>
      <w:r>
        <w:rPr>
          <w:rFonts w:ascii="宋体" w:hAnsi="宋体" w:eastAsia="宋体" w:cs="宋体"/>
          <w:b/>
          <w:bCs/>
          <w:sz w:val="32"/>
          <w:szCs w:val="32"/>
        </w:rPr>
      </w:r>
      <w:r/>
    </w:p>
    <w:p>
      <w:pPr>
        <w:pStyle w:val="700"/>
        <w:spacing w:before="120" w:after="120" w:line="360" w:lineRule="auto"/>
        <w:rPr>
          <w:rFonts w:ascii="宋体" w:hAnsi="宋体" w:eastAsia="宋体" w:cs="宋体"/>
          <w:b/>
          <w:bCs/>
          <w:sz w:val="72"/>
        </w:rPr>
      </w:pPr>
      <w:r>
        <w:rPr>
          <w:rFonts w:ascii="宋体" w:hAnsi="宋体" w:eastAsia="宋体" w:cs="宋体"/>
          <w:b/>
          <w:bCs/>
          <w:sz w:val="72"/>
        </w:rPr>
      </w:r>
      <w:r/>
    </w:p>
    <w:p>
      <w:pPr>
        <w:pStyle w:val="700"/>
        <w:jc w:val="center"/>
        <w:spacing w:before="120" w:after="120" w:line="360" w:lineRule="auto"/>
        <w:rPr>
          <w:rFonts w:ascii="宋体" w:hAnsi="宋体" w:eastAsia="宋体" w:cs="宋体"/>
          <w:b/>
          <w:bCs/>
          <w:sz w:val="72"/>
          <w:highlight w:val="none"/>
        </w:rPr>
      </w:pPr>
      <w:r>
        <w:rPr>
          <w:rFonts w:ascii="宋体" w:hAnsi="宋体" w:eastAsia="宋体" w:cs="宋体"/>
          <w:b/>
          <w:bCs/>
          <w:sz w:val="72"/>
          <w:highlight w:val="none"/>
        </w:rPr>
      </w:r>
      <w:r/>
    </w:p>
    <w:p>
      <w:pPr>
        <w:pStyle w:val="700"/>
        <w:jc w:val="center"/>
        <w:spacing w:before="120" w:after="120" w:line="360" w:lineRule="auto"/>
        <w:rPr>
          <w:rFonts w:ascii="宋体" w:hAnsi="宋体" w:eastAsia="宋体" w:cs="宋体"/>
          <w:b/>
          <w:bCs/>
          <w:sz w:val="72"/>
          <w:highlight w:val="none"/>
        </w:rPr>
      </w:pPr>
      <w:r>
        <w:rPr>
          <w:rFonts w:ascii="宋体" w:hAnsi="宋体" w:eastAsia="宋体" w:cs="宋体"/>
          <w:b/>
          <w:bCs/>
          <w:sz w:val="72"/>
          <w:highlight w:val="none"/>
        </w:rPr>
      </w:r>
      <w:r/>
    </w:p>
    <w:p>
      <w:pPr>
        <w:pStyle w:val="700"/>
        <w:jc w:val="center"/>
        <w:spacing w:before="120" w:after="120" w:line="360" w:lineRule="auto"/>
        <w:rPr>
          <w:rFonts w:ascii="宋体" w:hAnsi="宋体" w:eastAsia="宋体" w:cs="宋体"/>
          <w:b/>
          <w:bCs/>
          <w:sz w:val="72"/>
          <w:highlight w:val="none"/>
        </w:rPr>
      </w:pPr>
      <w:r>
        <w:rPr>
          <w:rFonts w:hint="eastAsia" w:ascii="宋体" w:hAnsi="宋体" w:eastAsia="宋体" w:cs="宋体"/>
          <w:b/>
          <w:bCs/>
          <w:sz w:val="72"/>
          <w:highlight w:val="none"/>
        </w:rPr>
        <w:t xml:space="preserve">招标文件</w:t>
      </w:r>
      <w:r>
        <w:rPr>
          <w:rFonts w:ascii="宋体" w:hAnsi="宋体" w:eastAsia="宋体" w:cs="宋体"/>
          <w:b/>
          <w:bCs/>
          <w:sz w:val="72"/>
          <w:highlight w:val="none"/>
        </w:rPr>
      </w:r>
      <w:r/>
    </w:p>
    <w:p>
      <w:pPr>
        <w:pStyle w:val="700"/>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700"/>
        <w:jc w:val="center"/>
        <w:rPr>
          <w:rFonts w:hint="eastAsia" w:ascii="宋体" w:hAnsi="宋体" w:eastAsia="宋体" w:cs="宋体"/>
          <w:b/>
          <w:sz w:val="30"/>
          <w:szCs w:val="30"/>
          <w:highlight w:val="none"/>
          <w:lang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JSZC-320723-LYGZ-G2026-0004</w:t>
      </w:r>
      <w:r>
        <w:rPr>
          <w:rFonts w:hint="eastAsia" w:ascii="宋体" w:hAnsi="宋体" w:eastAsia="宋体" w:cs="宋体"/>
          <w:b/>
          <w:sz w:val="30"/>
          <w:szCs w:val="30"/>
          <w:highlight w:val="none"/>
          <w:lang w:eastAsia="zh-CN"/>
        </w:rPr>
      </w:r>
      <w:r/>
    </w:p>
    <w:p>
      <w:pPr>
        <w:pStyle w:val="700"/>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00"/>
        <w:spacing w:before="120" w:after="120" w:line="360" w:lineRule="auto"/>
        <w:rPr>
          <w:rFonts w:ascii="宋体" w:hAnsi="宋体" w:eastAsia="宋体" w:cs="宋体"/>
          <w:b/>
          <w:bCs/>
          <w:sz w:val="32"/>
          <w:szCs w:val="24"/>
          <w:highlight w:val="none"/>
        </w:rPr>
        <w:outlineLvl w:val="0"/>
      </w:pPr>
      <w:r/>
      <w:bookmarkStart w:id="0" w:name="_Toc10532"/>
      <w:r/>
      <w:bookmarkStart w:id="1" w:name="_Toc13903"/>
      <w:r/>
      <w:bookmarkStart w:id="2" w:name="_Toc7719"/>
      <w:r/>
      <w:bookmarkStart w:id="3" w:name="_Toc17408"/>
      <w:r>
        <w:rPr>
          <w:rFonts w:ascii="宋体" w:hAnsi="宋体" w:eastAsia="宋体" w:cs="宋体"/>
          <w:b/>
          <w:bCs/>
          <w:sz w:val="32"/>
          <w:szCs w:val="24"/>
          <w:highlight w:val="none"/>
        </w:rPr>
      </w:r>
      <w:r/>
    </w:p>
    <w:p>
      <w:pPr>
        <w:pStyle w:val="700"/>
        <w:spacing w:before="120" w:after="120" w:line="360" w:lineRule="auto"/>
        <w:rPr>
          <w:rFonts w:ascii="宋体" w:hAnsi="宋体" w:eastAsia="宋体" w:cs="宋体"/>
          <w:b/>
          <w:bCs/>
          <w:sz w:val="32"/>
          <w:szCs w:val="24"/>
          <w:highlight w:val="none"/>
        </w:rPr>
        <w:outlineLvl w:val="0"/>
      </w:pPr>
      <w:r>
        <w:rPr>
          <w:rFonts w:ascii="宋体" w:hAnsi="宋体" w:eastAsia="宋体" w:cs="宋体"/>
          <w:b/>
          <w:bCs/>
          <w:sz w:val="32"/>
          <w:szCs w:val="24"/>
          <w:highlight w:val="none"/>
        </w:rPr>
      </w:r>
      <w:r/>
    </w:p>
    <w:p>
      <w:pPr>
        <w:pStyle w:val="700"/>
        <w:ind w:firstLine="1606"/>
        <w:spacing w:before="120" w:after="120" w:line="360" w:lineRule="auto"/>
        <w:rPr>
          <w:rFonts w:ascii="宋体" w:hAnsi="宋体" w:eastAsia="宋体" w:cs="宋体"/>
          <w:b/>
          <w:bCs/>
          <w:sz w:val="32"/>
          <w:szCs w:val="24"/>
          <w:highlight w:val="none"/>
        </w:rPr>
        <w:outlineLvl w:val="0"/>
      </w:pPr>
      <w:r>
        <w:rPr>
          <w:rFonts w:ascii="宋体" w:hAnsi="宋体" w:eastAsia="宋体" w:cs="宋体"/>
          <w:b/>
          <w:bCs/>
          <w:sz w:val="32"/>
          <w:szCs w:val="24"/>
          <w:highlight w:val="none"/>
        </w:rPr>
      </w:r>
      <w:r/>
    </w:p>
    <w:p>
      <w:pPr>
        <w:pStyle w:val="700"/>
        <w:ind w:firstLine="480"/>
        <w:spacing w:before="120" w:after="120" w:line="360" w:lineRule="auto"/>
        <w:rPr>
          <w:rFonts w:hint="eastAsia" w:ascii="宋体" w:hAnsi="宋体" w:eastAsia="宋体" w:cs="宋体"/>
          <w:b/>
          <w:bCs/>
          <w:sz w:val="32"/>
          <w:szCs w:val="24"/>
          <w:highlight w:val="none"/>
          <w:lang w:eastAsia="zh-CN"/>
        </w:rPr>
        <w:outlineLvl w:val="0"/>
      </w:pPr>
      <w:r>
        <w:rPr>
          <w:rFonts w:hint="eastAsia" w:ascii="宋体" w:hAnsi="宋体" w:eastAsia="宋体" w:cs="宋体"/>
          <w:b/>
          <w:bCs/>
          <w:sz w:val="32"/>
          <w:szCs w:val="24"/>
          <w:highlight w:val="none"/>
        </w:rPr>
        <w:t xml:space="preserve">招   标   人：</w:t>
      </w:r>
      <w:bookmarkEnd w:id="0"/>
      <w:r/>
      <w:bookmarkEnd w:id="1"/>
      <w:r/>
      <w:bookmarkEnd w:id="2"/>
      <w:r/>
      <w:bookmarkEnd w:id="3"/>
      <w:r/>
      <w:bookmarkStart w:id="4" w:name="_Toc25504"/>
      <w:r/>
      <w:bookmarkStart w:id="5" w:name="_Toc17956"/>
      <w:r/>
      <w:bookmarkStart w:id="6" w:name="_Toc2460"/>
      <w:r/>
      <w:bookmarkStart w:id="7" w:name="_Toc14767"/>
      <w:r/>
      <w:bookmarkStart w:id="8" w:name="_Toc31270"/>
      <w:r/>
      <w:bookmarkStart w:id="9" w:name="_Toc1865"/>
      <w:r/>
      <w:bookmarkStart w:id="10" w:name="_Toc931"/>
      <w:r/>
      <w:bookmarkStart w:id="11" w:name="_Toc1689"/>
      <w:r>
        <w:rPr>
          <w:rFonts w:hint="eastAsia" w:ascii="宋体" w:hAnsi="宋体" w:cs="宋体"/>
          <w:b/>
          <w:bCs/>
          <w:sz w:val="32"/>
          <w:szCs w:val="24"/>
          <w:highlight w:val="none"/>
          <w:lang w:eastAsia="zh-CN"/>
        </w:rPr>
        <w:t xml:space="preserve">灌云县水利局</w:t>
      </w:r>
      <w:r>
        <w:rPr>
          <w:rFonts w:hint="eastAsia" w:ascii="宋体" w:hAnsi="宋体" w:eastAsia="宋体" w:cs="宋体"/>
          <w:b/>
          <w:bCs/>
          <w:sz w:val="32"/>
          <w:szCs w:val="24"/>
          <w:highlight w:val="none"/>
          <w:lang w:eastAsia="zh-CN"/>
        </w:rPr>
      </w:r>
      <w:r/>
    </w:p>
    <w:p>
      <w:pPr>
        <w:pStyle w:val="700"/>
        <w:ind w:firstLine="480"/>
        <w:spacing w:before="120" w:after="120" w:line="360" w:lineRule="auto"/>
        <w:rPr>
          <w:rFonts w:ascii="宋体" w:hAnsi="宋体" w:eastAsia="宋体" w:cs="宋体"/>
          <w:b/>
          <w:bCs/>
          <w:sz w:val="32"/>
          <w:szCs w:val="24"/>
          <w:highlight w:val="none"/>
        </w:rPr>
        <w:outlineLvl w:val="0"/>
      </w:pPr>
      <w:r>
        <w:rPr>
          <w:rFonts w:hint="eastAsia" w:ascii="宋体" w:hAnsi="宋体" w:eastAsia="宋体" w:cs="宋体"/>
          <w:b/>
          <w:bCs/>
          <w:sz w:val="32"/>
          <w:szCs w:val="24"/>
          <w:highlight w:val="none"/>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sz w:val="32"/>
          <w:szCs w:val="24"/>
          <w:highlight w:val="none"/>
        </w:rPr>
        <w:t xml:space="preserve">连云港市正源招标代理有限公司</w:t>
      </w:r>
      <w:r>
        <w:rPr>
          <w:rFonts w:ascii="宋体" w:hAnsi="宋体" w:eastAsia="宋体" w:cs="宋体"/>
          <w:b/>
          <w:bCs/>
          <w:sz w:val="32"/>
          <w:szCs w:val="24"/>
          <w:highlight w:val="none"/>
        </w:rPr>
      </w:r>
      <w:r/>
    </w:p>
    <w:p>
      <w:pPr>
        <w:pStyle w:val="700"/>
        <w:jc w:val="center"/>
        <w:spacing w:before="120" w:after="120" w:line="360" w:lineRule="auto"/>
      </w:pPr>
      <w:r>
        <w:rPr>
          <w:rFonts w:hint="eastAsia" w:ascii="宋体" w:hAnsi="宋体" w:eastAsia="宋体" w:cs="宋体"/>
          <w:b/>
          <w:bCs/>
          <w:sz w:val="32"/>
          <w:szCs w:val="24"/>
          <w:highlight w:val="none"/>
        </w:rPr>
        <w:t xml:space="preserve">202</w:t>
      </w:r>
      <w:r>
        <w:rPr>
          <w:rFonts w:hint="eastAsia" w:ascii="宋体" w:hAnsi="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年</w:t>
      </w:r>
      <w:r>
        <w:rPr>
          <w:rFonts w:hint="eastAsia" w:ascii="宋体" w:hAnsi="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月</w:t>
      </w:r>
      <w:r>
        <w:fldChar w:fldCharType="begin"/>
      </w:r>
      <w:r>
        <w:instrText xml:space="preserve"> TOC \o "1-1" \u </w:instrText>
      </w:r>
      <w:r>
        <w:fldChar w:fldCharType="separate"/>
      </w:r>
      <w:r/>
    </w:p>
    <w:p>
      <w:pPr>
        <w:pStyle w:val="700"/>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701"/>
        <w:jc w:val="center"/>
        <w:spacing w:before="156" w:after="156" w:line="360" w:lineRule="auto"/>
        <w:rPr>
          <w:rFonts w:ascii="黑体" w:hAnsi="黑体" w:eastAsia="黑体"/>
          <w:b w:val="0"/>
        </w:rPr>
      </w:pPr>
      <w:r>
        <w:rPr>
          <w:rFonts w:hint="eastAsia" w:ascii="黑体" w:hAnsi="黑体" w:eastAsia="黑体"/>
          <w:b w:val="0"/>
        </w:rPr>
        <w:br w:type="page" w:clear="all"/>
      </w:r>
      <w:r>
        <w:rPr>
          <w:rFonts w:hint="eastAsia" w:ascii="黑体" w:hAnsi="黑体" w:eastAsia="黑体"/>
          <w:b w:val="0"/>
        </w:rPr>
        <w:t xml:space="preserve">目  录</w:t>
      </w:r>
      <w:r>
        <w:rPr>
          <w:rFonts w:ascii="黑体" w:hAnsi="黑体" w:eastAsia="黑体"/>
          <w:b w:val="0"/>
        </w:rPr>
      </w:r>
      <w:r/>
    </w:p>
    <w:p>
      <w:pPr>
        <w:pStyle w:val="74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74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74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20</w:t>
      </w:r>
      <w:r>
        <w:rPr>
          <w:sz w:val="32"/>
        </w:rPr>
        <w:fldChar w:fldCharType="end"/>
      </w:r>
      <w:r>
        <w:rPr>
          <w:sz w:val="32"/>
        </w:rPr>
      </w:r>
      <w:r/>
    </w:p>
    <w:p>
      <w:pPr>
        <w:pStyle w:val="74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23</w:t>
      </w:r>
      <w:r>
        <w:rPr>
          <w:sz w:val="32"/>
        </w:rPr>
        <w:fldChar w:fldCharType="end"/>
      </w:r>
      <w:r>
        <w:rPr>
          <w:sz w:val="32"/>
        </w:rPr>
      </w:r>
      <w:r/>
    </w:p>
    <w:p>
      <w:pPr>
        <w:pStyle w:val="74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63</w:t>
      </w:r>
      <w:r>
        <w:rPr>
          <w:sz w:val="32"/>
        </w:rPr>
        <w:fldChar w:fldCharType="end"/>
      </w:r>
      <w:r>
        <w:rPr>
          <w:sz w:val="32"/>
        </w:rPr>
      </w:r>
      <w:r/>
    </w:p>
    <w:p>
      <w:pPr>
        <w:pStyle w:val="74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67</w:t>
      </w:r>
      <w:r>
        <w:rPr>
          <w:sz w:val="32"/>
        </w:rPr>
        <w:fldChar w:fldCharType="end"/>
      </w:r>
      <w:r>
        <w:rPr>
          <w:sz w:val="32"/>
        </w:rPr>
      </w:r>
      <w:r/>
    </w:p>
    <w:p>
      <w:pPr>
        <w:pStyle w:val="700"/>
        <w:jc w:val="left"/>
        <w:widowControl/>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12" w:name="_Toc155796356"/>
      <w:r>
        <w:rPr>
          <w:rFonts w:ascii="黑体" w:hAnsi="黑体" w:eastAsia="黑体"/>
          <w:b w:val="0"/>
        </w:rPr>
      </w:r>
      <w:r/>
    </w:p>
    <w:p>
      <w:pPr>
        <w:pStyle w:val="70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12"/>
      <w:r>
        <w:rPr>
          <w:rFonts w:ascii="黑体" w:hAnsi="黑体" w:eastAsia="黑体"/>
          <w:b w:val="0"/>
        </w:rPr>
      </w:r>
      <w:r/>
    </w:p>
    <w:p>
      <w:pPr>
        <w:pStyle w:val="700"/>
        <w:ind w:firstLine="480"/>
        <w:jc w:val="left"/>
        <w:spacing w:line="360" w:lineRule="auto"/>
        <w:rPr>
          <w:sz w:val="24"/>
          <w:szCs w:val="24"/>
          <w:highlight w:val="none"/>
        </w:rPr>
      </w:pPr>
      <w:r>
        <w:rPr>
          <w:rFonts w:hint="eastAsia"/>
          <w:sz w:val="24"/>
          <w:szCs w:val="24"/>
        </w:rPr>
        <w:t xml:space="preserve">受</w:t>
      </w:r>
      <w:r>
        <w:rPr>
          <w:rFonts w:hint="eastAsia"/>
          <w:sz w:val="24"/>
          <w:szCs w:val="24"/>
          <w:lang w:eastAsia="zh-CN"/>
        </w:rPr>
        <w:t xml:space="preserve">灌云县水利局</w:t>
      </w:r>
      <w:r>
        <w:rPr>
          <w:rFonts w:hint="eastAsia"/>
          <w:sz w:val="24"/>
          <w:szCs w:val="24"/>
        </w:rPr>
        <w:t xml:space="preserve">的委托，</w:t>
      </w:r>
      <w:r>
        <w:rPr>
          <w:rFonts w:hint="eastAsia" w:eastAsia="宋体"/>
          <w:sz w:val="24"/>
          <w:szCs w:val="24"/>
        </w:rPr>
        <w:t xml:space="preserve">连云港市正源招标代理有限公司</w:t>
      </w:r>
      <w:r>
        <w:rPr>
          <w:rFonts w:hint="eastAsia"/>
          <w:sz w:val="24"/>
          <w:szCs w:val="24"/>
        </w:rPr>
        <w:t xml:space="preserve">就</w:t>
      </w:r>
      <w:r>
        <w:rPr>
          <w:rFonts w:hint="eastAsia"/>
          <w:sz w:val="24"/>
          <w:szCs w:val="24"/>
          <w:lang w:eastAsia="zh-CN"/>
        </w:rPr>
        <w:t xml:space="preserve">灌云县2026年度农村供水工程维修养护项目</w:t>
      </w:r>
      <w:r>
        <w:rPr>
          <w:rFonts w:hint="eastAsia"/>
          <w:sz w:val="24"/>
          <w:szCs w:val="24"/>
          <w:highlight w:val="none"/>
        </w:rPr>
        <w:t xml:space="preserve">（</w:t>
      </w:r>
      <w:r>
        <w:rPr>
          <w:rFonts w:hint="eastAsia"/>
          <w:sz w:val="24"/>
          <w:szCs w:val="24"/>
          <w:highlight w:val="none"/>
          <w:lang w:eastAsia="zh-CN"/>
        </w:rPr>
        <w:t xml:space="preserve">JSZC-320723-LYGZ-G2026-0004</w:t>
      </w:r>
      <w:r>
        <w:rPr>
          <w:rFonts w:hint="eastAsia"/>
          <w:sz w:val="24"/>
          <w:szCs w:val="24"/>
          <w:highlight w:val="none"/>
        </w:rPr>
        <w:t xml:space="preserve">）进行公开招标采购，欢迎符合条件的供应商投标。</w:t>
      </w:r>
      <w:r>
        <w:rPr>
          <w:sz w:val="24"/>
          <w:szCs w:val="24"/>
          <w:highlight w:val="none"/>
        </w:rPr>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944"/>
        </w:trPr>
        <w:tc>
          <w:tcPr>
            <w:tcW w:w="8522" w:type="dxa"/>
            <w:vAlign w:val="top"/>
            <w:textDirection w:val="lrTb"/>
            <w:noWrap w:val="false"/>
          </w:tcPr>
          <w:p>
            <w:pPr>
              <w:pStyle w:val="700"/>
              <w:jc w:val="left"/>
              <w:spacing w:line="360" w:lineRule="auto"/>
              <w:rPr>
                <w:sz w:val="24"/>
                <w:szCs w:val="24"/>
              </w:rPr>
            </w:pPr>
            <w:r>
              <w:rPr>
                <w:rFonts w:hint="eastAsia"/>
                <w:sz w:val="24"/>
                <w:szCs w:val="24"/>
              </w:rPr>
              <w:t xml:space="preserve">项目概况</w:t>
            </w:r>
            <w:r>
              <w:rPr>
                <w:sz w:val="24"/>
                <w:szCs w:val="24"/>
              </w:rPr>
            </w:r>
            <w:r/>
          </w:p>
          <w:p>
            <w:pPr>
              <w:pStyle w:val="700"/>
              <w:jc w:val="left"/>
              <w:spacing w:line="360" w:lineRule="auto"/>
              <w:rPr>
                <w:sz w:val="24"/>
                <w:szCs w:val="24"/>
              </w:rPr>
            </w:pPr>
            <w:r>
              <w:rPr>
                <w:rFonts w:hint="eastAsia"/>
                <w:sz w:val="24"/>
                <w:szCs w:val="24"/>
                <w:highlight w:val="none"/>
                <w:u w:val="single"/>
                <w:lang w:eastAsia="zh-CN"/>
              </w:rPr>
              <w:t xml:space="preserve">灌云县2026年度农村供水工程维修养护项目</w:t>
            </w:r>
            <w:r>
              <w:rPr>
                <w:rFonts w:hint="eastAsia"/>
                <w:sz w:val="24"/>
                <w:szCs w:val="24"/>
                <w:highlight w:val="none"/>
              </w:rPr>
              <w:t xml:space="preserve">招</w:t>
            </w:r>
            <w:r>
              <w:rPr>
                <w:rFonts w:hint="eastAsia"/>
                <w:sz w:val="24"/>
                <w:szCs w:val="24"/>
              </w:rPr>
              <w:t xml:space="preserve">标项目的潜在投标人应在江苏政府采购网自行免费下载招标文件，并</w:t>
            </w:r>
            <w:r>
              <w:rPr>
                <w:rFonts w:hint="eastAsia"/>
                <w:sz w:val="24"/>
                <w:szCs w:val="24"/>
                <w:highlight w:val="none"/>
              </w:rPr>
              <w:t xml:space="preserve">于</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sz w:val="24"/>
                <w:szCs w:val="24"/>
                <w:highlight w:val="none"/>
                <w:u w:val="single"/>
              </w:rPr>
              <w:t xml:space="preserve">年</w:t>
            </w:r>
            <w:r>
              <w:rPr>
                <w:rFonts w:hint="eastAsia"/>
                <w:sz w:val="24"/>
                <w:szCs w:val="24"/>
                <w:highlight w:val="none"/>
                <w:u w:val="single"/>
                <w:lang w:val="en-US" w:eastAsia="zh-CN"/>
              </w:rPr>
              <w:t xml:space="preserve">7</w:t>
            </w:r>
            <w:r>
              <w:rPr>
                <w:rFonts w:hint="eastAsia"/>
                <w:sz w:val="24"/>
                <w:szCs w:val="24"/>
                <w:highlight w:val="none"/>
                <w:u w:val="single"/>
              </w:rPr>
              <w:t xml:space="preserve">月</w:t>
            </w:r>
            <w:r>
              <w:rPr>
                <w:rFonts w:hint="eastAsia"/>
                <w:sz w:val="24"/>
                <w:szCs w:val="24"/>
                <w:highlight w:val="none"/>
                <w:u w:val="single"/>
                <w:lang w:val="en-US" w:eastAsia="zh-CN"/>
              </w:rPr>
              <w:t xml:space="preserve">2</w:t>
            </w:r>
            <w:r>
              <w:rPr>
                <w:rFonts w:hint="eastAsia"/>
                <w:sz w:val="24"/>
                <w:szCs w:val="24"/>
                <w:highlight w:val="none"/>
                <w:u w:val="single"/>
              </w:rPr>
              <w:t xml:space="preserve">日10:00:00</w:t>
            </w:r>
            <w:r>
              <w:rPr>
                <w:rFonts w:hint="eastAsia"/>
                <w:sz w:val="24"/>
                <w:szCs w:val="24"/>
                <w:highlight w:val="none"/>
              </w:rPr>
              <w:t xml:space="preserve">（北</w:t>
            </w:r>
            <w:r>
              <w:rPr>
                <w:rFonts w:hint="eastAsia"/>
                <w:sz w:val="24"/>
                <w:szCs w:val="24"/>
                <w:highlight w:val="none"/>
              </w:rPr>
              <w:t xml:space="preserve">京时间）前</w:t>
            </w:r>
            <w:r>
              <w:rPr>
                <w:rFonts w:hint="eastAsia"/>
                <w:sz w:val="24"/>
                <w:szCs w:val="24"/>
              </w:rPr>
              <w:t xml:space="preserve">递交（上传）投标文件。</w:t>
            </w:r>
            <w:r>
              <w:rPr>
                <w:sz w:val="24"/>
                <w:szCs w:val="24"/>
              </w:rPr>
            </w:r>
            <w:r/>
          </w:p>
        </w:tc>
      </w:tr>
    </w:tbl>
    <w:p>
      <w:pPr>
        <w:pStyle w:val="70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700"/>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JSZC-320723-LYGZ-G2026-0004</w:t>
      </w:r>
      <w:r>
        <w:rPr>
          <w:rFonts w:hint="eastAsia" w:eastAsia="宋体"/>
          <w:sz w:val="24"/>
          <w:szCs w:val="24"/>
          <w:highlight w:val="none"/>
          <w:lang w:eastAsia="zh-CN"/>
        </w:rPr>
      </w:r>
      <w:r/>
    </w:p>
    <w:p>
      <w:pPr>
        <w:pStyle w:val="700"/>
        <w:jc w:val="center"/>
        <w:spacing w:before="120" w:after="120" w:line="360" w:lineRule="auto"/>
        <w:rPr>
          <w:rFonts w:hint="eastAsia" w:eastAsia="宋体"/>
          <w:sz w:val="24"/>
          <w:szCs w:val="24"/>
          <w:highlight w:val="none"/>
          <w:lang w:eastAsia="zh-CN"/>
        </w:rPr>
      </w:pPr>
      <w:r>
        <w:rPr>
          <w:rFonts w:hint="eastAsia"/>
          <w:sz w:val="24"/>
          <w:szCs w:val="24"/>
          <w:highlight w:val="none"/>
          <w:lang w:val="en-US" w:eastAsia="zh-CN"/>
        </w:rPr>
        <w:t xml:space="preserve">  </w:t>
      </w:r>
      <w:r>
        <w:rPr>
          <w:rFonts w:hint="eastAsia"/>
          <w:sz w:val="24"/>
          <w:szCs w:val="24"/>
          <w:highlight w:val="none"/>
        </w:rPr>
        <w:t xml:space="preserve">项目名称：</w:t>
      </w:r>
      <w:r>
        <w:rPr>
          <w:rFonts w:hint="eastAsia" w:eastAsia="宋体" w:cs="Times New Roman"/>
          <w:sz w:val="24"/>
          <w:szCs w:val="24"/>
          <w:highlight w:val="none"/>
          <w:lang w:eastAsia="zh-CN"/>
        </w:rPr>
        <w:t xml:space="preserve">灌云县2026年度农村供水工程维修养护项目（专门面向中小企业）</w:t>
      </w:r>
      <w:r>
        <w:rPr>
          <w:rFonts w:hint="eastAsia" w:eastAsia="宋体"/>
          <w:sz w:val="24"/>
          <w:szCs w:val="24"/>
          <w:highlight w:val="none"/>
          <w:lang w:eastAsia="zh-CN"/>
        </w:rPr>
      </w:r>
      <w:r/>
    </w:p>
    <w:p>
      <w:pPr>
        <w:pStyle w:val="700"/>
        <w:ind w:firstLine="480"/>
        <w:jc w:val="left"/>
        <w:spacing w:line="360" w:lineRule="auto"/>
        <w:rPr>
          <w:sz w:val="24"/>
          <w:szCs w:val="24"/>
          <w:highlight w:val="none"/>
        </w:rPr>
      </w:pPr>
      <w:r>
        <w:rPr>
          <w:rFonts w:hint="eastAsia"/>
          <w:sz w:val="24"/>
          <w:szCs w:val="24"/>
          <w:highlight w:val="none"/>
        </w:rPr>
        <w:t xml:space="preserve">预算金额：</w:t>
      </w:r>
      <w:r>
        <w:rPr>
          <w:rFonts w:hint="eastAsia"/>
          <w:sz w:val="24"/>
          <w:szCs w:val="24"/>
          <w:highlight w:val="none"/>
          <w:lang w:val="en-US" w:eastAsia="zh-CN"/>
        </w:rPr>
        <w:t xml:space="preserve">177.57</w:t>
      </w:r>
      <w:r>
        <w:rPr>
          <w:rFonts w:hint="eastAsia"/>
          <w:sz w:val="24"/>
          <w:szCs w:val="24"/>
          <w:highlight w:val="none"/>
        </w:rPr>
        <w:t xml:space="preserve">万元</w:t>
      </w:r>
      <w:r>
        <w:rPr>
          <w:sz w:val="24"/>
          <w:szCs w:val="24"/>
          <w:highlight w:val="none"/>
        </w:rPr>
      </w:r>
      <w:r/>
    </w:p>
    <w:p>
      <w:pPr>
        <w:pStyle w:val="700"/>
        <w:ind w:firstLine="480"/>
        <w:jc w:val="left"/>
        <w:spacing w:line="360" w:lineRule="auto"/>
        <w:rPr>
          <w:b/>
          <w:bCs/>
          <w:sz w:val="24"/>
          <w:szCs w:val="24"/>
        </w:rPr>
      </w:pPr>
      <w:r>
        <w:rPr>
          <w:rFonts w:hint="eastAsia"/>
          <w:sz w:val="24"/>
          <w:szCs w:val="24"/>
          <w:highlight w:val="none"/>
        </w:rPr>
        <w:t xml:space="preserve">最高限价：</w:t>
      </w:r>
      <w:r>
        <w:rPr>
          <w:rFonts w:hint="eastAsia" w:eastAsia="宋体" w:cs="Times New Roman"/>
          <w:b/>
          <w:bCs/>
          <w:sz w:val="24"/>
          <w:szCs w:val="24"/>
          <w:highlight w:val="none"/>
          <w:lang w:val="en-US" w:eastAsia="zh-CN"/>
        </w:rPr>
        <w:t xml:space="preserve">177.57</w:t>
      </w:r>
      <w:r>
        <w:rPr>
          <w:rFonts w:hint="eastAsia" w:eastAsia="宋体" w:cs="Times New Roman"/>
          <w:b/>
          <w:bCs/>
          <w:sz w:val="24"/>
          <w:szCs w:val="24"/>
          <w:highlight w:val="none"/>
        </w:rPr>
        <w:t xml:space="preserve">万元</w:t>
      </w:r>
      <w:r>
        <w:rPr>
          <w:rFonts w:hint="eastAsia"/>
          <w:b/>
          <w:bCs/>
          <w:sz w:val="24"/>
          <w:szCs w:val="24"/>
          <w:highlight w:val="none"/>
        </w:rPr>
        <w:t xml:space="preserve">，投标报价超过最高限价的视为无效标</w:t>
      </w:r>
      <w:r>
        <w:rPr>
          <w:rFonts w:hint="eastAsia"/>
          <w:b/>
          <w:bCs/>
          <w:sz w:val="24"/>
          <w:szCs w:val="24"/>
        </w:rPr>
        <w:t xml:space="preserve">。</w:t>
      </w:r>
      <w:r>
        <w:rPr>
          <w:b/>
          <w:bCs/>
          <w:sz w:val="24"/>
          <w:szCs w:val="24"/>
        </w:rPr>
      </w:r>
      <w:r/>
    </w:p>
    <w:p>
      <w:pPr>
        <w:pStyle w:val="700"/>
        <w:ind w:firstLine="480"/>
        <w:jc w:val="left"/>
        <w:spacing w:line="360" w:lineRule="auto"/>
        <w:rPr>
          <w:sz w:val="24"/>
          <w:szCs w:val="24"/>
        </w:rPr>
      </w:pPr>
      <w:r>
        <w:rPr>
          <w:rFonts w:hint="eastAsia"/>
          <w:sz w:val="24"/>
          <w:szCs w:val="24"/>
        </w:rPr>
        <w:t xml:space="preserve">采购方式：公开招标</w:t>
      </w:r>
      <w:r>
        <w:rPr>
          <w:sz w:val="24"/>
          <w:szCs w:val="24"/>
        </w:rPr>
      </w:r>
      <w:r/>
    </w:p>
    <w:p>
      <w:pPr>
        <w:pStyle w:val="700"/>
        <w:ind w:left="-15" w:right="103" w:firstLine="420"/>
        <w:spacing w:line="360" w:lineRule="auto"/>
        <w:rPr>
          <w:rFonts w:hint="eastAsia"/>
          <w:lang w:eastAsia="zh-CN"/>
        </w:rPr>
      </w:pPr>
      <w:r>
        <w:rPr>
          <w:rFonts w:hint="eastAsia"/>
          <w:sz w:val="24"/>
          <w:szCs w:val="24"/>
        </w:rPr>
        <w:t xml:space="preserve">采购需求：</w:t>
      </w:r>
      <w:r>
        <w:rPr>
          <w:rFonts w:hint="eastAsia" w:ascii="宋体" w:hAnsi="宋体" w:eastAsia="宋体" w:cs="宋体"/>
          <w:sz w:val="24"/>
          <w:u w:val="single"/>
          <w:lang w:eastAsia="zh-CN"/>
        </w:rPr>
        <w:t xml:space="preserve">铺设PE100级聚乙烯管道共计8833m，其中dn160PE 管（0.6MPa）50m、dn110PE 管( 0.6MPa) 850m, dn90PE管 ( 0.8MPa )1300m, dn75PE管(1.0MPa) 380m, dn63PE管(1.25MPa) 983m, dn50PE 管( 1.6MPa ) 1075m, dn40PE 管( 1.6MPa) 2305m. dn32PE管（1.6MPa）1890m，入户配套工程219户；新建增压站1座；更换钢管367m等。</w:t>
      </w:r>
      <w:r>
        <w:rPr>
          <w:rFonts w:hint="eastAsia"/>
          <w:lang w:eastAsia="zh-CN"/>
        </w:rPr>
      </w:r>
      <w:r/>
    </w:p>
    <w:p>
      <w:pPr>
        <w:pStyle w:val="700"/>
        <w:ind w:firstLine="480"/>
        <w:jc w:val="left"/>
        <w:spacing w:line="360" w:lineRule="auto"/>
        <w:rPr>
          <w:sz w:val="24"/>
          <w:szCs w:val="24"/>
        </w:rPr>
      </w:pPr>
      <w:r>
        <w:rPr>
          <w:rFonts w:hint="eastAsia" w:ascii="宋体" w:hAnsi="宋体" w:cs="宋体"/>
          <w:sz w:val="24"/>
          <w:u w:val="single"/>
        </w:rPr>
        <w:t xml:space="preserve">通过以上工程措施，解决杨集镇、四队镇部份人口饮水不安全问题</w:t>
      </w:r>
      <w:r>
        <w:rPr>
          <w:rFonts w:hint="eastAsia"/>
          <w:sz w:val="24"/>
          <w:szCs w:val="24"/>
        </w:rPr>
        <w:t xml:space="preserve">，具体内容详见招标文件第四章采购需求。</w:t>
      </w:r>
      <w:r>
        <w:rPr>
          <w:sz w:val="24"/>
          <w:szCs w:val="24"/>
        </w:rPr>
      </w:r>
      <w:r/>
    </w:p>
    <w:p>
      <w:pPr>
        <w:pStyle w:val="700"/>
        <w:ind w:firstLine="482"/>
        <w:jc w:val="left"/>
        <w:spacing w:line="360" w:lineRule="auto"/>
        <w:rPr>
          <w:b/>
          <w:sz w:val="24"/>
          <w:szCs w:val="24"/>
          <w:highlight w:val="none"/>
        </w:rPr>
      </w:pPr>
      <w:r>
        <w:rPr>
          <w:rFonts w:hint="eastAsia"/>
          <w:b/>
          <w:sz w:val="24"/>
          <w:szCs w:val="24"/>
        </w:rPr>
        <w:t xml:space="preserve">对本项目资格要求、采购需求、评标方法与评标标准等部分的询问、质疑请与招标人联系，由招标人负责</w:t>
      </w:r>
      <w:r>
        <w:rPr>
          <w:rFonts w:hint="eastAsia"/>
          <w:b/>
          <w:sz w:val="24"/>
          <w:szCs w:val="24"/>
          <w:highlight w:val="none"/>
        </w:rPr>
        <w:t xml:space="preserve">答复。</w:t>
      </w:r>
      <w:r>
        <w:rPr>
          <w:b/>
          <w:sz w:val="24"/>
          <w:szCs w:val="24"/>
          <w:highlight w:val="none"/>
        </w:rPr>
      </w:r>
      <w:r/>
    </w:p>
    <w:p>
      <w:pPr>
        <w:pStyle w:val="700"/>
        <w:ind w:left="-15" w:right="103" w:firstLine="420"/>
        <w:spacing w:line="360" w:lineRule="auto"/>
        <w:rPr>
          <w:rFonts w:ascii="宋体" w:hAnsi="宋体" w:cs="宋体"/>
          <w:sz w:val="24"/>
          <w:highlight w:val="none"/>
          <w:u w:val="single"/>
        </w:rPr>
      </w:pPr>
      <w:r>
        <w:rPr>
          <w:rFonts w:hint="eastAsia"/>
          <w:sz w:val="24"/>
          <w:szCs w:val="24"/>
          <w:highlight w:val="none"/>
        </w:rPr>
        <w:t xml:space="preserve">合同履行期限：</w:t>
      </w:r>
      <w:r>
        <w:rPr>
          <w:rFonts w:hint="eastAsia" w:ascii="宋体" w:hAnsi="宋体" w:cs="宋体"/>
          <w:sz w:val="24"/>
          <w:highlight w:val="none"/>
          <w:u w:val="single"/>
        </w:rPr>
        <w:t xml:space="preserve">150日历天</w:t>
      </w:r>
      <w:r>
        <w:rPr>
          <w:rFonts w:hint="eastAsia" w:ascii="宋体" w:hAnsi="宋体" w:cs="宋体"/>
          <w:sz w:val="24"/>
          <w:szCs w:val="32"/>
          <w:highlight w:val="none"/>
          <w:u w:val="single"/>
        </w:rPr>
        <w:t xml:space="preserve">，</w:t>
      </w:r>
      <w:r>
        <w:rPr>
          <w:rFonts w:hint="eastAsia" w:ascii="宋体" w:hAnsi="宋体" w:cs="宋体"/>
          <w:sz w:val="24"/>
          <w:highlight w:val="none"/>
          <w:u w:val="single"/>
        </w:rPr>
        <w:t xml:space="preserve">具体开工时间以监理工程师签发的开工批复为准。</w:t>
      </w:r>
      <w:r>
        <w:rPr>
          <w:rFonts w:ascii="宋体" w:hAnsi="宋体" w:cs="宋体"/>
          <w:sz w:val="24"/>
          <w:highlight w:val="none"/>
          <w:u w:val="single"/>
        </w:rPr>
      </w:r>
      <w:r/>
    </w:p>
    <w:p>
      <w:pPr>
        <w:pStyle w:val="700"/>
        <w:ind w:firstLine="480"/>
        <w:jc w:val="left"/>
        <w:spacing w:line="360" w:lineRule="auto"/>
        <w:rPr>
          <w:sz w:val="24"/>
          <w:szCs w:val="24"/>
        </w:rPr>
      </w:pPr>
      <w:r>
        <w:rPr>
          <w:rFonts w:hint="eastAsia"/>
          <w:sz w:val="24"/>
          <w:szCs w:val="24"/>
        </w:rPr>
        <w:t xml:space="preserve">本项目（是/否√）接受联合体投标：</w:t>
      </w:r>
      <w:r>
        <w:rPr>
          <w:sz w:val="24"/>
          <w:szCs w:val="24"/>
        </w:rPr>
      </w:r>
      <w:r/>
    </w:p>
    <w:p>
      <w:pPr>
        <w:pStyle w:val="70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700"/>
        <w:ind w:firstLine="480"/>
        <w:jc w:val="left"/>
        <w:spacing w:line="360" w:lineRule="auto"/>
        <w:rPr>
          <w:sz w:val="24"/>
          <w:szCs w:val="24"/>
        </w:rPr>
      </w:pPr>
      <w:r>
        <w:rPr>
          <w:rFonts w:hint="eastAsia"/>
          <w:sz w:val="24"/>
          <w:szCs w:val="24"/>
        </w:rPr>
        <w:t xml:space="preserve">（一）满足《中华人民共和国政府采购法》第二十二条规定，并提供下列材料：</w:t>
      </w:r>
      <w:r>
        <w:rPr>
          <w:sz w:val="24"/>
          <w:szCs w:val="24"/>
        </w:rPr>
      </w:r>
      <w:r/>
    </w:p>
    <w:p>
      <w:pPr>
        <w:pStyle w:val="700"/>
        <w:ind w:firstLine="480"/>
        <w:jc w:val="left"/>
        <w:spacing w:line="360" w:lineRule="auto"/>
        <w:rPr>
          <w:sz w:val="24"/>
          <w:szCs w:val="24"/>
        </w:rPr>
      </w:pPr>
      <w:r>
        <w:rPr>
          <w:rFonts w:hint="eastAsia"/>
          <w:sz w:val="24"/>
          <w:szCs w:val="24"/>
        </w:rPr>
        <w:t xml:space="preserve">1.法人或者其他组织的营业执照等证明文件，自然人的身份证明；</w:t>
      </w:r>
      <w:r>
        <w:rPr>
          <w:sz w:val="24"/>
          <w:szCs w:val="24"/>
        </w:rPr>
      </w:r>
      <w:r/>
    </w:p>
    <w:p>
      <w:pPr>
        <w:pStyle w:val="700"/>
        <w:ind w:firstLine="480"/>
        <w:jc w:val="left"/>
        <w:spacing w:line="360" w:lineRule="auto"/>
        <w:rPr>
          <w:sz w:val="24"/>
          <w:szCs w:val="24"/>
        </w:rPr>
      </w:pPr>
      <w:r>
        <w:rPr>
          <w:rFonts w:hint="eastAsia"/>
          <w:sz w:val="24"/>
          <w:szCs w:val="24"/>
        </w:rPr>
        <w:t xml:space="preserve">2.具有良好的商业信誉和健全的财务会计制度；</w:t>
      </w:r>
      <w:r>
        <w:rPr>
          <w:sz w:val="24"/>
          <w:szCs w:val="24"/>
        </w:rPr>
      </w:r>
      <w:r/>
    </w:p>
    <w:p>
      <w:pPr>
        <w:pStyle w:val="700"/>
        <w:ind w:firstLine="480"/>
        <w:jc w:val="left"/>
        <w:spacing w:line="360" w:lineRule="auto"/>
        <w:rPr>
          <w:sz w:val="24"/>
          <w:szCs w:val="24"/>
        </w:rPr>
      </w:pPr>
      <w:r>
        <w:rPr>
          <w:rFonts w:hint="eastAsia"/>
          <w:sz w:val="24"/>
          <w:szCs w:val="24"/>
        </w:rPr>
        <w:t xml:space="preserve">3.依法缴纳税收和社会保障资金的相关材料；</w:t>
      </w:r>
      <w:r>
        <w:rPr>
          <w:sz w:val="24"/>
          <w:szCs w:val="24"/>
        </w:rPr>
      </w:r>
      <w:r/>
    </w:p>
    <w:p>
      <w:pPr>
        <w:pStyle w:val="700"/>
        <w:ind w:firstLine="482"/>
        <w:jc w:val="left"/>
        <w:spacing w:line="360" w:lineRule="auto"/>
        <w:rPr>
          <w:b/>
          <w:bCs/>
          <w:sz w:val="24"/>
          <w:szCs w:val="24"/>
        </w:rPr>
      </w:pPr>
      <w:r>
        <w:rPr>
          <w:rFonts w:hint="eastAsia"/>
          <w:b/>
          <w:bCs/>
          <w:sz w:val="24"/>
          <w:szCs w:val="24"/>
        </w:rPr>
        <w:t xml:space="preserve">（根据连财购〔2023〕4号文件精神，2、3项可以提供《财务状况报告及税收、社会保障资金缴纳情况承诺函》，详见第六章 投标文件格式）</w:t>
      </w:r>
      <w:r>
        <w:rPr>
          <w:b/>
          <w:bCs/>
          <w:sz w:val="24"/>
          <w:szCs w:val="24"/>
        </w:rPr>
      </w:r>
      <w:r/>
    </w:p>
    <w:p>
      <w:pPr>
        <w:pStyle w:val="700"/>
        <w:ind w:firstLine="480"/>
        <w:jc w:val="left"/>
        <w:spacing w:line="360" w:lineRule="auto"/>
        <w:rPr>
          <w:sz w:val="24"/>
          <w:szCs w:val="24"/>
        </w:rPr>
      </w:pPr>
      <w:r>
        <w:rPr>
          <w:rFonts w:hint="eastAsia"/>
          <w:sz w:val="24"/>
          <w:szCs w:val="24"/>
        </w:rPr>
        <w:t xml:space="preserve">4.具备履行合同所必需的设备和专业技术能力的声明及证明材料；</w:t>
      </w:r>
      <w:r>
        <w:rPr>
          <w:sz w:val="24"/>
          <w:szCs w:val="24"/>
        </w:rPr>
      </w:r>
      <w:r/>
    </w:p>
    <w:p>
      <w:pPr>
        <w:pStyle w:val="700"/>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700"/>
        <w:ind w:firstLine="480"/>
        <w:jc w:val="left"/>
        <w:spacing w:line="360" w:lineRule="auto"/>
        <w:rPr>
          <w:sz w:val="24"/>
          <w:szCs w:val="24"/>
        </w:rPr>
      </w:pPr>
      <w:r>
        <w:rPr>
          <w:rFonts w:hint="eastAsia"/>
          <w:sz w:val="24"/>
          <w:szCs w:val="24"/>
        </w:rPr>
        <w:t xml:space="preserve">（二）落实政府采购政策需满足的资格要求：</w:t>
      </w:r>
      <w:r>
        <w:rPr>
          <w:sz w:val="24"/>
          <w:szCs w:val="24"/>
        </w:rPr>
      </w:r>
      <w:r/>
    </w:p>
    <w:p>
      <w:pPr>
        <w:pStyle w:val="700"/>
        <w:ind w:firstLine="482"/>
        <w:jc w:val="left"/>
        <w:spacing w:line="360" w:lineRule="auto"/>
        <w:rPr>
          <w:b/>
          <w:bCs/>
          <w:sz w:val="24"/>
          <w:szCs w:val="24"/>
        </w:rPr>
      </w:pPr>
      <w:r>
        <w:rPr>
          <w:rFonts w:hint="eastAsia"/>
          <w:b/>
          <w:bCs/>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b/>
          <w:bCs/>
          <w:sz w:val="24"/>
          <w:szCs w:val="24"/>
        </w:rPr>
      </w:r>
      <w:r/>
    </w:p>
    <w:p>
      <w:pPr>
        <w:pStyle w:val="700"/>
        <w:numPr>
          <w:ilvl w:val="0"/>
          <w:numId w:val="1"/>
        </w:numPr>
        <w:ind w:firstLine="480"/>
        <w:jc w:val="left"/>
        <w:spacing w:line="360" w:lineRule="auto"/>
        <w:rPr>
          <w:sz w:val="24"/>
          <w:szCs w:val="24"/>
        </w:rPr>
      </w:pPr>
      <w:r>
        <w:rPr>
          <w:rFonts w:hint="eastAsia"/>
          <w:sz w:val="24"/>
          <w:szCs w:val="24"/>
        </w:rPr>
        <w:t xml:space="preserve">本项目的特定资格要求：</w:t>
      </w:r>
      <w:r>
        <w:rPr>
          <w:sz w:val="24"/>
          <w:szCs w:val="24"/>
        </w:rPr>
      </w:r>
      <w:r/>
    </w:p>
    <w:p>
      <w:pPr>
        <w:pStyle w:val="700"/>
        <w:numPr>
          <w:ilvl w:val="0"/>
          <w:numId w:val="2"/>
        </w:numPr>
        <w:ind w:firstLine="480"/>
        <w:jc w:val="left"/>
        <w:spacing w:line="360" w:lineRule="auto"/>
        <w:tabs>
          <w:tab w:val="left" w:pos="312" w:leader="none"/>
        </w:tabs>
        <w:rPr>
          <w:rFonts w:ascii="宋体" w:hAnsi="宋体" w:eastAsia="宋体" w:cs="宋体"/>
          <w:b/>
          <w:bCs/>
          <w:sz w:val="24"/>
          <w:szCs w:val="24"/>
          <w:u w:val="none"/>
        </w:rPr>
      </w:pPr>
      <w:r>
        <w:rPr>
          <w:rFonts w:hint="eastAsia" w:ascii="宋体" w:hAnsi="宋体" w:cs="宋体"/>
          <w:b/>
          <w:bCs/>
          <w:sz w:val="24"/>
          <w:szCs w:val="32"/>
          <w:u w:val="none"/>
        </w:rPr>
        <w:t xml:space="preserve">具有水利水电工程施工总承包</w:t>
      </w:r>
      <w:r>
        <w:rPr>
          <w:rFonts w:hint="eastAsia" w:ascii="宋体" w:hAnsi="宋体" w:cs="宋体"/>
          <w:b/>
          <w:bCs/>
          <w:sz w:val="24"/>
          <w:szCs w:val="32"/>
          <w:highlight w:val="none"/>
          <w:u w:val="none"/>
          <w:lang w:val="en-US" w:eastAsia="zh-CN"/>
        </w:rPr>
        <w:t xml:space="preserve">叁</w:t>
      </w:r>
      <w:r>
        <w:rPr>
          <w:rFonts w:hint="eastAsia" w:ascii="宋体" w:hAnsi="宋体" w:cs="宋体"/>
          <w:b/>
          <w:bCs/>
          <w:sz w:val="24"/>
          <w:szCs w:val="32"/>
          <w:highlight w:val="none"/>
          <w:u w:val="none"/>
        </w:rPr>
        <w:t xml:space="preserve">级及以上资</w:t>
      </w:r>
      <w:r>
        <w:rPr>
          <w:rFonts w:hint="eastAsia" w:ascii="宋体" w:hAnsi="宋体" w:cs="宋体"/>
          <w:b/>
          <w:bCs/>
          <w:sz w:val="24"/>
          <w:szCs w:val="32"/>
          <w:u w:val="none"/>
        </w:rPr>
        <w:t xml:space="preserve">质，企业基本户开户许可证或者企业基本存款账户信息资料</w:t>
      </w:r>
      <w:r>
        <w:rPr>
          <w:rFonts w:hint="eastAsia" w:ascii="宋体" w:hAnsi="宋体" w:cs="宋体"/>
          <w:b/>
          <w:bCs/>
          <w:sz w:val="24"/>
          <w:szCs w:val="24"/>
          <w:u w:val="none"/>
          <w:lang w:eastAsia="zh-CN"/>
        </w:rPr>
        <w:t xml:space="preserve">。</w:t>
      </w:r>
      <w:r>
        <w:rPr>
          <w:rFonts w:ascii="宋体" w:hAnsi="宋体" w:eastAsia="宋体" w:cs="宋体"/>
          <w:b/>
          <w:bCs/>
          <w:sz w:val="24"/>
          <w:szCs w:val="24"/>
          <w:u w:val="none"/>
        </w:rPr>
      </w:r>
      <w:r/>
    </w:p>
    <w:p>
      <w:pPr>
        <w:pStyle w:val="700"/>
        <w:numPr>
          <w:ilvl w:val="0"/>
          <w:numId w:val="2"/>
        </w:numPr>
        <w:ind w:firstLine="480"/>
        <w:jc w:val="left"/>
        <w:spacing w:line="360" w:lineRule="auto"/>
        <w:tabs>
          <w:tab w:val="left" w:pos="312" w:leader="none"/>
        </w:tabs>
        <w:rPr>
          <w:rFonts w:ascii="宋体" w:hAnsi="宋体" w:eastAsia="宋体" w:cs="宋体"/>
          <w:b/>
          <w:bCs/>
          <w:sz w:val="24"/>
          <w:szCs w:val="24"/>
          <w:u w:val="none"/>
        </w:rPr>
      </w:pPr>
      <w:r>
        <w:rPr>
          <w:rFonts w:hint="eastAsia" w:ascii="宋体" w:hAnsi="宋体" w:cs="宋体"/>
          <w:b/>
          <w:bCs/>
          <w:sz w:val="24"/>
          <w:szCs w:val="32"/>
          <w:u w:val="none"/>
        </w:rPr>
        <w:t xml:space="preserve">具有省、部级建设主管部门颁发的安全生产许可证的企业法人</w:t>
      </w:r>
      <w:r>
        <w:rPr>
          <w:rFonts w:hint="eastAsia" w:ascii="宋体" w:hAnsi="宋体" w:cs="宋体"/>
          <w:b/>
          <w:bCs/>
          <w:sz w:val="24"/>
          <w:szCs w:val="32"/>
          <w:u w:val="none"/>
          <w:lang w:eastAsia="zh-CN"/>
        </w:rPr>
        <w:t xml:space="preserve">。</w:t>
      </w:r>
      <w:r>
        <w:rPr>
          <w:rFonts w:ascii="宋体" w:hAnsi="宋体" w:eastAsia="宋体" w:cs="宋体"/>
          <w:b/>
          <w:bCs/>
          <w:sz w:val="24"/>
          <w:szCs w:val="24"/>
          <w:u w:val="none"/>
        </w:rPr>
      </w:r>
      <w:r/>
    </w:p>
    <w:p>
      <w:pPr>
        <w:pStyle w:val="700"/>
        <w:numPr>
          <w:ilvl w:val="0"/>
          <w:numId w:val="2"/>
        </w:numPr>
        <w:ind w:firstLine="480"/>
        <w:jc w:val="left"/>
        <w:spacing w:line="360" w:lineRule="auto"/>
        <w:tabs>
          <w:tab w:val="left" w:pos="312" w:leader="none"/>
        </w:tabs>
        <w:rPr>
          <w:rFonts w:ascii="宋体" w:hAnsi="宋体" w:eastAsia="宋体" w:cs="宋体"/>
          <w:b/>
          <w:bCs/>
          <w:sz w:val="24"/>
          <w:szCs w:val="24"/>
          <w:u w:val="none"/>
        </w:rPr>
      </w:pPr>
      <w:r>
        <w:rPr>
          <w:rFonts w:hint="eastAsia" w:ascii="宋体" w:hAnsi="宋体" w:cs="宋体"/>
          <w:b/>
          <w:bCs/>
          <w:sz w:val="24"/>
          <w:szCs w:val="32"/>
          <w:u w:val="none"/>
        </w:rPr>
        <w:t xml:space="preserve">具备水利水电工程专业二级注册建造师及以上资格证书</w:t>
      </w:r>
      <w:r>
        <w:rPr>
          <w:rFonts w:hint="eastAsia" w:ascii="宋体" w:hAnsi="宋体" w:cs="宋体"/>
          <w:b/>
          <w:bCs/>
          <w:sz w:val="24"/>
          <w:szCs w:val="32"/>
          <w:u w:val="none"/>
          <w:lang w:eastAsia="zh-CN"/>
        </w:rPr>
        <w:t xml:space="preserve">。</w:t>
      </w:r>
      <w:r>
        <w:rPr>
          <w:rFonts w:ascii="宋体" w:hAnsi="宋体" w:eastAsia="宋体" w:cs="宋体"/>
          <w:b/>
          <w:bCs/>
          <w:sz w:val="24"/>
          <w:szCs w:val="24"/>
          <w:u w:val="none"/>
        </w:rPr>
      </w:r>
      <w:r/>
    </w:p>
    <w:p>
      <w:pPr>
        <w:pStyle w:val="700"/>
        <w:numPr>
          <w:ilvl w:val="0"/>
          <w:numId w:val="2"/>
        </w:numPr>
        <w:ind w:firstLine="480"/>
        <w:jc w:val="left"/>
        <w:spacing w:line="360" w:lineRule="auto"/>
        <w:tabs>
          <w:tab w:val="left" w:pos="312" w:leader="none"/>
        </w:tabs>
        <w:rPr>
          <w:rFonts w:ascii="宋体" w:hAnsi="宋体" w:eastAsia="宋体" w:cs="宋体"/>
          <w:b/>
          <w:bCs/>
          <w:sz w:val="24"/>
          <w:szCs w:val="24"/>
          <w:u w:val="none"/>
        </w:rPr>
      </w:pPr>
      <w:r>
        <w:rPr>
          <w:rFonts w:hint="eastAsia" w:ascii="宋体" w:hAnsi="宋体" w:cs="宋体"/>
          <w:b/>
          <w:bCs/>
          <w:sz w:val="24"/>
          <w:szCs w:val="32"/>
          <w:u w:val="none"/>
        </w:rPr>
        <w:t xml:space="preserve">法人代表人(A类)、项目经理（B类）、专职安全员（C类）具备水行政主管部门颁发的安全生产考核合格证书</w:t>
      </w:r>
      <w:r>
        <w:rPr>
          <w:rFonts w:hint="eastAsia" w:ascii="宋体" w:hAnsi="宋体" w:cs="宋体"/>
          <w:b/>
          <w:bCs/>
          <w:sz w:val="24"/>
          <w:szCs w:val="32"/>
          <w:u w:val="none"/>
          <w:lang w:eastAsia="zh-CN"/>
        </w:rPr>
        <w:t xml:space="preserve">。</w:t>
      </w:r>
      <w:r>
        <w:rPr>
          <w:rFonts w:ascii="宋体" w:hAnsi="宋体" w:eastAsia="宋体" w:cs="宋体"/>
          <w:b/>
          <w:bCs/>
          <w:sz w:val="24"/>
          <w:szCs w:val="24"/>
          <w:u w:val="none"/>
        </w:rPr>
      </w:r>
      <w:r/>
    </w:p>
    <w:p>
      <w:pPr>
        <w:pStyle w:val="700"/>
        <w:ind w:firstLine="480"/>
        <w:jc w:val="left"/>
        <w:spacing w:line="360" w:lineRule="auto"/>
        <w:rPr>
          <w:rFonts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rPr>
          <w:rFonts w:ascii="宋体" w:hAnsi="宋体" w:eastAsia="宋体" w:cs="宋体"/>
          <w:sz w:val="24"/>
          <w:szCs w:val="24"/>
        </w:rPr>
      </w:r>
      <w:r/>
    </w:p>
    <w:p>
      <w:pPr>
        <w:pStyle w:val="70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700"/>
        <w:ind w:firstLine="480"/>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时间：</w:t>
      </w:r>
      <w:r>
        <w:rPr>
          <w:rFonts w:ascii="宋体" w:hAnsi="宋体" w:eastAsia="宋体" w:cs="宋体"/>
          <w:b/>
          <w:color w:val="000000"/>
          <w:sz w:val="24"/>
          <w:highlight w:val="none"/>
        </w:rPr>
        <w:t xml:space="preserve">202</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年</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月</w:t>
      </w:r>
      <w:r>
        <w:rPr>
          <w:rFonts w:hint="eastAsia" w:ascii="宋体" w:hAnsi="宋体" w:cs="宋体"/>
          <w:b/>
          <w:color w:val="000000"/>
          <w:sz w:val="24"/>
          <w:highlight w:val="none"/>
          <w:lang w:val="en-US" w:eastAsia="zh-CN"/>
        </w:rPr>
        <w:t xml:space="preserve">08</w:t>
      </w:r>
      <w:r>
        <w:rPr>
          <w:rFonts w:ascii="宋体" w:hAnsi="宋体" w:eastAsia="宋体" w:cs="宋体"/>
          <w:b/>
          <w:color w:val="000000"/>
          <w:sz w:val="24"/>
          <w:highlight w:val="none"/>
        </w:rPr>
        <w:t xml:space="preserve">日至202</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年</w:t>
      </w:r>
      <w:r>
        <w:rPr>
          <w:rFonts w:hint="eastAsia" w:ascii="宋体" w:hAnsi="宋体" w:cs="宋体"/>
          <w:b/>
          <w:color w:val="000000"/>
          <w:sz w:val="24"/>
          <w:highlight w:val="none"/>
          <w:lang w:val="en-US" w:eastAsia="zh-CN"/>
        </w:rPr>
        <w:t xml:space="preserve">6</w:t>
      </w:r>
      <w:r>
        <w:rPr>
          <w:rFonts w:ascii="宋体" w:hAnsi="宋体" w:eastAsia="宋体" w:cs="宋体"/>
          <w:b/>
          <w:color w:val="000000"/>
          <w:sz w:val="24"/>
          <w:highlight w:val="none"/>
        </w:rPr>
        <w:t xml:space="preserve">月</w:t>
      </w:r>
      <w:r>
        <w:rPr>
          <w:rFonts w:hint="eastAsia" w:ascii="宋体" w:hAnsi="宋体" w:cs="宋体"/>
          <w:b/>
          <w:color w:val="000000"/>
          <w:sz w:val="24"/>
          <w:highlight w:val="none"/>
          <w:lang w:val="en-US" w:eastAsia="zh-CN"/>
        </w:rPr>
        <w:t xml:space="preserve">15</w:t>
      </w:r>
      <w:r>
        <w:rPr>
          <w:rFonts w:ascii="宋体" w:hAnsi="宋体" w:eastAsia="宋体" w:cs="宋体"/>
          <w:b/>
          <w:color w:val="000000"/>
          <w:sz w:val="24"/>
          <w:highlight w:val="none"/>
        </w:rPr>
        <w:t xml:space="preserve">日，每天上午00:00-12:00，下午12:00-23:59（</w:t>
      </w:r>
      <w:r>
        <w:rPr>
          <w:rFonts w:ascii="宋体" w:hAnsi="宋体" w:eastAsia="宋体" w:cs="宋体"/>
          <w:color w:val="000000"/>
          <w:sz w:val="24"/>
          <w:highlight w:val="none"/>
        </w:rPr>
        <w:t xml:space="preserve">北京时间，节假日除外</w:t>
      </w:r>
      <w:r>
        <w:rPr>
          <w:rFonts w:ascii="宋体" w:hAnsi="宋体" w:eastAsia="宋体" w:cs="宋体"/>
          <w:b/>
          <w:color w:val="000000"/>
          <w:sz w:val="24"/>
          <w:highlight w:val="none"/>
        </w:rPr>
        <w:t xml:space="preserve">）</w:t>
      </w:r>
      <w:r>
        <w:rPr>
          <w:rFonts w:ascii="宋体" w:hAnsi="宋体"/>
          <w:sz w:val="24"/>
          <w:szCs w:val="24"/>
          <w:highlight w:val="none"/>
        </w:rPr>
      </w:r>
      <w:r/>
    </w:p>
    <w:p>
      <w:pPr>
        <w:pStyle w:val="700"/>
        <w:ind w:firstLine="480"/>
        <w:jc w:val="left"/>
        <w:spacing w:line="360" w:lineRule="auto"/>
        <w:rPr>
          <w:sz w:val="24"/>
          <w:szCs w:val="24"/>
        </w:rPr>
      </w:pPr>
      <w:r>
        <w:rPr>
          <w:rFonts w:hint="eastAsia"/>
          <w:sz w:val="24"/>
          <w:szCs w:val="24"/>
        </w:rPr>
        <w:t xml:space="preserve">地点：江苏政府采购网</w:t>
      </w:r>
      <w:r>
        <w:rPr>
          <w:sz w:val="24"/>
          <w:szCs w:val="24"/>
        </w:rPr>
      </w:r>
      <w:r/>
    </w:p>
    <w:p>
      <w:pPr>
        <w:pStyle w:val="700"/>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702"/>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700"/>
        <w:ind w:firstLine="480"/>
        <w:jc w:val="left"/>
        <w:spacing w:line="360" w:lineRule="auto"/>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2</w:t>
      </w:r>
      <w:r>
        <w:rPr>
          <w:rFonts w:hint="eastAsia"/>
          <w:sz w:val="24"/>
          <w:szCs w:val="24"/>
          <w:highlight w:val="none"/>
        </w:rPr>
        <w:t xml:space="preserve">日10:00:00（北京时间）</w:t>
      </w:r>
      <w:r>
        <w:rPr>
          <w:sz w:val="24"/>
          <w:szCs w:val="24"/>
          <w:highlight w:val="none"/>
        </w:rPr>
      </w:r>
      <w:r/>
    </w:p>
    <w:p>
      <w:pPr>
        <w:pStyle w:val="700"/>
        <w:ind w:firstLine="480"/>
        <w:jc w:val="left"/>
        <w:spacing w:line="360" w:lineRule="auto"/>
        <w:rPr>
          <w:sz w:val="24"/>
          <w:szCs w:val="24"/>
        </w:rPr>
      </w:pPr>
      <w:r>
        <w:rPr>
          <w:rFonts w:hint="eastAsia"/>
          <w:sz w:val="24"/>
          <w:szCs w:val="24"/>
        </w:rPr>
        <w:t xml:space="preserve">开标时间：提交投标文件截止时间</w:t>
      </w:r>
      <w:r>
        <w:rPr>
          <w:sz w:val="24"/>
          <w:szCs w:val="24"/>
        </w:rPr>
      </w:r>
      <w:r/>
    </w:p>
    <w:p>
      <w:pPr>
        <w:pStyle w:val="700"/>
        <w:ind w:firstLine="480"/>
        <w:jc w:val="left"/>
        <w:spacing w:line="360" w:lineRule="auto"/>
      </w:pPr>
      <w:r>
        <w:rPr>
          <w:rFonts w:hint="eastAsia"/>
          <w:sz w:val="24"/>
          <w:szCs w:val="24"/>
        </w:rPr>
        <w:t xml:space="preserve">开标地点：“苏采云”政府采购交易系统网上开标大厅</w:t>
      </w:r>
      <w:r/>
    </w:p>
    <w:p>
      <w:pPr>
        <w:pStyle w:val="70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700"/>
        <w:ind w:firstLine="480"/>
        <w:spacing w:line="360" w:lineRule="auto"/>
        <w:rPr>
          <w:rFonts w:ascii="宋体" w:hAnsi="宋体" w:eastAsia="宋体" w:cs="宋体"/>
          <w:sz w:val="24"/>
          <w:szCs w:val="24"/>
        </w:rPr>
      </w:pPr>
      <w:r/>
      <w:bookmarkStart w:id="13" w:name="_Toc35393795"/>
      <w:r/>
      <w:bookmarkStart w:id="14" w:name="_Toc38985268"/>
      <w:r/>
      <w:bookmarkStart w:id="15" w:name="_Toc35393626"/>
      <w:r>
        <w:rPr>
          <w:rFonts w:hint="eastAsia" w:ascii="宋体" w:hAnsi="宋体" w:cs="宋体"/>
          <w:sz w:val="24"/>
          <w:szCs w:val="24"/>
        </w:rPr>
        <w:t xml:space="preserve">1、</w:t>
      </w:r>
      <w:r>
        <w:rPr>
          <w:rFonts w:hint="eastAsia" w:ascii="宋体" w:hAnsi="宋体" w:eastAsia="宋体" w:cs="宋体"/>
          <w:sz w:val="24"/>
          <w:szCs w:val="24"/>
        </w:rPr>
        <w:t xml:space="preserve">公告期限为自本公告发布之日起</w:t>
      </w:r>
      <w:r>
        <w:rPr>
          <w:rFonts w:hint="eastAsia" w:ascii="宋体" w:hAnsi="宋体" w:cs="宋体"/>
          <w:sz w:val="24"/>
          <w:szCs w:val="24"/>
        </w:rPr>
        <w:t xml:space="preserve">5</w:t>
      </w:r>
      <w:r>
        <w:rPr>
          <w:rFonts w:hint="eastAsia" w:ascii="宋体" w:hAnsi="宋体" w:eastAsia="宋体" w:cs="宋体"/>
          <w:sz w:val="24"/>
          <w:szCs w:val="24"/>
        </w:rPr>
        <w:t xml:space="preserve">个工作日</w:t>
      </w:r>
      <w:bookmarkEnd w:id="13"/>
      <w:r/>
      <w:bookmarkEnd w:id="14"/>
      <w:r/>
      <w:bookmarkEnd w:id="15"/>
      <w:r>
        <w:rPr>
          <w:rFonts w:hint="eastAsia" w:ascii="宋体" w:hAnsi="宋体" w:cs="宋体"/>
          <w:sz w:val="24"/>
          <w:szCs w:val="24"/>
        </w:rPr>
        <w:t xml:space="preserve">；</w:t>
      </w:r>
      <w:r>
        <w:rPr>
          <w:rFonts w:ascii="宋体" w:hAnsi="宋体" w:eastAsia="宋体" w:cs="宋体"/>
          <w:sz w:val="24"/>
          <w:szCs w:val="24"/>
        </w:rPr>
      </w:r>
      <w:r/>
    </w:p>
    <w:p>
      <w:pPr>
        <w:pStyle w:val="700"/>
        <w:ind w:firstLine="480"/>
        <w:spacing w:line="360" w:lineRule="auto"/>
        <w:rPr>
          <w:rFonts w:ascii="宋体" w:hAnsi="宋体" w:eastAsia="宋体" w:cs="Times New Roman"/>
          <w:sz w:val="24"/>
          <w:szCs w:val="24"/>
        </w:rPr>
      </w:pPr>
      <w:r>
        <w:rPr>
          <w:rFonts w:hint="eastAsia" w:ascii="宋体" w:hAnsi="宋体" w:cs="宋体"/>
          <w:sz w:val="24"/>
          <w:szCs w:val="24"/>
        </w:rPr>
        <w:t xml:space="preserve">2、发布媒</w:t>
      </w:r>
      <w:r>
        <w:rPr>
          <w:rFonts w:hint="eastAsia" w:ascii="宋体" w:hAnsi="宋体" w:eastAsia="宋体" w:cs="宋体"/>
          <w:sz w:val="24"/>
          <w:szCs w:val="24"/>
        </w:rPr>
        <w:t xml:space="preserve">介：江苏政府采购网</w:t>
      </w:r>
      <w:r>
        <w:rPr>
          <w:rFonts w:hint="eastAsia" w:ascii="宋体" w:hAnsi="宋体" w:cs="宋体"/>
          <w:sz w:val="24"/>
          <w:szCs w:val="24"/>
        </w:rPr>
        <w:t xml:space="preserve">。</w:t>
      </w:r>
      <w:r>
        <w:rPr>
          <w:rFonts w:ascii="宋体" w:hAnsi="宋体" w:eastAsia="宋体" w:cs="Times New Roman"/>
          <w:sz w:val="24"/>
          <w:szCs w:val="24"/>
        </w:rPr>
      </w:r>
      <w:r/>
    </w:p>
    <w:p>
      <w:pPr>
        <w:pStyle w:val="70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700"/>
        <w:ind w:firstLine="480"/>
        <w:jc w:val="left"/>
        <w:spacing w:line="360" w:lineRule="auto"/>
        <w:rPr>
          <w:sz w:val="24"/>
          <w:szCs w:val="24"/>
        </w:rPr>
      </w:pPr>
      <w:r>
        <w:rPr>
          <w:rFonts w:hint="eastAsia"/>
          <w:sz w:val="24"/>
          <w:szCs w:val="24"/>
        </w:rPr>
        <w:t xml:space="preserve">1.本次招标不收取投标保证金。</w:t>
      </w:r>
      <w:r>
        <w:rPr>
          <w:sz w:val="24"/>
          <w:szCs w:val="24"/>
        </w:rPr>
      </w:r>
      <w:r/>
    </w:p>
    <w:p>
      <w:pPr>
        <w:pStyle w:val="700"/>
        <w:ind w:firstLine="480"/>
        <w:jc w:val="left"/>
        <w:spacing w:line="360" w:lineRule="auto"/>
        <w:rPr>
          <w:sz w:val="24"/>
          <w:szCs w:val="24"/>
        </w:rPr>
      </w:pPr>
      <w:r>
        <w:rPr>
          <w:rFonts w:hint="eastAsia"/>
          <w:sz w:val="24"/>
          <w:szCs w:val="24"/>
        </w:rPr>
        <w:t xml:space="preserve">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700"/>
        <w:ind w:firstLine="480"/>
        <w:jc w:val="left"/>
        <w:spacing w:line="360" w:lineRule="auto"/>
        <w:rPr>
          <w:sz w:val="24"/>
          <w:szCs w:val="24"/>
        </w:rPr>
      </w:pPr>
      <w:r>
        <w:rPr>
          <w:rFonts w:hint="eastAsia"/>
          <w:sz w:val="24"/>
          <w:szCs w:val="24"/>
        </w:rPr>
        <w:t xml:space="preserve">3.根据江苏省财政厅《关于更换全省政府采购交易系统C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700"/>
        <w:ind w:firstLine="480"/>
        <w:jc w:val="left"/>
        <w:spacing w:line="360" w:lineRule="auto"/>
        <w:rPr>
          <w:sz w:val="24"/>
          <w:szCs w:val="24"/>
        </w:rPr>
      </w:pPr>
      <w:r>
        <w:rPr>
          <w:rFonts w:hint="eastAsia"/>
          <w:sz w:val="24"/>
          <w:szCs w:val="24"/>
        </w:rPr>
        <w:t xml:space="preserve">http://www.ccgp-jiangsu.gov.cn/jiangsu/zlxz/ee/ee3a4bc5a3454aa2b0d9312230633ce9.html</w:t>
      </w:r>
      <w:r>
        <w:rPr>
          <w:sz w:val="24"/>
          <w:szCs w:val="24"/>
        </w:rPr>
      </w:r>
      <w:r/>
    </w:p>
    <w:p>
      <w:pPr>
        <w:pStyle w:val="700"/>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70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700"/>
        <w:ind w:firstLine="480"/>
        <w:jc w:val="left"/>
        <w:spacing w:line="360" w:lineRule="auto"/>
        <w:rPr>
          <w:sz w:val="24"/>
          <w:szCs w:val="24"/>
        </w:rPr>
      </w:pPr>
      <w:r>
        <w:rPr>
          <w:rFonts w:hint="eastAsia"/>
          <w:sz w:val="24"/>
          <w:szCs w:val="24"/>
        </w:rPr>
        <w:t xml:space="preserve">1.招标人信息</w:t>
      </w:r>
      <w:r>
        <w:rPr>
          <w:sz w:val="24"/>
          <w:szCs w:val="24"/>
        </w:rPr>
      </w:r>
      <w:r/>
    </w:p>
    <w:p>
      <w:pPr>
        <w:pStyle w:val="700"/>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灌云县水利局</w:t>
      </w:r>
      <w:r>
        <w:rPr>
          <w:rFonts w:hint="eastAsia" w:eastAsia="宋体"/>
          <w:sz w:val="24"/>
          <w:szCs w:val="24"/>
          <w:lang w:eastAsia="zh-CN"/>
        </w:rPr>
      </w:r>
      <w:r/>
    </w:p>
    <w:p>
      <w:pPr>
        <w:pStyle w:val="700"/>
        <w:ind w:firstLine="480"/>
        <w:jc w:val="left"/>
        <w:spacing w:line="360" w:lineRule="auto"/>
        <w:rPr>
          <w:rFonts w:hint="eastAsia" w:eastAsia="宋体"/>
          <w:sz w:val="24"/>
          <w:szCs w:val="24"/>
          <w:lang w:eastAsia="zh-CN"/>
        </w:rPr>
      </w:pPr>
      <w:r>
        <w:rPr>
          <w:rFonts w:hint="eastAsia"/>
          <w:sz w:val="24"/>
          <w:szCs w:val="24"/>
        </w:rPr>
        <w:t xml:space="preserve">地    址：</w:t>
      </w:r>
      <w:r>
        <w:rPr>
          <w:rFonts w:hint="eastAsia"/>
          <w:sz w:val="24"/>
          <w:szCs w:val="24"/>
          <w:lang w:eastAsia="zh-CN"/>
        </w:rPr>
        <w:t xml:space="preserve">灌云县伊山镇伊山南路308号</w:t>
      </w:r>
      <w:r>
        <w:rPr>
          <w:rFonts w:hint="eastAsia" w:eastAsia="宋体"/>
          <w:sz w:val="24"/>
          <w:szCs w:val="24"/>
          <w:lang w:eastAsia="zh-CN"/>
        </w:rPr>
      </w:r>
      <w:r/>
    </w:p>
    <w:p>
      <w:pPr>
        <w:pStyle w:val="700"/>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eastAsia="zh-CN"/>
        </w:rPr>
        <w:t xml:space="preserve">钱女士</w:t>
      </w:r>
      <w:r>
        <w:rPr>
          <w:rFonts w:hint="eastAsia" w:eastAsia="宋体"/>
          <w:sz w:val="24"/>
          <w:szCs w:val="24"/>
          <w:highlight w:val="none"/>
          <w:lang w:eastAsia="zh-CN"/>
        </w:rPr>
      </w:r>
      <w:r/>
    </w:p>
    <w:p>
      <w:pPr>
        <w:pStyle w:val="700"/>
        <w:ind w:firstLine="480"/>
        <w:jc w:val="left"/>
        <w:spacing w:line="360" w:lineRule="auto"/>
        <w:rPr>
          <w:sz w:val="24"/>
          <w:szCs w:val="24"/>
          <w:highlight w:val="none"/>
        </w:rPr>
      </w:pPr>
      <w:r>
        <w:rPr>
          <w:rFonts w:hint="eastAsia"/>
          <w:sz w:val="24"/>
          <w:szCs w:val="24"/>
          <w:highlight w:val="none"/>
        </w:rPr>
        <w:t xml:space="preserve">联系电话：</w:t>
      </w:r>
      <w:r>
        <w:rPr>
          <w:rFonts w:hint="eastAsia"/>
          <w:sz w:val="24"/>
          <w:szCs w:val="24"/>
          <w:highlight w:val="none"/>
          <w:lang w:eastAsia="zh-CN"/>
        </w:rPr>
        <w:t xml:space="preserve">0518-88103588</w:t>
      </w:r>
      <w:r>
        <w:rPr>
          <w:rFonts w:hint="eastAsia"/>
          <w:sz w:val="24"/>
          <w:szCs w:val="24"/>
          <w:highlight w:val="none"/>
        </w:rPr>
        <w:t xml:space="preserve">          </w:t>
      </w:r>
      <w:r>
        <w:rPr>
          <w:sz w:val="24"/>
          <w:szCs w:val="24"/>
          <w:highlight w:val="none"/>
        </w:rPr>
      </w:r>
      <w:r/>
    </w:p>
    <w:p>
      <w:pPr>
        <w:pStyle w:val="700"/>
        <w:ind w:firstLine="480"/>
        <w:jc w:val="left"/>
        <w:spacing w:line="360" w:lineRule="auto"/>
        <w:rPr>
          <w:sz w:val="24"/>
          <w:szCs w:val="24"/>
          <w:highlight w:val="none"/>
        </w:rPr>
      </w:pPr>
      <w:r>
        <w:rPr>
          <w:rFonts w:hint="eastAsia"/>
          <w:sz w:val="24"/>
          <w:szCs w:val="24"/>
          <w:highlight w:val="none"/>
        </w:rPr>
        <w:t xml:space="preserve">2.采购代理机构信息</w:t>
      </w:r>
      <w:r>
        <w:rPr>
          <w:sz w:val="24"/>
          <w:szCs w:val="24"/>
          <w:highlight w:val="none"/>
        </w:rPr>
      </w:r>
      <w:r/>
    </w:p>
    <w:p>
      <w:pPr>
        <w:pStyle w:val="700"/>
        <w:ind w:firstLine="480"/>
        <w:jc w:val="left"/>
        <w:spacing w:line="360" w:lineRule="auto"/>
        <w:rPr>
          <w:rFonts w:eastAsia="宋体"/>
          <w:sz w:val="24"/>
          <w:szCs w:val="24"/>
          <w:highlight w:val="none"/>
        </w:rPr>
      </w:pPr>
      <w:r>
        <w:rPr>
          <w:rFonts w:hint="eastAsia"/>
          <w:sz w:val="24"/>
          <w:szCs w:val="24"/>
          <w:highlight w:val="none"/>
        </w:rPr>
        <w:t xml:space="preserve">名    称：</w:t>
      </w:r>
      <w:r>
        <w:rPr>
          <w:rFonts w:hint="eastAsia" w:ascii="宋体" w:hAnsi="宋体" w:eastAsia="宋体" w:cs="宋体"/>
          <w:sz w:val="24"/>
          <w:szCs w:val="24"/>
          <w:highlight w:val="none"/>
        </w:rPr>
        <w:t xml:space="preserve">连云港市正源招标代理有限公司</w:t>
      </w:r>
      <w:r>
        <w:rPr>
          <w:rFonts w:eastAsia="宋体"/>
          <w:sz w:val="24"/>
          <w:szCs w:val="24"/>
          <w:highlight w:val="none"/>
        </w:rPr>
      </w:r>
      <w:r/>
    </w:p>
    <w:p>
      <w:pPr>
        <w:pStyle w:val="700"/>
        <w:ind w:firstLine="480"/>
        <w:jc w:val="left"/>
        <w:spacing w:line="360" w:lineRule="auto"/>
        <w:rPr>
          <w:rFonts w:eastAsia="宋体"/>
          <w:sz w:val="24"/>
          <w:szCs w:val="24"/>
          <w:highlight w:val="none"/>
        </w:rPr>
      </w:pPr>
      <w:r>
        <w:rPr>
          <w:rFonts w:hint="eastAsia"/>
          <w:sz w:val="24"/>
          <w:szCs w:val="24"/>
          <w:highlight w:val="none"/>
        </w:rPr>
        <w:t xml:space="preserve">地    址：</w:t>
      </w:r>
      <w:r>
        <w:rPr>
          <w:rFonts w:hint="eastAsia" w:eastAsia="宋体"/>
          <w:sz w:val="24"/>
          <w:szCs w:val="24"/>
          <w:highlight w:val="none"/>
        </w:rPr>
        <w:t xml:space="preserve">连云港市海州区秦东门大街382号兴亿达大厦12楼</w:t>
      </w:r>
      <w:r>
        <w:rPr>
          <w:rFonts w:eastAsia="宋体"/>
          <w:sz w:val="24"/>
          <w:szCs w:val="24"/>
          <w:highlight w:val="none"/>
        </w:rPr>
      </w:r>
      <w:r/>
    </w:p>
    <w:p>
      <w:pPr>
        <w:pStyle w:val="700"/>
        <w:ind w:firstLine="480"/>
        <w:jc w:val="left"/>
        <w:spacing w:line="360" w:lineRule="auto"/>
        <w:rPr>
          <w:rFonts w:eastAsia="宋体"/>
          <w:sz w:val="24"/>
          <w:szCs w:val="24"/>
          <w:highlight w:val="none"/>
        </w:rPr>
      </w:pPr>
      <w:r>
        <w:rPr>
          <w:rFonts w:hint="eastAsia"/>
          <w:sz w:val="24"/>
          <w:szCs w:val="24"/>
          <w:highlight w:val="none"/>
        </w:rPr>
        <w:t xml:space="preserve">联 系 人：</w:t>
      </w:r>
      <w:r>
        <w:rPr>
          <w:rFonts w:hint="eastAsia" w:eastAsia="宋体"/>
          <w:sz w:val="24"/>
          <w:szCs w:val="24"/>
          <w:highlight w:val="none"/>
        </w:rPr>
        <w:t xml:space="preserve">刘工</w:t>
      </w:r>
      <w:r>
        <w:rPr>
          <w:rFonts w:eastAsia="宋体"/>
          <w:sz w:val="24"/>
          <w:szCs w:val="24"/>
          <w:highlight w:val="none"/>
        </w:rPr>
      </w:r>
      <w:r/>
    </w:p>
    <w:p>
      <w:pPr>
        <w:pStyle w:val="700"/>
        <w:ind w:firstLine="480"/>
        <w:jc w:val="left"/>
        <w:spacing w:line="360" w:lineRule="auto"/>
        <w:rPr>
          <w:rFonts w:eastAsia="宋体"/>
          <w:sz w:val="24"/>
          <w:szCs w:val="24"/>
          <w:highlight w:val="none"/>
        </w:rPr>
      </w:pPr>
      <w:r>
        <w:rPr>
          <w:rFonts w:hint="eastAsia"/>
          <w:sz w:val="24"/>
          <w:szCs w:val="24"/>
          <w:highlight w:val="none"/>
        </w:rPr>
        <w:t xml:space="preserve">联系电话：</w:t>
      </w:r>
      <w:r>
        <w:rPr>
          <w:rFonts w:hint="eastAsia" w:ascii="宋体" w:hAnsi="宋体" w:eastAsia="宋体" w:cs="宋体"/>
          <w:sz w:val="24"/>
          <w:szCs w:val="24"/>
          <w:highlight w:val="none"/>
        </w:rPr>
        <w:t xml:space="preserve">15961318871</w:t>
      </w:r>
      <w:r>
        <w:rPr>
          <w:rFonts w:eastAsia="宋体"/>
          <w:sz w:val="24"/>
          <w:szCs w:val="24"/>
          <w:highlight w:val="none"/>
        </w:rPr>
      </w:r>
      <w:r/>
    </w:p>
    <w:p>
      <w:pPr>
        <w:pStyle w:val="700"/>
        <w:ind w:firstLine="480"/>
        <w:jc w:val="left"/>
        <w:spacing w:line="360" w:lineRule="auto"/>
        <w:rPr>
          <w:sz w:val="24"/>
          <w:szCs w:val="24"/>
          <w:highlight w:val="none"/>
        </w:rPr>
      </w:pPr>
      <w:r>
        <w:rPr>
          <w:rFonts w:hint="eastAsia"/>
          <w:sz w:val="24"/>
          <w:szCs w:val="24"/>
          <w:highlight w:val="none"/>
        </w:rPr>
        <w:t xml:space="preserve">3.项目联系方式</w:t>
      </w:r>
      <w:r>
        <w:rPr>
          <w:sz w:val="24"/>
          <w:szCs w:val="24"/>
          <w:highlight w:val="none"/>
        </w:rPr>
      </w:r>
      <w:r/>
    </w:p>
    <w:p>
      <w:pPr>
        <w:pStyle w:val="700"/>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项目联系人：</w:t>
      </w:r>
      <w:r>
        <w:rPr>
          <w:rFonts w:hint="eastAsia"/>
          <w:sz w:val="24"/>
          <w:szCs w:val="24"/>
          <w:highlight w:val="none"/>
          <w:lang w:eastAsia="zh-CN"/>
        </w:rPr>
        <w:t xml:space="preserve">钱女士</w:t>
      </w:r>
      <w:r>
        <w:rPr>
          <w:rFonts w:hint="eastAsia" w:eastAsia="宋体"/>
          <w:sz w:val="24"/>
          <w:szCs w:val="24"/>
          <w:highlight w:val="none"/>
          <w:lang w:eastAsia="zh-CN"/>
        </w:rPr>
      </w:r>
      <w:r/>
    </w:p>
    <w:p>
      <w:pPr>
        <w:pStyle w:val="700"/>
        <w:ind w:firstLine="480"/>
        <w:jc w:val="left"/>
        <w:spacing w:line="360" w:lineRule="auto"/>
        <w:rPr>
          <w:sz w:val="24"/>
          <w:szCs w:val="24"/>
          <w:highlight w:val="none"/>
        </w:rPr>
      </w:pPr>
      <w:r>
        <w:rPr>
          <w:rFonts w:hint="eastAsia"/>
          <w:sz w:val="24"/>
          <w:szCs w:val="24"/>
          <w:highlight w:val="none"/>
        </w:rPr>
        <w:t xml:space="preserve">电      话：</w:t>
      </w:r>
      <w:r>
        <w:rPr>
          <w:rFonts w:hint="eastAsia"/>
          <w:sz w:val="24"/>
          <w:szCs w:val="24"/>
          <w:highlight w:val="none"/>
          <w:lang w:eastAsia="zh-CN"/>
        </w:rPr>
        <w:t xml:space="preserve">0518-88103588</w:t>
      </w:r>
      <w:r>
        <w:rPr>
          <w:sz w:val="24"/>
          <w:szCs w:val="24"/>
          <w:highlight w:val="none"/>
        </w:rPr>
        <w:t xml:space="preserve"> </w:t>
      </w:r>
      <w:r>
        <w:rPr>
          <w:sz w:val="24"/>
          <w:szCs w:val="24"/>
          <w:highlight w:val="none"/>
        </w:rPr>
      </w:r>
      <w:r/>
    </w:p>
    <w:p>
      <w:pPr>
        <w:pStyle w:val="700"/>
        <w:jc w:val="left"/>
        <w:widowControl/>
        <w:rPr>
          <w:rFonts w:ascii="黑体" w:hAnsi="黑体" w:eastAsia="黑体"/>
          <w:bCs/>
          <w:sz w:val="44"/>
          <w:szCs w:val="44"/>
        </w:rPr>
      </w:pPr>
      <w:r/>
      <w:bookmarkStart w:id="16" w:name="_Toc155796357"/>
      <w:r>
        <w:rPr>
          <w:rFonts w:ascii="黑体" w:hAnsi="黑体" w:eastAsia="黑体"/>
          <w:b/>
        </w:rPr>
        <w:br w:type="page" w:clear="all"/>
      </w:r>
      <w:r>
        <w:rPr>
          <w:rFonts w:ascii="黑体" w:hAnsi="黑体" w:eastAsia="黑体"/>
          <w:bCs/>
          <w:sz w:val="44"/>
          <w:szCs w:val="44"/>
        </w:rPr>
      </w:r>
      <w:r/>
    </w:p>
    <w:p>
      <w:pPr>
        <w:pStyle w:val="701"/>
        <w:ind w:firstLine="880"/>
        <w:jc w:val="center"/>
        <w:spacing w:before="0" w:after="0" w:line="360" w:lineRule="auto"/>
        <w:rPr>
          <w:rFonts w:ascii="黑体" w:hAnsi="黑体" w:eastAsia="黑体"/>
          <w:b w:val="0"/>
        </w:rPr>
      </w:pPr>
      <w:r>
        <w:rPr>
          <w:rFonts w:hint="eastAsia" w:ascii="黑体" w:hAnsi="黑体" w:eastAsia="黑体"/>
          <w:b w:val="0"/>
        </w:rPr>
        <w:t xml:space="preserve">第二章  投标人须知</w:t>
      </w:r>
      <w:bookmarkEnd w:id="16"/>
      <w:r>
        <w:rPr>
          <w:rFonts w:ascii="黑体" w:hAnsi="黑体" w:eastAsia="黑体"/>
          <w:b w:val="0"/>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700"/>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70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700"/>
        <w:ind w:firstLine="480"/>
        <w:jc w:val="left"/>
        <w:spacing w:line="360" w:lineRule="auto"/>
        <w:rPr>
          <w:sz w:val="24"/>
          <w:szCs w:val="24"/>
        </w:rPr>
      </w:pPr>
      <w:r>
        <w:rPr>
          <w:rFonts w:hint="eastAsia"/>
          <w:sz w:val="24"/>
          <w:szCs w:val="24"/>
        </w:rPr>
        <w:t xml:space="preserve">2.1 满足招标公告中申请人的资格要求的规定。</w:t>
      </w:r>
      <w:r>
        <w:rPr>
          <w:sz w:val="24"/>
          <w:szCs w:val="24"/>
        </w:rPr>
      </w:r>
      <w:r/>
    </w:p>
    <w:p>
      <w:pPr>
        <w:pStyle w:val="700"/>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700"/>
        <w:ind w:firstLine="480"/>
        <w:jc w:val="left"/>
        <w:spacing w:line="360" w:lineRule="auto"/>
        <w:rPr>
          <w:sz w:val="24"/>
          <w:szCs w:val="24"/>
        </w:rPr>
      </w:pPr>
      <w:r>
        <w:rPr>
          <w:rFonts w:hint="eastAsia"/>
          <w:sz w:val="24"/>
          <w:szCs w:val="24"/>
        </w:rPr>
        <w:t xml:space="preserve">2.3 满足本招标文件全部实质性要求和条件的规定。</w:t>
      </w:r>
      <w:r>
        <w:rPr>
          <w:sz w:val="24"/>
          <w:szCs w:val="24"/>
        </w:rPr>
      </w:r>
      <w:r/>
    </w:p>
    <w:p>
      <w:pPr>
        <w:pStyle w:val="700"/>
        <w:ind w:right="-210" w:firstLine="480"/>
        <w:jc w:val="left"/>
        <w:spacing w:line="360" w:lineRule="auto"/>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70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700"/>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70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700"/>
        <w:ind w:firstLine="480"/>
        <w:jc w:val="left"/>
        <w:spacing w:line="360" w:lineRule="auto"/>
        <w:rPr>
          <w:sz w:val="24"/>
          <w:szCs w:val="24"/>
        </w:rPr>
      </w:pPr>
      <w:r>
        <w:rPr>
          <w:rFonts w:hint="eastAsia"/>
          <w:sz w:val="24"/>
          <w:szCs w:val="24"/>
        </w:rPr>
        <w:t xml:space="preserve">4.1 投标人应自行承担所有与参与投标有关的费用，无论投标过程中的做法和结果如何，招标人和招标代理机构在任何情况下均无义务和责任承担这些费用。</w:t>
      </w:r>
      <w:r>
        <w:rPr>
          <w:sz w:val="24"/>
          <w:szCs w:val="24"/>
        </w:rPr>
      </w:r>
      <w:r/>
    </w:p>
    <w:p>
      <w:pPr>
        <w:pStyle w:val="700"/>
        <w:ind w:firstLine="480"/>
        <w:jc w:val="left"/>
        <w:spacing w:line="360" w:lineRule="auto"/>
        <w:rPr>
          <w:sz w:val="24"/>
          <w:szCs w:val="24"/>
          <w:highlight w:val="yellow"/>
        </w:rPr>
      </w:pPr>
      <w:r>
        <w:rPr>
          <w:rFonts w:hint="eastAsia"/>
          <w:sz w:val="24"/>
          <w:szCs w:val="24"/>
        </w:rPr>
        <w:t xml:space="preserve">4.2 本项目招标代理服务费按“苏招协[2022]002号文”规定收费标准</w:t>
      </w:r>
      <w:r>
        <w:rPr>
          <w:rFonts w:hint="eastAsia" w:eastAsia="宋体"/>
          <w:sz w:val="24"/>
          <w:szCs w:val="24"/>
        </w:rPr>
        <w:t xml:space="preserve">下浮</w:t>
      </w:r>
      <w:r>
        <w:rPr>
          <w:rFonts w:hint="eastAsia"/>
          <w:sz w:val="24"/>
          <w:szCs w:val="24"/>
          <w:lang w:val="en-US" w:eastAsia="zh-CN"/>
        </w:rPr>
        <w:t xml:space="preserve">92%</w:t>
      </w:r>
      <w:r>
        <w:rPr>
          <w:rFonts w:hint="eastAsia" w:eastAsia="宋体"/>
          <w:sz w:val="24"/>
          <w:szCs w:val="24"/>
        </w:rPr>
        <w:t xml:space="preserve">，收取费用</w:t>
      </w:r>
      <w:r>
        <w:rPr>
          <w:rFonts w:hint="eastAsia"/>
          <w:sz w:val="24"/>
          <w:szCs w:val="24"/>
          <w:lang w:val="en-US" w:eastAsia="zh-CN"/>
        </w:rPr>
        <w:t xml:space="preserve">27000.00</w:t>
      </w:r>
      <w:r>
        <w:rPr>
          <w:rFonts w:hint="eastAsia" w:eastAsia="宋体"/>
          <w:sz w:val="24"/>
          <w:szCs w:val="24"/>
        </w:rPr>
        <w:t xml:space="preserve">元</w:t>
      </w:r>
      <w:r>
        <w:rPr>
          <w:rFonts w:hint="eastAsia"/>
          <w:sz w:val="24"/>
          <w:szCs w:val="24"/>
        </w:rPr>
        <w:t xml:space="preserve">，以上费用由中标人在领取中标通知书时一次性付清。投标单位在投标报价时应综合考虑以上费用，但不得单列。</w:t>
      </w:r>
      <w:r>
        <w:rPr>
          <w:sz w:val="24"/>
          <w:szCs w:val="24"/>
          <w:highlight w:val="yellow"/>
        </w:rPr>
      </w:r>
      <w:r/>
    </w:p>
    <w:p>
      <w:pPr>
        <w:pStyle w:val="70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700"/>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700"/>
        <w:ind w:firstLine="480"/>
        <w:jc w:val="left"/>
        <w:spacing w:line="360" w:lineRule="auto"/>
        <w:rPr>
          <w:sz w:val="24"/>
          <w:szCs w:val="24"/>
        </w:rPr>
      </w:pPr>
      <w:r>
        <w:rPr>
          <w:rFonts w:hint="eastAsia"/>
          <w:sz w:val="24"/>
          <w:szCs w:val="24"/>
        </w:rPr>
        <w:t xml:space="preserve">6.1 招标文件由以下部分构成：</w:t>
      </w:r>
      <w:r>
        <w:rPr>
          <w:sz w:val="24"/>
          <w:szCs w:val="24"/>
        </w:rPr>
      </w:r>
      <w:r/>
    </w:p>
    <w:p>
      <w:pPr>
        <w:pStyle w:val="700"/>
        <w:ind w:firstLine="480"/>
        <w:jc w:val="left"/>
        <w:spacing w:line="360" w:lineRule="auto"/>
        <w:rPr>
          <w:sz w:val="24"/>
          <w:szCs w:val="24"/>
        </w:rPr>
      </w:pPr>
      <w:r>
        <w:rPr>
          <w:rFonts w:hint="eastAsia"/>
          <w:sz w:val="24"/>
          <w:szCs w:val="24"/>
        </w:rPr>
        <w:t xml:space="preserve">（1）投标邀请</w:t>
      </w:r>
      <w:r>
        <w:rPr>
          <w:sz w:val="24"/>
          <w:szCs w:val="24"/>
        </w:rPr>
      </w:r>
      <w:r/>
    </w:p>
    <w:p>
      <w:pPr>
        <w:pStyle w:val="700"/>
        <w:ind w:firstLine="480"/>
        <w:jc w:val="left"/>
        <w:spacing w:line="360" w:lineRule="auto"/>
        <w:rPr>
          <w:sz w:val="24"/>
          <w:szCs w:val="24"/>
        </w:rPr>
      </w:pPr>
      <w:r>
        <w:rPr>
          <w:rFonts w:hint="eastAsia"/>
          <w:sz w:val="24"/>
          <w:szCs w:val="24"/>
        </w:rPr>
        <w:t xml:space="preserve">（2）投标人须知</w:t>
      </w:r>
      <w:r>
        <w:rPr>
          <w:sz w:val="24"/>
          <w:szCs w:val="24"/>
        </w:rPr>
      </w:r>
      <w:r/>
    </w:p>
    <w:p>
      <w:pPr>
        <w:pStyle w:val="700"/>
        <w:ind w:firstLine="480"/>
        <w:jc w:val="left"/>
        <w:spacing w:line="360" w:lineRule="auto"/>
        <w:rPr>
          <w:sz w:val="24"/>
          <w:szCs w:val="24"/>
        </w:rPr>
      </w:pPr>
      <w:r>
        <w:rPr>
          <w:rFonts w:hint="eastAsia"/>
          <w:sz w:val="24"/>
          <w:szCs w:val="24"/>
        </w:rPr>
        <w:t xml:space="preserve">（3）合同文本</w:t>
      </w:r>
      <w:r>
        <w:rPr>
          <w:sz w:val="24"/>
          <w:szCs w:val="24"/>
        </w:rPr>
      </w:r>
      <w:r/>
    </w:p>
    <w:p>
      <w:pPr>
        <w:pStyle w:val="700"/>
        <w:ind w:firstLine="480"/>
        <w:jc w:val="left"/>
        <w:spacing w:line="360" w:lineRule="auto"/>
        <w:rPr>
          <w:sz w:val="24"/>
          <w:szCs w:val="24"/>
        </w:rPr>
      </w:pPr>
      <w:r>
        <w:rPr>
          <w:rFonts w:hint="eastAsia"/>
          <w:sz w:val="24"/>
          <w:szCs w:val="24"/>
        </w:rPr>
        <w:t xml:space="preserve">（4）采购需求</w:t>
      </w:r>
      <w:r>
        <w:rPr>
          <w:sz w:val="24"/>
          <w:szCs w:val="24"/>
        </w:rPr>
      </w:r>
      <w:r/>
    </w:p>
    <w:p>
      <w:pPr>
        <w:pStyle w:val="700"/>
        <w:ind w:firstLine="480"/>
        <w:jc w:val="left"/>
        <w:spacing w:line="360" w:lineRule="auto"/>
        <w:rPr>
          <w:sz w:val="24"/>
          <w:szCs w:val="24"/>
        </w:rPr>
      </w:pPr>
      <w:r>
        <w:rPr>
          <w:rFonts w:hint="eastAsia"/>
          <w:sz w:val="24"/>
          <w:szCs w:val="24"/>
        </w:rPr>
        <w:t xml:space="preserve">（5）评标方法与评标标准</w:t>
      </w:r>
      <w:r>
        <w:rPr>
          <w:sz w:val="24"/>
          <w:szCs w:val="24"/>
        </w:rPr>
      </w:r>
      <w:r/>
    </w:p>
    <w:p>
      <w:pPr>
        <w:pStyle w:val="700"/>
        <w:ind w:firstLine="480"/>
        <w:jc w:val="left"/>
        <w:spacing w:line="360" w:lineRule="auto"/>
        <w:rPr>
          <w:sz w:val="24"/>
          <w:szCs w:val="24"/>
        </w:rPr>
      </w:pPr>
      <w:r>
        <w:rPr>
          <w:rFonts w:hint="eastAsia"/>
          <w:sz w:val="24"/>
          <w:szCs w:val="24"/>
        </w:rPr>
        <w:t xml:space="preserve">（6）投标文件格式</w:t>
      </w:r>
      <w:r>
        <w:rPr>
          <w:sz w:val="24"/>
          <w:szCs w:val="24"/>
        </w:rPr>
      </w:r>
      <w:r/>
    </w:p>
    <w:p>
      <w:pPr>
        <w:pStyle w:val="70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700"/>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任何要求对招标文件进行澄清的投标人，应在投标截止时间十日前按招标公告中的通讯地址，以书面形式通知招标人或者招标代理机构。</w:t>
      </w:r>
      <w:r>
        <w:rPr>
          <w:sz w:val="24"/>
          <w:szCs w:val="24"/>
        </w:rPr>
      </w:r>
      <w:r/>
    </w:p>
    <w:p>
      <w:pPr>
        <w:pStyle w:val="70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700"/>
        <w:ind w:firstLine="480"/>
        <w:jc w:val="left"/>
        <w:spacing w:line="360" w:lineRule="auto"/>
        <w:rPr>
          <w:sz w:val="24"/>
          <w:szCs w:val="24"/>
        </w:rPr>
      </w:pPr>
      <w:r>
        <w:rPr>
          <w:rFonts w:hint="eastAsia"/>
          <w:sz w:val="24"/>
          <w:szCs w:val="24"/>
        </w:rPr>
        <w:t xml:space="preserve">8.1 在投标截止时间前，招标人和招标代理机构可以对招标文件进行修改。</w:t>
      </w:r>
      <w:r>
        <w:rPr>
          <w:sz w:val="24"/>
          <w:szCs w:val="24"/>
        </w:rPr>
      </w:r>
      <w:r/>
    </w:p>
    <w:p>
      <w:pPr>
        <w:pStyle w:val="700"/>
        <w:ind w:firstLine="480"/>
        <w:jc w:val="left"/>
        <w:spacing w:line="360" w:lineRule="auto"/>
        <w:rPr>
          <w:sz w:val="24"/>
          <w:szCs w:val="24"/>
        </w:rPr>
      </w:pPr>
      <w:r>
        <w:rPr>
          <w:rFonts w:hint="eastAsia"/>
          <w:sz w:val="24"/>
          <w:szCs w:val="24"/>
        </w:rPr>
        <w:t xml:space="preserve">8.2 招标人和招标代理机构有权按照法定的要求推迟投标截止时间和开标时间。</w:t>
      </w:r>
      <w:r>
        <w:rPr>
          <w:sz w:val="24"/>
          <w:szCs w:val="24"/>
        </w:rPr>
      </w:r>
      <w:r/>
    </w:p>
    <w:p>
      <w:pPr>
        <w:pStyle w:val="700"/>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700"/>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700"/>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70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700"/>
        <w:ind w:firstLine="480"/>
        <w:jc w:val="left"/>
        <w:spacing w:line="360" w:lineRule="auto"/>
        <w:rPr>
          <w:sz w:val="24"/>
          <w:szCs w:val="24"/>
        </w:rPr>
      </w:pPr>
      <w:r>
        <w:rPr>
          <w:rFonts w:hint="eastAsia"/>
          <w:sz w:val="24"/>
          <w:szCs w:val="24"/>
        </w:rPr>
        <w:t xml:space="preserve">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700"/>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70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700"/>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700"/>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700"/>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70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700"/>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700"/>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700"/>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703"/>
        <w:ind w:firstLine="562"/>
        <w:jc w:val="left"/>
        <w:spacing w:before="0" w:after="0" w:line="360" w:lineRule="auto"/>
      </w:pPr>
      <w:r>
        <w:rPr>
          <w:rFonts w:hint="eastAsia"/>
          <w:sz w:val="28"/>
          <w:szCs w:val="28"/>
        </w:rPr>
        <w:t xml:space="preserve">13、投标分项报价表</w:t>
      </w:r>
      <w:r/>
    </w:p>
    <w:p>
      <w:pPr>
        <w:pStyle w:val="700"/>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700"/>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70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700"/>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700"/>
        <w:ind w:firstLine="480"/>
        <w:jc w:val="left"/>
        <w:spacing w:line="360" w:lineRule="auto"/>
        <w:rPr>
          <w:sz w:val="24"/>
          <w:szCs w:val="24"/>
        </w:rPr>
      </w:pPr>
      <w:r>
        <w:rPr>
          <w:rFonts w:hint="eastAsia"/>
          <w:sz w:val="24"/>
          <w:szCs w:val="24"/>
        </w:rPr>
        <w:t xml:space="preserve">14.2 投标人可在投标文件中提供认为需要的其他技术文件或说明。</w:t>
      </w:r>
      <w:r>
        <w:rPr>
          <w:sz w:val="24"/>
          <w:szCs w:val="24"/>
        </w:rPr>
      </w:r>
      <w:r/>
    </w:p>
    <w:p>
      <w:pPr>
        <w:pStyle w:val="70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700"/>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700"/>
        <w:ind w:firstLine="480"/>
        <w:jc w:val="left"/>
        <w:spacing w:line="360" w:lineRule="auto"/>
        <w:rPr>
          <w:sz w:val="24"/>
          <w:szCs w:val="24"/>
        </w:rPr>
      </w:pPr>
      <w:r>
        <w:rPr>
          <w:rFonts w:hint="eastAsia"/>
          <w:sz w:val="24"/>
          <w:szCs w:val="24"/>
        </w:rPr>
        <w:t xml:space="preserve">15.2 投标人应根据招标文件要求提供人员安排等。</w:t>
      </w:r>
      <w:r>
        <w:rPr>
          <w:sz w:val="24"/>
          <w:szCs w:val="24"/>
        </w:rPr>
      </w:r>
      <w:r/>
    </w:p>
    <w:p>
      <w:pPr>
        <w:pStyle w:val="70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700"/>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700"/>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70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700"/>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700"/>
        <w:ind w:firstLine="480"/>
        <w:jc w:val="left"/>
        <w:spacing w:line="360" w:lineRule="auto"/>
        <w:rPr>
          <w:sz w:val="24"/>
          <w:szCs w:val="24"/>
        </w:rPr>
      </w:pPr>
      <w:r>
        <w:rPr>
          <w:rFonts w:hint="eastAsia"/>
          <w:sz w:val="24"/>
          <w:szCs w:val="24"/>
        </w:rPr>
        <w:t xml:space="preserve">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700"/>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70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700"/>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700"/>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700"/>
        <w:ind w:firstLine="480"/>
        <w:jc w:val="left"/>
        <w:spacing w:line="360" w:lineRule="auto"/>
        <w:rPr>
          <w:sz w:val="24"/>
          <w:szCs w:val="24"/>
        </w:rPr>
      </w:pPr>
      <w:r>
        <w:rPr>
          <w:rFonts w:hint="eastAsia"/>
          <w:sz w:val="24"/>
          <w:szCs w:val="24"/>
        </w:rPr>
        <w:t xml:space="preserve">19.2 招标人和招标代理机构可以按照规定，通过修改招标文件酌情延长投标截止时间，在此情况下，投标人的所有权利和义务以及投标人受制的截止时间均应以延长后新的截止时间为准。</w:t>
      </w:r>
      <w:r>
        <w:rPr>
          <w:sz w:val="24"/>
          <w:szCs w:val="24"/>
        </w:rPr>
      </w:r>
      <w:r/>
    </w:p>
    <w:p>
      <w:pPr>
        <w:pStyle w:val="70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700"/>
        <w:ind w:firstLine="480"/>
        <w:jc w:val="left"/>
        <w:spacing w:line="360" w:lineRule="auto"/>
        <w:rPr>
          <w:sz w:val="24"/>
          <w:szCs w:val="24"/>
        </w:rPr>
      </w:pPr>
      <w:r>
        <w:rPr>
          <w:rFonts w:hint="eastAsia"/>
          <w:sz w:val="24"/>
          <w:szCs w:val="24"/>
        </w:rPr>
        <w:t xml:space="preserve">20.1 招标代理机构拒绝接收在招标文件规定的投标截止时间后递交（上传）的任何投标文件。</w:t>
      </w:r>
      <w:r>
        <w:rPr>
          <w:sz w:val="24"/>
          <w:szCs w:val="24"/>
        </w:rPr>
      </w:r>
      <w:r/>
    </w:p>
    <w:p>
      <w:pPr>
        <w:pStyle w:val="70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700"/>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700"/>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700"/>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700"/>
        <w:ind w:firstLine="480"/>
        <w:jc w:val="left"/>
        <w:spacing w:line="360" w:lineRule="auto"/>
        <w:rPr>
          <w:sz w:val="24"/>
          <w:szCs w:val="24"/>
        </w:rPr>
      </w:pPr>
      <w:r>
        <w:rPr>
          <w:rFonts w:hint="eastAsia"/>
          <w:sz w:val="24"/>
          <w:szCs w:val="24"/>
        </w:rPr>
        <w:t xml:space="preserve">22.1 招标代理机构将在招标公告中规定的时间和地点组织公开开标。投标人应当按时参加开标活动，并在“苏采云”系统规定的时间内对其投标文件进行解密。</w:t>
      </w:r>
      <w:r>
        <w:rPr>
          <w:sz w:val="24"/>
          <w:szCs w:val="24"/>
        </w:rPr>
      </w:r>
      <w:r/>
    </w:p>
    <w:p>
      <w:pPr>
        <w:pStyle w:val="700"/>
        <w:ind w:firstLine="480"/>
        <w:jc w:val="left"/>
        <w:spacing w:line="360" w:lineRule="auto"/>
        <w:rPr>
          <w:sz w:val="24"/>
          <w:szCs w:val="24"/>
        </w:rPr>
      </w:pPr>
      <w:r>
        <w:rPr>
          <w:rFonts w:hint="eastAsia"/>
          <w:sz w:val="24"/>
          <w:szCs w:val="24"/>
        </w:rPr>
        <w:t xml:space="preserve">22.2 开标仪式由招标代理机构组织。“苏采云”系统将自动对项目进行开标，并宣布各投标人名称和投标价格。</w:t>
      </w:r>
      <w:r>
        <w:rPr>
          <w:sz w:val="24"/>
          <w:szCs w:val="24"/>
        </w:rPr>
      </w:r>
      <w:r/>
    </w:p>
    <w:p>
      <w:pPr>
        <w:pStyle w:val="700"/>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700"/>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700"/>
        <w:ind w:firstLine="480"/>
        <w:jc w:val="left"/>
        <w:spacing w:line="360" w:lineRule="auto"/>
        <w:rPr>
          <w:sz w:val="24"/>
          <w:szCs w:val="24"/>
        </w:rPr>
      </w:pPr>
      <w:r>
        <w:rPr>
          <w:rFonts w:hint="eastAsia"/>
          <w:sz w:val="24"/>
          <w:szCs w:val="24"/>
        </w:rPr>
        <w:t xml:space="preserve">22.5 投标人未参加开标的，视同认可开标结果。</w:t>
      </w:r>
      <w:r>
        <w:rPr>
          <w:sz w:val="24"/>
          <w:szCs w:val="24"/>
        </w:rPr>
      </w:r>
      <w:r/>
    </w:p>
    <w:p>
      <w:pPr>
        <w:pStyle w:val="700"/>
        <w:ind w:firstLine="480"/>
        <w:jc w:val="left"/>
        <w:spacing w:line="360" w:lineRule="auto"/>
        <w:rPr>
          <w:sz w:val="24"/>
          <w:szCs w:val="24"/>
        </w:rPr>
      </w:pPr>
      <w:r>
        <w:rPr>
          <w:rFonts w:hint="eastAsia"/>
          <w:sz w:val="24"/>
          <w:szCs w:val="24"/>
        </w:rPr>
        <w:t xml:space="preserve">22.6 投标人在开标、评标全过程中应保持通讯畅通，及时登录“苏采云”系统查阅、答复相关信息，并安排专人与招标代理机构及评委会联系。</w:t>
      </w:r>
      <w:r>
        <w:rPr>
          <w:sz w:val="24"/>
          <w:szCs w:val="24"/>
        </w:rPr>
      </w:r>
      <w:r/>
    </w:p>
    <w:p>
      <w:pPr>
        <w:pStyle w:val="70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700"/>
        <w:ind w:firstLine="480"/>
        <w:jc w:val="left"/>
        <w:spacing w:line="360" w:lineRule="auto"/>
        <w:rPr>
          <w:sz w:val="24"/>
          <w:szCs w:val="24"/>
        </w:rPr>
      </w:pPr>
      <w:r>
        <w:rPr>
          <w:rFonts w:hint="eastAsia"/>
          <w:sz w:val="24"/>
          <w:szCs w:val="24"/>
        </w:rPr>
        <w:t xml:space="preserve">23.1 开标后，招标代理机构将组织评委会进行评标。</w:t>
      </w:r>
      <w:r>
        <w:rPr>
          <w:sz w:val="24"/>
          <w:szCs w:val="24"/>
        </w:rPr>
      </w:r>
      <w:r/>
    </w:p>
    <w:p>
      <w:pPr>
        <w:pStyle w:val="700"/>
        <w:ind w:firstLine="480"/>
        <w:jc w:val="left"/>
        <w:spacing w:line="360" w:lineRule="auto"/>
        <w:rPr>
          <w:sz w:val="24"/>
          <w:szCs w:val="24"/>
        </w:rPr>
      </w:pPr>
      <w:r>
        <w:rPr>
          <w:rFonts w:hint="eastAsia"/>
          <w:sz w:val="24"/>
          <w:szCs w:val="24"/>
        </w:rPr>
        <w:t xml:space="preserve">23.2 评委会由招标人代表和有关技术、经济等方面的评审专家组成，且人员构成符合政府采购有关规定。</w:t>
      </w:r>
      <w:r>
        <w:rPr>
          <w:sz w:val="24"/>
          <w:szCs w:val="24"/>
        </w:rPr>
      </w:r>
      <w:r/>
    </w:p>
    <w:p>
      <w:pPr>
        <w:pStyle w:val="700"/>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70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700"/>
        <w:ind w:firstLine="480"/>
        <w:jc w:val="left"/>
        <w:spacing w:line="360" w:lineRule="auto"/>
        <w:rPr>
          <w:sz w:val="24"/>
          <w:szCs w:val="24"/>
        </w:rPr>
      </w:pPr>
      <w:r>
        <w:rPr>
          <w:rFonts w:hint="eastAsia"/>
          <w:sz w:val="24"/>
          <w:szCs w:val="24"/>
        </w:rPr>
        <w:t xml:space="preserve">24.1 凡是与审查、澄清、评价和比较投标的有关资料以及授标建议等，招标人、评审专家、招标代理机构均不得向投标人或与评标无关的其他人员透露。</w:t>
      </w:r>
      <w:r>
        <w:rPr>
          <w:sz w:val="24"/>
          <w:szCs w:val="24"/>
        </w:rPr>
      </w:r>
      <w:r/>
    </w:p>
    <w:p>
      <w:pPr>
        <w:pStyle w:val="700"/>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700"/>
        <w:ind w:firstLine="480"/>
        <w:jc w:val="left"/>
        <w:spacing w:line="360" w:lineRule="auto"/>
        <w:rPr>
          <w:sz w:val="24"/>
          <w:szCs w:val="24"/>
        </w:rPr>
      </w:pPr>
      <w:r>
        <w:rPr>
          <w:rFonts w:hint="eastAsia"/>
          <w:sz w:val="24"/>
          <w:szCs w:val="24"/>
        </w:rPr>
        <w:t xml:space="preserve">24.3 招标代理机构和评委会不向未中标的投标人解释未中标原因，也不公布评标过程中的相关细节。</w:t>
      </w:r>
      <w:r>
        <w:rPr>
          <w:sz w:val="24"/>
          <w:szCs w:val="24"/>
        </w:rPr>
      </w:r>
      <w:r/>
    </w:p>
    <w:p>
      <w:pPr>
        <w:pStyle w:val="700"/>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70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700"/>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700"/>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700"/>
        <w:ind w:firstLine="480"/>
        <w:jc w:val="left"/>
        <w:spacing w:line="360" w:lineRule="auto"/>
        <w:rPr>
          <w:sz w:val="24"/>
          <w:szCs w:val="24"/>
        </w:rPr>
      </w:pPr>
      <w:r>
        <w:rPr>
          <w:rFonts w:hint="eastAsia"/>
          <w:sz w:val="24"/>
          <w:szCs w:val="24"/>
        </w:rPr>
        <w:t xml:space="preserve">评委会并非对每个投标人都提出澄清、说明或者补正要求。</w:t>
      </w:r>
      <w:r>
        <w:rPr>
          <w:sz w:val="24"/>
          <w:szCs w:val="24"/>
        </w:rPr>
      </w:r>
      <w:r/>
    </w:p>
    <w:p>
      <w:pPr>
        <w:pStyle w:val="700"/>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700"/>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703"/>
        <w:ind w:firstLine="562"/>
        <w:jc w:val="left"/>
        <w:spacing w:before="0" w:after="0" w:line="360" w:lineRule="auto"/>
        <w:rPr>
          <w:sz w:val="28"/>
          <w:szCs w:val="28"/>
        </w:rPr>
      </w:pPr>
      <w:r>
        <w:rPr>
          <w:rFonts w:hint="eastAsia"/>
          <w:sz w:val="28"/>
          <w:szCs w:val="28"/>
        </w:rPr>
        <w:t xml:space="preserve">26、对投标文件的初审</w:t>
      </w:r>
      <w:r>
        <w:rPr>
          <w:sz w:val="28"/>
          <w:szCs w:val="28"/>
        </w:rPr>
      </w:r>
      <w:r/>
    </w:p>
    <w:p>
      <w:pPr>
        <w:pStyle w:val="700"/>
        <w:ind w:firstLine="480"/>
        <w:jc w:val="left"/>
        <w:spacing w:line="360" w:lineRule="auto"/>
        <w:rPr>
          <w:sz w:val="24"/>
          <w:szCs w:val="24"/>
        </w:rPr>
      </w:pPr>
      <w:r>
        <w:rPr>
          <w:rFonts w:hint="eastAsia"/>
          <w:sz w:val="24"/>
          <w:szCs w:val="24"/>
        </w:rPr>
        <w:t xml:space="preserve">26.1 投标文件初审分为资格审查和符合性审查。</w:t>
      </w:r>
      <w:r>
        <w:rPr>
          <w:sz w:val="24"/>
          <w:szCs w:val="24"/>
        </w:rPr>
      </w:r>
      <w:r/>
    </w:p>
    <w:p>
      <w:pPr>
        <w:pStyle w:val="700"/>
        <w:ind w:firstLine="480"/>
        <w:jc w:val="left"/>
        <w:spacing w:line="360" w:lineRule="auto"/>
        <w:rPr>
          <w:sz w:val="24"/>
          <w:szCs w:val="24"/>
        </w:rPr>
      </w:pPr>
      <w:r>
        <w:rPr>
          <w:rFonts w:hint="eastAsia"/>
          <w:sz w:val="24"/>
          <w:szCs w:val="24"/>
        </w:rPr>
        <w:t xml:space="preserve">（1）资格审查：招标人依据法律法规和招标文件的规定，对投标文件中的资格证明文件进行审查。资格审查的结论，招标人以书面形式向评委会进行反馈。</w:t>
      </w:r>
      <w:r>
        <w:rPr>
          <w:sz w:val="24"/>
          <w:szCs w:val="24"/>
        </w:rPr>
      </w:r>
      <w:r/>
    </w:p>
    <w:p>
      <w:pPr>
        <w:pStyle w:val="700"/>
        <w:ind w:firstLine="480"/>
        <w:jc w:val="left"/>
        <w:spacing w:line="360" w:lineRule="auto"/>
        <w:rPr>
          <w:sz w:val="24"/>
          <w:szCs w:val="24"/>
        </w:rPr>
      </w:pPr>
      <w:r>
        <w:rPr>
          <w:rFonts w:hint="eastAsia"/>
          <w:sz w:val="24"/>
          <w:szCs w:val="24"/>
        </w:rPr>
        <w:t xml:space="preserve">招标人在进行资格审查的同时，将在信用中国网站（www.creditchina.gov.cn）、中国政府采购网（www.ccgp.gov.cn）查询投标人的信用记录，以确定投标人是否具备投标资格，查询结果留存并归档。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700"/>
        <w:ind w:firstLine="480"/>
        <w:jc w:val="left"/>
        <w:spacing w:line="360" w:lineRule="auto"/>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700"/>
        <w:ind w:firstLine="480"/>
        <w:jc w:val="left"/>
        <w:spacing w:line="360" w:lineRule="auto"/>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rPr>
          <w:sz w:val="24"/>
          <w:szCs w:val="24"/>
        </w:rPr>
      </w:r>
      <w:r/>
    </w:p>
    <w:p>
      <w:pPr>
        <w:pStyle w:val="700"/>
        <w:ind w:firstLine="480"/>
        <w:jc w:val="left"/>
        <w:spacing w:line="360" w:lineRule="auto"/>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700"/>
        <w:ind w:firstLine="480"/>
        <w:jc w:val="left"/>
        <w:spacing w:line="360" w:lineRule="auto"/>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rPr>
          <w:sz w:val="24"/>
          <w:szCs w:val="24"/>
        </w:rPr>
      </w:r>
      <w:r/>
    </w:p>
    <w:p>
      <w:pPr>
        <w:pStyle w:val="700"/>
        <w:ind w:firstLine="480"/>
        <w:jc w:val="left"/>
        <w:spacing w:line="360" w:lineRule="auto"/>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700"/>
        <w:ind w:firstLine="480"/>
        <w:jc w:val="left"/>
        <w:spacing w:line="360" w:lineRule="auto"/>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rPr>
          <w:sz w:val="24"/>
          <w:szCs w:val="24"/>
        </w:rPr>
      </w:r>
      <w:r/>
    </w:p>
    <w:p>
      <w:pPr>
        <w:pStyle w:val="700"/>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700"/>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700"/>
        <w:ind w:firstLine="480"/>
        <w:jc w:val="left"/>
        <w:spacing w:line="360" w:lineRule="auto"/>
        <w:rPr>
          <w:sz w:val="24"/>
          <w:szCs w:val="24"/>
        </w:rPr>
      </w:pPr>
      <w:r>
        <w:rPr>
          <w:rFonts w:hint="eastAsia"/>
          <w:sz w:val="24"/>
          <w:szCs w:val="24"/>
        </w:rPr>
        <w:t xml:space="preserve">（2）大写金额和小写金额不一致的，以大写金额为准。</w:t>
      </w:r>
      <w:r>
        <w:rPr>
          <w:sz w:val="24"/>
          <w:szCs w:val="24"/>
        </w:rPr>
      </w:r>
      <w:r/>
    </w:p>
    <w:p>
      <w:pPr>
        <w:pStyle w:val="700"/>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700"/>
        <w:ind w:firstLine="480"/>
        <w:jc w:val="left"/>
        <w:spacing w:line="360" w:lineRule="auto"/>
        <w:rPr>
          <w:sz w:val="24"/>
          <w:szCs w:val="24"/>
        </w:rPr>
      </w:pPr>
      <w:r>
        <w:rPr>
          <w:rFonts w:hint="eastAsia"/>
          <w:sz w:val="24"/>
          <w:szCs w:val="24"/>
        </w:rPr>
        <w:t xml:space="preserve">（4）总价金额与按单价汇总金额不一致的，以单价金额计算结果为准。</w:t>
      </w:r>
      <w:r>
        <w:rPr>
          <w:sz w:val="24"/>
          <w:szCs w:val="24"/>
        </w:rPr>
      </w:r>
      <w:r/>
    </w:p>
    <w:p>
      <w:pPr>
        <w:pStyle w:val="700"/>
        <w:ind w:firstLine="480"/>
        <w:jc w:val="left"/>
        <w:spacing w:line="360" w:lineRule="auto"/>
        <w:rPr>
          <w:sz w:val="24"/>
          <w:szCs w:val="24"/>
        </w:rPr>
      </w:pPr>
      <w:r>
        <w:rPr>
          <w:rFonts w:hint="eastAsia"/>
          <w:sz w:val="24"/>
          <w:szCs w:val="24"/>
        </w:rPr>
        <w:t xml:space="preserve">同时出现两种以上错误的，按照前款规定的顺序修正。</w:t>
      </w:r>
      <w:r>
        <w:rPr>
          <w:sz w:val="24"/>
          <w:szCs w:val="24"/>
        </w:rPr>
      </w:r>
      <w:r/>
    </w:p>
    <w:p>
      <w:pPr>
        <w:pStyle w:val="700"/>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700"/>
        <w:ind w:firstLine="480"/>
        <w:jc w:val="left"/>
        <w:spacing w:line="360" w:lineRule="auto"/>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700"/>
        <w:ind w:firstLine="480"/>
        <w:jc w:val="left"/>
        <w:spacing w:line="360" w:lineRule="auto"/>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700"/>
        <w:ind w:firstLine="480"/>
        <w:jc w:val="left"/>
        <w:spacing w:line="360" w:lineRule="auto"/>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70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700"/>
        <w:ind w:firstLine="480"/>
        <w:jc w:val="left"/>
        <w:spacing w:line="360" w:lineRule="auto"/>
        <w:rPr>
          <w:sz w:val="24"/>
          <w:szCs w:val="24"/>
        </w:rPr>
      </w:pPr>
      <w:r>
        <w:rPr>
          <w:rFonts w:hint="eastAsia"/>
          <w:sz w:val="24"/>
          <w:szCs w:val="24"/>
        </w:rPr>
        <w:t xml:space="preserve">27.1 无效投标条款：</w:t>
      </w:r>
      <w:r>
        <w:rPr>
          <w:sz w:val="24"/>
          <w:szCs w:val="24"/>
        </w:rPr>
      </w:r>
      <w:r/>
    </w:p>
    <w:p>
      <w:pPr>
        <w:pStyle w:val="700"/>
        <w:ind w:firstLine="480"/>
        <w:jc w:val="left"/>
        <w:spacing w:line="360" w:lineRule="auto"/>
        <w:rPr>
          <w:sz w:val="24"/>
          <w:szCs w:val="24"/>
        </w:rPr>
      </w:pPr>
      <w:r>
        <w:rPr>
          <w:rFonts w:hint="eastAsia"/>
          <w:sz w:val="24"/>
          <w:szCs w:val="24"/>
        </w:rPr>
        <w:t xml:space="preserve">（1）投标人未按照招标文件要求递交（上传）电子投标文件的。</w:t>
      </w:r>
      <w:r>
        <w:rPr>
          <w:sz w:val="24"/>
          <w:szCs w:val="24"/>
        </w:rPr>
      </w:r>
      <w:r/>
    </w:p>
    <w:p>
      <w:pPr>
        <w:pStyle w:val="700"/>
        <w:ind w:firstLine="480"/>
        <w:jc w:val="left"/>
        <w:spacing w:line="360" w:lineRule="auto"/>
        <w:rPr>
          <w:sz w:val="24"/>
          <w:szCs w:val="24"/>
        </w:rPr>
      </w:pPr>
      <w:r>
        <w:rPr>
          <w:rFonts w:hint="eastAsia"/>
          <w:sz w:val="24"/>
          <w:szCs w:val="24"/>
        </w:rPr>
        <w:t xml:space="preserve">（2）投标人在“苏采云”系统规定的时间内未成功解密电子投标文件的。</w:t>
      </w:r>
      <w:r>
        <w:rPr>
          <w:sz w:val="24"/>
          <w:szCs w:val="24"/>
        </w:rPr>
      </w:r>
      <w:r/>
    </w:p>
    <w:p>
      <w:pPr>
        <w:pStyle w:val="700"/>
        <w:ind w:firstLine="480"/>
        <w:jc w:val="left"/>
        <w:spacing w:line="360" w:lineRule="auto"/>
        <w:rPr>
          <w:sz w:val="24"/>
          <w:szCs w:val="24"/>
        </w:rPr>
      </w:pPr>
      <w:r>
        <w:rPr>
          <w:rFonts w:hint="eastAsia"/>
          <w:sz w:val="24"/>
          <w:szCs w:val="24"/>
        </w:rPr>
        <w:t xml:space="preserve">（3）投标人不具备招标文件中规定的资格要求的。</w:t>
      </w:r>
      <w:r>
        <w:rPr>
          <w:sz w:val="24"/>
          <w:szCs w:val="24"/>
        </w:rPr>
      </w:r>
      <w:r/>
    </w:p>
    <w:p>
      <w:pPr>
        <w:pStyle w:val="700"/>
        <w:ind w:firstLine="480"/>
        <w:jc w:val="left"/>
        <w:spacing w:line="360" w:lineRule="auto"/>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700"/>
        <w:ind w:firstLine="480"/>
        <w:jc w:val="left"/>
        <w:spacing w:line="360" w:lineRule="auto"/>
        <w:rPr>
          <w:sz w:val="24"/>
          <w:szCs w:val="24"/>
        </w:rPr>
      </w:pPr>
      <w:r>
        <w:rPr>
          <w:rFonts w:hint="eastAsia"/>
          <w:sz w:val="24"/>
          <w:szCs w:val="24"/>
        </w:rPr>
        <w:t xml:space="preserve">（5）投标人提交两个（含两个）以上不同的投标报价的。</w:t>
      </w:r>
      <w:r>
        <w:rPr>
          <w:sz w:val="24"/>
          <w:szCs w:val="24"/>
        </w:rPr>
      </w:r>
      <w:r/>
    </w:p>
    <w:p>
      <w:pPr>
        <w:pStyle w:val="700"/>
        <w:ind w:firstLine="480"/>
        <w:jc w:val="left"/>
        <w:spacing w:line="360" w:lineRule="auto"/>
        <w:rPr>
          <w:sz w:val="24"/>
          <w:szCs w:val="24"/>
        </w:rPr>
      </w:pPr>
      <w:r>
        <w:rPr>
          <w:rFonts w:hint="eastAsia"/>
          <w:sz w:val="24"/>
          <w:szCs w:val="24"/>
        </w:rPr>
        <w:t xml:space="preserve">（6）投标人的报价超过了采购预算或者最高限价的。</w:t>
      </w:r>
      <w:r>
        <w:rPr>
          <w:sz w:val="24"/>
          <w:szCs w:val="24"/>
        </w:rPr>
      </w:r>
      <w:r/>
    </w:p>
    <w:p>
      <w:pPr>
        <w:pStyle w:val="700"/>
        <w:ind w:firstLine="480"/>
        <w:jc w:val="left"/>
        <w:spacing w:line="360" w:lineRule="auto"/>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r>
        <w:rPr>
          <w:sz w:val="24"/>
          <w:szCs w:val="24"/>
        </w:rPr>
      </w:r>
      <w:r/>
    </w:p>
    <w:p>
      <w:pPr>
        <w:pStyle w:val="700"/>
        <w:ind w:firstLine="480"/>
        <w:jc w:val="left"/>
        <w:spacing w:line="360" w:lineRule="auto"/>
        <w:rPr>
          <w:sz w:val="24"/>
          <w:szCs w:val="24"/>
        </w:rPr>
      </w:pPr>
      <w:r>
        <w:rPr>
          <w:rFonts w:hint="eastAsia"/>
          <w:sz w:val="24"/>
          <w:szCs w:val="24"/>
        </w:rPr>
        <w:t xml:space="preserve">（8）不符合招标文件规定的实质性要求和条件的。（本招标文件中标注★号的部分为实质性要求和条件）</w:t>
      </w:r>
      <w:r>
        <w:rPr>
          <w:sz w:val="24"/>
          <w:szCs w:val="24"/>
        </w:rPr>
      </w:r>
      <w:r/>
    </w:p>
    <w:p>
      <w:pPr>
        <w:pStyle w:val="700"/>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700"/>
        <w:ind w:firstLine="480"/>
        <w:jc w:val="left"/>
        <w:spacing w:line="360" w:lineRule="auto"/>
        <w:rPr>
          <w:sz w:val="24"/>
          <w:szCs w:val="24"/>
        </w:rPr>
      </w:pPr>
      <w:r>
        <w:rPr>
          <w:rFonts w:hint="eastAsia"/>
          <w:sz w:val="24"/>
          <w:szCs w:val="24"/>
        </w:rPr>
        <w:t xml:space="preserve">（10）投标人未通过符合性审查的。</w:t>
      </w:r>
      <w:r>
        <w:rPr>
          <w:sz w:val="24"/>
          <w:szCs w:val="24"/>
        </w:rPr>
      </w:r>
      <w:r/>
    </w:p>
    <w:p>
      <w:pPr>
        <w:pStyle w:val="700"/>
        <w:ind w:firstLine="480"/>
        <w:jc w:val="left"/>
        <w:spacing w:line="360" w:lineRule="auto"/>
        <w:rPr>
          <w:sz w:val="24"/>
          <w:szCs w:val="24"/>
        </w:rPr>
      </w:pPr>
      <w:r>
        <w:rPr>
          <w:rFonts w:hint="eastAsia"/>
          <w:sz w:val="24"/>
          <w:szCs w:val="24"/>
        </w:rPr>
        <w:t xml:space="preserve">（11）投标文件含有招标人不能接受的附加条件的。</w:t>
      </w:r>
      <w:r>
        <w:rPr>
          <w:sz w:val="24"/>
          <w:szCs w:val="24"/>
        </w:rPr>
      </w:r>
      <w:r/>
    </w:p>
    <w:p>
      <w:pPr>
        <w:pStyle w:val="700"/>
        <w:ind w:firstLine="480"/>
        <w:jc w:val="left"/>
        <w:spacing w:line="360" w:lineRule="auto"/>
        <w:rPr>
          <w:sz w:val="24"/>
          <w:szCs w:val="24"/>
        </w:rPr>
      </w:pPr>
      <w:r>
        <w:rPr>
          <w:rFonts w:hint="eastAsia"/>
          <w:sz w:val="24"/>
          <w:szCs w:val="24"/>
        </w:rPr>
        <w:t xml:space="preserve">（12）投标文件未按照招标文件要求加盖公章（CA电子公章）的。</w:t>
      </w:r>
      <w:r>
        <w:rPr>
          <w:sz w:val="24"/>
          <w:szCs w:val="24"/>
        </w:rPr>
      </w:r>
      <w:r/>
    </w:p>
    <w:p>
      <w:pPr>
        <w:pStyle w:val="700"/>
        <w:ind w:firstLine="480"/>
        <w:jc w:val="left"/>
        <w:spacing w:line="360" w:lineRule="auto"/>
        <w:rPr>
          <w:sz w:val="24"/>
          <w:szCs w:val="24"/>
        </w:rPr>
      </w:pPr>
      <w:r>
        <w:rPr>
          <w:rFonts w:hint="eastAsia"/>
          <w:sz w:val="24"/>
          <w:szCs w:val="24"/>
        </w:rPr>
        <w:t xml:space="preserve">（13）其他法律、法规及本招标文件规定的属于无效投标的情形。</w:t>
      </w:r>
      <w:r>
        <w:rPr>
          <w:sz w:val="24"/>
          <w:szCs w:val="24"/>
        </w:rPr>
      </w:r>
      <w:r/>
    </w:p>
    <w:p>
      <w:pPr>
        <w:pStyle w:val="700"/>
        <w:ind w:firstLine="480"/>
        <w:jc w:val="left"/>
        <w:spacing w:line="360" w:lineRule="auto"/>
        <w:rPr>
          <w:sz w:val="24"/>
          <w:szCs w:val="24"/>
        </w:rPr>
      </w:pPr>
      <w:r>
        <w:rPr>
          <w:rFonts w:hint="eastAsia"/>
          <w:sz w:val="24"/>
          <w:szCs w:val="24"/>
        </w:rPr>
        <w:t xml:space="preserve">27.2 有下列情形之一的，视为投标人串通投标，投标无效：</w:t>
      </w:r>
      <w:r>
        <w:rPr>
          <w:sz w:val="24"/>
          <w:szCs w:val="24"/>
        </w:rPr>
      </w:r>
      <w:r/>
    </w:p>
    <w:p>
      <w:pPr>
        <w:pStyle w:val="700"/>
        <w:ind w:firstLine="480"/>
        <w:jc w:val="left"/>
        <w:spacing w:line="360" w:lineRule="auto"/>
        <w:rPr>
          <w:sz w:val="24"/>
          <w:szCs w:val="24"/>
        </w:rPr>
      </w:pPr>
      <w:r>
        <w:rPr>
          <w:rFonts w:hint="eastAsia"/>
          <w:sz w:val="24"/>
          <w:szCs w:val="24"/>
        </w:rPr>
        <w:t xml:space="preserve">（1）不同投标人的投标文件由同一单位或者个人编制。</w:t>
      </w:r>
      <w:r>
        <w:rPr>
          <w:sz w:val="24"/>
          <w:szCs w:val="24"/>
        </w:rPr>
      </w:r>
      <w:r/>
    </w:p>
    <w:p>
      <w:pPr>
        <w:pStyle w:val="700"/>
        <w:ind w:firstLine="480"/>
        <w:jc w:val="left"/>
        <w:spacing w:line="360" w:lineRule="auto"/>
        <w:rPr>
          <w:sz w:val="24"/>
          <w:szCs w:val="24"/>
        </w:rPr>
      </w:pPr>
      <w:r>
        <w:rPr>
          <w:rFonts w:hint="eastAsia"/>
          <w:sz w:val="24"/>
          <w:szCs w:val="24"/>
        </w:rPr>
        <w:t xml:space="preserve">（2）不同投标人委托同一单位或者个人办理投标事宜。</w:t>
      </w:r>
      <w:r>
        <w:rPr>
          <w:sz w:val="24"/>
          <w:szCs w:val="24"/>
        </w:rPr>
      </w:r>
      <w:r/>
    </w:p>
    <w:p>
      <w:pPr>
        <w:pStyle w:val="700"/>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rPr>
          <w:sz w:val="24"/>
          <w:szCs w:val="24"/>
        </w:rPr>
      </w:r>
      <w:r/>
    </w:p>
    <w:p>
      <w:pPr>
        <w:pStyle w:val="700"/>
        <w:ind w:firstLine="480"/>
        <w:jc w:val="left"/>
        <w:spacing w:line="360" w:lineRule="auto"/>
        <w:rPr>
          <w:sz w:val="24"/>
          <w:szCs w:val="24"/>
        </w:rPr>
      </w:pPr>
      <w:r>
        <w:rPr>
          <w:rFonts w:hint="eastAsia"/>
          <w:sz w:val="24"/>
          <w:szCs w:val="24"/>
        </w:rPr>
        <w:t xml:space="preserve">（4）不同投标人的投标文件异常一致或者投标报价呈规律性差异。</w:t>
      </w:r>
      <w:r>
        <w:rPr>
          <w:sz w:val="24"/>
          <w:szCs w:val="24"/>
        </w:rPr>
      </w:r>
      <w:r/>
    </w:p>
    <w:p>
      <w:pPr>
        <w:pStyle w:val="700"/>
        <w:ind w:firstLine="480"/>
        <w:jc w:val="left"/>
        <w:spacing w:line="360" w:lineRule="auto"/>
        <w:rPr>
          <w:sz w:val="24"/>
          <w:szCs w:val="24"/>
        </w:rPr>
      </w:pPr>
      <w:r>
        <w:rPr>
          <w:rFonts w:hint="eastAsia"/>
          <w:sz w:val="24"/>
          <w:szCs w:val="24"/>
        </w:rPr>
        <w:t xml:space="preserve">（5）不同投标人的投标文件相互混装。</w:t>
      </w:r>
      <w:r>
        <w:rPr>
          <w:sz w:val="24"/>
          <w:szCs w:val="24"/>
        </w:rPr>
      </w:r>
      <w:r/>
    </w:p>
    <w:p>
      <w:pPr>
        <w:pStyle w:val="700"/>
        <w:ind w:firstLine="480"/>
        <w:jc w:val="left"/>
        <w:spacing w:line="360" w:lineRule="auto"/>
        <w:rPr>
          <w:sz w:val="24"/>
          <w:szCs w:val="24"/>
        </w:rPr>
      </w:pPr>
      <w:r>
        <w:rPr>
          <w:rFonts w:hint="eastAsia"/>
          <w:sz w:val="24"/>
          <w:szCs w:val="24"/>
        </w:rPr>
        <w:t xml:space="preserve">27.3 废标条款：</w:t>
      </w:r>
      <w:r>
        <w:rPr>
          <w:sz w:val="24"/>
          <w:szCs w:val="24"/>
        </w:rPr>
      </w:r>
      <w:r/>
    </w:p>
    <w:p>
      <w:pPr>
        <w:pStyle w:val="700"/>
        <w:ind w:firstLine="480"/>
        <w:jc w:val="left"/>
        <w:spacing w:line="360" w:lineRule="auto"/>
        <w:rPr>
          <w:sz w:val="24"/>
          <w:szCs w:val="24"/>
        </w:rPr>
      </w:pPr>
      <w:r>
        <w:rPr>
          <w:rFonts w:hint="eastAsia"/>
          <w:sz w:val="24"/>
          <w:szCs w:val="24"/>
        </w:rPr>
        <w:t xml:space="preserve">（1）因“苏采云”系统故障原因造成开标不成功的。</w:t>
      </w:r>
      <w:r>
        <w:rPr>
          <w:sz w:val="24"/>
          <w:szCs w:val="24"/>
        </w:rPr>
      </w:r>
      <w:r/>
    </w:p>
    <w:p>
      <w:pPr>
        <w:pStyle w:val="700"/>
        <w:ind w:firstLine="480"/>
        <w:jc w:val="left"/>
        <w:spacing w:line="360" w:lineRule="auto"/>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700"/>
        <w:ind w:firstLine="480"/>
        <w:jc w:val="left"/>
        <w:spacing w:line="360" w:lineRule="auto"/>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700"/>
        <w:ind w:firstLine="480"/>
        <w:jc w:val="left"/>
        <w:spacing w:line="360" w:lineRule="auto"/>
        <w:rPr>
          <w:sz w:val="24"/>
          <w:szCs w:val="24"/>
        </w:rPr>
      </w:pPr>
      <w:r>
        <w:rPr>
          <w:rFonts w:hint="eastAsia"/>
          <w:sz w:val="24"/>
          <w:szCs w:val="24"/>
        </w:rPr>
        <w:t xml:space="preserve">（4）出现影响采购公正的违法、违规行为的。</w:t>
      </w:r>
      <w:r>
        <w:rPr>
          <w:sz w:val="24"/>
          <w:szCs w:val="24"/>
        </w:rPr>
      </w:r>
      <w:r/>
    </w:p>
    <w:p>
      <w:pPr>
        <w:pStyle w:val="700"/>
        <w:ind w:firstLine="480"/>
        <w:jc w:val="left"/>
        <w:spacing w:line="360" w:lineRule="auto"/>
        <w:rPr>
          <w:sz w:val="24"/>
          <w:szCs w:val="24"/>
        </w:rPr>
      </w:pPr>
      <w:r>
        <w:rPr>
          <w:rFonts w:hint="eastAsia"/>
          <w:sz w:val="24"/>
          <w:szCs w:val="24"/>
        </w:rPr>
        <w:t xml:space="preserve">（5）因重大变故，采购任务取消的。</w:t>
      </w:r>
      <w:r>
        <w:rPr>
          <w:sz w:val="24"/>
          <w:szCs w:val="24"/>
        </w:rPr>
      </w:r>
      <w:r/>
    </w:p>
    <w:p>
      <w:pPr>
        <w:pStyle w:val="700"/>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700"/>
        <w:ind w:firstLine="480"/>
        <w:jc w:val="left"/>
        <w:spacing w:line="360" w:lineRule="auto"/>
        <w:rPr>
          <w:sz w:val="24"/>
          <w:szCs w:val="24"/>
        </w:rPr>
      </w:pPr>
      <w:r>
        <w:rPr>
          <w:rFonts w:hint="eastAsia"/>
          <w:sz w:val="24"/>
          <w:szCs w:val="24"/>
        </w:rPr>
        <w:t xml:space="preserve">28.1 中标候选人的选取原则和数量详见招标文件第五章规定。 </w:t>
      </w:r>
      <w:r>
        <w:rPr>
          <w:sz w:val="24"/>
          <w:szCs w:val="24"/>
        </w:rPr>
      </w:r>
      <w:r/>
    </w:p>
    <w:p>
      <w:pPr>
        <w:pStyle w:val="700"/>
        <w:ind w:firstLine="480"/>
        <w:jc w:val="left"/>
        <w:spacing w:line="360" w:lineRule="auto"/>
        <w:rPr>
          <w:sz w:val="24"/>
          <w:szCs w:val="24"/>
        </w:rPr>
      </w:pPr>
      <w:r>
        <w:rPr>
          <w:rFonts w:hint="eastAsia"/>
          <w:sz w:val="24"/>
          <w:szCs w:val="24"/>
        </w:rPr>
        <w:t xml:space="preserve">28.2 招标人应根据评委会推荐的中标候选人确定中标人。</w:t>
      </w:r>
      <w:r>
        <w:rPr>
          <w:sz w:val="24"/>
          <w:szCs w:val="24"/>
        </w:rPr>
      </w:r>
      <w:r/>
    </w:p>
    <w:p>
      <w:pPr>
        <w:pStyle w:val="700"/>
        <w:ind w:firstLine="480"/>
        <w:jc w:val="left"/>
        <w:spacing w:line="360" w:lineRule="auto"/>
        <w:rPr>
          <w:sz w:val="24"/>
          <w:szCs w:val="24"/>
        </w:rPr>
      </w:pPr>
      <w:r>
        <w:rPr>
          <w:rFonts w:hint="eastAsia"/>
          <w:sz w:val="24"/>
          <w:szCs w:val="24"/>
        </w:rPr>
        <w:t xml:space="preserve">28.3 招标代理机构将在江苏政府采购网发布中标公告，公告期限为1个工作日。</w:t>
      </w:r>
      <w:r>
        <w:rPr>
          <w:sz w:val="24"/>
          <w:szCs w:val="24"/>
        </w:rPr>
      </w:r>
      <w:r/>
    </w:p>
    <w:p>
      <w:pPr>
        <w:pStyle w:val="700"/>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700"/>
        <w:ind w:firstLine="480"/>
        <w:jc w:val="left"/>
        <w:spacing w:line="360" w:lineRule="auto"/>
        <w:rPr>
          <w:sz w:val="24"/>
          <w:szCs w:val="24"/>
        </w:rPr>
      </w:pPr>
      <w:r>
        <w:rPr>
          <w:rFonts w:hint="eastAsia"/>
          <w:sz w:val="24"/>
          <w:szCs w:val="24"/>
        </w:rPr>
        <w:t xml:space="preserve">（1）提供虚假材料谋取中标、成交的。</w:t>
      </w:r>
      <w:r>
        <w:rPr>
          <w:sz w:val="24"/>
          <w:szCs w:val="24"/>
        </w:rPr>
      </w:r>
      <w:r/>
    </w:p>
    <w:p>
      <w:pPr>
        <w:pStyle w:val="700"/>
        <w:ind w:firstLine="480"/>
        <w:jc w:val="left"/>
        <w:spacing w:line="360" w:lineRule="auto"/>
        <w:rPr>
          <w:sz w:val="24"/>
          <w:szCs w:val="24"/>
        </w:rPr>
      </w:pPr>
      <w:r>
        <w:rPr>
          <w:rFonts w:hint="eastAsia"/>
          <w:sz w:val="24"/>
          <w:szCs w:val="24"/>
        </w:rPr>
        <w:t xml:space="preserve">（2）采取不正当手段诋毁、排挤其他供应商的。</w:t>
      </w:r>
      <w:r>
        <w:rPr>
          <w:sz w:val="24"/>
          <w:szCs w:val="24"/>
        </w:rPr>
      </w:r>
      <w:r/>
    </w:p>
    <w:p>
      <w:pPr>
        <w:pStyle w:val="700"/>
        <w:ind w:firstLine="480"/>
        <w:jc w:val="left"/>
        <w:spacing w:line="360" w:lineRule="auto"/>
        <w:rPr>
          <w:sz w:val="24"/>
          <w:szCs w:val="24"/>
        </w:rPr>
      </w:pPr>
      <w:r>
        <w:rPr>
          <w:rFonts w:hint="eastAsia"/>
          <w:sz w:val="24"/>
          <w:szCs w:val="24"/>
        </w:rPr>
        <w:t xml:space="preserve">（3）与招标人、其他供应商或者招标代理机构恶意串通的。</w:t>
      </w:r>
      <w:r>
        <w:rPr>
          <w:sz w:val="24"/>
          <w:szCs w:val="24"/>
        </w:rPr>
      </w:r>
      <w:r/>
    </w:p>
    <w:p>
      <w:pPr>
        <w:pStyle w:val="700"/>
        <w:ind w:firstLine="480"/>
        <w:jc w:val="left"/>
        <w:spacing w:line="360" w:lineRule="auto"/>
        <w:rPr>
          <w:sz w:val="24"/>
          <w:szCs w:val="24"/>
        </w:rPr>
      </w:pPr>
      <w:r>
        <w:rPr>
          <w:rFonts w:hint="eastAsia"/>
          <w:sz w:val="24"/>
          <w:szCs w:val="24"/>
        </w:rPr>
        <w:t xml:space="preserve">（4）向招标人、招标代理机构行贿或者提供其他不正当利益的。</w:t>
      </w:r>
      <w:r>
        <w:rPr>
          <w:sz w:val="24"/>
          <w:szCs w:val="24"/>
        </w:rPr>
      </w:r>
      <w:r/>
    </w:p>
    <w:p>
      <w:pPr>
        <w:pStyle w:val="700"/>
        <w:ind w:firstLine="480"/>
        <w:jc w:val="left"/>
        <w:spacing w:line="360" w:lineRule="auto"/>
        <w:rPr>
          <w:sz w:val="24"/>
          <w:szCs w:val="24"/>
        </w:rPr>
      </w:pPr>
      <w:r>
        <w:rPr>
          <w:rFonts w:hint="eastAsia"/>
          <w:sz w:val="24"/>
          <w:szCs w:val="24"/>
        </w:rPr>
        <w:t xml:space="preserve">（5）在招标采购过程中与招标人进行协商谈判的。</w:t>
      </w:r>
      <w:r>
        <w:rPr>
          <w:sz w:val="24"/>
          <w:szCs w:val="24"/>
        </w:rPr>
      </w:r>
      <w:r/>
    </w:p>
    <w:p>
      <w:pPr>
        <w:pStyle w:val="700"/>
        <w:ind w:right="-210" w:firstLine="480"/>
        <w:jc w:val="left"/>
        <w:spacing w:line="360" w:lineRule="auto"/>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70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700"/>
        <w:ind w:firstLine="480"/>
        <w:jc w:val="left"/>
        <w:spacing w:line="360" w:lineRule="auto"/>
        <w:rPr>
          <w:sz w:val="24"/>
          <w:szCs w:val="24"/>
        </w:rPr>
      </w:pPr>
      <w:r>
        <w:rPr>
          <w:rFonts w:hint="eastAsia"/>
          <w:sz w:val="24"/>
          <w:szCs w:val="24"/>
        </w:rPr>
        <w:t xml:space="preserve">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700"/>
        <w:ind w:firstLine="480"/>
        <w:jc w:val="left"/>
        <w:spacing w:line="360" w:lineRule="auto"/>
        <w:rPr>
          <w:sz w:val="24"/>
          <w:szCs w:val="24"/>
        </w:rPr>
      </w:pPr>
      <w:r>
        <w:rPr>
          <w:rFonts w:hint="eastAsia"/>
          <w:sz w:val="24"/>
          <w:szCs w:val="24"/>
        </w:rPr>
        <w:t xml:space="preserve">29.2 中标通知书将作为政府采购合同的一个组成部分。对招标人和中标人均具有法律效力。中标通知书发出后，招标人改变中标结果的，或者中标人放弃中标项目的，应当依法承担法律责任。</w:t>
      </w:r>
      <w:r>
        <w:rPr>
          <w:sz w:val="24"/>
          <w:szCs w:val="24"/>
        </w:rPr>
      </w:r>
      <w:r/>
    </w:p>
    <w:p>
      <w:pPr>
        <w:pStyle w:val="700"/>
        <w:ind w:firstLine="480"/>
        <w:jc w:val="left"/>
        <w:spacing w:line="360" w:lineRule="auto"/>
        <w:rPr>
          <w:sz w:val="24"/>
          <w:szCs w:val="24"/>
        </w:rPr>
      </w:pPr>
      <w:r>
        <w:rPr>
          <w:rFonts w:hint="eastAsia"/>
          <w:sz w:val="24"/>
          <w:szCs w:val="24"/>
        </w:rPr>
        <w:t xml:space="preserve">29.3 中标人应在中标后七个工作日内，向招标人和招标代理机构提供一正四副与电子投标文件一致的纸质打印胶装投标文件，封面、骑缝需加盖公章。</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30、签订合同</w:t>
      </w:r>
      <w:r>
        <w:rPr>
          <w:sz w:val="28"/>
          <w:szCs w:val="28"/>
        </w:rPr>
      </w:r>
      <w:r/>
    </w:p>
    <w:p>
      <w:pPr>
        <w:pStyle w:val="700"/>
        <w:ind w:firstLine="480"/>
        <w:jc w:val="left"/>
        <w:spacing w:line="360" w:lineRule="auto"/>
        <w:rPr>
          <w:sz w:val="24"/>
          <w:szCs w:val="24"/>
        </w:rPr>
      </w:pPr>
      <w:r>
        <w:rPr>
          <w:rFonts w:hint="eastAsia"/>
          <w:sz w:val="24"/>
          <w:szCs w:val="24"/>
        </w:rPr>
        <w:t xml:space="preserve">30.1 中标人应当在中标通知书发出之日起三十日内，按照招标文件和中标人投标文件的规定，与招标人签订政府采购合同。</w:t>
      </w:r>
      <w:r>
        <w:rPr>
          <w:sz w:val="24"/>
          <w:szCs w:val="24"/>
        </w:rPr>
      </w:r>
      <w:r/>
    </w:p>
    <w:p>
      <w:pPr>
        <w:pStyle w:val="700"/>
        <w:ind w:firstLine="480"/>
        <w:jc w:val="left"/>
        <w:spacing w:line="360" w:lineRule="auto"/>
        <w:rPr>
          <w:sz w:val="24"/>
          <w:szCs w:val="24"/>
        </w:rPr>
      </w:pPr>
      <w:r>
        <w:rPr>
          <w:rFonts w:hint="eastAsia"/>
          <w:sz w:val="24"/>
          <w:szCs w:val="24"/>
        </w:rPr>
        <w:t xml:space="preserve">30.2 招标文件、中标人的投标文件及招标过程中有关澄清、承诺等文件均应作为合同附件。</w:t>
      </w:r>
      <w:r>
        <w:rPr>
          <w:sz w:val="24"/>
          <w:szCs w:val="24"/>
        </w:rPr>
      </w:r>
      <w:r/>
    </w:p>
    <w:p>
      <w:pPr>
        <w:pStyle w:val="700"/>
        <w:ind w:firstLine="480"/>
        <w:jc w:val="left"/>
        <w:spacing w:line="360" w:lineRule="auto"/>
        <w:rPr>
          <w:sz w:val="24"/>
          <w:szCs w:val="24"/>
        </w:rPr>
      </w:pPr>
      <w:r>
        <w:rPr>
          <w:rFonts w:hint="eastAsia"/>
          <w:sz w:val="24"/>
          <w:szCs w:val="24"/>
        </w:rPr>
        <w:t xml:space="preserve">30.3 签订合同后，中标人不得将合同标的转包。未经招标人同意，中标人也不得采用分包的形式履行合同，否则招标人有权终止合同。转包或分包造成招标人损失的，中标人应承担相应赔偿责任。</w:t>
      </w:r>
      <w:r>
        <w:rPr>
          <w:sz w:val="24"/>
          <w:szCs w:val="24"/>
        </w:rPr>
      </w:r>
      <w:r/>
    </w:p>
    <w:p>
      <w:pPr>
        <w:pStyle w:val="700"/>
        <w:ind w:firstLine="480"/>
        <w:jc w:val="left"/>
        <w:spacing w:line="360" w:lineRule="auto"/>
        <w:rPr>
          <w:sz w:val="24"/>
          <w:szCs w:val="24"/>
        </w:rPr>
      </w:pPr>
      <w:r>
        <w:rPr>
          <w:rFonts w:hint="eastAsia"/>
          <w:sz w:val="24"/>
          <w:szCs w:val="24"/>
        </w:rPr>
        <w:t xml:space="preserve">30.4 招标人</w:t>
      </w:r>
      <w:r>
        <w:rPr>
          <w:sz w:val="24"/>
          <w:szCs w:val="24"/>
        </w:rPr>
        <w:t xml:space="preserve">应当在合同签订</w:t>
      </w:r>
      <w:r>
        <w:rPr>
          <w:rFonts w:hint="eastAsia"/>
          <w:sz w:val="24"/>
          <w:szCs w:val="24"/>
        </w:rPr>
        <w:t xml:space="preserve">之日起2日</w:t>
      </w:r>
      <w:r>
        <w:rPr>
          <w:sz w:val="24"/>
          <w:szCs w:val="24"/>
        </w:rPr>
        <w:t xml:space="preserve">内上传合同至苏采云</w:t>
      </w:r>
      <w:r>
        <w:rPr>
          <w:rFonts w:hint="eastAsia"/>
          <w:sz w:val="24"/>
          <w:szCs w:val="24"/>
        </w:rPr>
        <w:t xml:space="preserve">公示</w:t>
      </w:r>
      <w:r>
        <w:rPr>
          <w:sz w:val="24"/>
          <w:szCs w:val="24"/>
        </w:rPr>
        <w:t xml:space="preserve">。</w:t>
      </w:r>
      <w:r>
        <w:rPr>
          <w:sz w:val="24"/>
          <w:szCs w:val="24"/>
        </w:rPr>
      </w:r>
      <w:r/>
    </w:p>
    <w:p>
      <w:pPr>
        <w:pStyle w:val="700"/>
        <w:ind w:firstLine="480"/>
        <w:jc w:val="left"/>
        <w:spacing w:line="360" w:lineRule="auto"/>
        <w:rPr>
          <w:sz w:val="24"/>
          <w:szCs w:val="24"/>
        </w:rPr>
      </w:pPr>
      <w:r>
        <w:rPr>
          <w:rFonts w:hint="eastAsia"/>
          <w:sz w:val="24"/>
          <w:szCs w:val="24"/>
        </w:rPr>
        <w:t xml:space="preserve">30.5履约保证金</w:t>
      </w:r>
      <w:r>
        <w:rPr>
          <w:sz w:val="24"/>
          <w:szCs w:val="24"/>
        </w:rPr>
      </w:r>
      <w:r/>
    </w:p>
    <w:p>
      <w:pPr>
        <w:pStyle w:val="700"/>
        <w:ind w:firstLine="480"/>
        <w:jc w:val="left"/>
        <w:spacing w:line="360" w:lineRule="auto"/>
        <w:rPr>
          <w:sz w:val="24"/>
          <w:szCs w:val="24"/>
        </w:rPr>
      </w:pPr>
      <w:r>
        <w:rPr>
          <w:rFonts w:hint="eastAsia"/>
          <w:sz w:val="24"/>
          <w:szCs w:val="24"/>
        </w:rPr>
        <w:t xml:space="preserve">30.5.1 履约保证金的金额：中标价的10%。</w:t>
      </w:r>
      <w:r>
        <w:rPr>
          <w:sz w:val="24"/>
          <w:szCs w:val="24"/>
        </w:rPr>
      </w:r>
      <w:r/>
    </w:p>
    <w:p>
      <w:pPr>
        <w:pStyle w:val="700"/>
        <w:ind w:firstLine="480"/>
        <w:jc w:val="left"/>
        <w:spacing w:line="360" w:lineRule="auto"/>
        <w:rPr>
          <w:sz w:val="24"/>
          <w:szCs w:val="24"/>
        </w:rPr>
      </w:pP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700"/>
        <w:ind w:firstLine="480"/>
        <w:jc w:val="left"/>
        <w:spacing w:line="360" w:lineRule="auto"/>
        <w:rPr>
          <w:sz w:val="24"/>
          <w:szCs w:val="24"/>
        </w:rPr>
      </w:pPr>
      <w:r>
        <w:rPr>
          <w:rFonts w:hint="eastAsia"/>
          <w:sz w:val="24"/>
          <w:szCs w:val="24"/>
        </w:rPr>
        <w:t xml:space="preserve">30.5.2 中标人违约的，招标人将按照合同约定扣除其全部或部分履约保证金。如中标人违约给招标人造成的损失超过履约保证金的，应当依法赔偿超过部分的损失。</w:t>
      </w:r>
      <w:r>
        <w:rPr>
          <w:sz w:val="24"/>
          <w:szCs w:val="24"/>
        </w:rPr>
      </w:r>
      <w:r/>
    </w:p>
    <w:p>
      <w:pPr>
        <w:pStyle w:val="700"/>
        <w:ind w:firstLine="480"/>
        <w:jc w:val="left"/>
        <w:spacing w:line="360" w:lineRule="auto"/>
        <w:rPr>
          <w:sz w:val="24"/>
          <w:szCs w:val="24"/>
        </w:rPr>
      </w:pPr>
      <w:r>
        <w:rPr>
          <w:rFonts w:hint="eastAsia"/>
          <w:sz w:val="24"/>
          <w:szCs w:val="24"/>
        </w:rPr>
        <w:t xml:space="preserve">30.5.3 履约保证金自合同生效之日起至合同约定的中标人主要义务履行完毕止，招标人应当按合同约定及时退还履约保证金。</w:t>
      </w:r>
      <w:r>
        <w:rPr>
          <w:sz w:val="24"/>
          <w:szCs w:val="24"/>
        </w:rPr>
      </w:r>
      <w:r/>
    </w:p>
    <w:p>
      <w:pPr>
        <w:pStyle w:val="700"/>
        <w:ind w:firstLine="480"/>
        <w:jc w:val="left"/>
        <w:spacing w:line="360" w:lineRule="auto"/>
        <w:rPr>
          <w:sz w:val="24"/>
          <w:szCs w:val="24"/>
        </w:rPr>
      </w:pPr>
      <w:r>
        <w:rPr>
          <w:rFonts w:hint="eastAsia"/>
          <w:sz w:val="24"/>
          <w:szCs w:val="24"/>
        </w:rPr>
        <w:t xml:space="preserve">30.5.4 逾期退还履约保证金的违约责任，按照中国人民银行同期贷款基准利率上浮20％后的利率支付超期资金占用费，但因投标人自身原因导致无法及时退还的除外。</w:t>
      </w:r>
      <w:r>
        <w:rPr>
          <w:sz w:val="24"/>
          <w:szCs w:val="24"/>
        </w:rPr>
      </w:r>
      <w:r/>
    </w:p>
    <w:p>
      <w:pPr>
        <w:pStyle w:val="703"/>
        <w:ind w:firstLine="562"/>
        <w:jc w:val="left"/>
        <w:spacing w:before="0" w:after="0" w:line="360" w:lineRule="auto"/>
        <w:rPr>
          <w:sz w:val="28"/>
          <w:szCs w:val="28"/>
        </w:rPr>
      </w:pPr>
      <w:r>
        <w:rPr>
          <w:rFonts w:hint="eastAsia"/>
          <w:sz w:val="28"/>
          <w:szCs w:val="28"/>
        </w:rPr>
        <w:t xml:space="preserve">31、合同标的的追加</w:t>
      </w:r>
      <w:r>
        <w:rPr>
          <w:sz w:val="28"/>
          <w:szCs w:val="28"/>
        </w:rPr>
      </w:r>
      <w:r/>
    </w:p>
    <w:p>
      <w:pPr>
        <w:pStyle w:val="700"/>
        <w:ind w:firstLine="480"/>
        <w:jc w:val="left"/>
        <w:spacing w:line="360" w:lineRule="auto"/>
        <w:rPr>
          <w:sz w:val="24"/>
          <w:szCs w:val="24"/>
        </w:rPr>
      </w:pPr>
      <w:r>
        <w:rPr>
          <w:rFonts w:hint="eastAsia"/>
          <w:sz w:val="24"/>
          <w:szCs w:val="24"/>
        </w:rPr>
        <w:t xml:space="preserve">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703"/>
        <w:ind w:firstLine="562"/>
        <w:jc w:val="left"/>
        <w:spacing w:before="0" w:after="0" w:line="360" w:lineRule="auto"/>
        <w:rPr>
          <w:sz w:val="28"/>
          <w:szCs w:val="28"/>
        </w:rPr>
      </w:pPr>
      <w:r>
        <w:rPr>
          <w:rFonts w:hint="eastAsia"/>
          <w:sz w:val="28"/>
          <w:szCs w:val="28"/>
        </w:rPr>
        <w:t xml:space="preserve">32、政府采购履约资金扶持政策</w:t>
      </w:r>
      <w:r>
        <w:rPr>
          <w:sz w:val="28"/>
          <w:szCs w:val="28"/>
        </w:rPr>
      </w:r>
      <w:r/>
    </w:p>
    <w:p>
      <w:pPr>
        <w:pStyle w:val="700"/>
        <w:ind w:firstLine="480"/>
        <w:jc w:val="left"/>
        <w:spacing w:line="360" w:lineRule="auto"/>
        <w:rPr>
          <w:sz w:val="24"/>
          <w:szCs w:val="24"/>
        </w:rPr>
      </w:pPr>
      <w:r>
        <w:rPr>
          <w:rFonts w:hint="eastAsia"/>
          <w:sz w:val="24"/>
          <w:szCs w:val="24"/>
        </w:rPr>
        <w:t xml:space="preserve">32.1 中标人可凭政府采购合同办理融资贷款，详情请见江苏政府采购网“政采贷”专栏。</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33、询问</w:t>
      </w:r>
      <w:r>
        <w:rPr>
          <w:sz w:val="28"/>
          <w:szCs w:val="28"/>
        </w:rPr>
      </w:r>
      <w:r/>
    </w:p>
    <w:p>
      <w:pPr>
        <w:pStyle w:val="700"/>
        <w:ind w:firstLine="480"/>
        <w:jc w:val="left"/>
        <w:spacing w:line="360" w:lineRule="auto"/>
        <w:rPr>
          <w:sz w:val="24"/>
          <w:szCs w:val="24"/>
        </w:rPr>
      </w:pPr>
      <w:r>
        <w:rPr>
          <w:rFonts w:hint="eastAsia"/>
          <w:sz w:val="24"/>
          <w:szCs w:val="24"/>
        </w:rPr>
        <w:t xml:space="preserve">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r>
        <w:rPr>
          <w:sz w:val="24"/>
          <w:szCs w:val="24"/>
        </w:rPr>
      </w:r>
      <w:r/>
    </w:p>
    <w:p>
      <w:pPr>
        <w:pStyle w:val="703"/>
        <w:ind w:firstLine="562"/>
        <w:jc w:val="left"/>
        <w:spacing w:before="0" w:after="0" w:line="360" w:lineRule="auto"/>
        <w:rPr>
          <w:sz w:val="28"/>
          <w:szCs w:val="28"/>
        </w:rPr>
      </w:pPr>
      <w:r>
        <w:rPr>
          <w:rFonts w:hint="eastAsia"/>
          <w:sz w:val="28"/>
          <w:szCs w:val="28"/>
        </w:rPr>
        <w:t xml:space="preserve">34、质疑提出</w:t>
      </w:r>
      <w:r>
        <w:rPr>
          <w:sz w:val="28"/>
          <w:szCs w:val="28"/>
        </w:rPr>
      </w:r>
      <w:r/>
    </w:p>
    <w:p>
      <w:pPr>
        <w:pStyle w:val="700"/>
        <w:ind w:firstLine="480"/>
        <w:jc w:val="left"/>
        <w:spacing w:line="360" w:lineRule="auto"/>
        <w:rPr>
          <w:sz w:val="24"/>
          <w:szCs w:val="24"/>
        </w:rPr>
      </w:pPr>
      <w:r>
        <w:rPr>
          <w:rFonts w:hint="eastAsia"/>
          <w:sz w:val="24"/>
          <w:szCs w:val="24"/>
        </w:rPr>
        <w:t xml:space="preserve">34.1 提出质疑的供应商应当是参与所质疑项目采购活动的供应商。</w:t>
      </w:r>
      <w:r>
        <w:rPr>
          <w:sz w:val="24"/>
          <w:szCs w:val="24"/>
        </w:rPr>
      </w:r>
      <w:r/>
    </w:p>
    <w:p>
      <w:pPr>
        <w:pStyle w:val="700"/>
        <w:ind w:firstLine="480"/>
        <w:jc w:val="left"/>
        <w:spacing w:line="360" w:lineRule="auto"/>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招标人、招标代理机构提出质疑。</w:t>
      </w:r>
      <w:r>
        <w:rPr>
          <w:sz w:val="24"/>
          <w:szCs w:val="24"/>
        </w:rPr>
      </w:r>
      <w:r/>
    </w:p>
    <w:p>
      <w:pPr>
        <w:pStyle w:val="700"/>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供应商应当在法定质疑期内一次性提出针对同一采购程序环节的质疑，供应商如在法定期限内对同一采购程序环节提出多次质疑的，招标人、招标代理机构将只对供应商第一次质疑作出答复。</w:t>
      </w:r>
      <w:r>
        <w:rPr>
          <w:sz w:val="24"/>
          <w:szCs w:val="24"/>
        </w:rPr>
      </w:r>
      <w:r/>
    </w:p>
    <w:p>
      <w:pPr>
        <w:pStyle w:val="700"/>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700"/>
        <w:ind w:firstLine="480"/>
        <w:jc w:val="left"/>
        <w:spacing w:line="360" w:lineRule="auto"/>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r>
        <w:rPr>
          <w:sz w:val="24"/>
          <w:szCs w:val="24"/>
        </w:rPr>
      </w:r>
      <w:r/>
    </w:p>
    <w:p>
      <w:pPr>
        <w:pStyle w:val="700"/>
        <w:ind w:firstLine="480"/>
        <w:jc w:val="left"/>
        <w:spacing w:line="360" w:lineRule="auto"/>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rPr>
          <w:sz w:val="24"/>
          <w:szCs w:val="24"/>
        </w:rPr>
      </w:r>
      <w:r/>
    </w:p>
    <w:p>
      <w:pPr>
        <w:pStyle w:val="700"/>
        <w:ind w:firstLine="480"/>
        <w:jc w:val="left"/>
        <w:spacing w:line="360" w:lineRule="auto"/>
        <w:rPr>
          <w:sz w:val="24"/>
          <w:szCs w:val="24"/>
        </w:rPr>
      </w:pPr>
      <w:r>
        <w:rPr>
          <w:rFonts w:hint="eastAsia"/>
          <w:sz w:val="24"/>
          <w:szCs w:val="24"/>
        </w:rPr>
        <w:t xml:space="preserve">34.5 质疑函应当使用范本，详见招标文件第六章。供应商提出质疑应当提交质疑函和必要的证明材料，应当包括下列内容：</w:t>
      </w:r>
      <w:r>
        <w:rPr>
          <w:sz w:val="24"/>
          <w:szCs w:val="24"/>
        </w:rPr>
      </w:r>
      <w:r/>
    </w:p>
    <w:p>
      <w:pPr>
        <w:pStyle w:val="700"/>
        <w:ind w:firstLine="480"/>
        <w:jc w:val="left"/>
        <w:spacing w:line="360" w:lineRule="auto"/>
        <w:rPr>
          <w:sz w:val="24"/>
          <w:szCs w:val="24"/>
        </w:rPr>
      </w:pPr>
      <w:r>
        <w:rPr>
          <w:rFonts w:hint="eastAsia"/>
          <w:sz w:val="24"/>
          <w:szCs w:val="24"/>
        </w:rPr>
        <w:t xml:space="preserve">（1）供应商的姓名或者名称、地址、邮编、联系人及联系电话；</w:t>
      </w:r>
      <w:r>
        <w:rPr>
          <w:sz w:val="24"/>
          <w:szCs w:val="24"/>
        </w:rPr>
      </w:r>
      <w:r/>
    </w:p>
    <w:p>
      <w:pPr>
        <w:pStyle w:val="700"/>
        <w:ind w:firstLine="480"/>
        <w:jc w:val="left"/>
        <w:spacing w:line="360" w:lineRule="auto"/>
        <w:rPr>
          <w:sz w:val="24"/>
          <w:szCs w:val="24"/>
        </w:rPr>
      </w:pPr>
      <w:r>
        <w:rPr>
          <w:rFonts w:hint="eastAsia"/>
          <w:sz w:val="24"/>
          <w:szCs w:val="24"/>
        </w:rPr>
        <w:t xml:space="preserve">（2）质疑项目的名称、编号；</w:t>
      </w:r>
      <w:r>
        <w:rPr>
          <w:sz w:val="24"/>
          <w:szCs w:val="24"/>
        </w:rPr>
      </w:r>
      <w:r/>
    </w:p>
    <w:p>
      <w:pPr>
        <w:pStyle w:val="700"/>
        <w:ind w:firstLine="480"/>
        <w:jc w:val="left"/>
        <w:spacing w:line="360" w:lineRule="auto"/>
        <w:rPr>
          <w:sz w:val="24"/>
          <w:szCs w:val="24"/>
        </w:rPr>
      </w:pPr>
      <w:r>
        <w:rPr>
          <w:rFonts w:hint="eastAsia"/>
          <w:sz w:val="24"/>
          <w:szCs w:val="24"/>
        </w:rPr>
        <w:t xml:space="preserve">（3）具体、明确的质疑事项和与质疑事项相关的请求；</w:t>
      </w:r>
      <w:r>
        <w:rPr>
          <w:sz w:val="24"/>
          <w:szCs w:val="24"/>
        </w:rPr>
      </w:r>
      <w:r/>
    </w:p>
    <w:p>
      <w:pPr>
        <w:pStyle w:val="700"/>
        <w:ind w:firstLine="480"/>
        <w:jc w:val="left"/>
        <w:spacing w:line="360" w:lineRule="auto"/>
        <w:rPr>
          <w:sz w:val="24"/>
          <w:szCs w:val="24"/>
        </w:rPr>
      </w:pPr>
      <w:r>
        <w:rPr>
          <w:rFonts w:hint="eastAsia"/>
          <w:sz w:val="24"/>
          <w:szCs w:val="24"/>
        </w:rPr>
        <w:t xml:space="preserve">（4）事实依据；</w:t>
      </w:r>
      <w:r>
        <w:rPr>
          <w:sz w:val="24"/>
          <w:szCs w:val="24"/>
        </w:rPr>
      </w:r>
      <w:r/>
    </w:p>
    <w:p>
      <w:pPr>
        <w:pStyle w:val="700"/>
        <w:ind w:firstLine="480"/>
        <w:jc w:val="left"/>
        <w:spacing w:line="360" w:lineRule="auto"/>
        <w:rPr>
          <w:sz w:val="24"/>
          <w:szCs w:val="24"/>
        </w:rPr>
      </w:pPr>
      <w:r>
        <w:rPr>
          <w:rFonts w:hint="eastAsia"/>
          <w:sz w:val="24"/>
          <w:szCs w:val="24"/>
        </w:rPr>
        <w:t xml:space="preserve">（5）必要的法律依据；</w:t>
      </w:r>
      <w:r>
        <w:rPr>
          <w:sz w:val="24"/>
          <w:szCs w:val="24"/>
        </w:rPr>
      </w:r>
      <w:r/>
    </w:p>
    <w:p>
      <w:pPr>
        <w:pStyle w:val="700"/>
        <w:ind w:firstLine="480"/>
        <w:jc w:val="left"/>
        <w:spacing w:line="360" w:lineRule="auto"/>
        <w:rPr>
          <w:sz w:val="24"/>
          <w:szCs w:val="24"/>
        </w:rPr>
      </w:pPr>
      <w:r>
        <w:rPr>
          <w:rFonts w:hint="eastAsia"/>
          <w:sz w:val="24"/>
          <w:szCs w:val="24"/>
        </w:rPr>
        <w:t xml:space="preserve">（6）提出质疑的日期；</w:t>
      </w:r>
      <w:r>
        <w:rPr>
          <w:sz w:val="24"/>
          <w:szCs w:val="24"/>
        </w:rPr>
      </w:r>
      <w:r/>
    </w:p>
    <w:p>
      <w:pPr>
        <w:pStyle w:val="700"/>
        <w:ind w:firstLine="480"/>
        <w:jc w:val="left"/>
        <w:spacing w:line="360" w:lineRule="auto"/>
        <w:rPr>
          <w:sz w:val="24"/>
          <w:szCs w:val="24"/>
        </w:rPr>
      </w:pPr>
      <w:r>
        <w:rPr>
          <w:rFonts w:hint="eastAsia"/>
          <w:sz w:val="24"/>
          <w:szCs w:val="24"/>
        </w:rPr>
        <w:t xml:space="preserve">（7）必要的证明材料；</w:t>
      </w:r>
      <w:r>
        <w:rPr>
          <w:sz w:val="24"/>
          <w:szCs w:val="24"/>
        </w:rPr>
      </w:r>
      <w:r/>
    </w:p>
    <w:p>
      <w:pPr>
        <w:pStyle w:val="700"/>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700"/>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703"/>
        <w:ind w:firstLine="562"/>
        <w:jc w:val="left"/>
        <w:spacing w:before="0" w:after="0" w:line="360" w:lineRule="auto"/>
        <w:rPr>
          <w:sz w:val="24"/>
          <w:szCs w:val="24"/>
        </w:rPr>
      </w:pPr>
      <w:r>
        <w:rPr>
          <w:rFonts w:hint="eastAsia"/>
          <w:sz w:val="28"/>
          <w:szCs w:val="28"/>
        </w:rPr>
        <w:t xml:space="preserve">35、质疑函的受理和答复</w:t>
      </w:r>
      <w:r>
        <w:rPr>
          <w:sz w:val="24"/>
          <w:szCs w:val="24"/>
        </w:rPr>
      </w:r>
      <w:r/>
    </w:p>
    <w:p>
      <w:pPr>
        <w:pStyle w:val="700"/>
        <w:ind w:firstLine="480"/>
        <w:jc w:val="left"/>
        <w:spacing w:line="360" w:lineRule="auto"/>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r>
        <w:rPr>
          <w:sz w:val="24"/>
          <w:szCs w:val="24"/>
        </w:rPr>
      </w:r>
      <w:r/>
    </w:p>
    <w:p>
      <w:pPr>
        <w:pStyle w:val="700"/>
        <w:ind w:firstLine="480"/>
        <w:jc w:val="left"/>
        <w:spacing w:line="360" w:lineRule="auto"/>
        <w:rPr>
          <w:sz w:val="24"/>
          <w:szCs w:val="24"/>
        </w:rPr>
      </w:pPr>
      <w:r>
        <w:rPr>
          <w:rFonts w:hint="eastAsia"/>
          <w:sz w:val="24"/>
          <w:szCs w:val="24"/>
        </w:rPr>
        <w:t xml:space="preserve">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szCs w:val="24"/>
        </w:rPr>
      </w:r>
      <w:r/>
    </w:p>
    <w:p>
      <w:pPr>
        <w:pStyle w:val="700"/>
        <w:ind w:firstLine="480"/>
        <w:jc w:val="left"/>
        <w:spacing w:line="360" w:lineRule="auto"/>
        <w:rPr>
          <w:sz w:val="24"/>
          <w:szCs w:val="24"/>
        </w:rPr>
      </w:pPr>
      <w:r>
        <w:rPr>
          <w:rFonts w:hint="eastAsia"/>
          <w:sz w:val="24"/>
          <w:szCs w:val="24"/>
        </w:rPr>
        <w:t xml:space="preserve">35.3 对不符合质疑要求的，招标人、招标代理机构有权要求其补充必要的证明材料，质疑供应商未在法定时间内补充必要的证明材料的，视同放弃质疑。</w:t>
      </w:r>
      <w:r>
        <w:rPr>
          <w:sz w:val="24"/>
          <w:szCs w:val="24"/>
        </w:rPr>
      </w:r>
      <w:r/>
    </w:p>
    <w:p>
      <w:pPr>
        <w:pStyle w:val="700"/>
        <w:ind w:firstLine="480"/>
        <w:jc w:val="left"/>
        <w:spacing w:line="360" w:lineRule="auto"/>
        <w:rPr>
          <w:sz w:val="24"/>
          <w:szCs w:val="24"/>
        </w:rPr>
      </w:pPr>
      <w:r>
        <w:rPr>
          <w:rFonts w:hint="eastAsia"/>
          <w:sz w:val="24"/>
          <w:szCs w:val="24"/>
        </w:rPr>
        <w:t xml:space="preserve">35.4 以下情形的质疑依法不予受理：</w:t>
      </w:r>
      <w:r>
        <w:rPr>
          <w:sz w:val="24"/>
          <w:szCs w:val="24"/>
        </w:rPr>
      </w:r>
      <w:r/>
    </w:p>
    <w:p>
      <w:pPr>
        <w:pStyle w:val="700"/>
        <w:ind w:firstLine="480"/>
        <w:jc w:val="left"/>
        <w:spacing w:line="360" w:lineRule="auto"/>
        <w:rPr>
          <w:sz w:val="24"/>
          <w:szCs w:val="24"/>
        </w:rPr>
      </w:pPr>
      <w:r>
        <w:rPr>
          <w:rFonts w:hint="eastAsia"/>
          <w:sz w:val="24"/>
          <w:szCs w:val="24"/>
        </w:rPr>
        <w:t xml:space="preserve">（1）内容不符合《政府采购质疑和投诉办法》第十二条规定的质疑。</w:t>
      </w:r>
      <w:r>
        <w:rPr>
          <w:sz w:val="24"/>
          <w:szCs w:val="24"/>
        </w:rPr>
      </w:r>
      <w:r/>
    </w:p>
    <w:p>
      <w:pPr>
        <w:pStyle w:val="700"/>
        <w:ind w:firstLine="480"/>
        <w:jc w:val="left"/>
        <w:spacing w:line="360" w:lineRule="auto"/>
        <w:rPr>
          <w:sz w:val="24"/>
          <w:szCs w:val="24"/>
        </w:rPr>
      </w:pPr>
      <w:r>
        <w:rPr>
          <w:rFonts w:hint="eastAsia"/>
          <w:sz w:val="24"/>
          <w:szCs w:val="24"/>
        </w:rPr>
        <w:t xml:space="preserve">（2）超出政府采购法定期限的质疑。</w:t>
      </w:r>
      <w:r>
        <w:rPr>
          <w:sz w:val="24"/>
          <w:szCs w:val="24"/>
        </w:rPr>
      </w:r>
      <w:r/>
    </w:p>
    <w:p>
      <w:pPr>
        <w:pStyle w:val="700"/>
        <w:ind w:firstLine="480"/>
        <w:jc w:val="left"/>
        <w:spacing w:line="360" w:lineRule="auto"/>
        <w:rPr>
          <w:sz w:val="24"/>
          <w:szCs w:val="24"/>
        </w:rPr>
      </w:pPr>
      <w:r>
        <w:rPr>
          <w:rFonts w:hint="eastAsia"/>
          <w:sz w:val="24"/>
          <w:szCs w:val="24"/>
        </w:rPr>
        <w:t xml:space="preserve">（3）以传真、电子邮件等方式递交的非原件形式的质疑。</w:t>
      </w:r>
      <w:r>
        <w:rPr>
          <w:sz w:val="24"/>
          <w:szCs w:val="24"/>
        </w:rPr>
      </w:r>
      <w:r/>
    </w:p>
    <w:p>
      <w:pPr>
        <w:pStyle w:val="700"/>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700"/>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700"/>
        <w:ind w:firstLine="480"/>
        <w:jc w:val="left"/>
        <w:spacing w:line="360" w:lineRule="auto"/>
        <w:rPr>
          <w:sz w:val="24"/>
          <w:szCs w:val="24"/>
        </w:rPr>
      </w:pPr>
      <w:r>
        <w:rPr>
          <w:rFonts w:hint="eastAsia"/>
          <w:sz w:val="24"/>
          <w:szCs w:val="24"/>
        </w:rPr>
        <w:t xml:space="preserve">35.5 招标人、招标代理机构依法受理的质疑，将按照政府采购有关规定，在法定期限内作出答复。</w:t>
      </w:r>
      <w:r>
        <w:rPr>
          <w:sz w:val="24"/>
          <w:szCs w:val="24"/>
        </w:rPr>
      </w:r>
      <w:r/>
    </w:p>
    <w:p>
      <w:pPr>
        <w:pStyle w:val="703"/>
        <w:ind w:firstLine="562"/>
        <w:jc w:val="left"/>
        <w:spacing w:before="0" w:after="0" w:line="360" w:lineRule="auto"/>
        <w:rPr>
          <w:sz w:val="28"/>
          <w:szCs w:val="28"/>
        </w:rPr>
      </w:pPr>
      <w:r>
        <w:rPr>
          <w:rFonts w:hint="eastAsia"/>
          <w:sz w:val="28"/>
          <w:szCs w:val="28"/>
        </w:rPr>
        <w:t xml:space="preserve">36、质疑处理</w:t>
      </w:r>
      <w:r>
        <w:rPr>
          <w:sz w:val="28"/>
          <w:szCs w:val="28"/>
        </w:rPr>
      </w:r>
      <w:r/>
    </w:p>
    <w:p>
      <w:pPr>
        <w:pStyle w:val="700"/>
        <w:ind w:firstLine="480"/>
        <w:jc w:val="left"/>
        <w:spacing w:line="360" w:lineRule="auto"/>
        <w:rPr>
          <w:sz w:val="24"/>
          <w:szCs w:val="24"/>
        </w:rPr>
      </w:pPr>
      <w:r>
        <w:rPr>
          <w:rFonts w:hint="eastAsia"/>
          <w:sz w:val="24"/>
          <w:szCs w:val="24"/>
        </w:rPr>
        <w:t xml:space="preserve">36.1 质疑供应商未按照法定程序进行质疑投诉的，视为一般失信行为。</w:t>
      </w:r>
      <w:r>
        <w:rPr>
          <w:sz w:val="24"/>
          <w:szCs w:val="24"/>
        </w:rPr>
      </w:r>
      <w:r/>
    </w:p>
    <w:p>
      <w:pPr>
        <w:pStyle w:val="700"/>
        <w:ind w:firstLine="480"/>
        <w:jc w:val="left"/>
        <w:spacing w:line="360" w:lineRule="auto"/>
        <w:rPr>
          <w:sz w:val="24"/>
          <w:szCs w:val="24"/>
        </w:rPr>
      </w:pPr>
      <w:r>
        <w:rPr>
          <w:rFonts w:hint="eastAsia"/>
          <w:sz w:val="24"/>
          <w:szCs w:val="24"/>
        </w:rPr>
        <w:t xml:space="preserve">36.2 质疑供应商不配合或者采取不正当手段干扰政府采购质疑、投诉处理工作的，视为一般失信行为。</w:t>
      </w:r>
      <w:r>
        <w:rPr>
          <w:sz w:val="24"/>
          <w:szCs w:val="24"/>
        </w:rPr>
      </w:r>
      <w:r/>
    </w:p>
    <w:p>
      <w:pPr>
        <w:pStyle w:val="700"/>
        <w:ind w:firstLine="480"/>
        <w:jc w:val="left"/>
        <w:spacing w:line="360" w:lineRule="auto"/>
        <w:rPr>
          <w:sz w:val="24"/>
          <w:szCs w:val="24"/>
        </w:rPr>
      </w:pPr>
      <w:r>
        <w:rPr>
          <w:rFonts w:hint="eastAsia"/>
          <w:sz w:val="24"/>
          <w:szCs w:val="24"/>
        </w:rPr>
        <w:t xml:space="preserve">36.3 质疑供应商投诉受理期间，就同一事项多头举报，干扰财政部门投诉处理的，视为一般失信行为。</w:t>
      </w:r>
      <w:r>
        <w:rPr>
          <w:sz w:val="24"/>
          <w:szCs w:val="24"/>
        </w:rPr>
      </w:r>
      <w:r/>
    </w:p>
    <w:p>
      <w:pPr>
        <w:pStyle w:val="700"/>
        <w:ind w:firstLine="480"/>
        <w:jc w:val="left"/>
        <w:spacing w:line="360" w:lineRule="auto"/>
        <w:rPr>
          <w:sz w:val="24"/>
          <w:szCs w:val="24"/>
        </w:rPr>
      </w:pPr>
      <w:r>
        <w:rPr>
          <w:rFonts w:hint="eastAsia"/>
          <w:sz w:val="24"/>
          <w:szCs w:val="24"/>
        </w:rPr>
        <w:t xml:space="preserve">36.4 质疑供应商在全国范围12个月内三次以上质疑查无实据的，视为一般失信行为。</w:t>
      </w:r>
      <w:r>
        <w:rPr>
          <w:sz w:val="24"/>
          <w:szCs w:val="24"/>
        </w:rPr>
      </w:r>
      <w:r/>
    </w:p>
    <w:p>
      <w:pPr>
        <w:pStyle w:val="700"/>
        <w:ind w:firstLine="480"/>
        <w:jc w:val="left"/>
        <w:spacing w:line="360" w:lineRule="auto"/>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700"/>
        <w:ind w:firstLine="480"/>
        <w:jc w:val="left"/>
        <w:spacing w:line="360" w:lineRule="auto"/>
        <w:rPr>
          <w:sz w:val="24"/>
          <w:szCs w:val="24"/>
        </w:rPr>
      </w:pPr>
      <w:r>
        <w:rPr>
          <w:rFonts w:hint="eastAsia"/>
          <w:sz w:val="24"/>
          <w:szCs w:val="24"/>
        </w:rPr>
        <w:t xml:space="preserve">36.6 质疑供应商在全国范围12个月内三次以上投诉查无实据的，视为严重失信行为。</w:t>
      </w:r>
      <w:r>
        <w:rPr>
          <w:sz w:val="24"/>
          <w:szCs w:val="24"/>
        </w:rPr>
      </w:r>
      <w:r/>
    </w:p>
    <w:p>
      <w:pPr>
        <w:pStyle w:val="700"/>
        <w:ind w:firstLine="480"/>
        <w:jc w:val="left"/>
        <w:spacing w:line="360" w:lineRule="auto"/>
        <w:rPr>
          <w:sz w:val="24"/>
          <w:szCs w:val="24"/>
        </w:rPr>
      </w:pPr>
      <w:r>
        <w:rPr>
          <w:rFonts w:hint="eastAsia"/>
          <w:sz w:val="24"/>
          <w:szCs w:val="24"/>
        </w:rPr>
        <w:t xml:space="preserve">36.7 未尽事宜，依照有关法律、法规执行。</w:t>
      </w:r>
      <w:r>
        <w:rPr>
          <w:sz w:val="24"/>
          <w:szCs w:val="24"/>
        </w:rPr>
      </w:r>
      <w:r/>
    </w:p>
    <w:p>
      <w:pPr>
        <w:pStyle w:val="702"/>
        <w:ind w:firstLine="64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70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700"/>
        <w:ind w:firstLine="480"/>
        <w:jc w:val="left"/>
        <w:spacing w:line="360" w:lineRule="auto"/>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700"/>
        <w:ind w:firstLine="480"/>
        <w:jc w:val="left"/>
        <w:spacing w:line="360" w:lineRule="auto"/>
        <w:rPr>
          <w:sz w:val="24"/>
          <w:szCs w:val="24"/>
        </w:rPr>
      </w:pPr>
      <w:r>
        <w:rPr>
          <w:rFonts w:hint="eastAsia"/>
          <w:sz w:val="24"/>
          <w:szCs w:val="24"/>
        </w:rPr>
        <w:t xml:space="preserve">37.2 参加本项目政府采购活动的供应商应当提供的材料： </w:t>
      </w:r>
      <w:r>
        <w:rPr>
          <w:sz w:val="24"/>
          <w:szCs w:val="24"/>
        </w:rPr>
      </w:r>
      <w:r/>
    </w:p>
    <w:p>
      <w:pPr>
        <w:pStyle w:val="700"/>
        <w:ind w:firstLine="480"/>
        <w:jc w:val="left"/>
        <w:spacing w:line="360" w:lineRule="auto"/>
        <w:rPr>
          <w:sz w:val="24"/>
          <w:szCs w:val="24"/>
        </w:rPr>
      </w:pPr>
      <w:r>
        <w:rPr>
          <w:rFonts w:hint="eastAsia"/>
          <w:sz w:val="24"/>
          <w:szCs w:val="24"/>
        </w:rPr>
        <w:t xml:space="preserve">（1）投标人为中型企业、小型企业、微型企业的，提供《中小企业声明函》（第六章 投标文件格式）。</w:t>
      </w:r>
      <w:r>
        <w:rPr>
          <w:sz w:val="24"/>
          <w:szCs w:val="24"/>
        </w:rPr>
      </w:r>
      <w:r/>
    </w:p>
    <w:p>
      <w:pPr>
        <w:pStyle w:val="700"/>
        <w:ind w:firstLine="480"/>
        <w:jc w:val="left"/>
        <w:spacing w:line="360" w:lineRule="auto"/>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700"/>
        <w:ind w:firstLine="480"/>
        <w:jc w:val="left"/>
        <w:spacing w:line="360" w:lineRule="auto"/>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700"/>
        <w:ind w:firstLine="480"/>
        <w:jc w:val="left"/>
        <w:spacing w:line="360" w:lineRule="auto"/>
        <w:rPr>
          <w:sz w:val="24"/>
          <w:szCs w:val="24"/>
        </w:rPr>
      </w:pPr>
      <w:r>
        <w:rPr>
          <w:rFonts w:hint="eastAsia"/>
          <w:sz w:val="24"/>
          <w:szCs w:val="24"/>
        </w:rPr>
        <w:t xml:space="preserve">37.3 享受扶持政策获得政府采购合同的，小微型企业不得将合同分包给大中型企业，中型企业不得将合同分包给大型企业。</w:t>
      </w:r>
      <w:r>
        <w:rPr>
          <w:sz w:val="24"/>
          <w:szCs w:val="24"/>
        </w:rPr>
      </w:r>
      <w:r/>
    </w:p>
    <w:p>
      <w:pPr>
        <w:pStyle w:val="703"/>
        <w:ind w:firstLine="562"/>
        <w:jc w:val="left"/>
        <w:spacing w:before="0" w:after="0" w:line="360" w:lineRule="auto"/>
        <w:rPr>
          <w:sz w:val="28"/>
          <w:szCs w:val="28"/>
        </w:rPr>
      </w:pPr>
      <w:r>
        <w:rPr>
          <w:rFonts w:hint="eastAsia"/>
          <w:sz w:val="28"/>
          <w:szCs w:val="28"/>
        </w:rPr>
        <w:t xml:space="preserve">38、支持绿色发展</w:t>
      </w:r>
      <w:r>
        <w:rPr>
          <w:sz w:val="28"/>
          <w:szCs w:val="28"/>
        </w:rPr>
      </w:r>
      <w:r/>
    </w:p>
    <w:p>
      <w:pPr>
        <w:pStyle w:val="700"/>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700"/>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700"/>
        <w:ind w:firstLine="480"/>
        <w:jc w:val="left"/>
        <w:spacing w:line="360" w:lineRule="auto"/>
        <w:rPr>
          <w:sz w:val="24"/>
          <w:szCs w:val="24"/>
        </w:rPr>
      </w:pPr>
      <w:r>
        <w:rPr>
          <w:sz w:val="24"/>
          <w:szCs w:val="24"/>
        </w:rPr>
        <w:t xml:space="preserve">38</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szCs w:val="24"/>
        </w:rPr>
      </w:r>
      <w:r/>
    </w:p>
    <w:p>
      <w:pPr>
        <w:pStyle w:val="703"/>
        <w:ind w:firstLine="562"/>
        <w:jc w:val="left"/>
        <w:spacing w:before="0" w:after="0" w:line="360" w:lineRule="auto"/>
        <w:rPr>
          <w:sz w:val="28"/>
          <w:szCs w:val="28"/>
        </w:rPr>
      </w:pPr>
      <w:r>
        <w:rPr>
          <w:rFonts w:hint="eastAsia"/>
          <w:sz w:val="28"/>
          <w:szCs w:val="28"/>
        </w:rPr>
        <w:t xml:space="preserve">39、政府采购需求标准</w:t>
      </w:r>
      <w:r>
        <w:rPr>
          <w:sz w:val="28"/>
          <w:szCs w:val="28"/>
        </w:rPr>
      </w:r>
      <w:r/>
    </w:p>
    <w:p>
      <w:pPr>
        <w:pStyle w:val="700"/>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700"/>
        <w:jc w:val="left"/>
        <w:widowControl/>
        <w:rPr>
          <w:sz w:val="24"/>
          <w:szCs w:val="24"/>
        </w:rPr>
      </w:pPr>
      <w:r>
        <w:rPr>
          <w:sz w:val="24"/>
          <w:szCs w:val="24"/>
        </w:rPr>
        <w:br w:type="page" w:clear="all"/>
      </w:r>
      <w:r>
        <w:rPr>
          <w:sz w:val="24"/>
          <w:szCs w:val="24"/>
        </w:rPr>
      </w:r>
      <w:r/>
    </w:p>
    <w:p>
      <w:pPr>
        <w:pStyle w:val="701"/>
        <w:jc w:val="center"/>
        <w:spacing w:before="156" w:after="156" w:line="360" w:lineRule="auto"/>
        <w:rPr>
          <w:rFonts w:ascii="黑体" w:hAnsi="黑体" w:eastAsia="黑体"/>
          <w:b w:val="0"/>
        </w:rPr>
      </w:pPr>
      <w:r/>
      <w:bookmarkStart w:id="17" w:name="_Toc155796358"/>
      <w:r>
        <w:rPr>
          <w:rFonts w:hint="eastAsia" w:ascii="黑体" w:hAnsi="黑体" w:eastAsia="黑体"/>
          <w:b w:val="0"/>
        </w:rPr>
        <w:t xml:space="preserve">第三章  合同文本</w:t>
      </w:r>
      <w:bookmarkEnd w:id="17"/>
      <w:r>
        <w:rPr>
          <w:rFonts w:ascii="黑体" w:hAnsi="黑体" w:eastAsia="黑体"/>
          <w:b w:val="0"/>
        </w:rPr>
      </w:r>
      <w:r/>
    </w:p>
    <w:p>
      <w:pPr>
        <w:pStyle w:val="700"/>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w:t>
      </w:r>
      <w:r>
        <w:rPr>
          <w:sz w:val="24"/>
          <w:szCs w:val="24"/>
        </w:rPr>
      </w:r>
      <w:r/>
    </w:p>
    <w:p>
      <w:pPr>
        <w:pStyle w:val="700"/>
        <w:ind w:firstLine="480"/>
        <w:jc w:val="left"/>
        <w:spacing w:line="500" w:lineRule="exact"/>
        <w:rPr>
          <w:sz w:val="24"/>
          <w:szCs w:val="24"/>
        </w:rPr>
      </w:pPr>
      <w:r>
        <w:rPr>
          <w:sz w:val="24"/>
          <w:szCs w:val="24"/>
        </w:rPr>
      </w:r>
      <w:r/>
    </w:p>
    <w:p>
      <w:pPr>
        <w:pStyle w:val="700"/>
        <w:rPr>
          <w:sz w:val="24"/>
          <w:szCs w:val="24"/>
        </w:rPr>
      </w:pPr>
      <w:r>
        <w:rPr>
          <w:sz w:val="24"/>
          <w:szCs w:val="24"/>
        </w:rPr>
        <w:br w:type="page" w:clear="all"/>
      </w:r>
      <w:r>
        <w:rPr>
          <w:sz w:val="24"/>
          <w:szCs w:val="24"/>
        </w:rPr>
      </w:r>
      <w:r/>
    </w:p>
    <w:p>
      <w:pPr>
        <w:pStyle w:val="70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70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727"/>
      </w:pPr>
      <w:r/>
      <w:r/>
    </w:p>
    <w:p>
      <w:pPr>
        <w:pStyle w:val="700"/>
        <w:jc w:val="center"/>
        <w:spacing w:line="440" w:lineRule="exact"/>
        <w:rPr>
          <w:rFonts w:ascii="宋体" w:hAnsi="宋体" w:cs="宋体"/>
          <w:szCs w:val="21"/>
        </w:rPr>
      </w:pPr>
      <w:r>
        <w:rPr>
          <w:rFonts w:hint="eastAsia" w:ascii="宋体" w:hAnsi="宋体" w:cs="宋体"/>
          <w:sz w:val="28"/>
          <w:szCs w:val="28"/>
        </w:rPr>
        <w:t xml:space="preserve">合同协议书</w:t>
      </w:r>
      <w:r>
        <w:rPr>
          <w:rFonts w:ascii="宋体" w:hAnsi="宋体" w:cs="宋体"/>
          <w:szCs w:val="21"/>
        </w:rPr>
      </w:r>
      <w:r/>
    </w:p>
    <w:p>
      <w:pPr>
        <w:pStyle w:val="700"/>
        <w:ind w:firstLine="879"/>
        <w:spacing w:line="360" w:lineRule="auto"/>
        <w:rPr>
          <w:rFonts w:ascii="宋体" w:hAnsi="宋体" w:cs="宋体"/>
          <w:szCs w:val="21"/>
        </w:rPr>
      </w:pPr>
      <w:r>
        <w:rPr>
          <w:rFonts w:hint="eastAsia" w:ascii="宋体" w:hAnsi="宋体" w:cs="宋体"/>
          <w:szCs w:val="21"/>
          <w:u w:val="single"/>
          <w:lang w:val="en-US" w:eastAsia="zh-CN"/>
        </w:rPr>
        <w:t xml:space="preserve">        </w:t>
      </w:r>
      <w:r>
        <w:rPr>
          <w:rFonts w:hint="eastAsia" w:ascii="宋体" w:hAnsi="宋体" w:cs="宋体"/>
          <w:szCs w:val="21"/>
        </w:rPr>
        <w:t xml:space="preserve">（发包人名称，以下简称“发包人”）为实施（工程项目名称），已接受</w:t>
      </w:r>
      <w:r>
        <w:rPr>
          <w:rFonts w:hint="eastAsia" w:ascii="宋体" w:hAnsi="宋体" w:cs="宋体"/>
          <w:szCs w:val="21"/>
          <w:lang w:val="en-US"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w:t>
      </w:r>
      <w:r>
        <w:rPr>
          <w:rFonts w:hint="eastAsia" w:ascii="宋体" w:hAnsi="宋体" w:cs="宋体"/>
          <w:szCs w:val="21"/>
        </w:rPr>
        <w:t xml:space="preserve">承包人名称，以下简称“承包人”）对</w:t>
      </w:r>
      <w:r>
        <w:rPr>
          <w:rFonts w:hint="eastAsia" w:ascii="宋体" w:hAnsi="宋体" w:cs="宋体"/>
          <w:szCs w:val="21"/>
          <w:u w:val="single"/>
        </w:rPr>
        <w:t xml:space="preserve">（工程项目名称）（标段名称）</w:t>
      </w:r>
      <w:r>
        <w:rPr>
          <w:rFonts w:hint="eastAsia" w:ascii="宋体" w:hAnsi="宋体" w:cs="宋体"/>
          <w:szCs w:val="21"/>
        </w:rPr>
        <w:t xml:space="preserve">的投标，并确定其为中标人，发包人和承包人共同达成如下协议：</w:t>
      </w:r>
      <w:r>
        <w:rPr>
          <w:rFonts w:ascii="宋体" w:hAnsi="宋体" w:cs="宋体"/>
          <w:szCs w:val="21"/>
        </w:rPr>
      </w:r>
      <w:r/>
    </w:p>
    <w:p>
      <w:pPr>
        <w:pStyle w:val="700"/>
        <w:ind w:firstLine="420"/>
        <w:spacing w:line="360" w:lineRule="auto"/>
        <w:rPr>
          <w:rFonts w:ascii="宋体" w:hAnsi="宋体" w:cs="宋体"/>
          <w:szCs w:val="21"/>
        </w:rPr>
      </w:pPr>
      <w:r/>
      <w:bookmarkStart w:id="18" w:name="_Toc168475885"/>
      <w:r/>
      <w:bookmarkStart w:id="19" w:name="_Toc144974828"/>
      <w:r/>
      <w:bookmarkStart w:id="20" w:name="_Toc168476288"/>
      <w:r>
        <w:rPr>
          <w:rFonts w:hint="eastAsia" w:ascii="宋体" w:hAnsi="宋体" w:cs="宋体"/>
          <w:szCs w:val="21"/>
        </w:rPr>
        <w:t xml:space="preserve">1.本协议书与下列文件一起构成合同文件：</w:t>
      </w:r>
      <w:bookmarkEnd w:id="18"/>
      <w:r/>
      <w:bookmarkEnd w:id="19"/>
      <w:r/>
      <w:bookmarkEnd w:id="20"/>
      <w:r>
        <w:rPr>
          <w:rFonts w:ascii="宋体" w:hAnsi="宋体" w:cs="宋体"/>
          <w:szCs w:val="21"/>
        </w:rPr>
      </w:r>
      <w:r/>
    </w:p>
    <w:p>
      <w:pPr>
        <w:pStyle w:val="700"/>
        <w:ind w:firstLine="315"/>
        <w:spacing w:line="360" w:lineRule="auto"/>
        <w:rPr>
          <w:rFonts w:ascii="宋体" w:hAnsi="宋体" w:cs="宋体"/>
          <w:szCs w:val="21"/>
        </w:rPr>
      </w:pPr>
      <w:r>
        <w:rPr>
          <w:rFonts w:hint="eastAsia" w:ascii="宋体" w:hAnsi="宋体" w:cs="宋体"/>
          <w:szCs w:val="21"/>
        </w:rPr>
        <w:t xml:space="preserve">（1）中标通知书；</w:t>
      </w:r>
      <w:r>
        <w:rPr>
          <w:rFonts w:ascii="宋体" w:hAnsi="宋体" w:cs="宋体"/>
          <w:szCs w:val="21"/>
        </w:rPr>
      </w:r>
      <w:r/>
    </w:p>
    <w:p>
      <w:pPr>
        <w:pStyle w:val="700"/>
        <w:ind w:firstLine="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采购需求</w:t>
      </w:r>
      <w:r>
        <w:rPr>
          <w:rFonts w:hint="eastAsia" w:ascii="宋体" w:hAnsi="宋体" w:cs="宋体"/>
          <w:szCs w:val="21"/>
        </w:rPr>
        <w:t xml:space="preserve">；</w:t>
      </w:r>
      <w:r>
        <w:rPr>
          <w:rFonts w:ascii="宋体" w:hAnsi="宋体" w:cs="宋体"/>
          <w:szCs w:val="21"/>
        </w:rPr>
      </w:r>
      <w:r/>
    </w:p>
    <w:p>
      <w:pPr>
        <w:pStyle w:val="700"/>
        <w:ind w:firstLine="31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）图纸；</w:t>
      </w:r>
      <w:r>
        <w:rPr>
          <w:rFonts w:ascii="宋体" w:hAnsi="宋体" w:cs="宋体"/>
          <w:szCs w:val="21"/>
        </w:rPr>
      </w:r>
      <w:r/>
    </w:p>
    <w:p>
      <w:pPr>
        <w:pStyle w:val="700"/>
        <w:ind w:firstLine="31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）已标价工程量清单；</w:t>
      </w:r>
      <w:r>
        <w:rPr>
          <w:rFonts w:ascii="宋体" w:hAnsi="宋体" w:cs="宋体"/>
          <w:szCs w:val="21"/>
        </w:rPr>
      </w:r>
      <w:r/>
    </w:p>
    <w:p>
      <w:pPr>
        <w:pStyle w:val="700"/>
        <w:ind w:firstLine="31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）其他合同文件。</w:t>
      </w:r>
      <w:r>
        <w:rPr>
          <w:rFonts w:ascii="宋体" w:hAnsi="宋体" w:cs="宋体"/>
          <w:szCs w:val="21"/>
        </w:rPr>
      </w:r>
      <w:r/>
    </w:p>
    <w:p>
      <w:pPr>
        <w:pStyle w:val="700"/>
        <w:ind w:firstLine="420"/>
        <w:spacing w:line="360" w:lineRule="auto"/>
        <w:rPr>
          <w:rFonts w:ascii="宋体" w:hAnsi="宋体" w:cs="宋体"/>
        </w:rPr>
      </w:pPr>
      <w:r/>
      <w:bookmarkStart w:id="21" w:name="_Toc144974829"/>
      <w:r/>
      <w:bookmarkStart w:id="22" w:name="_Toc168475886"/>
      <w:r/>
      <w:bookmarkStart w:id="23" w:name="_Toc168476289"/>
      <w:r>
        <w:rPr>
          <w:rFonts w:hint="eastAsia" w:ascii="宋体" w:hAnsi="宋体" w:cs="宋体"/>
        </w:rPr>
        <w:t xml:space="preserve">2.上述文件互相补充和解释，如有不明确或不一致之处，以合同约定次序在先者为准。</w:t>
      </w:r>
      <w:bookmarkEnd w:id="21"/>
      <w:r/>
      <w:bookmarkEnd w:id="22"/>
      <w:r/>
      <w:bookmarkEnd w:id="23"/>
      <w:r>
        <w:rPr>
          <w:rFonts w:ascii="宋体" w:hAnsi="宋体" w:cs="宋体"/>
        </w:rPr>
      </w:r>
      <w:r/>
    </w:p>
    <w:p>
      <w:pPr>
        <w:pStyle w:val="700"/>
        <w:ind w:firstLine="420"/>
        <w:spacing w:line="360" w:lineRule="auto"/>
        <w:rPr>
          <w:rFonts w:ascii="宋体" w:hAnsi="宋体" w:cs="宋体"/>
        </w:rPr>
      </w:pPr>
      <w:r>
        <w:rPr>
          <w:rFonts w:hint="eastAsia" w:ascii="宋体" w:hAnsi="宋体" w:cs="宋体"/>
        </w:rPr>
        <w:t xml:space="preserve">3.签约合同价：人民币（大写）元（¥元）。</w:t>
      </w:r>
      <w:r>
        <w:rPr>
          <w:rFonts w:ascii="宋体" w:hAnsi="宋体" w:cs="宋体"/>
        </w:rPr>
      </w:r>
      <w:r/>
    </w:p>
    <w:p>
      <w:pPr>
        <w:pStyle w:val="700"/>
        <w:ind w:firstLine="420"/>
        <w:spacing w:line="360" w:lineRule="auto"/>
        <w:rPr>
          <w:rFonts w:ascii="宋体" w:hAnsi="宋体" w:cs="宋体"/>
          <w:u w:val="single"/>
        </w:rPr>
      </w:pPr>
      <w:r>
        <w:rPr>
          <w:rFonts w:hint="eastAsia" w:ascii="宋体" w:hAnsi="宋体" w:cs="宋体"/>
        </w:rPr>
        <w:t xml:space="preserve">4.承包人项目负责人（项目经理）姓名，身份证号：。</w:t>
      </w:r>
      <w:r>
        <w:rPr>
          <w:rFonts w:ascii="宋体" w:hAnsi="宋体" w:cs="宋体"/>
          <w:u w:val="single"/>
        </w:rPr>
      </w:r>
      <w:r/>
    </w:p>
    <w:p>
      <w:pPr>
        <w:pStyle w:val="700"/>
        <w:ind w:firstLine="420"/>
        <w:spacing w:line="360" w:lineRule="auto"/>
        <w:rPr>
          <w:rFonts w:ascii="宋体" w:hAnsi="宋体" w:cs="宋体"/>
        </w:rPr>
      </w:pPr>
      <w:r>
        <w:rPr>
          <w:rFonts w:hint="eastAsia" w:ascii="宋体" w:hAnsi="宋体" w:cs="宋体"/>
        </w:rPr>
        <w:t xml:space="preserve">5.工程质量符合标准。</w:t>
      </w:r>
      <w:r>
        <w:rPr>
          <w:rFonts w:ascii="宋体" w:hAnsi="宋体" w:cs="宋体"/>
        </w:rPr>
      </w:r>
      <w:r/>
    </w:p>
    <w:p>
      <w:pPr>
        <w:pStyle w:val="700"/>
        <w:ind w:firstLine="420"/>
        <w:spacing w:line="360" w:lineRule="auto"/>
        <w:rPr>
          <w:rFonts w:ascii="宋体" w:hAnsi="宋体" w:cs="宋体"/>
        </w:rPr>
      </w:pPr>
      <w:r>
        <w:rPr>
          <w:rFonts w:hint="eastAsia" w:ascii="宋体" w:hAnsi="宋体" w:cs="宋体"/>
        </w:rPr>
        <w:t xml:space="preserve">6.承包人承诺按合同约定承担工程的实施、完成及缺陷修复。</w:t>
      </w:r>
      <w:r>
        <w:rPr>
          <w:rFonts w:ascii="宋体" w:hAnsi="宋体" w:cs="宋体"/>
        </w:rPr>
      </w:r>
      <w:r/>
    </w:p>
    <w:p>
      <w:pPr>
        <w:pStyle w:val="700"/>
        <w:ind w:firstLine="420"/>
        <w:spacing w:line="360" w:lineRule="auto"/>
        <w:rPr>
          <w:rFonts w:ascii="宋体" w:hAnsi="宋体" w:cs="宋体"/>
        </w:rPr>
      </w:pPr>
      <w:r>
        <w:rPr>
          <w:rFonts w:hint="eastAsia" w:ascii="宋体" w:hAnsi="宋体" w:cs="宋体"/>
        </w:rPr>
        <w:t xml:space="preserve">7.</w:t>
      </w:r>
      <w:r>
        <w:rPr>
          <w:rFonts w:hint="eastAsia" w:ascii="宋体" w:hAnsi="宋体" w:cs="宋体"/>
          <w:lang w:val="en-US" w:eastAsia="zh-CN"/>
        </w:rPr>
        <w:t xml:space="preserve">付款方式：</w:t>
      </w:r>
      <w:r>
        <w:rPr>
          <w:rFonts w:hint="eastAsia" w:ascii="宋体" w:hAnsi="宋体" w:cs="宋体"/>
          <w:b/>
          <w:bCs/>
          <w:sz w:val="22"/>
          <w:szCs w:val="22"/>
          <w:highlight w:val="none"/>
          <w:lang w:val="en-US" w:eastAsia="zh-CN"/>
        </w:rPr>
        <w:t xml:space="preserve">合同工程</w:t>
      </w:r>
      <w:r>
        <w:rPr>
          <w:rFonts w:hint="eastAsia" w:ascii="宋体" w:hAnsi="宋体" w:cs="宋体"/>
          <w:b/>
          <w:bCs/>
          <w:szCs w:val="21"/>
          <w:highlight w:val="none"/>
        </w:rPr>
        <w:t xml:space="preserve">验收后付至已完合格工程价款的90%，竣工验收后付至审定结算价的97%，余款在质保期满后付清</w:t>
      </w:r>
      <w:r>
        <w:rPr>
          <w:rFonts w:hint="eastAsia" w:ascii="宋体" w:hAnsi="宋体" w:cs="宋体"/>
        </w:rPr>
        <w:t xml:space="preserve">。</w:t>
      </w:r>
      <w:r>
        <w:rPr>
          <w:rFonts w:ascii="宋体" w:hAnsi="宋体" w:cs="宋体"/>
        </w:rPr>
      </w:r>
      <w:r/>
    </w:p>
    <w:p>
      <w:pPr>
        <w:pStyle w:val="700"/>
        <w:ind w:firstLine="420"/>
        <w:spacing w:line="360" w:lineRule="auto"/>
        <w:rPr>
          <w:rFonts w:ascii="宋体" w:hAnsi="宋体" w:cs="宋体"/>
        </w:rPr>
      </w:pPr>
      <w:r>
        <w:rPr>
          <w:rFonts w:hint="eastAsia" w:ascii="宋体" w:hAnsi="宋体" w:cs="宋体"/>
        </w:rPr>
        <w:t xml:space="preserve">8.承包人承诺执行监理人开工通知，计划工期为天。</w:t>
      </w:r>
      <w:r>
        <w:rPr>
          <w:rFonts w:ascii="宋体" w:hAnsi="宋体" w:cs="宋体"/>
        </w:rPr>
      </w:r>
      <w:r/>
    </w:p>
    <w:p>
      <w:pPr>
        <w:pStyle w:val="700"/>
        <w:ind w:firstLine="420"/>
        <w:spacing w:line="360" w:lineRule="auto"/>
        <w:rPr>
          <w:rFonts w:ascii="宋体" w:hAnsi="宋体" w:cs="宋体"/>
        </w:rPr>
      </w:pPr>
      <w:r>
        <w:rPr>
          <w:rFonts w:hint="eastAsia" w:ascii="宋体" w:hAnsi="宋体" w:cs="宋体"/>
        </w:rPr>
        <w:t xml:space="preserve">9.本协议书一式份，合同双方各执份。</w:t>
      </w:r>
      <w:r>
        <w:rPr>
          <w:rFonts w:ascii="宋体" w:hAnsi="宋体" w:cs="宋体"/>
        </w:rPr>
      </w:r>
      <w:r/>
    </w:p>
    <w:p>
      <w:pPr>
        <w:pStyle w:val="700"/>
        <w:ind w:firstLine="420"/>
        <w:spacing w:line="360" w:lineRule="auto"/>
        <w:rPr>
          <w:rFonts w:ascii="宋体" w:hAnsi="宋体" w:cs="宋体"/>
        </w:rPr>
      </w:pPr>
      <w:r/>
      <w:bookmarkStart w:id="24" w:name="_Toc168476290"/>
      <w:r/>
      <w:bookmarkStart w:id="25" w:name="_Toc144974830"/>
      <w:r/>
      <w:bookmarkStart w:id="26" w:name="_Toc168475887"/>
      <w:r>
        <w:rPr>
          <w:rFonts w:hint="eastAsia" w:ascii="宋体" w:hAnsi="宋体" w:cs="宋体"/>
        </w:rPr>
        <w:t xml:space="preserve">10.合同未尽事宜，双方另行签订补充协议。补充协议是合同的组成部分。</w:t>
      </w:r>
      <w:bookmarkEnd w:id="24"/>
      <w:r/>
      <w:bookmarkEnd w:id="25"/>
      <w:r/>
      <w:bookmarkEnd w:id="26"/>
      <w:r>
        <w:rPr>
          <w:rFonts w:ascii="宋体" w:hAnsi="宋体" w:cs="宋体"/>
        </w:rPr>
      </w:r>
      <w:r/>
    </w:p>
    <w:p>
      <w:pPr>
        <w:pStyle w:val="700"/>
        <w:spacing w:line="360" w:lineRule="auto"/>
        <w:rPr>
          <w:rFonts w:ascii="宋体" w:hAnsi="宋体" w:cs="宋体"/>
          <w:position w:val="2"/>
        </w:rPr>
      </w:pPr>
      <w:r>
        <w:rPr>
          <w:rFonts w:hint="eastAsia" w:ascii="宋体" w:hAnsi="宋体" w:cs="宋体"/>
        </w:rPr>
        <w:t xml:space="preserve">发包人</w:t>
      </w:r>
      <w:r>
        <w:rPr>
          <w:rFonts w:hint="eastAsia" w:ascii="宋体" w:hAnsi="宋体" w:cs="宋体"/>
          <w:position w:val="2"/>
        </w:rPr>
        <w:t xml:space="preserve">：</w:t>
      </w:r>
      <w:r>
        <w:rPr>
          <w:rFonts w:hint="eastAsia" w:ascii="宋体" w:hAnsi="宋体" w:cs="宋体"/>
          <w:position w:val="2"/>
          <w:u w:val="single"/>
        </w:rPr>
        <w:t xml:space="preserve">（名称）</w:t>
      </w:r>
      <w:r>
        <w:rPr>
          <w:rFonts w:hint="eastAsia" w:ascii="宋体" w:hAnsi="宋体" w:cs="宋体"/>
          <w:position w:val="2"/>
        </w:rPr>
        <w:t xml:space="preserve">（盖单位公章）</w:t>
      </w:r>
      <w:r>
        <w:rPr>
          <w:rFonts w:hint="eastAsia" w:ascii="宋体" w:hAnsi="宋体" w:cs="宋体"/>
        </w:rPr>
        <w:t xml:space="preserve">承包人</w:t>
      </w:r>
      <w:r>
        <w:rPr>
          <w:rFonts w:hint="eastAsia" w:ascii="宋体" w:hAnsi="宋体" w:cs="宋体"/>
          <w:position w:val="2"/>
        </w:rPr>
        <w:t xml:space="preserve">：</w:t>
      </w:r>
      <w:r>
        <w:rPr>
          <w:rFonts w:hint="eastAsia" w:ascii="宋体" w:hAnsi="宋体" w:cs="宋体"/>
          <w:position w:val="2"/>
          <w:u w:val="single"/>
        </w:rPr>
        <w:t xml:space="preserve">（名称）</w:t>
      </w:r>
      <w:r>
        <w:rPr>
          <w:rFonts w:hint="eastAsia" w:ascii="宋体" w:hAnsi="宋体" w:cs="宋体"/>
          <w:position w:val="2"/>
        </w:rPr>
        <w:t xml:space="preserve">（盖单位章）</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position w:val="2"/>
        </w:rPr>
        <w:t xml:space="preserve">法定代表人：</w:t>
      </w:r>
      <w:r>
        <w:rPr>
          <w:rFonts w:hint="eastAsia" w:ascii="宋体" w:hAnsi="宋体" w:cs="宋体"/>
          <w:position w:val="2"/>
          <w:u w:val="single"/>
        </w:rPr>
        <w:t xml:space="preserve">（姓名）</w:t>
      </w:r>
      <w:r>
        <w:rPr>
          <w:rFonts w:hint="eastAsia" w:ascii="宋体" w:hAnsi="宋体" w:cs="宋体"/>
          <w:position w:val="2"/>
        </w:rPr>
        <w:t xml:space="preserve">（签名）法定代表人：</w:t>
      </w:r>
      <w:r>
        <w:rPr>
          <w:rFonts w:hint="eastAsia" w:ascii="宋体" w:hAnsi="宋体" w:cs="宋体"/>
          <w:position w:val="2"/>
          <w:u w:val="single"/>
        </w:rPr>
        <w:t xml:space="preserve">（姓名）</w:t>
      </w:r>
      <w:r>
        <w:rPr>
          <w:rFonts w:hint="eastAsia" w:ascii="宋体" w:hAnsi="宋体" w:cs="宋体"/>
          <w:position w:val="2"/>
        </w:rPr>
        <w:t xml:space="preserve">（签名）</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position w:val="2"/>
        </w:rPr>
        <w:t xml:space="preserve">（或其委托代理人）：</w:t>
      </w:r>
      <w:r>
        <w:rPr>
          <w:rFonts w:hint="eastAsia" w:ascii="宋体" w:hAnsi="宋体" w:cs="宋体"/>
          <w:position w:val="2"/>
          <w:u w:val="single"/>
        </w:rPr>
        <w:t xml:space="preserve">（姓名）</w:t>
      </w:r>
      <w:r>
        <w:rPr>
          <w:rFonts w:hint="eastAsia" w:ascii="宋体" w:hAnsi="宋体" w:cs="宋体"/>
          <w:position w:val="2"/>
        </w:rPr>
        <w:t xml:space="preserve">（签名）（或其委托代理人）：</w:t>
      </w:r>
      <w:r>
        <w:rPr>
          <w:rFonts w:hint="eastAsia" w:ascii="宋体" w:hAnsi="宋体" w:cs="宋体"/>
          <w:position w:val="2"/>
          <w:u w:val="single"/>
        </w:rPr>
        <w:t xml:space="preserve">（姓名）</w:t>
      </w:r>
      <w:r>
        <w:rPr>
          <w:rFonts w:hint="eastAsia" w:ascii="宋体" w:hAnsi="宋体" w:cs="宋体"/>
          <w:position w:val="2"/>
        </w:rPr>
        <w:t xml:space="preserve">（签名）</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position w:val="2"/>
        </w:rPr>
        <w:t xml:space="preserve">地址：地址：</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position w:val="2"/>
        </w:rPr>
        <w:t xml:space="preserve">电话：电话：</w:t>
      </w:r>
      <w:r>
        <w:rPr>
          <w:rFonts w:ascii="宋体" w:hAnsi="宋体" w:cs="宋体"/>
          <w:position w:val="2"/>
        </w:rPr>
      </w:r>
      <w:r/>
    </w:p>
    <w:p>
      <w:pPr>
        <w:pStyle w:val="700"/>
        <w:spacing w:line="360" w:lineRule="auto"/>
        <w:rPr>
          <w:rFonts w:ascii="宋体" w:hAnsi="宋体" w:cs="宋体"/>
        </w:rPr>
      </w:pPr>
      <w:r>
        <w:rPr>
          <w:rFonts w:hint="eastAsia" w:ascii="宋体" w:hAnsi="宋体" w:cs="宋体"/>
        </w:rPr>
        <w:t xml:space="preserve">传真：传真：</w:t>
      </w:r>
      <w:r>
        <w:rPr>
          <w:rFonts w:ascii="宋体" w:hAnsi="宋体" w:cs="宋体"/>
        </w:rPr>
      </w:r>
      <w:r/>
    </w:p>
    <w:p>
      <w:pPr>
        <w:pStyle w:val="700"/>
        <w:spacing w:line="360" w:lineRule="auto"/>
        <w:rPr>
          <w:rFonts w:ascii="宋体" w:hAnsi="宋体" w:cs="宋体"/>
          <w:position w:val="2"/>
        </w:rPr>
      </w:pPr>
      <w:r>
        <w:rPr>
          <w:rFonts w:hint="eastAsia" w:ascii="宋体" w:hAnsi="宋体" w:cs="宋体"/>
        </w:rPr>
        <w:t xml:space="preserve">邮政</w:t>
      </w:r>
      <w:r>
        <w:rPr>
          <w:rFonts w:hint="eastAsia" w:ascii="宋体" w:hAnsi="宋体" w:cs="宋体"/>
          <w:position w:val="2"/>
        </w:rPr>
        <w:t xml:space="preserve">编码：</w:t>
      </w:r>
      <w:r>
        <w:rPr>
          <w:rFonts w:hint="eastAsia" w:ascii="宋体" w:hAnsi="宋体" w:cs="宋体"/>
        </w:rPr>
        <w:t xml:space="preserve">邮政</w:t>
      </w:r>
      <w:r>
        <w:rPr>
          <w:rFonts w:hint="eastAsia" w:ascii="宋体" w:hAnsi="宋体" w:cs="宋体"/>
          <w:position w:val="2"/>
        </w:rPr>
        <w:t xml:space="preserve">编码：</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rPr>
        <w:t xml:space="preserve">开户</w:t>
      </w:r>
      <w:r>
        <w:rPr>
          <w:rFonts w:hint="eastAsia" w:ascii="宋体" w:hAnsi="宋体" w:cs="宋体"/>
          <w:position w:val="2"/>
        </w:rPr>
        <w:t xml:space="preserve">银行：</w:t>
      </w:r>
      <w:r>
        <w:rPr>
          <w:rFonts w:hint="eastAsia" w:ascii="宋体" w:hAnsi="宋体" w:cs="宋体"/>
        </w:rPr>
        <w:t xml:space="preserve">开户</w:t>
      </w:r>
      <w:r>
        <w:rPr>
          <w:rFonts w:hint="eastAsia" w:ascii="宋体" w:hAnsi="宋体" w:cs="宋体"/>
          <w:position w:val="2"/>
        </w:rPr>
        <w:t xml:space="preserve">银行：</w:t>
      </w:r>
      <w:r>
        <w:rPr>
          <w:rFonts w:ascii="宋体" w:hAnsi="宋体" w:cs="宋体"/>
          <w:position w:val="2"/>
        </w:rPr>
      </w:r>
      <w:r/>
    </w:p>
    <w:p>
      <w:pPr>
        <w:pStyle w:val="700"/>
        <w:spacing w:line="360" w:lineRule="auto"/>
        <w:rPr>
          <w:rFonts w:ascii="宋体" w:hAnsi="宋体" w:cs="宋体"/>
          <w:position w:val="2"/>
        </w:rPr>
      </w:pPr>
      <w:r>
        <w:rPr>
          <w:rFonts w:hint="eastAsia" w:ascii="宋体" w:hAnsi="宋体" w:cs="宋体"/>
          <w:position w:val="2"/>
        </w:rPr>
        <w:t xml:space="preserve">账号：账号：</w:t>
      </w:r>
      <w:r>
        <w:rPr>
          <w:rFonts w:ascii="宋体" w:hAnsi="宋体" w:cs="宋体"/>
          <w:position w:val="2"/>
        </w:rPr>
      </w:r>
      <w:r/>
    </w:p>
    <w:p>
      <w:pPr>
        <w:pStyle w:val="700"/>
        <w:spacing w:line="360" w:lineRule="auto"/>
        <w:rPr>
          <w:rFonts w:hint="eastAsia" w:ascii="黑体" w:hAnsi="黑体" w:eastAsia="黑体"/>
          <w:b w:val="0"/>
        </w:rPr>
      </w:pPr>
      <w:r>
        <w:rPr>
          <w:rFonts w:hint="eastAsia" w:ascii="宋体" w:hAnsi="宋体" w:cs="宋体"/>
          <w:position w:val="2"/>
        </w:rPr>
        <w:t xml:space="preserve">年月日年月日</w:t>
      </w:r>
      <w:bookmarkStart w:id="27" w:name="_Toc155796359"/>
      <w:r>
        <w:rPr>
          <w:rFonts w:hint="eastAsia" w:ascii="黑体" w:hAnsi="黑体" w:eastAsia="黑体"/>
          <w:b w:val="0"/>
        </w:rPr>
        <w:br w:type="page" w:clear="all"/>
      </w:r>
      <w:r>
        <w:rPr>
          <w:rFonts w:hint="eastAsia" w:ascii="黑体" w:hAnsi="黑体" w:eastAsia="黑体"/>
          <w:b w:val="0"/>
        </w:rPr>
      </w:r>
      <w:r/>
    </w:p>
    <w:tbl>
      <w:tblPr>
        <w:tblpPr w:horzAnchor="page" w:tblpX="1267" w:vertAnchor="text" w:tblpY="20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9"/>
        <w:gridCol w:w="3419"/>
      </w:tblGrid>
      <w:tr>
        <w:trPr>
          <w:trHeight w:val="240"/>
          <w:tblHeader/>
        </w:trPr>
        <w:tc>
          <w:tcPr>
            <w:tcW w:w="5509" w:type="dxa"/>
            <w:vAlign w:val="center"/>
            <w:textDirection w:val="lrTb"/>
            <w:noWrap/>
          </w:tcPr>
          <w:p>
            <w:pPr>
              <w:pStyle w:val="700"/>
              <w:rPr>
                <w:rFonts w:ascii="宋体" w:hAnsi="宋体" w:cs="宋体"/>
              </w:rPr>
              <w:framePr w:vAnchor="text" w:hAnchor="page" w:x="1267" w:y="208"/>
            </w:pPr>
            <w:r>
              <w:rPr>
                <w:rFonts w:hint="eastAsia" w:ascii="宋体" w:hAnsi="宋体" w:cs="宋体"/>
              </w:rPr>
              <w:t xml:space="preserve">通用合同条款</w:t>
            </w:r>
            <w:r>
              <w:rPr>
                <w:rFonts w:ascii="宋体" w:hAnsi="宋体" w:cs="宋体"/>
              </w:rPr>
            </w:r>
            <w:r/>
          </w:p>
        </w:tc>
        <w:tc>
          <w:tcPr>
            <w:tcW w:w="3419" w:type="dxa"/>
            <w:vAlign w:val="top"/>
            <w:textDirection w:val="lrTb"/>
            <w:noWrap/>
          </w:tcPr>
          <w:p>
            <w:pPr>
              <w:pStyle w:val="700"/>
              <w:rPr>
                <w:rFonts w:ascii="宋体" w:hAnsi="宋体" w:cs="宋体"/>
              </w:rPr>
              <w:framePr w:vAnchor="text" w:hAnchor="page" w:x="1267" w:y="208"/>
            </w:pPr>
            <w:r>
              <w:rPr>
                <w:rFonts w:hint="eastAsia" w:ascii="宋体" w:hAnsi="宋体" w:cs="宋体"/>
              </w:rPr>
              <w:t xml:space="preserve">专用合同条款</w:t>
            </w:r>
            <w:r>
              <w:rPr>
                <w:rFonts w:ascii="宋体" w:hAnsi="宋体" w:cs="宋体"/>
              </w:rPr>
            </w:r>
            <w:r/>
          </w:p>
        </w:tc>
      </w:tr>
      <w:tr>
        <w:trPr>
          <w:trHeight w:val="800"/>
        </w:trPr>
        <w:tc>
          <w:tcPr>
            <w:tcW w:w="5509" w:type="dxa"/>
            <w:vAlign w:val="center"/>
            <w:textDirection w:val="lrTb"/>
            <w:noWrap/>
          </w:tcPr>
          <w:p>
            <w:pPr>
              <w:pStyle w:val="700"/>
              <w:rPr>
                <w:rFonts w:ascii="宋体" w:hAnsi="宋体" w:cs="宋体"/>
              </w:rPr>
              <w:framePr w:vAnchor="text" w:hAnchor="page" w:x="1267" w:y="208"/>
            </w:pPr>
            <w:r/>
            <w:bookmarkStart w:id="28" w:name="_Toc352492484"/>
            <w:r/>
            <w:bookmarkStart w:id="29" w:name="_Toc345225403"/>
            <w:r/>
            <w:bookmarkStart w:id="30" w:name="_Toc378180056"/>
            <w:r/>
            <w:bookmarkStart w:id="31" w:name="_Toc352492829"/>
            <w:r/>
            <w:bookmarkStart w:id="32" w:name="_Toc138041785"/>
            <w:r/>
            <w:bookmarkStart w:id="33" w:name="_Toc236811842"/>
            <w:r/>
            <w:bookmarkStart w:id="34" w:name="_Toc345916630"/>
            <w:r/>
            <w:bookmarkStart w:id="35" w:name="_Toc386274191"/>
            <w:r/>
            <w:bookmarkStart w:id="36" w:name="_Toc138042296"/>
            <w:r/>
            <w:bookmarkStart w:id="37" w:name="_Toc352491590"/>
            <w:r>
              <w:rPr>
                <w:rFonts w:hint="eastAsia" w:ascii="宋体" w:hAnsi="宋体" w:cs="宋体"/>
              </w:rPr>
              <w:t xml:space="preserve">1.一般约定</w:t>
            </w:r>
            <w:bookmarkEnd w:id="28"/>
            <w:r/>
            <w:bookmarkEnd w:id="29"/>
            <w:r/>
            <w:bookmarkEnd w:id="30"/>
            <w:r/>
            <w:bookmarkEnd w:id="31"/>
            <w:r/>
            <w:bookmarkEnd w:id="32"/>
            <w:r/>
            <w:bookmarkEnd w:id="33"/>
            <w:r/>
            <w:bookmarkEnd w:id="34"/>
            <w:r/>
            <w:bookmarkEnd w:id="35"/>
            <w:r/>
            <w:bookmarkEnd w:id="36"/>
            <w:r/>
            <w:bookmarkEnd w:id="37"/>
            <w:r>
              <w:rPr>
                <w:rFonts w:ascii="宋体" w:hAnsi="宋体" w:cs="宋体"/>
              </w:rPr>
            </w:r>
            <w:r/>
          </w:p>
          <w:p>
            <w:pPr>
              <w:pStyle w:val="700"/>
              <w:rPr>
                <w:rFonts w:ascii="宋体" w:hAnsi="宋体" w:cs="宋体"/>
              </w:rPr>
              <w:framePr w:vAnchor="text" w:hAnchor="page" w:x="1267" w:y="208"/>
            </w:pPr>
            <w:r/>
            <w:bookmarkStart w:id="38" w:name="_Toc352492830"/>
            <w:r/>
            <w:bookmarkStart w:id="39" w:name="_Toc352491591"/>
            <w:r/>
            <w:bookmarkStart w:id="40" w:name="_Toc352492485"/>
            <w:r/>
            <w:bookmarkStart w:id="41" w:name="_Toc138041786"/>
            <w:r/>
            <w:bookmarkStart w:id="42" w:name="_Toc138042297"/>
            <w:r/>
            <w:bookmarkStart w:id="43" w:name="_Toc386274192"/>
            <w:r/>
            <w:bookmarkStart w:id="44" w:name="_Toc351048153"/>
            <w:r/>
            <w:bookmarkStart w:id="45" w:name="_Toc345916631"/>
            <w:r/>
            <w:bookmarkStart w:id="46" w:name="_Toc378180057"/>
            <w:r>
              <w:rPr>
                <w:rFonts w:hint="eastAsia" w:ascii="宋体" w:hAnsi="宋体" w:cs="宋体"/>
              </w:rPr>
              <w:t xml:space="preserve">1.1词语定义</w:t>
            </w:r>
            <w:bookmarkEnd w:id="38"/>
            <w:r/>
            <w:bookmarkEnd w:id="39"/>
            <w:r/>
            <w:bookmarkEnd w:id="40"/>
            <w:r/>
            <w:bookmarkEnd w:id="41"/>
            <w:r/>
            <w:bookmarkEnd w:id="42"/>
            <w:r/>
            <w:bookmarkEnd w:id="43"/>
            <w:r/>
            <w:bookmarkEnd w:id="44"/>
            <w:r/>
            <w:bookmarkEnd w:id="45"/>
            <w:r/>
            <w:bookmarkEnd w:id="46"/>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通用合同条款、专用合同条款中的下列词语应具有本款所赋予的含义。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1.1.1.1合同文件（或称合同）：指合同协议书、中标通知书、投标函及投标函附录、专用合同条款、通用合同条款、技术标准和要求、图纸、已标价工程量清单，以及其他合同文件。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1.1.1.2合同协议书：指第1.5款所指的合同协议书。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1.1.1.3中标通知书：指发包人通知承包人中标的函件。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1.1.1.4投标函：指构成合同文件组成部分的由承包人填写并签署的投标函。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1.1.1.5投标函附录：指附在投标函后构成合同文件的投标函附录。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1.1.1.6技术标准和要求：指构成合同文件组成部分的名为技术标准和要求的文件，包括合同双方当事人约定对其所作的修改或补充。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1.1.1.7图纸：指包含在合同中的工程图纸，以及由发包人按合同约定提供的任何补充和修改的图纸，包括配套的说明。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1.1.1.8已标价工程量清单：指构成合同文件组成部分的由承包人按照规定的格式和要求填写并标明价格的工程量清单。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1.1.1.9其他合同文件：指经合同双方当事人确认构成合同文件的其他文件。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1.1.2合同当事人和人员</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1.1.2.1合同当事人：指发包人和承包人。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1.1.2.2发包人：指专用合同条款中指明并与承包人在合同协议书中签字的当事人。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1.1.2.3承包人：指与发包人签订合同协议书的当事人。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1.1.2.4承包人项目经理：指承包人派驻施工场地的全权负责人。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1.1.2.5分包人：指从承包人处分包合同中某一部分工程，并与其签订分包合同的分包人。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1.1.2.6监理人：指在专用合同条款中指明的，受发包人委托对合同履行实施管理的法人或其他组织。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1.1.2.7总监理工程师（总监）：指由监理人委派常驻施工场地对合同履行实施管理的全权负责人。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1.1.3工程和设备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1.1.3.1工程：指永久工程和（或）临时工程。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1.1.3.2永久工程：指按合同约定建造并移交给发包人的工程，包括工程设备。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1.1.3.3临时工程：指为完成合同约定的永久工程所修建的各类临时性工程，不包括施工设备。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1.1.3.4单位工程：指专用合同条款中指明特定范围的永久工程。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1.1.3.5工程设备：指构成或计划构成永久工程一部分的机电设备、金属结构设备、仪器装置及其他类似的设备和装置。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1.1.3.6施工设备：指为完成合同约定的各项工作所需的设备、器具和其他物品，不包括临时工程和材料。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1.1.3.7临时设施：指为完成合同约定的各项工作所服务的临时性生产和生活设施。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1.1.3.8承包人设备：指承包人自带的施工设备。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1.1.3.9施工场地（或称工地、现场）：指用于合同工程施工的场所，以及在合同中指定作为施工场地组成部分的其他场所，包括永久占地和临时占地。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1.1.3.10永久占地：指专用合同条款中指明为实施合同工程需永久占用的土地。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1.1.3.11临时占地：指专用合同条款中指明为实施合同工程需临时占用的土地。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1.1.4日期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1.1.4.1开工通知：指监理人按第11.1款通知承包人开工的函件。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1.1.4.2开工日期：指监理人按第11.1款发出的开工通知中写明的开工日期。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1.1.4.3工期：指承包人在投标函中承诺的完成合同工程所需的期限，包括按第11.3款、第11.4款和第11.6款约定所作的变更。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1.1.4.4竣工日期：指第1.1.4.3目约定工期届满时的日期。实际竣工日期以工程接收证书中写明的日期为准。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1.1.4.5缺陷责任期：指履行第19.2款约定的缺陷责任的期限，具体期限由专用合同条款约定，包括根据第19.3款约定所作的延长。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1.1.4.6基准日期：指投标截止时间前28天的日期。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1.1.4.7天：除特别指明外，指日历天。合同中按天计算时间的，开始当天不计入，从次日开始计算。期限最后一天的截止时间为当天24：00。</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1.1.5合同价格和费用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1.1.5.1签约合同价：指签定合同时合同协议书中写明的，包括了暂列金额、暂估价的合同总金额。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1.1.5.2合同价格：指承包人按合同约定完成了包括缺陷责任期内的全部承包工作后，发包人应付给承包人的金额，包括在履行合同过程中按合同约定进行的变更和调整。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1.1.5.3费用：指为履行合同所发生的或将要发生的所有合理开支，包括管理费和应分摊的其他费用，但不包括利润。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1.1.5.4暂列金额：指已标价工程量清单中所列的暂列金额，用于在签订协议书时尚未确定或不可预见变更的施工及其所需材料、工程设备、服务等的金额，包括以计日工方式支付的金额。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1.1.5.5暂估价：指发包人在工程量清单中给定的用于支付必然发生但暂时不能确定价格的材料、设备以及专业工程的金额。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1.1.5.6计日工：指对零星工作采取的一种计价方式，按合同中的计日工子目及其单价计价付款。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1.1.5.7质量保证金（或称保留金）：指按第17.4.1项约定用于保证在缺陷责任期内履行缺陷修复义务的金额。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1.1.6其他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1.1.6.1书面形式：指合同文件、信函、电报、传真等可以有形地表现所载内容的形式。</w:t>
            </w:r>
            <w:r>
              <w:rPr>
                <w:rFonts w:ascii="宋体" w:hAnsi="宋体" w:cs="宋体"/>
              </w:rPr>
            </w:r>
            <w:r/>
          </w:p>
          <w:p>
            <w:pPr>
              <w:pStyle w:val="700"/>
              <w:rPr>
                <w:rFonts w:ascii="宋体" w:hAnsi="宋体" w:cs="宋体"/>
              </w:rPr>
              <w:framePr w:vAnchor="text" w:hAnchor="page" w:x="1267" w:y="208"/>
            </w:pPr>
            <w:r/>
            <w:bookmarkStart w:id="47" w:name="_Toc138041787"/>
            <w:r/>
            <w:bookmarkStart w:id="48" w:name="_Toc345916632"/>
            <w:r/>
            <w:bookmarkStart w:id="49" w:name="_Toc138042298"/>
            <w:r/>
            <w:bookmarkStart w:id="50" w:name="_Toc386274193"/>
            <w:r/>
            <w:bookmarkStart w:id="51" w:name="_Toc352492486"/>
            <w:r/>
            <w:bookmarkStart w:id="52" w:name="_Toc352492831"/>
            <w:r/>
            <w:bookmarkStart w:id="53" w:name="_Toc378180058"/>
            <w:r/>
            <w:bookmarkStart w:id="54" w:name="_Toc351048154"/>
            <w:r/>
            <w:bookmarkStart w:id="55" w:name="_Toc352491592"/>
            <w:r>
              <w:rPr>
                <w:rFonts w:hint="eastAsia" w:ascii="宋体" w:hAnsi="宋体" w:cs="宋体"/>
              </w:rPr>
              <w:t xml:space="preserve">1.2语言文字</w:t>
            </w:r>
            <w:bookmarkEnd w:id="47"/>
            <w:r/>
            <w:bookmarkEnd w:id="48"/>
            <w:r/>
            <w:bookmarkEnd w:id="49"/>
            <w:r/>
            <w:bookmarkEnd w:id="50"/>
            <w:r/>
            <w:bookmarkEnd w:id="51"/>
            <w:r/>
            <w:bookmarkEnd w:id="52"/>
            <w:r/>
            <w:bookmarkEnd w:id="53"/>
            <w:r/>
            <w:bookmarkEnd w:id="54"/>
            <w:r/>
            <w:bookmarkEnd w:id="55"/>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除专用术语外，合同使用的语言文字为中文。必要时专用术语应附有中文注释。</w:t>
            </w:r>
            <w:r>
              <w:rPr>
                <w:rFonts w:ascii="宋体" w:hAnsi="宋体" w:cs="宋体"/>
              </w:rPr>
            </w:r>
            <w:r/>
          </w:p>
          <w:p>
            <w:pPr>
              <w:pStyle w:val="700"/>
              <w:rPr>
                <w:rFonts w:ascii="宋体" w:hAnsi="宋体" w:cs="宋体"/>
              </w:rPr>
              <w:framePr w:vAnchor="text" w:hAnchor="page" w:x="1267" w:y="208"/>
            </w:pPr>
            <w:r/>
            <w:bookmarkStart w:id="56" w:name="_Toc352492487"/>
            <w:r/>
            <w:bookmarkStart w:id="57" w:name="_Toc352491593"/>
            <w:r/>
            <w:bookmarkStart w:id="58" w:name="_Toc351048155"/>
            <w:r/>
            <w:bookmarkStart w:id="59" w:name="_Toc378180059"/>
            <w:r/>
            <w:bookmarkStart w:id="60" w:name="_Toc352492832"/>
            <w:r/>
            <w:bookmarkStart w:id="61" w:name="_Toc386274194"/>
            <w:r/>
            <w:bookmarkStart w:id="62" w:name="_Toc138041788"/>
            <w:r/>
            <w:bookmarkStart w:id="63" w:name="_Toc345916633"/>
            <w:r/>
            <w:bookmarkStart w:id="64" w:name="_Toc138042299"/>
            <w:r>
              <w:rPr>
                <w:rFonts w:hint="eastAsia" w:ascii="宋体" w:hAnsi="宋体" w:cs="宋体"/>
              </w:rPr>
              <w:t xml:space="preserve">1.3法律</w:t>
            </w:r>
            <w:bookmarkEnd w:id="56"/>
            <w:r/>
            <w:bookmarkEnd w:id="57"/>
            <w:r/>
            <w:bookmarkEnd w:id="58"/>
            <w:r/>
            <w:bookmarkEnd w:id="59"/>
            <w:r/>
            <w:bookmarkEnd w:id="60"/>
            <w:r/>
            <w:bookmarkEnd w:id="61"/>
            <w:r/>
            <w:bookmarkEnd w:id="62"/>
            <w:r/>
            <w:bookmarkEnd w:id="63"/>
            <w:r/>
            <w:bookmarkEnd w:id="64"/>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适用于合同的法律包括中华人民共和国法律、行政法规、部门规章，以及工程所在地的地方法规、自治条例、单行条例和地方政府规章。</w:t>
            </w:r>
            <w:r>
              <w:rPr>
                <w:rFonts w:ascii="宋体" w:hAnsi="宋体" w:cs="宋体"/>
              </w:rPr>
            </w:r>
            <w:r/>
          </w:p>
          <w:p>
            <w:pPr>
              <w:pStyle w:val="700"/>
              <w:rPr>
                <w:rFonts w:ascii="宋体" w:hAnsi="宋体" w:cs="宋体"/>
              </w:rPr>
              <w:framePr w:vAnchor="text" w:hAnchor="page" w:x="1267" w:y="208"/>
            </w:pPr>
            <w:r/>
            <w:bookmarkStart w:id="65" w:name="_Toc352492488"/>
            <w:r/>
            <w:bookmarkStart w:id="66" w:name="_Toc378180060"/>
            <w:r/>
            <w:bookmarkStart w:id="67" w:name="_Toc138041789"/>
            <w:r/>
            <w:bookmarkStart w:id="68" w:name="_Toc352491594"/>
            <w:r/>
            <w:bookmarkStart w:id="69" w:name="_Toc138042300"/>
            <w:r/>
            <w:bookmarkStart w:id="70" w:name="_Toc386274195"/>
            <w:r/>
            <w:bookmarkStart w:id="71" w:name="_Toc351048156"/>
            <w:r/>
            <w:bookmarkStart w:id="72" w:name="_Toc352492833"/>
            <w:r/>
            <w:bookmarkStart w:id="73" w:name="_Toc345916634"/>
            <w:r>
              <w:rPr>
                <w:rFonts w:hint="eastAsia" w:ascii="宋体" w:hAnsi="宋体" w:cs="宋体"/>
              </w:rPr>
              <w:t xml:space="preserve">1.4合同文件的优先顺序</w:t>
            </w:r>
            <w:bookmarkEnd w:id="65"/>
            <w:r/>
            <w:bookmarkEnd w:id="66"/>
            <w:r/>
            <w:bookmarkEnd w:id="67"/>
            <w:r/>
            <w:bookmarkEnd w:id="68"/>
            <w:r/>
            <w:bookmarkEnd w:id="69"/>
            <w:r/>
            <w:bookmarkEnd w:id="70"/>
            <w:r/>
            <w:bookmarkEnd w:id="71"/>
            <w:r/>
            <w:bookmarkEnd w:id="72"/>
            <w:r/>
            <w:bookmarkEnd w:id="7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组成合同的各项文件应互相解释，互为说明。除专用合同条款另有约定外，解释合同文件的优先顺序如下：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（1）合同协议书；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（2）中标通知书；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（3）投标函及投标函附录；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（4）专用合同条款；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（5）通用合同条款；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（6）技术标准和要求；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（7）图纸；</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（8）已标价工程量清单；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（9）其他合同文件。</w:t>
            </w:r>
            <w:r>
              <w:rPr>
                <w:rFonts w:ascii="宋体" w:hAnsi="宋体" w:cs="宋体"/>
              </w:rPr>
            </w:r>
            <w:r/>
          </w:p>
          <w:p>
            <w:pPr>
              <w:pStyle w:val="700"/>
              <w:rPr>
                <w:rFonts w:ascii="宋体" w:hAnsi="宋体" w:cs="宋体"/>
              </w:rPr>
              <w:framePr w:vAnchor="text" w:hAnchor="page" w:x="1267" w:y="208"/>
            </w:pPr>
            <w:r/>
            <w:bookmarkStart w:id="74" w:name="_Toc351048157"/>
            <w:r/>
            <w:bookmarkStart w:id="75" w:name="_Toc352492834"/>
            <w:r/>
            <w:bookmarkStart w:id="76" w:name="_Toc138042301"/>
            <w:r/>
            <w:bookmarkStart w:id="77" w:name="_Toc386274196"/>
            <w:r/>
            <w:bookmarkStart w:id="78" w:name="_Toc138041790"/>
            <w:r/>
            <w:bookmarkStart w:id="79" w:name="_Toc378180061"/>
            <w:r/>
            <w:bookmarkStart w:id="80" w:name="_Toc352491595"/>
            <w:r/>
            <w:bookmarkStart w:id="81" w:name="_Toc352492489"/>
            <w:r/>
            <w:bookmarkStart w:id="82" w:name="_Toc345916635"/>
            <w:r>
              <w:rPr>
                <w:rFonts w:hint="eastAsia" w:ascii="宋体" w:hAnsi="宋体" w:cs="宋体"/>
              </w:rPr>
              <w:t xml:space="preserve">1.5合同协议书</w:t>
            </w:r>
            <w:bookmarkEnd w:id="74"/>
            <w:r/>
            <w:bookmarkEnd w:id="75"/>
            <w:r/>
            <w:bookmarkEnd w:id="76"/>
            <w:r/>
            <w:bookmarkEnd w:id="77"/>
            <w:r/>
            <w:bookmarkEnd w:id="78"/>
            <w:r/>
            <w:bookmarkEnd w:id="79"/>
            <w:r/>
            <w:bookmarkEnd w:id="80"/>
            <w:r/>
            <w:bookmarkEnd w:id="81"/>
            <w:r/>
            <w:bookmarkEnd w:id="82"/>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bookmarkStart w:id="83" w:name="_Toc352492835"/>
            <w:r/>
            <w:bookmarkStart w:id="84" w:name="_Toc345916636"/>
            <w:r/>
            <w:bookmarkStart w:id="85" w:name="_Toc352491596"/>
            <w:r/>
            <w:bookmarkStart w:id="86" w:name="_Toc378180062"/>
            <w:r/>
            <w:bookmarkStart w:id="87" w:name="_Toc352492490"/>
            <w:r/>
            <w:bookmarkStart w:id="88" w:name="_Toc138041791"/>
            <w:r/>
            <w:bookmarkStart w:id="89" w:name="_Toc386274197"/>
            <w:r/>
            <w:bookmarkStart w:id="90" w:name="_Toc351048158"/>
            <w:r/>
            <w:bookmarkStart w:id="91" w:name="_Toc138042302"/>
            <w:r>
              <w:rPr>
                <w:rFonts w:hint="eastAsia" w:ascii="宋体" w:hAnsi="宋体" w:cs="宋体"/>
              </w:rPr>
              <w:t xml:space="preserve">1.6图纸和承包人文件</w:t>
            </w:r>
            <w:bookmarkEnd w:id="83"/>
            <w:r/>
            <w:bookmarkEnd w:id="84"/>
            <w:r/>
            <w:bookmarkEnd w:id="85"/>
            <w:r/>
            <w:bookmarkEnd w:id="86"/>
            <w:r/>
            <w:bookmarkEnd w:id="87"/>
            <w:r/>
            <w:bookmarkEnd w:id="88"/>
            <w:r/>
            <w:bookmarkEnd w:id="89"/>
            <w:r/>
            <w:bookmarkEnd w:id="90"/>
            <w:r/>
            <w:bookmarkEnd w:id="91"/>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1.6.1图纸的提供</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除专用合同条款另有约定外，图纸应在合理的期限内按照合同约定的数量提供给承包人。由于发包人未按时提供图纸造成工期延误的，按第11.3款的约定办理。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1.6.2承包人提供的文件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按专用合同条款约定由承包人提供的文件，包括部分工程的大样图、加工图等，承包人应按约定的数量和期限报送监理人。监理人应在专用合同条款约定的期限内批复。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1.6.3图纸的修改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1.6.4图纸的错误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承包人发现发包人提供的图纸存在明显错误或疏忽，应及时通知监理人。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1.6.5图纸和承包人文件的保管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监理人和承包人均应在施工场地各保存一套完整的包含第1.6.1项、第1.6.2项、第1.6.3项约定内容的图纸和承包人文件。</w:t>
            </w:r>
            <w:r>
              <w:rPr>
                <w:rFonts w:ascii="宋体" w:hAnsi="宋体" w:cs="宋体"/>
              </w:rPr>
            </w:r>
            <w:r/>
          </w:p>
          <w:p>
            <w:pPr>
              <w:pStyle w:val="700"/>
              <w:rPr>
                <w:rFonts w:ascii="宋体" w:hAnsi="宋体" w:cs="宋体"/>
              </w:rPr>
              <w:framePr w:vAnchor="text" w:hAnchor="page" w:x="1267" w:y="208"/>
            </w:pPr>
            <w:r/>
            <w:bookmarkStart w:id="92" w:name="_Toc352492491"/>
            <w:r/>
            <w:bookmarkStart w:id="93" w:name="_Toc345916637"/>
            <w:r/>
            <w:bookmarkStart w:id="94" w:name="_Toc352491597"/>
            <w:r/>
            <w:bookmarkStart w:id="95" w:name="_Toc138041792"/>
            <w:r/>
            <w:bookmarkStart w:id="96" w:name="_Toc386274198"/>
            <w:r/>
            <w:bookmarkStart w:id="97" w:name="_Toc352492836"/>
            <w:r/>
            <w:bookmarkStart w:id="98" w:name="_Toc138042303"/>
            <w:r/>
            <w:bookmarkStart w:id="99" w:name="_Toc378180063"/>
            <w:r/>
            <w:bookmarkStart w:id="100" w:name="_Toc351048159"/>
            <w:r>
              <w:rPr>
                <w:rFonts w:hint="eastAsia" w:ascii="宋体" w:hAnsi="宋体" w:cs="宋体"/>
              </w:rPr>
              <w:t xml:space="preserve">1.7联络</w:t>
            </w:r>
            <w:bookmarkEnd w:id="92"/>
            <w:r/>
            <w:bookmarkEnd w:id="93"/>
            <w:r/>
            <w:bookmarkEnd w:id="94"/>
            <w:r/>
            <w:bookmarkEnd w:id="95"/>
            <w:r/>
            <w:bookmarkEnd w:id="96"/>
            <w:r/>
            <w:bookmarkEnd w:id="97"/>
            <w:r/>
            <w:bookmarkEnd w:id="98"/>
            <w:r/>
            <w:bookmarkEnd w:id="99"/>
            <w:r/>
            <w:bookmarkEnd w:id="100"/>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1.7.1与合同有关的通知、批准、证明、证书、指示、要求、请求、同意、意见、确定和决定等，均应采用书面形式。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1.7.2第1.7.1项中的通知、批准、证明、证书、指示、要求、请求、同意、意见、确定和决定等来往函件，均应在合同约定的期限内送达指定地点和接收人，并办理签收手续。</w:t>
            </w:r>
            <w:r>
              <w:rPr>
                <w:rFonts w:ascii="宋体" w:hAnsi="宋体" w:cs="宋体"/>
              </w:rPr>
            </w:r>
            <w:r/>
          </w:p>
          <w:p>
            <w:pPr>
              <w:pStyle w:val="700"/>
              <w:rPr>
                <w:rFonts w:ascii="宋体" w:hAnsi="宋体" w:cs="宋体"/>
              </w:rPr>
              <w:framePr w:vAnchor="text" w:hAnchor="page" w:x="1267" w:y="208"/>
            </w:pPr>
            <w:r/>
            <w:bookmarkStart w:id="101" w:name="_Toc352492492"/>
            <w:r/>
            <w:bookmarkStart w:id="102" w:name="_Toc138042304"/>
            <w:r/>
            <w:bookmarkStart w:id="103" w:name="_Toc352491598"/>
            <w:r/>
            <w:bookmarkStart w:id="104" w:name="_Toc352492837"/>
            <w:r/>
            <w:bookmarkStart w:id="105" w:name="_Toc351048160"/>
            <w:r/>
            <w:bookmarkStart w:id="106" w:name="_Toc138041793"/>
            <w:r/>
            <w:bookmarkStart w:id="107" w:name="_Toc386274199"/>
            <w:r/>
            <w:bookmarkStart w:id="108" w:name="_Toc345916638"/>
            <w:r/>
            <w:bookmarkStart w:id="109" w:name="_Toc378180064"/>
            <w:r>
              <w:rPr>
                <w:rFonts w:hint="eastAsia" w:ascii="宋体" w:hAnsi="宋体" w:cs="宋体"/>
              </w:rPr>
              <w:t xml:space="preserve">1.8转让</w:t>
            </w:r>
            <w:bookmarkEnd w:id="101"/>
            <w:r/>
            <w:bookmarkEnd w:id="102"/>
            <w:r/>
            <w:bookmarkEnd w:id="103"/>
            <w:r/>
            <w:bookmarkEnd w:id="104"/>
            <w:r/>
            <w:bookmarkEnd w:id="105"/>
            <w:r/>
            <w:bookmarkEnd w:id="106"/>
            <w:r/>
            <w:bookmarkEnd w:id="107"/>
            <w:r/>
            <w:bookmarkEnd w:id="108"/>
            <w:r/>
            <w:bookmarkEnd w:id="109"/>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除合同另有约定外，未经对方当事人同意，一方当事人不得将合同权利全部或部分转让给第三人，也不得全部或部分转移合同义务。</w:t>
            </w:r>
            <w:r>
              <w:rPr>
                <w:rFonts w:ascii="宋体" w:hAnsi="宋体" w:cs="宋体"/>
              </w:rPr>
            </w:r>
            <w:r/>
          </w:p>
          <w:p>
            <w:pPr>
              <w:pStyle w:val="700"/>
              <w:rPr>
                <w:rFonts w:ascii="宋体" w:hAnsi="宋体" w:cs="宋体"/>
              </w:rPr>
              <w:framePr w:vAnchor="text" w:hAnchor="page" w:x="1267" w:y="208"/>
            </w:pPr>
            <w:r/>
            <w:bookmarkStart w:id="110" w:name="_Toc352491599"/>
            <w:r/>
            <w:bookmarkStart w:id="111" w:name="_Toc352492838"/>
            <w:r/>
            <w:bookmarkStart w:id="112" w:name="_Toc352492493"/>
            <w:r/>
            <w:bookmarkStart w:id="113" w:name="_Toc386274200"/>
            <w:r/>
            <w:bookmarkStart w:id="114" w:name="_Toc378180065"/>
            <w:r/>
            <w:bookmarkStart w:id="115" w:name="_Toc138042305"/>
            <w:r/>
            <w:bookmarkStart w:id="116" w:name="_Toc351048161"/>
            <w:r/>
            <w:bookmarkStart w:id="117" w:name="_Toc345916639"/>
            <w:r/>
            <w:bookmarkStart w:id="118" w:name="_Toc138041794"/>
            <w:r>
              <w:rPr>
                <w:rFonts w:hint="eastAsia" w:ascii="宋体" w:hAnsi="宋体" w:cs="宋体"/>
              </w:rPr>
              <w:t xml:space="preserve">1.9严禁贿赂</w:t>
            </w:r>
            <w:bookmarkEnd w:id="110"/>
            <w:r/>
            <w:bookmarkEnd w:id="111"/>
            <w:r/>
            <w:bookmarkEnd w:id="112"/>
            <w:r/>
            <w:bookmarkEnd w:id="113"/>
            <w:r/>
            <w:bookmarkEnd w:id="114"/>
            <w:r/>
            <w:bookmarkEnd w:id="115"/>
            <w:r/>
            <w:bookmarkEnd w:id="116"/>
            <w:r/>
            <w:bookmarkEnd w:id="117"/>
            <w:r/>
            <w:bookmarkEnd w:id="118"/>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合同双方当事人不得以贿赂或变相贿赂的方式，谋取不当利益或损害对方权益。因贿赂造成对方损失的，行为人应赔偿损失，并承担相应的法律责任。</w:t>
            </w:r>
            <w:r>
              <w:rPr>
                <w:rFonts w:ascii="宋体" w:hAnsi="宋体" w:cs="宋体"/>
              </w:rPr>
            </w:r>
            <w:r/>
          </w:p>
          <w:p>
            <w:pPr>
              <w:pStyle w:val="700"/>
              <w:rPr>
                <w:rFonts w:ascii="宋体" w:hAnsi="宋体" w:cs="宋体"/>
              </w:rPr>
              <w:framePr w:vAnchor="text" w:hAnchor="page" w:x="1267" w:y="208"/>
            </w:pPr>
            <w:r/>
            <w:bookmarkStart w:id="119" w:name="_Toc378180066"/>
            <w:r/>
            <w:bookmarkStart w:id="120" w:name="_Toc352492494"/>
            <w:r/>
            <w:bookmarkStart w:id="121" w:name="_Toc345916640"/>
            <w:r/>
            <w:bookmarkStart w:id="122" w:name="_Toc351048162"/>
            <w:r/>
            <w:bookmarkStart w:id="123" w:name="_Toc352491600"/>
            <w:r/>
            <w:bookmarkStart w:id="124" w:name="_Toc386274201"/>
            <w:r/>
            <w:bookmarkStart w:id="125" w:name="_Toc352492839"/>
            <w:r/>
            <w:bookmarkStart w:id="126" w:name="_Toc138042306"/>
            <w:r/>
            <w:bookmarkStart w:id="127" w:name="_Toc138041795"/>
            <w:r>
              <w:rPr>
                <w:rFonts w:hint="eastAsia" w:ascii="宋体" w:hAnsi="宋体" w:cs="宋体"/>
              </w:rPr>
              <w:t xml:space="preserve">1.10化石、文物</w:t>
            </w:r>
            <w:bookmarkEnd w:id="119"/>
            <w:r/>
            <w:bookmarkEnd w:id="120"/>
            <w:r/>
            <w:bookmarkEnd w:id="121"/>
            <w:r/>
            <w:bookmarkEnd w:id="122"/>
            <w:r/>
            <w:bookmarkEnd w:id="123"/>
            <w:r/>
            <w:bookmarkEnd w:id="124"/>
            <w:r/>
            <w:bookmarkEnd w:id="125"/>
            <w:r/>
            <w:bookmarkEnd w:id="126"/>
            <w:r/>
            <w:bookmarkEnd w:id="127"/>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1.10.1在施工场地发掘的所有文物、古迹以及具有地质研究或考古价值的其他遗迹、化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1.10.2承包人发现文物后不及时报告或隐瞒不报，致使文物丢失或损坏的，应赔偿损失，并承担相应的法律责任。</w:t>
            </w:r>
            <w:r>
              <w:rPr>
                <w:rFonts w:ascii="宋体" w:hAnsi="宋体" w:cs="宋体"/>
              </w:rPr>
            </w:r>
            <w:r/>
          </w:p>
          <w:p>
            <w:pPr>
              <w:pStyle w:val="700"/>
              <w:rPr>
                <w:rFonts w:ascii="宋体" w:hAnsi="宋体" w:cs="宋体"/>
              </w:rPr>
              <w:framePr w:vAnchor="text" w:hAnchor="page" w:x="1267" w:y="208"/>
            </w:pPr>
            <w:r/>
            <w:bookmarkStart w:id="128" w:name="_Toc345916641"/>
            <w:r/>
            <w:bookmarkStart w:id="129" w:name="_Toc386274202"/>
            <w:r/>
            <w:bookmarkStart w:id="130" w:name="_Toc352492840"/>
            <w:r/>
            <w:bookmarkStart w:id="131" w:name="_Toc352492495"/>
            <w:r/>
            <w:bookmarkStart w:id="132" w:name="_Toc351048163"/>
            <w:r/>
            <w:bookmarkStart w:id="133" w:name="_Toc352491601"/>
            <w:r/>
            <w:bookmarkStart w:id="134" w:name="_Toc378180067"/>
            <w:r/>
            <w:bookmarkStart w:id="135" w:name="_Toc138042307"/>
            <w:r/>
            <w:bookmarkStart w:id="136" w:name="_Toc138041796"/>
            <w:r>
              <w:rPr>
                <w:rFonts w:hint="eastAsia" w:ascii="宋体" w:hAnsi="宋体" w:cs="宋体"/>
              </w:rPr>
              <w:t xml:space="preserve">1.11专利技术</w:t>
            </w:r>
            <w:bookmarkEnd w:id="128"/>
            <w:r/>
            <w:bookmarkEnd w:id="129"/>
            <w:r/>
            <w:bookmarkEnd w:id="130"/>
            <w:r/>
            <w:bookmarkEnd w:id="131"/>
            <w:r/>
            <w:bookmarkEnd w:id="132"/>
            <w:r/>
            <w:bookmarkEnd w:id="133"/>
            <w:r/>
            <w:bookmarkEnd w:id="134"/>
            <w:r/>
            <w:bookmarkEnd w:id="135"/>
            <w:r/>
            <w:bookmarkEnd w:id="136"/>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1.11.1承包人在使用任何材料、承包人设备、工程设备或采用施工工艺时，因侵犯专利权或其他知识产权所引起的责任，由承包人承担，但由于遵照发包人提供的设计或技术标准和要求引起的除外。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1.11.2承包人在投标文件中采用专利技术的，专利技术的使用费包含在投标报价内。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1.11.3承包人的技术秘密和声明需要保密的资料和信息，发包人和监理人不得为合同以外的目的泄露给他人。</w:t>
            </w:r>
            <w:r>
              <w:rPr>
                <w:rFonts w:ascii="宋体" w:hAnsi="宋体" w:cs="宋体"/>
              </w:rPr>
            </w:r>
            <w:r/>
          </w:p>
          <w:p>
            <w:pPr>
              <w:pStyle w:val="700"/>
              <w:rPr>
                <w:rFonts w:ascii="宋体" w:hAnsi="宋体" w:cs="宋体"/>
              </w:rPr>
              <w:framePr w:vAnchor="text" w:hAnchor="page" w:x="1267" w:y="208"/>
            </w:pPr>
            <w:r/>
            <w:bookmarkStart w:id="137" w:name="_Toc138042308"/>
            <w:r/>
            <w:bookmarkStart w:id="138" w:name="_Toc138041797"/>
            <w:r/>
            <w:bookmarkStart w:id="139" w:name="_Toc345916642"/>
            <w:r/>
            <w:bookmarkStart w:id="140" w:name="_Toc352492841"/>
            <w:r/>
            <w:bookmarkStart w:id="141" w:name="_Toc386274203"/>
            <w:r/>
            <w:bookmarkStart w:id="142" w:name="_Toc352491602"/>
            <w:r/>
            <w:bookmarkStart w:id="143" w:name="_Toc352492496"/>
            <w:r/>
            <w:bookmarkStart w:id="144" w:name="_Toc351048164"/>
            <w:r/>
            <w:bookmarkStart w:id="145" w:name="_Toc378180068"/>
            <w:r>
              <w:rPr>
                <w:rFonts w:hint="eastAsia" w:ascii="宋体" w:hAnsi="宋体" w:cs="宋体"/>
              </w:rPr>
              <w:t xml:space="preserve">1.12图纸和文件的保密</w:t>
            </w:r>
            <w:bookmarkEnd w:id="137"/>
            <w:r/>
            <w:bookmarkEnd w:id="138"/>
            <w:r/>
            <w:bookmarkEnd w:id="139"/>
            <w:r/>
            <w:bookmarkEnd w:id="140"/>
            <w:r/>
            <w:bookmarkEnd w:id="141"/>
            <w:r/>
            <w:bookmarkEnd w:id="142"/>
            <w:r/>
            <w:bookmarkEnd w:id="143"/>
            <w:r/>
            <w:bookmarkEnd w:id="144"/>
            <w:r/>
            <w:bookmarkEnd w:id="145"/>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1.12.1发包人提供的图纸和文件，未经发包人同意，承包人不得为合同以外的目的泄露给他人或公开发表与引用。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1.12.2承包人提供的文件，未经承包人同意，发包人和监理人不得为合同以外的目的泄露给他人或公开发表与引用。</w:t>
            </w:r>
            <w:r>
              <w:rPr>
                <w:rFonts w:ascii="宋体" w:hAnsi="宋体" w:cs="宋体"/>
              </w:rPr>
            </w:r>
            <w:r/>
          </w:p>
          <w:p>
            <w:pPr>
              <w:pStyle w:val="700"/>
              <w:rPr>
                <w:rFonts w:ascii="宋体" w:hAnsi="宋体" w:cs="宋体"/>
              </w:rPr>
              <w:framePr w:vAnchor="text" w:hAnchor="page" w:x="1267" w:y="208"/>
            </w:pPr>
            <w:r/>
            <w:bookmarkStart w:id="146" w:name="_Toc345225404"/>
            <w:r/>
            <w:bookmarkStart w:id="147" w:name="_Toc378180069"/>
            <w:r/>
            <w:bookmarkStart w:id="148" w:name="_Toc386274204"/>
            <w:r/>
            <w:bookmarkStart w:id="149" w:name="_Toc236811843"/>
            <w:r/>
            <w:bookmarkStart w:id="150" w:name="_Toc345916643"/>
            <w:r/>
            <w:bookmarkStart w:id="151" w:name="_Toc352492842"/>
            <w:r/>
            <w:bookmarkStart w:id="152" w:name="_Toc352492497"/>
            <w:r/>
            <w:bookmarkStart w:id="153" w:name="_Toc138042309"/>
            <w:r/>
            <w:bookmarkStart w:id="154" w:name="_Toc352491603"/>
            <w:r/>
            <w:bookmarkStart w:id="155" w:name="_Toc138041798"/>
            <w:r>
              <w:rPr>
                <w:rFonts w:hint="eastAsia" w:ascii="宋体" w:hAnsi="宋体" w:cs="宋体"/>
              </w:rPr>
              <w:t xml:space="preserve">2.发包人义务</w:t>
            </w:r>
            <w:bookmarkEnd w:id="146"/>
            <w:r/>
            <w:bookmarkEnd w:id="147"/>
            <w:r/>
            <w:bookmarkEnd w:id="148"/>
            <w:r/>
            <w:bookmarkEnd w:id="149"/>
            <w:r/>
            <w:bookmarkEnd w:id="150"/>
            <w:r/>
            <w:bookmarkEnd w:id="151"/>
            <w:r/>
            <w:bookmarkEnd w:id="152"/>
            <w:r/>
            <w:bookmarkEnd w:id="153"/>
            <w:r/>
            <w:bookmarkEnd w:id="154"/>
            <w:r/>
            <w:bookmarkEnd w:id="155"/>
            <w:r>
              <w:rPr>
                <w:rFonts w:ascii="宋体" w:hAnsi="宋体" w:cs="宋体"/>
              </w:rPr>
            </w:r>
            <w:r/>
          </w:p>
          <w:p>
            <w:pPr>
              <w:pStyle w:val="700"/>
              <w:rPr>
                <w:rFonts w:ascii="宋体" w:hAnsi="宋体" w:cs="宋体"/>
              </w:rPr>
              <w:framePr w:vAnchor="text" w:hAnchor="page" w:x="1267" w:y="208"/>
            </w:pPr>
            <w:r/>
            <w:bookmarkStart w:id="156" w:name="_Toc352491604"/>
            <w:r/>
            <w:bookmarkStart w:id="157" w:name="_Toc352492843"/>
            <w:r/>
            <w:bookmarkStart w:id="158" w:name="_Toc351048166"/>
            <w:r/>
            <w:bookmarkStart w:id="159" w:name="_Toc138041799"/>
            <w:r/>
            <w:bookmarkStart w:id="160" w:name="_Toc138042310"/>
            <w:r/>
            <w:bookmarkStart w:id="161" w:name="_Toc345916644"/>
            <w:r/>
            <w:bookmarkStart w:id="162" w:name="_Toc378180070"/>
            <w:r/>
            <w:bookmarkStart w:id="163" w:name="_Toc352492498"/>
            <w:r/>
            <w:bookmarkStart w:id="164" w:name="_Toc386274205"/>
            <w:r>
              <w:rPr>
                <w:rFonts w:hint="eastAsia" w:ascii="宋体" w:hAnsi="宋体" w:cs="宋体"/>
              </w:rPr>
              <w:t xml:space="preserve">2.1遵守法律</w:t>
            </w:r>
            <w:bookmarkEnd w:id="156"/>
            <w:r/>
            <w:bookmarkEnd w:id="157"/>
            <w:r/>
            <w:bookmarkEnd w:id="158"/>
            <w:r/>
            <w:bookmarkEnd w:id="159"/>
            <w:r/>
            <w:bookmarkEnd w:id="160"/>
            <w:r/>
            <w:bookmarkEnd w:id="161"/>
            <w:r/>
            <w:bookmarkEnd w:id="162"/>
            <w:r/>
            <w:bookmarkEnd w:id="163"/>
            <w:r/>
            <w:bookmarkEnd w:id="164"/>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发包人在履行合同过程中应遵守法律，并保证承包人免于承担因发包人违反法律而引起的任何责任。</w:t>
            </w:r>
            <w:r>
              <w:rPr>
                <w:rFonts w:ascii="宋体" w:hAnsi="宋体" w:cs="宋体"/>
              </w:rPr>
            </w:r>
            <w:r/>
          </w:p>
          <w:p>
            <w:pPr>
              <w:pStyle w:val="700"/>
              <w:rPr>
                <w:rFonts w:ascii="宋体" w:hAnsi="宋体" w:cs="宋体"/>
              </w:rPr>
              <w:framePr w:vAnchor="text" w:hAnchor="page" w:x="1267" w:y="208"/>
            </w:pPr>
            <w:r/>
            <w:bookmarkStart w:id="165" w:name="_Toc138041800"/>
            <w:r/>
            <w:bookmarkStart w:id="166" w:name="_Toc378180071"/>
            <w:r/>
            <w:bookmarkStart w:id="167" w:name="_Toc352492844"/>
            <w:r/>
            <w:bookmarkStart w:id="168" w:name="_Toc352492499"/>
            <w:r/>
            <w:bookmarkStart w:id="169" w:name="_Toc351048167"/>
            <w:r/>
            <w:bookmarkStart w:id="170" w:name="_Toc352491605"/>
            <w:r/>
            <w:bookmarkStart w:id="171" w:name="_Toc386274206"/>
            <w:r/>
            <w:bookmarkStart w:id="172" w:name="_Toc345916645"/>
            <w:r/>
            <w:bookmarkStart w:id="173" w:name="_Toc138042311"/>
            <w:r>
              <w:rPr>
                <w:rFonts w:hint="eastAsia" w:ascii="宋体" w:hAnsi="宋体" w:cs="宋体"/>
              </w:rPr>
              <w:t xml:space="preserve">2.2发出开工通知</w:t>
            </w:r>
            <w:bookmarkEnd w:id="165"/>
            <w:r/>
            <w:bookmarkEnd w:id="166"/>
            <w:r/>
            <w:bookmarkEnd w:id="167"/>
            <w:r/>
            <w:bookmarkEnd w:id="168"/>
            <w:r/>
            <w:bookmarkEnd w:id="169"/>
            <w:r/>
            <w:bookmarkEnd w:id="170"/>
            <w:r/>
            <w:bookmarkEnd w:id="171"/>
            <w:r/>
            <w:bookmarkEnd w:id="172"/>
            <w:r/>
            <w:bookmarkEnd w:id="17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发包人应委托监理人按第11.1款的约定向承包人发出开工通知。</w:t>
            </w:r>
            <w:r>
              <w:rPr>
                <w:rFonts w:ascii="宋体" w:hAnsi="宋体" w:cs="宋体"/>
              </w:rPr>
            </w:r>
            <w:r/>
          </w:p>
          <w:p>
            <w:pPr>
              <w:pStyle w:val="700"/>
              <w:rPr>
                <w:rFonts w:ascii="宋体" w:hAnsi="宋体" w:cs="宋体"/>
              </w:rPr>
              <w:framePr w:vAnchor="text" w:hAnchor="page" w:x="1267" w:y="208"/>
            </w:pPr>
            <w:r/>
            <w:bookmarkStart w:id="174" w:name="_Toc352492845"/>
            <w:r/>
            <w:bookmarkStart w:id="175" w:name="_Toc386274207"/>
            <w:r/>
            <w:bookmarkStart w:id="176" w:name="_Toc138041801"/>
            <w:r/>
            <w:bookmarkStart w:id="177" w:name="_Toc138042312"/>
            <w:r/>
            <w:bookmarkStart w:id="178" w:name="_Toc352492500"/>
            <w:r/>
            <w:bookmarkStart w:id="179" w:name="_Toc351048168"/>
            <w:r/>
            <w:bookmarkStart w:id="180" w:name="_Toc378180072"/>
            <w:r/>
            <w:bookmarkStart w:id="181" w:name="_Toc352491606"/>
            <w:r/>
            <w:bookmarkStart w:id="182" w:name="_Toc345916646"/>
            <w:r>
              <w:rPr>
                <w:rFonts w:hint="eastAsia" w:ascii="宋体" w:hAnsi="宋体" w:cs="宋体"/>
              </w:rPr>
              <w:t xml:space="preserve">2.3提供施工场地</w:t>
            </w:r>
            <w:bookmarkEnd w:id="174"/>
            <w:r/>
            <w:bookmarkEnd w:id="175"/>
            <w:r/>
            <w:bookmarkEnd w:id="176"/>
            <w:r/>
            <w:bookmarkEnd w:id="177"/>
            <w:r/>
            <w:bookmarkEnd w:id="178"/>
            <w:r/>
            <w:bookmarkEnd w:id="179"/>
            <w:r/>
            <w:bookmarkEnd w:id="180"/>
            <w:r/>
            <w:bookmarkEnd w:id="181"/>
            <w:r/>
            <w:bookmarkEnd w:id="182"/>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发包人应按专用合同条款约定向承包人提供施工场地，以及施工场地内地下管线和地下设施等有关资料，并保证资料的真实、准确、完整。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2.4协助承包人办理证件和批件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发包人应协助承包人办理法律规定的有关施工证件和批件。</w:t>
            </w:r>
            <w:r>
              <w:rPr>
                <w:rFonts w:ascii="宋体" w:hAnsi="宋体" w:cs="宋体"/>
              </w:rPr>
            </w:r>
            <w:r/>
          </w:p>
          <w:p>
            <w:pPr>
              <w:pStyle w:val="700"/>
              <w:rPr>
                <w:rFonts w:ascii="宋体" w:hAnsi="宋体" w:cs="宋体"/>
              </w:rPr>
              <w:framePr w:vAnchor="text" w:hAnchor="page" w:x="1267" w:y="208"/>
            </w:pPr>
            <w:r/>
            <w:bookmarkStart w:id="183" w:name="_Toc351048169"/>
            <w:r/>
            <w:bookmarkStart w:id="184" w:name="_Toc138042313"/>
            <w:r/>
            <w:bookmarkStart w:id="185" w:name="_Toc352492846"/>
            <w:r/>
            <w:bookmarkStart w:id="186" w:name="_Toc345916647"/>
            <w:r/>
            <w:bookmarkStart w:id="187" w:name="_Toc138041802"/>
            <w:r/>
            <w:bookmarkStart w:id="188" w:name="_Toc378180073"/>
            <w:r/>
            <w:bookmarkStart w:id="189" w:name="_Toc352492501"/>
            <w:r/>
            <w:bookmarkStart w:id="190" w:name="_Toc386274208"/>
            <w:r/>
            <w:bookmarkStart w:id="191" w:name="_Toc352491607"/>
            <w:r>
              <w:rPr>
                <w:rFonts w:hint="eastAsia" w:ascii="宋体" w:hAnsi="宋体" w:cs="宋体"/>
              </w:rPr>
              <w:t xml:space="preserve">2.5组织设计交底</w:t>
            </w:r>
            <w:bookmarkEnd w:id="183"/>
            <w:r/>
            <w:bookmarkEnd w:id="184"/>
            <w:r/>
            <w:bookmarkEnd w:id="185"/>
            <w:r/>
            <w:bookmarkEnd w:id="186"/>
            <w:r/>
            <w:bookmarkEnd w:id="187"/>
            <w:r/>
            <w:bookmarkEnd w:id="188"/>
            <w:r/>
            <w:bookmarkEnd w:id="189"/>
            <w:r/>
            <w:bookmarkEnd w:id="190"/>
            <w:r/>
            <w:bookmarkEnd w:id="191"/>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发包人应根据合同进度计划，组织设计单位向承包人进行设计交底。</w:t>
            </w:r>
            <w:r>
              <w:rPr>
                <w:rFonts w:ascii="宋体" w:hAnsi="宋体" w:cs="宋体"/>
              </w:rPr>
            </w:r>
            <w:r/>
          </w:p>
          <w:p>
            <w:pPr>
              <w:pStyle w:val="700"/>
              <w:rPr>
                <w:rFonts w:ascii="宋体" w:hAnsi="宋体" w:cs="宋体"/>
              </w:rPr>
              <w:framePr w:vAnchor="text" w:hAnchor="page" w:x="1267" w:y="208"/>
            </w:pPr>
            <w:r/>
            <w:bookmarkStart w:id="192" w:name="_Toc352492847"/>
            <w:r/>
            <w:bookmarkStart w:id="193" w:name="_Toc386274209"/>
            <w:r/>
            <w:bookmarkStart w:id="194" w:name="_Toc138041803"/>
            <w:r/>
            <w:bookmarkStart w:id="195" w:name="_Toc378180074"/>
            <w:r/>
            <w:bookmarkStart w:id="196" w:name="_Toc352492502"/>
            <w:r/>
            <w:bookmarkStart w:id="197" w:name="_Toc138042314"/>
            <w:r/>
            <w:bookmarkStart w:id="198" w:name="_Toc352491608"/>
            <w:r/>
            <w:bookmarkStart w:id="199" w:name="_Toc351048170"/>
            <w:r/>
            <w:bookmarkStart w:id="200" w:name="_Toc345916648"/>
            <w:r>
              <w:rPr>
                <w:rFonts w:hint="eastAsia" w:ascii="宋体" w:hAnsi="宋体" w:cs="宋体"/>
              </w:rPr>
              <w:t xml:space="preserve">2.6支付合同价款</w:t>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发包人应按合同约定向承包人及时支付合同价款。</w:t>
            </w:r>
            <w:r>
              <w:rPr>
                <w:rFonts w:ascii="宋体" w:hAnsi="宋体" w:cs="宋体"/>
              </w:rPr>
            </w:r>
            <w:r/>
          </w:p>
          <w:p>
            <w:pPr>
              <w:pStyle w:val="700"/>
              <w:rPr>
                <w:rFonts w:ascii="宋体" w:hAnsi="宋体" w:cs="宋体"/>
              </w:rPr>
              <w:framePr w:vAnchor="text" w:hAnchor="page" w:x="1267" w:y="208"/>
            </w:pPr>
            <w:r/>
            <w:bookmarkStart w:id="201" w:name="_Toc351048171"/>
            <w:r/>
            <w:bookmarkStart w:id="202" w:name="_Toc138041804"/>
            <w:r/>
            <w:bookmarkStart w:id="203" w:name="_Toc352492503"/>
            <w:r/>
            <w:bookmarkStart w:id="204" w:name="_Toc352492848"/>
            <w:r/>
            <w:bookmarkStart w:id="205" w:name="_Toc352491609"/>
            <w:r/>
            <w:bookmarkStart w:id="206" w:name="_Toc138042315"/>
            <w:r/>
            <w:bookmarkStart w:id="207" w:name="_Toc345916649"/>
            <w:r/>
            <w:bookmarkStart w:id="208" w:name="_Toc378180075"/>
            <w:r/>
            <w:bookmarkStart w:id="209" w:name="_Toc386274210"/>
            <w:r>
              <w:rPr>
                <w:rFonts w:hint="eastAsia" w:ascii="宋体" w:hAnsi="宋体" w:cs="宋体"/>
              </w:rPr>
              <w:t xml:space="preserve">2.7组织竣工验收</w:t>
            </w:r>
            <w:bookmarkEnd w:id="201"/>
            <w:r/>
            <w:bookmarkEnd w:id="202"/>
            <w:r/>
            <w:bookmarkEnd w:id="203"/>
            <w:r/>
            <w:bookmarkEnd w:id="204"/>
            <w:r/>
            <w:bookmarkEnd w:id="205"/>
            <w:r/>
            <w:bookmarkEnd w:id="206"/>
            <w:r/>
            <w:bookmarkEnd w:id="207"/>
            <w:r/>
            <w:bookmarkEnd w:id="208"/>
            <w:r/>
            <w:bookmarkEnd w:id="209"/>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发包人应按合同约定及时组织竣工验收。</w:t>
            </w:r>
            <w:r>
              <w:rPr>
                <w:rFonts w:ascii="宋体" w:hAnsi="宋体" w:cs="宋体"/>
              </w:rPr>
            </w:r>
            <w:r/>
          </w:p>
          <w:p>
            <w:pPr>
              <w:pStyle w:val="700"/>
              <w:rPr>
                <w:rFonts w:ascii="宋体" w:hAnsi="宋体" w:cs="宋体"/>
              </w:rPr>
              <w:framePr w:vAnchor="text" w:hAnchor="page" w:x="1267" w:y="208"/>
            </w:pPr>
            <w:r/>
            <w:bookmarkStart w:id="210" w:name="_Toc138042316"/>
            <w:r/>
            <w:bookmarkStart w:id="211" w:name="_Toc345916650"/>
            <w:r/>
            <w:bookmarkStart w:id="212" w:name="_Toc352492849"/>
            <w:r/>
            <w:bookmarkStart w:id="213" w:name="_Toc352492504"/>
            <w:r/>
            <w:bookmarkStart w:id="214" w:name="_Toc351048172"/>
            <w:r/>
            <w:bookmarkStart w:id="215" w:name="_Toc378180076"/>
            <w:r/>
            <w:bookmarkStart w:id="216" w:name="_Toc138041805"/>
            <w:r/>
            <w:bookmarkStart w:id="217" w:name="_Toc386274211"/>
            <w:r/>
            <w:bookmarkStart w:id="218" w:name="_Toc352491610"/>
            <w:r>
              <w:rPr>
                <w:rFonts w:hint="eastAsia" w:ascii="宋体" w:hAnsi="宋体" w:cs="宋体"/>
              </w:rPr>
              <w:t xml:space="preserve">2.8其他义务</w:t>
            </w:r>
            <w:bookmarkEnd w:id="210"/>
            <w:r/>
            <w:bookmarkEnd w:id="211"/>
            <w:r/>
            <w:bookmarkEnd w:id="212"/>
            <w:r/>
            <w:bookmarkEnd w:id="213"/>
            <w:r/>
            <w:bookmarkEnd w:id="214"/>
            <w:r/>
            <w:bookmarkEnd w:id="215"/>
            <w:r/>
            <w:bookmarkEnd w:id="216"/>
            <w:r/>
            <w:bookmarkEnd w:id="217"/>
            <w:r/>
            <w:bookmarkEnd w:id="218"/>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发包人应履行合同约定的其他义务。</w:t>
            </w:r>
            <w:r>
              <w:rPr>
                <w:rFonts w:ascii="宋体" w:hAnsi="宋体" w:cs="宋体"/>
              </w:rPr>
            </w:r>
            <w:r/>
          </w:p>
          <w:p>
            <w:pPr>
              <w:pStyle w:val="700"/>
              <w:rPr>
                <w:rFonts w:ascii="宋体" w:hAnsi="宋体" w:cs="宋体"/>
              </w:rPr>
              <w:framePr w:vAnchor="text" w:hAnchor="page" w:x="1267" w:y="208"/>
            </w:pPr>
            <w:r/>
            <w:bookmarkStart w:id="219" w:name="_Toc138041806"/>
            <w:r/>
            <w:bookmarkStart w:id="220" w:name="_Toc386274212"/>
            <w:r/>
            <w:bookmarkStart w:id="221" w:name="_Toc352492505"/>
            <w:r/>
            <w:bookmarkStart w:id="222" w:name="_Toc378180077"/>
            <w:r/>
            <w:bookmarkStart w:id="223" w:name="_Toc138042317"/>
            <w:r/>
            <w:bookmarkStart w:id="224" w:name="_Toc236811844"/>
            <w:r/>
            <w:bookmarkStart w:id="225" w:name="_Toc345916651"/>
            <w:r/>
            <w:bookmarkStart w:id="226" w:name="_Toc345225405"/>
            <w:r/>
            <w:bookmarkStart w:id="227" w:name="_Toc352491611"/>
            <w:r/>
            <w:bookmarkStart w:id="228" w:name="_Toc352492850"/>
            <w:r>
              <w:rPr>
                <w:rFonts w:hint="eastAsia" w:ascii="宋体" w:hAnsi="宋体" w:cs="宋体"/>
              </w:rPr>
              <w:t xml:space="preserve">3.监理人</w:t>
            </w:r>
            <w:bookmarkEnd w:id="219"/>
            <w:r/>
            <w:bookmarkEnd w:id="220"/>
            <w:r/>
            <w:bookmarkEnd w:id="221"/>
            <w:r/>
            <w:bookmarkEnd w:id="222"/>
            <w:r/>
            <w:bookmarkEnd w:id="223"/>
            <w:r/>
            <w:bookmarkEnd w:id="224"/>
            <w:r/>
            <w:bookmarkEnd w:id="225"/>
            <w:r/>
            <w:bookmarkEnd w:id="226"/>
            <w:r/>
            <w:bookmarkEnd w:id="227"/>
            <w:r/>
            <w:bookmarkEnd w:id="228"/>
            <w:r>
              <w:rPr>
                <w:rFonts w:ascii="宋体" w:hAnsi="宋体" w:cs="宋体"/>
              </w:rPr>
            </w:r>
            <w:r/>
          </w:p>
          <w:p>
            <w:pPr>
              <w:pStyle w:val="700"/>
              <w:rPr>
                <w:rFonts w:ascii="宋体" w:hAnsi="宋体" w:cs="宋体"/>
              </w:rPr>
              <w:framePr w:vAnchor="text" w:hAnchor="page" w:x="1267" w:y="208"/>
            </w:pPr>
            <w:r/>
            <w:bookmarkStart w:id="229" w:name="_Toc138042318"/>
            <w:r/>
            <w:bookmarkStart w:id="230" w:name="_Toc351048174"/>
            <w:r/>
            <w:bookmarkStart w:id="231" w:name="_Toc386274213"/>
            <w:r/>
            <w:bookmarkStart w:id="232" w:name="_Toc138041807"/>
            <w:r/>
            <w:bookmarkStart w:id="233" w:name="_Toc345916652"/>
            <w:r/>
            <w:bookmarkStart w:id="234" w:name="_Toc378180078"/>
            <w:r/>
            <w:bookmarkStart w:id="235" w:name="_Toc352492851"/>
            <w:r/>
            <w:bookmarkStart w:id="236" w:name="_Toc352492506"/>
            <w:r/>
            <w:bookmarkStart w:id="237" w:name="_Toc352491612"/>
            <w:r>
              <w:rPr>
                <w:rFonts w:hint="eastAsia" w:ascii="宋体" w:hAnsi="宋体" w:cs="宋体"/>
              </w:rPr>
              <w:t xml:space="preserve">3.1监理人的职责和权力</w:t>
            </w:r>
            <w:bookmarkEnd w:id="229"/>
            <w:r/>
            <w:bookmarkEnd w:id="230"/>
            <w:r/>
            <w:bookmarkEnd w:id="231"/>
            <w:r/>
            <w:bookmarkEnd w:id="232"/>
            <w:r/>
            <w:bookmarkEnd w:id="233"/>
            <w:r/>
            <w:bookmarkEnd w:id="234"/>
            <w:r/>
            <w:bookmarkEnd w:id="235"/>
            <w:r/>
            <w:bookmarkEnd w:id="236"/>
            <w:r/>
            <w:bookmarkEnd w:id="237"/>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3.1.1监理人受发包人委托，享有合同约定的权力。监理人在行使某项权力前需要经发包人事先批准而通用合同条款没有指明的，应在专用合同条款中指明。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3.1.2监理人发出的任何指示应视为已得到发包人的批准，但监理人无权免除或变更合同约定的发包人和承包人的权利、义务和责任。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3.1.3合同约定应由承包人承担的义务和责任，不因监理人对承包人提交文件的审查或批准，对工程、材料和设备的检查和检验，以及为实施监理作出的指示等职务行为而减轻或解除。</w:t>
            </w:r>
            <w:r>
              <w:rPr>
                <w:rFonts w:ascii="宋体" w:hAnsi="宋体" w:cs="宋体"/>
              </w:rPr>
            </w:r>
            <w:r/>
          </w:p>
          <w:p>
            <w:pPr>
              <w:pStyle w:val="700"/>
              <w:rPr>
                <w:rFonts w:ascii="宋体" w:hAnsi="宋体" w:cs="宋体"/>
              </w:rPr>
              <w:framePr w:vAnchor="text" w:hAnchor="page" w:x="1267" w:y="208"/>
            </w:pPr>
            <w:r/>
            <w:bookmarkStart w:id="238" w:name="_Toc352492852"/>
            <w:r/>
            <w:bookmarkStart w:id="239" w:name="_Toc352491613"/>
            <w:r/>
            <w:bookmarkStart w:id="240" w:name="_Toc138041808"/>
            <w:r/>
            <w:bookmarkStart w:id="241" w:name="_Toc351048175"/>
            <w:r/>
            <w:bookmarkStart w:id="242" w:name="_Toc386274214"/>
            <w:r/>
            <w:bookmarkStart w:id="243" w:name="_Toc138042319"/>
            <w:r/>
            <w:bookmarkStart w:id="244" w:name="_Toc378180079"/>
            <w:r/>
            <w:bookmarkStart w:id="245" w:name="_Toc345916653"/>
            <w:r/>
            <w:bookmarkStart w:id="246" w:name="_Toc352492507"/>
            <w:r>
              <w:rPr>
                <w:rFonts w:hint="eastAsia" w:ascii="宋体" w:hAnsi="宋体" w:cs="宋体"/>
              </w:rPr>
              <w:t xml:space="preserve">3.2总监理工程师</w:t>
            </w:r>
            <w:bookmarkEnd w:id="238"/>
            <w:r/>
            <w:bookmarkEnd w:id="239"/>
            <w:r/>
            <w:bookmarkEnd w:id="240"/>
            <w:r/>
            <w:bookmarkEnd w:id="241"/>
            <w:r/>
            <w:bookmarkEnd w:id="242"/>
            <w:r/>
            <w:bookmarkEnd w:id="243"/>
            <w:r/>
            <w:bookmarkEnd w:id="244"/>
            <w:r/>
            <w:bookmarkEnd w:id="245"/>
            <w:r/>
            <w:bookmarkEnd w:id="246"/>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发包人应在发出开工通知前将总监理工程师的任命通知承包人。总监理工程师更换时，应在调离14天前通知承包人。总监理工程师短期离开施工场地的，应委派代表代行其职责，并通知承包人。</w:t>
            </w:r>
            <w:r>
              <w:rPr>
                <w:rFonts w:ascii="宋体" w:hAnsi="宋体" w:cs="宋体"/>
              </w:rPr>
            </w:r>
            <w:r/>
          </w:p>
          <w:p>
            <w:pPr>
              <w:pStyle w:val="700"/>
              <w:rPr>
                <w:rFonts w:ascii="宋体" w:hAnsi="宋体" w:cs="宋体"/>
              </w:rPr>
              <w:framePr w:vAnchor="text" w:hAnchor="page" w:x="1267" w:y="208"/>
            </w:pPr>
            <w:r/>
            <w:bookmarkStart w:id="247" w:name="_Toc138042320"/>
            <w:r/>
            <w:bookmarkStart w:id="248" w:name="_Toc138041809"/>
            <w:r/>
            <w:bookmarkStart w:id="249" w:name="_Toc352492508"/>
            <w:r/>
            <w:bookmarkStart w:id="250" w:name="_Toc386274215"/>
            <w:r/>
            <w:bookmarkStart w:id="251" w:name="_Toc352492853"/>
            <w:r/>
            <w:bookmarkStart w:id="252" w:name="_Toc345916654"/>
            <w:r/>
            <w:bookmarkStart w:id="253" w:name="_Toc378180080"/>
            <w:r/>
            <w:bookmarkStart w:id="254" w:name="_Toc351048176"/>
            <w:r/>
            <w:bookmarkStart w:id="255" w:name="_Toc352491614"/>
            <w:r>
              <w:rPr>
                <w:rFonts w:hint="eastAsia" w:ascii="宋体" w:hAnsi="宋体" w:cs="宋体"/>
              </w:rPr>
              <w:t xml:space="preserve">3.3监理人员</w:t>
            </w:r>
            <w:bookmarkEnd w:id="247"/>
            <w:r/>
            <w:bookmarkEnd w:id="248"/>
            <w:r/>
            <w:bookmarkEnd w:id="249"/>
            <w:r/>
            <w:bookmarkEnd w:id="250"/>
            <w:r/>
            <w:bookmarkEnd w:id="251"/>
            <w:r/>
            <w:bookmarkEnd w:id="252"/>
            <w:r/>
            <w:bookmarkEnd w:id="253"/>
            <w:r/>
            <w:bookmarkEnd w:id="254"/>
            <w:r/>
            <w:bookmarkEnd w:id="255"/>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3.3.2监理人员对承包人的任何工作、工程或其采用的材料和工程设备未在约定的或合理的期限内提出否定意见的，视为已获批准，但不影响监理人在以后拒绝该项工作、工程、材料或工程设备的权利。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3.3.3承包人对总监理工程师授权的监理人员发出的指示有疑问的，可向总监理工程师提出书面异议，总监理工程师应在48小时内对该指示予以确认、更改或撤销。</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3.3.4除专用合同条款另有约定外，总监理工程师不应将3.5款约定应由总监理工程师作出确定的权力授权或委托给其他监理人员。</w:t>
            </w:r>
            <w:r>
              <w:rPr>
                <w:rFonts w:ascii="宋体" w:hAnsi="宋体" w:cs="宋体"/>
              </w:rPr>
            </w:r>
            <w:r/>
          </w:p>
          <w:p>
            <w:pPr>
              <w:pStyle w:val="700"/>
              <w:rPr>
                <w:rFonts w:ascii="宋体" w:hAnsi="宋体" w:cs="宋体"/>
              </w:rPr>
              <w:framePr w:vAnchor="text" w:hAnchor="page" w:x="1267" w:y="208"/>
            </w:pPr>
            <w:r/>
            <w:bookmarkStart w:id="256" w:name="_Toc378180081"/>
            <w:r/>
            <w:bookmarkStart w:id="257" w:name="_Toc352492509"/>
            <w:r/>
            <w:bookmarkStart w:id="258" w:name="_Toc138042321"/>
            <w:r/>
            <w:bookmarkStart w:id="259" w:name="_Toc386274216"/>
            <w:r/>
            <w:bookmarkStart w:id="260" w:name="_Toc352491615"/>
            <w:r/>
            <w:bookmarkStart w:id="261" w:name="_Toc138041810"/>
            <w:r/>
            <w:bookmarkStart w:id="262" w:name="_Toc351048177"/>
            <w:r/>
            <w:bookmarkStart w:id="263" w:name="_Toc345916655"/>
            <w:r/>
            <w:bookmarkStart w:id="264" w:name="_Toc352492854"/>
            <w:r>
              <w:rPr>
                <w:rFonts w:hint="eastAsia" w:ascii="宋体" w:hAnsi="宋体" w:cs="宋体"/>
              </w:rPr>
              <w:t xml:space="preserve">3.4监理人的指示</w:t>
            </w:r>
            <w:bookmarkEnd w:id="256"/>
            <w:r/>
            <w:bookmarkEnd w:id="257"/>
            <w:r/>
            <w:bookmarkEnd w:id="258"/>
            <w:r/>
            <w:bookmarkEnd w:id="259"/>
            <w:r/>
            <w:bookmarkEnd w:id="260"/>
            <w:r/>
            <w:bookmarkEnd w:id="261"/>
            <w:r/>
            <w:bookmarkEnd w:id="262"/>
            <w:r/>
            <w:bookmarkEnd w:id="263"/>
            <w:r/>
            <w:bookmarkEnd w:id="264"/>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3.4.1监理人应按第3.1款的约定向承包人发出指示，监理人的指示应盖有监理人授权的施工场地机构章，并由总监理工程师或总监理工程师按第3.3.1项约定授权的监理人员签字。</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3.4.2承包人收到监理人按第3.4.1项作出的指示后应遵照执行。指示构成变更的，应按第15条处理。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3.4.4除合同另有约定外，承包人只从总监理工程师或按第3.3.1项被授权的监理人员处取得指示。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3.4.5由于监理人未能按合同约定发出指示、指示延误或指示错误而导致承包人费用增加和（或）工期延误的，由发包人承担赔偿责任。</w:t>
            </w:r>
            <w:r>
              <w:rPr>
                <w:rFonts w:ascii="宋体" w:hAnsi="宋体" w:cs="宋体"/>
              </w:rPr>
            </w:r>
            <w:r/>
          </w:p>
          <w:p>
            <w:pPr>
              <w:pStyle w:val="700"/>
              <w:rPr>
                <w:rFonts w:ascii="宋体" w:hAnsi="宋体" w:cs="宋体"/>
              </w:rPr>
              <w:framePr w:vAnchor="text" w:hAnchor="page" w:x="1267" w:y="208"/>
            </w:pPr>
            <w:r/>
            <w:bookmarkStart w:id="265" w:name="_Toc138042322"/>
            <w:r/>
            <w:bookmarkStart w:id="266" w:name="_Toc352492855"/>
            <w:r/>
            <w:bookmarkStart w:id="267" w:name="_Toc345916656"/>
            <w:r/>
            <w:bookmarkStart w:id="268" w:name="_Toc351048178"/>
            <w:r/>
            <w:bookmarkStart w:id="269" w:name="_Toc352491616"/>
            <w:r/>
            <w:bookmarkStart w:id="270" w:name="_Toc138041811"/>
            <w:r/>
            <w:bookmarkStart w:id="271" w:name="_Toc386274217"/>
            <w:r/>
            <w:bookmarkStart w:id="272" w:name="_Toc352492510"/>
            <w:r/>
            <w:bookmarkStart w:id="273" w:name="_Toc378180082"/>
            <w:r>
              <w:rPr>
                <w:rFonts w:hint="eastAsia" w:ascii="宋体" w:hAnsi="宋体" w:cs="宋体"/>
              </w:rPr>
              <w:t xml:space="preserve">3.5商定或确定</w:t>
            </w:r>
            <w:bookmarkEnd w:id="265"/>
            <w:r/>
            <w:bookmarkEnd w:id="266"/>
            <w:r/>
            <w:bookmarkEnd w:id="267"/>
            <w:r/>
            <w:bookmarkEnd w:id="268"/>
            <w:r/>
            <w:bookmarkEnd w:id="269"/>
            <w:r/>
            <w:bookmarkEnd w:id="270"/>
            <w:r/>
            <w:bookmarkEnd w:id="271"/>
            <w:r/>
            <w:bookmarkEnd w:id="272"/>
            <w:r/>
            <w:bookmarkEnd w:id="27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3.5.1合同约定总监理工程师应按照本款对任何事项进行商定或确定时，总监理工程师应与合同当事人协商，尽量达成一致。不能达成一致的，总监理工程师应认真研究后审慎确定。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ascii="宋体" w:hAnsi="宋体" w:cs="宋体"/>
              </w:rPr>
            </w:r>
            <w:r/>
          </w:p>
          <w:p>
            <w:pPr>
              <w:pStyle w:val="700"/>
              <w:rPr>
                <w:rFonts w:ascii="宋体" w:hAnsi="宋体" w:cs="宋体"/>
              </w:rPr>
              <w:framePr w:vAnchor="text" w:hAnchor="page" w:x="1267" w:y="208"/>
            </w:pPr>
            <w:r/>
            <w:bookmarkStart w:id="274" w:name="_Toc352492511"/>
            <w:r/>
            <w:bookmarkStart w:id="275" w:name="_Toc386274218"/>
            <w:r/>
            <w:bookmarkStart w:id="276" w:name="_Toc345225406"/>
            <w:r/>
            <w:bookmarkStart w:id="277" w:name="_Toc378180083"/>
            <w:r/>
            <w:bookmarkStart w:id="278" w:name="_Toc345916657"/>
            <w:r/>
            <w:bookmarkStart w:id="279" w:name="_Toc138041812"/>
            <w:r/>
            <w:bookmarkStart w:id="280" w:name="_Toc138042323"/>
            <w:r/>
            <w:bookmarkStart w:id="281" w:name="_Toc352492856"/>
            <w:r/>
            <w:bookmarkStart w:id="282" w:name="_Toc236811845"/>
            <w:r/>
            <w:bookmarkStart w:id="283" w:name="_Toc352491617"/>
            <w:r>
              <w:rPr>
                <w:rFonts w:hint="eastAsia" w:ascii="宋体" w:hAnsi="宋体" w:cs="宋体"/>
              </w:rPr>
              <w:t xml:space="preserve">4.承包人</w:t>
            </w:r>
            <w:bookmarkEnd w:id="274"/>
            <w:r/>
            <w:bookmarkEnd w:id="275"/>
            <w:r/>
            <w:bookmarkEnd w:id="276"/>
            <w:r/>
            <w:bookmarkEnd w:id="277"/>
            <w:r/>
            <w:bookmarkEnd w:id="278"/>
            <w:r/>
            <w:bookmarkEnd w:id="279"/>
            <w:r/>
            <w:bookmarkEnd w:id="280"/>
            <w:r/>
            <w:bookmarkEnd w:id="281"/>
            <w:r/>
            <w:bookmarkEnd w:id="282"/>
            <w:r/>
            <w:bookmarkEnd w:id="283"/>
            <w:r>
              <w:rPr>
                <w:rFonts w:ascii="宋体" w:hAnsi="宋体" w:cs="宋体"/>
              </w:rPr>
            </w:r>
            <w:r/>
          </w:p>
          <w:p>
            <w:pPr>
              <w:pStyle w:val="700"/>
              <w:rPr>
                <w:rFonts w:ascii="宋体" w:hAnsi="宋体" w:cs="宋体"/>
              </w:rPr>
              <w:framePr w:vAnchor="text" w:hAnchor="page" w:x="1267" w:y="208"/>
            </w:pPr>
            <w:r/>
            <w:bookmarkStart w:id="284" w:name="_Toc378180084"/>
            <w:r/>
            <w:bookmarkStart w:id="285" w:name="_Toc352492857"/>
            <w:r/>
            <w:bookmarkStart w:id="286" w:name="_Toc138041813"/>
            <w:r/>
            <w:bookmarkStart w:id="287" w:name="_Toc351048180"/>
            <w:r/>
            <w:bookmarkStart w:id="288" w:name="_Toc352492512"/>
            <w:r/>
            <w:bookmarkStart w:id="289" w:name="_Toc352491618"/>
            <w:r/>
            <w:bookmarkStart w:id="290" w:name="_Toc138042324"/>
            <w:r/>
            <w:bookmarkStart w:id="291" w:name="_Toc345916658"/>
            <w:r/>
            <w:bookmarkStart w:id="292" w:name="_Toc386274219"/>
            <w:r>
              <w:rPr>
                <w:rFonts w:hint="eastAsia" w:ascii="宋体" w:hAnsi="宋体" w:cs="宋体"/>
              </w:rPr>
              <w:t xml:space="preserve">4.1承包人的一般义务</w:t>
            </w:r>
            <w:bookmarkEnd w:id="284"/>
            <w:r/>
            <w:bookmarkEnd w:id="285"/>
            <w:r/>
            <w:bookmarkEnd w:id="286"/>
            <w:r/>
            <w:bookmarkEnd w:id="287"/>
            <w:r/>
            <w:bookmarkEnd w:id="288"/>
            <w:r/>
            <w:bookmarkEnd w:id="289"/>
            <w:r/>
            <w:bookmarkEnd w:id="290"/>
            <w:r/>
            <w:bookmarkEnd w:id="291"/>
            <w:r/>
            <w:bookmarkEnd w:id="292"/>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4.1.1遵守法律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卫生承包人在履行合同过程中应遵守法律，并保证发包人免于承担因承包人违反法律而引起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的任何责任。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4.1.2依法纳税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承包人应按有关法律规定纳税，应缴纳的税金包括在合同价格内。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4.1.3完成各项承包工作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4.1.4对施工作业和施工方法的完备性负责承包人应按合同约定的工作内容和施工进度要求，编制施工组织设计和施工措施计划，并对所有施工作业和施工方法的完备性和安全可靠性负责。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4.1.5保证工程施工和人员的安全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承包人应按第9.2款约定采取施工安全措施，确保工程及其人员、材料、设备和设施的安全，防止因工程施工造成的人身伤害和财产损失。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4.1.6负责施工场地及其周边环境与生态的保护工作承包人应按照第9.4款约定负责施工场地及其周边环境与生态的保护工作。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4.1.8为他人提供方便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4.1.9工程的维护和照管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工程接收证书颁发前，承包人应负责照管和维护工程。工程接收证书颁发时尚有部分未竣工工程的，承包人还应负责该未竣工工程的照管和维护工作，直至竣工后移交给发包人为止。</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4.1.10其他义务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承包人应履行合同约定的其他义务。</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bookmarkStart w:id="293" w:name="_Toc378180085"/>
            <w:r/>
            <w:bookmarkStart w:id="294" w:name="_Toc386274220"/>
            <w:r/>
            <w:bookmarkStart w:id="295" w:name="_Toc352492513"/>
            <w:r/>
            <w:bookmarkStart w:id="296" w:name="_Toc345916659"/>
            <w:r/>
            <w:bookmarkStart w:id="297" w:name="_Toc351048181"/>
            <w:r/>
            <w:bookmarkStart w:id="298" w:name="_Toc352491619"/>
            <w:r/>
            <w:bookmarkStart w:id="299" w:name="_Toc352492858"/>
            <w:r/>
            <w:bookmarkStart w:id="300" w:name="_Toc138041814"/>
            <w:r/>
            <w:bookmarkStart w:id="301" w:name="_Toc138042325"/>
            <w:r>
              <w:rPr>
                <w:rFonts w:hint="eastAsia" w:ascii="宋体" w:hAnsi="宋体" w:cs="宋体"/>
              </w:rPr>
              <w:t xml:space="preserve">4.2履约担保</w:t>
            </w:r>
            <w:bookmarkEnd w:id="293"/>
            <w:r/>
            <w:bookmarkEnd w:id="294"/>
            <w:r/>
            <w:bookmarkEnd w:id="295"/>
            <w:r/>
            <w:bookmarkEnd w:id="296"/>
            <w:r/>
            <w:bookmarkEnd w:id="297"/>
            <w:r/>
            <w:bookmarkEnd w:id="298"/>
            <w:r/>
            <w:bookmarkEnd w:id="299"/>
            <w:r/>
            <w:bookmarkEnd w:id="300"/>
            <w:r/>
            <w:bookmarkEnd w:id="301"/>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承包人应保证其履约担保在发包人颁发工程接收证书前一直有效。发包人应在工程接收证书颁发后28天内把履约担保退还给承包人。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bookmarkStart w:id="302" w:name="_Toc351048182"/>
            <w:r/>
            <w:bookmarkStart w:id="303" w:name="_Toc378180086"/>
            <w:r/>
            <w:bookmarkStart w:id="304" w:name="_Toc345916660"/>
            <w:r/>
            <w:bookmarkStart w:id="305" w:name="_Toc386274221"/>
            <w:r/>
            <w:bookmarkStart w:id="306" w:name="_Toc352492514"/>
            <w:r/>
            <w:bookmarkStart w:id="307" w:name="_Toc138041815"/>
            <w:r/>
            <w:bookmarkStart w:id="308" w:name="_Toc352492859"/>
            <w:r/>
            <w:bookmarkStart w:id="309" w:name="_Toc138042326"/>
            <w:r/>
            <w:bookmarkStart w:id="310" w:name="_Toc352491620"/>
            <w:r>
              <w:rPr>
                <w:rFonts w:hint="eastAsia" w:ascii="宋体" w:hAnsi="宋体" w:cs="宋体"/>
              </w:rPr>
              <w:t xml:space="preserve">4.3分包</w:t>
            </w:r>
            <w:bookmarkEnd w:id="302"/>
            <w:r/>
            <w:bookmarkEnd w:id="303"/>
            <w:r/>
            <w:bookmarkEnd w:id="304"/>
            <w:r/>
            <w:bookmarkEnd w:id="305"/>
            <w:r/>
            <w:bookmarkEnd w:id="306"/>
            <w:r/>
            <w:bookmarkEnd w:id="307"/>
            <w:r/>
            <w:bookmarkEnd w:id="308"/>
            <w:r/>
            <w:bookmarkEnd w:id="309"/>
            <w:r/>
            <w:bookmarkEnd w:id="310"/>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4.3.1承包人不得将其承包的全部工程转包给第三人，或将其承包的全部工程肢解后以分包的名义转包给第三人。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4.3.2承包人不得将工程主体、关键性工作分包给第三人。除专用合同条款另有约定外，未经发包人同意，承包人不得将工程的其他部分或工作分包给第三人。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4.3.3分包人的资格能力应与其分包工程的标准和规模相适应。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4.3.4按投标函附录约定分包工程的，承包人应向发包人和监理人提交分包合同副本。</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4.3.5承包人应与分包人就分包工程向发包人承担连带责任。</w:t>
            </w:r>
            <w:r>
              <w:rPr>
                <w:rFonts w:ascii="宋体" w:hAnsi="宋体" w:cs="宋体"/>
              </w:rPr>
            </w:r>
            <w:r/>
          </w:p>
          <w:p>
            <w:pPr>
              <w:pStyle w:val="700"/>
              <w:rPr>
                <w:rFonts w:ascii="宋体" w:hAnsi="宋体" w:cs="宋体"/>
              </w:rPr>
              <w:framePr w:vAnchor="text" w:hAnchor="page" w:x="1267" w:y="208"/>
            </w:pPr>
            <w:r/>
            <w:bookmarkStart w:id="311" w:name="_Toc352492515"/>
            <w:r/>
            <w:bookmarkStart w:id="312" w:name="_Toc345916661"/>
            <w:r/>
            <w:bookmarkStart w:id="313" w:name="_Toc352492860"/>
            <w:r/>
            <w:bookmarkStart w:id="314" w:name="_Toc352491621"/>
            <w:r/>
            <w:bookmarkStart w:id="315" w:name="_Toc386274222"/>
            <w:r/>
            <w:bookmarkStart w:id="316" w:name="_Toc138041816"/>
            <w:r/>
            <w:bookmarkStart w:id="317" w:name="_Toc378180087"/>
            <w:r/>
            <w:bookmarkStart w:id="318" w:name="_Toc138042327"/>
            <w:r/>
            <w:bookmarkStart w:id="319" w:name="_Toc351048183"/>
            <w:r>
              <w:rPr>
                <w:rFonts w:hint="eastAsia" w:ascii="宋体" w:hAnsi="宋体" w:cs="宋体"/>
              </w:rPr>
              <w:t xml:space="preserve">4.4联合体</w:t>
            </w:r>
            <w:bookmarkEnd w:id="311"/>
            <w:r/>
            <w:bookmarkEnd w:id="312"/>
            <w:r/>
            <w:bookmarkEnd w:id="313"/>
            <w:r/>
            <w:bookmarkEnd w:id="314"/>
            <w:r/>
            <w:bookmarkEnd w:id="315"/>
            <w:r/>
            <w:bookmarkEnd w:id="316"/>
            <w:r/>
            <w:bookmarkEnd w:id="317"/>
            <w:r/>
            <w:bookmarkEnd w:id="318"/>
            <w:r/>
            <w:bookmarkEnd w:id="319"/>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4.4.1联合体各方应共同与发包人签订合同协议书。联合体各方应为履行合同承担连带责任。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4.4.2联合体协议经发包人确认后作为合同附件。在履行合同过程中，未经发包人同意，不得修改联合体协议。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4.4.3联合体牵头人负责与发包人和监理人联系，并接受指示，负责组织联合体各成员全面履行合同。</w:t>
            </w:r>
            <w:r>
              <w:rPr>
                <w:rFonts w:ascii="宋体" w:hAnsi="宋体" w:cs="宋体"/>
              </w:rPr>
            </w:r>
            <w:r/>
          </w:p>
          <w:p>
            <w:pPr>
              <w:pStyle w:val="700"/>
              <w:rPr>
                <w:rFonts w:ascii="宋体" w:hAnsi="宋体" w:cs="宋体"/>
              </w:rPr>
              <w:framePr w:vAnchor="text" w:hAnchor="page" w:x="1267" w:y="208"/>
            </w:pPr>
            <w:r/>
            <w:bookmarkStart w:id="320" w:name="_Toc138041817"/>
            <w:r/>
            <w:bookmarkStart w:id="321" w:name="_Toc352492516"/>
            <w:r/>
            <w:bookmarkStart w:id="322" w:name="_Toc345916662"/>
            <w:r/>
            <w:bookmarkStart w:id="323" w:name="_Toc351048184"/>
            <w:r/>
            <w:bookmarkStart w:id="324" w:name="_Toc352492861"/>
            <w:r/>
            <w:bookmarkStart w:id="325" w:name="_Toc378180088"/>
            <w:r/>
            <w:bookmarkStart w:id="326" w:name="_Toc386274223"/>
            <w:r/>
            <w:bookmarkStart w:id="327" w:name="_Toc138042328"/>
            <w:r/>
            <w:bookmarkStart w:id="328" w:name="_Toc352491622"/>
            <w:r>
              <w:rPr>
                <w:rFonts w:hint="eastAsia" w:ascii="宋体" w:hAnsi="宋体" w:cs="宋体"/>
              </w:rPr>
              <w:t xml:space="preserve">4.5承包人项目经理</w:t>
            </w:r>
            <w:bookmarkEnd w:id="320"/>
            <w:r/>
            <w:bookmarkEnd w:id="321"/>
            <w:r/>
            <w:bookmarkEnd w:id="322"/>
            <w:r/>
            <w:bookmarkEnd w:id="323"/>
            <w:r/>
            <w:bookmarkEnd w:id="324"/>
            <w:r/>
            <w:bookmarkEnd w:id="325"/>
            <w:r/>
            <w:bookmarkEnd w:id="326"/>
            <w:r/>
            <w:bookmarkEnd w:id="327"/>
            <w:r/>
            <w:bookmarkEnd w:id="328"/>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4.5.3承包人为履行合同发出的一切函件均应盖有承包人授权的施工场地管理机构章，并由承包人项目经理或其授权代表签字。</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4.5.4承包人项目经理可以授权其下属人员履行其某项职责，但事先应将这些人员的姓名和授权范围通知监理人。</w:t>
            </w:r>
            <w:r>
              <w:rPr>
                <w:rFonts w:ascii="宋体" w:hAnsi="宋体" w:cs="宋体"/>
              </w:rPr>
            </w:r>
            <w:r/>
          </w:p>
          <w:p>
            <w:pPr>
              <w:pStyle w:val="700"/>
              <w:rPr>
                <w:rFonts w:ascii="宋体" w:hAnsi="宋体" w:cs="宋体"/>
              </w:rPr>
              <w:framePr w:vAnchor="text" w:hAnchor="page" w:x="1267" w:y="208"/>
            </w:pPr>
            <w:r/>
            <w:bookmarkStart w:id="329" w:name="_Toc378180089"/>
            <w:r/>
            <w:bookmarkStart w:id="330" w:name="_Toc352492517"/>
            <w:r/>
            <w:bookmarkStart w:id="331" w:name="_Toc352492862"/>
            <w:r/>
            <w:bookmarkStart w:id="332" w:name="_Toc386274224"/>
            <w:r/>
            <w:bookmarkStart w:id="333" w:name="_Toc345916663"/>
            <w:r/>
            <w:bookmarkStart w:id="334" w:name="_Toc351048185"/>
            <w:r/>
            <w:bookmarkStart w:id="335" w:name="_Toc352491623"/>
            <w:r/>
            <w:bookmarkStart w:id="336" w:name="_Toc138041818"/>
            <w:r/>
            <w:bookmarkStart w:id="337" w:name="_Toc138042329"/>
            <w:r>
              <w:rPr>
                <w:rFonts w:hint="eastAsia" w:ascii="宋体" w:hAnsi="宋体" w:cs="宋体"/>
              </w:rPr>
              <w:t xml:space="preserve">4.6承包人人员的管理</w:t>
            </w:r>
            <w:bookmarkEnd w:id="329"/>
            <w:r/>
            <w:bookmarkEnd w:id="330"/>
            <w:r/>
            <w:bookmarkEnd w:id="331"/>
            <w:r/>
            <w:bookmarkEnd w:id="332"/>
            <w:r/>
            <w:bookmarkEnd w:id="333"/>
            <w:r/>
            <w:bookmarkEnd w:id="334"/>
            <w:r/>
            <w:bookmarkEnd w:id="335"/>
            <w:r/>
            <w:bookmarkEnd w:id="336"/>
            <w:r/>
            <w:bookmarkEnd w:id="337"/>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4.6.2为完成合同约定的各项工作，承包人应向施工场地派遣或雇佣足够数量的下列人员：</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（1）具有相应资格的专业技工和合格的普工；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（2）具有相应施工经验的技术人员；</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（3）具有相应岗位资格的各级管理人员。</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4.6.3承包人安排在施工场地的主要管理人员和技术骨干应相对稳定。承包人更换主要管理人员和技术骨干时，应取得监理人的同意。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4.6.4特殊岗位的工作人员均应持有相应的资格证明，监理人有权随时检查。监理人认为有必要时，可进行现场考核。</w:t>
            </w:r>
            <w:r>
              <w:rPr>
                <w:rFonts w:ascii="宋体" w:hAnsi="宋体" w:cs="宋体"/>
              </w:rPr>
            </w:r>
            <w:r/>
          </w:p>
          <w:p>
            <w:pPr>
              <w:pStyle w:val="700"/>
              <w:rPr>
                <w:rFonts w:ascii="宋体" w:hAnsi="宋体" w:cs="宋体"/>
              </w:rPr>
              <w:framePr w:vAnchor="text" w:hAnchor="page" w:x="1267" w:y="208"/>
            </w:pPr>
            <w:r/>
            <w:bookmarkStart w:id="338" w:name="_Toc352492518"/>
            <w:r/>
            <w:bookmarkStart w:id="339" w:name="_Toc345916664"/>
            <w:r/>
            <w:bookmarkStart w:id="340" w:name="_Toc378180090"/>
            <w:r/>
            <w:bookmarkStart w:id="341" w:name="_Toc351048186"/>
            <w:r/>
            <w:bookmarkStart w:id="342" w:name="_Toc352492863"/>
            <w:r/>
            <w:bookmarkStart w:id="343" w:name="_Toc138041819"/>
            <w:r/>
            <w:bookmarkStart w:id="344" w:name="_Toc352491624"/>
            <w:r/>
            <w:bookmarkStart w:id="345" w:name="_Toc138042330"/>
            <w:r/>
            <w:bookmarkStart w:id="346" w:name="_Toc386274225"/>
            <w:r>
              <w:rPr>
                <w:rFonts w:hint="eastAsia" w:ascii="宋体" w:hAnsi="宋体" w:cs="宋体"/>
              </w:rPr>
              <w:t xml:space="preserve">4.7撤换承包人项目经理和其他人员</w:t>
            </w:r>
            <w:bookmarkEnd w:id="338"/>
            <w:r/>
            <w:bookmarkEnd w:id="339"/>
            <w:r/>
            <w:bookmarkEnd w:id="340"/>
            <w:r/>
            <w:bookmarkEnd w:id="341"/>
            <w:r/>
            <w:bookmarkEnd w:id="342"/>
            <w:r/>
            <w:bookmarkEnd w:id="343"/>
            <w:r/>
            <w:bookmarkEnd w:id="344"/>
            <w:r/>
            <w:bookmarkEnd w:id="345"/>
            <w:r/>
            <w:bookmarkEnd w:id="346"/>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承包人应对其项目经理和其他人员进行有效管理。监理人要求撤换不能胜任本职工作、行为不端或玩忽职守的承包人项目经理和他人员的，承包人应予以撤换。</w:t>
            </w:r>
            <w:r>
              <w:rPr>
                <w:rFonts w:ascii="宋体" w:hAnsi="宋体" w:cs="宋体"/>
              </w:rPr>
            </w:r>
            <w:r/>
          </w:p>
          <w:p>
            <w:pPr>
              <w:pStyle w:val="700"/>
              <w:rPr>
                <w:rFonts w:ascii="宋体" w:hAnsi="宋体" w:cs="宋体"/>
              </w:rPr>
              <w:framePr w:vAnchor="text" w:hAnchor="page" w:x="1267" w:y="208"/>
            </w:pPr>
            <w:r/>
            <w:bookmarkStart w:id="347" w:name="_Toc138041820"/>
            <w:r/>
            <w:bookmarkStart w:id="348" w:name="_Toc352492864"/>
            <w:r/>
            <w:bookmarkStart w:id="349" w:name="_Toc345916665"/>
            <w:r/>
            <w:bookmarkStart w:id="350" w:name="_Toc138042331"/>
            <w:r/>
            <w:bookmarkStart w:id="351" w:name="_Toc352492519"/>
            <w:r/>
            <w:bookmarkStart w:id="352" w:name="_Toc352491625"/>
            <w:r/>
            <w:bookmarkStart w:id="353" w:name="_Toc386274226"/>
            <w:r/>
            <w:bookmarkStart w:id="354" w:name="_Toc378180091"/>
            <w:r/>
            <w:bookmarkStart w:id="355" w:name="_Toc351048187"/>
            <w:r>
              <w:rPr>
                <w:rFonts w:hint="eastAsia" w:ascii="宋体" w:hAnsi="宋体" w:cs="宋体"/>
              </w:rPr>
              <w:t xml:space="preserve">4.8保障承包人人员的合法权益</w:t>
            </w:r>
            <w:bookmarkEnd w:id="347"/>
            <w:r/>
            <w:bookmarkEnd w:id="348"/>
            <w:r/>
            <w:bookmarkEnd w:id="349"/>
            <w:r/>
            <w:bookmarkEnd w:id="350"/>
            <w:r/>
            <w:bookmarkEnd w:id="351"/>
            <w:r/>
            <w:bookmarkEnd w:id="352"/>
            <w:r/>
            <w:bookmarkEnd w:id="353"/>
            <w:r/>
            <w:bookmarkEnd w:id="354"/>
            <w:r/>
            <w:bookmarkEnd w:id="355"/>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4.8.1承包人应与其雇佣的人员签订劳动合同，并按时发放工资。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4.8.3承包人应为其雇佣人员提供必要的食宿条件，以及符合环境保护和卫生要求的生活环境，在远离城镇的施工场地，还应配备必要的伤病防治和急救的医务人员与医疗设施。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4.8.5承包人应按有关法律规定和合同约定，为其雇佣人员办理保险。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4.8.6承包人应负责处理其雇佣人员因工伤亡事故的善后事宜。</w:t>
            </w:r>
            <w:r>
              <w:rPr>
                <w:rFonts w:ascii="宋体" w:hAnsi="宋体" w:cs="宋体"/>
              </w:rPr>
            </w:r>
            <w:r/>
          </w:p>
          <w:p>
            <w:pPr>
              <w:pStyle w:val="700"/>
              <w:rPr>
                <w:rFonts w:ascii="宋体" w:hAnsi="宋体" w:cs="宋体"/>
              </w:rPr>
              <w:framePr w:vAnchor="text" w:hAnchor="page" w:x="1267" w:y="208"/>
            </w:pPr>
            <w:r/>
            <w:bookmarkStart w:id="356" w:name="_Toc352492520"/>
            <w:r/>
            <w:bookmarkStart w:id="357" w:name="_Toc352491626"/>
            <w:r/>
            <w:bookmarkStart w:id="358" w:name="_Toc351048188"/>
            <w:r/>
            <w:bookmarkStart w:id="359" w:name="_Toc138042332"/>
            <w:r/>
            <w:bookmarkStart w:id="360" w:name="_Toc345916666"/>
            <w:r/>
            <w:bookmarkStart w:id="361" w:name="_Toc386274227"/>
            <w:r/>
            <w:bookmarkStart w:id="362" w:name="_Toc352492865"/>
            <w:r/>
            <w:bookmarkStart w:id="363" w:name="_Toc378180092"/>
            <w:r/>
            <w:bookmarkStart w:id="364" w:name="_Toc138041821"/>
            <w:r>
              <w:rPr>
                <w:rFonts w:hint="eastAsia" w:ascii="宋体" w:hAnsi="宋体" w:cs="宋体"/>
              </w:rPr>
              <w:t xml:space="preserve">4.9工程价款应专款专用</w:t>
            </w:r>
            <w:bookmarkEnd w:id="356"/>
            <w:r/>
            <w:bookmarkEnd w:id="357"/>
            <w:r/>
            <w:bookmarkEnd w:id="358"/>
            <w:r/>
            <w:bookmarkEnd w:id="359"/>
            <w:r/>
            <w:bookmarkEnd w:id="360"/>
            <w:r/>
            <w:bookmarkEnd w:id="361"/>
            <w:r/>
            <w:bookmarkEnd w:id="362"/>
            <w:r/>
            <w:bookmarkEnd w:id="363"/>
            <w:r/>
            <w:bookmarkEnd w:id="364"/>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发包人按合同约定支付给承包人的各项价款应专用于合同工程。</w:t>
            </w:r>
            <w:r>
              <w:rPr>
                <w:rFonts w:ascii="宋体" w:hAnsi="宋体" w:cs="宋体"/>
              </w:rPr>
            </w:r>
            <w:r/>
          </w:p>
          <w:p>
            <w:pPr>
              <w:pStyle w:val="700"/>
              <w:rPr>
                <w:rFonts w:ascii="宋体" w:hAnsi="宋体" w:cs="宋体"/>
              </w:rPr>
              <w:framePr w:vAnchor="text" w:hAnchor="page" w:x="1267" w:y="208"/>
            </w:pPr>
            <w:r/>
            <w:bookmarkStart w:id="365" w:name="_Toc378180093"/>
            <w:r/>
            <w:bookmarkStart w:id="366" w:name="_Toc352491627"/>
            <w:r/>
            <w:bookmarkStart w:id="367" w:name="_Toc351048189"/>
            <w:r/>
            <w:bookmarkStart w:id="368" w:name="_Toc352492521"/>
            <w:r/>
            <w:bookmarkStart w:id="369" w:name="_Toc138041822"/>
            <w:r/>
            <w:bookmarkStart w:id="370" w:name="_Toc352492866"/>
            <w:r/>
            <w:bookmarkStart w:id="371" w:name="_Toc138042333"/>
            <w:r/>
            <w:bookmarkStart w:id="372" w:name="_Toc386274228"/>
            <w:r/>
            <w:bookmarkStart w:id="373" w:name="_Toc345916667"/>
            <w:r>
              <w:rPr>
                <w:rFonts w:hint="eastAsia" w:ascii="宋体" w:hAnsi="宋体" w:cs="宋体"/>
              </w:rPr>
              <w:t xml:space="preserve">4.10承包人现场查勘</w:t>
            </w:r>
            <w:bookmarkEnd w:id="365"/>
            <w:r/>
            <w:bookmarkEnd w:id="366"/>
            <w:r/>
            <w:bookmarkEnd w:id="367"/>
            <w:r/>
            <w:bookmarkEnd w:id="368"/>
            <w:r/>
            <w:bookmarkEnd w:id="369"/>
            <w:r/>
            <w:bookmarkEnd w:id="370"/>
            <w:r/>
            <w:bookmarkEnd w:id="371"/>
            <w:r/>
            <w:bookmarkEnd w:id="372"/>
            <w:r/>
            <w:bookmarkEnd w:id="37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4.10.1发包人应将其持有的现场地质勘探资料、水文气象资料提供给承包人，并对其准确性负责。但承包人应对其阅读上述有关资料后所作出的解释和推断负责。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4.10.2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ascii="宋体" w:hAnsi="宋体" w:cs="宋体"/>
              </w:rPr>
            </w:r>
            <w:r/>
          </w:p>
          <w:p>
            <w:pPr>
              <w:pStyle w:val="700"/>
              <w:rPr>
                <w:rFonts w:ascii="宋体" w:hAnsi="宋体" w:cs="宋体"/>
              </w:rPr>
              <w:framePr w:vAnchor="text" w:hAnchor="page" w:x="1267" w:y="208"/>
            </w:pPr>
            <w:r/>
            <w:bookmarkStart w:id="374" w:name="_Toc138042334"/>
            <w:r/>
            <w:bookmarkStart w:id="375" w:name="_Toc352492867"/>
            <w:r/>
            <w:bookmarkStart w:id="376" w:name="_Toc138041823"/>
            <w:r/>
            <w:bookmarkStart w:id="377" w:name="_Toc345916668"/>
            <w:r/>
            <w:bookmarkStart w:id="378" w:name="_Toc378180094"/>
            <w:r/>
            <w:bookmarkStart w:id="379" w:name="_Toc352492522"/>
            <w:r/>
            <w:bookmarkStart w:id="380" w:name="_Toc386274229"/>
            <w:r/>
            <w:bookmarkStart w:id="381" w:name="_Toc352491628"/>
            <w:r/>
            <w:bookmarkStart w:id="382" w:name="_Toc351048190"/>
            <w:r>
              <w:rPr>
                <w:rFonts w:hint="eastAsia" w:ascii="宋体" w:hAnsi="宋体" w:cs="宋体"/>
              </w:rPr>
              <w:t xml:space="preserve">4.11不利物质条件</w:t>
            </w:r>
            <w:bookmarkEnd w:id="374"/>
            <w:r/>
            <w:bookmarkEnd w:id="375"/>
            <w:r/>
            <w:bookmarkEnd w:id="376"/>
            <w:r/>
            <w:bookmarkEnd w:id="377"/>
            <w:r/>
            <w:bookmarkEnd w:id="378"/>
            <w:r/>
            <w:bookmarkEnd w:id="379"/>
            <w:r/>
            <w:bookmarkEnd w:id="380"/>
            <w:r/>
            <w:bookmarkEnd w:id="381"/>
            <w:r/>
            <w:bookmarkEnd w:id="382"/>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4.11.1不利物质条件，除专用合同条款另有约定外，是指承包人在施工场地遇到的不可预见的自然物质条件、非自然的物质障碍和污染物，包括地下和水文条件，但不包括气候条件。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4.11.2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r>
              <w:rPr>
                <w:rFonts w:ascii="宋体" w:hAnsi="宋体" w:cs="宋体"/>
              </w:rPr>
            </w:r>
            <w:r/>
          </w:p>
          <w:p>
            <w:pPr>
              <w:pStyle w:val="700"/>
              <w:rPr>
                <w:rFonts w:ascii="宋体" w:hAnsi="宋体" w:cs="宋体"/>
              </w:rPr>
              <w:framePr w:vAnchor="text" w:hAnchor="page" w:x="1267" w:y="208"/>
            </w:pPr>
            <w:r/>
            <w:bookmarkStart w:id="383" w:name="_Toc236811846"/>
            <w:r/>
            <w:bookmarkStart w:id="384" w:name="_Toc345225407"/>
            <w:r/>
            <w:bookmarkStart w:id="385" w:name="_Toc352492868"/>
            <w:r/>
            <w:bookmarkStart w:id="386" w:name="_Toc138041824"/>
            <w:r/>
            <w:bookmarkStart w:id="387" w:name="_Toc378180095"/>
            <w:r/>
            <w:bookmarkStart w:id="388" w:name="_Toc345916669"/>
            <w:r/>
            <w:bookmarkStart w:id="389" w:name="_Toc386274230"/>
            <w:r/>
            <w:bookmarkStart w:id="390" w:name="_Toc352492523"/>
            <w:r/>
            <w:bookmarkStart w:id="391" w:name="_Toc352491629"/>
            <w:r/>
            <w:bookmarkStart w:id="392" w:name="_Toc138042335"/>
            <w:r>
              <w:rPr>
                <w:rFonts w:hint="eastAsia" w:ascii="宋体" w:hAnsi="宋体" w:cs="宋体"/>
              </w:rPr>
              <w:t xml:space="preserve">5.材料和工程设备</w:t>
            </w:r>
            <w:bookmarkEnd w:id="383"/>
            <w:r/>
            <w:bookmarkEnd w:id="384"/>
            <w:r/>
            <w:bookmarkEnd w:id="385"/>
            <w:r/>
            <w:bookmarkEnd w:id="386"/>
            <w:r/>
            <w:bookmarkEnd w:id="387"/>
            <w:r/>
            <w:bookmarkEnd w:id="388"/>
            <w:r/>
            <w:bookmarkEnd w:id="389"/>
            <w:r/>
            <w:bookmarkEnd w:id="390"/>
            <w:r/>
            <w:bookmarkEnd w:id="391"/>
            <w:r/>
            <w:bookmarkEnd w:id="392"/>
            <w:r>
              <w:rPr>
                <w:rFonts w:ascii="宋体" w:hAnsi="宋体" w:cs="宋体"/>
              </w:rPr>
            </w:r>
            <w:r/>
          </w:p>
          <w:p>
            <w:pPr>
              <w:pStyle w:val="700"/>
              <w:rPr>
                <w:rFonts w:ascii="宋体" w:hAnsi="宋体" w:cs="宋体"/>
              </w:rPr>
              <w:framePr w:vAnchor="text" w:hAnchor="page" w:x="1267" w:y="208"/>
            </w:pPr>
            <w:r/>
            <w:bookmarkStart w:id="393" w:name="_Toc352492524"/>
            <w:r/>
            <w:bookmarkStart w:id="394" w:name="_Toc351048192"/>
            <w:r/>
            <w:bookmarkStart w:id="395" w:name="_Toc138042336"/>
            <w:r/>
            <w:bookmarkStart w:id="396" w:name="_Toc138041825"/>
            <w:r/>
            <w:bookmarkStart w:id="397" w:name="_Toc386274231"/>
            <w:r/>
            <w:bookmarkStart w:id="398" w:name="_Toc378180096"/>
            <w:r/>
            <w:bookmarkStart w:id="399" w:name="_Toc352492869"/>
            <w:r/>
            <w:bookmarkStart w:id="400" w:name="_Toc352491630"/>
            <w:r/>
            <w:bookmarkStart w:id="401" w:name="_Toc345916670"/>
            <w:r>
              <w:rPr>
                <w:rFonts w:hint="eastAsia" w:ascii="宋体" w:hAnsi="宋体" w:cs="宋体"/>
              </w:rPr>
              <w:t xml:space="preserve">5.1承包人提供的材料和工程设备</w:t>
            </w:r>
            <w:bookmarkEnd w:id="393"/>
            <w:r/>
            <w:bookmarkEnd w:id="394"/>
            <w:r/>
            <w:bookmarkEnd w:id="395"/>
            <w:r/>
            <w:bookmarkEnd w:id="396"/>
            <w:r/>
            <w:bookmarkEnd w:id="397"/>
            <w:r/>
            <w:bookmarkEnd w:id="398"/>
            <w:r/>
            <w:bookmarkEnd w:id="399"/>
            <w:r/>
            <w:bookmarkEnd w:id="400"/>
            <w:r/>
            <w:bookmarkEnd w:id="401"/>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5.1.1除专用合同条款另有约定外，承包人提供的材料和工程设备均由承包人负责采购、运输和保管。承包人应对其采购的材料和工程设备负责。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ascii="宋体" w:hAnsi="宋体" w:cs="宋体"/>
              </w:rPr>
            </w:r>
            <w:r/>
          </w:p>
          <w:p>
            <w:pPr>
              <w:pStyle w:val="700"/>
              <w:rPr>
                <w:rFonts w:ascii="宋体" w:hAnsi="宋体" w:cs="宋体"/>
              </w:rPr>
              <w:framePr w:vAnchor="text" w:hAnchor="page" w:x="1267" w:y="208"/>
            </w:pPr>
            <w:r/>
            <w:bookmarkStart w:id="402" w:name="_Toc138041826"/>
            <w:r/>
            <w:bookmarkStart w:id="403" w:name="_Toc352491631"/>
            <w:r/>
            <w:bookmarkStart w:id="404" w:name="_Toc138042337"/>
            <w:r/>
            <w:bookmarkStart w:id="405" w:name="_Toc351048193"/>
            <w:r/>
            <w:bookmarkStart w:id="406" w:name="_Toc352492525"/>
            <w:r/>
            <w:bookmarkStart w:id="407" w:name="_Toc386274232"/>
            <w:r/>
            <w:bookmarkStart w:id="408" w:name="_Toc352492870"/>
            <w:r/>
            <w:bookmarkStart w:id="409" w:name="_Toc345916671"/>
            <w:r/>
            <w:bookmarkStart w:id="410" w:name="_Toc378180097"/>
            <w:r>
              <w:rPr>
                <w:rFonts w:hint="eastAsia" w:ascii="宋体" w:hAnsi="宋体" w:cs="宋体"/>
              </w:rPr>
              <w:t xml:space="preserve">5.2发包人提供的材料和工程设备</w:t>
            </w:r>
            <w:bookmarkEnd w:id="402"/>
            <w:r/>
            <w:bookmarkEnd w:id="403"/>
            <w:r/>
            <w:bookmarkEnd w:id="404"/>
            <w:r/>
            <w:bookmarkEnd w:id="405"/>
            <w:r/>
            <w:bookmarkEnd w:id="406"/>
            <w:r/>
            <w:bookmarkEnd w:id="407"/>
            <w:r/>
            <w:bookmarkEnd w:id="408"/>
            <w:r/>
            <w:bookmarkEnd w:id="409"/>
            <w:r/>
            <w:bookmarkEnd w:id="410"/>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5.2.1发包人提供的材料和工程设备，应在专用合同条款中写明材料和工程设备的名称、规格、数量、价格、交货方式、交货地点和计划交货日期等。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5.2.2承包人应根据合同进度计划的安排，向监理人报送要求发包人交货的日期计划。发包人应按照监理人与合同双方当事人商定的交货日期，向承包人提交材料和工程设备。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5.2.3发包人应在材料和工程设备到货7天前通知承包人，承包人应会同监理人在约定的时间内，赴交货地点共同进行验收。除专用合同条款另有约定外，发包人提供的材料和工程设备验收后，由承包人负责接收、运输和保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5.2.4发包人要求向承包人提前交货的，承包人不得拒绝，但发包人应承担承包人由此增加的费用。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5.2.5承包人要求更改交货日期或地点的，应事先报请监理人批准。由于承包人要求更改交货时间或地点所增加的费用和（或）工期延误由承包人承担。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rPr>
                <w:rFonts w:ascii="宋体" w:hAnsi="宋体" w:cs="宋体"/>
              </w:rPr>
            </w:r>
            <w:r/>
          </w:p>
          <w:p>
            <w:pPr>
              <w:pStyle w:val="700"/>
              <w:rPr>
                <w:rFonts w:ascii="宋体" w:hAnsi="宋体" w:cs="宋体"/>
              </w:rPr>
              <w:framePr w:vAnchor="text" w:hAnchor="page" w:x="1267" w:y="208"/>
            </w:pPr>
            <w:r/>
            <w:bookmarkStart w:id="411" w:name="_Toc351048194"/>
            <w:r/>
            <w:bookmarkStart w:id="412" w:name="_Toc138042338"/>
            <w:r/>
            <w:bookmarkStart w:id="413" w:name="_Toc138041827"/>
            <w:r/>
            <w:bookmarkStart w:id="414" w:name="_Toc352492526"/>
            <w:r/>
            <w:bookmarkStart w:id="415" w:name="_Toc352491632"/>
            <w:r/>
            <w:bookmarkStart w:id="416" w:name="_Toc352492871"/>
            <w:r/>
            <w:bookmarkStart w:id="417" w:name="_Toc386274233"/>
            <w:r/>
            <w:bookmarkStart w:id="418" w:name="_Toc378180098"/>
            <w:r/>
            <w:bookmarkStart w:id="419" w:name="_Toc345916672"/>
            <w:r>
              <w:rPr>
                <w:rFonts w:hint="eastAsia" w:ascii="宋体" w:hAnsi="宋体" w:cs="宋体"/>
              </w:rPr>
              <w:t xml:space="preserve">5.3材料和工程设备专用于合同工程</w:t>
            </w:r>
            <w:bookmarkEnd w:id="411"/>
            <w:r/>
            <w:bookmarkEnd w:id="412"/>
            <w:r/>
            <w:bookmarkEnd w:id="413"/>
            <w:r/>
            <w:bookmarkEnd w:id="414"/>
            <w:r/>
            <w:bookmarkEnd w:id="415"/>
            <w:r/>
            <w:bookmarkEnd w:id="416"/>
            <w:r/>
            <w:bookmarkEnd w:id="417"/>
            <w:r/>
            <w:bookmarkEnd w:id="418"/>
            <w:r/>
            <w:bookmarkEnd w:id="419"/>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5.3.1运入施工场地的材料、工程设备，包括备品备件、安装专用工器具与随机资料，必须专用于合同工程，未经监理人同意，承包人不得运出施工场地或挪作他用。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ascii="宋体" w:hAnsi="宋体" w:cs="宋体"/>
              </w:rPr>
            </w:r>
            <w:r/>
          </w:p>
          <w:p>
            <w:pPr>
              <w:pStyle w:val="700"/>
              <w:rPr>
                <w:rFonts w:ascii="宋体" w:hAnsi="宋体" w:cs="宋体"/>
              </w:rPr>
              <w:framePr w:vAnchor="text" w:hAnchor="page" w:x="1267" w:y="208"/>
            </w:pPr>
            <w:r/>
            <w:bookmarkStart w:id="420" w:name="_Toc351048195"/>
            <w:r/>
            <w:bookmarkStart w:id="421" w:name="_Toc138042339"/>
            <w:r/>
            <w:bookmarkStart w:id="422" w:name="_Toc352491633"/>
            <w:r/>
            <w:bookmarkStart w:id="423" w:name="_Toc352492527"/>
            <w:r/>
            <w:bookmarkStart w:id="424" w:name="_Toc345916673"/>
            <w:r/>
            <w:bookmarkStart w:id="425" w:name="_Toc352492872"/>
            <w:r/>
            <w:bookmarkStart w:id="426" w:name="_Toc378180099"/>
            <w:r/>
            <w:bookmarkStart w:id="427" w:name="_Toc386274234"/>
            <w:r/>
            <w:bookmarkStart w:id="428" w:name="_Toc138041828"/>
            <w:r>
              <w:rPr>
                <w:rFonts w:hint="eastAsia" w:ascii="宋体" w:hAnsi="宋体" w:cs="宋体"/>
              </w:rPr>
              <w:t xml:space="preserve">5.4禁止使用不合格的材料和工程设备</w:t>
            </w:r>
            <w:bookmarkEnd w:id="420"/>
            <w:r/>
            <w:bookmarkEnd w:id="421"/>
            <w:r/>
            <w:bookmarkEnd w:id="422"/>
            <w:r/>
            <w:bookmarkEnd w:id="423"/>
            <w:r/>
            <w:bookmarkEnd w:id="424"/>
            <w:r/>
            <w:bookmarkEnd w:id="425"/>
            <w:r/>
            <w:bookmarkEnd w:id="426"/>
            <w:r/>
            <w:bookmarkEnd w:id="427"/>
            <w:r/>
            <w:bookmarkEnd w:id="428"/>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5.4.1监理人有权拒绝承包人提供的不合格材料或工程设备，并要求承包人立即进行更换。监理人应在更换后再次进行检查和检验，由此增加的费用和（或）工期延误由承包人承担。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5.4.2监理人发现承包人使用了不合格的材料和工程设备，应即时发出指示要求承包人立即改正，并禁止在工程中继续使用不合格的材料和工程设备。</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5.4.3发包人提供的材料或工程设备不符合合同要求的，承包人有权拒绝，并可要求发包人更换，由此增加的费用和（或）工期延误由发包人承担。</w:t>
            </w:r>
            <w:r>
              <w:rPr>
                <w:rFonts w:ascii="宋体" w:hAnsi="宋体" w:cs="宋体"/>
              </w:rPr>
            </w:r>
            <w:r/>
          </w:p>
          <w:p>
            <w:pPr>
              <w:pStyle w:val="700"/>
              <w:rPr>
                <w:rFonts w:ascii="宋体" w:hAnsi="宋体" w:cs="宋体"/>
              </w:rPr>
              <w:framePr w:vAnchor="text" w:hAnchor="page" w:x="1267" w:y="208"/>
            </w:pPr>
            <w:r/>
            <w:bookmarkStart w:id="429" w:name="_Toc138041829"/>
            <w:r/>
            <w:bookmarkStart w:id="430" w:name="_Toc236811847"/>
            <w:r/>
            <w:bookmarkStart w:id="431" w:name="_Toc386274235"/>
            <w:r/>
            <w:bookmarkStart w:id="432" w:name="_Toc345225408"/>
            <w:r/>
            <w:bookmarkStart w:id="433" w:name="_Toc378180100"/>
            <w:r/>
            <w:bookmarkStart w:id="434" w:name="_Toc345916674"/>
            <w:r/>
            <w:bookmarkStart w:id="435" w:name="_Toc352492873"/>
            <w:r/>
            <w:bookmarkStart w:id="436" w:name="_Toc352491634"/>
            <w:r/>
            <w:bookmarkStart w:id="437" w:name="_Toc138042340"/>
            <w:r/>
            <w:bookmarkStart w:id="438" w:name="_Toc352492528"/>
            <w:r>
              <w:rPr>
                <w:rFonts w:hint="eastAsia" w:ascii="宋体" w:hAnsi="宋体" w:cs="宋体"/>
              </w:rPr>
              <w:t xml:space="preserve">6.施工设备和临时设施</w:t>
            </w:r>
            <w:bookmarkEnd w:id="429"/>
            <w:r/>
            <w:bookmarkEnd w:id="430"/>
            <w:r/>
            <w:bookmarkEnd w:id="431"/>
            <w:r/>
            <w:bookmarkEnd w:id="432"/>
            <w:r/>
            <w:bookmarkEnd w:id="433"/>
            <w:r/>
            <w:bookmarkEnd w:id="434"/>
            <w:r/>
            <w:bookmarkEnd w:id="435"/>
            <w:r/>
            <w:bookmarkEnd w:id="436"/>
            <w:r/>
            <w:bookmarkEnd w:id="437"/>
            <w:r/>
            <w:bookmarkEnd w:id="438"/>
            <w:r>
              <w:rPr>
                <w:rFonts w:ascii="宋体" w:hAnsi="宋体" w:cs="宋体"/>
              </w:rPr>
            </w:r>
            <w:r/>
          </w:p>
          <w:p>
            <w:pPr>
              <w:pStyle w:val="700"/>
              <w:rPr>
                <w:rFonts w:ascii="宋体" w:hAnsi="宋体" w:cs="宋体"/>
              </w:rPr>
              <w:framePr w:vAnchor="text" w:hAnchor="page" w:x="1267" w:y="208"/>
            </w:pPr>
            <w:r/>
            <w:bookmarkStart w:id="439" w:name="_Toc352491635"/>
            <w:r/>
            <w:bookmarkStart w:id="440" w:name="_Toc386274236"/>
            <w:r/>
            <w:bookmarkStart w:id="441" w:name="_Toc378180101"/>
            <w:r/>
            <w:bookmarkStart w:id="442" w:name="_Toc138042341"/>
            <w:r/>
            <w:bookmarkStart w:id="443" w:name="_Toc138041830"/>
            <w:r/>
            <w:bookmarkStart w:id="444" w:name="_Toc352492874"/>
            <w:r/>
            <w:bookmarkStart w:id="445" w:name="_Toc351048197"/>
            <w:r/>
            <w:bookmarkStart w:id="446" w:name="_Toc352492529"/>
            <w:r/>
            <w:bookmarkStart w:id="447" w:name="_Toc345916675"/>
            <w:r>
              <w:rPr>
                <w:rFonts w:hint="eastAsia" w:ascii="宋体" w:hAnsi="宋体" w:cs="宋体"/>
              </w:rPr>
              <w:t xml:space="preserve">6.1承包人提供的施工设备和临时设施</w:t>
            </w:r>
            <w:bookmarkEnd w:id="439"/>
            <w:r/>
            <w:bookmarkEnd w:id="440"/>
            <w:r/>
            <w:bookmarkEnd w:id="441"/>
            <w:r/>
            <w:bookmarkEnd w:id="442"/>
            <w:r/>
            <w:bookmarkEnd w:id="443"/>
            <w:r/>
            <w:bookmarkEnd w:id="444"/>
            <w:r/>
            <w:bookmarkEnd w:id="445"/>
            <w:r/>
            <w:bookmarkEnd w:id="446"/>
            <w:r/>
            <w:bookmarkEnd w:id="447"/>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6.1.1承包人应按合同进度计划的要求，及时配置施工设备和修建临时设施。进入施工场地的承包人设备需经监理人核查后才能投入使用。承包人更换合同约定的承包人设备的，应报监理人批准。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6.1.2除专用合同条款另有约定外，承包人应自行承担修建临时设施的费用，需要临时占地的，应由发包人办理申请手续并承担相应费用。</w:t>
            </w:r>
            <w:r>
              <w:rPr>
                <w:rFonts w:ascii="宋体" w:hAnsi="宋体" w:cs="宋体"/>
              </w:rPr>
            </w:r>
            <w:r/>
          </w:p>
          <w:p>
            <w:pPr>
              <w:pStyle w:val="700"/>
              <w:rPr>
                <w:rFonts w:ascii="宋体" w:hAnsi="宋体" w:cs="宋体"/>
              </w:rPr>
              <w:framePr w:vAnchor="text" w:hAnchor="page" w:x="1267" w:y="208"/>
            </w:pPr>
            <w:r/>
            <w:bookmarkStart w:id="448" w:name="_Toc138042342"/>
            <w:r/>
            <w:bookmarkStart w:id="449" w:name="_Toc352492530"/>
            <w:r/>
            <w:bookmarkStart w:id="450" w:name="_Toc352491636"/>
            <w:r/>
            <w:bookmarkStart w:id="451" w:name="_Toc351048198"/>
            <w:r/>
            <w:bookmarkStart w:id="452" w:name="_Toc378180102"/>
            <w:r/>
            <w:bookmarkStart w:id="453" w:name="_Toc138041831"/>
            <w:r/>
            <w:bookmarkStart w:id="454" w:name="_Toc386274237"/>
            <w:r/>
            <w:bookmarkStart w:id="455" w:name="_Toc345916676"/>
            <w:r/>
            <w:bookmarkStart w:id="456" w:name="_Toc352492875"/>
            <w:r>
              <w:rPr>
                <w:rFonts w:hint="eastAsia" w:ascii="宋体" w:hAnsi="宋体" w:cs="宋体"/>
              </w:rPr>
              <w:t xml:space="preserve">6.2发包人提供的施工设备和临时设施</w:t>
            </w:r>
            <w:bookmarkEnd w:id="448"/>
            <w:r/>
            <w:bookmarkEnd w:id="449"/>
            <w:r/>
            <w:bookmarkEnd w:id="450"/>
            <w:r/>
            <w:bookmarkEnd w:id="451"/>
            <w:r/>
            <w:bookmarkEnd w:id="452"/>
            <w:r/>
            <w:bookmarkEnd w:id="453"/>
            <w:r/>
            <w:bookmarkEnd w:id="454"/>
            <w:r/>
            <w:bookmarkEnd w:id="455"/>
            <w:r/>
            <w:bookmarkEnd w:id="456"/>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发包人提供的施工设备或临时设施在专用合同条款中约定。</w:t>
            </w:r>
            <w:r>
              <w:rPr>
                <w:rFonts w:ascii="宋体" w:hAnsi="宋体" w:cs="宋体"/>
              </w:rPr>
            </w:r>
            <w:r/>
          </w:p>
          <w:p>
            <w:pPr>
              <w:pStyle w:val="700"/>
              <w:rPr>
                <w:rFonts w:ascii="宋体" w:hAnsi="宋体" w:cs="宋体"/>
              </w:rPr>
              <w:framePr w:vAnchor="text" w:hAnchor="page" w:x="1267" w:y="208"/>
            </w:pPr>
            <w:r/>
            <w:bookmarkStart w:id="457" w:name="_Toc378180103"/>
            <w:r/>
            <w:bookmarkStart w:id="458" w:name="_Toc386274238"/>
            <w:r/>
            <w:bookmarkStart w:id="459" w:name="_Toc352491637"/>
            <w:r/>
            <w:bookmarkStart w:id="460" w:name="_Toc138041832"/>
            <w:r/>
            <w:bookmarkStart w:id="461" w:name="_Toc345916677"/>
            <w:r/>
            <w:bookmarkStart w:id="462" w:name="_Toc351048199"/>
            <w:r/>
            <w:bookmarkStart w:id="463" w:name="_Toc352492531"/>
            <w:r/>
            <w:bookmarkStart w:id="464" w:name="_Toc138042343"/>
            <w:r/>
            <w:bookmarkStart w:id="465" w:name="_Toc352492876"/>
            <w:r>
              <w:rPr>
                <w:rFonts w:hint="eastAsia" w:ascii="宋体" w:hAnsi="宋体" w:cs="宋体"/>
              </w:rPr>
              <w:t xml:space="preserve">6.3要求承包人增加或更换施工设备</w:t>
            </w:r>
            <w:bookmarkEnd w:id="457"/>
            <w:r/>
            <w:bookmarkEnd w:id="458"/>
            <w:r/>
            <w:bookmarkEnd w:id="459"/>
            <w:r/>
            <w:bookmarkEnd w:id="460"/>
            <w:r/>
            <w:bookmarkEnd w:id="461"/>
            <w:r/>
            <w:bookmarkEnd w:id="462"/>
            <w:r/>
            <w:bookmarkEnd w:id="463"/>
            <w:r/>
            <w:bookmarkEnd w:id="464"/>
            <w:r/>
            <w:bookmarkEnd w:id="465"/>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承包人使用的施工设备不能满足合同进度计划和（或）质量要求时，监理人有权要求承包人增加或更换施工设备，承包人应及时增加或更换，由此增加的费用和（或）工期延误由承包人承担。</w:t>
            </w:r>
            <w:r>
              <w:rPr>
                <w:rFonts w:ascii="宋体" w:hAnsi="宋体" w:cs="宋体"/>
              </w:rPr>
            </w:r>
            <w:r/>
          </w:p>
          <w:p>
            <w:pPr>
              <w:pStyle w:val="700"/>
              <w:rPr>
                <w:rFonts w:ascii="宋体" w:hAnsi="宋体" w:cs="宋体"/>
              </w:rPr>
              <w:framePr w:vAnchor="text" w:hAnchor="page" w:x="1267" w:y="208"/>
            </w:pPr>
            <w:r/>
            <w:bookmarkStart w:id="466" w:name="_Toc378180104"/>
            <w:r/>
            <w:bookmarkStart w:id="467" w:name="_Toc351048200"/>
            <w:r/>
            <w:bookmarkStart w:id="468" w:name="_Toc352492877"/>
            <w:r/>
            <w:bookmarkStart w:id="469" w:name="_Toc352491638"/>
            <w:r/>
            <w:bookmarkStart w:id="470" w:name="_Toc138042344"/>
            <w:r/>
            <w:bookmarkStart w:id="471" w:name="_Toc386274239"/>
            <w:r/>
            <w:bookmarkStart w:id="472" w:name="_Toc352492532"/>
            <w:r/>
            <w:bookmarkStart w:id="473" w:name="_Toc345916678"/>
            <w:r/>
            <w:bookmarkStart w:id="474" w:name="_Toc138041833"/>
            <w:r>
              <w:rPr>
                <w:rFonts w:hint="eastAsia" w:ascii="宋体" w:hAnsi="宋体" w:cs="宋体"/>
              </w:rPr>
              <w:t xml:space="preserve">6.4施工设备和临时设施专用于合同工程</w:t>
            </w:r>
            <w:bookmarkEnd w:id="466"/>
            <w:r/>
            <w:bookmarkEnd w:id="467"/>
            <w:r/>
            <w:bookmarkEnd w:id="468"/>
            <w:r/>
            <w:bookmarkEnd w:id="469"/>
            <w:r/>
            <w:bookmarkEnd w:id="470"/>
            <w:r/>
            <w:bookmarkEnd w:id="471"/>
            <w:r/>
            <w:bookmarkEnd w:id="472"/>
            <w:r/>
            <w:bookmarkEnd w:id="473"/>
            <w:r/>
            <w:bookmarkEnd w:id="474"/>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6.4.1除合同另有约定外，运入施工场的所有施工设备以及在施工场地建设的临时设施应专用于合同工程。未经监理人同意，不得将上述施工设备和临时设施中的任何部分运出施工场地或挪作他用。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6.4.2经监理人同意，承包人可根据合同进度计划撤走闲置的施工设备。</w:t>
            </w:r>
            <w:r>
              <w:rPr>
                <w:rFonts w:ascii="宋体" w:hAnsi="宋体" w:cs="宋体"/>
              </w:rPr>
            </w:r>
            <w:r/>
          </w:p>
          <w:p>
            <w:pPr>
              <w:pStyle w:val="700"/>
              <w:rPr>
                <w:rFonts w:ascii="宋体" w:hAnsi="宋体" w:cs="宋体"/>
              </w:rPr>
              <w:framePr w:vAnchor="text" w:hAnchor="page" w:x="1267" w:y="208"/>
            </w:pPr>
            <w:r/>
            <w:bookmarkStart w:id="475" w:name="_Toc138041834"/>
            <w:r/>
            <w:bookmarkStart w:id="476" w:name="_Toc352492533"/>
            <w:r/>
            <w:bookmarkStart w:id="477" w:name="_Toc352491639"/>
            <w:r/>
            <w:bookmarkStart w:id="478" w:name="_Toc138042345"/>
            <w:r/>
            <w:bookmarkStart w:id="479" w:name="_Toc345225409"/>
            <w:r/>
            <w:bookmarkStart w:id="480" w:name="_Toc345916679"/>
            <w:r/>
            <w:bookmarkStart w:id="481" w:name="_Toc378180105"/>
            <w:r/>
            <w:bookmarkStart w:id="482" w:name="_Toc236811848"/>
            <w:r/>
            <w:bookmarkStart w:id="483" w:name="_Toc352492878"/>
            <w:r/>
            <w:bookmarkStart w:id="484" w:name="_Toc386274240"/>
            <w:r>
              <w:rPr>
                <w:rFonts w:hint="eastAsia" w:ascii="宋体" w:hAnsi="宋体" w:cs="宋体"/>
              </w:rPr>
              <w:t xml:space="preserve">7.交通运输</w:t>
            </w:r>
            <w:bookmarkEnd w:id="475"/>
            <w:r/>
            <w:bookmarkEnd w:id="476"/>
            <w:r/>
            <w:bookmarkEnd w:id="477"/>
            <w:r/>
            <w:bookmarkEnd w:id="478"/>
            <w:r/>
            <w:bookmarkEnd w:id="479"/>
            <w:r/>
            <w:bookmarkEnd w:id="480"/>
            <w:r/>
            <w:bookmarkEnd w:id="481"/>
            <w:r/>
            <w:bookmarkEnd w:id="482"/>
            <w:r/>
            <w:bookmarkEnd w:id="483"/>
            <w:r/>
            <w:bookmarkEnd w:id="484"/>
            <w:r>
              <w:rPr>
                <w:rFonts w:ascii="宋体" w:hAnsi="宋体" w:cs="宋体"/>
              </w:rPr>
            </w:r>
            <w:r/>
          </w:p>
          <w:p>
            <w:pPr>
              <w:pStyle w:val="700"/>
              <w:rPr>
                <w:rFonts w:ascii="宋体" w:hAnsi="宋体" w:cs="宋体"/>
              </w:rPr>
              <w:framePr w:vAnchor="text" w:hAnchor="page" w:x="1267" w:y="208"/>
            </w:pPr>
            <w:r/>
            <w:bookmarkStart w:id="485" w:name="_Toc352492879"/>
            <w:r/>
            <w:bookmarkStart w:id="486" w:name="_Toc352492534"/>
            <w:r/>
            <w:bookmarkStart w:id="487" w:name="_Toc352491640"/>
            <w:r/>
            <w:bookmarkStart w:id="488" w:name="_Toc138042346"/>
            <w:r/>
            <w:bookmarkStart w:id="489" w:name="_Toc345916680"/>
            <w:r/>
            <w:bookmarkStart w:id="490" w:name="_Toc378180106"/>
            <w:r/>
            <w:bookmarkStart w:id="491" w:name="_Toc351048202"/>
            <w:r/>
            <w:bookmarkStart w:id="492" w:name="_Toc386274241"/>
            <w:r/>
            <w:bookmarkStart w:id="493" w:name="_Toc138041835"/>
            <w:r>
              <w:rPr>
                <w:rFonts w:hint="eastAsia" w:ascii="宋体" w:hAnsi="宋体" w:cs="宋体"/>
              </w:rPr>
              <w:t xml:space="preserve">7.1道路通行权和场外设施</w:t>
            </w:r>
            <w:bookmarkEnd w:id="485"/>
            <w:r/>
            <w:bookmarkEnd w:id="486"/>
            <w:r/>
            <w:bookmarkEnd w:id="487"/>
            <w:r/>
            <w:bookmarkEnd w:id="488"/>
            <w:r/>
            <w:bookmarkEnd w:id="489"/>
            <w:r/>
            <w:bookmarkEnd w:id="490"/>
            <w:r/>
            <w:bookmarkEnd w:id="491"/>
            <w:r/>
            <w:bookmarkEnd w:id="492"/>
            <w:r/>
            <w:bookmarkEnd w:id="49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7.2场内施工道路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7.2.1除专用合同条款另有约定外，承包人应负责修建、维修、养护和管理施工所需的临时道路和交通设施，包括维修、养护和管理发包人提供的道路和交通设施，并承担相应费用。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7.2.2除专用合同条款另有约定外，承包人修建的临时道路和交通设施应免费提供发包人和监理人使用。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7.3场外交通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7.3.1承包人车辆外出行驶所需的场外公共道路的通行费、养路费和税款等由承包人承担。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7.3.2承包人应遵守有关交通法规，严格按照道路和桥梁的限制荷重安全行驶，并服从交通管理部门的检查和监督。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7.4超大件和超重件的运输</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7.5道路和桥梁的损坏责任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因承包人运输造成施工场地内外公共道路和桥梁损坏的，由承包人承担修复损坏的全部费用和可能引起的赔偿。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7.6水路和航空运输</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本条上述各款的内容适用于水路运输和航空运输，其中“道路”一词的涵义包括河道、航线、船闸、机场、码头、堤防以及水路或航空运输中其他相似结构物；“车辆”一词的涵义包括船舶和飞机等。</w:t>
            </w:r>
            <w:r>
              <w:rPr>
                <w:rFonts w:ascii="宋体" w:hAnsi="宋体" w:cs="宋体"/>
              </w:rPr>
            </w:r>
            <w:r/>
          </w:p>
          <w:p>
            <w:pPr>
              <w:pStyle w:val="700"/>
              <w:rPr>
                <w:rFonts w:ascii="宋体" w:hAnsi="宋体" w:cs="宋体"/>
              </w:rPr>
              <w:framePr w:vAnchor="text" w:hAnchor="page" w:x="1267" w:y="208"/>
            </w:pPr>
            <w:r/>
            <w:bookmarkStart w:id="494" w:name="_Toc138042347"/>
            <w:r/>
            <w:bookmarkStart w:id="495" w:name="_Toc352492880"/>
            <w:r/>
            <w:bookmarkStart w:id="496" w:name="_Toc345225410"/>
            <w:r/>
            <w:bookmarkStart w:id="497" w:name="_Toc352491641"/>
            <w:r/>
            <w:bookmarkStart w:id="498" w:name="_Toc138041836"/>
            <w:r/>
            <w:bookmarkStart w:id="499" w:name="_Toc236811849"/>
            <w:r/>
            <w:bookmarkStart w:id="500" w:name="_Toc386274242"/>
            <w:r/>
            <w:bookmarkStart w:id="501" w:name="_Toc345916681"/>
            <w:r/>
            <w:bookmarkStart w:id="502" w:name="_Toc352492535"/>
            <w:r/>
            <w:bookmarkStart w:id="503" w:name="_Toc378180107"/>
            <w:r>
              <w:rPr>
                <w:rFonts w:hint="eastAsia" w:ascii="宋体" w:hAnsi="宋体" w:cs="宋体"/>
              </w:rPr>
              <w:t xml:space="preserve">8.测量放线</w:t>
            </w:r>
            <w:bookmarkEnd w:id="494"/>
            <w:r/>
            <w:bookmarkEnd w:id="495"/>
            <w:r/>
            <w:bookmarkEnd w:id="496"/>
            <w:r/>
            <w:bookmarkEnd w:id="497"/>
            <w:r/>
            <w:bookmarkEnd w:id="498"/>
            <w:r/>
            <w:bookmarkEnd w:id="499"/>
            <w:r/>
            <w:bookmarkEnd w:id="500"/>
            <w:r/>
            <w:bookmarkEnd w:id="501"/>
            <w:r/>
            <w:bookmarkEnd w:id="502"/>
            <w:r/>
            <w:bookmarkEnd w:id="50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8.1施工控制网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8.1.2承包人应负责管理施工控制网点。施工控制网点丢失或损坏的，承包人应及时修复。承包人应承担施工控制网点的管理与修复费用，并在工程竣工后将施工控制网点移交发包人。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8.2施工测量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8.2.1承包人应负责施工过程中的全部施工测量放线工作，并配置合格的人员、仪器、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设备和其他物品。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8.2.2监理人可以指示承包人进行抽样复测，当复测中发现错误或出现超过合同约定的误差时，承包人应按监理人指示进行修正或补测，并承担相应的复测费用。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8.3基准资料错误的责任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8.4监理人使用施工控制网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监理人需要使用施工控制网的，承包人应提供必要的协助，发包人不再为此支付费用。</w:t>
            </w:r>
            <w:r>
              <w:rPr>
                <w:rFonts w:ascii="宋体" w:hAnsi="宋体" w:cs="宋体"/>
              </w:rPr>
            </w:r>
            <w:r/>
          </w:p>
          <w:p>
            <w:pPr>
              <w:pStyle w:val="700"/>
              <w:rPr>
                <w:rFonts w:ascii="宋体" w:hAnsi="宋体" w:cs="宋体"/>
              </w:rPr>
              <w:framePr w:vAnchor="text" w:hAnchor="page" w:x="1267" w:y="208"/>
            </w:pPr>
            <w:r/>
            <w:bookmarkStart w:id="504" w:name="_Toc236811850"/>
            <w:r/>
            <w:bookmarkStart w:id="505" w:name="_Toc138042348"/>
            <w:r/>
            <w:bookmarkStart w:id="506" w:name="_Toc352491642"/>
            <w:r/>
            <w:bookmarkStart w:id="507" w:name="_Toc345916682"/>
            <w:r/>
            <w:bookmarkStart w:id="508" w:name="_Toc345225411"/>
            <w:r/>
            <w:bookmarkStart w:id="509" w:name="_Toc352492536"/>
            <w:r/>
            <w:bookmarkStart w:id="510" w:name="_Toc378180108"/>
            <w:r/>
            <w:bookmarkStart w:id="511" w:name="_Toc386274243"/>
            <w:r/>
            <w:bookmarkStart w:id="512" w:name="_Toc352492881"/>
            <w:r/>
            <w:bookmarkStart w:id="513" w:name="_Toc138041837"/>
            <w:r>
              <w:rPr>
                <w:rFonts w:hint="eastAsia" w:ascii="宋体" w:hAnsi="宋体" w:cs="宋体"/>
              </w:rPr>
              <w:t xml:space="preserve">9.施工安全、治安保卫和环境保护</w:t>
            </w:r>
            <w:bookmarkEnd w:id="504"/>
            <w:r/>
            <w:bookmarkEnd w:id="505"/>
            <w:r/>
            <w:bookmarkEnd w:id="506"/>
            <w:r/>
            <w:bookmarkEnd w:id="507"/>
            <w:r/>
            <w:bookmarkEnd w:id="508"/>
            <w:r/>
            <w:bookmarkEnd w:id="509"/>
            <w:r/>
            <w:bookmarkEnd w:id="510"/>
            <w:r/>
            <w:bookmarkEnd w:id="511"/>
            <w:r/>
            <w:bookmarkEnd w:id="512"/>
            <w:r/>
            <w:bookmarkEnd w:id="51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9.1发包人的施工安全责任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9.1.1发包人应按合同约定履行安全职责，授权监理人按合同约定的安全工作内容监督、检查承包人安全工作的实施，组织承包人和有关单位进行安全检查。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9.1.2发包人应对其现场机构雇佣的全部人员的工伤事故承担责任，但由于承包人原因造成发包人人员工伤的，应由承包人承担责任。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9.1.3发包人应负责赔偿以下各种情况造成的第三者人身伤亡和财产损失：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（1）工程或工程的任何部分对土地的占用所造成的第三者财产损失；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（2）由于发包人原因在施工场地及其毗邻地带造成的第三者人身伤亡和财产损失。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9.2承包人的施工安全责任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9.2.1承包人应按合同约定履行安全职责，执行监理人有关安全工作的指示，并在专用合同条款约定的期限内，按合同约定的安全工作内容，编制施工安全措施计划报送监理人审批。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9.2.2承包人应加强施工作业安全管理，特别应加强易燃、易爆材料、火工器材、有毒与腐蚀性材料和其他危险品的管理，以及对爆破作业和地下工程施工等危险作业的管理。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9.2.3承包人应严格按照国家安全标准制定施工安全操作规程，配备必要的安全生产和劳动保护设施，加强对承包人人员的安全教育，并发放安全工作手册和劳动保护用具。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9.2.4承包人应按监理人的指示制定应对灾害的紧急预案，报送监理人审批。承包人还应按预案做好安全检查，配置必要的救助物资和器材，切实保护好有关人员的人身和财产安全。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9.2.6承包人应对其履行合同所雇佣的全部人员，包括分包人人员的工伤事故承担责任，但由于发包人原因造成承包人人员工伤事故的，应由发包人承担责任。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9.2.7由于承包人原因在施工场地内及其毗邻地带造成的第三者人员伤亡和财产损失，由承包人负责赔偿。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9.3治安保卫</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9.3.1除合同另有约定外，发包人应与当地公安部门协商，在现场建立治安管理机构或联防组织，统一管理施工场地的治安保卫事项，履行合同工程的治安保卫职责。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9.3.2发包人和承包人除应协助现场治安管理机构或联防组织维护施工场地的社会治安外，还应做好包括生活区在内的各自管辖区的治安保卫工作。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发包人和承包人应积极协助当地有关部门采取措施平息事态，防止事态扩大，尽量减少财产损失和避免人员伤亡。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9.4环境保护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9.4.1承包人在施工过程中，应遵守有关环境保护的法律，履行合同约定的环境保护义务，并对违反法律和合同约定义务所造成的环境破坏、人身伤害和财产损失负责。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9.4.2承包人应按合同约定的环保工作内容，编制施工环保措施计划，报送监理人审批。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9.4.4承包人应按合同约定采取有效措施，对施工开挖的边坡及时进行支护，维护排水设施，并进行水土保护，避免因施工造成的地质灾害。</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9.4.5承包人应按国家饮用水管理标准定期对饮用水源进行监测，防止施工活动污染饮用水源。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9.4.6承包人应按合同约定，加强对噪声、粉尘、废气、废水和废油的控制，努力降低噪声，控制粉尘和废气浓度，做好废水和废油的治理和排放。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9.5事故处理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rPr>
            </w:r>
            <w:r/>
          </w:p>
          <w:p>
            <w:pPr>
              <w:pStyle w:val="700"/>
              <w:rPr>
                <w:rFonts w:ascii="宋体" w:hAnsi="宋体" w:cs="宋体"/>
              </w:rPr>
              <w:framePr w:vAnchor="text" w:hAnchor="page" w:x="1267" w:y="208"/>
            </w:pPr>
            <w:r/>
            <w:bookmarkStart w:id="514" w:name="_Toc138041838"/>
            <w:r/>
            <w:bookmarkStart w:id="515" w:name="_Toc345916683"/>
            <w:r/>
            <w:bookmarkStart w:id="516" w:name="_Toc378180109"/>
            <w:r/>
            <w:bookmarkStart w:id="517" w:name="_Toc345225412"/>
            <w:r/>
            <w:bookmarkStart w:id="518" w:name="_Toc352492882"/>
            <w:r/>
            <w:bookmarkStart w:id="519" w:name="_Toc236811851"/>
            <w:r/>
            <w:bookmarkStart w:id="520" w:name="_Toc386274244"/>
            <w:r/>
            <w:bookmarkStart w:id="521" w:name="_Toc138042349"/>
            <w:r/>
            <w:bookmarkStart w:id="522" w:name="_Toc352491643"/>
            <w:r/>
            <w:bookmarkStart w:id="523" w:name="_Toc352492537"/>
            <w:r>
              <w:rPr>
                <w:rFonts w:hint="eastAsia" w:ascii="宋体" w:hAnsi="宋体" w:cs="宋体"/>
              </w:rPr>
              <w:t xml:space="preserve">10.进度计划</w:t>
            </w:r>
            <w:bookmarkEnd w:id="514"/>
            <w:r/>
            <w:bookmarkEnd w:id="515"/>
            <w:r/>
            <w:bookmarkEnd w:id="516"/>
            <w:r/>
            <w:bookmarkEnd w:id="517"/>
            <w:r/>
            <w:bookmarkEnd w:id="518"/>
            <w:r/>
            <w:bookmarkEnd w:id="519"/>
            <w:r/>
            <w:bookmarkEnd w:id="520"/>
            <w:r/>
            <w:bookmarkEnd w:id="521"/>
            <w:r/>
            <w:bookmarkEnd w:id="522"/>
            <w:r/>
            <w:bookmarkEnd w:id="52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10.1合同进度计划</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10.2合同进度计划的修订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r>
              <w:rPr>
                <w:rFonts w:ascii="宋体" w:hAnsi="宋体" w:cs="宋体"/>
              </w:rPr>
            </w:r>
            <w:r/>
          </w:p>
          <w:p>
            <w:pPr>
              <w:pStyle w:val="700"/>
              <w:rPr>
                <w:rFonts w:ascii="宋体" w:hAnsi="宋体" w:cs="宋体"/>
              </w:rPr>
              <w:framePr w:vAnchor="text" w:hAnchor="page" w:x="1267" w:y="208"/>
            </w:pPr>
            <w:r/>
            <w:bookmarkStart w:id="524" w:name="_Toc138041839"/>
            <w:r/>
            <w:bookmarkStart w:id="525" w:name="_Toc352492538"/>
            <w:r/>
            <w:bookmarkStart w:id="526" w:name="_Toc138042350"/>
            <w:r/>
            <w:bookmarkStart w:id="527" w:name="_Toc386274245"/>
            <w:r/>
            <w:bookmarkStart w:id="528" w:name="_Toc345916684"/>
            <w:r/>
            <w:bookmarkStart w:id="529" w:name="_Toc352492883"/>
            <w:r/>
            <w:bookmarkStart w:id="530" w:name="_Toc378180110"/>
            <w:r/>
            <w:bookmarkStart w:id="531" w:name="_Toc352491644"/>
            <w:r/>
            <w:bookmarkStart w:id="532" w:name="_Toc236811852"/>
            <w:r/>
            <w:bookmarkStart w:id="533" w:name="_Toc345225413"/>
            <w:r>
              <w:rPr>
                <w:rFonts w:hint="eastAsia" w:ascii="宋体" w:hAnsi="宋体" w:cs="宋体"/>
              </w:rPr>
              <w:t xml:space="preserve">11.开工和竣工</w:t>
            </w:r>
            <w:bookmarkEnd w:id="524"/>
            <w:r/>
            <w:bookmarkEnd w:id="525"/>
            <w:r/>
            <w:bookmarkEnd w:id="526"/>
            <w:r/>
            <w:bookmarkEnd w:id="527"/>
            <w:r/>
            <w:bookmarkEnd w:id="528"/>
            <w:r/>
            <w:bookmarkEnd w:id="529"/>
            <w:r/>
            <w:bookmarkEnd w:id="530"/>
            <w:r/>
            <w:bookmarkEnd w:id="531"/>
            <w:r/>
            <w:bookmarkEnd w:id="532"/>
            <w:r/>
            <w:bookmarkEnd w:id="53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11.1开工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11.1.1监理人应在开工日期7天前向承包人发出开工通知。监理人在发出开工通知前应获得发包人同意。工期自监理人发出的开工通知中载明的开工日期起计算。承包人应在开工日期后尽快施工。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11.2竣工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承包人应在第1.1.4.3目约定的期限内完成合同工程。实际竣工日期在接收证书中写明。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11.3发包人的工期延误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在履行合同过程中，由于发包人的下列原因造成工期延误的，承包人有权要求发包人延长工期和（或）增加费用，并支付合理利润。需要修订合同进度计划的，按照第10.2款的约定办理。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（1）增加合同工作内容；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（2）改变合同中任何一项工作的质量要求或其他特性；</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（3）发包人迟延提供材料、工程设备或变更交货地点的；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（4）因发包人原因导致的暂停施工；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（5）提供图纸延误；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（6）未按合同约定及时支付预付款、进度款；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（7）发包人造成工期延误的其他原因。</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11.4异常恶劣的气候条件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由于出现专用合同条款规定的异常恶劣气候的条件导致工期延误的，承包人有权要求发包人延长工期。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11.5承包人的工期延误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11.6工期提前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Pr>
                <w:rFonts w:ascii="宋体" w:hAnsi="宋体" w:cs="宋体"/>
              </w:rPr>
            </w:r>
            <w:r/>
          </w:p>
          <w:p>
            <w:pPr>
              <w:pStyle w:val="700"/>
              <w:rPr>
                <w:rFonts w:ascii="宋体" w:hAnsi="宋体" w:cs="宋体"/>
              </w:rPr>
              <w:framePr w:vAnchor="text" w:hAnchor="page" w:x="1267" w:y="208"/>
            </w:pPr>
            <w:r/>
            <w:bookmarkStart w:id="534" w:name="_Toc138042351"/>
            <w:r/>
            <w:bookmarkStart w:id="535" w:name="_Toc378180111"/>
            <w:r/>
            <w:bookmarkStart w:id="536" w:name="_Toc345225414"/>
            <w:r/>
            <w:bookmarkStart w:id="537" w:name="_Toc345916685"/>
            <w:r/>
            <w:bookmarkStart w:id="538" w:name="_Toc236811853"/>
            <w:r/>
            <w:bookmarkStart w:id="539" w:name="_Toc386274246"/>
            <w:r/>
            <w:bookmarkStart w:id="540" w:name="_Toc352491645"/>
            <w:r/>
            <w:bookmarkStart w:id="541" w:name="_Toc138041840"/>
            <w:r/>
            <w:bookmarkStart w:id="542" w:name="_Toc352492539"/>
            <w:r/>
            <w:bookmarkStart w:id="543" w:name="_Toc352492884"/>
            <w:r>
              <w:rPr>
                <w:rFonts w:hint="eastAsia" w:ascii="宋体" w:hAnsi="宋体" w:cs="宋体"/>
              </w:rPr>
              <w:t xml:space="preserve">12.暂停施工</w:t>
            </w:r>
            <w:bookmarkEnd w:id="534"/>
            <w:r/>
            <w:bookmarkEnd w:id="535"/>
            <w:r/>
            <w:bookmarkEnd w:id="536"/>
            <w:r/>
            <w:bookmarkEnd w:id="537"/>
            <w:r/>
            <w:bookmarkEnd w:id="538"/>
            <w:r/>
            <w:bookmarkEnd w:id="539"/>
            <w:r/>
            <w:bookmarkEnd w:id="540"/>
            <w:r/>
            <w:bookmarkEnd w:id="541"/>
            <w:r/>
            <w:bookmarkEnd w:id="542"/>
            <w:r/>
            <w:bookmarkEnd w:id="54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12.1承包人暂停施工的责任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因下列暂停施工增加的费用和（或）工期延误由承包人承担：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（1）承包人违约引起的暂停施工；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（2）由于承包人原因为工程合理施工和安全保障所必需的暂停施工；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（3）承包人擅自暂停施工；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（4）承包人其他原因引起的暂停施工；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（5）专用合同条款约定由承包人承担的其他暂停施工。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12.2发包人暂停施工的责任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由于发包人原因引起的暂停施工造成工期延误的，承包人有权要求发包人延长工期和（或）增加费用，并支付合理利润。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12.3监理人暂停施工指示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12.3.1监理人认为有必要时，可向承包人作出暂停施工的指示，承包人应按监理人指示暂停施工。不论由于何种原因引起的暂停施工，暂停施工期间承包人应负责妥善保护工程并提供安全保障。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12.4暂停施工后的复工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12.4.2承包人无故拖延和拒绝复工的，由此增加的费用和工期延误由承包人承担；因发包人原因无法按时复工的，承包人有权要求发包人延长工期和（或）增加费用，并支付合理利润。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12.5暂停施工持续56天以上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12.5.2由于承包人责任引起的暂停施工，如承包人在收到监理人暂停施工指示后56天内不认真采取有效的复工措施，造成工期延误，可视为承包人违约，应按第22.1款的规定办理。</w:t>
            </w:r>
            <w:r>
              <w:rPr>
                <w:rFonts w:ascii="宋体" w:hAnsi="宋体" w:cs="宋体"/>
              </w:rPr>
            </w:r>
            <w:r/>
          </w:p>
          <w:p>
            <w:pPr>
              <w:pStyle w:val="700"/>
              <w:rPr>
                <w:rFonts w:ascii="宋体" w:hAnsi="宋体" w:cs="宋体"/>
              </w:rPr>
              <w:framePr w:vAnchor="text" w:hAnchor="page" w:x="1267" w:y="208"/>
            </w:pPr>
            <w:r/>
            <w:bookmarkStart w:id="544" w:name="_Toc138042352"/>
            <w:r/>
            <w:bookmarkStart w:id="545" w:name="_Toc386274247"/>
            <w:r/>
            <w:bookmarkStart w:id="546" w:name="_Toc236811854"/>
            <w:r/>
            <w:bookmarkStart w:id="547" w:name="_Toc345225415"/>
            <w:r/>
            <w:bookmarkStart w:id="548" w:name="_Toc378180112"/>
            <w:r/>
            <w:bookmarkStart w:id="549" w:name="_Toc352492885"/>
            <w:r/>
            <w:bookmarkStart w:id="550" w:name="_Toc352492540"/>
            <w:r/>
            <w:bookmarkStart w:id="551" w:name="_Toc352491646"/>
            <w:r/>
            <w:bookmarkStart w:id="552" w:name="_Toc138041841"/>
            <w:r/>
            <w:bookmarkStart w:id="553" w:name="_Toc345916686"/>
            <w:r>
              <w:rPr>
                <w:rFonts w:hint="eastAsia" w:ascii="宋体" w:hAnsi="宋体" w:cs="宋体"/>
              </w:rPr>
              <w:t xml:space="preserve">13.工程质量</w:t>
            </w:r>
            <w:bookmarkEnd w:id="544"/>
            <w:r/>
            <w:bookmarkEnd w:id="545"/>
            <w:r/>
            <w:bookmarkEnd w:id="546"/>
            <w:r/>
            <w:bookmarkEnd w:id="547"/>
            <w:r/>
            <w:bookmarkEnd w:id="548"/>
            <w:r/>
            <w:bookmarkEnd w:id="549"/>
            <w:r/>
            <w:bookmarkEnd w:id="550"/>
            <w:r/>
            <w:bookmarkEnd w:id="551"/>
            <w:r/>
            <w:bookmarkEnd w:id="552"/>
            <w:r/>
            <w:bookmarkEnd w:id="55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13.1工程质量要求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13.1.1工程质量验收按合同约定验收标准执行。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13.1.2因承包人原因造成工程质量达不到合同约定验收标准的，监理人有权要求承包人返工直至符合合同要求为止，由此造成的费用增加和（或）工期延误由承包人承担。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13.1.3因发包人原因造成工程质量达不到合同约定验收标准的，发包人应承担由于承包人返工造成的费用增加和（或）工期延误，并支付承包人合理利润。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13.2承包人的质量管理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13.2.2承包人应加强对施工人员的质量教育和技术培训，定期考核施工人员的劳动技</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能，严格执行规范和操作规程。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13.3承包人的质量检查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承包人应按合同约定对材料、工程设备以及工程的所有部位及其施工工艺进行全过程的质量检查和检验，并作详细记录，编制工程质量报表，报送监理人审查。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13.4监理人的质量检查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13.5工程隐蔽部位覆盖前的检查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13.5.1通知监理人检查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13.5.2监理人未到场检查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13.5.3监理人重新检查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13.5.4承包人私自覆盖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承包人未通知监理人到场检查，私自将工程隐蔽部位覆盖的，监理人有权指示承包人钻孔探测或揭开检查，由此增加的费用和（或）工期延误由承包人承担。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13.6清除不合格工程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13.6.1承包人使用不合格材料、工程设备，或采用不适当的施工工艺，或施工不当，造</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成工程不合格的，监理人可以随时发出指示，要求承包人立即采取措施进行补救，直至达到合同要求的质量标准，由此增加的费用和（或）工期延误由承包人承担。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13.6.2由于发包人提供的材料或工程设备不合格造成的工程不合格，需要承包人采取措施补救的，发包人应承担由此增加的费用和（或）工期延误，并支付承包人合理利润。</w:t>
            </w:r>
            <w:r>
              <w:rPr>
                <w:rFonts w:ascii="宋体" w:hAnsi="宋体" w:cs="宋体"/>
              </w:rPr>
            </w:r>
            <w:r/>
          </w:p>
          <w:p>
            <w:pPr>
              <w:pStyle w:val="700"/>
              <w:rPr>
                <w:rFonts w:ascii="宋体" w:hAnsi="宋体" w:cs="宋体"/>
              </w:rPr>
              <w:framePr w:vAnchor="text" w:hAnchor="page" w:x="1267" w:y="208"/>
            </w:pPr>
            <w:r/>
            <w:bookmarkStart w:id="554" w:name="_Toc345225416"/>
            <w:r/>
            <w:bookmarkStart w:id="555" w:name="_Toc138041842"/>
            <w:r/>
            <w:bookmarkStart w:id="556" w:name="_Toc378180113"/>
            <w:r/>
            <w:bookmarkStart w:id="557" w:name="_Toc352492541"/>
            <w:r/>
            <w:bookmarkStart w:id="558" w:name="_Toc236811855"/>
            <w:r/>
            <w:bookmarkStart w:id="559" w:name="_Toc386274248"/>
            <w:r/>
            <w:bookmarkStart w:id="560" w:name="_Toc345916687"/>
            <w:r/>
            <w:bookmarkStart w:id="561" w:name="_Toc352492886"/>
            <w:r/>
            <w:bookmarkStart w:id="562" w:name="_Toc352491647"/>
            <w:r/>
            <w:bookmarkStart w:id="563" w:name="_Toc138042353"/>
            <w:r>
              <w:rPr>
                <w:rFonts w:hint="eastAsia" w:ascii="宋体" w:hAnsi="宋体" w:cs="宋体"/>
              </w:rPr>
              <w:t xml:space="preserve">14.试验和检验</w:t>
            </w:r>
            <w:bookmarkEnd w:id="554"/>
            <w:r/>
            <w:bookmarkEnd w:id="555"/>
            <w:r/>
            <w:bookmarkEnd w:id="556"/>
            <w:r/>
            <w:bookmarkEnd w:id="557"/>
            <w:r/>
            <w:bookmarkEnd w:id="558"/>
            <w:r/>
            <w:bookmarkEnd w:id="559"/>
            <w:r/>
            <w:bookmarkEnd w:id="560"/>
            <w:r/>
            <w:bookmarkEnd w:id="561"/>
            <w:r/>
            <w:bookmarkEnd w:id="562"/>
            <w:r/>
            <w:bookmarkEnd w:id="56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14.1材料、工程设备和工程的试验和检验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14.1.2监理人未按合同约定派员参加试验和检验的，除监理人另有指示外，承包人可自行试验和检验，并应立即将试验和检验结果报送监理人，监理人应签字确认。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14.2现场材料试验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14.2.1承包人根据合同约定或监理人指示进行的现场材料试验，应由承包人提供试验场所、试验人员、试验设备器材以及其他必要的试验条件。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14.2.2监理人在必要时可以使用承包人的试验场所、试验设备器材以及其他试验条件，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进行以工程质量检查为目的的复核性材料试验，承包人应予以协助。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14.3现场工艺试验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承包人应按合同约定或监理人指示进行现场工艺试验。对大型的现场工艺试验，监理人认为必要时，应由承包人根据监理人提出的工艺试验要求，编制工艺试验措施计划，报送监理人审批。</w:t>
            </w:r>
            <w:r>
              <w:rPr>
                <w:rFonts w:ascii="宋体" w:hAnsi="宋体" w:cs="宋体"/>
              </w:rPr>
            </w:r>
            <w:r/>
          </w:p>
          <w:p>
            <w:pPr>
              <w:pStyle w:val="700"/>
              <w:rPr>
                <w:rFonts w:ascii="宋体" w:hAnsi="宋体" w:cs="宋体"/>
              </w:rPr>
              <w:framePr w:vAnchor="text" w:hAnchor="page" w:x="1267" w:y="208"/>
            </w:pPr>
            <w:r/>
            <w:bookmarkStart w:id="564" w:name="_Toc378180114"/>
            <w:r/>
            <w:bookmarkStart w:id="565" w:name="_Toc386274249"/>
            <w:r/>
            <w:bookmarkStart w:id="566" w:name="_Toc352492542"/>
            <w:r/>
            <w:bookmarkStart w:id="567" w:name="_Toc138041843"/>
            <w:r/>
            <w:bookmarkStart w:id="568" w:name="_Toc352492887"/>
            <w:r/>
            <w:bookmarkStart w:id="569" w:name="_Toc352491648"/>
            <w:r/>
            <w:bookmarkStart w:id="570" w:name="_Toc345916688"/>
            <w:r/>
            <w:bookmarkStart w:id="571" w:name="_Toc236811856"/>
            <w:r/>
            <w:bookmarkStart w:id="572" w:name="_Toc345225417"/>
            <w:r/>
            <w:bookmarkStart w:id="573" w:name="_Toc138042354"/>
            <w:r>
              <w:rPr>
                <w:rFonts w:hint="eastAsia" w:ascii="宋体" w:hAnsi="宋体" w:cs="宋体"/>
              </w:rPr>
              <w:t xml:space="preserve">15.变更</w:t>
            </w:r>
            <w:bookmarkEnd w:id="564"/>
            <w:r/>
            <w:bookmarkEnd w:id="565"/>
            <w:r/>
            <w:bookmarkEnd w:id="566"/>
            <w:r/>
            <w:bookmarkEnd w:id="567"/>
            <w:r/>
            <w:bookmarkEnd w:id="568"/>
            <w:r/>
            <w:bookmarkEnd w:id="569"/>
            <w:r/>
            <w:bookmarkEnd w:id="570"/>
            <w:r/>
            <w:bookmarkEnd w:id="571"/>
            <w:r/>
            <w:bookmarkEnd w:id="572"/>
            <w:r/>
            <w:bookmarkEnd w:id="57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15.1变更的范围和内容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除专用合同条款另有约定外，在履行合同中发生以下情形之一，应按照本条规定进行变更。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（1）取消合同中任何一项工作，但被取消的工作不能转由发包人或其他人实施；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（2）改变合同中任何一项工作的质量或其他特性；</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（3）改变合同工程的基线、标高、位置或尺寸；</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（4）改变合同中任何一项工作的施工时间或改变已批准的施工工艺或顺序；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（5）为完成工程需要追加的额外工作。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15.2变更权</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在履行合同过程中，经发包人同意，监理人可按第15.3款约定的变更程序向承包人作出变更指示，承包人应遵照执行。没有监理人的变更指示，承包人不得擅自变更。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15.3变更程序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15.3.1变更的提出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（1）在合同履行过程中，可能发生第15.1款约定情形的，监理人可向承包人发出变更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（2）在合同履行过程中，发生第15.1款约定情形的，监理人应按照第15.3.3项约定向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承包人发出变更指示。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（3）承包人收到监理人按合同约定发出的图纸和文件，经检查认为其中存在第15.1款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（4）若承包人收到监理人的变更意向书后认为难以实施此项变更，应立即通知监理人，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说明原因并附详细依据。监理人与承包人和发包人协商后确定撤销、改变或不改变原变更意向书。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15.3.2变更估价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（2）变更工作影响工期的，承包人应提出调整工期的具体细节。监理人认为有必要时，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可要求承包人提交要求提前或延长工期的施工进度计划及相应施工措施等详细资料。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（3）除专用合同条款对期限另有约定外，监理人收到承包人变更报价书后的14天内，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根据第15.4款约定的估价原则，按照第3.5款商定或确定变更价格。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15.3.3变更指示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（1）变更指示只能由监理人发出。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（2）变更指示应说明变更的目的、范围、变更内容以及变更的工程量及其进度和技术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要求，并附有关图纸和文件。承包人收到变更指示后，应按变更指示进行变更工作。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15.4变更的估价原则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除专用合同条款另有约定外，因变更引起的价格调整按照本款约定处理。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15.4.1已标价工程量清单中有适用于变更工作的子目的，采用该子目的单价。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15.4.2已标价工程量清单中无适用于变更工作的子目，但有类似子目的，可在合理范围内参照类似子目的单价，由监理人按第3.5款商定或确定变更工作的单价。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15.4.3已标价工程量清单中无适用或类似子目的单价，可按照成本加利润的原则，由监理人按第3.5款商定或确定变更工作的单价。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15.5承包人的合理化建议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15.5.2承包人提出的合理化建议降低了合同价格、缩短了工期或者提高了工程经济效益的，发包人可按国家有关规定在专用合同条款中约定给予奖励。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15.6暂列金额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暂列金额只能按照监理人的指示使用，并对合同价格进行相应调整。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15.7计日工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15.7.1发包人认为有必要时，由监理人通知承包人以计日工方式实施变更的零星工作。其价款按列入已标价工程量清单中的计日工计价子目及其单价进行计算。</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15.7.2采用计日工计价的任何一项变更工作，应从暂列金额中支付，承包人应在该项变更的实施过程中，每天提交以下报表和有关凭证报送监理人审批：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（1）工作名称、内容和数量；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（2）投入该工作所有人员的姓名、工种、级别和耗用工时；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（3）投入该工作的材料类别和数量；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（4）投入该工作的施工设备型号、台数和耗用台时；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（5）监理人要求提交的其他资料和凭证。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15.7.3计日工由承包人汇总后，按第17.3.2项的约定列入进度付款申请单，由监理人复核并经发包人同意后列入进度付款。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15.8暂估价</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15.8.1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15.8.3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ascii="宋体" w:hAnsi="宋体" w:cs="宋体"/>
              </w:rPr>
            </w:r>
            <w:r/>
          </w:p>
          <w:p>
            <w:pPr>
              <w:pStyle w:val="700"/>
              <w:rPr>
                <w:rFonts w:ascii="宋体" w:hAnsi="宋体" w:cs="宋体"/>
              </w:rPr>
              <w:framePr w:vAnchor="text" w:hAnchor="page" w:x="1267" w:y="208"/>
            </w:pPr>
            <w:r/>
            <w:bookmarkStart w:id="574" w:name="_Toc352492888"/>
            <w:r/>
            <w:bookmarkStart w:id="575" w:name="_Toc138042355"/>
            <w:r/>
            <w:bookmarkStart w:id="576" w:name="_Toc386274250"/>
            <w:r/>
            <w:bookmarkStart w:id="577" w:name="_Toc345225418"/>
            <w:r/>
            <w:bookmarkStart w:id="578" w:name="_Toc352492543"/>
            <w:r/>
            <w:bookmarkStart w:id="579" w:name="_Toc138041844"/>
            <w:r/>
            <w:bookmarkStart w:id="580" w:name="_Toc345916689"/>
            <w:r/>
            <w:bookmarkStart w:id="581" w:name="_Toc352491649"/>
            <w:r/>
            <w:bookmarkStart w:id="582" w:name="_Toc378180115"/>
            <w:r/>
            <w:bookmarkStart w:id="583" w:name="_Toc236811857"/>
            <w:r>
              <w:rPr>
                <w:rFonts w:hint="eastAsia" w:ascii="宋体" w:hAnsi="宋体" w:cs="宋体"/>
              </w:rPr>
              <w:t xml:space="preserve">16.价格调整</w:t>
            </w:r>
            <w:bookmarkEnd w:id="574"/>
            <w:r/>
            <w:bookmarkEnd w:id="575"/>
            <w:r/>
            <w:bookmarkEnd w:id="576"/>
            <w:r/>
            <w:bookmarkEnd w:id="577"/>
            <w:r/>
            <w:bookmarkEnd w:id="578"/>
            <w:r/>
            <w:bookmarkEnd w:id="579"/>
            <w:r/>
            <w:bookmarkEnd w:id="580"/>
            <w:r/>
            <w:bookmarkEnd w:id="581"/>
            <w:r/>
            <w:bookmarkEnd w:id="582"/>
            <w:r/>
            <w:bookmarkEnd w:id="58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16.1物价波动引起的价格调整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除专用合同条款另有约定外，因物价波动引起的价格调整按照本款约定处理。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16.1.1采用价格指数调整价格差额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16.1.1.1价格调整公式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因人工、材料和设备等价格波动影响合同价格时，根据投标函附录中的价格指数和权重表约定的数据，按以下公式计算差额并调整合同价格。</w:t>
            </w:r>
            <w:r>
              <w:rPr>
                <w:rFonts w:ascii="宋体" w:hAnsi="宋体" w:cs="宋体"/>
              </w:rPr>
            </w:r>
            <w:r/>
          </w:p>
          <w:p>
            <w:pPr>
              <w:pStyle w:val="700"/>
              <w:rPr>
                <w:rFonts w:ascii="宋体" w:hAnsi="宋体" w:cs="宋体"/>
              </w:rPr>
              <w:framePr w:vAnchor="text" w:hAnchor="page" w:x="1267" w:y="208"/>
            </w:pPr>
            <w:r>
              <w:rPr>
                <w:rFonts w:hint="eastAsia" w:ascii="宋体" w:hAnsi="宋体" w:cs="宋体"/>
              </w:rPr>
              <mc:AlternateContent>
                <mc:Choice Requires="wpg">
                  <w:drawing>
                    <wp:inline xmlns:wp="http://schemas.openxmlformats.org/drawingml/2006/wordprocessingDrawing" distT="0" distB="0" distL="0" distR="0">
                      <wp:extent cx="2515768" cy="41960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2069" t="19739" r="5298" b="24274"/>
                              <a:stretch/>
                            </pic:blipFill>
                            <pic:spPr bwMode="auto">
                              <a:xfrm>
                                <a:off x="0" y="0"/>
                                <a:ext cx="2515768" cy="4196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8.1pt;height:33.0pt;mso-wrap-distance-left:0.0pt;mso-wrap-distance-top:0.0pt;mso-wrap-distance-right:0.0pt;mso-wrap-distance-bottom:0.0pt;" stroked="f">
                      <v:path textboxrect="0,0,0,0"/>
                      <v:imagedata r:id="rId11" o:title=""/>
                    </v:shape>
                  </w:pict>
                </mc:Fallback>
              </mc:AlternateConten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式中：△P--需调整的价格差额；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P0--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--定值权重A即不调部分的权重)；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B1;B2;B3·····Bn--各可调因子的变值权重(即可调部分的权重)为各可调因子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在投标函投标总报价中所占的比例；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Ft1;Ft2;Ft3·····Ftn--各可调因子的现行价格指数，指第17.3.3项、第17.5.2项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和第17.6.2项约定的付款证书相关周期最后一天的前42天的各可调因子的价格指数；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Fo1;Fo2;Fo3·····Fon--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16.1.1.2暂时确定调整差额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在计算调整差额时得不到现行价格指数的，可暂用上一次价格指数计算，并在以后的付款中再按实际价格指数进行调整。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16.1.1.3权重的调整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按第15.1款约定的变更导致原定合同中的权重不合理时，由监理人与承包人和发包人协商后进行调整。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16.1.1.4承包人工期延误后的价格调整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16.1.2采用造价信息调整价格差额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16.2法律变化引起的价格调整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ascii="宋体" w:hAnsi="宋体" w:cs="宋体"/>
              </w:rPr>
            </w:r>
            <w:r/>
          </w:p>
          <w:p>
            <w:pPr>
              <w:pStyle w:val="700"/>
              <w:rPr>
                <w:rFonts w:ascii="宋体" w:hAnsi="宋体" w:cs="宋体"/>
              </w:rPr>
              <w:framePr w:vAnchor="text" w:hAnchor="page" w:x="1267" w:y="208"/>
            </w:pPr>
            <w:r/>
            <w:bookmarkStart w:id="584" w:name="_Toc352492889"/>
            <w:r/>
            <w:bookmarkStart w:id="585" w:name="_Toc138041845"/>
            <w:r/>
            <w:bookmarkStart w:id="586" w:name="_Toc345916690"/>
            <w:r/>
            <w:bookmarkStart w:id="587" w:name="_Toc352492544"/>
            <w:r/>
            <w:bookmarkStart w:id="588" w:name="_Toc386274251"/>
            <w:r/>
            <w:bookmarkStart w:id="589" w:name="_Toc352491650"/>
            <w:r/>
            <w:bookmarkStart w:id="590" w:name="_Toc236811858"/>
            <w:r/>
            <w:bookmarkStart w:id="591" w:name="_Toc378180116"/>
            <w:r/>
            <w:bookmarkStart w:id="592" w:name="_Toc345225419"/>
            <w:r/>
            <w:bookmarkStart w:id="593" w:name="_Toc138042356"/>
            <w:r>
              <w:rPr>
                <w:rFonts w:hint="eastAsia" w:ascii="宋体" w:hAnsi="宋体" w:cs="宋体"/>
              </w:rPr>
              <w:t xml:space="preserve">17.计量与支付</w:t>
            </w:r>
            <w:bookmarkEnd w:id="584"/>
            <w:r/>
            <w:bookmarkEnd w:id="585"/>
            <w:r/>
            <w:bookmarkEnd w:id="586"/>
            <w:r/>
            <w:bookmarkEnd w:id="587"/>
            <w:r/>
            <w:bookmarkEnd w:id="588"/>
            <w:r/>
            <w:bookmarkEnd w:id="589"/>
            <w:r/>
            <w:bookmarkEnd w:id="590"/>
            <w:r/>
            <w:bookmarkEnd w:id="591"/>
            <w:r/>
            <w:bookmarkEnd w:id="592"/>
            <w:r/>
            <w:bookmarkEnd w:id="59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17.1计量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17.1.1计量单位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计量采用国家法定的计量单位。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17.1.2计量方法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工程量清单中的工程量计算规则应按有关国家标准、行业标准的规定，并在合同中约定执行。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17.1.3计量周期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除专用合同条款另有约定外，单价子目已完成工程量按月计量，总价子目的计量周期按批准的支付分解报告确定。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17.1.4单价子目的计量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（1）已标价工程量清单中的单价子目工程量为估算工程量。结算工程量是承包人实际完成的，并按合同约定的计量方法进行计量的工程量。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（2）承包人对已完成的工程进行计量，向监理人提交进度付款申请单、已完成工程量报表和有关计量资料。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（4）监理人认为有必要时，可通知承包人共同进行联合测量、计量，承包人应遵照执行。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（6）监理人应在收到承包人提交的工程量报表后的7天内进行复核，监理人未在约定时间内复核的，承包人提交的工程量报表中的工程量视为承包人实际完成的工程量，据此计算工程价款。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17.1.5总价子目的计量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除专用合同条款另有约定外，总价子目的分解和计量按照下述约定进行。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（1）总价子目的计量和支付应以总价为基础，不因第16.1款中的因素而进行调整。承包人实际完成的工程量，是进行工程目标管理和控制进度支付的依据。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（3）监理人对承包人提交的上述资料进行复核，以确定分阶段实际完成的工程量和工程形象目标。对其有异议的，可要求承包人按第8.2款约定进行共同复核和抽样复测。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（4）除按照第15条约定的变更外，总价子目的工程量是承包人用于结算的最终工程量。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17.2预付款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17.2.1预付款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预付款用于承包人为合同工程施工购置材料、工程设备、施工设备、修建临时设施以及组织施工队伍进场等。预付款的额度和预付办法在专用合同条款中约定。预付款必须专用于合同工程。</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17.2.2预付款保函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除专用合同条款另有约定外，承包人应在收到预付款的同时向发包人提交预付款保函，预付款保函的担保金额应与预付款金额相同。保函的担保金额可根据预付款扣回的金额相应递减。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17.2.3预付款的扣回与还清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预付款在进度付款中扣回，扣回办法在专用合同条款中约定。在颁发工程接收证书前，由于不可抗力或其他原因解除合同时，预付款尚未扣清的，尚未扣清的预付款余额应作为承包人的到期应付款。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17.3工程进度付款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17.3.1付款周期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付款周期同计量周期。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17.3.2进度付款申请单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（1）截至本次付款周期末已实施工程的价款；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（2）根据第15条应增加和扣减的变更金额；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（3）根据第23条应增加和扣减的索赔金额；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（4）根据第17.2款约定应支付的预付款和扣减的返还预付款；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（5）根据第17.4.1项约定应扣减的质量保证金；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（6）根据合同应增加和扣减的其他金额。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17.3.3进度付款证书和支付时间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（2）发包人应在监理人收到进度付款申请单后的28天内，将进度应付款支付给承包人。发包人不按期支付的，按专用合同条款的约定支付逾期付款违约金。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（3）监理人出具进度付款证书，不应视为监理人已同意、批准或接受了承包人完成的该部分工作。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（4）进度付款涉及政府投资资金的，按照国库集中支付等国家相关规定和专用合同条款的约定办理。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17.3.4工程进度付款的修正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在对以往历次已签发的进度付款证书进行汇总和复核中发现错、漏或重复的，监理人有权予以修正，承包人也有权提出修正申请。经双方复核同意的修正，应在本次进度付款中支付或扣除。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17.4质量保证金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17.4.1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17.4.2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17.4.3在第1.1.4.5目约定的缺陷责任期满时，承包人没有完成缺陷责任的，发包人有权扣留与未履行责任剩余工作所需金额相应的质量保证金余额，并有权根据第19.3款约定要求延长缺陷责任期，直至完成剩余工作为止。</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17.5竣工结算</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17.5.1竣工付款申请单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（2）监理人对竣工付款申请单有异议的，有权要求承包人进行修正和提供补充资料。经监理人和承包人协商后，由承包人向监理人提交修正后的竣工付款申请单。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17.5.2竣工付款证书及支付时间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（2）发包人应在监理人出具竣工付款证书后的14天内，将应支付款支付给承包人。发包人不按期支付的，按第17.3.3（2）目的约定，将逾期付款违约金支付给承包人。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（3）承包人对发包人签认的竣工付款证书有异议的，发包人可出具竣工付款申请单中承包人已同意部分的临时付款证书。存在争议的部分，按第24条的约定办理。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（4）竣工付款涉及政府投资资金的，按第17.3.3（４）目的约定办理。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17.6最终结清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17.6.1最终结清申请单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（1）缺陷责任期终止证书签发后，承包人可按专用合同条款约定的份数和期限向监理人提交最终结清申请单，并提供相关证明材料。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（2）发包人对最终结清申请单内容有异议的，有权要求承包人进行修正和提供补充资料，由承包人向监理人提交修正后的最终结清申请单。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17.6.2最终结清证书和支付时间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（2）发包人应在监理人出具最终结清证书后的14天内，将应支付款支付给承包人。发包人不按期支付的，按第17.3.3（2）目的约定，将逾期付款违约金支付给承包人。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（3）承包人对发包人签认的最终结清证书有异议的，按第24条的约定办理。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（4）最终结清付款涉及政府投资资金的，按第17.3.3（４）目的约定办理。</w:t>
            </w:r>
            <w:r>
              <w:rPr>
                <w:rFonts w:ascii="宋体" w:hAnsi="宋体" w:cs="宋体"/>
              </w:rPr>
            </w:r>
            <w:r/>
          </w:p>
          <w:p>
            <w:pPr>
              <w:pStyle w:val="700"/>
              <w:rPr>
                <w:rFonts w:ascii="宋体" w:hAnsi="宋体" w:cs="宋体"/>
              </w:rPr>
              <w:framePr w:vAnchor="text" w:hAnchor="page" w:x="1267" w:y="208"/>
            </w:pPr>
            <w:r/>
            <w:bookmarkStart w:id="594" w:name="_Toc352491651"/>
            <w:r/>
            <w:bookmarkStart w:id="595" w:name="_Toc352492545"/>
            <w:r/>
            <w:bookmarkStart w:id="596" w:name="_Toc345225420"/>
            <w:r/>
            <w:bookmarkStart w:id="597" w:name="_Toc352492890"/>
            <w:r/>
            <w:bookmarkStart w:id="598" w:name="_Toc236811859"/>
            <w:r/>
            <w:bookmarkStart w:id="599" w:name="_Toc138042357"/>
            <w:r/>
            <w:bookmarkStart w:id="600" w:name="_Toc345916691"/>
            <w:r/>
            <w:bookmarkStart w:id="601" w:name="_Toc386274252"/>
            <w:r/>
            <w:bookmarkStart w:id="602" w:name="_Toc378180117"/>
            <w:r/>
            <w:bookmarkStart w:id="603" w:name="_Toc138041846"/>
            <w:r>
              <w:rPr>
                <w:rFonts w:hint="eastAsia" w:ascii="宋体" w:hAnsi="宋体" w:cs="宋体"/>
              </w:rPr>
              <w:t xml:space="preserve">18.竣工验收</w:t>
            </w:r>
            <w:bookmarkEnd w:id="594"/>
            <w:r/>
            <w:bookmarkEnd w:id="595"/>
            <w:r/>
            <w:bookmarkEnd w:id="596"/>
            <w:r/>
            <w:bookmarkEnd w:id="597"/>
            <w:r/>
            <w:bookmarkEnd w:id="598"/>
            <w:r/>
            <w:bookmarkEnd w:id="599"/>
            <w:r/>
            <w:bookmarkEnd w:id="600"/>
            <w:r/>
            <w:bookmarkEnd w:id="601"/>
            <w:r/>
            <w:bookmarkEnd w:id="602"/>
            <w:r/>
            <w:bookmarkEnd w:id="60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18.1竣工验收的含义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18.1.1竣工验收指承包人完成了全部合同工作后，发包人按合同要求进行的验收。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18.1.2国家验收是政府有关部门根据法律、规范、规程和政策要求，针对发包人全面组织实施的整个工程正式交付投运前的验收。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18.2竣工验收申请报告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当工程具备以下条件时，承包人即可向监理人报送竣工验收申请报告：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（1）除监理人同意列入缺陷责任期内完成的尾工（甩项）工程和缺陷修补工作外，合同范围内的全部单位工程以及有关工作，包括合同要求的试验、试运行以及检验和验收均已完成，并符合合同要求；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（2）已按合同约定的内容和份数备齐了符合要求的竣工资料；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（3）已按监理人的要求编制了在缺陷责任期内完成的尾工（甩项）工程和缺陷修补工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作清单以及相应施工计划；</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（4）监理人要求在竣工验收前应完成的其他工作；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（5）监理人要求提交的竣工验收资料清单。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18.3验收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监理人收到承包人按第18.2款约定提交的竣工验收申请报告后，应审查申请报告的各项内容，并按以下不同情况进行处理。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18.3.1监理人审查后认为尚不具备竣工验收条件的，应在收到竣工验收申请报告后的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28天内通知承包人，指出在颁发接收证书前承包人还需进行的工作内容。承包人完成监理人通知的全部工作内容后，应再次提交竣工验收申请报告，直至监理人同意为止。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18.3.2监理人审查后认为已具备竣工验收条件的，应在收到竣工验收申请报告后的28天内提请发包人进行工程验收。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18.3.5除专用合同条款另有约定外，经验收合格工程的实际竣工日期，以提交竣工验收申请报告的日期为准，并在工程接收证书中写明。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18.3.6发包人在收到承包人竣工验收申请报告56天后未进行验收的，视为验收合格，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实际竣工日期以提交竣工验收申请报告的日期为准，但发包人由于不可抗力不能进行验收的除外。</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18.4单位工程验收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18.4.1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18.4.2发包人在全部工程竣工前，使用已接收的单位工程导致承包人费用增加的，发包人应承担由此增加的费用和（或）工期延误，并支付承包人合理利润。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18.5施工期运行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18.5.1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18.5.2在施工期运行中发现工程或工程设备损坏或存在缺陷的，由承包人按第19.2款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约定进行修复。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18.6试运行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18.6.1除专用合同条款另有约定外，承包人应按专用合同条款约定进行工程及工程设备试运行，负责提供试运行所需的人员、器材和必要的条件，并承担全部试运行费用。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18.7竣工清场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18.7.1除合同另有约定外，工程接收证书颁发后，承包人应按以下要求对施工场地进行清理，直至监理人检验合格为止。竣工清场费用由承包人承担。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（1）施工场地内残留的垃圾已全部清除出场；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（2）临时工程已拆除，场地已按合同要求进行清理、平整或复原；</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（3）按合同约定应撤离的承包人设备和剩余的材料，包括废弃的施工设备和材料，已按计划撤离施工场地；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（4）工程建筑物周边及其附近道路、河道的施工堆积物，已按监理人指示全部清理；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（5）监理人指示的其他场地清理工作已全部完成。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18.7.2承包人未按监理人的要求恢复临时占地，或者场地清理未达到合同约定的，发包人有权委托其他人恢复或清理，所发生的金额从拟支付给承包人的款项中扣除。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18.8施工队伍的撤离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rPr>
                <w:rFonts w:ascii="宋体" w:hAnsi="宋体" w:cs="宋体"/>
              </w:rPr>
            </w:r>
            <w:r/>
          </w:p>
          <w:p>
            <w:pPr>
              <w:pStyle w:val="700"/>
              <w:rPr>
                <w:rFonts w:ascii="宋体" w:hAnsi="宋体" w:cs="宋体"/>
              </w:rPr>
              <w:framePr w:vAnchor="text" w:hAnchor="page" w:x="1267" w:y="208"/>
            </w:pPr>
            <w:r/>
            <w:bookmarkStart w:id="604" w:name="_Toc352491652"/>
            <w:r/>
            <w:bookmarkStart w:id="605" w:name="_Toc138041847"/>
            <w:r/>
            <w:bookmarkStart w:id="606" w:name="_Toc138042358"/>
            <w:r/>
            <w:bookmarkStart w:id="607" w:name="_Toc386274253"/>
            <w:r/>
            <w:bookmarkStart w:id="608" w:name="_Toc352492546"/>
            <w:r/>
            <w:bookmarkStart w:id="609" w:name="_Toc236811860"/>
            <w:r/>
            <w:bookmarkStart w:id="610" w:name="_Toc352492891"/>
            <w:r/>
            <w:bookmarkStart w:id="611" w:name="_Toc378180118"/>
            <w:r/>
            <w:bookmarkStart w:id="612" w:name="_Toc345916692"/>
            <w:r/>
            <w:bookmarkStart w:id="613" w:name="_Toc345225421"/>
            <w:r>
              <w:rPr>
                <w:rFonts w:hint="eastAsia" w:ascii="宋体" w:hAnsi="宋体" w:cs="宋体"/>
              </w:rPr>
              <w:t xml:space="preserve">19.缺陷责任与保修责任</w:t>
            </w:r>
            <w:bookmarkEnd w:id="604"/>
            <w:r/>
            <w:bookmarkEnd w:id="605"/>
            <w:r/>
            <w:bookmarkEnd w:id="606"/>
            <w:r/>
            <w:bookmarkEnd w:id="607"/>
            <w:r/>
            <w:bookmarkEnd w:id="608"/>
            <w:r/>
            <w:bookmarkEnd w:id="609"/>
            <w:r/>
            <w:bookmarkEnd w:id="610"/>
            <w:r/>
            <w:bookmarkEnd w:id="611"/>
            <w:r/>
            <w:bookmarkEnd w:id="612"/>
            <w:r/>
            <w:bookmarkEnd w:id="61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19.1缺陷责任期的起算时间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缺陷责任期自实际竣工日期起计算。在全部工程竣工验收前，已经发包人提前验收的单位工程，其缺陷责任期的起算日期相应提前。</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19.2缺陷责任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19.2.1承包人应在缺陷责任期内对已交付使用的工程承担缺陷责任。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19.2.4承包人不能在合理时间内修复缺陷的，发包人可自行修复或委托其他人修复，所需费用和利润的承担，按第19.2.3项约定办理。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19.3缺陷责任期的延长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由于承包人原因造成某项缺陷或损坏使某项工程或工程设备不能按原定目标使用而需要再次检查、检验和修复的，发包人有权要求承包人相应延长缺陷责任期，但缺陷责任期最长不超过2年。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19.4进一步试验和试运行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任何一项缺陷或损坏修复后，经检查证明其影响了工程或工程设备的使用性能，承包人应重新进行合同约定的试验和试运行，试验和试运行的全部费用应由责任方承担。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19.5承包人的进入权</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缺陷责任期内承包人为缺陷修复工作需要，有权进入工程现场，但应遵守发包人的保安和保密规定。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19.6缺陷责任期终止证书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在第1.1.4.5目约定的缺陷责任期，包括根据第19.3款延长的期限终止后14天内，由监理人向承包人出具经发包人签认的缺陷责任期终止证书，并退还剩余的质量保证金。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19.7保修责任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ascii="宋体" w:hAnsi="宋体" w:cs="宋体"/>
              </w:rPr>
            </w:r>
            <w:r/>
          </w:p>
          <w:p>
            <w:pPr>
              <w:pStyle w:val="700"/>
              <w:rPr>
                <w:rFonts w:ascii="宋体" w:hAnsi="宋体" w:cs="宋体"/>
              </w:rPr>
              <w:framePr w:vAnchor="text" w:hAnchor="page" w:x="1267" w:y="208"/>
            </w:pPr>
            <w:r/>
            <w:bookmarkStart w:id="614" w:name="_Toc378180119"/>
            <w:r/>
            <w:bookmarkStart w:id="615" w:name="_Toc138042359"/>
            <w:r/>
            <w:bookmarkStart w:id="616" w:name="_Toc352491653"/>
            <w:r/>
            <w:bookmarkStart w:id="617" w:name="_Toc236811861"/>
            <w:r/>
            <w:bookmarkStart w:id="618" w:name="_Toc352492892"/>
            <w:r/>
            <w:bookmarkStart w:id="619" w:name="_Toc386274254"/>
            <w:r/>
            <w:bookmarkStart w:id="620" w:name="_Toc345225422"/>
            <w:r/>
            <w:bookmarkStart w:id="621" w:name="_Toc352492547"/>
            <w:r/>
            <w:bookmarkStart w:id="622" w:name="_Toc138041848"/>
            <w:r/>
            <w:bookmarkStart w:id="623" w:name="_Toc345916693"/>
            <w:r>
              <w:rPr>
                <w:rFonts w:hint="eastAsia" w:ascii="宋体" w:hAnsi="宋体" w:cs="宋体"/>
              </w:rPr>
              <w:t xml:space="preserve">20.保险</w:t>
            </w:r>
            <w:bookmarkEnd w:id="614"/>
            <w:r/>
            <w:bookmarkEnd w:id="615"/>
            <w:r/>
            <w:bookmarkEnd w:id="616"/>
            <w:r/>
            <w:bookmarkEnd w:id="617"/>
            <w:r/>
            <w:bookmarkEnd w:id="618"/>
            <w:r/>
            <w:bookmarkEnd w:id="619"/>
            <w:r/>
            <w:bookmarkEnd w:id="620"/>
            <w:r/>
            <w:bookmarkEnd w:id="621"/>
            <w:r/>
            <w:bookmarkEnd w:id="622"/>
            <w:r/>
            <w:bookmarkEnd w:id="62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20.1工程保险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20.2人员工伤事故的保险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20.2.1承包人员工伤事故的保险承包人应依照有关法律规定参加工伤保险，为其履行合同所雇佣的全部人员，缴纳工伤保险费，并要求其分包人也进行此项保险。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20.2.2发包人员工伤事故的保险发包人应依照有关法律规定参加工伤保险，为其现场机构雇佣的全部人员，缴纳工伤保险费，并要求其监理人也进行此项保险。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20.3人身意外伤害险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20.3.1发包人应在整个施工期间为其现场机构雇用的全部人员，投保人身意外伤害险，缴纳保险费，并要求其监理人也进行此项保险。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20.3.2承包人应在整个施工期间为其现场机构雇用的全部人员，投保人身意外伤害险，缴纳保险费，并要求其分包人也进行此项保险。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20.4第三者责任险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20.4.2在缺陷责任期终止证书颁发前，承包人应以承包人和发包人的共同名义，投保第20.4.1项约定的第三者责任险，其保险费率、保险金额等有关内容在专用合同条款中约定。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20.5其他保险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除专用合同条款另有约定外，承包人应为其施工设备、进场的材料和工程设备等办理保险。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20.6对各项保险的一般要求</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20.6.1保险凭证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承包人应在专用合同条款约定的期限内向发包人提交各项保险生效的证据和保险单副本，保险单必须与专用合同条款约定的条件保持一致。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20.6.2保险合同条款的变动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承包人需要变动保险合同条款时，应事先征得发包人同意，并通知监理人。保险人作出变动的，承包人应在收到保险人通知后立即通知发包人和监理人。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20.6.3持续保险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承包人应与保险人保持联系，使保险人能够随时了解工程实施中的变动，并确保按保险合同条款要求持续保险。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20.6.4保险金不足的补偿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保险金不足以补偿损失的，应由承包人和（或）发包人按合同约定负责补偿。</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20.6.5未按约定投保的补救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（1）由于负有投保义务的一方当事人未按合同约定办理保险，或未能使保险持续有效的，另一方当事人可代为办理，所需费用由对方当事人承担。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（2）由于负有投保义务的一方当事人未按合同约定办理某项保险，导致受益人未能得到保险人的赔偿，原应从该项保险得到的保险金应由负有投保义务的一方当事人支付。</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20.6.6报告义务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当保险事故发生时，投保人应按照保险单规定的条件和期限及时向保险人报告。</w:t>
            </w:r>
            <w:r>
              <w:rPr>
                <w:rFonts w:ascii="宋体" w:hAnsi="宋体" w:cs="宋体"/>
              </w:rPr>
            </w:r>
            <w:r/>
          </w:p>
          <w:p>
            <w:pPr>
              <w:pStyle w:val="700"/>
              <w:rPr>
                <w:rFonts w:ascii="宋体" w:hAnsi="宋体" w:cs="宋体"/>
              </w:rPr>
              <w:framePr w:vAnchor="text" w:hAnchor="page" w:x="1267" w:y="208"/>
            </w:pPr>
            <w:r/>
            <w:bookmarkStart w:id="624" w:name="_Toc352492548"/>
            <w:r/>
            <w:bookmarkStart w:id="625" w:name="_Toc352491654"/>
            <w:r/>
            <w:bookmarkStart w:id="626" w:name="_Toc138042360"/>
            <w:r/>
            <w:bookmarkStart w:id="627" w:name="_Toc378180120"/>
            <w:r/>
            <w:bookmarkStart w:id="628" w:name="_Toc352492893"/>
            <w:r/>
            <w:bookmarkStart w:id="629" w:name="_Toc386274255"/>
            <w:r/>
            <w:bookmarkStart w:id="630" w:name="_Toc138041849"/>
            <w:r/>
            <w:bookmarkStart w:id="631" w:name="_Toc345916694"/>
            <w:r/>
            <w:bookmarkStart w:id="632" w:name="_Toc345225423"/>
            <w:r/>
            <w:bookmarkStart w:id="633" w:name="_Toc236811862"/>
            <w:r>
              <w:rPr>
                <w:rFonts w:hint="eastAsia" w:ascii="宋体" w:hAnsi="宋体" w:cs="宋体"/>
              </w:rPr>
              <w:t xml:space="preserve">21.不可抗力</w:t>
            </w:r>
            <w:bookmarkEnd w:id="624"/>
            <w:r/>
            <w:bookmarkEnd w:id="625"/>
            <w:r/>
            <w:bookmarkEnd w:id="626"/>
            <w:r/>
            <w:bookmarkEnd w:id="627"/>
            <w:r/>
            <w:bookmarkEnd w:id="628"/>
            <w:r/>
            <w:bookmarkEnd w:id="629"/>
            <w:r/>
            <w:bookmarkEnd w:id="630"/>
            <w:r/>
            <w:bookmarkEnd w:id="631"/>
            <w:r/>
            <w:bookmarkEnd w:id="632"/>
            <w:r/>
            <w:bookmarkEnd w:id="63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21.1不可抗力的确认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21.2不可抗力的通知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21.2.1合同一方当事人遇到不可抗力事件，使其履行合同义务受到阻碍时，应立即通知合同另一方当事人和监理人，书面说明不可抗力和受阻碍的详细情况，并提供必要的证明。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21.2.2如不可抗力持续发生，合同一方当事人应及时向合同另一方当事人和监理人提交中间报告，说明不可抗力和履行合同受阻的情况，并于不可抗力事件结束后28天内提交最终报告及有关资料。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21.3不可抗力后果及其处理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21.3.1不可抗力造成损害的责任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除专用合同条款另有约定外，不可抗力导致的人员伤亡、财产损失、费用增加和（或）工期延误等后果，由合同双方按以下原则承担：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（1）永久工程，包括已运至施工场地的材料和工程设备的损害，以及因工程损害造成的第三者人员伤亡和财产损失由发包人承担；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（2）承包人设备的损坏由承包人承担；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（3）发包人和承包人各自承担其人员伤亡和其他财产损失及其相关费用；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（4）承包人的停工损失由承包人承担，但停工期间应监理人要求照管工程和清理、修复工程的金额由发包人承担；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（5）不能按期竣工的，应合理延长工期，承包人不需支付逾期竣工违约金。发包人要求赶工的，承包人应采取赶工措施，赶工费用由发包人承担。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21.3.2延迟履行期间发生的不可抗力合同一方当事人延迟履行，在延迟履行期间发生不可抗力的，不免除其责任。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21.3.3避免和减少不可抗力损失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不可抗力发生后，发包人和承包人均应采取措施尽量避免和减少损失的扩大，任何一方没有采取有效措施导致损失扩大的，应对扩大的损失承担责任。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21.3.4因不可抗力解除合同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ascii="宋体" w:hAnsi="宋体" w:cs="宋体"/>
              </w:rPr>
            </w:r>
            <w:r/>
          </w:p>
          <w:p>
            <w:pPr>
              <w:pStyle w:val="700"/>
              <w:rPr>
                <w:rFonts w:ascii="宋体" w:hAnsi="宋体" w:cs="宋体"/>
              </w:rPr>
              <w:framePr w:vAnchor="text" w:hAnchor="page" w:x="1267" w:y="208"/>
            </w:pPr>
            <w:r/>
            <w:bookmarkStart w:id="634" w:name="_Toc352492549"/>
            <w:r/>
            <w:bookmarkStart w:id="635" w:name="_Toc345225424"/>
            <w:r/>
            <w:bookmarkStart w:id="636" w:name="_Toc378180121"/>
            <w:r/>
            <w:bookmarkStart w:id="637" w:name="_Toc138042361"/>
            <w:r/>
            <w:bookmarkStart w:id="638" w:name="_Toc352492894"/>
            <w:r/>
            <w:bookmarkStart w:id="639" w:name="_Toc352491655"/>
            <w:r/>
            <w:bookmarkStart w:id="640" w:name="_Toc386274256"/>
            <w:r/>
            <w:bookmarkStart w:id="641" w:name="_Toc236811863"/>
            <w:r/>
            <w:bookmarkStart w:id="642" w:name="_Toc345916695"/>
            <w:r/>
            <w:bookmarkStart w:id="643" w:name="_Toc138041850"/>
            <w:r>
              <w:rPr>
                <w:rFonts w:hint="eastAsia" w:ascii="宋体" w:hAnsi="宋体" w:cs="宋体"/>
              </w:rPr>
              <w:t xml:space="preserve">22.违约</w:t>
            </w:r>
            <w:bookmarkEnd w:id="634"/>
            <w:r/>
            <w:bookmarkEnd w:id="635"/>
            <w:r/>
            <w:bookmarkEnd w:id="636"/>
            <w:r/>
            <w:bookmarkEnd w:id="637"/>
            <w:r/>
            <w:bookmarkEnd w:id="638"/>
            <w:r/>
            <w:bookmarkEnd w:id="639"/>
            <w:r/>
            <w:bookmarkEnd w:id="640"/>
            <w:r/>
            <w:bookmarkEnd w:id="641"/>
            <w:r/>
            <w:bookmarkEnd w:id="642"/>
            <w:r/>
            <w:bookmarkEnd w:id="64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22.1承包人违约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22.1.1承包人违约的情形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在履行合同过程中发生的下列情况属承包人违约：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（1）承包人违反第1.8款或第4.3款的约定，私自将合同的全部或部分权利转让给其他人，或私自将合同的全部或部分义务转移给其他人；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（2）承包人违反第5.3款或第6.4款的约定，未经监理人批准，私自将已按合同约定进入施工场地的施工设备、临时设施或材料撤离施工场地；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（3）承包人违反第5.4款的约定使用了不合格材料或工程设备，工程质量达不到标准要求，又拒绝清除不合格工程；</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（4）承包人未能按合同进度计划及时完成合同约定的工作，已造成或预期造成工期延误；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（5）承包人在缺陷责任期内，未能对工程接收证书所列的缺陷清单的内容或缺陷责任期内发生的缺陷进行修复，而又拒绝按监理人指示再进行修补；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（6）承包人无法继续履行或明确表示不履行或实质上已停止履行合同；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（7）承包人不按合同约定履行义务的其他情况。</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22.1.2对承包人违约的处理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（1）承包人发生第22.1.1（6）目约定的违约情况时，发包人可通知承包人立即解除合同，并按有关法律处理。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（2）承包人发生除第22.1.1（6）目约定以外的其他违约情况时，监理人可向承包人发出整改通知，要求其在指定的期限内改正。承包人应承担其违约所引起的费用增加和（或）工期延误。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（3）经检查证明承包人已采取了有效措施纠正违约行为，具备复工条件的，可由监理人签发复工通知复工。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22.1.3承包人违约解除合同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22.1.4合同解除后的估价、付款和结清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（1）合同解除后，监理人按第3.5款商定或确定承包人实际完成工作的价值，以及承包人已提供的材料、施工设备、工程设备和临时工程等的价值。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（2）合同解除后，发包人应暂停对承包人的一切付款，查清各项付款和已扣款金额，包括承包人应支付的违约金。</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（3）合同解除后，发包人应按第23.4款的约定向承包人索赔由于解除合同给发包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人造成的损失。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（4）合同双方确认上述往来款项后，出具最终结清付款证书，结清全部合同款项。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（5）发包人和承包人未能就解除合同后的结清达成一致而形成争议的，按第24条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22.1.5协议利益的转让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因承包人违约解除合同的，发包人有权要求承包人将其为实施合同而签订的材料和设备的订货协议或任何服务协议利益转让给发包人，并在解除合同后的14天内，依法办理转让手续。</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22.1.6紧急情况下无能力或不愿进行抢救在工程实施期间或缺陷责任期内发生危及工程安全的事件，监理人通知承包人进行抢救，承包人声明无能力或不愿立即执行的，发包人有权雇佣其他人员进行抢救。此类抢救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合同约定属于承包人义务的，由此发生的金额和（或）工期延误由承包人承担。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22.2发包人违约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22.2.1发包人违约的情形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在履行合同过程中发生的下列情形，属发包人违约：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（1）发包人未能按合同约定支付预付款或合同价款，或拖延、拒绝批准付款申请和支付凭证，导致付款延误的；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（2）发包人原因造成停工的；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（3）监理人无正当理由没有在约定期限内发出复工指示，导致承包人无法复工的；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（4）发包人无法继续履行或明确表示不履行或实质上已停止履行合同的；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（5）发包人不履行合同约定其他义务的。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22.2.2承包人有权暂停施工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22.2.3发包人违约解除合同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（1）发生第22.2.1（4）目的违约情况时，承包人可书面通知发包人解除合同。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（2）承包人按22.2.2项暂停施工28天后，发包人仍不纠正违约行为的，承包人可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向发包人发出解除合同通知。但承包人的这一行动不免除发包人承担的违约责任，也不影响承包人根据合同约定享有的索赔权利。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22.2.4解除合同后的付款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因发包人违约解除合同的，发包人应在解除合同后28天内向承包人支付下列金额，承包人应在此期限内及时向发包人提交要求支付下列金额的有关资料和凭证：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（1）合同解除日以前所完成工作的价款；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（2）承包人为该工程施工订购并已付款的材料、工程设备和其他物品的金额。发包人付还后，该材料、工程设备和其他物品归发包人所有；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（3）承包人为完成工程所发生的，而发包人未支付的金额；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（4）承包人撤离施工场地以及遣散承包人人员的金额；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（5）由于解除合同应赔偿的承包人损失；</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（6）按合同约定在合同解除日前应支付给承包人的其他金额。发包人应按本项约定支付上述金额并退还质量保证金和履约担保，但有权要求承包人支付应偿还给发包人的各项金额。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22.2.5解除合同后的承包人撤离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22.3第三人造成的违约在履行合同过程中，一方当事人因第三人的原因造成违约的，应当向对方当事人承担违约责任。一方当事人和第三人之间的纠纷，依照法律规定或者按照约定解决。</w:t>
            </w:r>
            <w:r>
              <w:rPr>
                <w:rFonts w:ascii="宋体" w:hAnsi="宋体" w:cs="宋体"/>
              </w:rPr>
            </w:r>
            <w:r/>
          </w:p>
          <w:p>
            <w:pPr>
              <w:pStyle w:val="700"/>
              <w:rPr>
                <w:rFonts w:ascii="宋体" w:hAnsi="宋体" w:cs="宋体"/>
              </w:rPr>
              <w:framePr w:vAnchor="text" w:hAnchor="page" w:x="1267" w:y="208"/>
            </w:pPr>
            <w:r/>
            <w:bookmarkStart w:id="644" w:name="_Toc352491656"/>
            <w:r/>
            <w:bookmarkStart w:id="645" w:name="_Toc352492895"/>
            <w:r/>
            <w:bookmarkStart w:id="646" w:name="_Toc138042362"/>
            <w:r/>
            <w:bookmarkStart w:id="647" w:name="_Toc345225425"/>
            <w:r/>
            <w:bookmarkStart w:id="648" w:name="_Toc352492550"/>
            <w:r/>
            <w:bookmarkStart w:id="649" w:name="_Toc386274257"/>
            <w:r/>
            <w:bookmarkStart w:id="650" w:name="_Toc345916696"/>
            <w:r/>
            <w:bookmarkStart w:id="651" w:name="_Toc378180122"/>
            <w:r/>
            <w:bookmarkStart w:id="652" w:name="_Toc236811864"/>
            <w:r/>
            <w:bookmarkStart w:id="653" w:name="_Toc138041851"/>
            <w:r>
              <w:rPr>
                <w:rFonts w:hint="eastAsia" w:ascii="宋体" w:hAnsi="宋体" w:cs="宋体"/>
              </w:rPr>
              <w:t xml:space="preserve">23.索赔</w:t>
            </w:r>
            <w:bookmarkEnd w:id="644"/>
            <w:r/>
            <w:bookmarkEnd w:id="645"/>
            <w:r/>
            <w:bookmarkEnd w:id="646"/>
            <w:r/>
            <w:bookmarkEnd w:id="647"/>
            <w:r/>
            <w:bookmarkEnd w:id="648"/>
            <w:r/>
            <w:bookmarkEnd w:id="649"/>
            <w:r/>
            <w:bookmarkEnd w:id="650"/>
            <w:r/>
            <w:bookmarkEnd w:id="651"/>
            <w:r/>
            <w:bookmarkEnd w:id="652"/>
            <w:r/>
            <w:bookmarkEnd w:id="65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23.1承包人索赔的提出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根据合同约定，承包人认为有权得到追加付款和（或）延长工期的，应按以下程序向发包人提出索赔：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（1）承包人应在知道或应当知道索赔事件发生后28天内，向监理人递交索赔意向通知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书，并说明发生索赔事件的事由。承包人未在前述28天内发出索赔意向通知书的，丧失要求追加付款和（或）延长工期的权利；</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（2）承包人应在发出索赔意向通知书后28天内，向监理人正式递交索赔通知书。索赔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通知书应详细说明索赔理由以及要求追加的付款金额和（或）延长的工期，并附必要的记录和证明材料；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（3）索赔事件具有连续影响的，承包人应按合理时间间隔继续递交延续索赔通知，说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明连续影响的实际情况和记录，列出累计的追加付款金额和（或）工期延长天数；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（4）在索赔事件影响结束后的28天内，承包人应向监理人递交最终索赔通知书，说明</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最终要求索赔的追加付款金额和延长的工期，并附必要的记录和证明材料。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23.2承包人索赔处理程序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（1）监理人收到承包人提交的索赔通知书后，应及时审查索赔通知书的内容、查验承包人的记录和证明材料，必要时监理人可要求承包人提交全部原始记录副本。</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（2）监理人应按第3.5款商定或确定追加的付款和（或）延长的工期，并在收到上述索赔通知书或有关索赔的进一步证明材料后的42天内，将索赔处理结果答复承包人。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（3）承包人接受索赔处理结果的，发包人应在作出索赔处理结果答复后28天内完成赔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付。承包人不接受索赔处理结果的，按第24条的约定办理。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23.3承包人提出索赔的期限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23.3.1承包人按第17.5款的约定接受了竣工付款证书后，应被认为已无权再提出在合同工程接收证书颁发前所发生的任何索赔。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23.3.2承包人按第17.6款的约定提交的最终结清申请单中，只限于提出工程接收证书颁发后发生的索赔。提出索赔的期限自接受最终结清证书时终止。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23.4发包人的索赔</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23.4.2监理人按第3.5款商定或确定发包人从承包人处得到赔付的金额和（或）缺陷责任期的延长期。承包人应付给发包人的金额可从拟支付给承包人的合同价款中扣除，或由承包人以其他方式支付给发包人。</w:t>
            </w:r>
            <w:r>
              <w:rPr>
                <w:rFonts w:ascii="宋体" w:hAnsi="宋体" w:cs="宋体"/>
              </w:rPr>
            </w:r>
            <w:r/>
          </w:p>
          <w:p>
            <w:pPr>
              <w:pStyle w:val="700"/>
              <w:rPr>
                <w:rFonts w:ascii="宋体" w:hAnsi="宋体" w:cs="宋体"/>
              </w:rPr>
              <w:framePr w:vAnchor="text" w:hAnchor="page" w:x="1267" w:y="208"/>
            </w:pPr>
            <w:r/>
            <w:bookmarkStart w:id="654" w:name="_Toc138042363"/>
            <w:r/>
            <w:bookmarkStart w:id="655" w:name="_Toc352491657"/>
            <w:r/>
            <w:bookmarkStart w:id="656" w:name="_Toc236811865"/>
            <w:r/>
            <w:bookmarkStart w:id="657" w:name="_Toc352492551"/>
            <w:r/>
            <w:bookmarkStart w:id="658" w:name="_Toc345916697"/>
            <w:r/>
            <w:bookmarkStart w:id="659" w:name="_Toc386274258"/>
            <w:r/>
            <w:bookmarkStart w:id="660" w:name="_Toc378180123"/>
            <w:r/>
            <w:bookmarkStart w:id="661" w:name="_Toc138041852"/>
            <w:r/>
            <w:bookmarkStart w:id="662" w:name="_Toc345225426"/>
            <w:r/>
            <w:bookmarkStart w:id="663" w:name="_Toc352492896"/>
            <w:r>
              <w:rPr>
                <w:rFonts w:hint="eastAsia" w:ascii="宋体" w:hAnsi="宋体" w:cs="宋体"/>
              </w:rPr>
              <w:t xml:space="preserve">24.争议的解决</w:t>
            </w:r>
            <w:bookmarkEnd w:id="654"/>
            <w:r/>
            <w:bookmarkEnd w:id="655"/>
            <w:r/>
            <w:bookmarkEnd w:id="656"/>
            <w:r/>
            <w:bookmarkEnd w:id="657"/>
            <w:r/>
            <w:bookmarkEnd w:id="658"/>
            <w:r/>
            <w:bookmarkEnd w:id="659"/>
            <w:r/>
            <w:bookmarkEnd w:id="660"/>
            <w:r/>
            <w:bookmarkEnd w:id="661"/>
            <w:r/>
            <w:bookmarkEnd w:id="662"/>
            <w:r/>
            <w:bookmarkEnd w:id="663"/>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24.1争议的解决方式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（1）向约定的仲裁委员会申请仲裁；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（2）向有管辖权的人民法院提起诉讼。</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24.2友好解决</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在提请争议评审、仲裁或者诉讼前，以及在争议评审、仲裁或诉讼过程中，发包人和承包人均可共同努力友好协商解决争议。</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24.3争议评审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24.3.1采用争议评审的，发包人和承包人应在开工日后的28天内或在争议发生后，协商成立争议评审组。争议评审组由有合同管理和工程实践经验的专家组成。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24.3.2合同双方的争议，应首先由申请人向争议评审组提交一份详细的评审申请报告，并附必要的文件、图纸和证明材料，申请人还应将上述报告的副本同时提交给被申请人和监理人。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24.3.3被申请人在收到申请人评审申请报告副本后的28天内，向争议评审组提交一份答辩报告，并附证明材料。被申请人应将答辩报告的副本同时提交给申请人和监理人。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24.3.4除专用合同条款另有约定外，争议评审组在收到合同双方报告后的14天内，邀请双方代表和有关人员举行调查会，向双方调查争议细节；必要时争议评审组可要求双方进一步提供补充材料。</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24.3.5除专用合同条款另有约定外，在调查会结束后的14天内，争议评审组应在不受任何干扰的情况下进行独立、公正的评审，作出书面评审意见，并说明理由。在争议评审期间，争议双方暂按总监理工程师的决定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24.3.6发包人和承包人接受评审意见的，由监理人根据评审意见拟定执行协议，经争议双方签字后作为合同的补充文件，并遵照执行。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24.3.7发包人或承包人不接受评审意见，并要求提交仲裁或提起诉讼的，应在收到评审意见后的14天内将仲裁或起诉意向书面通知另一方，并抄送监理人，但在仲裁或诉讼结束前应暂按总监理工程师的决定执行。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——完—</w:t>
            </w:r>
            <w:r>
              <w:rPr>
                <w:rFonts w:ascii="宋体" w:hAnsi="宋体" w:cs="宋体"/>
              </w:rPr>
            </w:r>
            <w:r/>
          </w:p>
        </w:tc>
        <w:tc>
          <w:tcPr>
            <w:tcW w:w="3419" w:type="dxa"/>
            <w:vAlign w:val="top"/>
            <w:textDirection w:val="lrTb"/>
            <w:noWrap/>
          </w:tcPr>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1.1.2.2本工程发包人为</w:t>
            </w:r>
            <w:r>
              <w:rPr>
                <w:rFonts w:hint="eastAsia" w:ascii="宋体" w:hAnsi="宋体" w:cs="宋体"/>
                <w:lang w:eastAsia="zh-CN"/>
              </w:rPr>
              <w:t xml:space="preserve">灌云县水利局</w:t>
            </w:r>
            <w:r>
              <w:rPr>
                <w:rFonts w:hint="eastAsia" w:ascii="宋体" w:hAnsi="宋体" w:cs="宋体"/>
              </w:rPr>
              <w:t xml:space="preserve">，负责本工程的现场建设管理，行使项目法人职责。</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1.1.3.10永久占地：无。</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1.1.4.5缺陷责任期：监理人签发工程移交证书后一年。</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1.5约定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（1）本合同条款中所附合同协议书的格式仅供参考，发包人可以修改和调整。</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（2）在合同签订后合同生效。</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1.6.1图纸的提供</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见第七章“技术标准和要求”一般规定“发包人提供的图纸”。</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1.6.2承包人提供的文件</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见第七章“技术标准和要求”一般规定“承包人提交的图纸和文件”。承包人提供的文件不少于4份。</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1.6.3图纸的修改</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监理人应在取得发包人同意后，在该工程或工程相应部位施工前7天签发图纸修改图给承包人。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highlight w:val="none"/>
              </w:rPr>
              <w:framePr w:vAnchor="text" w:hAnchor="page" w:x="1267" w:y="208"/>
            </w:pPr>
            <w:r>
              <w:rPr>
                <w:rFonts w:hint="eastAsia" w:ascii="宋体" w:hAnsi="宋体" w:cs="宋体"/>
                <w:highlight w:val="none"/>
              </w:rPr>
              <w:t xml:space="preserve">2.3提供施工场地</w:t>
            </w:r>
            <w:r>
              <w:rPr>
                <w:rFonts w:ascii="宋体" w:hAnsi="宋体" w:cs="宋体"/>
                <w:highlight w:val="none"/>
              </w:rPr>
            </w:r>
            <w:r/>
          </w:p>
          <w:p>
            <w:pPr>
              <w:pStyle w:val="700"/>
              <w:rPr>
                <w:rFonts w:ascii="宋体" w:hAnsi="宋体" w:cs="宋体"/>
                <w:highlight w:val="none"/>
              </w:rPr>
              <w:framePr w:vAnchor="text" w:hAnchor="page" w:x="1267" w:y="208"/>
            </w:pPr>
            <w:r>
              <w:rPr>
                <w:rFonts w:hint="eastAsia" w:ascii="宋体" w:hAnsi="宋体" w:cs="宋体"/>
                <w:highlight w:val="none"/>
                <w:lang w:val="en-US" w:eastAsia="zh-CN"/>
              </w:rPr>
              <w:t xml:space="preserve">/</w:t>
            </w:r>
            <w:r>
              <w:rPr>
                <w:rFonts w:hint="eastAsia" w:ascii="宋体" w:hAnsi="宋体" w:cs="宋体"/>
                <w:highlight w:val="none"/>
              </w:rPr>
              <w:t xml:space="preserve">。</w:t>
            </w:r>
            <w:r>
              <w:rPr>
                <w:rFonts w:ascii="宋体" w:hAnsi="宋体" w:cs="宋体"/>
                <w:highlight w:val="none"/>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2.4发包人协助承包人办理相关证件和批件，但办理相关证件的费用由承包人支付，并在投标报价中予以考虑。</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3.1.1监理人在行使下列权力前，必须得到发包人的批准。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（1）按照第11条规定，确定推迟开工或延长完工期限；</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（2）按照第12条规定，涉及全局的暂停施工、复工；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（3）按照第15条规定，当工程变更或由于变更引起任何价格变动时作出的变更决定。</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（4）按照第23条规定，索赔的批准和支付。</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3.4.4承包人除应服从总监理工程师或按第3.3.1项被授权的监理人员处取得指示外，亦应服从发包人或其现场建设单位直接发出的指示，前提是发包人将相关代表人员告知承包人。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3.5.1本合同条款中需要总监理工程师商定或确定的事项有：如第15条的变更、第16条价格调整、第21条不可抗力、第23条索赔等。</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4.1.3完成各项承包工作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（1）承包人应提供为完成合同工作所需的劳务、材料、施工设备、工程设备和其他物品，除劳务以外，上述材料、施工设备、工程设备须承包人自有或自行采购等。</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4.1.4承包人应在工程实施过程根据投标文件施工组织设计，进一步细化安全生产技术措施和施工现场临时用电方案，同时应对相应等级危险性较大的分部分项工程编制专项施工方案，并附具安全验算结果，经承包人技术负责人、总监理工程师签字后并由专职安全生产管理人员进行现场监督。</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4.1.9在监理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4.1.10其他义务</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（1）承包人与发包人签订廉政合同。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（2）承包人与发包人签订资金安全合同。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（3）承包人与发包人签订资金安全合同。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（4）承包人承诺不拖欠劳务工资。</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（5）按照国家有关法律、法规编制各类预案等工作。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（6）配合工程竣工后各类审计、评审、报奖等各类工作。</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4.2履约担保</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履约担保采用银行保函或现金形式，担保金额为签约合同价的5％。</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4.3.2本工程不允许分包。</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4.4本工程不接受联合体投标。</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4.5.1承包人项目经理应在监理人签发进场通知后的7日内到职。项目经理一般情况下不得易人，如果易人只能以备选项目经理改任项目经理，不得再寻第三人担任项目经理。项目副经理、技术负责人除特殊情况外不得更换。项目经理、项目副经理、技术负责人短期离开工地，应事先提出书面申请并征得同意后方可离开。3天以内（含3天）报监理人批准，报发包人核备，同时应委派代表代行其职，3天以上报监理人转报发包人批准。一般情况，每人每月在工期间不得少于22天。项目经理、项目副经理、技术负责人不得同时离开工地。</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项目经理、项目副经理、技术负责人、质检员、安全员在工由业主对其考勤，对于月在工天数少于22天的，每少一天，扣除违约金1000元/（人*天）。</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4.8.5劳务用工应符合国家有关法律法规。</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4.9承包人须严格执行《资金安全合同》，并在发包人指定银行开设账户，工程资金须用于本合同工程建设，发包人随时有权检查工程资金流向，若有资金使用不规范情况，发包人有权拒付工程款项，并要求追回工程款。</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施工投标人应按照《中华人民共和国会计法》、《会计基础工作规范》和《投标人会计制度》的规定执行，专账核算，以便发包人进行资金监督，确保工程建设资金安全。</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5.1.2见《技术标准和要求》一般规定“承包人提供的材料和工程设备”。</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5.2.1本合同中发包人不提供材料和工程设备。</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6.2发包人不提供任何的施工设备和临时设施。</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7.1发包人可根据工程需要协助承包人办理取得出入施工场地的专用和临时道路的通行权，以及取得为工程建设所需修建场外设施的权利，但相关费用由承包人承担。</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8.1.1发包人在监理人发出进场通知7天内，通过监理人向承包人提供测量基准点、基准线和水准点及其书面资料。承包人应在收到开工通知后7天内，将施工控制网资料报送监理人审批。承包人应在施工区外围（不受施工影响）埋设一处永久性水准测量标志，做好施工期保护，确保在工程移交时完好，并列入工程竣工移交范围。</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9.2.1承包人应在开工后28天内，按合同约定的安全生产内容和文明工地建设目标，编制施工安全措施计划和文明工地建设计划报送监理人审批。为加强安全管理，发包人可根据工程实际，组织一个由发包人、监理人和承包人共同参与的安全生产组织机构和文明工地创建机构，监督和协调工地的施工安全和文明工地创建工作，承包人应予以配合。</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9.3.1承包人进驻现场后，应与当地公安部门联系协商，在现场联合建立治安管理机构（或联防组织），或项目经理部成立警卫室，统一管理施工场地的治安保卫事项，履行合同工程的治安保卫职责。</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9.3.3承包人应在工程开工后14天内，编制施工场地治安管理计划，并制定应对突发治安事件的紧急预案报监理人和发包人。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9.4环境保护</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9.4.1本款具体内容详见《技术标准和要求》一般规定。</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9.4.2施工区须经常撒水，减少粉尘污染，生活区生活垃圾及时处理，施工机械油污应通过回收利用等进行处理。</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10.1合同进度计划</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须在开工后7天报送详细施工进度计划和施工方案说明，监理人应在7天内予以批复或提出修改意见，承包人据此确定合同进度计划（须进一步明确年度计划、月计划、旬计划和周计划），并做好各类进度报表的编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10.2合同进度计划的修订</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承包人在投标时充分考虑节假日加班的因素，并计入报价内。</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11.5承包人的工期延误</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对于约定的合同工期，每推迟1天完成扣除违约金2000元，总额不超过签约合同价的5%。</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13.1.1本工程施工质量达到《江苏省水利工程施工质量检验与评定规范》（DB32/T2334-2013）及《水利水电工程施工质量检验与评定规程》（SL176-2007）规定的合格标准。</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13.2承包人的质量管理</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13.2.1“合同约定的期限内”为开工后14天。</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13.3承包人的质量检查见《技术标准和要求》</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13.5工程隐蔽部位覆盖前的检查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13.5.1通知监理人检查</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“约定的期限内”为24小时</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14.1材料、工程设备和工程的试验和检验</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承包人拟采购设备、水表、变压器、管材等必须上报监理、业主，并书面确认同意后，方能使用。未经甲方书面确认或未经甲方书面批准，否则不予进入施工现场。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承包人拟采购采购设备、水表、变压器、管材等必须上报监理、业主，现场考察同意后，方能采购。未经甲方书面确认或未经甲方书面批准，否则不予进入施工现场。</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15.3.2（1）“14天内”改为“7天内”</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15.3.2（3）“14天内”改为“7天内”</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15.4.3已标价工程量清单中无适用或类似子目的单价，可按江苏省水利工程预算定额中人材机定额数量和投标书中人材机价格确定单价；江苏省水利工程预算定额中无类似子目则可参照公路、市政、房建等预算定额编制单价，若所有定额中均无该子目则参照类似工程单价。费率按投标文件相应费率取值。</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keepNext/>
              <w:rPr>
                <w:rFonts w:ascii="宋体" w:hAnsi="宋体"/>
              </w:rPr>
              <w:framePr w:vAnchor="text" w:hAnchor="page" w:x="1267" w:y="208"/>
            </w:pPr>
            <w:r>
              <w:rPr>
                <w:rFonts w:hint="eastAsia" w:ascii="宋体" w:hAnsi="宋体" w:cs="宋体"/>
              </w:rPr>
              <w:t xml:space="preserve">16.1物价波动引起的价格调整：</w:t>
            </w:r>
            <w:r>
              <w:rPr>
                <w:rFonts w:hint="eastAsia" w:ascii="宋体" w:hAnsi="宋体"/>
              </w:rPr>
              <w:t xml:space="preserve">按江苏省水利厅相关文件执行。</w:t>
            </w:r>
            <w:r>
              <w:rPr>
                <w:rFonts w:ascii="宋体" w:hAnsi="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17.2预付款</w:t>
            </w:r>
            <w:r>
              <w:rPr>
                <w:rFonts w:ascii="宋体" w:hAnsi="宋体" w:cs="宋体"/>
              </w:rPr>
            </w:r>
            <w:r/>
          </w:p>
          <w:p>
            <w:pPr>
              <w:pStyle w:val="700"/>
              <w:keepNext/>
              <w:framePr w:vAnchor="text" w:hAnchor="page" w:x="1267" w:y="208"/>
            </w:pPr>
            <w:r>
              <w:rPr>
                <w:rFonts w:hint="eastAsia"/>
              </w:rPr>
              <w:t xml:space="preserve">工程预付款总金额为签约合同价的10％，由发包人分两次支付给承包人，第一次支付金额为该预付款总额的50％，第二次支付金额为该预付款总额的50％。</w:t>
            </w:r>
            <w:r/>
          </w:p>
          <w:p>
            <w:pPr>
              <w:pStyle w:val="700"/>
              <w:keepNext/>
              <w:framePr w:vAnchor="text" w:hAnchor="page" w:x="1267" w:y="208"/>
            </w:pPr>
            <w:r>
              <w:rPr>
                <w:rFonts w:hint="eastAsia"/>
              </w:rPr>
              <w:t xml:space="preserve">第一次预付款在合同签订后21天内，由承包人向发包人提交了经发包人认可的工程预付款保函，并经监理人出具付款证书报送发包人批准后予以支付。工程预付款保函在预付款被发包人扣回前一直有效。第二次预付款需待承包人主要设备进入工地后，其估算价值已达到本次预付款金额时，由承包人提出书面申请，经监理人核实后出具付款证书报送发包人，发包人收到监理人出具的付款证书后14天内支付给承包人。</w:t>
            </w:r>
            <w:r/>
          </w:p>
          <w:p>
            <w:pPr>
              <w:pStyle w:val="700"/>
              <w:keepNext/>
              <w:framePr w:vAnchor="text" w:hAnchor="page" w:x="1267" w:y="208"/>
            </w:pPr>
            <w:r>
              <w:rPr>
                <w:rFonts w:hint="eastAsia"/>
              </w:rPr>
              <w:t xml:space="preserve">17.2.2预付款保函</w:t>
            </w:r>
            <w:r/>
          </w:p>
          <w:p>
            <w:pPr>
              <w:pStyle w:val="700"/>
              <w:keepNext/>
              <w:framePr w:vAnchor="text" w:hAnchor="page" w:x="1267" w:y="208"/>
            </w:pPr>
            <w:r>
              <w:rPr>
                <w:rFonts w:hint="eastAsia"/>
              </w:rPr>
              <w:t xml:space="preserve">承包人应在合同签订后21天内向发包人提交预付款保函，预付款保函的担保金额应与预付款金额相同。</w:t>
            </w:r>
            <w:r/>
          </w:p>
          <w:p>
            <w:pPr>
              <w:pStyle w:val="700"/>
              <w:keepNext/>
              <w:framePr w:vAnchor="text" w:hAnchor="page" w:x="1267" w:y="208"/>
            </w:pPr>
            <w:r/>
            <w:r/>
          </w:p>
          <w:p>
            <w:pPr>
              <w:pStyle w:val="700"/>
              <w:keepNext/>
              <w:framePr w:vAnchor="text" w:hAnchor="page" w:x="1267" w:y="208"/>
            </w:pPr>
            <w:r>
              <w:rPr>
                <w:rFonts w:hint="eastAsia"/>
              </w:rPr>
              <w:t xml:space="preserve">17.2.3预付款的扣回与还清</w:t>
            </w:r>
            <w:r/>
          </w:p>
          <w:p>
            <w:pPr>
              <w:pStyle w:val="700"/>
              <w:keepNext/>
              <w:framePr w:vAnchor="text" w:hAnchor="page" w:x="1267" w:y="208"/>
            </w:pPr>
            <w:r>
              <w:rPr>
                <w:rFonts w:hint="eastAsia"/>
              </w:rPr>
              <w:t xml:space="preserve">工程预付款由发包人从月进度付款中扣回。在合同累计完成金额达到签约合同价的15%时开始扣款，直至合同累计完成金额达到签约合同价的80%时全部扣清。</w:t>
            </w:r>
            <w:r/>
          </w:p>
          <w:p>
            <w:pPr>
              <w:pStyle w:val="700"/>
              <w:keepNext/>
              <w:framePr w:vAnchor="text" w:hAnchor="page" w:x="1267" w:y="208"/>
            </w:pPr>
            <w:r>
              <w:rPr>
                <w:rFonts w:hint="eastAsia"/>
              </w:rPr>
              <w:t xml:space="preserve">累计扣回的预付款金额按下列公式计算：</w:t>
            </w:r>
            <w:r/>
          </w:p>
          <w:p>
            <w:pPr>
              <w:pStyle w:val="700"/>
              <w:ind w:firstLine="420"/>
              <w:keepNext/>
              <w:framePr w:vAnchor="text" w:hAnchor="page" w:x="1267" w:y="208"/>
            </w:pPr>
            <w:r>
              <w:object w:dxaOrig="2524" w:dyaOrig="16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6.2pt;height:32.8pt;mso-wrap-distance-left:0.0pt;mso-wrap-distance-top:0.0pt;mso-wrap-distance-right:0.0pt;mso-wrap-distance-bottom:0.0pt;" filled="f" stroked="f">
                  <v:path textboxrect="0,0,0,0"/>
                  <v:imagedata r:id="rId12" o:title=""/>
                </v:shape>
                <o:OLEObject DrawAspect="Content" r:id="rId13" ObjectID="_1525041" ProgID="Equation.3" ShapeID="_x0000_i1" Type="Embed"/>
              </w:object>
            </w:r>
            <w:r/>
          </w:p>
          <w:p>
            <w:pPr>
              <w:pStyle w:val="700"/>
              <w:keepNext/>
              <w:framePr w:vAnchor="text" w:hAnchor="page" w:x="1267" w:y="208"/>
            </w:pPr>
            <w:r>
              <w:rPr>
                <w:rFonts w:hint="eastAsia"/>
              </w:rPr>
              <w:t xml:space="preserve">式中</w:t>
            </w:r>
            <w:r>
              <w:t xml:space="preserve">R—</w:t>
            </w:r>
            <w:r>
              <w:rPr>
                <w:rFonts w:hint="eastAsia"/>
              </w:rPr>
              <w:t xml:space="preserve">每次进度付款中累计扣回的预付款金额；</w:t>
            </w:r>
            <w:r/>
          </w:p>
          <w:p>
            <w:pPr>
              <w:pStyle w:val="700"/>
              <w:keepNext/>
              <w:framePr w:vAnchor="text" w:hAnchor="page" w:x="1267" w:y="208"/>
            </w:pPr>
            <w:r>
              <w:rPr>
                <w:rFonts w:hint="eastAsia"/>
              </w:rPr>
              <w:t xml:space="preserve">A-工程预付款总金额；</w:t>
            </w:r>
            <w:r/>
          </w:p>
          <w:p>
            <w:pPr>
              <w:pStyle w:val="700"/>
              <w:keepNext/>
              <w:framePr w:vAnchor="text" w:hAnchor="page" w:x="1267" w:y="208"/>
            </w:pPr>
            <w:r>
              <w:rPr>
                <w:rFonts w:hint="eastAsia"/>
              </w:rPr>
              <w:t xml:space="preserve">S-合同价格；</w:t>
            </w:r>
            <w:r/>
          </w:p>
          <w:p>
            <w:pPr>
              <w:pStyle w:val="700"/>
              <w:keepNext/>
              <w:framePr w:vAnchor="text" w:hAnchor="page" w:x="1267" w:y="208"/>
            </w:pPr>
            <w:r>
              <w:rPr>
                <w:rFonts w:hint="eastAsia"/>
              </w:rPr>
              <w:t xml:space="preserve">C-合同累计完成金额；</w:t>
            </w:r>
            <w:r/>
          </w:p>
          <w:p>
            <w:pPr>
              <w:pStyle w:val="700"/>
              <w:keepNext/>
              <w:framePr w:vAnchor="text" w:hAnchor="page" w:x="1267" w:y="208"/>
            </w:pPr>
            <w:r>
              <w:rPr>
                <w:rFonts w:hint="eastAsia"/>
              </w:rPr>
              <w:t xml:space="preserve">F1-按专用合同条款规定开始扣款时合同累计完成金额达到合同价格的比例，本合同为15%；</w:t>
            </w:r>
            <w:r/>
          </w:p>
          <w:p>
            <w:pPr>
              <w:pStyle w:val="700"/>
              <w:keepNext/>
              <w:framePr w:vAnchor="text" w:hAnchor="page" w:x="1267" w:y="208"/>
            </w:pPr>
            <w:r>
              <w:rPr>
                <w:rFonts w:hint="eastAsia"/>
              </w:rPr>
              <w:t xml:space="preserve">F2-按专用合同条款规定全部扣清时合同累计完成金额达到合同价格的比例，本合同为80%。</w:t>
            </w:r>
            <w:r/>
          </w:p>
          <w:p>
            <w:pPr>
              <w:pStyle w:val="700"/>
              <w:rPr>
                <w:rFonts w:ascii="宋体" w:hAnsi="宋体" w:cs="宋体"/>
              </w:rPr>
              <w:framePr w:vAnchor="text" w:hAnchor="page" w:x="1267" w:y="208"/>
            </w:pPr>
            <w:r>
              <w:rPr>
                <w:rFonts w:hint="eastAsia"/>
              </w:rPr>
              <w:t xml:space="preserve">上述合同累计完成金额均指价格调整前未扣保留金的金额。</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ind w:right="248" w:firstLine="420"/>
              <w:spacing w:line="400" w:lineRule="exact"/>
              <w:rPr>
                <w:rFonts w:ascii="宋体" w:hAnsi="宋体" w:cs="宋体"/>
              </w:rPr>
              <w:framePr w:vAnchor="text" w:hAnchor="page" w:x="1267" w:y="208"/>
            </w:pPr>
            <w:r>
              <w:rPr>
                <w:rFonts w:ascii="宋体" w:hAnsi="宋体" w:cs="宋体"/>
              </w:rPr>
            </w:r>
            <w:r/>
          </w:p>
          <w:p>
            <w:pPr>
              <w:pStyle w:val="700"/>
              <w:ind w:right="248" w:firstLine="420"/>
              <w:jc w:val="left"/>
              <w:spacing w:line="360" w:lineRule="auto"/>
              <w:rPr>
                <w:rFonts w:ascii="宋体" w:hAnsi="宋体" w:cs="宋体"/>
                <w:b/>
                <w:bCs/>
                <w:sz w:val="22"/>
                <w:szCs w:val="22"/>
              </w:rPr>
              <w:framePr w:vAnchor="text" w:hAnchor="page" w:x="1267" w:y="208"/>
            </w:pPr>
            <w:r>
              <w:rPr>
                <w:rFonts w:hint="eastAsia" w:ascii="宋体" w:hAnsi="宋体" w:cs="宋体"/>
              </w:rPr>
              <w:br w:type="textWrapping" w:clear="all"/>
            </w:r>
            <w:r>
              <w:rPr>
                <w:rFonts w:hint="eastAsia" w:ascii="宋体" w:hAnsi="宋体" w:cs="宋体"/>
                <w:sz w:val="22"/>
                <w:szCs w:val="22"/>
              </w:rPr>
              <w:t xml:space="preserve">17.3.</w:t>
            </w:r>
            <w:r>
              <w:rPr>
                <w:rFonts w:hint="eastAsia" w:ascii="宋体" w:hAnsi="宋体" w:cs="宋体"/>
                <w:sz w:val="22"/>
                <w:szCs w:val="22"/>
                <w:highlight w:val="none"/>
              </w:rPr>
              <w:t xml:space="preserve">1</w:t>
            </w:r>
            <w:r>
              <w:rPr>
                <w:rFonts w:hint="eastAsia" w:ascii="宋体" w:hAnsi="宋体" w:cs="宋体"/>
                <w:b/>
                <w:bCs/>
                <w:sz w:val="22"/>
                <w:szCs w:val="22"/>
                <w:highlight w:val="none"/>
                <w:lang w:val="en-US" w:eastAsia="zh-CN"/>
              </w:rPr>
              <w:t xml:space="preserve">合同工程</w:t>
            </w:r>
            <w:r>
              <w:rPr>
                <w:rFonts w:hint="eastAsia" w:ascii="宋体" w:hAnsi="宋体" w:cs="宋体"/>
                <w:b/>
                <w:bCs/>
                <w:szCs w:val="21"/>
                <w:highlight w:val="none"/>
              </w:rPr>
              <w:t xml:space="preserve">验收后付至已完合格工程价款的90%，竣工验收后付至审定结算价的97%，余款在质保期满后付清。</w:t>
            </w:r>
            <w:r>
              <w:rPr>
                <w:rFonts w:ascii="宋体" w:hAnsi="宋体" w:cs="宋体"/>
                <w:b/>
                <w:bCs/>
                <w:sz w:val="22"/>
                <w:szCs w:val="22"/>
              </w:rPr>
            </w:r>
            <w:r/>
          </w:p>
          <w:p>
            <w:pPr>
              <w:pStyle w:val="700"/>
              <w:keepNext/>
              <w:rPr>
                <w:rFonts w:ascii="宋体" w:hAnsi="宋体"/>
                <w:szCs w:val="21"/>
              </w:rPr>
              <w:framePr w:vAnchor="text" w:hAnchor="page" w:x="1267" w:y="208"/>
            </w:pP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17.3.1（1）发包人仅对监理人复核施工质量等级合格及以上且相关的质量评定资料完备的工程项目内容进行支付，不合格工程及质量评定资料不完备的不予支付。承包人申报工程计量时应以清单项目作为最小的计量单位（未列入项目划分的临时工程除外）进行申报，未纳入工程质量评定的项目除外。</w:t>
            </w: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（2）对于争议较大的工程索赔等项目，经协商后等工程通过竣工财务决算审计后进行支付。</w:t>
            </w: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（3）承包人付款申请须满足本条（1），否则支付时间不按17.3.3（1）执行。</w:t>
            </w: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17.3.2进度付款申请单</w:t>
            </w: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“专用合同条款约定的份数”为6份</w:t>
            </w:r>
            <w:r>
              <w:rPr>
                <w:rFonts w:ascii="宋体" w:hAnsi="宋体"/>
                <w:szCs w:val="21"/>
              </w:rPr>
            </w:r>
            <w:r/>
          </w:p>
          <w:p>
            <w:pPr>
              <w:pStyle w:val="700"/>
              <w:keepNext/>
              <w:rPr>
                <w:rFonts w:ascii="宋体" w:hAnsi="宋体"/>
                <w:szCs w:val="21"/>
              </w:rPr>
              <w:framePr w:vAnchor="text" w:hAnchor="page" w:x="1267" w:y="208"/>
            </w:pPr>
            <w:r>
              <w:rPr>
                <w:rFonts w:ascii="宋体" w:hAnsi="宋体"/>
                <w:szCs w:val="21"/>
              </w:rPr>
            </w:r>
            <w:r/>
          </w:p>
          <w:p>
            <w:pPr>
              <w:pStyle w:val="700"/>
              <w:keepNext/>
              <w:rPr>
                <w:rFonts w:ascii="宋体" w:hAnsi="宋体"/>
                <w:szCs w:val="21"/>
              </w:rPr>
              <w:framePr w:vAnchor="text" w:hAnchor="page" w:x="1267" w:y="208"/>
            </w:pP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17.3.3进度付款证书和支付时间</w:t>
            </w:r>
            <w:r>
              <w:rPr>
                <w:rFonts w:ascii="宋体" w:hAnsi="宋体"/>
                <w:szCs w:val="21"/>
              </w:rPr>
            </w:r>
            <w:r/>
          </w:p>
          <w:p>
            <w:pPr>
              <w:pStyle w:val="700"/>
              <w:keepNext/>
              <w:rPr>
                <w:rFonts w:ascii="宋体" w:hAnsi="宋体"/>
                <w:szCs w:val="21"/>
              </w:rPr>
              <w:framePr w:vAnchor="text" w:hAnchor="page" w:x="1267" w:y="208"/>
            </w:pPr>
            <w:r>
              <w:rPr>
                <w:rFonts w:hint="eastAsia" w:ascii="宋体" w:hAnsi="宋体"/>
                <w:szCs w:val="21"/>
              </w:rPr>
              <w:t xml:space="preserve">本款（2）中</w:t>
            </w:r>
            <w:r>
              <w:rPr>
                <w:rFonts w:ascii="宋体" w:hAnsi="宋体"/>
                <w:szCs w:val="21"/>
              </w:rPr>
              <w:t xml:space="preserve">“</w:t>
            </w:r>
            <w:r>
              <w:rPr>
                <w:rFonts w:hint="eastAsia" w:ascii="宋体" w:hAnsi="宋体"/>
                <w:szCs w:val="21"/>
              </w:rPr>
              <w:t xml:space="preserve">专用合同条款的约定支付逾期付款违约金</w:t>
            </w:r>
            <w:r>
              <w:rPr>
                <w:rFonts w:ascii="宋体" w:hAnsi="宋体"/>
                <w:szCs w:val="21"/>
              </w:rPr>
              <w:t xml:space="preserve">”</w:t>
            </w:r>
            <w:r>
              <w:rPr>
                <w:rFonts w:hint="eastAsia" w:ascii="宋体" w:hAnsi="宋体"/>
                <w:szCs w:val="21"/>
              </w:rPr>
              <w:t xml:space="preserve">不计任何利息</w:t>
            </w:r>
            <w:r>
              <w:rPr>
                <w:rFonts w:ascii="宋体" w:hAnsi="宋体"/>
                <w:szCs w:val="21"/>
              </w:rPr>
              <w:t xml:space="preserve">。</w:t>
            </w:r>
            <w:r>
              <w:rPr>
                <w:rFonts w:ascii="宋体" w:hAnsi="宋体"/>
                <w:szCs w:val="21"/>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br w:type="textWrapping" w:clear="all"/>
            </w:r>
            <w:r>
              <w:rPr>
                <w:rFonts w:hint="eastAsia" w:ascii="宋体" w:hAnsi="宋体" w:cs="宋体"/>
              </w:rPr>
              <w:t xml:space="preserve">17.4.1</w:t>
            </w:r>
            <w:r>
              <w:rPr>
                <w:rFonts w:hint="eastAsia" w:ascii="宋体" w:hAnsi="宋体" w:cs="宋体"/>
                <w:lang w:val="en-US" w:eastAsia="zh-CN"/>
              </w:rPr>
              <w:t xml:space="preserve"> 不扣留质量保证金</w:t>
            </w:r>
            <w:r>
              <w:rPr>
                <w:rFonts w:hint="eastAsia" w:ascii="宋体" w:hAnsi="宋体" w:cs="宋体"/>
              </w:rPr>
              <w:t xml:space="preserve">。</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根据连人社规[2022]4号《连云港市工程建设领域农民工工资保证金管理细则》，相关规定执行，工程通过单位工程验收后并无拖欠农民工工资的予以退还；如发生拖欠农民工工资现象,则直接从保证金中支付农民工工资。</w:t>
            </w:r>
            <w:r>
              <w:rPr>
                <w:rFonts w:ascii="宋体" w:hAnsi="宋体" w:cs="宋体"/>
              </w:rPr>
            </w:r>
            <w:r/>
          </w:p>
          <w:p>
            <w:pPr>
              <w:pStyle w:val="700"/>
              <w:rPr>
                <w:rFonts w:ascii="宋体" w:hAnsi="宋体" w:cs="宋体"/>
              </w:rPr>
              <w:framePr w:vAnchor="text" w:hAnchor="page" w:x="1267" w:y="208"/>
            </w:pPr>
            <w:r>
              <w:rPr>
                <w:rFonts w:hint="eastAsia" w:ascii="宋体" w:hAnsi="宋体" w:cs="宋体"/>
              </w:rPr>
              <w:br w:type="textWrapping" w:clear="all"/>
            </w:r>
            <w:r>
              <w:rPr>
                <w:rFonts w:hint="eastAsia" w:ascii="宋体" w:hAnsi="宋体" w:cs="宋体"/>
              </w:rPr>
              <w:t xml:space="preserve">质量保证金的退还：工程质量满足13.1.1条约定的验收标准的要求，发包人在保修期满后1个月内（无质量问题）支付质量保证金。质量保证金的退还不计利息。</w:t>
            </w:r>
            <w:r>
              <w:rPr>
                <w:rFonts w:hint="eastAsia" w:ascii="宋体" w:hAnsi="宋体" w:cs="宋体"/>
              </w:rPr>
              <w:br w:type="textWrapping" w:clear="all"/>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17.5.1竣工付款申请单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（1）工程接收证书颁发后28天内，承包人向监理人提交竣工付款申请单（一式6份），并提供相关证明材料。</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17.6.1最终结清申请单</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（1）缺陷责任期终止证书签发后28天内，承包人向监理人提交最终结清申请单（一式6份），并提供相关证明材料。</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19.7保修责任</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本工程保修的范围为施工合同全部内容，保修期限1年。</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20.4.2承包人应以发包人和承包人的共同名义向双方同意的保险人投保建筑工程一切险、安装工程一切险、第三者责任险等险种，费用摊到投标报价中，不另行支付，保险期限为工程施工工期。</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20.6.1保险凭证</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承包人应在收到监理人开工通知后的28天内向监理人发包人提交各项保险生效的证据和保险单副本。</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21.1.1约定不可抗力</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约定发生下列情况为不可抗力：</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（1）地震：发生6级以上地震，震中在工程所在地100km范围内。</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（2）海啸：海浪涌高在工程所在地超过4.0米；</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（3）瘟疫：当地防疫部门发布公开报告。</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（4）风浪：当地气象部门报告出现8级以上大风，同时水文部门实测4.0米以上高潮。</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24.1争议的解决方式</w:t>
            </w: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双方约定争议的解决方式：连云港仲裁委员会。</w:t>
            </w: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ascii="宋体" w:hAnsi="宋体" w:cs="宋体"/>
              </w:rPr>
            </w:r>
            <w:r/>
          </w:p>
          <w:p>
            <w:pPr>
              <w:pStyle w:val="700"/>
              <w:rPr>
                <w:rFonts w:ascii="宋体" w:hAnsi="宋体" w:cs="宋体"/>
              </w:rPr>
              <w:framePr w:vAnchor="text" w:hAnchor="page" w:x="1267" w:y="208"/>
            </w:pPr>
            <w:r>
              <w:rPr>
                <w:rFonts w:hint="eastAsia" w:ascii="宋体" w:hAnsi="宋体" w:cs="宋体"/>
              </w:rPr>
              <w:t xml:space="preserve">——完——</w:t>
            </w:r>
            <w:r>
              <w:rPr>
                <w:rFonts w:ascii="宋体" w:hAnsi="宋体" w:cs="宋体"/>
              </w:rPr>
            </w:r>
            <w:r/>
          </w:p>
        </w:tc>
      </w:tr>
    </w:tbl>
    <w:p>
      <w:pPr>
        <w:pStyle w:val="701"/>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27"/>
      <w:r>
        <w:rPr>
          <w:rFonts w:ascii="黑体" w:hAnsi="黑体" w:eastAsia="黑体"/>
          <w:b w:val="0"/>
        </w:rPr>
      </w:r>
      <w:r/>
    </w:p>
    <w:p>
      <w:pPr>
        <w:pStyle w:val="700"/>
        <w:ind w:firstLine="480"/>
        <w:jc w:val="left"/>
        <w:spacing w:line="360" w:lineRule="auto"/>
        <w:rPr>
          <w:b/>
          <w:bCs/>
          <w:sz w:val="24"/>
          <w:szCs w:val="24"/>
        </w:rPr>
      </w:pPr>
      <w:r>
        <w:rPr>
          <w:rFonts w:hint="eastAsia"/>
          <w:sz w:val="24"/>
          <w:szCs w:val="24"/>
        </w:rPr>
        <w:t xml:space="preserve">说明：本项目属性为</w:t>
      </w:r>
      <w:r>
        <w:rPr>
          <w:rFonts w:hint="eastAsia"/>
          <w:b/>
          <w:bCs/>
          <w:sz w:val="24"/>
          <w:szCs w:val="24"/>
          <w:u w:val="single"/>
          <w:lang w:val="en-US" w:eastAsia="zh-CN"/>
        </w:rPr>
        <w:t xml:space="preserve">工程</w:t>
      </w:r>
      <w:r>
        <w:rPr>
          <w:rFonts w:hint="eastAsia"/>
          <w:sz w:val="24"/>
          <w:szCs w:val="24"/>
        </w:rPr>
        <w:t xml:space="preserve">，采购标的对应的中小企业划分标准所属行业为：</w:t>
      </w:r>
      <w:r>
        <w:rPr>
          <w:rFonts w:hint="eastAsia" w:eastAsia="宋体" w:cs="Times New Roman"/>
          <w:b/>
          <w:bCs/>
          <w:sz w:val="24"/>
          <w:szCs w:val="24"/>
          <w:u w:val="single"/>
          <w:lang w:val="en-US" w:eastAsia="zh-CN"/>
        </w:rPr>
        <w:t xml:space="preserve">建筑业</w:t>
      </w:r>
      <w:r>
        <w:rPr>
          <w:rFonts w:hint="eastAsia"/>
          <w:b/>
          <w:bCs/>
          <w:sz w:val="24"/>
          <w:szCs w:val="24"/>
        </w:rPr>
        <w:t xml:space="preserve">。</w:t>
      </w:r>
      <w:r>
        <w:rPr>
          <w:b/>
          <w:bCs/>
          <w:sz w:val="24"/>
          <w:szCs w:val="24"/>
        </w:rPr>
      </w:r>
      <w:r/>
    </w:p>
    <w:p>
      <w:pPr>
        <w:pStyle w:val="700"/>
        <w:ind w:firstLine="480"/>
        <w:jc w:val="left"/>
        <w:spacing w:line="360" w:lineRule="auto"/>
        <w:rPr>
          <w:sz w:val="24"/>
          <w:szCs w:val="24"/>
        </w:rPr>
      </w:pPr>
      <w:r>
        <w:rPr>
          <w:rFonts w:hint="eastAsia"/>
          <w:sz w:val="24"/>
          <w:szCs w:val="24"/>
        </w:rPr>
        <w:t xml:space="preserve">根据《政府采购需求管理办法》等有关规定，招标人确定采购需求。</w:t>
      </w:r>
      <w:r>
        <w:rPr>
          <w:sz w:val="24"/>
          <w:szCs w:val="24"/>
        </w:rPr>
      </w:r>
      <w:r/>
    </w:p>
    <w:p>
      <w:pPr>
        <w:pStyle w:val="700"/>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由招标人根据实际情况设置，投标人须逐条明确作出满足实质性要求和条件的响应，否则将按无效响应处理。</w:t>
      </w:r>
      <w:r>
        <w:rPr>
          <w:rFonts w:ascii="宋体" w:hAnsi="宋体" w:eastAsia="宋体" w:cs="宋体"/>
          <w:sz w:val="24"/>
          <w:szCs w:val="24"/>
          <w:highlight w:val="none"/>
        </w:rPr>
      </w:r>
      <w:r/>
    </w:p>
    <w:p>
      <w:pPr>
        <w:pStyle w:val="700"/>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700"/>
        <w:ind w:firstLine="480"/>
        <w:spacing w:line="360" w:lineRule="auto"/>
        <w:rPr>
          <w:rFonts w:hint="eastAsia" w:eastAsia="宋体" w:cs="Times New Roman"/>
          <w:sz w:val="24"/>
        </w:rPr>
      </w:pPr>
      <w:r>
        <w:rPr>
          <w:rFonts w:hint="eastAsia" w:eastAsia="宋体" w:cs="Times New Roman"/>
          <w:sz w:val="24"/>
        </w:rPr>
        <w:t xml:space="preserve">2025年12月15日，江苏省财政厅 江苏省水利厅关于提前下达2026年中央水利发展资金预算的通知（苏财农[2025]94号）指出，本次下达的资金用于中小河流治理、农村供水工程维养、小型水库维养、国家蓄滞洪区工程维养、中型灌区节水改造、小型引调水工程、水资源管理、水土流失综合治理、幸福河湖建设等，其中连云港市灌云县农村供水工程维养资金183万元。</w:t>
      </w:r>
      <w:r>
        <w:rPr>
          <w:rFonts w:hint="eastAsia" w:eastAsia="宋体" w:cs="Times New Roman"/>
          <w:sz w:val="24"/>
        </w:rPr>
      </w:r>
      <w:r/>
    </w:p>
    <w:p>
      <w:pPr>
        <w:pStyle w:val="700"/>
        <w:ind w:firstLine="480"/>
        <w:spacing w:line="360" w:lineRule="auto"/>
        <w:rPr>
          <w:rFonts w:ascii="宋体" w:hAnsi="宋体" w:eastAsia="宋体" w:cs="Times New Roman"/>
          <w:color w:val="000000"/>
          <w:sz w:val="24"/>
          <w:szCs w:val="24"/>
        </w:rPr>
      </w:pPr>
      <w:r>
        <w:rPr>
          <w:rFonts w:hint="eastAsia" w:eastAsia="宋体" w:cs="Times New Roman"/>
          <w:sz w:val="24"/>
        </w:rPr>
        <w:t xml:space="preserve">灌云县2026年农村供水工程维修养护项目计划解决四队镇20户80人、杨集镇3600户13765人饮水问题，符合苏财农[2025]94号文件精神。</w:t>
      </w:r>
      <w:r>
        <w:rPr>
          <w:rFonts w:ascii="宋体" w:hAnsi="宋体" w:eastAsia="宋体" w:cs="Times New Roman"/>
          <w:color w:val="000000"/>
          <w:sz w:val="24"/>
          <w:szCs w:val="24"/>
        </w:rPr>
      </w:r>
      <w:r/>
    </w:p>
    <w:p>
      <w:pPr>
        <w:pStyle w:val="700"/>
        <w:ind w:firstLine="562"/>
        <w:spacing w:line="360" w:lineRule="auto"/>
        <w:rPr>
          <w:sz w:val="24"/>
        </w:rPr>
      </w:pPr>
      <w:r>
        <w:rPr>
          <w:rFonts w:hint="eastAsia" w:ascii="Times New Roman" w:hAnsi="Times New Roman" w:eastAsia="宋体" w:cs="Times New Roman"/>
          <w:b/>
          <w:sz w:val="28"/>
          <w:szCs w:val="28"/>
        </w:rPr>
        <w:t xml:space="preserve">二、采购需求</w:t>
      </w:r>
      <w:r>
        <w:rPr>
          <w:sz w:val="24"/>
        </w:rPr>
      </w:r>
      <w:r/>
    </w:p>
    <w:p>
      <w:pPr>
        <w:pStyle w:val="700"/>
        <w:ind w:firstLine="480"/>
        <w:spacing w:line="360" w:lineRule="auto"/>
        <w:rPr>
          <w:sz w:val="24"/>
        </w:rPr>
      </w:pPr>
      <w:r>
        <w:rPr>
          <w:rFonts w:hint="eastAsia"/>
          <w:sz w:val="24"/>
        </w:rPr>
        <w:t xml:space="preserve">1、工作范围</w:t>
      </w:r>
      <w:r>
        <w:rPr>
          <w:sz w:val="24"/>
        </w:rPr>
      </w:r>
      <w:r/>
    </w:p>
    <w:p>
      <w:pPr>
        <w:pStyle w:val="700"/>
        <w:ind w:firstLine="480"/>
        <w:spacing w:line="360" w:lineRule="auto"/>
        <w:rPr>
          <w:rFonts w:hint="eastAsia"/>
          <w:sz w:val="24"/>
        </w:rPr>
      </w:pPr>
      <w:r>
        <w:rPr>
          <w:rFonts w:hint="eastAsia" w:ascii="宋体" w:hAnsi="宋体"/>
          <w:sz w:val="24"/>
        </w:rPr>
        <w:t xml:space="preserve">本次项目主要涉及杨集镇镇区、农旭村、元兴村、何庄、老庄、长流村， 四队镇迎春小区，受益3620户13845人</w:t>
      </w:r>
      <w:r>
        <w:rPr>
          <w:rFonts w:hint="eastAsia"/>
          <w:sz w:val="24"/>
        </w:rPr>
      </w:r>
      <w:r/>
    </w:p>
    <w:p>
      <w:pPr>
        <w:pStyle w:val="700"/>
        <w:ind w:firstLine="480"/>
        <w:spacing w:line="360" w:lineRule="auto"/>
        <w:rPr>
          <w:sz w:val="24"/>
        </w:rPr>
      </w:pPr>
      <w:r>
        <w:rPr>
          <w:rFonts w:hint="eastAsia"/>
          <w:sz w:val="24"/>
        </w:rPr>
        <w:t xml:space="preserve">2、工作目标</w:t>
      </w:r>
      <w:r>
        <w:rPr>
          <w:sz w:val="24"/>
        </w:rPr>
      </w:r>
      <w:r/>
    </w:p>
    <w:p>
      <w:pPr>
        <w:pStyle w:val="700"/>
        <w:ind w:firstLine="480"/>
        <w:spacing w:line="360" w:lineRule="auto"/>
        <w:rPr>
          <w:sz w:val="24"/>
        </w:rPr>
      </w:pPr>
      <w:r>
        <w:rPr>
          <w:rFonts w:hint="eastAsia" w:hAnsi="宋体"/>
          <w:sz w:val="24"/>
        </w:rPr>
        <w:t xml:space="preserve">入户管网</w:t>
      </w:r>
      <w:r>
        <w:rPr>
          <w:rFonts w:hAnsi="宋体"/>
          <w:sz w:val="24"/>
        </w:rPr>
        <w:t xml:space="preserve">做到供水到户，实行一户一表</w:t>
      </w:r>
      <w:r>
        <w:rPr>
          <w:spacing w:val="8"/>
          <w:sz w:val="24"/>
        </w:rPr>
        <w:t xml:space="preserve">，全日供水</w:t>
      </w:r>
      <w:r>
        <w:rPr>
          <w:rFonts w:hint="eastAsia"/>
          <w:spacing w:val="8"/>
          <w:sz w:val="24"/>
          <w:lang w:eastAsia="zh-CN"/>
        </w:rPr>
        <w:t xml:space="preserve">，</w:t>
      </w:r>
      <w:r>
        <w:rPr>
          <w:rFonts w:hAnsi="宋体"/>
          <w:sz w:val="24"/>
        </w:rPr>
        <w:t xml:space="preserve">供水保证率达到</w:t>
      </w:r>
      <w:r>
        <w:rPr>
          <w:sz w:val="24"/>
        </w:rPr>
        <w:t xml:space="preserve">95%</w:t>
      </w:r>
      <w:r>
        <w:rPr>
          <w:rFonts w:hint="eastAsia"/>
          <w:sz w:val="24"/>
        </w:rPr>
        <w:t xml:space="preserve">。</w:t>
      </w:r>
      <w:r>
        <w:rPr>
          <w:sz w:val="24"/>
        </w:rPr>
      </w:r>
      <w:r/>
    </w:p>
    <w:p>
      <w:pPr>
        <w:pStyle w:val="700"/>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 三、工作内容</w:t>
      </w:r>
      <w:r>
        <w:rPr>
          <w:rFonts w:ascii="Times New Roman" w:hAnsi="Times New Roman" w:eastAsia="宋体" w:cs="Times New Roman"/>
          <w:b/>
          <w:sz w:val="28"/>
          <w:szCs w:val="28"/>
        </w:rPr>
      </w:r>
      <w:r/>
    </w:p>
    <w:p>
      <w:pPr>
        <w:pStyle w:val="700"/>
        <w:ind w:firstLine="480"/>
        <w:spacing w:line="360" w:lineRule="auto"/>
        <w:rPr>
          <w:rFonts w:hint="eastAsia" w:ascii="宋体" w:hAnsi="宋体" w:eastAsia="宋体" w:cs="宋体"/>
          <w:b/>
          <w:bCs/>
          <w:sz w:val="28"/>
          <w:szCs w:val="28"/>
        </w:rPr>
      </w:pPr>
      <w:r>
        <w:rPr>
          <w:rFonts w:hint="eastAsia" w:ascii="宋体" w:hAnsi="宋体" w:eastAsia="宋体" w:cs="Times New Roman"/>
          <w:sz w:val="24"/>
        </w:rPr>
        <w:t xml:space="preserve">铺设PE100级聚乙烯管道共计8833m，其中dn160PE管（0.6MPa）50m、dn110PE管（0.6MPa）850m、dn90PE管（0.8MPa）1300m、dn75PE管（1.0MPa）380m、dn63PE管（1.25MPa）983m、dn50PE管（1.6MPa）1075m、dn40PE管（1.6MPa）2305m、dn32PE管（1.6MPa）1890m，219户入户配套工程；建设加压站1座；钢管367m。</w:t>
      </w:r>
      <w:r>
        <w:rPr>
          <w:rFonts w:hint="eastAsia" w:ascii="宋体" w:hAnsi="宋体" w:eastAsia="宋体" w:cs="Times New Roman"/>
          <w:sz w:val="24"/>
          <w:lang w:val="en-US" w:eastAsia="zh-CN"/>
        </w:rPr>
        <w:t xml:space="preserve"> </w:t>
      </w:r>
      <w:r>
        <w:rPr>
          <w:rFonts w:hint="eastAsia" w:ascii="宋体" w:hAnsi="宋体" w:eastAsia="宋体" w:cs="宋体"/>
          <w:b/>
          <w:bCs/>
          <w:sz w:val="28"/>
          <w:szCs w:val="28"/>
        </w:rPr>
      </w:r>
      <w:r/>
    </w:p>
    <w:p>
      <w:pPr>
        <w:pStyle w:val="700"/>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四、总体技术指标要求</w:t>
      </w:r>
      <w:r>
        <w:rPr>
          <w:rFonts w:ascii="宋体" w:hAnsi="宋体" w:eastAsia="宋体" w:cs="宋体"/>
          <w:b/>
          <w:bCs/>
          <w:sz w:val="28"/>
          <w:szCs w:val="28"/>
        </w:rPr>
      </w:r>
      <w:r/>
    </w:p>
    <w:p>
      <w:pPr>
        <w:pStyle w:val="700"/>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（一）参考依据</w:t>
      </w:r>
      <w:r>
        <w:rPr>
          <w:rFonts w:ascii="宋体" w:hAnsi="宋体" w:eastAsia="宋体" w:cs="宋体"/>
          <w:b/>
          <w:bCs/>
          <w:sz w:val="24"/>
          <w:szCs w:val="24"/>
        </w:rPr>
      </w:r>
      <w:r/>
    </w:p>
    <w:p>
      <w:pPr>
        <w:pStyle w:val="700"/>
        <w:ind w:firstLine="480"/>
        <w:spacing w:line="360" w:lineRule="auto"/>
        <w:rPr>
          <w:sz w:val="24"/>
        </w:rPr>
      </w:pPr>
      <w:r>
        <w:rPr>
          <w:sz w:val="24"/>
        </w:rPr>
        <w:t xml:space="preserve">《生活饮用水卫生标准》（GB5749-20</w:t>
      </w:r>
      <w:r>
        <w:rPr>
          <w:rFonts w:hint="eastAsia"/>
          <w:sz w:val="24"/>
        </w:rPr>
        <w:t xml:space="preserve">22</w:t>
      </w:r>
      <w:r>
        <w:rPr>
          <w:sz w:val="24"/>
        </w:rPr>
        <w:t xml:space="preserve">）</w:t>
      </w:r>
      <w:r>
        <w:rPr>
          <w:sz w:val="24"/>
        </w:rPr>
      </w:r>
      <w:r/>
    </w:p>
    <w:p>
      <w:pPr>
        <w:pStyle w:val="700"/>
        <w:ind w:firstLine="480"/>
        <w:spacing w:line="360" w:lineRule="auto"/>
        <w:rPr>
          <w:rFonts w:hint="eastAsia" w:eastAsia="宋体" w:cs="Times New Roman"/>
          <w:sz w:val="24"/>
        </w:rPr>
      </w:pPr>
      <w:r>
        <w:rPr>
          <w:rFonts w:hint="eastAsia" w:eastAsia="宋体" w:cs="Times New Roman"/>
          <w:sz w:val="24"/>
        </w:rPr>
        <w:t xml:space="preserve">《给水排水管道工程施工及验收规程》</w:t>
      </w:r>
      <w:r>
        <w:rPr>
          <w:rFonts w:hint="eastAsia" w:eastAsia="宋体" w:cs="Times New Roman"/>
          <w:sz w:val="24"/>
          <w:lang w:eastAsia="zh-CN"/>
        </w:rPr>
        <w:t xml:space="preserve">（</w:t>
      </w:r>
      <w:r>
        <w:rPr>
          <w:rFonts w:hint="eastAsia" w:eastAsia="宋体" w:cs="Times New Roman"/>
          <w:sz w:val="24"/>
        </w:rPr>
        <w:t xml:space="preserve">GB50268-2023</w:t>
      </w:r>
      <w:r>
        <w:rPr>
          <w:rFonts w:hint="eastAsia" w:eastAsia="宋体" w:cs="Times New Roman"/>
          <w:sz w:val="24"/>
          <w:lang w:eastAsia="zh-CN"/>
        </w:rPr>
        <w:t xml:space="preserve">）</w:t>
      </w:r>
      <w:r>
        <w:rPr>
          <w:rFonts w:hint="eastAsia" w:eastAsia="宋体" w:cs="Times New Roman"/>
          <w:sz w:val="24"/>
        </w:rPr>
      </w:r>
      <w:r/>
    </w:p>
    <w:p>
      <w:pPr>
        <w:pStyle w:val="700"/>
        <w:ind w:firstLine="480"/>
        <w:spacing w:line="360" w:lineRule="auto"/>
        <w:rPr>
          <w:rFonts w:hint="eastAsia" w:eastAsia="宋体" w:cs="Times New Roman"/>
          <w:sz w:val="24"/>
        </w:rPr>
      </w:pPr>
      <w:r>
        <w:rPr>
          <w:rFonts w:hint="eastAsia" w:eastAsia="宋体" w:cs="Times New Roman"/>
          <w:sz w:val="24"/>
        </w:rPr>
        <w:t xml:space="preserve">《村镇供水工程技术规范》(SL310-2019)</w:t>
      </w:r>
      <w:r>
        <w:rPr>
          <w:rFonts w:hint="eastAsia" w:eastAsia="宋体" w:cs="Times New Roman"/>
          <w:sz w:val="24"/>
        </w:rPr>
      </w:r>
      <w:r/>
    </w:p>
    <w:p>
      <w:pPr>
        <w:pStyle w:val="700"/>
        <w:ind w:firstLine="480"/>
        <w:spacing w:line="360" w:lineRule="auto"/>
        <w:rPr>
          <w:rFonts w:hint="eastAsia" w:eastAsia="宋体" w:cs="Times New Roman"/>
          <w:sz w:val="24"/>
          <w:lang w:eastAsia="zh-CN"/>
        </w:rPr>
      </w:pPr>
      <w:r>
        <w:rPr>
          <w:rFonts w:eastAsia="宋体" w:cs="Times New Roman"/>
          <w:sz w:val="24"/>
        </w:rPr>
        <w:t xml:space="preserve">《建筑给水排水与节水通用规范》</w:t>
      </w:r>
      <w:r>
        <w:rPr>
          <w:rFonts w:hint="eastAsia" w:eastAsia="宋体" w:cs="Times New Roman"/>
          <w:sz w:val="24"/>
          <w:lang w:eastAsia="zh-CN"/>
        </w:rPr>
        <w:t xml:space="preserve">（</w:t>
      </w:r>
      <w:r>
        <w:rPr>
          <w:rFonts w:hint="eastAsia" w:eastAsia="宋体" w:cs="Times New Roman"/>
          <w:sz w:val="24"/>
        </w:rPr>
        <w:t xml:space="preserve">GB55020-2021</w:t>
      </w:r>
      <w:r>
        <w:rPr>
          <w:rFonts w:hint="eastAsia" w:eastAsia="宋体" w:cs="Times New Roman"/>
          <w:sz w:val="24"/>
          <w:lang w:eastAsia="zh-CN"/>
        </w:rPr>
        <w:t xml:space="preserve">）</w:t>
      </w:r>
      <w:r>
        <w:rPr>
          <w:rFonts w:hint="eastAsia" w:eastAsia="宋体" w:cs="Times New Roman"/>
          <w:sz w:val="24"/>
          <w:lang w:eastAsia="zh-CN"/>
        </w:rPr>
      </w:r>
      <w:r/>
    </w:p>
    <w:p>
      <w:pPr>
        <w:pStyle w:val="700"/>
        <w:ind w:firstLine="480"/>
        <w:spacing w:line="360" w:lineRule="auto"/>
        <w:rPr>
          <w:rFonts w:hint="eastAsia" w:eastAsia="宋体" w:cs="Times New Roman"/>
          <w:sz w:val="24"/>
        </w:rPr>
      </w:pPr>
      <w:r>
        <w:rPr>
          <w:rFonts w:hint="eastAsia" w:eastAsia="宋体" w:cs="Times New Roman"/>
          <w:sz w:val="24"/>
        </w:rPr>
        <w:t xml:space="preserve">《灌云县“十四五”农村供水保障规划》、《村镇供水工程技术规范》(SL310-2019) </w:t>
      </w:r>
      <w:r>
        <w:rPr>
          <w:rFonts w:hint="eastAsia" w:eastAsia="宋体" w:cs="Times New Roman"/>
          <w:sz w:val="24"/>
        </w:rPr>
      </w:r>
      <w:r/>
    </w:p>
    <w:p>
      <w:pPr>
        <w:pStyle w:val="700"/>
        <w:ind w:firstLine="480"/>
        <w:spacing w:line="360" w:lineRule="auto"/>
        <w:rPr>
          <w:rFonts w:eastAsia="宋体" w:cs="Times New Roman"/>
          <w:sz w:val="24"/>
        </w:rPr>
      </w:pPr>
      <w:r>
        <w:rPr>
          <w:rFonts w:hint="eastAsia" w:ascii="宋体" w:hAnsi="宋体" w:cs="宋体"/>
          <w:b/>
          <w:sz w:val="24"/>
          <w:lang w:eastAsia="zh-CN"/>
        </w:rPr>
        <w:t xml:space="preserve">（</w:t>
      </w:r>
      <w:r>
        <w:rPr>
          <w:rFonts w:hint="eastAsia" w:ascii="宋体" w:hAnsi="宋体" w:cs="宋体"/>
          <w:b/>
          <w:sz w:val="24"/>
          <w:lang w:val="en-US" w:eastAsia="zh-CN"/>
        </w:rPr>
        <w:t xml:space="preserve">二</w:t>
      </w:r>
      <w:r>
        <w:rPr>
          <w:rFonts w:hint="eastAsia" w:ascii="宋体" w:hAnsi="宋体" w:cs="宋体"/>
          <w:b/>
          <w:sz w:val="24"/>
          <w:lang w:eastAsia="zh-CN"/>
        </w:rPr>
        <w:t xml:space="preserve">）</w:t>
      </w:r>
      <w:r>
        <w:rPr>
          <w:rFonts w:hint="eastAsia" w:ascii="宋体" w:hAnsi="宋体" w:cs="宋体"/>
          <w:b/>
          <w:sz w:val="24"/>
        </w:rPr>
        <w:t xml:space="preserve">管材购置安装</w:t>
      </w:r>
      <w:r>
        <w:rPr>
          <w:rFonts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各种材料、构件与设备，应符合国家有关环保、卫生、防火、防水、防冻、防爆、防腐等标准的规定。凡与水接触的输配水管道、附件及其防腐材料，滤料、化学处理剂、净水器等材料和设备，应符合卫生安全要求。</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PE管材采用PE100级聚乙烯管，管材及管件的采购应符合设计要求。材料</w:t>
      </w:r>
      <w:r>
        <w:rPr>
          <w:rFonts w:hint="eastAsia" w:ascii="宋体" w:hAnsi="宋体" w:eastAsia="宋体" w:cs="Times New Roman"/>
          <w:sz w:val="24"/>
        </w:rPr>
        <w:t xml:space="preserve">设备的供应商应提供生产许可证、卫生检测报告、卫生许可证、涉水产品卫生许可批件以及产品的质检报告、产品质量合格证、说明书、性能检测报告、装配图和控制原理图；采购合同中应详细说明技术指标和质量要求。管材及其配件、设备及其配件，宜选用同一厂家的配套产品。批量购置的塑料管道，应委托有资质的检测单位按《长期恒定内压下热塑性塑料管材耐破坏时间的测定方法》（GB6111）和相应的产品标准进行抽样检测，每种规格的抽样数不应少于3根。卫生监测应满足《生活饮用水输配水设备及防护材料的安全性评价标准》（GB/T17219）要求。</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热镀锌钢管，材质、规格符合设计要求，具备产品合格证、质量检验报告及涉水产品卫生许可批件。钢管焊接采用氩弧焊打底、电弧焊盖面的双面焊工艺，焊接接头质量满足《现场设备、工业管道焊接工程施工质量验收标准》要求，焊接完成后进行 100% 外观检查，无气孔、裂纹、夹渣等缺陷。钢管外壁采用环氧煤沥青防腐（四油三布），内壁采用水泥砂浆内衬防腐，防腐层厚度及粘结力经检测合格。</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管线、管件安装严格按照施工规范，由专业安装人员和安装设备进行施工作业。</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项目区内涉及到管网改造的内容，根据原供水管网供水分配情况，从末梢管网开始施工，分级控制，尽量减小施工期断水的范围。原老旧管网不予拆除，废弃即可。</w:t>
      </w:r>
      <w:r>
        <w:rPr>
          <w:rFonts w:hint="eastAsia" w:ascii="宋体" w:hAnsi="宋体" w:eastAsia="宋体" w:cs="Times New Roman"/>
          <w:sz w:val="24"/>
        </w:rPr>
      </w:r>
      <w:r/>
    </w:p>
    <w:p>
      <w:pPr>
        <w:pStyle w:val="700"/>
        <w:ind w:firstLine="482"/>
        <w:rPr>
          <w:rFonts w:ascii="宋体" w:hAnsi="宋体" w:cs="宋体"/>
          <w:b/>
          <w:sz w:val="24"/>
        </w:rPr>
      </w:pPr>
      <w:r>
        <w:rPr>
          <w:rFonts w:hint="eastAsia" w:ascii="宋体" w:hAnsi="宋体" w:cs="宋体"/>
          <w:b/>
          <w:sz w:val="24"/>
          <w:lang w:val="en-US" w:eastAsia="zh-CN"/>
        </w:rPr>
        <w:t xml:space="preserve">（三）</w:t>
      </w:r>
      <w:r>
        <w:rPr>
          <w:rFonts w:hint="eastAsia" w:ascii="宋体" w:hAnsi="宋体" w:cs="宋体"/>
          <w:b/>
          <w:sz w:val="24"/>
        </w:rPr>
        <w:t xml:space="preserve">埋深及回填</w:t>
      </w:r>
      <w:r>
        <w:rPr>
          <w:rFonts w:ascii="宋体" w:hAnsi="宋体" w:cs="宋体"/>
          <w:b/>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管道的基础、埋深、回填应符合设计要求。应按以下规定施工：埋设在未经扰动的原状土层上；在岩基上埋设管道，应铺设砂垫层；软地基上埋设管道，应进行基础处理。根据《村镇供水工程技术规范》（SL310-2019）要求，并参照相似工程经验， PE管管顶覆土不小于0.7m，穿越道路、农田铺设时，管顶覆土不小于1.0m，管道应埋设在未经扰动的原状土层上，管道周围20cm范围内用筛分素土回填，回填土的压实系数不小于0.91。</w:t>
      </w:r>
      <w:r>
        <w:rPr>
          <w:rFonts w:hint="eastAsia" w:ascii="宋体" w:hAnsi="宋体" w:eastAsia="宋体" w:cs="Times New Roman"/>
          <w:sz w:val="24"/>
        </w:rPr>
      </w:r>
      <w:r/>
    </w:p>
    <w:p>
      <w:pPr>
        <w:pStyle w:val="700"/>
        <w:ind w:firstLine="482"/>
        <w:rPr>
          <w:rFonts w:hint="eastAsia" w:ascii="宋体" w:hAnsi="宋体" w:cs="宋体"/>
          <w:b/>
          <w:sz w:val="24"/>
        </w:rPr>
      </w:pPr>
      <w:r>
        <w:rPr>
          <w:rFonts w:hint="eastAsia" w:ascii="宋体" w:hAnsi="宋体" w:cs="宋体"/>
          <w:b/>
          <w:sz w:val="24"/>
          <w:lang w:eastAsia="zh-CN"/>
        </w:rPr>
        <w:t xml:space="preserve">（</w:t>
      </w:r>
      <w:r>
        <w:rPr>
          <w:rFonts w:hint="eastAsia" w:ascii="宋体" w:hAnsi="宋体" w:cs="宋体"/>
          <w:b/>
          <w:sz w:val="24"/>
          <w:lang w:val="en-US" w:eastAsia="zh-CN"/>
        </w:rPr>
        <w:t xml:space="preserve">四</w:t>
      </w:r>
      <w:r>
        <w:rPr>
          <w:rFonts w:hint="eastAsia" w:ascii="宋体" w:hAnsi="宋体" w:cs="宋体"/>
          <w:b/>
          <w:sz w:val="24"/>
          <w:lang w:eastAsia="zh-CN"/>
        </w:rPr>
        <w:t xml:space="preserve">）</w:t>
      </w:r>
      <w:r>
        <w:rPr>
          <w:rFonts w:hint="eastAsia" w:ascii="宋体" w:hAnsi="宋体" w:cs="宋体"/>
          <w:b/>
          <w:sz w:val="24"/>
        </w:rPr>
        <w:t xml:space="preserve">试压、冲洗消毒</w:t>
      </w:r>
      <w:r>
        <w:rPr>
          <w:rFonts w:hint="eastAsia" w:ascii="宋体" w:hAnsi="宋体" w:cs="宋体"/>
          <w:b/>
          <w:sz w:val="24"/>
        </w:rPr>
      </w:r>
      <w:r/>
    </w:p>
    <w:p>
      <w:pPr>
        <w:pStyle w:val="700"/>
        <w:ind w:firstLine="480"/>
        <w:spacing w:line="360" w:lineRule="auto"/>
        <w:rPr>
          <w:rFonts w:eastAsia="宋体" w:cs="Times New Roman"/>
          <w:sz w:val="24"/>
          <w:lang w:val="en-US" w:eastAsia="zh-CN"/>
        </w:rPr>
      </w:pPr>
      <w:r/>
      <w:bookmarkStart w:id="664" w:name="_Toc418158925"/>
      <w:r>
        <w:rPr>
          <w:rFonts w:hint="eastAsia" w:ascii="宋体" w:hAnsi="宋体" w:eastAsia="宋体" w:cs="Times New Roman"/>
          <w:sz w:val="24"/>
          <w:lang w:val="en-US" w:eastAsia="zh-CN"/>
        </w:rPr>
        <w:t xml:space="preserve">管道试压、冲洗消毒</w:t>
      </w:r>
      <w:r>
        <w:rPr>
          <w:rFonts w:hint="eastAsia" w:ascii="宋体" w:hAnsi="宋体" w:eastAsia="宋体" w:cs="Times New Roman"/>
          <w:sz w:val="24"/>
        </w:rPr>
        <w:t xml:space="preserve">《给水排水管道工程施工及验收规程》</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GB50268-2023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及最新相关规范执行。</w:t>
      </w:r>
      <w:r>
        <w:rPr>
          <w:rFonts w:eastAsia="宋体" w:cs="Times New Roman"/>
          <w:sz w:val="24"/>
          <w:lang w:val="en-US" w:eastAsia="zh-CN"/>
        </w:rPr>
      </w:r>
      <w:r/>
    </w:p>
    <w:p>
      <w:pPr>
        <w:pStyle w:val="700"/>
        <w:ind w:firstLine="482"/>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（五）材料、设备的采购、验货及存放</w:t>
      </w:r>
      <w:bookmarkEnd w:id="664"/>
      <w:r>
        <w:rPr>
          <w:rFonts w:hint="eastAsia" w:ascii="宋体" w:hAnsi="宋体" w:eastAsia="宋体" w:cs="宋体"/>
          <w:b/>
          <w:sz w:val="24"/>
          <w:lang w:val="en-US" w:eastAsia="zh-CN"/>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各种材料、构件与设备，应符合国家有关环保、卫生、防火、防水、防冻、防爆、防腐等标准的规定。凡与水接触的输配水管道、附件及其防腐材料，滤料、化学处理剂、净水器等材料和设备，应符合卫生安全要求。</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主管、支管均采用管材为PE100级聚乙烯管，管材及管件的采购应符合</w:t>
      </w:r>
      <w:r>
        <w:rPr>
          <w:rFonts w:hint="eastAsia" w:ascii="宋体" w:hAnsi="宋体" w:eastAsia="宋体" w:cs="Times New Roman"/>
          <w:sz w:val="24"/>
        </w:rPr>
        <w:t xml:space="preserve">设计要求。材料设备的供应商应提供生产许可证、卫生许可证、涉水产品卫生许可批件以及产品的质检报告、产品质量合格证、说明书、性能检测报告、装配图和控制原理图；采购合同中应详细说明技术指标和质量要求。管材及其配件、设备及其配件，宜选用同一厂家的配套产品。批量购置的塑料管道，应委托有资质的检测单位按《长期恒定内压下热塑性塑料管材耐破坏时间的测定方法》（GB6111）和相应的产品标准进行抽样检测，每种规格的抽样数不应少于3根。卫生监测应满足《生活饮用水输配水设备及防护材料的安全性评价标准》（GB/T17219）要求。</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材料设备到货后，应及时对照供货合同和产品说明书进行数量、规格、材质、外观、备件等检查。对批量购置的主要材料应按照有关规定进行见证取样检测。经质量管理人员验收、签字后，方可入库。并做好开箱验收记录。</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材料、设备应按性质合理存放，不得与有毒物质和腐蚀性物质存放在一起，水泥、钢材、设备应有防雨、防潮措施，塑料管道应有遮阳等防老化措施。</w:t>
      </w:r>
      <w:r>
        <w:rPr>
          <w:rFonts w:hint="eastAsia" w:ascii="宋体" w:hAnsi="宋体" w:eastAsia="宋体" w:cs="Times New Roman"/>
          <w:sz w:val="24"/>
        </w:rPr>
      </w:r>
      <w:r/>
    </w:p>
    <w:p>
      <w:pPr>
        <w:pStyle w:val="703"/>
        <w:spacing w:before="60" w:after="60" w:line="240" w:lineRule="auto"/>
        <w:rPr>
          <w:sz w:val="30"/>
          <w:szCs w:val="30"/>
        </w:rPr>
      </w:pPr>
      <w:r>
        <w:rPr>
          <w:rFonts w:hint="eastAsia"/>
          <w:sz w:val="30"/>
          <w:szCs w:val="30"/>
          <w:lang w:eastAsia="zh-CN"/>
        </w:rPr>
        <w:t xml:space="preserve">（</w:t>
      </w:r>
      <w:r>
        <w:rPr>
          <w:rFonts w:hint="eastAsia"/>
          <w:sz w:val="30"/>
          <w:szCs w:val="30"/>
          <w:lang w:val="en-US" w:eastAsia="zh-CN"/>
        </w:rPr>
        <w:t xml:space="preserve">六</w:t>
      </w:r>
      <w:r>
        <w:rPr>
          <w:rFonts w:hint="eastAsia"/>
          <w:sz w:val="30"/>
          <w:szCs w:val="30"/>
          <w:lang w:eastAsia="zh-CN"/>
        </w:rPr>
        <w:t xml:space="preserve">）</w:t>
      </w:r>
      <w:r>
        <w:rPr>
          <w:rFonts w:hint="eastAsia"/>
          <w:sz w:val="30"/>
          <w:szCs w:val="30"/>
        </w:rPr>
        <w:t xml:space="preserve">混凝土及钢筋混凝土工程</w:t>
      </w:r>
      <w:r>
        <w:rPr>
          <w:sz w:val="30"/>
          <w:szCs w:val="30"/>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1、混凝土</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混凝土所用水泥品质应符合国家标准，并应按设计要求和使用条件选用适宜的品种。混泥土的配合比应请有资质的土工试验研究单位通过试验确定，拌制和养护混凝土用水不得含有水泥正常凝结和硬化的有害杂质。</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2、模板</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平面部位采用定型组合钢模，异形部位使用木模（加工厂制作成型），现场按批准的木工放样图拼装，必需做到支撑牢固，板面平整，拼缝紧密，缝口横平竖直。</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3、钢筋</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要求采用合格的原材料，施工前必需按设计图纸绘制钢筋施工放样图，加工厂成型，运至现场按放样图绑扎。钢筋的锚固、搭接及焊接等应满足《水工混凝土施工规范》（SL677-2014）的要求。</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4、混凝土浇筑及养护</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选用合格的原材料，进行配合比，根据各部位的设计要求及结构特征，选取用合适的混凝土配合比。墩墙使用插入式振捣器振实，平面薄层部位使用平板式振捣器振实。所有浇筑后的混凝土都应及时进行养护，养护时间不得少于规定天数。</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5、混凝土裂缝的预防</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混凝土施工前根据各部位的特点结合施工季节和特征，从原材料、混凝土施工工艺、养护措施等方面研究制定切实可行的混凝土裂缝预防措施。</w:t>
      </w:r>
      <w:r>
        <w:rPr>
          <w:rFonts w:hint="eastAsia" w:ascii="宋体" w:hAnsi="宋体" w:eastAsia="宋体" w:cs="Times New Roman"/>
          <w:sz w:val="24"/>
        </w:rPr>
      </w:r>
      <w:r/>
    </w:p>
    <w:p>
      <w:pPr>
        <w:pStyle w:val="700"/>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6、混凝土强度等级、抗冻指标</w:t>
      </w:r>
      <w:r>
        <w:rPr>
          <w:rFonts w:hint="eastAsia" w:ascii="宋体" w:hAnsi="宋体" w:eastAsia="宋体" w:cs="Times New Roman"/>
          <w:sz w:val="24"/>
        </w:rPr>
      </w:r>
      <w:r/>
    </w:p>
    <w:p>
      <w:pPr>
        <w:pStyle w:val="700"/>
        <w:ind w:firstLine="480"/>
        <w:spacing w:line="360" w:lineRule="auto"/>
        <w:rPr>
          <w:rFonts w:hint="eastAsia" w:eastAsia="宋体" w:cs="Times New Roman"/>
          <w:sz w:val="24"/>
        </w:rPr>
      </w:pPr>
      <w:r>
        <w:rPr>
          <w:rFonts w:hint="eastAsia" w:ascii="宋体" w:hAnsi="宋体" w:eastAsia="宋体" w:cs="Times New Roman"/>
          <w:sz w:val="24"/>
        </w:rPr>
        <w:t xml:space="preserve">镇墩、支墩、闸阀井水表井压顶、底板、预制盖板及标志桩混凝土强度等级均为C25。</w:t>
      </w:r>
      <w:r>
        <w:rPr>
          <w:rFonts w:hint="eastAsia" w:eastAsia="宋体" w:cs="Times New Roman"/>
          <w:sz w:val="24"/>
        </w:rPr>
      </w:r>
      <w:r/>
    </w:p>
    <w:p>
      <w:pPr>
        <w:pStyle w:val="700"/>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五、实施要求</w:t>
      </w:r>
      <w:r>
        <w:rPr>
          <w:rFonts w:ascii="宋体" w:hAnsi="宋体" w:eastAsia="宋体" w:cs="宋体"/>
          <w:b/>
          <w:bCs/>
          <w:sz w:val="28"/>
          <w:szCs w:val="28"/>
        </w:rPr>
      </w:r>
      <w:r/>
    </w:p>
    <w:p>
      <w:pPr>
        <w:pStyle w:val="700"/>
        <w:ind w:left="-15" w:right="103" w:firstLine="420"/>
        <w:spacing w:line="360" w:lineRule="auto"/>
        <w:rPr>
          <w:rFonts w:ascii="宋体" w:hAnsi="宋体" w:cs="宋体"/>
          <w:sz w:val="24"/>
          <w:highlight w:val="none"/>
          <w:u w:val="single"/>
        </w:rPr>
      </w:pPr>
      <w:r>
        <w:rPr>
          <w:rFonts w:hint="eastAsia" w:ascii="宋体" w:hAnsi="宋体" w:eastAsia="宋体" w:cs="宋体"/>
          <w:b/>
          <w:bCs/>
          <w:sz w:val="24"/>
          <w:szCs w:val="24"/>
          <w:highlight w:val="none"/>
        </w:rPr>
        <w:t xml:space="preserve">履行服务期限：</w:t>
      </w:r>
      <w:r>
        <w:rPr>
          <w:rFonts w:hint="eastAsia" w:ascii="宋体" w:hAnsi="宋体" w:cs="宋体"/>
          <w:sz w:val="24"/>
          <w:highlight w:val="none"/>
          <w:u w:val="single"/>
        </w:rPr>
        <w:t xml:space="preserve">150日历天</w:t>
      </w:r>
      <w:r>
        <w:rPr>
          <w:rFonts w:hint="eastAsia" w:ascii="宋体" w:hAnsi="宋体" w:cs="宋体"/>
          <w:sz w:val="24"/>
          <w:szCs w:val="32"/>
          <w:highlight w:val="none"/>
          <w:u w:val="single"/>
        </w:rPr>
        <w:t xml:space="preserve">，</w:t>
      </w:r>
      <w:r>
        <w:rPr>
          <w:rFonts w:hint="eastAsia" w:ascii="宋体" w:hAnsi="宋体" w:cs="宋体"/>
          <w:sz w:val="24"/>
          <w:highlight w:val="none"/>
          <w:u w:val="single"/>
        </w:rPr>
        <w:t xml:space="preserve">具体开工时间以监理工程师签发的开工批复为准。</w:t>
      </w:r>
      <w:r>
        <w:rPr>
          <w:rFonts w:ascii="宋体" w:hAnsi="宋体" w:cs="宋体"/>
          <w:sz w:val="24"/>
          <w:highlight w:val="none"/>
          <w:u w:val="single"/>
        </w:rPr>
      </w:r>
      <w:r/>
    </w:p>
    <w:p>
      <w:pPr>
        <w:pStyle w:val="700"/>
        <w:ind w:firstLine="480"/>
        <w:spacing w:line="360" w:lineRule="auto"/>
        <w:rPr>
          <w:rFonts w:ascii="宋体" w:hAnsi="宋体" w:eastAsia="宋体" w:cs="宋体"/>
          <w:sz w:val="24"/>
          <w:szCs w:val="24"/>
        </w:rPr>
      </w:pPr>
      <w:r>
        <w:rPr>
          <w:rFonts w:hint="eastAsia" w:ascii="宋体" w:hAnsi="宋体" w:eastAsia="宋体" w:cs="宋体"/>
          <w:b/>
          <w:bCs/>
          <w:sz w:val="24"/>
          <w:szCs w:val="24"/>
          <w:highlight w:val="none"/>
        </w:rPr>
        <w:t xml:space="preserve">质量要求：</w:t>
      </w:r>
      <w:r>
        <w:rPr>
          <w:rFonts w:hint="eastAsia" w:ascii="宋体" w:hAnsi="宋体" w:eastAsia="宋体" w:cs="宋体"/>
          <w:sz w:val="24"/>
          <w:szCs w:val="24"/>
          <w:highlight w:val="none"/>
        </w:rPr>
        <w:t xml:space="preserve">施工质量达到《水利工程施工质量检验与评定规范》DB32/T2334.1-2013相关规定的合格标准</w:t>
      </w:r>
      <w:r>
        <w:rPr>
          <w:rFonts w:hint="eastAsia" w:ascii="宋体" w:hAnsi="宋体" w:eastAsia="宋体" w:cs="宋体"/>
          <w:sz w:val="24"/>
          <w:szCs w:val="24"/>
        </w:rPr>
        <w:t xml:space="preserve">。</w:t>
      </w:r>
      <w:r>
        <w:rPr>
          <w:rFonts w:ascii="宋体" w:hAnsi="宋体" w:eastAsia="宋体" w:cs="宋体"/>
          <w:sz w:val="24"/>
          <w:szCs w:val="24"/>
        </w:rPr>
      </w:r>
      <w:r/>
    </w:p>
    <w:p>
      <w:pPr>
        <w:pStyle w:val="700"/>
        <w:ind w:firstLine="482"/>
        <w:spacing w:line="360" w:lineRule="auto"/>
        <w:rPr>
          <w:rFonts w:ascii="宋体" w:hAnsi="宋体" w:eastAsia="宋体" w:cs="宋体"/>
          <w:sz w:val="24"/>
          <w:szCs w:val="24"/>
          <w:lang w:val="zh-CN"/>
        </w:rPr>
      </w:pPr>
      <w:r>
        <w:rPr>
          <w:rFonts w:hint="eastAsia" w:ascii="宋体" w:hAnsi="宋体" w:eastAsia="宋体" w:cs="宋体"/>
          <w:b/>
          <w:bCs/>
          <w:sz w:val="24"/>
          <w:szCs w:val="24"/>
        </w:rPr>
        <w:t xml:space="preserve">安全生产要求：</w:t>
      </w:r>
      <w:r>
        <w:rPr>
          <w:rFonts w:hint="eastAsia" w:ascii="宋体" w:hAnsi="宋体" w:eastAsia="宋体" w:cs="宋体"/>
          <w:sz w:val="24"/>
          <w:szCs w:val="24"/>
        </w:rPr>
        <w:t xml:space="preserve">在项目实施过程中必须严格执行安全管理制度，</w:t>
      </w:r>
      <w:r>
        <w:rPr>
          <w:rFonts w:hint="eastAsia" w:ascii="宋体" w:hAnsi="宋体" w:eastAsia="宋体" w:cs="宋体"/>
          <w:sz w:val="24"/>
          <w:szCs w:val="24"/>
          <w:lang w:val="zh-CN"/>
        </w:rPr>
        <w:t xml:space="preserve">做好安全保障工作，不因项目实施而危及自身及第三方人员、财产安全。</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应及时为项目投入人员购买人身意外等保险，若发生任何安全事故，由</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自行承担</w:t>
      </w:r>
      <w:r>
        <w:rPr>
          <w:rFonts w:hint="eastAsia" w:ascii="宋体" w:hAnsi="宋体" w:eastAsia="宋体" w:cs="宋体"/>
          <w:sz w:val="24"/>
          <w:szCs w:val="24"/>
        </w:rPr>
        <w:t xml:space="preserve">相关责任</w:t>
      </w:r>
      <w:r>
        <w:rPr>
          <w:rFonts w:hint="eastAsia" w:ascii="宋体" w:hAnsi="宋体" w:eastAsia="宋体" w:cs="宋体"/>
          <w:sz w:val="24"/>
          <w:szCs w:val="24"/>
          <w:lang w:val="zh-CN"/>
        </w:rPr>
        <w:t xml:space="preserve">。</w:t>
      </w:r>
      <w:r>
        <w:rPr>
          <w:rFonts w:ascii="宋体" w:hAnsi="宋体" w:eastAsia="宋体" w:cs="宋体"/>
          <w:sz w:val="24"/>
          <w:szCs w:val="24"/>
          <w:lang w:val="zh-CN"/>
        </w:rPr>
      </w:r>
      <w:r/>
    </w:p>
    <w:p>
      <w:pPr>
        <w:pStyle w:val="700"/>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人员要求：</w:t>
      </w:r>
      <w:r>
        <w:rPr>
          <w:rFonts w:hint="eastAsia" w:ascii="宋体" w:hAnsi="宋体" w:eastAsia="宋体" w:cs="宋体"/>
          <w:sz w:val="24"/>
          <w:szCs w:val="24"/>
        </w:rPr>
        <w:t xml:space="preserve">由于本项目</w:t>
      </w:r>
      <w:r>
        <w:rPr>
          <w:rFonts w:hint="eastAsia" w:ascii="宋体" w:hAnsi="宋体" w:cs="宋体"/>
          <w:sz w:val="24"/>
          <w:szCs w:val="24"/>
          <w:lang w:val="en-US" w:eastAsia="zh-CN"/>
        </w:rPr>
        <w:t xml:space="preserve">工期紧</w:t>
      </w:r>
      <w:r>
        <w:rPr>
          <w:rFonts w:hint="eastAsia" w:ascii="宋体" w:hAnsi="宋体" w:eastAsia="宋体" w:cs="宋体"/>
          <w:sz w:val="24"/>
          <w:szCs w:val="24"/>
        </w:rPr>
        <w:t xml:space="preserve">，投标人在合同签订后须</w:t>
      </w:r>
      <w:r>
        <w:rPr>
          <w:rFonts w:hint="eastAsia" w:ascii="宋体" w:hAnsi="宋体" w:eastAsia="宋体" w:cs="宋体"/>
          <w:bCs/>
          <w:sz w:val="24"/>
          <w:szCs w:val="20"/>
        </w:rPr>
        <w:t xml:space="preserve">派驻</w:t>
      </w:r>
      <w:r>
        <w:rPr>
          <w:rFonts w:hint="eastAsia" w:ascii="宋体" w:hAnsi="宋体" w:cs="宋体"/>
          <w:bCs/>
          <w:sz w:val="24"/>
          <w:szCs w:val="20"/>
          <w:lang w:val="en-US" w:eastAsia="zh-CN"/>
        </w:rPr>
        <w:t xml:space="preserve">施工管理</w:t>
      </w:r>
      <w:r>
        <w:rPr>
          <w:rFonts w:hint="eastAsia" w:ascii="宋体" w:hAnsi="宋体" w:eastAsia="宋体" w:cs="宋体"/>
          <w:bCs/>
          <w:sz w:val="24"/>
          <w:szCs w:val="20"/>
        </w:rPr>
        <w:t xml:space="preserve">人员</w:t>
      </w:r>
      <w:r>
        <w:rPr>
          <w:rFonts w:hint="eastAsia" w:ascii="宋体" w:hAnsi="宋体" w:cs="宋体"/>
          <w:bCs/>
          <w:sz w:val="24"/>
          <w:szCs w:val="20"/>
          <w:lang w:eastAsia="zh-CN"/>
        </w:rPr>
        <w:t xml:space="preserve">（</w:t>
      </w:r>
      <w:r>
        <w:rPr>
          <w:rFonts w:hint="eastAsia" w:ascii="宋体" w:hAnsi="宋体" w:cs="宋体"/>
          <w:bCs/>
          <w:sz w:val="24"/>
          <w:szCs w:val="20"/>
          <w:lang w:val="en-US" w:eastAsia="zh-CN"/>
        </w:rPr>
        <w:t xml:space="preserve">技术负责人、安全员、施工员、质量（检</w:t>
      </w:r>
      <w:r>
        <w:rPr>
          <w:rFonts w:hint="eastAsia" w:ascii="宋体" w:hAnsi="宋体" w:cs="宋体"/>
          <w:bCs/>
          <w:sz w:val="24"/>
          <w:szCs w:val="20"/>
          <w:lang w:eastAsia="zh-CN"/>
        </w:rPr>
        <w:t xml:space="preserve">）</w:t>
      </w:r>
      <w:r>
        <w:rPr>
          <w:rFonts w:hint="eastAsia" w:ascii="宋体" w:hAnsi="宋体" w:cs="宋体"/>
          <w:bCs/>
          <w:sz w:val="24"/>
          <w:szCs w:val="20"/>
          <w:lang w:val="en-US" w:eastAsia="zh-CN"/>
        </w:rPr>
        <w:t xml:space="preserve">员、材料员、资料员，</w:t>
      </w:r>
      <w:r>
        <w:rPr>
          <w:rFonts w:hint="eastAsia" w:ascii="宋体" w:hAnsi="宋体" w:eastAsia="宋体" w:cs="宋体"/>
          <w:sz w:val="24"/>
          <w:szCs w:val="24"/>
        </w:rPr>
        <w:t xml:space="preserve">全程从事本项目工作。（详见投标文件格式。）</w:t>
      </w:r>
      <w:r>
        <w:rPr>
          <w:rFonts w:ascii="宋体" w:hAnsi="宋体" w:eastAsia="宋体" w:cs="宋体"/>
          <w:sz w:val="24"/>
          <w:szCs w:val="24"/>
        </w:rPr>
      </w:r>
      <w:r/>
    </w:p>
    <w:p>
      <w:pPr>
        <w:pStyle w:val="700"/>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六、售后服务</w:t>
      </w:r>
      <w:r>
        <w:rPr>
          <w:rFonts w:ascii="宋体" w:hAnsi="宋体" w:eastAsia="宋体" w:cs="宋体"/>
          <w:b/>
          <w:bCs/>
          <w:sz w:val="28"/>
          <w:szCs w:val="28"/>
        </w:rPr>
      </w:r>
      <w:r/>
    </w:p>
    <w:p>
      <w:pPr>
        <w:pStyle w:val="700"/>
        <w:ind w:firstLine="480"/>
        <w:spacing w:line="360" w:lineRule="auto"/>
        <w:rPr>
          <w:rFonts w:hint="eastAsia" w:ascii="宋体" w:hAnsi="宋体" w:eastAsia="宋体" w:cs="宋体"/>
          <w:bCs/>
          <w:sz w:val="24"/>
          <w:szCs w:val="20"/>
          <w:lang w:eastAsia="zh-CN"/>
        </w:rPr>
      </w:pPr>
      <w:r>
        <w:rPr>
          <w:rFonts w:hint="eastAsia" w:ascii="宋体" w:hAnsi="宋体" w:eastAsia="宋体" w:cs="宋体"/>
          <w:bCs/>
          <w:sz w:val="24"/>
          <w:szCs w:val="20"/>
          <w:lang w:eastAsia="zh-CN"/>
        </w:rPr>
        <w:t xml:space="preserve">本工程保修的范围为施工合同全部内容，保修期限1年。</w:t>
      </w:r>
      <w:r>
        <w:rPr>
          <w:rFonts w:hint="eastAsia" w:ascii="宋体" w:hAnsi="宋体" w:eastAsia="宋体" w:cs="宋体"/>
          <w:bCs/>
          <w:sz w:val="24"/>
          <w:szCs w:val="20"/>
          <w:lang w:eastAsia="zh-CN"/>
        </w:rPr>
      </w:r>
      <w:r/>
    </w:p>
    <w:p>
      <w:pPr>
        <w:pStyle w:val="700"/>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七、验收要求</w:t>
      </w:r>
      <w:r>
        <w:rPr>
          <w:rFonts w:ascii="宋体" w:hAnsi="宋体" w:eastAsia="宋体" w:cs="宋体"/>
          <w:b/>
          <w:bCs/>
          <w:sz w:val="28"/>
          <w:szCs w:val="28"/>
        </w:rPr>
      </w:r>
      <w:r/>
    </w:p>
    <w:p>
      <w:pPr>
        <w:pStyle w:val="700"/>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施工质量达到《水利工程施工质量检验与评定规范》DB32/T2334.1-2013相关规定的合格标准</w:t>
      </w:r>
      <w:r>
        <w:rPr>
          <w:rFonts w:hint="eastAsia" w:ascii="宋体" w:hAnsi="宋体" w:eastAsia="宋体" w:cs="宋体"/>
          <w:sz w:val="24"/>
          <w:szCs w:val="24"/>
        </w:rPr>
        <w:t xml:space="preserve">。</w:t>
      </w:r>
      <w:r>
        <w:rPr>
          <w:rFonts w:ascii="宋体" w:hAnsi="宋体" w:eastAsia="宋体" w:cs="宋体"/>
          <w:sz w:val="24"/>
          <w:szCs w:val="24"/>
        </w:rPr>
      </w:r>
      <w:r/>
    </w:p>
    <w:p>
      <w:pPr>
        <w:pStyle w:val="700"/>
        <w:ind w:firstLine="562"/>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700"/>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1、付款方式</w:t>
      </w:r>
      <w:r>
        <w:rPr>
          <w:rFonts w:ascii="宋体" w:hAnsi="宋体" w:cs="Times New Roman"/>
          <w:sz w:val="24"/>
          <w:szCs w:val="24"/>
        </w:rPr>
      </w:r>
      <w:r/>
    </w:p>
    <w:p>
      <w:pPr>
        <w:pStyle w:val="700"/>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 xml:space="preserve">合同工程</w:t>
      </w:r>
      <w:r>
        <w:rPr>
          <w:rFonts w:hint="eastAsia" w:ascii="宋体" w:hAnsi="宋体" w:eastAsia="宋体" w:cs="宋体"/>
          <w:b/>
          <w:bCs/>
          <w:sz w:val="24"/>
          <w:szCs w:val="24"/>
        </w:rPr>
        <w:t xml:space="preserve">验收后付至已完合格工程价款的90%，竣工验收后付至审定结算价的97%，余款在质保期满后付清</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700"/>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注：具体付款时间以财政支付节点及有关要求为准。</w:t>
      </w:r>
      <w:r>
        <w:rPr>
          <w:rFonts w:ascii="宋体" w:hAnsi="宋体" w:eastAsia="宋体" w:cs="宋体"/>
          <w:b/>
          <w:bCs/>
          <w:sz w:val="24"/>
          <w:szCs w:val="24"/>
        </w:rPr>
      </w:r>
      <w:r/>
    </w:p>
    <w:p>
      <w:pPr>
        <w:pStyle w:val="700"/>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rPr>
          <w:rFonts w:ascii="宋体" w:hAnsi="宋体" w:cs="Times New Roman"/>
          <w:sz w:val="24"/>
          <w:szCs w:val="24"/>
        </w:rPr>
      </w:r>
      <w:r/>
    </w:p>
    <w:p>
      <w:pPr>
        <w:pStyle w:val="700"/>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1.履约保证金的金额：中标价的</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w:t>
      </w:r>
      <w:r>
        <w:rPr>
          <w:rFonts w:ascii="宋体" w:hAnsi="宋体" w:eastAsia="宋体" w:cs="宋体"/>
          <w:bCs/>
          <w:sz w:val="24"/>
          <w:szCs w:val="24"/>
        </w:rPr>
      </w:r>
      <w:r/>
    </w:p>
    <w:p>
      <w:pPr>
        <w:pStyle w:val="700"/>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2.履约保证金应当以支票、汇票、本票或者金融机构、担保机构出具的保函等非现金形式提交。</w:t>
      </w:r>
      <w:r>
        <w:rPr>
          <w:rFonts w:ascii="宋体" w:hAnsi="宋体" w:eastAsia="宋体" w:cs="宋体"/>
          <w:bCs/>
          <w:sz w:val="24"/>
          <w:szCs w:val="24"/>
        </w:rPr>
      </w:r>
      <w:r/>
    </w:p>
    <w:p>
      <w:pPr>
        <w:pStyle w:val="700"/>
        <w:ind w:firstLine="562"/>
        <w:jc w:val="left"/>
        <w:spacing w:line="360" w:lineRule="auto"/>
        <w:rPr>
          <w:rFonts w:ascii="宋体" w:hAnsi="宋体" w:eastAsia="宋体" w:cs="宋体"/>
          <w:bCs/>
          <w:color w:val="ff0000"/>
          <w:sz w:val="24"/>
          <w:szCs w:val="24"/>
        </w:rPr>
      </w:pPr>
      <w:r>
        <w:rPr>
          <w:rFonts w:hint="eastAsia" w:ascii="宋体" w:hAnsi="宋体" w:eastAsia="宋体" w:cs="宋体"/>
          <w:bCs/>
          <w:sz w:val="24"/>
          <w:szCs w:val="24"/>
        </w:rPr>
        <w:t xml:space="preserve">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rPr>
          <w:rFonts w:ascii="宋体" w:hAnsi="宋体" w:eastAsia="宋体" w:cs="宋体"/>
          <w:bCs/>
          <w:color w:val="ff0000"/>
          <w:sz w:val="24"/>
          <w:szCs w:val="24"/>
        </w:rPr>
      </w:r>
      <w:r/>
    </w:p>
    <w:p>
      <w:pPr>
        <w:pStyle w:val="700"/>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3.履约保证金的退还：投标人完成合同范围内的所有内容，并经验收合格后，招标人退还投标人履约保证金。</w:t>
      </w:r>
      <w:r>
        <w:rPr>
          <w:rFonts w:ascii="宋体" w:hAnsi="宋体" w:eastAsia="宋体" w:cs="宋体"/>
          <w:bCs/>
          <w:sz w:val="24"/>
          <w:szCs w:val="24"/>
        </w:rPr>
      </w:r>
      <w:r/>
    </w:p>
    <w:p>
      <w:pPr>
        <w:pStyle w:val="700"/>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r>
        <w:rPr>
          <w:rFonts w:ascii="宋体" w:hAnsi="宋体" w:eastAsia="宋体" w:cs="宋体"/>
          <w:bCs/>
          <w:sz w:val="24"/>
          <w:szCs w:val="24"/>
        </w:rPr>
      </w:r>
      <w:r/>
    </w:p>
    <w:p>
      <w:pPr>
        <w:pStyle w:val="700"/>
        <w:ind w:firstLine="480"/>
        <w:spacing w:line="360" w:lineRule="auto"/>
        <w:rPr>
          <w:rFonts w:ascii="Times New Roman" w:hAnsi="Times New Roman" w:eastAsia="宋体" w:cs="Times New Roman"/>
          <w:sz w:val="24"/>
          <w:szCs w:val="24"/>
        </w:rPr>
      </w:pPr>
      <w:r>
        <w:rPr>
          <w:rFonts w:hint="eastAsia" w:ascii="宋体" w:hAnsi="宋体" w:eastAsia="宋体" w:cs="宋体"/>
          <w:bCs/>
          <w:sz w:val="24"/>
          <w:szCs w:val="24"/>
        </w:rPr>
        <w:t xml:space="preserve">5.逾期退还履约保证金的违约责任：除不可抗力外，招标人逾期退还履约保证金的，除应当退还履约保证金本金外，还应按商业银行同期贷款利率上浮20%后的利率支付资金占用费</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00"/>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rPr>
          <w:rFonts w:ascii="Times New Roman" w:hAnsi="Times New Roman" w:eastAsia="宋体" w:cs="Times New Roman"/>
          <w:b/>
          <w:sz w:val="28"/>
          <w:szCs w:val="28"/>
        </w:rPr>
      </w:r>
      <w:r/>
    </w:p>
    <w:p>
      <w:pPr>
        <w:pStyle w:val="700"/>
        <w:ind w:firstLine="56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1.本项目报价不得超过预算价（最高限价）。</w:t>
      </w:r>
      <w:r>
        <w:rPr>
          <w:rFonts w:ascii="宋体" w:hAnsi="宋体" w:eastAsia="宋体" w:cs="宋体"/>
          <w:bCs/>
          <w:sz w:val="24"/>
          <w:szCs w:val="24"/>
          <w:highlight w:val="none"/>
        </w:rPr>
      </w:r>
      <w:r/>
    </w:p>
    <w:p>
      <w:pPr>
        <w:pStyle w:val="700"/>
        <w:ind w:firstLine="56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2.报价应包含与本次采购项目有关的所有费用。报价包含但不限于为完成服务最终成果而产生的一切附带服务费用等（包含所有隐含费用）；</w:t>
      </w:r>
      <w:r>
        <w:rPr>
          <w:rFonts w:ascii="宋体" w:hAnsi="宋体" w:eastAsia="宋体" w:cs="宋体"/>
          <w:bCs/>
          <w:sz w:val="24"/>
          <w:szCs w:val="24"/>
          <w:highlight w:val="none"/>
        </w:rPr>
      </w:r>
      <w:r/>
    </w:p>
    <w:p>
      <w:pPr>
        <w:pStyle w:val="700"/>
        <w:ind w:firstLine="56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3.投标人的任何错漏、竞争性报价不得作为减轻责任、减少服务、增加收费、降低服务质量的理由；</w:t>
      </w:r>
      <w:r>
        <w:rPr>
          <w:rFonts w:ascii="宋体" w:hAnsi="宋体" w:eastAsia="宋体" w:cs="宋体"/>
          <w:bCs/>
          <w:sz w:val="24"/>
          <w:szCs w:val="24"/>
          <w:highlight w:val="none"/>
        </w:rPr>
      </w:r>
      <w:r/>
    </w:p>
    <w:p>
      <w:pPr>
        <w:pStyle w:val="700"/>
        <w:ind w:firstLine="56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4.投标人报价除包含招标文件中列明的项目外还应包括保障服务正常运行应当具有的备件和服务，对服务正常运行应当具有的备件和服务理解不一致的以招标人理解为</w:t>
      </w:r>
      <w:r>
        <w:rPr>
          <w:rFonts w:hint="eastAsia" w:ascii="宋体" w:hAnsi="宋体" w:eastAsia="宋体" w:cs="宋体"/>
          <w:bCs/>
          <w:sz w:val="24"/>
          <w:szCs w:val="24"/>
          <w:highlight w:val="none"/>
        </w:rPr>
        <w:t xml:space="preserve">准。</w:t>
      </w:r>
      <w:r>
        <w:rPr>
          <w:rFonts w:hint="eastAsia" w:ascii="宋体" w:hAnsi="宋体" w:eastAsia="宋体" w:cs="宋体"/>
          <w:bCs/>
          <w:sz w:val="24"/>
          <w:szCs w:val="24"/>
          <w:highlight w:val="none"/>
        </w:rPr>
      </w:r>
      <w:r/>
    </w:p>
    <w:p>
      <w:pPr>
        <w:pStyle w:val="700"/>
        <w:ind w:firstLine="562"/>
        <w:jc w:val="left"/>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5.</w:t>
      </w:r>
      <w:r>
        <w:rPr>
          <w:rFonts w:hint="eastAsia" w:ascii="宋体" w:hAnsi="宋体" w:eastAsia="宋体" w:cs="宋体"/>
          <w:b/>
          <w:bCs w:val="0"/>
          <w:sz w:val="24"/>
          <w:szCs w:val="24"/>
          <w:highlight w:val="none"/>
          <w:lang w:eastAsia="zh-CN"/>
        </w:rPr>
        <w:t xml:space="preserve">异常低价投标审查</w:t>
      </w:r>
      <w:r>
        <w:rPr>
          <w:rFonts w:hint="eastAsia" w:ascii="宋体" w:hAnsi="宋体" w:eastAsia="宋体" w:cs="宋体"/>
          <w:b/>
          <w:bCs w:val="0"/>
          <w:sz w:val="24"/>
          <w:szCs w:val="24"/>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（一）招标评审中出现下列情形之一的，评标委员会应当启动异常低价投标审查程序：</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1.投标报价低于全部通过符合性审查投标人投标报价平均值50%的，即投标报价&lt;全部通过符合性审查投标人投标报价平均值×50%；</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2.投标报价低于通过符合性审查的次低报价投标人投标报价50%的，即投标报价&lt;通过符合性审查的次低报价投标人投标报价×50%；</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3.投标报价低于招标项目最高限价45%的，即投标报价&lt;招标项目最高限价×45%；</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4.评标委员会基于专业判断，认为投标人报价过低，有可能影响产品质量或者不能诚信履约的其他情形。</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二）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标现场可不再重复提交。</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spacing w:val="5"/>
          <w:sz w:val="21"/>
          <w:szCs w:val="21"/>
          <w:highlight w:val="none"/>
          <w:lang w:eastAsia="zh-CN"/>
        </w:rPr>
      </w:r>
      <w:r/>
    </w:p>
    <w:p>
      <w:pPr>
        <w:pStyle w:val="727"/>
        <w:ind w:left="1" w:firstLine="441"/>
        <w:jc w:val="both"/>
        <w:spacing w:line="360" w:lineRule="auto"/>
        <w:rPr>
          <w:rFonts w:hint="eastAsia"/>
          <w:color w:val="000000"/>
          <w:spacing w:val="5"/>
          <w:sz w:val="21"/>
          <w:szCs w:val="21"/>
          <w:highlight w:val="none"/>
          <w:lang w:eastAsia="zh-CN"/>
        </w:rPr>
      </w:pPr>
      <w:r>
        <w:rPr>
          <w:rFonts w:hint="eastAsia"/>
          <w:color w:val="000000"/>
          <w:spacing w:val="5"/>
          <w:sz w:val="21"/>
          <w:szCs w:val="21"/>
          <w:highlight w:val="none"/>
          <w:lang w:eastAsia="zh-CN"/>
        </w:rPr>
        <w:t xml:space="preserve">招标人、招标代理机构应当为评标委员会在评标现场及时获取同类项目中标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pacing w:val="5"/>
          <w:sz w:val="21"/>
          <w:szCs w:val="21"/>
          <w:highlight w:val="none"/>
          <w:lang w:eastAsia="zh-CN"/>
        </w:rPr>
      </w:r>
      <w:r/>
    </w:p>
    <w:p>
      <w:pPr>
        <w:pStyle w:val="727"/>
        <w:ind w:left="1" w:firstLine="441"/>
        <w:jc w:val="both"/>
        <w:spacing w:line="360" w:lineRule="auto"/>
        <w:rPr>
          <w:rFonts w:ascii="宋体" w:hAnsi="宋体" w:eastAsia="宋体" w:cs="宋体"/>
          <w:b/>
          <w:bCs w:val="0"/>
          <w:sz w:val="24"/>
          <w:szCs w:val="24"/>
          <w:highlight w:val="none"/>
        </w:rPr>
      </w:pPr>
      <w:r>
        <w:rPr>
          <w:rFonts w:hint="eastAsia"/>
          <w:color w:val="000000"/>
          <w:spacing w:val="5"/>
          <w:sz w:val="21"/>
          <w:szCs w:val="21"/>
          <w:highlight w:val="none"/>
          <w:lang w:eastAsia="zh-CN"/>
        </w:rPr>
        <w:t xml:space="preserve">异常低价投标（审查的启动原因、审查意见和审查结果应当在评标报告中记录，并随投标人提供的相关书面说明及证明材料，以及评标委员会有关互联网浏览、查询历史一并归档。</w:t>
      </w:r>
      <w:r>
        <w:rPr>
          <w:rFonts w:ascii="宋体" w:hAnsi="宋体" w:eastAsia="宋体" w:cs="宋体"/>
          <w:b/>
          <w:bCs w:val="0"/>
          <w:sz w:val="24"/>
          <w:szCs w:val="24"/>
          <w:highlight w:val="none"/>
        </w:rPr>
      </w:r>
      <w:r/>
    </w:p>
    <w:p>
      <w:pPr>
        <w:pStyle w:val="700"/>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rPr>
          <w:rFonts w:ascii="Times New Roman" w:hAnsi="Times New Roman" w:eastAsia="宋体" w:cs="Times New Roman"/>
          <w:b/>
          <w:sz w:val="28"/>
          <w:szCs w:val="28"/>
        </w:rPr>
      </w:r>
      <w:r/>
    </w:p>
    <w:p>
      <w:pPr>
        <w:pStyle w:val="700"/>
        <w:ind w:firstLine="480"/>
        <w:spacing w:line="360" w:lineRule="auto"/>
        <w:rPr>
          <w:sz w:val="24"/>
        </w:rPr>
      </w:pPr>
      <w:r>
        <w:rPr>
          <w:rFonts w:hint="eastAsia"/>
          <w:sz w:val="24"/>
        </w:rPr>
        <w:t xml:space="preserve">本项目报价不得超过</w:t>
      </w:r>
      <w:r>
        <w:rPr>
          <w:rFonts w:hint="eastAsia" w:eastAsia="宋体"/>
          <w:sz w:val="24"/>
        </w:rPr>
        <w:t xml:space="preserve">最高总限</w:t>
      </w:r>
      <w:r>
        <w:rPr>
          <w:rFonts w:hint="eastAsia"/>
          <w:sz w:val="24"/>
        </w:rPr>
        <w:t xml:space="preserve">价</w:t>
      </w:r>
      <w:r>
        <w:rPr>
          <w:rFonts w:hint="eastAsia"/>
          <w:b/>
          <w:bCs/>
          <w:sz w:val="24"/>
        </w:rPr>
        <w:t xml:space="preserve">（</w:t>
      </w:r>
      <w:r>
        <w:rPr>
          <w:rFonts w:hint="eastAsia" w:eastAsia="宋体"/>
          <w:b/>
          <w:bCs/>
          <w:sz w:val="24"/>
        </w:rPr>
        <w:t xml:space="preserve">最高总限价具体详见评标办法附件</w:t>
      </w:r>
      <w:r>
        <w:rPr>
          <w:rFonts w:hint="eastAsia"/>
          <w:b/>
          <w:bCs/>
          <w:sz w:val="24"/>
        </w:rPr>
        <w:t xml:space="preserve">）</w:t>
      </w:r>
      <w:r>
        <w:rPr>
          <w:rFonts w:hint="eastAsia"/>
          <w:sz w:val="24"/>
        </w:rPr>
        <w:t xml:space="preserve">。</w:t>
      </w:r>
      <w:r>
        <w:rPr>
          <w:sz w:val="24"/>
        </w:rPr>
      </w:r>
      <w:r/>
    </w:p>
    <w:p>
      <w:pPr>
        <w:pStyle w:val="700"/>
        <w:ind w:firstLine="480"/>
        <w:spacing w:line="360" w:lineRule="auto"/>
        <w:rPr>
          <w:b/>
          <w:bCs/>
          <w:sz w:val="24"/>
        </w:rPr>
      </w:pPr>
      <w:r>
        <w:rPr>
          <w:rFonts w:hint="eastAsia"/>
          <w:b/>
          <w:bCs/>
          <w:sz w:val="24"/>
        </w:rPr>
        <w:t xml:space="preserve">特别提醒投标人：应根据国家收费标准并结合市场实际进行报价，总价包干。</w:t>
      </w:r>
      <w:r>
        <w:rPr>
          <w:b/>
          <w:bCs/>
          <w:sz w:val="24"/>
        </w:rPr>
      </w:r>
      <w:r/>
    </w:p>
    <w:p>
      <w:pPr>
        <w:pStyle w:val="700"/>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700"/>
        <w:jc w:val="left"/>
        <w:widowControl/>
        <w:rPr>
          <w:rFonts w:ascii="黑体" w:hAnsi="黑体" w:eastAsia="黑体"/>
          <w:bCs/>
          <w:sz w:val="44"/>
          <w:szCs w:val="44"/>
        </w:rPr>
      </w:pPr>
      <w:r/>
      <w:bookmarkStart w:id="665" w:name="_Toc155796360"/>
      <w:r>
        <w:rPr>
          <w:rFonts w:ascii="黑体" w:hAnsi="黑体" w:eastAsia="黑体"/>
          <w:b/>
        </w:rPr>
        <w:br w:type="page" w:clear="all"/>
      </w:r>
      <w:r>
        <w:rPr>
          <w:rFonts w:ascii="黑体" w:hAnsi="黑体" w:eastAsia="黑体"/>
          <w:bCs/>
          <w:sz w:val="44"/>
          <w:szCs w:val="44"/>
        </w:rPr>
      </w:r>
      <w:r/>
    </w:p>
    <w:p>
      <w:pPr>
        <w:pStyle w:val="70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665"/>
      <w:r>
        <w:rPr>
          <w:rFonts w:ascii="黑体" w:hAnsi="黑体" w:eastAsia="黑体"/>
          <w:b w:val="0"/>
        </w:rPr>
      </w:r>
      <w:r/>
    </w:p>
    <w:p>
      <w:pPr>
        <w:pStyle w:val="70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700"/>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highlight w:val="yellow"/>
        </w:rPr>
      </w:r>
      <w:r/>
    </w:p>
    <w:p>
      <w:pPr>
        <w:pStyle w:val="70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70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70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70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70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00"/>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w:t>
      </w:r>
      <w:r>
        <w:rPr>
          <w:rFonts w:hint="eastAsia"/>
          <w:sz w:val="24"/>
          <w:szCs w:val="24"/>
        </w:rPr>
        <w:t xml:space="preserve">0分）</w:t>
      </w:r>
      <w:r>
        <w:rPr>
          <w:sz w:val="24"/>
          <w:szCs w:val="24"/>
        </w:rPr>
      </w:r>
      <w:r/>
    </w:p>
    <w:p>
      <w:pPr>
        <w:pStyle w:val="70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00"/>
        <w:ind w:firstLine="480"/>
        <w:jc w:val="left"/>
        <w:spacing w:line="500" w:lineRule="exact"/>
        <w:rPr>
          <w:color w:val="ff0000"/>
        </w:rPr>
      </w:pPr>
      <w:r>
        <w:rPr>
          <w:rFonts w:hint="eastAsia"/>
          <w:sz w:val="24"/>
          <w:szCs w:val="24"/>
        </w:rPr>
        <w:t xml:space="preserve">投标报价得分=（评标基准价／投标报价）×</w:t>
      </w:r>
      <w:r>
        <w:rPr>
          <w:rFonts w:hint="eastAsia"/>
          <w:sz w:val="24"/>
          <w:szCs w:val="24"/>
          <w:lang w:val="en-US" w:eastAsia="zh-CN"/>
        </w:rPr>
        <w:t xml:space="preserve">2</w:t>
      </w:r>
      <w:r>
        <w:rPr>
          <w:rFonts w:hint="eastAsia"/>
          <w:sz w:val="24"/>
          <w:szCs w:val="24"/>
        </w:rPr>
        <w:t xml:space="preserve">0分</w:t>
      </w:r>
      <w:r>
        <w:rPr>
          <w:color w:val="ff0000"/>
        </w:rPr>
      </w:r>
      <w:r/>
    </w:p>
    <w:p>
      <w:pPr>
        <w:pStyle w:val="700"/>
        <w:ind w:firstLine="482"/>
        <w:jc w:val="left"/>
        <w:spacing w:line="360" w:lineRule="auto"/>
        <w:rPr>
          <w:rFonts w:ascii="宋体" w:hAnsi="宋体" w:eastAsia="宋体" w:cs="宋体"/>
          <w:b/>
          <w:sz w:val="24"/>
          <w:szCs w:val="24"/>
          <w:highlight w:val="none"/>
          <w:lang w:val="en-US"/>
        </w:rPr>
      </w:pPr>
      <w:r>
        <w:rPr>
          <w:rFonts w:hint="eastAsia" w:ascii="宋体" w:hAnsi="宋体" w:eastAsia="宋体" w:cs="宋体"/>
          <w:b/>
          <w:bCs w:val="0"/>
          <w:sz w:val="24"/>
          <w:szCs w:val="24"/>
          <w:highlight w:val="none"/>
          <w:lang w:val="en-US" w:eastAsia="zh-CN"/>
        </w:rPr>
        <w:t xml:space="preserve">灌云县2026年度农村供水工程维修养护项目按照《关于推动解决政府采购异常低价问题的通知》（财库2026 2号文）执行（详见采购人需求报价要求）</w:t>
      </w:r>
      <w:r>
        <w:rPr>
          <w:rFonts w:ascii="宋体" w:hAnsi="宋体" w:eastAsia="宋体" w:cs="宋体"/>
          <w:b/>
          <w:sz w:val="24"/>
          <w:szCs w:val="24"/>
          <w:highlight w:val="none"/>
          <w:lang w:val="en-US"/>
        </w:rPr>
      </w:r>
      <w:r/>
    </w:p>
    <w:p>
      <w:pPr>
        <w:pStyle w:val="727"/>
        <w:ind w:firstLine="482"/>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注：本项目最高限价为177.57万元， 超过最高限价做无效标处理。 </w:t>
      </w:r>
      <w:r>
        <w:rPr>
          <w:rFonts w:ascii="宋体" w:hAnsi="宋体" w:eastAsia="宋体" w:cs="宋体"/>
          <w:b/>
          <w:sz w:val="24"/>
          <w:szCs w:val="24"/>
          <w:highlight w:val="none"/>
          <w:lang w:val="en-US" w:eastAsia="zh-CN"/>
        </w:rPr>
      </w:r>
      <w:r/>
    </w:p>
    <w:p>
      <w:pPr>
        <w:pStyle w:val="700"/>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68</w:t>
      </w:r>
      <w:r>
        <w:rPr>
          <w:rFonts w:hint="eastAsia"/>
          <w:sz w:val="24"/>
          <w:szCs w:val="24"/>
        </w:rPr>
        <w:t xml:space="preserve">分）</w:t>
      </w:r>
      <w:r>
        <w:rPr>
          <w:sz w:val="24"/>
          <w:szCs w:val="24"/>
        </w:rPr>
      </w:r>
      <w:r/>
    </w:p>
    <w:tbl>
      <w:tblPr>
        <w:tblW w:w="82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21"/>
      </w:tblGrid>
      <w:tr>
        <w:trPr>
          <w:trHeight w:val="621"/>
        </w:trPr>
        <w:tc>
          <w:tcPr>
            <w:tcW w:w="1660" w:type="dxa"/>
            <w:vAlign w:val="center"/>
            <w:textDirection w:val="lrTb"/>
            <w:noWrap w:val="false"/>
          </w:tcPr>
          <w:p>
            <w:pPr>
              <w:pStyle w:val="70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rPr>
                <w:rFonts w:ascii="宋体" w:hAnsi="宋体" w:eastAsia="宋体" w:cs="宋体"/>
                <w:color w:val="000000"/>
                <w:sz w:val="24"/>
                <w:szCs w:val="24"/>
              </w:rPr>
            </w:r>
            <w:r/>
          </w:p>
        </w:tc>
        <w:tc>
          <w:tcPr>
            <w:tcW w:w="6621" w:type="dxa"/>
            <w:vAlign w:val="center"/>
            <w:textDirection w:val="lrTb"/>
            <w:noWrap w:val="false"/>
          </w:tcPr>
          <w:p>
            <w:pPr>
              <w:pStyle w:val="70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ascii="宋体" w:hAnsi="宋体" w:eastAsia="宋体" w:cs="宋体"/>
                <w:color w:val="000000"/>
                <w:sz w:val="24"/>
                <w:szCs w:val="24"/>
              </w:rPr>
            </w:r>
            <w:r/>
          </w:p>
        </w:tc>
      </w:tr>
      <w:tr>
        <w:trPr>
          <w:trHeight w:val="621"/>
        </w:trPr>
        <w:tc>
          <w:tcPr>
            <w:tcW w:w="1660" w:type="dxa"/>
            <w:vAlign w:val="center"/>
            <w:textDirection w:val="lrTb"/>
            <w:noWrap w:val="false"/>
          </w:tcPr>
          <w:p>
            <w:pPr>
              <w:pStyle w:val="700"/>
              <w:jc w:val="center"/>
              <w:spacing w:line="276" w:lineRule="auto"/>
              <w:rPr>
                <w:rFonts w:ascii="宋体" w:hAnsi="宋体" w:eastAsia="宋体" w:cs="宋体"/>
                <w:sz w:val="24"/>
                <w:szCs w:val="24"/>
              </w:rPr>
            </w:pPr>
            <w:r>
              <w:rPr>
                <w:rFonts w:hint="eastAsia" w:ascii="宋体" w:hAnsi="宋体" w:eastAsia="宋体" w:cs="宋体"/>
                <w:sz w:val="24"/>
                <w:szCs w:val="24"/>
              </w:rPr>
              <w:t xml:space="preserve">项目理解    （</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ascii="宋体" w:hAnsi="宋体" w:eastAsia="宋体" w:cs="宋体"/>
                <w:sz w:val="24"/>
                <w:szCs w:val="24"/>
              </w:rPr>
            </w:r>
            <w:r/>
          </w:p>
        </w:tc>
        <w:tc>
          <w:tcPr>
            <w:tcW w:w="6621" w:type="dxa"/>
            <w:vAlign w:val="center"/>
            <w:textDirection w:val="lrTb"/>
            <w:noWrap w:val="false"/>
          </w:tcPr>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根</w:t>
            </w:r>
            <w:r>
              <w:rPr>
                <w:rFonts w:hint="eastAsia" w:ascii="宋体" w:hAnsi="宋体" w:eastAsia="宋体" w:cs="宋体"/>
                <w:sz w:val="24"/>
                <w:szCs w:val="24"/>
              </w:rPr>
              <w:t xml:space="preserve">据投标人对本项目的重点、难点的理解及相关对策的认识，包括但不限于：项目概况、项目建设内容、</w:t>
            </w:r>
            <w:r>
              <w:rPr>
                <w:rFonts w:hint="eastAsia" w:ascii="宋体" w:hAnsi="宋体" w:eastAsia="宋体" w:cs="宋体"/>
                <w:sz w:val="24"/>
                <w:szCs w:val="24"/>
                <w:lang w:val="en-US" w:eastAsia="zh-CN"/>
              </w:rPr>
              <w:t xml:space="preserve">重点难点理解</w:t>
            </w:r>
            <w:r>
              <w:rPr>
                <w:rFonts w:hint="eastAsia" w:ascii="宋体" w:hAnsi="宋体" w:eastAsia="宋体" w:cs="宋体"/>
                <w:sz w:val="24"/>
                <w:szCs w:val="24"/>
              </w:rPr>
              <w:t xml:space="preserve">等进行评审：</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（1）对项目的理解和认识程度非常透彻,整体思路清晰、针对性强,优于或完全满足采购需求的得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（2）对项目的理解和认知程度一般，整体思路不够清晰，针对性一般，基本满足采购需求的得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（3）对项目的理解和认知程度较差，整体思路模糊，针对性较差，部分满足采购需求的得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rPr>
                <w:rFonts w:ascii="宋体" w:hAnsi="宋体" w:eastAsia="宋体" w:cs="宋体"/>
                <w:sz w:val="24"/>
                <w:szCs w:val="24"/>
              </w:rPr>
            </w:r>
            <w:r/>
          </w:p>
        </w:tc>
      </w:tr>
      <w:tr>
        <w:trPr>
          <w:trHeight w:val="621"/>
        </w:trPr>
        <w:tc>
          <w:tcPr>
            <w:tcW w:w="1660" w:type="dxa"/>
            <w:vAlign w:val="center"/>
            <w:textDirection w:val="lrTb"/>
            <w:noWrap w:val="false"/>
          </w:tcPr>
          <w:p>
            <w:pPr>
              <w:pStyle w:val="700"/>
              <w:jc w:val="center"/>
              <w:spacing w:line="276" w:lineRule="auto"/>
              <w:rPr>
                <w:rFonts w:ascii="宋体" w:hAnsi="宋体" w:eastAsia="宋体" w:cs="宋体"/>
                <w:sz w:val="24"/>
                <w:szCs w:val="24"/>
              </w:rPr>
            </w:pPr>
            <w:r>
              <w:rPr>
                <w:rFonts w:hint="eastAsia" w:ascii="宋体" w:hAnsi="宋体" w:cs="宋体"/>
                <w:sz w:val="22"/>
                <w:szCs w:val="22"/>
                <w:highlight w:val="none"/>
              </w:rPr>
              <w:t xml:space="preserve">工场布置和临时设施设计</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center"/>
              <w:spacing w:line="276" w:lineRule="auto"/>
              <w:rPr>
                <w:rFonts w:ascii="宋体" w:hAnsi="宋体" w:eastAsia="宋体" w:cs="宋体"/>
                <w:sz w:val="24"/>
                <w:szCs w:val="24"/>
              </w:rPr>
            </w:pPr>
            <w:r>
              <w:rPr>
                <w:rFonts w:ascii="宋体" w:hAnsi="宋体" w:eastAsia="宋体" w:cs="宋体"/>
                <w:sz w:val="24"/>
                <w:szCs w:val="24"/>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本项目工场布置和临时设施设计</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w:t>
            </w:r>
            <w:r>
              <w:rPr>
                <w:rFonts w:hint="eastAsia" w:ascii="宋体" w:hAnsi="宋体" w:eastAsia="宋体" w:cs="宋体"/>
                <w:sz w:val="24"/>
                <w:szCs w:val="24"/>
                <w:lang w:val="en-US" w:eastAsia="zh-CN"/>
              </w:rPr>
              <w:t xml:space="preserve">工场布置、临时设施设计技术方案</w:t>
            </w:r>
            <w:r>
              <w:rPr>
                <w:rFonts w:hint="eastAsia" w:ascii="宋体" w:hAnsi="宋体" w:eastAsia="宋体" w:cs="宋体"/>
                <w:sz w:val="24"/>
                <w:szCs w:val="24"/>
              </w:rPr>
              <w:t xml:space="preserve">等进行评审：</w:t>
            </w:r>
            <w:r>
              <w:rPr>
                <w:rFonts w:hint="eastAsia"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rPr>
                <w:rFonts w:ascii="宋体" w:hAnsi="宋体" w:eastAsia="宋体" w:cs="宋体"/>
                <w:sz w:val="24"/>
                <w:szCs w:val="24"/>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eastAsia="宋体" w:cs="宋体"/>
                <w:sz w:val="24"/>
                <w:szCs w:val="24"/>
                <w:lang w:eastAsia="zh-CN"/>
              </w:rPr>
            </w:pPr>
            <w:r>
              <w:rPr>
                <w:rFonts w:hint="eastAsia" w:ascii="宋体" w:hAnsi="宋体" w:cs="宋体"/>
                <w:sz w:val="22"/>
                <w:szCs w:val="22"/>
                <w:highlight w:val="none"/>
              </w:rPr>
              <w:t xml:space="preserve">施工进度计划</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5分</w:t>
            </w:r>
            <w:r>
              <w:rPr>
                <w:rFonts w:hint="eastAsia" w:ascii="宋体" w:hAnsi="宋体" w:cs="宋体"/>
                <w:sz w:val="22"/>
                <w:szCs w:val="22"/>
                <w:highlight w:val="none"/>
                <w:lang w:eastAsia="zh-CN"/>
              </w:rPr>
              <w:t xml:space="preserve">）</w:t>
            </w:r>
            <w:r>
              <w:rPr>
                <w:rFonts w:hint="eastAsia" w:ascii="宋体" w:hAnsi="宋体" w:eastAsia="宋体" w:cs="宋体"/>
                <w:sz w:val="24"/>
                <w:szCs w:val="24"/>
                <w:lang w:eastAsia="zh-CN"/>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w:t>
            </w:r>
            <w:r>
              <w:rPr>
                <w:rFonts w:hint="eastAsia" w:ascii="宋体" w:hAnsi="宋体" w:cs="宋体"/>
                <w:sz w:val="22"/>
                <w:szCs w:val="22"/>
                <w:highlight w:val="none"/>
              </w:rPr>
              <w:t xml:space="preserve">施工进度计划</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w:t>
            </w:r>
            <w:r>
              <w:rPr>
                <w:rFonts w:hint="eastAsia" w:ascii="宋体" w:hAnsi="宋体" w:cs="宋体"/>
                <w:sz w:val="22"/>
                <w:szCs w:val="22"/>
                <w:highlight w:val="none"/>
              </w:rPr>
              <w:t xml:space="preserve">施工进度计划</w:t>
            </w:r>
            <w:r>
              <w:rPr>
                <w:rFonts w:hint="eastAsia" w:ascii="宋体" w:hAnsi="宋体" w:eastAsia="宋体" w:cs="宋体"/>
                <w:sz w:val="24"/>
                <w:szCs w:val="24"/>
                <w:lang w:val="en-US" w:eastAsia="zh-CN"/>
              </w:rPr>
              <w:t xml:space="preserve">技术方案等</w:t>
            </w:r>
            <w:r>
              <w:rPr>
                <w:rFonts w:hint="eastAsia" w:ascii="宋体" w:hAnsi="宋体" w:eastAsia="宋体" w:cs="宋体"/>
                <w:sz w:val="24"/>
                <w:szCs w:val="24"/>
              </w:rPr>
              <w:t xml:space="preserve">进行评审：</w:t>
            </w:r>
            <w:r>
              <w:rPr>
                <w:rFonts w:hint="eastAsia" w:ascii="宋体" w:hAnsi="宋体" w:eastAsia="宋体" w:cs="宋体"/>
                <w:sz w:val="24"/>
                <w:szCs w:val="24"/>
                <w:lang w:eastAsia="zh-CN"/>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未见阐述不得分。</w:t>
            </w:r>
            <w:r>
              <w:rPr>
                <w:rFonts w:hint="eastAsia" w:ascii="宋体" w:hAnsi="宋体" w:eastAsia="宋体" w:cs="宋体"/>
                <w:b/>
                <w:bCs/>
                <w:sz w:val="24"/>
                <w:szCs w:val="24"/>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施工机具设备及劳动力配置</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eastAsia="zh-CN"/>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w:t>
            </w:r>
            <w:r>
              <w:rPr>
                <w:rFonts w:hint="eastAsia" w:ascii="宋体" w:hAnsi="宋体" w:cs="宋体"/>
                <w:sz w:val="22"/>
                <w:szCs w:val="22"/>
                <w:highlight w:val="none"/>
              </w:rPr>
              <w:t xml:space="preserve">施工机具设备及劳动力配置</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w:t>
            </w:r>
            <w:r>
              <w:rPr>
                <w:rFonts w:hint="eastAsia" w:ascii="宋体" w:hAnsi="宋体" w:cs="宋体"/>
                <w:sz w:val="22"/>
                <w:szCs w:val="22"/>
                <w:highlight w:val="none"/>
              </w:rPr>
              <w:t xml:space="preserve">施工机具设备及劳动力配置</w:t>
            </w:r>
            <w:r>
              <w:rPr>
                <w:rFonts w:hint="eastAsia" w:ascii="宋体" w:hAnsi="宋体" w:eastAsia="宋体" w:cs="宋体"/>
                <w:sz w:val="24"/>
                <w:szCs w:val="24"/>
                <w:lang w:val="en-US" w:eastAsia="zh-CN"/>
              </w:rPr>
              <w:t xml:space="preserve">技术方案等</w:t>
            </w:r>
            <w:r>
              <w:rPr>
                <w:rFonts w:hint="eastAsia" w:ascii="宋体" w:hAnsi="宋体" w:eastAsia="宋体" w:cs="宋体"/>
                <w:sz w:val="24"/>
                <w:szCs w:val="24"/>
              </w:rPr>
              <w:t xml:space="preserve">进行评审：</w:t>
            </w:r>
            <w:r>
              <w:rPr>
                <w:rFonts w:hint="eastAsia" w:ascii="宋体" w:hAnsi="宋体" w:eastAsia="宋体" w:cs="宋体"/>
                <w:sz w:val="24"/>
                <w:szCs w:val="24"/>
                <w:lang w:eastAsia="zh-CN"/>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eastAsia="宋体" w:cs="宋体"/>
                <w:b/>
                <w:bCs/>
                <w:sz w:val="24"/>
                <w:szCs w:val="24"/>
              </w:rPr>
            </w:pPr>
            <w:r>
              <w:rPr>
                <w:rFonts w:hint="eastAsia" w:ascii="宋体" w:hAnsi="宋体" w:eastAsia="宋体" w:cs="宋体"/>
                <w:b/>
                <w:bCs/>
                <w:sz w:val="24"/>
                <w:szCs w:val="24"/>
              </w:rPr>
              <w:t xml:space="preserve">未见阐述不得分。</w:t>
            </w:r>
            <w:r>
              <w:rPr>
                <w:rFonts w:hint="eastAsia" w:ascii="宋体" w:hAnsi="宋体" w:eastAsia="宋体" w:cs="宋体"/>
                <w:b/>
                <w:bCs/>
                <w:sz w:val="24"/>
                <w:szCs w:val="24"/>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rPr>
              <w:t xml:space="preserve">管道采购安装（含试压、消毒）工程</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12分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val="en-US" w:eastAsia="zh-CN" w:bidi="ar-SA"/>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本项目管道采购安装（含试压、消毒）工程</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w:t>
            </w:r>
            <w:r>
              <w:rPr>
                <w:rFonts w:hint="eastAsia" w:ascii="宋体" w:hAnsi="宋体" w:eastAsia="宋体" w:cs="宋体"/>
                <w:sz w:val="24"/>
                <w:szCs w:val="24"/>
                <w:lang w:val="en-US" w:eastAsia="zh-CN"/>
              </w:rPr>
              <w:t xml:space="preserve">管道采购安装（含试压、消毒）工程技术方案等</w:t>
            </w:r>
            <w:r>
              <w:rPr>
                <w:rFonts w:hint="eastAsia" w:ascii="宋体" w:hAnsi="宋体" w:eastAsia="宋体" w:cs="宋体"/>
                <w:sz w:val="24"/>
                <w:szCs w:val="24"/>
              </w:rPr>
              <w:t xml:space="preserve">进行评审：</w:t>
            </w:r>
            <w:r>
              <w:rPr>
                <w:rFonts w:hint="eastAsia" w:ascii="宋体" w:hAnsi="宋体" w:eastAsia="宋体" w:cs="宋体"/>
                <w:sz w:val="24"/>
                <w:szCs w:val="24"/>
                <w:lang w:eastAsia="zh-CN"/>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未见阐述不得分。</w:t>
            </w:r>
            <w:r>
              <w:rPr>
                <w:rFonts w:hint="eastAsia" w:ascii="宋体" w:hAnsi="宋体" w:eastAsia="宋体" w:cs="宋体"/>
                <w:b/>
                <w:bCs/>
                <w:sz w:val="24"/>
                <w:szCs w:val="24"/>
                <w:lang w:val="en-US" w:eastAsia="zh-CN" w:bidi="ar-SA"/>
              </w:rPr>
            </w:r>
            <w:r/>
          </w:p>
        </w:tc>
      </w:tr>
      <w:tr>
        <w:trPr>
          <w:trHeight w:val="621"/>
        </w:trPr>
        <w:tc>
          <w:tcPr>
            <w:tcW w:w="1660" w:type="dxa"/>
            <w:vAlign w:val="center"/>
            <w:textDirection w:val="lrTb"/>
            <w:noWrap w:val="false"/>
          </w:tcPr>
          <w:p>
            <w:pPr>
              <w:pStyle w:val="700"/>
              <w:jc w:val="center"/>
              <w:spacing w:line="276" w:lineRule="auto"/>
              <w:rPr>
                <w:rFonts w:ascii="宋体" w:hAnsi="宋体" w:eastAsia="宋体" w:cs="宋体"/>
                <w:sz w:val="22"/>
                <w:szCs w:val="22"/>
                <w:highlight w:val="none"/>
                <w:lang w:val="en-US" w:eastAsia="zh-CN"/>
              </w:rPr>
            </w:pPr>
            <w:r>
              <w:rPr>
                <w:rFonts w:hint="eastAsia" w:ascii="宋体" w:hAnsi="宋体" w:cs="宋体"/>
                <w:sz w:val="22"/>
                <w:szCs w:val="22"/>
                <w:highlight w:val="none"/>
              </w:rPr>
              <w:t xml:space="preserve">阀门、水表等设备采购安装质量控制措施</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8分</w:t>
            </w:r>
            <w:r>
              <w:rPr>
                <w:rFonts w:hint="eastAsia" w:ascii="宋体" w:hAnsi="宋体" w:cs="宋体"/>
                <w:sz w:val="22"/>
                <w:szCs w:val="22"/>
                <w:highlight w:val="none"/>
                <w:lang w:eastAsia="zh-CN"/>
              </w:rPr>
              <w:t xml:space="preserve">）</w:t>
            </w:r>
            <w:r>
              <w:rPr>
                <w:rFonts w:ascii="宋体" w:hAnsi="宋体" w:eastAsia="宋体" w:cs="宋体"/>
                <w:sz w:val="22"/>
                <w:szCs w:val="22"/>
                <w:highlight w:val="none"/>
                <w:lang w:val="en-US" w:eastAsia="zh-CN"/>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本项目阀门、水表等设备采购安装质量控制措施技术方案，包括但不限于：阀门、水表等设备采购安装质量控制措施技术方案等</w:t>
            </w:r>
            <w:r>
              <w:rPr>
                <w:rFonts w:hint="eastAsia" w:ascii="宋体" w:hAnsi="宋体" w:eastAsia="宋体" w:cs="宋体"/>
                <w:sz w:val="24"/>
                <w:szCs w:val="24"/>
              </w:rPr>
              <w:t xml:space="preserve">进行评审：</w:t>
            </w:r>
            <w:r>
              <w:rPr>
                <w:rFonts w:hint="eastAsia" w:ascii="宋体" w:hAnsi="宋体" w:eastAsia="宋体" w:cs="宋体"/>
                <w:sz w:val="24"/>
                <w:szCs w:val="24"/>
                <w:lang w:eastAsia="zh-CN"/>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cs="宋体"/>
                <w:sz w:val="22"/>
                <w:szCs w:val="22"/>
                <w:highlight w:val="none"/>
              </w:rPr>
            </w:pPr>
            <w:r>
              <w:rPr>
                <w:rFonts w:hint="eastAsia" w:ascii="宋体" w:hAnsi="宋体" w:eastAsia="宋体" w:cs="宋体"/>
                <w:b/>
                <w:bCs/>
                <w:sz w:val="24"/>
                <w:szCs w:val="24"/>
              </w:rPr>
              <w:t xml:space="preserve">未见阐述不得分。</w:t>
            </w:r>
            <w:r>
              <w:rPr>
                <w:rFonts w:hint="eastAsia" w:ascii="宋体" w:hAnsi="宋体" w:cs="宋体"/>
                <w:sz w:val="22"/>
                <w:szCs w:val="22"/>
                <w:highlight w:val="none"/>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cs="宋体"/>
                <w:sz w:val="22"/>
                <w:szCs w:val="22"/>
                <w:highlight w:val="none"/>
              </w:rPr>
            </w:pPr>
            <w:r>
              <w:rPr>
                <w:rFonts w:hint="eastAsia" w:ascii="宋体" w:hAnsi="宋体" w:cs="宋体"/>
                <w:sz w:val="22"/>
                <w:szCs w:val="22"/>
                <w:highlight w:val="none"/>
              </w:rPr>
              <w:t xml:space="preserve">混凝土路面拆除及恢复施工工艺</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5分</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r>
            <w:r/>
          </w:p>
        </w:tc>
        <w:tc>
          <w:tcPr>
            <w:tcW w:w="6621" w:type="dxa"/>
            <w:vAlign w:val="center"/>
            <w:textDirection w:val="lrTb"/>
            <w:noWrap w:val="false"/>
          </w:tcPr>
          <w:p>
            <w:pPr>
              <w:pStyle w:val="700"/>
              <w:jc w:val="left"/>
              <w:spacing w:line="276"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本项目混凝土路面拆除及恢复施工工艺</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，包括但不限于：混凝土路面拆除及恢复施工工艺</w:t>
            </w:r>
            <w:r>
              <w:rPr>
                <w:rFonts w:hint="eastAsia" w:ascii="宋体" w:hAnsi="宋体" w:eastAsia="宋体" w:cs="宋体"/>
                <w:sz w:val="24"/>
                <w:szCs w:val="24"/>
                <w:lang w:val="en-US" w:eastAsia="zh-CN"/>
              </w:rPr>
              <w:t xml:space="preserve">技术方案等</w:t>
            </w:r>
            <w:r>
              <w:rPr>
                <w:rFonts w:hint="eastAsia" w:ascii="宋体" w:hAnsi="宋体" w:eastAsia="宋体" w:cs="宋体"/>
                <w:sz w:val="24"/>
                <w:szCs w:val="24"/>
              </w:rPr>
              <w:t xml:space="preserve">进行评审：</w:t>
            </w:r>
            <w:r>
              <w:rPr>
                <w:rFonts w:hint="eastAsia" w:ascii="宋体" w:hAnsi="宋体" w:eastAsia="宋体" w:cs="宋体"/>
                <w:sz w:val="24"/>
                <w:szCs w:val="24"/>
                <w:lang w:eastAsia="zh-CN"/>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(3)技术方案基本全面，但可行性有待提升，能满足项目主要需求的，得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cs="宋体"/>
                <w:sz w:val="22"/>
                <w:szCs w:val="22"/>
                <w:highlight w:val="none"/>
              </w:rPr>
            </w:pPr>
            <w:r>
              <w:rPr>
                <w:rFonts w:hint="eastAsia" w:ascii="宋体" w:hAnsi="宋体" w:eastAsia="宋体" w:cs="宋体"/>
                <w:b/>
                <w:bCs/>
                <w:sz w:val="24"/>
                <w:szCs w:val="24"/>
              </w:rPr>
              <w:t xml:space="preserve">未见阐述不得分</w:t>
            </w:r>
            <w:r>
              <w:rPr>
                <w:rFonts w:hint="eastAsia" w:ascii="宋体" w:hAnsi="宋体" w:cs="宋体"/>
                <w:sz w:val="22"/>
                <w:szCs w:val="22"/>
                <w:highlight w:val="none"/>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增压站施工工艺</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10分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eastAsia="zh-CN"/>
              </w:rPr>
            </w:r>
            <w:r/>
          </w:p>
        </w:tc>
        <w:tc>
          <w:tcPr>
            <w:tcW w:w="6621" w:type="dxa"/>
            <w:vAlign w:val="center"/>
            <w:textDirection w:val="lrTb"/>
            <w:noWrap w:val="false"/>
          </w:tcPr>
          <w:p>
            <w:pPr>
              <w:pStyle w:val="700"/>
              <w:jc w:val="left"/>
              <w:spacing w:line="276" w:lineRule="auto"/>
              <w:rPr>
                <w:rFonts w:hint="eastAsia" w:ascii="宋体" w:hAnsi="宋体" w:cs="宋体"/>
                <w:sz w:val="22"/>
                <w:szCs w:val="22"/>
                <w:highlight w:val="none"/>
              </w:rPr>
            </w:pPr>
            <w:r>
              <w:rPr>
                <w:rFonts w:hint="eastAsia" w:ascii="宋体" w:hAnsi="宋体" w:eastAsia="宋体" w:cs="宋体"/>
                <w:sz w:val="24"/>
                <w:szCs w:val="24"/>
              </w:rPr>
              <w:t xml:space="preserve">本项目增压站施工工艺</w:t>
            </w:r>
            <w:r>
              <w:rPr>
                <w:rFonts w:hint="eastAsia" w:ascii="宋体" w:hAnsi="宋体" w:eastAsia="宋体" w:cs="宋体"/>
                <w:sz w:val="24"/>
                <w:szCs w:val="24"/>
                <w:lang w:val="en-US" w:eastAsia="zh-CN"/>
              </w:rPr>
              <w:t xml:space="preserve">技术方案</w:t>
            </w:r>
            <w:r>
              <w:rPr>
                <w:rFonts w:hint="eastAsia" w:ascii="宋体" w:hAnsi="宋体" w:eastAsia="宋体" w:cs="宋体"/>
                <w:sz w:val="24"/>
                <w:szCs w:val="24"/>
              </w:rPr>
              <w:t xml:space="preserve">，包括但不限于：增压站施工工艺</w:t>
            </w:r>
            <w:r>
              <w:rPr>
                <w:rFonts w:hint="eastAsia" w:ascii="宋体" w:hAnsi="宋体" w:eastAsia="宋体" w:cs="宋体"/>
                <w:sz w:val="24"/>
                <w:szCs w:val="24"/>
                <w:lang w:val="en-US" w:eastAsia="zh-CN"/>
              </w:rPr>
              <w:t xml:space="preserve">技术方案等</w:t>
            </w:r>
            <w:r>
              <w:rPr>
                <w:rFonts w:hint="eastAsia" w:ascii="宋体" w:hAnsi="宋体" w:eastAsia="宋体" w:cs="宋体"/>
                <w:sz w:val="24"/>
                <w:szCs w:val="24"/>
              </w:rPr>
              <w:t xml:space="preserve">进行评审：</w:t>
            </w:r>
            <w:r>
              <w:rPr>
                <w:rFonts w:hint="eastAsia" w:ascii="宋体" w:hAnsi="宋体" w:cs="宋体"/>
                <w:sz w:val="22"/>
                <w:szCs w:val="22"/>
                <w:highlight w:val="none"/>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技术方案全面、完整、可行性强，应对的解决方案完全符合本项目现行实际情况，得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(3)技术服务方案基本全面，但可行性有待提升，能满足项目主要需求的，得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r>
            <w:r/>
          </w:p>
          <w:p>
            <w:pPr>
              <w:pStyle w:val="700"/>
              <w:jc w:val="left"/>
              <w:spacing w:line="276" w:lineRule="auto"/>
              <w:rPr>
                <w:rFonts w:hint="eastAsia" w:ascii="宋体" w:hAnsi="宋体" w:cs="宋体"/>
                <w:sz w:val="22"/>
                <w:szCs w:val="22"/>
                <w:highlight w:val="none"/>
              </w:rPr>
            </w:pPr>
            <w:r>
              <w:rPr>
                <w:rFonts w:hint="eastAsia" w:ascii="宋体" w:hAnsi="宋体" w:eastAsia="宋体" w:cs="宋体"/>
                <w:b/>
                <w:bCs/>
                <w:sz w:val="24"/>
                <w:szCs w:val="24"/>
              </w:rPr>
              <w:t xml:space="preserve">未见阐述不得分。</w:t>
            </w:r>
            <w:r>
              <w:rPr>
                <w:rFonts w:hint="eastAsia" w:ascii="宋体" w:hAnsi="宋体" w:cs="宋体"/>
                <w:sz w:val="22"/>
                <w:szCs w:val="22"/>
                <w:highlight w:val="none"/>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cs="宋体"/>
                <w:sz w:val="22"/>
                <w:szCs w:val="22"/>
                <w:highlight w:val="none"/>
              </w:rPr>
            </w:pPr>
            <w:r>
              <w:rPr>
                <w:rFonts w:hint="eastAsia" w:ascii="宋体" w:hAnsi="宋体" w:cs="宋体"/>
                <w:sz w:val="22"/>
                <w:szCs w:val="22"/>
                <w:highlight w:val="none"/>
              </w:rPr>
              <w:t xml:space="preserve">质量保证措施</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5分</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r>
            <w:r/>
          </w:p>
        </w:tc>
        <w:tc>
          <w:tcPr>
            <w:tcW w:w="6621" w:type="dxa"/>
            <w:vAlign w:val="center"/>
            <w:textDirection w:val="lrTb"/>
            <w:noWrap w:val="false"/>
          </w:tcPr>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根据投标人提供的项目</w:t>
            </w:r>
            <w:r>
              <w:rPr>
                <w:rFonts w:hint="eastAsia" w:ascii="宋体" w:hAnsi="宋体" w:cs="宋体"/>
                <w:sz w:val="22"/>
                <w:szCs w:val="22"/>
                <w:highlight w:val="none"/>
              </w:rPr>
              <w:t xml:space="preserve">质量保证措施</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管道、混凝土</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val="en-US" w:eastAsia="zh-CN"/>
              </w:rPr>
              <w:t xml:space="preserve">施工质量保证措施</w:t>
            </w:r>
            <w:r>
              <w:rPr>
                <w:rFonts w:hint="eastAsia" w:ascii="宋体" w:hAnsi="宋体" w:eastAsia="宋体" w:cs="宋体"/>
                <w:sz w:val="24"/>
                <w:szCs w:val="24"/>
                <w:highlight w:val="none"/>
              </w:rPr>
              <w:t xml:space="preserve">内容进行评审。</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(1)措施科学合理、可行性强</w:t>
            </w:r>
            <w:r>
              <w:rPr>
                <w:rFonts w:hint="eastAsia" w:ascii="宋体" w:hAnsi="宋体" w:eastAsia="宋体" w:cs="宋体"/>
                <w:sz w:val="24"/>
                <w:szCs w:val="24"/>
                <w:highlight w:val="none"/>
                <w:lang w:val="en-US" w:eastAsia="zh-CN"/>
              </w:rPr>
              <w:t xml:space="preserve">得5</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(2)措施较科学合理、可行性较强</w:t>
            </w:r>
            <w:r>
              <w:rPr>
                <w:rFonts w:hint="eastAsia" w:ascii="宋体" w:hAnsi="宋体" w:eastAsia="宋体" w:cs="宋体"/>
                <w:sz w:val="24"/>
                <w:szCs w:val="24"/>
                <w:highlight w:val="none"/>
                <w:lang w:val="en-US" w:eastAsia="zh-CN"/>
              </w:rPr>
              <w:t xml:space="preserve">得3</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(3)措施一般、可行性弱</w:t>
            </w:r>
            <w:r>
              <w:rPr>
                <w:rFonts w:hint="eastAsia" w:ascii="宋体" w:hAnsi="宋体" w:eastAsia="宋体" w:cs="宋体"/>
                <w:sz w:val="24"/>
                <w:szCs w:val="24"/>
                <w:highlight w:val="none"/>
                <w:lang w:val="en-US" w:eastAsia="zh-CN"/>
              </w:rPr>
              <w:t xml:space="preserve">得2</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hint="eastAsia" w:ascii="宋体" w:hAnsi="宋体" w:cs="宋体"/>
                <w:sz w:val="22"/>
                <w:szCs w:val="22"/>
                <w:highlight w:val="none"/>
              </w:rPr>
            </w:pPr>
            <w:r>
              <w:rPr>
                <w:rFonts w:hint="eastAsia" w:ascii="宋体" w:hAnsi="宋体" w:eastAsia="宋体" w:cs="宋体"/>
                <w:b/>
                <w:bCs/>
                <w:sz w:val="24"/>
                <w:szCs w:val="24"/>
                <w:highlight w:val="none"/>
              </w:rPr>
              <w:t xml:space="preserve">未见阐述不得分。</w:t>
            </w:r>
            <w:r>
              <w:rPr>
                <w:rFonts w:hint="eastAsia" w:ascii="宋体" w:hAnsi="宋体" w:cs="宋体"/>
                <w:sz w:val="22"/>
                <w:szCs w:val="22"/>
                <w:highlight w:val="none"/>
              </w:rPr>
            </w:r>
            <w:r/>
          </w:p>
        </w:tc>
      </w:tr>
      <w:tr>
        <w:trPr>
          <w:trHeight w:val="621"/>
        </w:trPr>
        <w:tc>
          <w:tcPr>
            <w:tcW w:w="1660" w:type="dxa"/>
            <w:vAlign w:val="center"/>
            <w:textDirection w:val="lrTb"/>
            <w:noWrap w:val="false"/>
          </w:tcPr>
          <w:p>
            <w:pPr>
              <w:pStyle w:val="700"/>
              <w:jc w:val="center"/>
              <w:spacing w:line="276" w:lineRule="auto"/>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安全文明建设、环境保护</w:t>
            </w:r>
            <w:r>
              <w:rPr>
                <w:rFonts w:hint="eastAsia" w:ascii="宋体" w:hAnsi="宋体" w:cs="宋体"/>
                <w:sz w:val="22"/>
                <w:szCs w:val="22"/>
                <w:highlight w:val="none"/>
                <w:lang w:val="en-US" w:eastAsia="zh-CN"/>
              </w:rPr>
              <w:t xml:space="preserve">措施</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eastAsia="zh-CN"/>
              </w:rPr>
            </w:r>
            <w:r/>
          </w:p>
        </w:tc>
        <w:tc>
          <w:tcPr>
            <w:tcW w:w="6621" w:type="dxa"/>
            <w:vAlign w:val="center"/>
            <w:textDirection w:val="lrTb"/>
            <w:noWrap w:val="false"/>
          </w:tcPr>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根据投标人提供的项目</w:t>
            </w:r>
            <w:r>
              <w:rPr>
                <w:rFonts w:hint="eastAsia" w:ascii="宋体" w:hAnsi="宋体" w:cs="宋体"/>
                <w:sz w:val="22"/>
                <w:szCs w:val="22"/>
                <w:highlight w:val="none"/>
              </w:rPr>
              <w:t xml:space="preserve">安全文明建设、环境保护</w:t>
            </w:r>
            <w:r>
              <w:rPr>
                <w:rFonts w:hint="eastAsia" w:ascii="宋体" w:hAnsi="宋体" w:cs="宋体"/>
                <w:sz w:val="22"/>
                <w:szCs w:val="22"/>
                <w:highlight w:val="none"/>
                <w:lang w:val="en-US" w:eastAsia="zh-CN"/>
              </w:rPr>
              <w:t xml:space="preserve">措施</w:t>
            </w:r>
            <w:r>
              <w:rPr>
                <w:rFonts w:hint="eastAsia" w:ascii="宋体" w:hAnsi="宋体" w:eastAsia="宋体" w:cs="宋体"/>
                <w:sz w:val="24"/>
                <w:szCs w:val="24"/>
                <w:highlight w:val="none"/>
              </w:rPr>
              <w:t xml:space="preserve">，包括但不限于</w:t>
            </w:r>
            <w:r>
              <w:rPr>
                <w:rFonts w:hint="eastAsia" w:ascii="宋体" w:hAnsi="宋体" w:cs="宋体"/>
                <w:sz w:val="22"/>
                <w:szCs w:val="22"/>
                <w:highlight w:val="none"/>
              </w:rPr>
              <w:t xml:space="preserve">安全文明建设、环境保护</w:t>
            </w:r>
            <w:r>
              <w:rPr>
                <w:rFonts w:hint="eastAsia" w:ascii="宋体" w:hAnsi="宋体" w:cs="宋体"/>
                <w:sz w:val="22"/>
                <w:szCs w:val="22"/>
                <w:highlight w:val="none"/>
                <w:lang w:val="en-US" w:eastAsia="zh-CN"/>
              </w:rPr>
              <w:t xml:space="preserve">措施</w:t>
            </w:r>
            <w:r>
              <w:rPr>
                <w:rFonts w:hint="eastAsia" w:ascii="宋体" w:hAnsi="宋体" w:eastAsia="宋体" w:cs="宋体"/>
                <w:sz w:val="24"/>
                <w:szCs w:val="24"/>
                <w:highlight w:val="none"/>
              </w:rPr>
              <w:t xml:space="preserve">进行评审。</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(1)措施科学合理、可行性强</w:t>
            </w:r>
            <w:r>
              <w:rPr>
                <w:rFonts w:hint="eastAsia" w:ascii="宋体" w:hAnsi="宋体" w:eastAsia="宋体" w:cs="宋体"/>
                <w:sz w:val="24"/>
                <w:szCs w:val="24"/>
                <w:highlight w:val="none"/>
                <w:lang w:val="en-US" w:eastAsia="zh-CN"/>
              </w:rPr>
              <w:t xml:space="preserve">得5</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(2)措施较科学合理、可行性较强</w:t>
            </w:r>
            <w:r>
              <w:rPr>
                <w:rFonts w:hint="eastAsia" w:ascii="宋体" w:hAnsi="宋体" w:eastAsia="宋体" w:cs="宋体"/>
                <w:sz w:val="24"/>
                <w:szCs w:val="24"/>
                <w:highlight w:val="none"/>
                <w:lang w:val="en-US" w:eastAsia="zh-CN"/>
              </w:rPr>
              <w:t xml:space="preserve">得3</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(3)措施一般、可行性弱</w:t>
            </w:r>
            <w:r>
              <w:rPr>
                <w:rFonts w:hint="eastAsia" w:ascii="宋体" w:hAnsi="宋体" w:eastAsia="宋体" w:cs="宋体"/>
                <w:sz w:val="24"/>
                <w:szCs w:val="24"/>
                <w:highlight w:val="none"/>
                <w:lang w:val="en-US" w:eastAsia="zh-CN"/>
              </w:rPr>
              <w:t xml:space="preserve">得2</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p>
            <w:pPr>
              <w:pStyle w:val="700"/>
              <w:jc w:val="left"/>
              <w:spacing w:line="276" w:lineRule="auto"/>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未见阐述不得分。</w:t>
            </w:r>
            <w:r>
              <w:rPr>
                <w:rFonts w:hint="eastAsia" w:ascii="宋体" w:hAnsi="宋体" w:eastAsia="宋体" w:cs="宋体"/>
                <w:b/>
                <w:bCs/>
                <w:sz w:val="24"/>
                <w:szCs w:val="24"/>
              </w:rPr>
            </w:r>
            <w:r/>
          </w:p>
        </w:tc>
      </w:tr>
    </w:tbl>
    <w:p>
      <w:pPr>
        <w:pStyle w:val="700"/>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（3）商务分（</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rPr>
          <w:rFonts w:ascii="宋体" w:hAnsi="宋体" w:eastAsia="宋体" w:cs="宋体"/>
          <w:sz w:val="24"/>
          <w:szCs w:val="24"/>
        </w:rPr>
      </w:r>
      <w:r/>
    </w:p>
    <w:tbl>
      <w:tblPr>
        <w:tblW w:w="83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6644"/>
      </w:tblGrid>
      <w:tr>
        <w:trPr>
          <w:trHeight w:val="624"/>
        </w:trPr>
        <w:tc>
          <w:tcPr>
            <w:tcW w:w="1680" w:type="dxa"/>
            <w:vAlign w:val="center"/>
            <w:textDirection w:val="lrTb"/>
            <w:noWrap w:val="false"/>
          </w:tcPr>
          <w:p>
            <w:pPr>
              <w:pStyle w:val="70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rPr>
                <w:rFonts w:ascii="宋体" w:hAnsi="宋体" w:eastAsia="宋体" w:cs="宋体"/>
                <w:color w:val="000000"/>
                <w:sz w:val="24"/>
                <w:szCs w:val="24"/>
              </w:rPr>
            </w:r>
            <w:r/>
          </w:p>
        </w:tc>
        <w:tc>
          <w:tcPr>
            <w:tcW w:w="6644" w:type="dxa"/>
            <w:vAlign w:val="center"/>
            <w:textDirection w:val="lrTb"/>
            <w:noWrap w:val="false"/>
          </w:tcPr>
          <w:p>
            <w:pPr>
              <w:pStyle w:val="70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ascii="宋体" w:hAnsi="宋体" w:eastAsia="宋体" w:cs="宋体"/>
                <w:color w:val="000000"/>
                <w:sz w:val="24"/>
                <w:szCs w:val="24"/>
              </w:rPr>
            </w:r>
            <w:r/>
          </w:p>
        </w:tc>
      </w:tr>
      <w:tr>
        <w:trPr>
          <w:trHeight w:val="1150"/>
        </w:trPr>
        <w:tc>
          <w:tcPr>
            <w:tcW w:w="1680" w:type="dxa"/>
            <w:vAlign w:val="center"/>
            <w:textDirection w:val="lrTb"/>
            <w:noWrap w:val="false"/>
          </w:tcPr>
          <w:p>
            <w:pPr>
              <w:pStyle w:val="700"/>
              <w:jc w:val="center"/>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人员配置</w:t>
            </w:r>
            <w:r>
              <w:rPr>
                <w:rFonts w:ascii="宋体" w:hAnsi="宋体" w:eastAsia="宋体" w:cs="宋体"/>
                <w:sz w:val="24"/>
                <w:szCs w:val="24"/>
                <w:highlight w:val="none"/>
              </w:rPr>
            </w:r>
            <w:r/>
          </w:p>
          <w:p>
            <w:pPr>
              <w:pStyle w:val="700"/>
              <w:jc w:val="center"/>
              <w:spacing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r>
            <w:r/>
          </w:p>
        </w:tc>
        <w:tc>
          <w:tcPr>
            <w:tcW w:w="6644" w:type="dxa"/>
            <w:vAlign w:val="center"/>
            <w:textDirection w:val="lrTb"/>
            <w:noWrap w:val="false"/>
          </w:tcPr>
          <w:p>
            <w:pPr>
              <w:pStyle w:val="700"/>
              <w:jc w:val="left"/>
              <w:spacing w:line="276"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1、技术负责人要求：具有工程类高级（含）及以上技术职称得2分；提供职称证书。</w:t>
            </w:r>
            <w:r>
              <w:rPr>
                <w:rFonts w:hint="eastAsia" w:ascii="宋体" w:hAnsi="宋体" w:eastAsia="宋体" w:cs="宋体"/>
                <w:b/>
                <w:bCs w:val="0"/>
                <w:sz w:val="21"/>
                <w:szCs w:val="21"/>
                <w:highlight w:val="none"/>
                <w:lang w:val="en-US" w:eastAsia="zh-CN"/>
              </w:rPr>
            </w:r>
            <w:r/>
          </w:p>
          <w:p>
            <w:pPr>
              <w:pStyle w:val="700"/>
              <w:jc w:val="left"/>
              <w:spacing w:line="276"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2、其他员配置要求：</w:t>
            </w:r>
            <w:r>
              <w:rPr>
                <w:rFonts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、项目管理机构配备质检员、施工员、资料员、安全员、材料员齐全（提供相应的岗位证书）得5分；缺</w:t>
            </w:r>
            <w:r>
              <w:rPr>
                <w:rFonts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lang w:val="en-US" w:eastAsia="zh-CN"/>
              </w:rPr>
              <w:t xml:space="preserve">个扣1分，最少得</w:t>
            </w:r>
            <w:r>
              <w:rPr>
                <w:rFonts w:ascii="宋体" w:hAnsi="宋体" w:eastAsia="宋体" w:cs="宋体"/>
                <w:b/>
                <w:bCs w:val="0"/>
                <w:sz w:val="21"/>
                <w:szCs w:val="21"/>
                <w:highlight w:val="none"/>
                <w:lang w:val="en-US" w:eastAsia="zh-CN"/>
              </w:rPr>
              <w:t xml:space="preserve">0</w:t>
            </w:r>
            <w:r>
              <w:rPr>
                <w:rFonts w:hint="eastAsia" w:ascii="宋体" w:hAnsi="宋体" w:eastAsia="宋体" w:cs="宋体"/>
                <w:b/>
                <w:bCs w:val="0"/>
                <w:sz w:val="21"/>
                <w:szCs w:val="21"/>
                <w:highlight w:val="none"/>
                <w:lang w:val="en-US" w:eastAsia="zh-CN"/>
              </w:rPr>
              <w:t xml:space="preserve">分。</w:t>
            </w:r>
            <w:r>
              <w:rPr>
                <w:rFonts w:hint="eastAsia" w:ascii="宋体" w:hAnsi="宋体" w:eastAsia="宋体" w:cs="宋体"/>
                <w:b/>
                <w:bCs w:val="0"/>
                <w:sz w:val="21"/>
                <w:szCs w:val="21"/>
                <w:highlight w:val="none"/>
                <w:lang w:val="en-US" w:eastAsia="zh-CN"/>
              </w:rPr>
            </w:r>
            <w:r/>
          </w:p>
          <w:p>
            <w:pPr>
              <w:pStyle w:val="700"/>
              <w:jc w:val="left"/>
              <w:spacing w:line="276" w:lineRule="auto"/>
              <w:rPr>
                <w:rFonts w:hint="eastAsia" w:ascii="宋体" w:hAnsi="宋体" w:eastAsia="宋体" w:cs="宋体"/>
                <w:b/>
                <w:bCs w:val="0"/>
                <w:sz w:val="21"/>
                <w:szCs w:val="21"/>
                <w:highlight w:val="none"/>
                <w:lang w:eastAsia="zh-CN"/>
              </w:rPr>
            </w:pPr>
            <w:r>
              <w:rPr>
                <w:rFonts w:hint="eastAsia" w:ascii="宋体" w:hAnsi="宋体" w:eastAsia="宋体" w:cs="宋体"/>
                <w:b/>
                <w:bCs w:val="0"/>
                <w:sz w:val="21"/>
                <w:szCs w:val="21"/>
                <w:highlight w:val="none"/>
                <w:lang w:eastAsia="zh-CN"/>
              </w:rPr>
              <w:t xml:space="preserve">评审依据：提供相关证书彩色扫描件上传至电子投标文件中。</w:t>
            </w:r>
            <w:r>
              <w:rPr>
                <w:rFonts w:hint="eastAsia" w:ascii="宋体" w:hAnsi="宋体" w:eastAsia="宋体" w:cs="宋体"/>
                <w:b/>
                <w:bCs w:val="0"/>
                <w:sz w:val="21"/>
                <w:szCs w:val="21"/>
                <w:highlight w:val="none"/>
                <w:lang w:eastAsia="zh-CN"/>
              </w:rPr>
            </w:r>
            <w:r/>
          </w:p>
          <w:p>
            <w:pPr>
              <w:pStyle w:val="700"/>
              <w:jc w:val="left"/>
              <w:spacing w:line="276" w:lineRule="auto"/>
              <w:rPr>
                <w:highlight w:val="none"/>
              </w:rPr>
            </w:pPr>
            <w:r>
              <w:rPr>
                <w:rFonts w:hint="eastAsia" w:ascii="宋体" w:hAnsi="宋体" w:eastAsia="宋体" w:cs="宋体"/>
                <w:b/>
                <w:bCs w:val="0"/>
                <w:sz w:val="21"/>
                <w:szCs w:val="21"/>
                <w:highlight w:val="none"/>
                <w:lang w:eastAsia="zh-CN"/>
              </w:rPr>
              <w:t xml:space="preserve">注：投标人为项目组所有成员（含项目负责人、技术负责人）缴纳的投标截止时间前3个月（不含投标截止时间的当月）中任意1个月份的社保缴费查询证明扫描件并加盖投标人公章，否则不计分。已退休仍在执业有效期内应提供退休证明及返聘合同。若政府有关部门不下发纸质证书的，需要提供官方网站截图并加盖投标人公章。原件彩色扫描件上传至投标文件中，否则不得分。</w:t>
            </w:r>
            <w:r>
              <w:rPr>
                <w:highlight w:val="none"/>
              </w:rPr>
            </w:r>
            <w:r/>
          </w:p>
        </w:tc>
      </w:tr>
      <w:tr>
        <w:trPr>
          <w:trHeight w:val="624"/>
        </w:trPr>
        <w:tc>
          <w:tcPr>
            <w:tcW w:w="1680" w:type="dxa"/>
            <w:vAlign w:val="center"/>
            <w:textDirection w:val="lrTb"/>
            <w:noWrap w:val="false"/>
          </w:tcPr>
          <w:p>
            <w:pPr>
              <w:pStyle w:val="700"/>
              <w:jc w:val="center"/>
              <w:spacing w:line="360" w:lineRule="auto"/>
              <w:rPr>
                <w:rFonts w:ascii="宋体" w:hAnsi="宋体" w:cs="宋体"/>
                <w:sz w:val="22"/>
                <w:szCs w:val="22"/>
              </w:rPr>
            </w:pPr>
            <w:r>
              <w:rPr>
                <w:rFonts w:hint="eastAsia" w:ascii="宋体" w:hAnsi="宋体" w:cs="宋体"/>
                <w:sz w:val="22"/>
                <w:szCs w:val="22"/>
              </w:rPr>
              <w:t xml:space="preserve">类似业绩</w:t>
            </w:r>
            <w:r>
              <w:rPr>
                <w:rFonts w:ascii="宋体" w:hAnsi="宋体" w:cs="宋体"/>
                <w:sz w:val="22"/>
                <w:szCs w:val="22"/>
              </w:rPr>
            </w:r>
            <w:r/>
          </w:p>
          <w:p>
            <w:pPr>
              <w:pStyle w:val="700"/>
              <w:jc w:val="center"/>
              <w:spacing w:line="276" w:lineRule="auto"/>
              <w:rPr>
                <w:rFonts w:ascii="宋体" w:hAnsi="宋体" w:eastAsia="宋体" w:cs="宋体"/>
                <w:sz w:val="24"/>
                <w:szCs w:val="24"/>
              </w:rPr>
            </w:pPr>
            <w:r>
              <w:rPr>
                <w:rFonts w:hint="eastAsia" w:ascii="宋体" w:hAnsi="宋体" w:cs="宋体"/>
                <w:sz w:val="22"/>
                <w:szCs w:val="22"/>
              </w:rPr>
              <w:t xml:space="preserve">(</w:t>
            </w:r>
            <w:r>
              <w:rPr>
                <w:rFonts w:hint="eastAsia" w:ascii="宋体" w:hAnsi="宋体" w:cs="宋体"/>
                <w:sz w:val="22"/>
                <w:szCs w:val="22"/>
                <w:lang w:val="en-US" w:eastAsia="zh-CN"/>
              </w:rPr>
              <w:t xml:space="preserve">5</w:t>
            </w:r>
            <w:r>
              <w:rPr>
                <w:rFonts w:hint="eastAsia" w:ascii="宋体" w:hAnsi="宋体" w:cs="宋体"/>
                <w:sz w:val="22"/>
                <w:szCs w:val="22"/>
              </w:rPr>
              <w:t xml:space="preserve">.0分)</w:t>
            </w:r>
            <w:r>
              <w:rPr>
                <w:rFonts w:ascii="宋体" w:hAnsi="宋体" w:eastAsia="宋体" w:cs="宋体"/>
                <w:sz w:val="24"/>
                <w:szCs w:val="24"/>
              </w:rPr>
            </w:r>
            <w:r/>
          </w:p>
        </w:tc>
        <w:tc>
          <w:tcPr>
            <w:tcW w:w="6644" w:type="dxa"/>
            <w:vAlign w:val="center"/>
            <w:textDirection w:val="lrTb"/>
            <w:noWrap w:val="false"/>
          </w:tcPr>
          <w:p>
            <w:pPr>
              <w:pStyle w:val="700"/>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投标人近</w:t>
            </w:r>
            <w:r>
              <w:rPr>
                <w:rFonts w:hint="eastAsia" w:ascii="宋体" w:hAnsi="宋体" w:eastAsia="宋体" w:cs="宋体"/>
                <w:bCs/>
                <w:sz w:val="21"/>
                <w:szCs w:val="21"/>
                <w:highlight w:val="none"/>
                <w:lang w:val="en-US" w:eastAsia="zh-CN"/>
              </w:rPr>
              <w:t xml:space="preserve">五</w:t>
            </w:r>
            <w:r>
              <w:rPr>
                <w:rFonts w:hint="eastAsia" w:ascii="宋体" w:hAnsi="宋体" w:eastAsia="宋体" w:cs="宋体"/>
                <w:bCs/>
                <w:sz w:val="21"/>
                <w:szCs w:val="21"/>
                <w:highlight w:val="none"/>
              </w:rPr>
              <w:t xml:space="preserve">年（20</w:t>
            </w:r>
            <w:r>
              <w:rPr>
                <w:rFonts w:hint="eastAsia" w:ascii="宋体" w:hAnsi="宋体" w:eastAsia="宋体" w:cs="宋体"/>
                <w:bCs/>
                <w:sz w:val="21"/>
                <w:szCs w:val="21"/>
                <w:highlight w:val="none"/>
                <w:lang w:val="en-US" w:eastAsia="zh-CN"/>
              </w:rPr>
              <w:t xml:space="preserve">21</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月1日至今，以</w:t>
            </w:r>
            <w:r>
              <w:rPr>
                <w:rFonts w:hint="eastAsia" w:ascii="宋体" w:hAnsi="宋体" w:eastAsia="宋体" w:cs="宋体"/>
                <w:bCs/>
                <w:sz w:val="21"/>
                <w:szCs w:val="21"/>
                <w:highlight w:val="none"/>
                <w:lang w:eastAsia="zh-CN"/>
              </w:rPr>
              <w:t xml:space="preserve">施工</w:t>
            </w:r>
            <w:r>
              <w:rPr>
                <w:rFonts w:hint="eastAsia" w:ascii="宋体" w:hAnsi="宋体" w:eastAsia="宋体" w:cs="宋体"/>
                <w:bCs/>
                <w:sz w:val="21"/>
                <w:szCs w:val="21"/>
                <w:highlight w:val="none"/>
              </w:rPr>
              <w:t xml:space="preserve">合同签订时间为准），具有</w:t>
            </w:r>
            <w:r>
              <w:rPr>
                <w:rFonts w:hint="eastAsia" w:ascii="宋体" w:hAnsi="宋体" w:eastAsia="宋体" w:cs="宋体"/>
                <w:bCs/>
                <w:sz w:val="21"/>
                <w:szCs w:val="21"/>
                <w:highlight w:val="none"/>
                <w:lang w:val="en-US" w:eastAsia="zh-CN"/>
              </w:rPr>
              <w:t xml:space="preserve">类似</w:t>
            </w:r>
            <w:r>
              <w:rPr>
                <w:rFonts w:hint="eastAsia" w:ascii="宋体" w:hAnsi="宋体" w:eastAsia="宋体" w:cs="宋体"/>
                <w:bCs/>
                <w:sz w:val="21"/>
                <w:szCs w:val="21"/>
                <w:highlight w:val="none"/>
              </w:rPr>
              <w:t xml:space="preserve">业绩</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有一份得</w:t>
            </w: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分，最高得</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700"/>
              <w:jc w:val="left"/>
              <w:spacing w:line="276" w:lineRule="auto"/>
              <w:rPr>
                <w:rFonts w:hint="eastAsia" w:ascii="宋体" w:hAnsi="宋体" w:eastAsia="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注：提供中标通知书、</w:t>
            </w:r>
            <w:r>
              <w:rPr>
                <w:rFonts w:hint="eastAsia" w:ascii="宋体" w:hAnsi="宋体" w:eastAsia="宋体" w:cs="宋体"/>
                <w:b/>
                <w:bCs w:val="0"/>
                <w:sz w:val="21"/>
                <w:szCs w:val="21"/>
                <w:highlight w:val="none"/>
                <w:lang w:eastAsia="zh-CN"/>
              </w:rPr>
              <w:t xml:space="preserve">施工</w:t>
            </w:r>
            <w:r>
              <w:rPr>
                <w:rFonts w:hint="eastAsia" w:ascii="宋体" w:hAnsi="宋体" w:eastAsia="宋体" w:cs="宋体"/>
                <w:b/>
                <w:bCs w:val="0"/>
                <w:sz w:val="21"/>
                <w:szCs w:val="21"/>
                <w:highlight w:val="none"/>
              </w:rPr>
              <w:t xml:space="preserve">合同</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lang w:val="en-US" w:eastAsia="zh-CN"/>
              </w:rPr>
              <w:t xml:space="preserve">验收证明</w:t>
            </w:r>
            <w:r>
              <w:rPr>
                <w:rFonts w:hint="eastAsia" w:ascii="宋体" w:hAnsi="宋体" w:eastAsia="宋体" w:cs="宋体"/>
                <w:b/>
                <w:bCs w:val="0"/>
                <w:sz w:val="21"/>
                <w:szCs w:val="21"/>
                <w:highlight w:val="none"/>
              </w:rPr>
              <w:t xml:space="preserve">的原件扫描件</w:t>
            </w:r>
            <w:r>
              <w:rPr>
                <w:rFonts w:hint="eastAsia" w:ascii="宋体" w:hAnsi="宋体" w:eastAsia="宋体" w:cs="宋体"/>
                <w:b/>
                <w:bCs w:val="0"/>
                <w:sz w:val="21"/>
                <w:szCs w:val="21"/>
                <w:highlight w:val="none"/>
                <w:lang w:eastAsia="zh-CN"/>
              </w:rPr>
              <w:t xml:space="preserve">加盖公章</w:t>
            </w:r>
            <w:r>
              <w:rPr>
                <w:rFonts w:hint="eastAsia" w:ascii="宋体" w:hAnsi="宋体" w:eastAsia="宋体" w:cs="宋体"/>
                <w:b/>
                <w:bCs w:val="0"/>
                <w:sz w:val="21"/>
                <w:szCs w:val="21"/>
                <w:highlight w:val="none"/>
              </w:rPr>
              <w:t xml:space="preserve">上传投标文件</w:t>
            </w:r>
            <w:r>
              <w:rPr>
                <w:rFonts w:hint="eastAsia" w:ascii="宋体" w:hAnsi="宋体" w:eastAsia="宋体" w:cs="宋体"/>
                <w:b/>
                <w:bCs w:val="0"/>
                <w:sz w:val="21"/>
                <w:szCs w:val="21"/>
                <w:highlight w:val="none"/>
                <w:lang w:val="en-US" w:eastAsia="zh-CN"/>
              </w:rPr>
              <w:t xml:space="preserve">。不提供不得分</w:t>
            </w:r>
            <w:r>
              <w:rPr>
                <w:rFonts w:hint="eastAsia" w:ascii="宋体" w:hAnsi="宋体" w:eastAsia="宋体" w:cs="宋体"/>
                <w:b/>
                <w:bCs w:val="0"/>
                <w:sz w:val="21"/>
                <w:szCs w:val="21"/>
                <w:highlight w:val="none"/>
                <w:lang w:val="en-US" w:eastAsia="zh-CN"/>
              </w:rPr>
            </w:r>
            <w:r/>
          </w:p>
          <w:p>
            <w:pPr>
              <w:pStyle w:val="700"/>
              <w:jc w:val="left"/>
              <w:spacing w:line="276" w:lineRule="auto"/>
              <w:rPr>
                <w:rFonts w:ascii="宋体" w:hAnsi="宋体" w:eastAsia="宋体" w:cs="宋体"/>
                <w:sz w:val="24"/>
                <w:szCs w:val="24"/>
              </w:rPr>
            </w:pPr>
            <w:r>
              <w:rPr>
                <w:rFonts w:hint="eastAsia" w:ascii="Times New Roman" w:cs="Times New Roman"/>
                <w:b/>
                <w:bCs/>
                <w:color w:val="000000"/>
                <w:szCs w:val="21"/>
              </w:rPr>
              <w:t xml:space="preserve">评审依据：提供中标通知书及合同原件彩色扫描件上传至电子投标文件中，合同的标的名称、内容、签订时间等信息必须清晰，否则不得分。</w:t>
            </w:r>
            <w:r>
              <w:rPr>
                <w:rFonts w:ascii="宋体" w:hAnsi="宋体" w:eastAsia="宋体" w:cs="宋体"/>
                <w:sz w:val="24"/>
                <w:szCs w:val="24"/>
              </w:rPr>
            </w:r>
            <w:r/>
          </w:p>
        </w:tc>
      </w:tr>
    </w:tbl>
    <w:p>
      <w:pPr>
        <w:pStyle w:val="700"/>
        <w:jc w:val="left"/>
        <w:widowControl/>
        <w:rPr>
          <w:rFonts w:eastAsia="宋体"/>
          <w:sz w:val="24"/>
          <w:szCs w:val="24"/>
        </w:rPr>
      </w:pPr>
      <w:r>
        <w:rPr>
          <w:rFonts w:eastAsia="宋体"/>
          <w:sz w:val="24"/>
          <w:szCs w:val="24"/>
        </w:rPr>
      </w:r>
      <w:r/>
    </w:p>
    <w:p>
      <w:pPr>
        <w:pStyle w:val="700"/>
        <w:jc w:val="left"/>
        <w:widowControl/>
        <w:rPr>
          <w:sz w:val="24"/>
          <w:szCs w:val="24"/>
        </w:rPr>
      </w:pPr>
      <w:r>
        <w:rPr>
          <w:sz w:val="24"/>
          <w:szCs w:val="24"/>
        </w:rPr>
        <w:br w:type="page" w:clear="all"/>
      </w:r>
      <w:r>
        <w:rPr>
          <w:sz w:val="24"/>
          <w:szCs w:val="24"/>
        </w:rPr>
      </w:r>
      <w:r/>
    </w:p>
    <w:p>
      <w:pPr>
        <w:pStyle w:val="701"/>
        <w:jc w:val="center"/>
        <w:spacing w:before="156" w:after="156" w:line="360" w:lineRule="auto"/>
        <w:rPr>
          <w:rFonts w:ascii="黑体" w:hAnsi="黑体" w:eastAsia="黑体"/>
          <w:b w:val="0"/>
        </w:rPr>
      </w:pPr>
      <w:r/>
      <w:bookmarkStart w:id="666" w:name="_Toc155796361"/>
      <w:r>
        <w:rPr>
          <w:rFonts w:hint="eastAsia" w:ascii="黑体" w:hAnsi="黑体" w:eastAsia="黑体"/>
          <w:b w:val="0"/>
        </w:rPr>
        <w:t xml:space="preserve">第六章  投标文件格式</w:t>
      </w:r>
      <w:bookmarkEnd w:id="666"/>
      <w:r>
        <w:rPr>
          <w:rFonts w:ascii="黑体" w:hAnsi="黑体" w:eastAsia="黑体"/>
          <w:b w:val="0"/>
        </w:rPr>
      </w:r>
      <w:r/>
    </w:p>
    <w:p>
      <w:pPr>
        <w:pStyle w:val="700"/>
        <w:jc w:val="left"/>
        <w:spacing w:line="500" w:lineRule="exact"/>
        <w:rPr>
          <w:sz w:val="24"/>
          <w:szCs w:val="24"/>
        </w:rPr>
      </w:pPr>
      <w:r>
        <w:rPr>
          <w:sz w:val="24"/>
          <w:szCs w:val="24"/>
        </w:rPr>
      </w:r>
      <w:r/>
    </w:p>
    <w:p>
      <w:pPr>
        <w:pStyle w:val="70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700"/>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70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70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700"/>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700"/>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700"/>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700"/>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rPr>
      </w:r>
      <w:r/>
    </w:p>
    <w:p>
      <w:pPr>
        <w:pStyle w:val="700"/>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700"/>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700"/>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700"/>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700"/>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00"/>
        <w:jc w:val="left"/>
        <w:spacing w:line="500" w:lineRule="exact"/>
        <w:rPr>
          <w:sz w:val="24"/>
          <w:szCs w:val="24"/>
        </w:rPr>
      </w:pPr>
      <w:r>
        <w:rPr>
          <w:sz w:val="24"/>
          <w:szCs w:val="24"/>
        </w:rPr>
      </w:r>
      <w:r/>
    </w:p>
    <w:p>
      <w:pPr>
        <w:pStyle w:val="700"/>
        <w:jc w:val="left"/>
        <w:spacing w:line="500" w:lineRule="exact"/>
        <w:rPr>
          <w:sz w:val="24"/>
          <w:szCs w:val="24"/>
        </w:rPr>
      </w:pPr>
      <w:r>
        <w:rPr>
          <w:sz w:val="24"/>
          <w:szCs w:val="24"/>
        </w:rPr>
      </w:r>
      <w:r/>
    </w:p>
    <w:p>
      <w:pPr>
        <w:pStyle w:val="700"/>
        <w:jc w:val="left"/>
        <w:spacing w:line="500" w:lineRule="exact"/>
        <w:rPr>
          <w:sz w:val="24"/>
          <w:szCs w:val="24"/>
        </w:rPr>
      </w:pPr>
      <w:r>
        <w:rPr>
          <w:sz w:val="24"/>
          <w:szCs w:val="24"/>
        </w:rPr>
      </w:r>
      <w:r/>
    </w:p>
    <w:p>
      <w:pPr>
        <w:pStyle w:val="700"/>
        <w:jc w:val="left"/>
        <w:widowControl/>
        <w:rPr>
          <w:sz w:val="24"/>
          <w:szCs w:val="24"/>
        </w:rPr>
      </w:pPr>
      <w:r>
        <w:rPr>
          <w:sz w:val="24"/>
          <w:szCs w:val="24"/>
        </w:rPr>
        <w:br w:type="page" w:clear="all"/>
      </w:r>
      <w:r>
        <w:rPr>
          <w:sz w:val="24"/>
          <w:szCs w:val="24"/>
        </w:rPr>
      </w:r>
      <w:r/>
    </w:p>
    <w:p>
      <w:pPr>
        <w:pStyle w:val="700"/>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700"/>
      </w:pPr>
      <w:r/>
      <w:r/>
    </w:p>
    <w:p>
      <w:pPr>
        <w:pStyle w:val="700"/>
      </w:pPr>
      <w:r/>
      <w:r/>
    </w:p>
    <w:p>
      <w:pPr>
        <w:pStyle w:val="700"/>
        <w:jc w:val="left"/>
        <w:keepLines/>
        <w:keepNext/>
        <w:spacing w:before="360" w:after="200" w:line="360" w:lineRule="auto"/>
        <w:rPr>
          <w:rFonts w:ascii="Arial" w:hAnsi="Arial" w:eastAsia="宋体" w:cs="Arial"/>
          <w:i/>
          <w:sz w:val="36"/>
          <w:u w:val="single"/>
        </w:rPr>
        <w:outlineLvl w:val="1"/>
      </w:pPr>
      <w:r>
        <w:rPr>
          <w:rFonts w:ascii="Arial" w:hAnsi="Arial" w:eastAsia="宋体" w:cs="Arial"/>
          <w:i/>
          <w:sz w:val="36"/>
          <w:u w:val="single"/>
        </w:rPr>
      </w:r>
      <w:r/>
    </w:p>
    <w:p>
      <w:pPr>
        <w:pStyle w:val="700"/>
        <w:rPr>
          <w:rFonts w:ascii="Arial" w:hAnsi="Arial" w:eastAsia="宋体" w:cs="Arial"/>
          <w:i/>
          <w:sz w:val="36"/>
          <w:u w:val="single"/>
        </w:rPr>
      </w:pPr>
      <w:r>
        <w:rPr>
          <w:rFonts w:hint="eastAsia" w:ascii="Arial" w:hAnsi="Arial" w:eastAsia="宋体" w:cs="Arial"/>
          <w:i/>
          <w:sz w:val="36"/>
          <w:u w:val="single"/>
        </w:rPr>
        <w:br w:type="page" w:clear="all"/>
      </w:r>
      <w:r>
        <w:rPr>
          <w:rFonts w:ascii="Arial" w:hAnsi="Arial" w:eastAsia="宋体" w:cs="Arial"/>
          <w:i/>
          <w:sz w:val="36"/>
          <w:u w:val="single"/>
        </w:rPr>
      </w:r>
      <w:r/>
    </w:p>
    <w:p>
      <w:pPr>
        <w:pStyle w:val="700"/>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二、具有良好的商业信誉和健全的财务会计制度</w:t>
      </w:r>
      <w:r>
        <w:rPr>
          <w:rFonts w:ascii="Arial" w:hAnsi="Arial" w:eastAsia="宋体" w:cs="Arial"/>
          <w:i/>
          <w:sz w:val="36"/>
          <w:u w:val="single"/>
        </w:rPr>
      </w:r>
      <w:r/>
    </w:p>
    <w:p>
      <w:pPr>
        <w:pStyle w:val="70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0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0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rPr>
          <w:rFonts w:ascii="Arial" w:hAnsi="Arial" w:eastAsia="宋体" w:cs="Arial"/>
          <w:i/>
          <w:iCs/>
          <w:sz w:val="36"/>
          <w:u w:val="single"/>
        </w:rPr>
      </w:pPr>
      <w:r>
        <w:rPr>
          <w:rFonts w:ascii="Arial" w:hAnsi="Arial" w:eastAsia="宋体" w:cs="Arial"/>
          <w:i/>
          <w:iCs/>
          <w:sz w:val="36"/>
          <w:u w:val="single"/>
        </w:r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700"/>
      </w:pPr>
      <w:r/>
      <w:r/>
    </w:p>
    <w:p>
      <w:pPr>
        <w:pStyle w:val="70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0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0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p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700"/>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700"/>
        <w:jc w:val="left"/>
        <w:rPr>
          <w:rFonts w:ascii="Calibri" w:hAnsi="Calibri" w:eastAsia="宋体" w:cs="Times New Roman"/>
          <w:sz w:val="24"/>
          <w:szCs w:val="24"/>
        </w:rPr>
      </w:pP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700"/>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70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0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700"/>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p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700"/>
      </w:p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70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700"/>
      </w:p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700"/>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700"/>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700"/>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700"/>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700"/>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type="textWrapping" w:clear="all"/>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700"/>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70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700"/>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00"/>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700"/>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00"/>
      </w:pPr>
      <w:r/>
      <w:r/>
    </w:p>
    <w:p>
      <w:pPr>
        <w:pStyle w:val="700"/>
      </w:pPr>
      <w:r/>
      <w:r/>
    </w:p>
    <w:p>
      <w:pPr>
        <w:pStyle w:val="700"/>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700"/>
        <w:spacing w:line="200" w:lineRule="exact"/>
        <w:rPr>
          <w:rFonts w:ascii="宋体" w:hAnsi="宋体" w:eastAsia="宋体" w:cs="Times New Roman"/>
          <w:sz w:val="20"/>
          <w:szCs w:val="20"/>
        </w:rPr>
      </w:pPr>
      <w:r>
        <w:rPr>
          <w:rFonts w:ascii="宋体" w:hAnsi="宋体" w:eastAsia="宋体" w:cs="Times New Roman"/>
          <w:sz w:val="20"/>
          <w:szCs w:val="20"/>
        </w:rPr>
      </w:r>
      <w:r/>
    </w:p>
    <w:p>
      <w:pPr>
        <w:pStyle w:val="700"/>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70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700"/>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70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70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70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70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700"/>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00"/>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700"/>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70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70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700"/>
      </w:p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700"/>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700"/>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cs="Times New Roman"/>
          <w:color w:val="000000"/>
          <w:sz w:val="24"/>
          <w:szCs w:val="21"/>
          <w:lang w:eastAsia="zh-CN"/>
        </w:rPr>
        <w:t xml:space="preserve">灌云县水利局</w:t>
      </w:r>
      <w:r>
        <w:rPr>
          <w:rFonts w:hint="eastAsia" w:ascii="宋体" w:hAnsi="宋体" w:eastAsia="宋体" w:cs="Times New Roman"/>
          <w:color w:val="000000"/>
          <w:sz w:val="24"/>
          <w:szCs w:val="21"/>
          <w:lang w:eastAsia="zh-CN"/>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700"/>
      </w:pPr>
      <w:r/>
      <w:r/>
    </w:p>
    <w:p>
      <w:pPr>
        <w:pStyle w:val="700"/>
      </w:p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00"/>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00"/>
      </w:pPr>
      <w:r/>
      <w:r/>
    </w:p>
    <w:p>
      <w:pPr>
        <w:pStyle w:val="700"/>
      </w:pPr>
      <w:r/>
      <w:r/>
    </w:p>
    <w:p>
      <w:pPr>
        <w:pStyle w:val="700"/>
        <w:rPr>
          <w:rFonts w:ascii="Arial" w:hAnsi="Arial" w:eastAsia="宋体" w:cs="Arial"/>
          <w:sz w:val="36"/>
        </w:rPr>
      </w:pPr>
      <w:r>
        <w:rPr>
          <w:rFonts w:hint="eastAsia" w:ascii="Arial" w:hAnsi="Arial" w:eastAsia="宋体" w:cs="Arial"/>
          <w:sz w:val="36"/>
        </w:rPr>
        <w:br w:type="page" w:clear="all"/>
      </w:r>
      <w:r>
        <w:rPr>
          <w:rFonts w:ascii="Arial" w:hAnsi="Arial" w:eastAsia="宋体" w:cs="Arial"/>
          <w:sz w:val="36"/>
        </w:rPr>
      </w:r>
      <w:r/>
    </w:p>
    <w:p>
      <w:pPr>
        <w:pStyle w:val="70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rPr>
          <w:rFonts w:ascii="Arial" w:hAnsi="Arial" w:eastAsia="宋体" w:cs="Arial"/>
          <w:sz w:val="36"/>
        </w:rPr>
      </w:r>
      <w:r/>
    </w:p>
    <w:p>
      <w:pPr>
        <w:pStyle w:val="700"/>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700"/>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cs="Times New Roman"/>
          <w:b/>
          <w:bCs/>
          <w:color w:val="000000"/>
          <w:sz w:val="24"/>
          <w:szCs w:val="24"/>
          <w:u w:val="single"/>
          <w:lang w:eastAsia="zh-CN"/>
        </w:rPr>
        <w:t xml:space="preserve">灌云县水利局</w:t>
      </w:r>
      <w:r>
        <w:rPr>
          <w:rFonts w:hint="eastAsia" w:ascii="宋体" w:hAnsi="宋体" w:eastAsia="宋体" w:cs="Times New Roman"/>
          <w:color w:val="000000"/>
          <w:sz w:val="24"/>
          <w:szCs w:val="24"/>
        </w:rPr>
        <w:t xml:space="preserve">的</w:t>
      </w:r>
      <w:r>
        <w:rPr>
          <w:rFonts w:hint="eastAsia" w:ascii="宋体" w:hAnsi="宋体" w:cs="Times New Roman"/>
          <w:b/>
          <w:bCs/>
          <w:color w:val="000000"/>
          <w:sz w:val="24"/>
          <w:szCs w:val="24"/>
          <w:u w:val="single"/>
          <w:lang w:eastAsia="zh-CN"/>
        </w:rPr>
        <w:t xml:space="preserve">灌云县2026年度农村供水工程维修养护项目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700"/>
        <w:ind w:firstLine="480"/>
        <w:spacing w:line="500" w:lineRule="exact"/>
        <w:rPr>
          <w:rFonts w:ascii="宋体" w:hAnsi="宋体" w:eastAsia="宋体" w:cs="Times New Roman"/>
          <w:i/>
          <w:color w:val="000000"/>
          <w:sz w:val="24"/>
          <w:szCs w:val="24"/>
          <w:u w:val="single"/>
        </w:rPr>
      </w:pPr>
      <w:r>
        <w:rPr>
          <w:rFonts w:hint="eastAsia" w:ascii="宋体" w:hAnsi="宋体" w:cs="Times New Roman"/>
          <w:b/>
          <w:bCs/>
          <w:color w:val="000000"/>
          <w:sz w:val="24"/>
          <w:szCs w:val="24"/>
          <w:u w:val="single"/>
          <w:lang w:eastAsia="zh-CN"/>
        </w:rPr>
        <w:t xml:space="preserve">灌云县水利局</w:t>
      </w:r>
      <w:r>
        <w:rPr>
          <w:rFonts w:hint="eastAsia" w:ascii="宋体" w:hAnsi="宋体" w:eastAsia="宋体" w:cs="Times New Roman"/>
          <w:color w:val="000000"/>
          <w:sz w:val="24"/>
          <w:szCs w:val="24"/>
        </w:rPr>
        <w:t xml:space="preserve">的</w:t>
      </w:r>
      <w:r>
        <w:rPr>
          <w:rFonts w:hint="eastAsia" w:ascii="宋体" w:hAnsi="宋体" w:cs="Times New Roman"/>
          <w:b/>
          <w:bCs/>
          <w:color w:val="000000"/>
          <w:sz w:val="24"/>
          <w:szCs w:val="24"/>
          <w:u w:val="single"/>
          <w:lang w:eastAsia="zh-CN"/>
        </w:rPr>
        <w:t xml:space="preserve">灌云县2026年度农村供水工程维修养护项目</w:t>
      </w:r>
      <w:r>
        <w:rPr>
          <w:rFonts w:hint="eastAsia" w:ascii="宋体" w:hAnsi="宋体" w:eastAsia="宋体" w:cs="Times New Roman"/>
          <w:color w:val="000000"/>
          <w:sz w:val="24"/>
          <w:szCs w:val="24"/>
        </w:rPr>
        <w:t xml:space="preserve">，属于</w:t>
      </w:r>
      <w:r>
        <w:rPr>
          <w:rFonts w:hint="eastAsia"/>
          <w:b/>
          <w:bCs/>
          <w:sz w:val="24"/>
          <w:szCs w:val="24"/>
          <w:u w:val="single"/>
        </w:rPr>
        <w:t xml:space="preserve">其他未列明</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700"/>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700"/>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700"/>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700"/>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700"/>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700"/>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700"/>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700"/>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rPr>
          <w:rFonts w:ascii="宋体" w:hAnsi="宋体" w:eastAsia="宋体" w:cs="Times New Roman"/>
          <w:sz w:val="24"/>
          <w:szCs w:val="24"/>
        </w:rPr>
      </w:r>
      <w:r/>
    </w:p>
    <w:p>
      <w:pPr>
        <w:pStyle w:val="700"/>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700"/>
      </w:pPr>
      <w:r/>
      <w:r/>
    </w:p>
    <w:p>
      <w:pPr>
        <w:pStyle w:val="700"/>
      </w:pPr>
      <w:r/>
      <w:r/>
    </w:p>
    <w:p>
      <w:pPr>
        <w:pStyle w:val="70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rPr>
          <w:rFonts w:ascii="Arial" w:hAnsi="Arial" w:eastAsia="宋体" w:cs="Arial"/>
          <w:sz w:val="36"/>
        </w:rPr>
      </w:r>
      <w:r/>
    </w:p>
    <w:p>
      <w:pPr>
        <w:pStyle w:val="700"/>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700"/>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700"/>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700"/>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700"/>
      </w:pPr>
      <w:r/>
      <w:r/>
    </w:p>
    <w:p>
      <w:pPr>
        <w:pStyle w:val="700"/>
      </w:pPr>
      <w:r/>
      <w:r/>
    </w:p>
    <w:p>
      <w:pPr>
        <w:pStyle w:val="70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700"/>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rPr>
          <w:rFonts w:ascii="宋体" w:hAnsi="宋体" w:eastAsia="宋体" w:cs="Times New Roman"/>
          <w:bCs/>
          <w:sz w:val="24"/>
          <w:szCs w:val="24"/>
        </w:rPr>
      </w:r>
      <w:r/>
    </w:p>
    <w:p>
      <w:pPr>
        <w:pStyle w:val="700"/>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700"/>
      </w:pPr>
      <w:r/>
      <w:r/>
    </w:p>
    <w:p>
      <w:pPr>
        <w:pStyle w:val="700"/>
      </w:pPr>
      <w:r/>
      <w:r/>
    </w:p>
    <w:p>
      <w:pPr>
        <w:pStyle w:val="700"/>
      </w:pPr>
      <w:r/>
      <w:r/>
    </w:p>
    <w:p>
      <w:pPr>
        <w:pStyle w:val="700"/>
        <w:rPr>
          <w:rFonts w:ascii="Arial" w:hAnsi="Arial" w:eastAsia="宋体" w:cs="Arial"/>
          <w:sz w:val="36"/>
        </w:rPr>
      </w:pPr>
      <w:r>
        <w:rPr>
          <w:rFonts w:hint="eastAsia" w:ascii="Arial" w:hAnsi="Arial" w:eastAsia="宋体" w:cs="Arial"/>
          <w:sz w:val="36"/>
        </w:rPr>
        <w:br w:type="page" w:clear="all"/>
      </w:r>
      <w:r>
        <w:rPr>
          <w:rFonts w:ascii="Arial" w:hAnsi="Arial" w:eastAsia="宋体" w:cs="Arial"/>
          <w:sz w:val="36"/>
        </w:rPr>
      </w:r>
      <w:r/>
    </w:p>
    <w:p>
      <w:pPr>
        <w:pStyle w:val="70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w:t>
      </w:r>
      <w:r>
        <w:rPr>
          <w:rFonts w:ascii="Arial" w:hAnsi="Arial" w:eastAsia="宋体" w:cs="Arial"/>
          <w:sz w:val="36"/>
        </w:rPr>
      </w:r>
      <w:r/>
    </w:p>
    <w:p>
      <w:pPr>
        <w:pStyle w:val="700"/>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70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连云港市公共资源招标代理机构</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700"/>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700"/>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700"/>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00"/>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700"/>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备注：本招标文件中要求加盖公章的内容，仅需加盖牵头单位的公章。</w:t>
      </w:r>
      <w:r>
        <w:rPr>
          <w:rFonts w:ascii="宋体" w:hAnsi="宋体" w:eastAsia="宋体" w:cs="Times New Roman"/>
          <w:color w:val="000000"/>
          <w:sz w:val="24"/>
          <w:szCs w:val="21"/>
        </w:rPr>
      </w:r>
      <w:r/>
    </w:p>
    <w:p>
      <w:pPr>
        <w:pStyle w:val="700"/>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十四、开标一览表</w:t>
      </w:r>
      <w:r>
        <w:rPr>
          <w:rFonts w:ascii="Arial" w:hAnsi="Arial" w:eastAsia="宋体" w:cs="Arial"/>
          <w:i/>
          <w:sz w:val="36"/>
          <w:u w:val="single"/>
        </w:rPr>
      </w:r>
      <w:r/>
    </w:p>
    <w:p>
      <w:pPr>
        <w:pStyle w:val="700"/>
        <w:jc w:val="left"/>
        <w:spacing w:line="360" w:lineRule="auto"/>
        <w:rPr>
          <w:rFonts w:ascii="Arial" w:hAnsi="Arial" w:eastAsia="宋体" w:cs="Arial"/>
          <w:color w:val="000000"/>
          <w:sz w:val="36"/>
        </w:rPr>
      </w:pPr>
      <w:r>
        <w:rPr>
          <w:rFonts w:hint="eastAsia" w:ascii="宋体" w:hAnsi="宋体" w:eastAsia="宋体" w:cs="方正仿宋_GBK"/>
          <w:color w:val="000000"/>
          <w:sz w:val="24"/>
          <w:szCs w:val="24"/>
        </w:rPr>
        <w:t xml:space="preserve">项目编号：      分包号：</w:t>
      </w:r>
      <w:r>
        <w:rPr>
          <w:rFonts w:ascii="宋体" w:hAnsi="宋体" w:eastAsia="宋体" w:cs="Times New Roman"/>
          <w:bCs/>
          <w:color w:val="000000"/>
          <w:sz w:val="24"/>
          <w:szCs w:val="24"/>
        </w:rPr>
        <w:t xml:space="preserve"> </w:t>
      </w:r>
      <w:r>
        <w:rPr>
          <w:rFonts w:ascii="Arial" w:hAnsi="Arial" w:eastAsia="宋体" w:cs="Arial"/>
          <w:color w:val="000000"/>
          <w:sz w:val="36"/>
        </w:rPr>
      </w:r>
      <w:r/>
    </w:p>
    <w:p>
      <w:pPr>
        <w:pStyle w:val="700"/>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货币单位：人民币元</w:t>
      </w:r>
      <w:r>
        <w:rPr>
          <w:rFonts w:ascii="Times New Roman" w:hAnsi="Times New Roman" w:eastAsia="宋体" w:cs="Times New Roman"/>
          <w:color w:val="000000"/>
          <w:sz w:val="24"/>
          <w:szCs w:val="24"/>
        </w:rPr>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r>
            <w:r/>
          </w:p>
        </w:tc>
        <w:tc>
          <w:tcPr>
            <w:tcW w:w="2841"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项目内容</w:t>
            </w:r>
            <w:r>
              <w:rPr>
                <w:rFonts w:ascii="Times New Roman" w:hAnsi="Times New Roman" w:eastAsia="宋体" w:cs="Times New Roman"/>
                <w:color w:val="000000"/>
                <w:sz w:val="24"/>
                <w:szCs w:val="24"/>
              </w:rPr>
            </w:r>
            <w:r/>
          </w:p>
        </w:tc>
        <w:tc>
          <w:tcPr>
            <w:tcW w:w="2841"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总价</w:t>
            </w:r>
            <w:r>
              <w:rPr>
                <w:rFonts w:hint="eastAsia" w:ascii="Times New Roman" w:hAnsi="Times New Roman" w:eastAsia="宋体" w:cs="Times New Roman"/>
                <w:color w:val="000000"/>
                <w:sz w:val="24"/>
                <w:szCs w:val="24"/>
              </w:rPr>
              <w:t xml:space="preserve">（小写）</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841"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详见投标文件</w:t>
            </w:r>
            <w:r>
              <w:rPr>
                <w:rFonts w:ascii="Times New Roman" w:hAnsi="Times New Roman" w:eastAsia="宋体" w:cs="Times New Roman"/>
                <w:color w:val="000000"/>
                <w:sz w:val="24"/>
                <w:szCs w:val="24"/>
              </w:rPr>
            </w:r>
            <w:r/>
          </w:p>
        </w:tc>
        <w:tc>
          <w:tcPr>
            <w:tcW w:w="2841"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元</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总价（大写）</w:t>
            </w:r>
            <w:r>
              <w:rPr>
                <w:rFonts w:ascii="Times New Roman" w:hAnsi="Times New Roman" w:eastAsia="宋体" w:cs="Times New Roman"/>
                <w:color w:val="000000"/>
                <w:sz w:val="24"/>
                <w:szCs w:val="24"/>
              </w:rPr>
            </w:r>
            <w:r/>
          </w:p>
        </w:tc>
        <w:tc>
          <w:tcPr>
            <w:gridSpan w:val="2"/>
            <w:tcW w:w="5682" w:type="dxa"/>
            <w:vAlign w:val="top"/>
            <w:textDirection w:val="lrTb"/>
            <w:noWrap w:val="false"/>
          </w:tcPr>
          <w:p>
            <w:pPr>
              <w:pStyle w:val="700"/>
              <w:jc w:val="cente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pStyle w:val="70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投标人公章：</w:t>
      </w:r>
      <w:r>
        <w:rPr>
          <w:rFonts w:hint="eastAsia" w:ascii="Times New Roman" w:hAnsi="Times New Roman" w:eastAsia="宋体" w:cs="Times New Roman"/>
          <w:color w:val="000000"/>
          <w:sz w:val="24"/>
          <w:szCs w:val="24"/>
        </w:rPr>
        <w:t xml:space="preserve">             （电子签章）</w:t>
      </w:r>
      <w:r>
        <w:rPr>
          <w:rFonts w:ascii="Times New Roman" w:hAnsi="Times New Roman" w:eastAsia="宋体" w:cs="Times New Roman"/>
          <w:color w:val="000000"/>
          <w:sz w:val="24"/>
          <w:szCs w:val="24"/>
        </w:rPr>
      </w:r>
      <w:r/>
    </w:p>
    <w:p>
      <w:pPr>
        <w:pStyle w:val="70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0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700"/>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700"/>
        <w:rPr>
          <w:rFonts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ascii="宋体" w:hAnsi="宋体" w:eastAsia="宋体" w:cs="宋体"/>
          <w:bCs/>
          <w:i/>
          <w:color w:val="000000"/>
          <w:sz w:val="36"/>
          <w:szCs w:val="36"/>
          <w:u w:val="single"/>
        </w:rPr>
      </w:r>
      <w:r/>
    </w:p>
    <w:p>
      <w:pPr>
        <w:pStyle w:val="727"/>
      </w:p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十五、投标分项报价表</w:t>
      </w:r>
      <w:r>
        <w:rPr>
          <w:rFonts w:ascii="Arial" w:hAnsi="Arial" w:eastAsia="宋体" w:cs="Arial"/>
          <w:i/>
          <w:iCs/>
          <w:sz w:val="36"/>
          <w:u w:val="single"/>
        </w:rPr>
      </w:r>
      <w:r/>
    </w:p>
    <w:p>
      <w:pPr>
        <w:pStyle w:val="70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880"/>
        <w:gridCol w:w="705"/>
        <w:gridCol w:w="703"/>
        <w:gridCol w:w="933"/>
        <w:gridCol w:w="707"/>
        <w:gridCol w:w="1792"/>
      </w:tblGrid>
      <w:tr>
        <w:trPr>
          <w:trHeight w:val="360"/>
        </w:trPr>
        <w:tc>
          <w:tcPr>
            <w:gridSpan w:val="7"/>
            <w:tcW w:w="9423" w:type="dxa"/>
            <w:vAlign w:val="center"/>
            <w:textDirection w:val="lrTb"/>
            <w:noWrap w:val="false"/>
          </w:tcPr>
          <w:p>
            <w:pPr>
              <w:pStyle w:val="70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工程量清单报价汇总表</w:t>
            </w:r>
            <w:r>
              <w:rPr>
                <w:rFonts w:hint="eastAsia" w:ascii="宋体" w:hAnsi="宋体" w:eastAsia="宋体" w:cs="宋体"/>
                <w:b/>
                <w:bCs/>
                <w:i w:val="0"/>
                <w:iCs w:val="0"/>
                <w:color w:val="000000"/>
                <w:sz w:val="22"/>
                <w:szCs w:val="22"/>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205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（元）</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rPr>
                <w:rFonts w:hint="eastAsia" w:ascii="宋体" w:hAnsi="宋体" w:eastAsia="宋体" w:cs="宋体"/>
                <w:i w:val="0"/>
                <w:iCs w:val="0"/>
                <w:color w:val="000000"/>
                <w:sz w:val="20"/>
                <w:szCs w:val="20"/>
                <w:u w:val="none"/>
                <w:lang w:val="en-US" w:eastAsia="zh-CN" w:bidi="ar"/>
              </w:rPr>
              <w:br w:type="textWrapping" w:clear="all"/>
            </w:r>
            <w:r>
              <w:rPr>
                <w:rStyle w:val="939"/>
                <w:rFonts w:eastAsia="宋体"/>
                <w:lang w:val="en-US" w:eastAsia="zh-CN" w:bidi="ar"/>
              </w:rPr>
              <w:t xml:space="preserve">(</w:t>
            </w:r>
            <w:r>
              <w:rPr>
                <w:rStyle w:val="940"/>
                <w:lang w:val="en-US" w:eastAsia="zh-CN" w:bidi="ar"/>
              </w:rPr>
              <w:t xml:space="preserve">元</w:t>
            </w:r>
            <w:r>
              <w:rPr>
                <w:rStyle w:val="939"/>
                <w:rFonts w:eastAsia="宋体"/>
                <w:lang w:val="en-US" w:eastAsia="zh-CN" w:bidi="ar"/>
              </w:rPr>
              <w:t xml:space="preserve">)</w:t>
            </w:r>
            <w:r>
              <w:rPr>
                <w:rFonts w:hint="eastAsia" w:ascii="宋体" w:hAnsi="宋体" w:eastAsia="宋体" w:cs="宋体"/>
                <w:i w:val="0"/>
                <w:iCs w:val="0"/>
                <w:color w:val="000000"/>
                <w:sz w:val="20"/>
                <w:szCs w:val="20"/>
                <w:u w:val="none"/>
              </w:rPr>
            </w:r>
            <w:r/>
          </w:p>
        </w:tc>
        <w:tc>
          <w:tcPr>
            <w:tcW w:w="94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四队镇项目区工程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val="false"/>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杨集镇项目区工程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镇区钢管更换工程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杨集镇农旭村工程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杨集镇增压站工程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杨集镇元兴村工程</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20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机电及金属结构设备</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4585"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投标总报价</w:t>
            </w: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73"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49"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7"/>
            <w:tcW w:w="9423" w:type="dxa"/>
            <w:vAlign w:val="center"/>
            <w:textDirection w:val="lrTb"/>
            <w:noWrap/>
          </w:tcPr>
          <w:p>
            <w:pPr>
              <w:pStyle w:val="7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注：措施费、安全文明施工费等其他费用用均含在工程单价内，不另行报价</w:t>
            </w:r>
            <w:r>
              <w:rPr>
                <w:rFonts w:hint="eastAsia" w:ascii="宋体" w:hAnsi="宋体" w:eastAsia="宋体" w:cs="宋体"/>
                <w:i w:val="0"/>
                <w:iCs w:val="0"/>
                <w:color w:val="000000"/>
                <w:sz w:val="20"/>
                <w:szCs w:val="20"/>
                <w:u w:val="none"/>
              </w:rPr>
            </w:r>
            <w:r/>
          </w:p>
        </w:tc>
      </w:tr>
      <w:tr>
        <w:trPr>
          <w:trHeight w:val="640"/>
        </w:trPr>
        <w:tc>
          <w:tcPr>
            <w:tcW w:w="373"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5"/>
            <w:tcW w:w="6928" w:type="dxa"/>
            <w:vAlign w:val="bottom"/>
            <w:textDirection w:val="lrTb"/>
            <w:noWrap/>
          </w:tcPr>
          <w:p>
            <w:pPr>
              <w:pStyle w:val="70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投标人：</w:t>
            </w:r>
            <w:r>
              <w:rPr>
                <w:rStyle w:val="941"/>
                <w:rFonts w:hAnsi="宋体"/>
                <w:lang w:val="en-US" w:eastAsia="zh-CN" w:bidi="ar"/>
              </w:rPr>
              <w:t xml:space="preserve">               （盖章）</w:t>
            </w:r>
            <w:r>
              <w:rPr>
                <w:rFonts w:hint="eastAsia" w:ascii="宋体" w:hAnsi="宋体" w:eastAsia="宋体" w:cs="宋体"/>
                <w:i w:val="0"/>
                <w:iCs w:val="0"/>
                <w:color w:val="000000"/>
                <w:sz w:val="24"/>
                <w:szCs w:val="24"/>
                <w:u w:val="none"/>
              </w:rPr>
            </w:r>
            <w:r/>
          </w:p>
        </w:tc>
        <w:tc>
          <w:tcPr>
            <w:tcW w:w="949"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0"/>
        </w:trPr>
        <w:tc>
          <w:tcPr>
            <w:tcW w:w="373"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tcW w:w="8720" w:type="dxa"/>
            <w:vAlign w:val="bottom"/>
            <w:textDirection w:val="lrTb"/>
            <w:noWrap/>
          </w:tcPr>
          <w:p>
            <w:pPr>
              <w:pStyle w:val="70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法定代表人（或委托代理人）：</w:t>
            </w:r>
            <w:r>
              <w:rPr>
                <w:rStyle w:val="941"/>
                <w:rFonts w:hAnsi="宋体"/>
                <w:lang w:val="en-US" w:eastAsia="zh-CN" w:bidi="ar"/>
              </w:rPr>
              <w:t xml:space="preserve">              （签字）</w:t>
            </w:r>
            <w:r>
              <w:rPr>
                <w:rFonts w:hint="eastAsia" w:ascii="宋体" w:hAnsi="宋体" w:eastAsia="宋体" w:cs="宋体"/>
                <w:i w:val="0"/>
                <w:iCs w:val="0"/>
                <w:color w:val="000000"/>
                <w:sz w:val="24"/>
                <w:szCs w:val="24"/>
                <w:u w:val="none"/>
              </w:rPr>
            </w:r>
            <w:r/>
          </w:p>
        </w:tc>
      </w:tr>
      <w:tr>
        <w:trPr>
          <w:trHeight w:val="640"/>
        </w:trPr>
        <w:tc>
          <w:tcPr>
            <w:tcW w:w="373"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3"/>
            <w:tcW w:w="5288" w:type="dxa"/>
            <w:vAlign w:val="bottom"/>
            <w:textDirection w:val="lrTb"/>
            <w:noWrap/>
          </w:tcPr>
          <w:p>
            <w:pPr>
              <w:pStyle w:val="70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日期：</w:t>
            </w:r>
            <w:r>
              <w:rPr>
                <w:rFonts w:hint="eastAsia" w:ascii="宋体" w:hAnsi="宋体" w:eastAsia="宋体" w:cs="宋体"/>
                <w:i w:val="0"/>
                <w:iCs w:val="0"/>
                <w:color w:val="000000"/>
                <w:sz w:val="24"/>
                <w:szCs w:val="24"/>
                <w:u w:val="none"/>
              </w:rPr>
            </w:r>
            <w:r/>
          </w:p>
        </w:tc>
        <w:tc>
          <w:tcPr>
            <w:gridSpan w:val="3"/>
            <w:tcW w:w="3432" w:type="dxa"/>
            <w:vAlign w:val="bottom"/>
            <w:textDirection w:val="lrTb"/>
            <w:noWrap/>
          </w:tcPr>
          <w:p>
            <w:pPr>
              <w:pStyle w:val="70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年</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月</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日</w:t>
            </w:r>
            <w:r>
              <w:rPr>
                <w:rFonts w:hint="eastAsia" w:ascii="宋体" w:hAnsi="宋体" w:eastAsia="宋体" w:cs="宋体"/>
                <w:i w:val="0"/>
                <w:iCs w:val="0"/>
                <w:color w:val="000000"/>
                <w:sz w:val="24"/>
                <w:szCs w:val="24"/>
                <w:u w:val="none"/>
              </w:rPr>
            </w:r>
            <w:r/>
          </w:p>
        </w:tc>
      </w:tr>
    </w:tbl>
    <w:p>
      <w:pPr>
        <w:pStyle w:val="700"/>
        <w:ind w:firstLine="480"/>
        <w:spacing w:line="500" w:lineRule="exact"/>
        <w:rPr>
          <w:rFonts w:ascii="宋体" w:hAnsi="宋体" w:eastAsia="宋体" w:cs="Times New Roman"/>
          <w:color w:val="ff0000"/>
          <w:sz w:val="24"/>
          <w:szCs w:val="24"/>
          <w:highlight w:val="yellow"/>
        </w:rPr>
      </w:pPr>
      <w:r>
        <w:rPr>
          <w:rFonts w:ascii="宋体" w:hAnsi="宋体" w:eastAsia="宋体" w:cs="Times New Roman"/>
          <w:color w:val="ff0000"/>
          <w:sz w:val="24"/>
          <w:szCs w:val="24"/>
          <w:highlight w:val="yellow"/>
        </w:rPr>
        <w:br w:type="page" w:clear="all"/>
      </w:r>
      <w:r>
        <w:rPr>
          <w:rFonts w:ascii="宋体" w:hAnsi="宋体" w:eastAsia="宋体" w:cs="Times New Roman"/>
          <w:color w:val="ff0000"/>
          <w:sz w:val="24"/>
          <w:szCs w:val="24"/>
          <w:highlight w:val="yellow"/>
        </w:rPr>
      </w:r>
      <w:r/>
    </w:p>
    <w:p>
      <w:pPr>
        <w:pStyle w:val="700"/>
      </w:pPr>
      <w:r/>
      <w:r/>
    </w:p>
    <w:tbl>
      <w:tblPr>
        <w:tblpPr w:horzAnchor="page" w:tblpX="988" w:vertAnchor="text" w:tblpY="266" w:leftFromText="180" w:topFromText="0" w:rightFromText="180" w:bottomFromText="0"/>
        <w:tblW w:w="557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8"/>
        <w:gridCol w:w="2047"/>
        <w:gridCol w:w="3425"/>
        <w:gridCol w:w="1281"/>
        <w:gridCol w:w="919"/>
        <w:gridCol w:w="821"/>
        <w:gridCol w:w="712"/>
        <w:gridCol w:w="492"/>
      </w:tblGrid>
      <w:tr>
        <w:trPr>
          <w:trHeight w:val="499"/>
        </w:trPr>
        <w:tc>
          <w:tcPr>
            <w:gridSpan w:val="7"/>
            <w:tcW w:w="10023"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framePr w:vAnchor="text" w:hAnchor="page" w:x="988" w:y="266"/>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c>
          <w:tcPr>
            <w:tcW w:w="233" w:type="dxa"/>
            <w:vAlign w:val="bottom"/>
            <w:textDirection w:val="lrTb"/>
            <w:noWrap/>
          </w:tcPr>
          <w:p>
            <w:pPr>
              <w:pStyle w:val="700"/>
              <w:rPr>
                <w:rFonts w:hint="eastAsia" w:ascii="宋体" w:hAnsi="宋体" w:eastAsia="宋体" w:cs="宋体"/>
                <w:i w:val="0"/>
                <w:iCs w:val="0"/>
                <w:color w:val="000000"/>
                <w:sz w:val="24"/>
                <w:szCs w:val="24"/>
                <w:u w:val="none"/>
              </w:rPr>
              <w:framePr w:vAnchor="text" w:hAnchor="page" w:x="988" w:y="266"/>
            </w:pPr>
            <w:r>
              <w:rPr>
                <w:rFonts w:hint="eastAsia" w:ascii="宋体" w:hAnsi="宋体" w:eastAsia="宋体" w:cs="宋体"/>
                <w:i w:val="0"/>
                <w:iCs w:val="0"/>
                <w:color w:val="000000"/>
                <w:sz w:val="24"/>
                <w:szCs w:val="24"/>
                <w:u w:val="none"/>
              </w:rPr>
            </w:r>
            <w:r/>
          </w:p>
        </w:tc>
      </w:tr>
      <w:tr>
        <w:trPr>
          <w:trHeight w:val="360"/>
        </w:trPr>
        <w:tc>
          <w:tcPr>
            <w:gridSpan w:val="7"/>
            <w:tcW w:w="10023" w:type="dxa"/>
            <w:vAlign w:val="center"/>
            <w:textDirection w:val="lrTb"/>
            <w:noWrap/>
          </w:tcPr>
          <w:p>
            <w:pPr>
              <w:pStyle w:val="700"/>
              <w:jc w:val="left"/>
              <w:keepLines w:val="0"/>
              <w:keepNext w:val="0"/>
              <w:widowControl/>
              <w:rPr>
                <w:rFonts w:hint="eastAsia" w:ascii="宋体" w:hAnsi="宋体" w:eastAsia="宋体" w:cs="宋体"/>
                <w:i w:val="0"/>
                <w:iCs w:val="0"/>
                <w:color w:val="000000"/>
                <w:sz w:val="20"/>
                <w:szCs w:val="20"/>
                <w:u w:val="none"/>
              </w:rPr>
              <w:framePr w:vAnchor="text" w:hAnchor="page" w:x="988" w:y="266"/>
              <w:suppressLineNumbers w:val="0"/>
            </w:pPr>
            <w:r>
              <w:rPr>
                <w:rFonts w:hint="eastAsia" w:ascii="宋体" w:hAnsi="宋体" w:eastAsia="宋体" w:cs="宋体"/>
                <w:i w:val="0"/>
                <w:iCs w:val="0"/>
                <w:color w:val="000000"/>
                <w:sz w:val="20"/>
                <w:szCs w:val="20"/>
                <w:u w:val="none"/>
                <w:lang w:val="en-US" w:eastAsia="zh-CN" w:bidi="ar"/>
              </w:rPr>
              <w:t xml:space="preserve">编号：</w:t>
            </w:r>
            <w:r>
              <w:rPr>
                <w:rStyle w:val="942"/>
                <w:lang w:val="en-US" w:eastAsia="zh-CN" w:bidi="ar"/>
              </w:rPr>
              <w:t xml:space="preserve">1</w:t>
            </w:r>
            <w:r>
              <w:rPr>
                <w:rStyle w:val="943"/>
                <w:rFonts w:eastAsia="宋体"/>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分项名称：</w:t>
            </w:r>
            <w:r>
              <w:rPr>
                <w:rStyle w:val="942"/>
                <w:lang w:val="en-US" w:eastAsia="zh-CN" w:bidi="ar"/>
              </w:rPr>
              <w:t xml:space="preserve">四队镇项目区工程</w:t>
            </w:r>
            <w:r>
              <w:rPr>
                <w:rStyle w:val="943"/>
                <w:rFonts w:eastAsia="宋体"/>
                <w:lang w:val="en-US" w:eastAsia="zh-CN" w:bidi="ar"/>
              </w:rPr>
              <w:t xml:space="preserve">     </w:t>
            </w:r>
            <w:r>
              <w:rPr>
                <w:rStyle w:val="943"/>
                <w:rFonts w:hint="eastAsia"/>
                <w:lang w:val="en-US" w:eastAsia="zh-CN" w:bidi="ar"/>
              </w:rPr>
              <w:t xml:space="preserve">       </w:t>
            </w:r>
            <w:r>
              <w:rPr>
                <w:rStyle w:val="943"/>
                <w:rFonts w:eastAsia="宋体"/>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单位：项</w:t>
            </w:r>
            <w:r>
              <w:rPr>
                <w:rStyle w:val="943"/>
                <w:rFonts w:eastAsia="宋体"/>
                <w:lang w:val="en-US" w:eastAsia="zh-CN" w:bidi="ar"/>
              </w:rPr>
              <w:t xml:space="preserve">                                 </w:t>
            </w:r>
            <w:r>
              <w:rPr>
                <w:rFonts w:hint="eastAsia" w:ascii="宋体" w:hAnsi="宋体" w:eastAsia="宋体" w:cs="宋体"/>
                <w:i w:val="0"/>
                <w:iCs w:val="0"/>
                <w:color w:val="000000"/>
                <w:sz w:val="20"/>
                <w:szCs w:val="20"/>
                <w:u w:val="none"/>
              </w:rPr>
            </w:r>
            <w:r/>
          </w:p>
        </w:tc>
        <w:tc>
          <w:tcPr>
            <w:tcW w:w="233" w:type="dxa"/>
            <w:vAlign w:val="bottom"/>
            <w:textDirection w:val="lrTb"/>
            <w:noWrap/>
          </w:tcPr>
          <w:p>
            <w:pPr>
              <w:pStyle w:val="700"/>
              <w:rPr>
                <w:rFonts w:hint="eastAsia" w:ascii="宋体" w:hAnsi="宋体" w:eastAsia="宋体" w:cs="宋体"/>
                <w:i w:val="0"/>
                <w:iCs w:val="0"/>
                <w:color w:val="000000"/>
                <w:sz w:val="24"/>
                <w:szCs w:val="24"/>
                <w:u w:val="none"/>
              </w:rPr>
              <w:framePr w:vAnchor="text" w:hAnchor="page" w:x="988" w:y="266"/>
            </w:pPr>
            <w:r>
              <w:rPr>
                <w:rFonts w:hint="eastAsia" w:ascii="宋体" w:hAnsi="宋体" w:eastAsia="宋体" w:cs="宋体"/>
                <w:i w:val="0"/>
                <w:iCs w:val="0"/>
                <w:color w:val="000000"/>
                <w:sz w:val="24"/>
                <w:szCs w:val="24"/>
                <w:u w:val="none"/>
              </w:rPr>
            </w:r>
            <w:r/>
          </w:p>
        </w:tc>
      </w:tr>
      <w:tr>
        <w:trPr>
          <w:trHeight w:val="8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97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62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60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2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管道土方开挖</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36.00 </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管道土方回填压实</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42.00 </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142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购置安装DN63mm塑料PE管</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1.施工时须满足设计图纸及规范要求；对接熔接；PE100级1.25MPa。含管材采购、安装、消毒冲洗、试压等全部工序</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84</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管道配件</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C30素砼支墩、镇墩</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1.施工时须满足设计图纸及规范要求；含模板，商品砼</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0.4</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C30砼路面（18cm）恢复</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1.施工时须满足设计图纸及规范要求；含模板、切缝、灌沥青等全部工序；商品砼</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管道过路路面拆除</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1.施工时须满足设计图纸及规范要求；含混凝土、基层、废渣外运等全部工序；</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DN50闸阀(Z45T-10)</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DN50超声波水表</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86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spacing w:after="210" w:afterAutospacing="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600方形闸阀井</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1.施工时须满足设计图纸及规范要求；（含清障、土方开挖、回填以等全部费用）</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1-11</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塑料管安装(粘接) 管外径20mm以内（含保温）</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399</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UPVCdn160管道</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1-13</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远程NB智能远传水表</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水表前加密阀DN15</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1-15</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水表后阀门DN15</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分水器</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14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1-17</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集装表池</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1.施工时须满足设计图纸及规范要求；（内部尺寸90×70×60cm，含盖板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座 4.000 460.00 1840.00）</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94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1-18</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弯头、内接等</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130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1-19</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三相电力变压器安装 10kV容量(kVA)；</w:t>
            </w: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1、变压器本体及附件购置安装　2、变压器油过滤、油化验和注油　3、调试含熔断器、架空线杆等全部设施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6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1.00 </w:t>
            </w: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760"/>
        </w:trPr>
        <w:tc>
          <w:tcPr>
            <w:tcW w:w="38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973" w:type="dxa"/>
            <w:vAlign w:val="center"/>
            <w:textDirection w:val="lrTb"/>
            <w:noWrap w:val="false"/>
          </w:tcPr>
          <w:p>
            <w:pPr>
              <w:pStyle w:val="700"/>
              <w:jc w:val="lef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1628"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609" w:type="dxa"/>
            <w:vAlign w:val="center"/>
            <w:textDirection w:val="lrTb"/>
            <w:noWrap/>
          </w:tcPr>
          <w:p>
            <w:pPr>
              <w:pStyle w:val="700"/>
              <w:jc w:val="center"/>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90" w:type="dxa"/>
            <w:vAlign w:val="center"/>
            <w:textDirection w:val="lrTb"/>
            <w:noWrap/>
          </w:tcPr>
          <w:p>
            <w:pPr>
              <w:pStyle w:val="700"/>
              <w:jc w:val="righ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338" w:type="dxa"/>
            <w:vAlign w:val="center"/>
            <w:textDirection w:val="lrTb"/>
            <w:noWrap w:val="false"/>
          </w:tcPr>
          <w:p>
            <w:pPr>
              <w:pStyle w:val="700"/>
              <w:jc w:val="left"/>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480"/>
        </w:trPr>
        <w:tc>
          <w:tcPr>
            <w:gridSpan w:val="8"/>
            <w:tcW w:w="10515" w:type="dxa"/>
            <w:vAlign w:val="center"/>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lang w:val="en-US" w:eastAsia="zh-CN" w:bidi="ar"/>
              </w:rPr>
              <w:t xml:space="preserve">注：本工程量为1项工程量。结算时按实发生的量结算，土方为总价承包，其他为单价承包。</w:t>
            </w:r>
            <w:r>
              <w:rPr>
                <w:rFonts w:hint="eastAsia" w:ascii="宋体" w:hAnsi="宋体" w:eastAsia="宋体" w:cs="宋体"/>
                <w:i w:val="0"/>
                <w:iCs w:val="0"/>
                <w:color w:val="000000"/>
                <w:sz w:val="18"/>
                <w:szCs w:val="18"/>
                <w:u w:val="none"/>
              </w:rPr>
            </w:r>
            <w:r/>
          </w:p>
        </w:tc>
      </w:tr>
      <w:tr>
        <w:trPr>
          <w:trHeight w:val="285"/>
        </w:trPr>
        <w:tc>
          <w:tcPr>
            <w:tcW w:w="38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973" w:type="dxa"/>
            <w:vAlign w:val="center"/>
            <w:textDirection w:val="lrTb"/>
            <w:noWrap/>
          </w:tcPr>
          <w:p>
            <w:pPr>
              <w:pStyle w:val="700"/>
              <w:jc w:val="left"/>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gridSpan w:val="5"/>
            <w:tcW w:w="71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300"/>
        </w:trPr>
        <w:tc>
          <w:tcPr>
            <w:tcW w:w="38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gridSpan w:val="6"/>
            <w:tcW w:w="9205"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framePr w:vAnchor="text" w:hAnchor="page" w:x="988" w:y="266"/>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r>
        <w:trPr>
          <w:trHeight w:val="300"/>
        </w:trPr>
        <w:tc>
          <w:tcPr>
            <w:tcW w:w="388" w:type="dxa"/>
            <w:vAlign w:val="center"/>
            <w:textDirection w:val="lrTb"/>
            <w:noWrap/>
          </w:tcPr>
          <w:p>
            <w:pPr>
              <w:pStyle w:val="700"/>
              <w:jc w:val="center"/>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tcW w:w="973" w:type="dxa"/>
            <w:vAlign w:val="center"/>
            <w:textDirection w:val="lrTb"/>
            <w:noWrap/>
          </w:tcPr>
          <w:p>
            <w:pPr>
              <w:pStyle w:val="700"/>
              <w:jc w:val="left"/>
              <w:rPr>
                <w:rFonts w:ascii="Times New Roman" w:hAnsi="Times New Roman" w:eastAsia="宋体" w:cs="Times New Roman"/>
                <w:i w:val="0"/>
                <w:iCs w:val="0"/>
                <w:color w:val="000000"/>
                <w:sz w:val="18"/>
                <w:szCs w:val="18"/>
                <w:u w:val="none"/>
              </w:rPr>
              <w:framePr w:vAnchor="text" w:hAnchor="page" w:x="988" w:y="266"/>
            </w:pPr>
            <w:r>
              <w:rPr>
                <w:rFonts w:ascii="Times New Roman" w:hAnsi="Times New Roman" w:eastAsia="宋体" w:cs="Times New Roman"/>
                <w:i w:val="0"/>
                <w:iCs w:val="0"/>
                <w:color w:val="000000"/>
                <w:sz w:val="18"/>
                <w:szCs w:val="18"/>
                <w:u w:val="none"/>
              </w:rPr>
            </w:r>
            <w:r/>
          </w:p>
        </w:tc>
        <w:tc>
          <w:tcPr>
            <w:gridSpan w:val="5"/>
            <w:tcW w:w="7158"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framePr w:vAnchor="text" w:hAnchor="page" w:x="988" w:y="266"/>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Style w:val="944"/>
                <w:rFonts w:eastAsia="宋体"/>
                <w:sz w:val="18"/>
                <w:szCs w:val="18"/>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Style w:val="944"/>
                <w:rFonts w:eastAsia="宋体"/>
                <w:sz w:val="18"/>
                <w:szCs w:val="18"/>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233" w:type="dxa"/>
            <w:vAlign w:val="bottom"/>
            <w:textDirection w:val="lrTb"/>
            <w:noWrap/>
          </w:tcPr>
          <w:p>
            <w:pPr>
              <w:pStyle w:val="700"/>
              <w:rPr>
                <w:rFonts w:hint="eastAsia" w:ascii="宋体" w:hAnsi="宋体" w:eastAsia="宋体" w:cs="宋体"/>
                <w:i w:val="0"/>
                <w:iCs w:val="0"/>
                <w:color w:val="000000"/>
                <w:sz w:val="18"/>
                <w:szCs w:val="18"/>
                <w:u w:val="none"/>
              </w:rPr>
              <w:framePr w:vAnchor="text" w:hAnchor="page" w:x="988" w:y="266"/>
            </w:pPr>
            <w:r>
              <w:rPr>
                <w:rFonts w:hint="eastAsia" w:ascii="宋体" w:hAnsi="宋体" w:eastAsia="宋体" w:cs="宋体"/>
                <w:i w:val="0"/>
                <w:iCs w:val="0"/>
                <w:color w:val="000000"/>
                <w:sz w:val="18"/>
                <w:szCs w:val="18"/>
                <w:u w:val="none"/>
              </w:rPr>
            </w:r>
            <w:r/>
          </w:p>
        </w:tc>
      </w:tr>
    </w:tbl>
    <w:p>
      <w:pPr>
        <w:pStyle w:val="700"/>
      </w:pPr>
      <w:r/>
      <w:r/>
    </w:p>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62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069"/>
        <w:gridCol w:w="3405"/>
        <w:gridCol w:w="733"/>
        <w:gridCol w:w="1051"/>
        <w:gridCol w:w="776"/>
        <w:gridCol w:w="844"/>
        <w:gridCol w:w="918"/>
      </w:tblGrid>
      <w:tr>
        <w:trPr>
          <w:trHeight w:val="495"/>
        </w:trPr>
        <w:tc>
          <w:tcPr>
            <w:gridSpan w:val="8"/>
            <w:tcW w:w="10593"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280"/>
        </w:trPr>
        <w:tc>
          <w:tcPr>
            <w:gridSpan w:val="8"/>
            <w:tcW w:w="10593"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编号：</w:t>
            </w:r>
            <w:r>
              <w:rPr>
                <w:rFonts w:ascii="Times New Roman" w:hAnsi="Times New Roman" w:eastAsia="宋体" w:cs="Times New Roman"/>
                <w:i w:val="0"/>
                <w:iCs w:val="0"/>
                <w:color w:val="000000"/>
                <w:sz w:val="20"/>
                <w:szCs w:val="20"/>
                <w:u w:val="none"/>
                <w:lang w:val="en-US" w:eastAsia="zh-CN" w:bidi="ar"/>
              </w:rPr>
              <w:t xml:space="preserve">  2                     </w:t>
            </w:r>
            <w:r>
              <w:rPr>
                <w:rFonts w:hint="eastAsia" w:ascii="宋体" w:hAnsi="宋体" w:eastAsia="宋体" w:cs="宋体"/>
                <w:i w:val="0"/>
                <w:iCs w:val="0"/>
                <w:color w:val="000000"/>
                <w:sz w:val="20"/>
                <w:szCs w:val="20"/>
                <w:u w:val="none"/>
                <w:lang w:val="en-US" w:eastAsia="zh-CN" w:bidi="ar"/>
              </w:rPr>
              <w:t xml:space="preserve">分项名称：</w:t>
            </w:r>
            <w:r>
              <w:rPr>
                <w:rFonts w:hint="eastAsia" w:ascii="宋体" w:hAnsi="宋体" w:eastAsia="宋体" w:cs="宋体"/>
                <w:i w:val="0"/>
                <w:iCs w:val="0"/>
                <w:color w:val="000000"/>
                <w:sz w:val="20"/>
                <w:szCs w:val="20"/>
                <w:u w:val="single"/>
                <w:lang w:val="en-US" w:eastAsia="zh-CN" w:bidi="ar"/>
              </w:rPr>
              <w:t xml:space="preserve">杨集镇项目区工程</w:t>
            </w:r>
            <w:r>
              <w:rPr>
                <w:rFonts w:ascii="Times New Roman" w:hAnsi="Times New Roman" w:eastAsia="宋体" w:cs="Times New Roman"/>
                <w:i w:val="0"/>
                <w:iCs w:val="0"/>
                <w:color w:val="000000"/>
                <w:sz w:val="20"/>
                <w:szCs w:val="20"/>
                <w:u w:val="none"/>
                <w:lang w:val="en-US" w:eastAsia="zh-CN" w:bidi="ar"/>
              </w:rPr>
              <w:t xml:space="preserve">      </w:t>
            </w:r>
            <w:r>
              <w:rPr>
                <w:rFonts w:hint="eastAsia" w:ascii="Times New Roman" w:hAnsi="Times New Roman" w:eastAsia="宋体" w:cs="Times New Roman"/>
                <w:i w:val="0"/>
                <w:iCs w:val="0"/>
                <w:color w:val="000000"/>
                <w:sz w:val="20"/>
                <w:szCs w:val="20"/>
                <w:u w:val="none"/>
                <w:lang w:val="en-US" w:eastAsia="zh-CN" w:bidi="ar"/>
              </w:rPr>
              <w:t xml:space="preserve">      </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single"/>
                <w:lang w:val="en-US" w:eastAsia="zh-CN" w:bidi="ar"/>
              </w:rPr>
              <w:t xml:space="preserve"> 项</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4"/>
                <w:szCs w:val="24"/>
                <w:u w:val="none"/>
              </w:rPr>
            </w:r>
            <w:r/>
          </w:p>
        </w:tc>
      </w:tr>
      <w:tr>
        <w:trPr>
          <w:trHeight w:val="711"/>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9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60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34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495"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36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9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66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管道土方开挖</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95" w:type="dxa"/>
            <w:vAlign w:val="center"/>
            <w:textDirection w:val="lrTb"/>
            <w:noWrap/>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1086.00 </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503"/>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管道土方回填压实</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95" w:type="dxa"/>
            <w:vAlign w:val="center"/>
            <w:textDirection w:val="lrTb"/>
            <w:noWrap/>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1230.00 </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112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购置安装DN160mm塑料PE管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1.施工时须满足设计图纸及规范要求；对接熔接；PE100级0.6MPa。含管材采购、安装、消毒冲洗、试压等全部工序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购置安装DN110mm塑料PE管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1.施工时须满足设计图纸及规范要求；对接熔接；PE100级0.6MPa。含管材采购、安装、消毒冲洗、试压等全部工序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893</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购置安装DN90mm塑料PE管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1.施工时须满足设计图纸及规范要求；对接熔接；PE100级0.8MPa。含管材采购、安装、消毒冲洗、试压等全部工序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购置安装DN63mm塑料PE管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1.施工时须满足设计图纸及规范要求；对接熔接；PE100级1.25MPa。含管材采购、安装、消毒冲洗、试压等全部工序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购置安装DN50mm塑料PE管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1.施工时须满足设计图纸及规范要求；对接熔接；PE100级1.6MPa。含管材采购、安装、消毒冲洗、试压等全部工序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购置安装DN40mm塑料PE管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1.施工时须满足设计图纸及规范要求；对接熔接；PE100级1.6MPa。含管材采购、安装、消毒冲洗、试压等全部工序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73"/>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管道配件</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C30素砼支墩、镇墩</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1.施工时须满足设计图纸及规范要求；含模板，商品砼</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C30砼路面（18cm）恢复</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1.施工时须满足设计图纸及规范要求；含模板、切缝、灌沥青等全部工序；商品砼</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794</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管道过路路面拆除</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1.施工时须满足设计图纸及规范要求；含混凝土、基层、废渣外运等全部工序；</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63"/>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dn150通水钢管过桥过河</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5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φ108*4钢套管</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钢筋制作及安装</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0.08</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5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DN150闸阀(Z45T-10)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4"/>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DN100闸阀(Z45T-10)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DN80闸阀(Z45T-10)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2"/>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DN50闸阀(Z45T-10)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DN40闸阀(Z45T-10)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DN32闸阀(Z45T-10)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DN25排气阀(含配套蝶阀)</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DN50排泥阀(Z45T-10)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DN150一体式远传电磁水表（带压力）</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DN100超声波水表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DN80超声波水表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DN50超声波水表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DN40超声波水表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DN32超声波水表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DN150橡胶软接头</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DN100橡胶软接头</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600方形闸阀井</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1.施工时须满足设计图纸及规范要求；详见图纸（含清障、土方开挖、回填以及等全部相关费用）</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Φ1000闸阀井、水表井，深1100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1.施工时须满足设计图纸及规范要求；详见图纸（含清障、土方开挖、回填以等全部相关费用）</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Φ1200闸阀井、水表井，深1300</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1.施工时须满足设计图纸及规范要求；详见图纸含清障、土方开挖、回填以等全部相关费用）(商品砼)(泵送)</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标志桩</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塑料管安装(粘接) 管外径20mm</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DN15NB智能远传水表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水表前加密阀DN15</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水表后阀门DN15</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分水器</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集装表池</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1.施工时须满足设计图纸及规范要求；详见图纸（内部尺寸90×70×60cm，含盖板）</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弯头、内接等</w:t>
            </w: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4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95"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rPr>
                <w:rFonts w:hint="eastAsia" w:ascii="宋体" w:hAnsi="宋体" w:eastAsia="宋体" w:cs="宋体"/>
                <w:i w:val="0"/>
                <w:iCs w:val="0"/>
                <w:color w:val="000000"/>
                <w:sz w:val="18"/>
                <w:szCs w:val="18"/>
                <w:u w:val="none"/>
              </w:rPr>
            </w:r>
            <w:r/>
          </w:p>
        </w:tc>
        <w:tc>
          <w:tcPr>
            <w:tcW w:w="3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tcW w:w="37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976" w:type="dxa"/>
            <w:vAlign w:val="center"/>
            <w:textDirection w:val="lrTb"/>
            <w:noWrap w:val="false"/>
          </w:tcPr>
          <w:p>
            <w:pPr>
              <w:pStyle w:val="70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606"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346"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95"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66" w:type="dxa"/>
            <w:vAlign w:val="center"/>
            <w:textDirection w:val="lrTb"/>
            <w:noWrap/>
          </w:tcPr>
          <w:p>
            <w:pPr>
              <w:pStyle w:val="70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8" w:type="dxa"/>
            <w:vAlign w:val="center"/>
            <w:textDirection w:val="lrTb"/>
            <w:noWrap/>
          </w:tcPr>
          <w:p>
            <w:pPr>
              <w:pStyle w:val="700"/>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60"/>
        </w:trPr>
        <w:tc>
          <w:tcPr>
            <w:gridSpan w:val="8"/>
            <w:tcW w:w="10593" w:type="dxa"/>
            <w:vAlign w:val="center"/>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注：本工程量为1项工程量。结算时按实发生的量结算，土方为总价承包，其他为单价承包。</w:t>
            </w:r>
            <w:r>
              <w:rPr>
                <w:rFonts w:hint="eastAsia" w:ascii="宋体" w:hAnsi="宋体" w:eastAsia="宋体" w:cs="宋体"/>
                <w:i w:val="0"/>
                <w:iCs w:val="0"/>
                <w:color w:val="000000"/>
                <w:sz w:val="18"/>
                <w:szCs w:val="18"/>
                <w:u w:val="none"/>
              </w:rPr>
            </w:r>
            <w:r/>
          </w:p>
        </w:tc>
      </w:tr>
      <w:tr>
        <w:trPr>
          <w:trHeight w:val="300"/>
        </w:trPr>
        <w:tc>
          <w:tcPr>
            <w:tcW w:w="376"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76"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80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376"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6"/>
            <w:tcW w:w="887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376"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76"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809"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Style w:val="945"/>
                <w:rFonts w:eastAsia="宋体"/>
                <w:sz w:val="18"/>
                <w:szCs w:val="18"/>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Style w:val="945"/>
                <w:rFonts w:eastAsia="宋体"/>
                <w:sz w:val="18"/>
                <w:szCs w:val="18"/>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4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662"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02"/>
        <w:gridCol w:w="2091"/>
        <w:gridCol w:w="3098"/>
        <w:gridCol w:w="708"/>
        <w:gridCol w:w="924"/>
        <w:gridCol w:w="668"/>
        <w:gridCol w:w="1040"/>
        <w:gridCol w:w="940"/>
      </w:tblGrid>
      <w:tr>
        <w:trPr>
          <w:trHeight w:val="460"/>
        </w:trPr>
        <w:tc>
          <w:tcPr>
            <w:gridSpan w:val="8"/>
            <w:tcW w:w="10671"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499"/>
        </w:trPr>
        <w:tc>
          <w:tcPr>
            <w:gridSpan w:val="8"/>
            <w:tcW w:w="10671" w:type="dxa"/>
            <w:vAlign w:val="center"/>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0"/>
                <w:szCs w:val="20"/>
                <w:u w:val="none"/>
                <w:lang w:val="en-US" w:eastAsia="zh-CN" w:bidi="ar"/>
              </w:rPr>
              <w:t xml:space="preserve">编号：3</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分项名称：</w:t>
            </w:r>
            <w:r>
              <w:rPr>
                <w:rFonts w:hint="eastAsia" w:ascii="宋体" w:hAnsi="宋体" w:eastAsia="宋体" w:cs="宋体"/>
                <w:i w:val="0"/>
                <w:iCs w:val="0"/>
                <w:color w:val="000000"/>
                <w:sz w:val="20"/>
                <w:szCs w:val="20"/>
                <w:u w:val="single"/>
                <w:lang w:val="en-US" w:eastAsia="zh-CN" w:bidi="ar"/>
              </w:rPr>
              <w:t xml:space="preserve">镇区钢管更换工程</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单位：项</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4"/>
                <w:szCs w:val="24"/>
                <w:u w:val="none"/>
              </w:rPr>
            </w:r>
            <w:r/>
          </w:p>
        </w:tc>
      </w:tr>
      <w:tr>
        <w:trPr>
          <w:trHeight w:val="319"/>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97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45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33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43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312"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440"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33"/>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管道土方开挖</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97.00 </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823"/>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管道土方回填压实</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101.00 </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782"/>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C30素砼支墩、镇墩</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1.施工时须满足设计图纸及规范要求；含模板，商品砼</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81"/>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C30砼路面（18cm）恢复</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1.施工时须满足设计图纸及规范要求；含模板、切缝、灌沥青等全部工序；商品砼</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管道过路路面拆除</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1.施工时须满足设计图纸及规范要求；含混凝土、基层、废渣外运等全部工序；</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DN400热镀锌钢管</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1.施工时须满足设计图纸及规范要求；焊接。含管材采购、安装、消毒冲洗、试压等全部工序</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DN300热镀锌钢管</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1.施工时须满足设计图纸及规范要求；焊接。含管材采购、安装、消毒冲洗、试压等全部工序</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DN250热镀锌钢管</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1.施工时须满足设计图纸及规范要求；焊接。含管材采购、安装、消毒冲洗、试压等全部工序</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DN150热镀锌钢管</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1.施工时须满足设计图纸及规范要求；焊接。含管材采购、安装、消毒冲洗、试压等全部工序</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管道配件</w:t>
            </w: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31"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1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0"/>
        </w:trPr>
        <w:tc>
          <w:tcPr>
            <w:tcW w:w="5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979" w:type="dxa"/>
            <w:vAlign w:val="center"/>
            <w:textDirection w:val="lrTb"/>
            <w:noWrap w:val="false"/>
          </w:tcPr>
          <w:p>
            <w:pPr>
              <w:pStyle w:val="70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51"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331"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3"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12" w:type="dxa"/>
            <w:vAlign w:val="center"/>
            <w:textDirection w:val="lrTb"/>
            <w:noWrap/>
          </w:tcPr>
          <w:p>
            <w:pPr>
              <w:pStyle w:val="70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6" w:type="dxa"/>
            <w:vAlign w:val="center"/>
            <w:textDirection w:val="lrTb"/>
            <w:noWrap/>
          </w:tcPr>
          <w:p>
            <w:pPr>
              <w:pStyle w:val="700"/>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gridSpan w:val="8"/>
            <w:tcW w:w="10671" w:type="dxa"/>
            <w:vAlign w:val="center"/>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注：本工程量为1项工程量。结算时按实发生的量结算，土方为总价承包，其他为单价承包。</w:t>
            </w:r>
            <w:r>
              <w:rPr>
                <w:rFonts w:hint="eastAsia" w:ascii="宋体" w:hAnsi="宋体" w:eastAsia="宋体" w:cs="宋体"/>
                <w:i w:val="0"/>
                <w:iCs w:val="0"/>
                <w:color w:val="000000"/>
                <w:sz w:val="18"/>
                <w:szCs w:val="18"/>
                <w:u w:val="none"/>
              </w:rPr>
            </w:r>
            <w:r/>
          </w:p>
        </w:tc>
      </w:tr>
      <w:tr>
        <w:trPr>
          <w:trHeight w:val="300"/>
        </w:trPr>
        <w:tc>
          <w:tcPr>
            <w:tcW w:w="56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79"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4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56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6"/>
            <w:tcW w:w="852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56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979"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5"/>
            <w:tcW w:w="6438"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44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65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1"/>
        <w:gridCol w:w="2353"/>
        <w:gridCol w:w="3176"/>
        <w:gridCol w:w="843"/>
        <w:gridCol w:w="931"/>
        <w:gridCol w:w="798"/>
        <w:gridCol w:w="1030"/>
        <w:gridCol w:w="810"/>
      </w:tblGrid>
      <w:tr>
        <w:trPr>
          <w:trHeight w:val="460"/>
        </w:trPr>
        <w:tc>
          <w:tcPr>
            <w:gridSpan w:val="8"/>
            <w:tcW w:w="10662"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300"/>
        </w:trPr>
        <w:tc>
          <w:tcPr>
            <w:gridSpan w:val="8"/>
            <w:tcW w:w="10662" w:type="dxa"/>
            <w:vAlign w:val="center"/>
            <w:textDirection w:val="lrTb"/>
            <w:noWrap/>
          </w:tcPr>
          <w:p>
            <w:pPr>
              <w:pStyle w:val="7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编号：4                     分项名称：杨集镇农旭村工程                    单位： 项</w:t>
            </w:r>
            <w:r>
              <w:rPr>
                <w:rFonts w:hint="eastAsia" w:ascii="宋体" w:hAnsi="宋体" w:eastAsia="宋体" w:cs="宋体"/>
                <w:i w:val="0"/>
                <w:iCs w:val="0"/>
                <w:color w:val="000000"/>
                <w:sz w:val="20"/>
                <w:szCs w:val="20"/>
                <w:u w:val="none"/>
              </w:rPr>
            </w:r>
            <w:r/>
          </w:p>
        </w:tc>
      </w:tr>
      <w:tr>
        <w:trPr>
          <w:trHeight w:val="30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10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48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395"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482"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52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管道土方开挖</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6968</w:t>
            </w:r>
            <w:r>
              <w:rPr>
                <w:rFonts w:hint="eastAsia" w:ascii="宋体" w:hAnsi="宋体" w:eastAsia="宋体" w:cs="宋体"/>
                <w:i w:val="0"/>
                <w:iCs w:val="0"/>
                <w:color w:val="000000"/>
                <w:sz w:val="18"/>
                <w:szCs w:val="18"/>
                <w:u w:val="none"/>
              </w:rPr>
            </w:r>
            <w:r/>
          </w:p>
        </w:tc>
        <w:tc>
          <w:tcPr>
            <w:tcW w:w="374"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52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管道土方回填压实</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8129</w:t>
            </w:r>
            <w:r>
              <w:rPr>
                <w:rFonts w:hint="eastAsia" w:ascii="宋体" w:hAnsi="宋体" w:eastAsia="宋体" w:cs="宋体"/>
                <w:i w:val="0"/>
                <w:iCs w:val="0"/>
                <w:color w:val="000000"/>
                <w:sz w:val="18"/>
                <w:szCs w:val="18"/>
                <w:u w:val="none"/>
              </w:rPr>
            </w:r>
            <w:r/>
          </w:p>
        </w:tc>
        <w:tc>
          <w:tcPr>
            <w:tcW w:w="374"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C30素砼支墩、镇墩</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1.施工时须满足设计图纸及规范要求；含模板，商品砼</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购置安装DN90mm塑料PE管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1.施工时须满足设计图纸及规范要求；对接熔接；PE100级0.8MPa。含管材采购、安装、消毒冲洗、试压等全部工序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购置安装DN75mm塑料PE管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1.施工时须满足设计图纸及规范要求；对接熔接；PE100级1.0MPa。含管材采购、安装、消毒冲洗、试压等全部工序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购置安装DN63mm塑料PE管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1.施工时须满足设计图纸及规范要求；对接熔接；PE100级1.25MPa。含管材采购、安装、消毒冲洗、试压等全部工序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714</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购置安装DN50mm塑料PE管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1.施工时须满足设计图纸及规范要求；对接熔接；PE100级1.6MPa。含管材采购、安装、消毒冲洗、试压等全部工序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977</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购置安装DN40mm塑料PE管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1.施工时须满足设计图纸及规范要求；对接熔接；PE100级1.6MPa。含管材采购、安装、消毒冲洗、试压等全部工序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2384</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购置安装DN32mm塑料PE管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1.施工时须满足设计图纸及规范要求；对接熔接；PE100级1.6MPa。含管材采购、安装、消毒冲洗、试压等全部工序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管道配件</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∅168*5钢套管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∅108*4钢套管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∅83*3.5钢套管</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C30砼路面（18cm）恢复</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1.施工时须满足设计图纸及规范要求；含模板、切缝、灌沥青等全部工序；商品砼</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611</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C30砼路面（15cm）恢复</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1.施工时须满足设计图纸及规范要求；含混凝土、基层、废渣外运等全部工序；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管道过路路面拆除</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1.施工时须满足设计图纸及规范要求；含混凝土、基层、废渣外运等全部工序；</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DN80闸阀(Z45T-10)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DN65闸阀(Z45T-10)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DN50闸阀(Z45T-10)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DN40闸阀(Z45T-10)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DN32闸阀(Z45T-10)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4-22</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DN25闸阀(Z45T-10)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DN25排气阀(含配套蝶阀)</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4-24</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DN50排泥阀(Z45T-10)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DN80水表</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spacing w:after="21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600方形闸阀井</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1.施工时须满足设计图纸及规范要求；详见图纸（含清障、土方开挖、回填等相关全部费用）</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8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spacing w:after="21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Φ1000闸阀井、水表井，深1100</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1.施工时须满足设计图纸及规范要求；详见图纸（含清障、土方开挖、回填等相关全部费用）</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入户20mm塑料管购置安装(粘接)</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3100</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DN15NB智能远传水表</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水表前加密阀DN15</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水表后阀门DN15</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成品复合材料单户表池</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1.施工时须满足设计图纸及规范要求；详见图纸（50×30×20cm）</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弯头、内接等</w:t>
            </w: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1.施工时须满足设计图纸及规范要求；详见图纸</w:t>
            </w:r>
            <w:r>
              <w:rPr>
                <w:rFonts w:hint="eastAsia" w:ascii="宋体" w:hAnsi="宋体" w:eastAsia="宋体" w:cs="宋体"/>
                <w:i w:val="0"/>
                <w:iCs w:val="0"/>
                <w:color w:val="000000"/>
                <w:sz w:val="18"/>
                <w:szCs w:val="18"/>
                <w:u w:val="none"/>
              </w:rPr>
            </w:r>
            <w:r/>
          </w:p>
        </w:tc>
        <w:tc>
          <w:tcPr>
            <w:tcW w:w="395"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rPr>
            </w:r>
            <w:r/>
          </w:p>
        </w:tc>
        <w:tc>
          <w:tcPr>
            <w:tcW w:w="436"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0" w:type="dxa"/>
            <w:vAlign w:val="center"/>
            <w:textDirection w:val="lrTb"/>
            <w:noWrap w:val="false"/>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33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1103" w:type="dxa"/>
            <w:vAlign w:val="center"/>
            <w:textDirection w:val="lrTb"/>
            <w:noWrap w:val="false"/>
          </w:tcPr>
          <w:p>
            <w:pPr>
              <w:pStyle w:val="70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8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395"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36"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4" w:type="dxa"/>
            <w:vAlign w:val="center"/>
            <w:textDirection w:val="lrTb"/>
            <w:noWrap/>
          </w:tcPr>
          <w:p>
            <w:pPr>
              <w:pStyle w:val="70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2" w:type="dxa"/>
            <w:vAlign w:val="center"/>
            <w:textDirection w:val="lrTb"/>
            <w:noWrap/>
          </w:tcPr>
          <w:p>
            <w:pPr>
              <w:pStyle w:val="700"/>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38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gridSpan w:val="8"/>
            <w:tcW w:w="10662" w:type="dxa"/>
            <w:vAlign w:val="center"/>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注：本工程量为1项工程量。结算时按实发生的量结算，土方为总价承包，其他为单价承包。</w:t>
            </w:r>
            <w:r>
              <w:rPr>
                <w:rFonts w:hint="eastAsia" w:ascii="宋体" w:hAnsi="宋体" w:eastAsia="宋体" w:cs="宋体"/>
                <w:i w:val="0"/>
                <w:iCs w:val="0"/>
                <w:color w:val="000000"/>
                <w:sz w:val="18"/>
                <w:szCs w:val="18"/>
                <w:u w:val="none"/>
              </w:rPr>
            </w:r>
            <w:r/>
          </w:p>
        </w:tc>
      </w:tr>
      <w:tr>
        <w:trPr>
          <w:trHeight w:val="300"/>
        </w:trPr>
        <w:tc>
          <w:tcPr>
            <w:tcW w:w="33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03"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77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38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10"/>
        </w:trPr>
        <w:tc>
          <w:tcPr>
            <w:tcW w:w="33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6"/>
            <w:tcW w:w="913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38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33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03"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778"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380"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55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1"/>
        <w:gridCol w:w="2210"/>
        <w:gridCol w:w="3579"/>
        <w:gridCol w:w="702"/>
        <w:gridCol w:w="701"/>
        <w:gridCol w:w="820"/>
        <w:gridCol w:w="799"/>
        <w:gridCol w:w="698"/>
      </w:tblGrid>
      <w:tr>
        <w:trPr>
          <w:trHeight w:val="480"/>
        </w:trPr>
        <w:tc>
          <w:tcPr>
            <w:gridSpan w:val="8"/>
            <w:tcW w:w="10470"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300"/>
        </w:trPr>
        <w:tc>
          <w:tcPr>
            <w:gridSpan w:val="8"/>
            <w:tcW w:w="10470"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编号：</w:t>
            </w:r>
            <w:r>
              <w:rPr>
                <w:rFonts w:hint="eastAsia" w:ascii="宋体" w:hAnsi="宋体" w:eastAsia="宋体" w:cs="宋体"/>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分项名称：</w:t>
            </w:r>
            <w:r>
              <w:rPr>
                <w:rFonts w:hint="eastAsia" w:ascii="宋体" w:hAnsi="宋体" w:eastAsia="宋体" w:cs="宋体"/>
                <w:i w:val="0"/>
                <w:iCs w:val="0"/>
                <w:color w:val="000000"/>
                <w:sz w:val="20"/>
                <w:szCs w:val="20"/>
                <w:u w:val="single"/>
                <w:lang w:val="en-US" w:eastAsia="zh-CN" w:bidi="ar"/>
              </w:rPr>
              <w:t xml:space="preserve">杨集镇增压站工程</w:t>
            </w:r>
            <w:r>
              <w:rPr>
                <w:rFonts w:ascii="Times New Roman" w:hAnsi="Times New Roman" w:eastAsia="宋体" w:cs="Times New Roman"/>
                <w:i w:val="0"/>
                <w:iCs w:val="0"/>
                <w:color w:val="000000"/>
                <w:sz w:val="20"/>
                <w:szCs w:val="20"/>
                <w:u w:val="none"/>
                <w:lang w:val="en-US" w:eastAsia="zh-CN" w:bidi="ar"/>
              </w:rPr>
              <w:t xml:space="preserve">         </w:t>
            </w:r>
            <w:r>
              <w:rPr>
                <w:rFonts w:hint="eastAsia" w:ascii="Times New Roman" w:hAnsi="Times New Roman" w:eastAsia="宋体" w:cs="Times New Roman"/>
                <w:i w:val="0"/>
                <w:iCs w:val="0"/>
                <w:color w:val="000000"/>
                <w:sz w:val="20"/>
                <w:szCs w:val="20"/>
                <w:u w:val="none"/>
                <w:lang w:val="en-US" w:eastAsia="zh-CN" w:bidi="ar"/>
              </w:rPr>
              <w:t xml:space="preserve"> </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single"/>
                <w:lang w:val="en-US" w:eastAsia="zh-CN" w:bidi="ar"/>
              </w:rPr>
              <w:t xml:space="preserve"> 座</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4"/>
                <w:szCs w:val="24"/>
                <w:u w:val="none"/>
              </w:rPr>
            </w:r>
            <w:r/>
          </w:p>
        </w:tc>
      </w:tr>
      <w:tr>
        <w:trPr>
          <w:trHeight w:val="30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055"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70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392"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8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3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52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土方开挖</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246.00 </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56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土方回填压实</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236.00 </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总价</w:t>
            </w:r>
            <w:r>
              <w:rPr>
                <w:rFonts w:hint="eastAsia" w:ascii="宋体" w:hAnsi="宋体" w:eastAsia="宋体" w:cs="宋体"/>
                <w:i w:val="0"/>
                <w:iCs w:val="0"/>
                <w:color w:val="000000"/>
                <w:sz w:val="18"/>
                <w:szCs w:val="18"/>
                <w:u w:val="none"/>
              </w:rPr>
            </w:r>
            <w:r/>
          </w:p>
        </w:tc>
      </w:tr>
      <w:tr>
        <w:trPr>
          <w:trHeight w:val="72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C30素砼垫层(商品砼)(入仓)</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2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C30素砼水泵基座(商品砼)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5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C30钢筋砼水箱基础梁(商品砼)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3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C30钢筋砼水箱地梁(商品砼)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5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C30钢筋砼承台梁(商品砼)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6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C30钢筋砼承台(商品砼)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6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C30钢筋砼地面板(商品砼)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2"/>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C30钢筋砼基础柱(商品砼)</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1.施工时须满足设计图纸及规范要求；含模板</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5-11</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钢筋制作及安装</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2.485</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2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泵房</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72.4</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1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5-13</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8m长松木桩，小头直径不小于16cm</w:t>
            </w: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rPr>
            </w:r>
            <w:r/>
          </w:p>
        </w:tc>
        <w:tc>
          <w:tcPr>
            <w:tcW w:w="334"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tcW w:w="392"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45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1055" w:type="dxa"/>
            <w:vAlign w:val="center"/>
            <w:textDirection w:val="lrTb"/>
            <w:noWrap w:val="false"/>
          </w:tcPr>
          <w:p>
            <w:pPr>
              <w:pStyle w:val="70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709"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34"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2" w:type="dxa"/>
            <w:vAlign w:val="center"/>
            <w:textDirection w:val="lrTb"/>
            <w:noWrap/>
          </w:tcPr>
          <w:p>
            <w:pPr>
              <w:pStyle w:val="70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81" w:type="dxa"/>
            <w:vAlign w:val="center"/>
            <w:textDirection w:val="lrTb"/>
            <w:noWrap/>
          </w:tcPr>
          <w:p>
            <w:pPr>
              <w:pStyle w:val="700"/>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gridSpan w:val="8"/>
            <w:tcW w:w="10470" w:type="dxa"/>
            <w:vAlign w:val="center"/>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注：本工程量为1座工程量。结算时按实发生的量结算，土方为总价承包，其他为单价承包。</w:t>
            </w:r>
            <w:r>
              <w:rPr>
                <w:rFonts w:hint="eastAsia" w:ascii="宋体" w:hAnsi="宋体" w:eastAsia="宋体" w:cs="宋体"/>
                <w:i w:val="0"/>
                <w:iCs w:val="0"/>
                <w:color w:val="000000"/>
                <w:sz w:val="18"/>
                <w:szCs w:val="18"/>
                <w:u w:val="none"/>
              </w:rPr>
            </w:r>
            <w:r/>
          </w:p>
        </w:tc>
      </w:tr>
      <w:tr>
        <w:trPr>
          <w:trHeight w:val="300"/>
        </w:trPr>
        <w:tc>
          <w:tcPr>
            <w:tcW w:w="45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55"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60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45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6"/>
            <w:tcW w:w="881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45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55"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601"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333"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58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2320"/>
        <w:gridCol w:w="2890"/>
        <w:gridCol w:w="919"/>
        <w:gridCol w:w="984"/>
        <w:gridCol w:w="1117"/>
        <w:gridCol w:w="964"/>
        <w:gridCol w:w="502"/>
      </w:tblGrid>
      <w:tr>
        <w:trPr>
          <w:trHeight w:val="460"/>
        </w:trPr>
        <w:tc>
          <w:tcPr>
            <w:gridSpan w:val="8"/>
            <w:tcW w:w="10527"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300"/>
        </w:trPr>
        <w:tc>
          <w:tcPr>
            <w:gridSpan w:val="8"/>
            <w:tcW w:w="10527" w:type="dxa"/>
            <w:vAlign w:val="center"/>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0"/>
                <w:szCs w:val="20"/>
                <w:u w:val="none"/>
                <w:lang w:val="en-US" w:eastAsia="zh-CN" w:bidi="ar"/>
              </w:rPr>
              <w:t xml:space="preserve">编号：6</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分项名称：</w:t>
            </w:r>
            <w:r>
              <w:rPr>
                <w:rFonts w:hint="eastAsia" w:ascii="宋体" w:hAnsi="宋体" w:eastAsia="宋体" w:cs="宋体"/>
                <w:i w:val="0"/>
                <w:iCs w:val="0"/>
                <w:color w:val="000000"/>
                <w:sz w:val="20"/>
                <w:szCs w:val="20"/>
                <w:u w:val="single"/>
                <w:lang w:val="en-US" w:eastAsia="zh-CN" w:bidi="ar"/>
              </w:rPr>
              <w:t xml:space="preserve">杨集镇元兴村工程</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single"/>
                <w:lang w:val="en-US" w:eastAsia="zh-CN" w:bidi="ar"/>
              </w:rPr>
              <w:t xml:space="preserve"> 项</w:t>
            </w: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W w:w="1102"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rPr>
                <w:rFonts w:hint="eastAsia" w:ascii="宋体" w:hAnsi="宋体" w:eastAsia="宋体" w:cs="宋体"/>
                <w:i w:val="0"/>
                <w:iCs w:val="0"/>
                <w:color w:val="000000"/>
                <w:sz w:val="22"/>
                <w:szCs w:val="22"/>
                <w:u w:val="none"/>
              </w:rPr>
            </w:r>
            <w:r/>
          </w:p>
        </w:tc>
        <w:tc>
          <w:tcPr>
            <w:tcW w:w="1372"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项目特征描述</w:t>
            </w:r>
            <w:r>
              <w:rPr>
                <w:rFonts w:hint="eastAsia" w:ascii="宋体" w:hAnsi="宋体" w:eastAsia="宋体" w:cs="宋体"/>
                <w:i w:val="0"/>
                <w:iCs w:val="0"/>
                <w:color w:val="000000"/>
                <w:sz w:val="22"/>
                <w:szCs w:val="22"/>
                <w:u w:val="none"/>
              </w:rPr>
            </w:r>
            <w:r/>
          </w:p>
        </w:tc>
        <w:tc>
          <w:tcPr>
            <w:tcW w:w="436"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rPr>
            </w:r>
            <w:r/>
          </w:p>
        </w:tc>
        <w:tc>
          <w:tcPr>
            <w:tcW w:w="467"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rPr>
            </w:r>
            <w:r/>
          </w:p>
        </w:tc>
        <w:tc>
          <w:tcPr>
            <w:tcW w:w="530"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rPr>
            </w:r>
            <w:r/>
          </w:p>
        </w:tc>
        <w:tc>
          <w:tcPr>
            <w:tcW w:w="457"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rPr>
            </w:r>
            <w:r/>
          </w:p>
        </w:tc>
        <w:tc>
          <w:tcPr>
            <w:tcW w:w="238"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塑料管安装(粘接) 管外径20mm</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DN15NB智能远传水表</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水表前加密阀DN15</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水表后阀门DN15</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成品复合材料单户表池（50×30×20cm）</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110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弯头、内接等</w:t>
            </w:r>
            <w:r>
              <w:rPr>
                <w:rFonts w:hint="eastAsia" w:ascii="宋体" w:hAnsi="宋体" w:eastAsia="宋体" w:cs="宋体"/>
                <w:i w:val="0"/>
                <w:iCs w:val="0"/>
                <w:color w:val="000000"/>
                <w:sz w:val="21"/>
                <w:szCs w:val="21"/>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1.施工时须满足设计图纸及规范要求；详见图纸</w:t>
            </w:r>
            <w:r>
              <w:rPr>
                <w:rFonts w:hint="eastAsia" w:ascii="宋体" w:hAnsi="宋体" w:eastAsia="宋体" w:cs="宋体"/>
                <w:i w:val="0"/>
                <w:iCs w:val="0"/>
                <w:color w:val="000000"/>
                <w:sz w:val="21"/>
                <w:szCs w:val="21"/>
                <w:u w:val="none"/>
              </w:rPr>
            </w:r>
            <w:r/>
          </w:p>
        </w:tc>
        <w:tc>
          <w:tcPr>
            <w:tcW w:w="436"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467" w:type="dxa"/>
            <w:vAlign w:val="center"/>
            <w:textDirection w:val="lrTb"/>
            <w:noWrap w:val="false"/>
          </w:tcPr>
          <w:p>
            <w:pPr>
              <w:pStyle w:val="70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530"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7" w:type="dxa"/>
            <w:vAlign w:val="center"/>
            <w:textDirection w:val="lrTb"/>
            <w:noWrap w:val="false"/>
          </w:tcPr>
          <w:p>
            <w:pPr>
              <w:pStyle w:val="7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tcW w:w="3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1102" w:type="dxa"/>
            <w:vAlign w:val="center"/>
            <w:textDirection w:val="lrTb"/>
            <w:noWrap w:val="false"/>
          </w:tcPr>
          <w:p>
            <w:pPr>
              <w:pStyle w:val="70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汇总到清单汇总表</w:t>
            </w:r>
            <w:r>
              <w:rPr>
                <w:rFonts w:hint="eastAsia" w:ascii="宋体" w:hAnsi="宋体" w:eastAsia="宋体" w:cs="宋体"/>
                <w:i w:val="0"/>
                <w:iCs w:val="0"/>
                <w:color w:val="000000"/>
                <w:sz w:val="21"/>
                <w:szCs w:val="21"/>
                <w:u w:val="none"/>
              </w:rPr>
            </w:r>
            <w:r/>
          </w:p>
        </w:tc>
        <w:tc>
          <w:tcPr>
            <w:tcW w:w="436"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67" w:type="dxa"/>
            <w:vAlign w:val="center"/>
            <w:textDirection w:val="lrTb"/>
            <w:noWrap/>
          </w:tcPr>
          <w:p>
            <w:pPr>
              <w:pStyle w:val="7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30" w:type="dxa"/>
            <w:vAlign w:val="center"/>
            <w:textDirection w:val="lrTb"/>
            <w:noWrap/>
          </w:tcPr>
          <w:p>
            <w:pPr>
              <w:pStyle w:val="70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57" w:type="dxa"/>
            <w:vAlign w:val="center"/>
            <w:textDirection w:val="lrTb"/>
            <w:noWrap/>
          </w:tcPr>
          <w:p>
            <w:pPr>
              <w:pStyle w:val="700"/>
              <w:jc w:val="center"/>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5"/>
        </w:trPr>
        <w:tc>
          <w:tcPr>
            <w:gridSpan w:val="8"/>
            <w:tcW w:w="10527" w:type="dxa"/>
            <w:vAlign w:val="center"/>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0"/>
                <w:szCs w:val="20"/>
                <w:u w:val="none"/>
                <w:lang w:val="en-US" w:eastAsia="zh-CN" w:bidi="ar"/>
              </w:rPr>
              <w:t xml:space="preserve">注：本工程量为1项工程量。结算时按实发生的量结算，土方为总价承包，其他为单价承包。</w:t>
            </w:r>
            <w:r>
              <w:rPr>
                <w:rFonts w:hint="eastAsia" w:ascii="宋体" w:hAnsi="宋体" w:eastAsia="宋体" w:cs="宋体"/>
                <w:i w:val="0"/>
                <w:iCs w:val="0"/>
                <w:color w:val="000000"/>
                <w:sz w:val="24"/>
                <w:szCs w:val="24"/>
                <w:u w:val="none"/>
              </w:rPr>
            </w:r>
            <w:r/>
          </w:p>
        </w:tc>
      </w:tr>
      <w:tr>
        <w:trPr>
          <w:trHeight w:val="300"/>
        </w:trPr>
        <w:tc>
          <w:tcPr>
            <w:tcW w:w="394"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02" w:type="dxa"/>
            <w:vAlign w:val="center"/>
            <w:textDirection w:val="lrTb"/>
            <w:noWrap/>
          </w:tcPr>
          <w:p>
            <w:pPr>
              <w:pStyle w:val="700"/>
              <w:jc w:val="left"/>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c>
          <w:tcPr>
            <w:gridSpan w:val="5"/>
            <w:tcW w:w="687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投标人：（单位盖章）</w:t>
            </w: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tcW w:w="394"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6"/>
            <w:tcW w:w="9194" w:type="dxa"/>
            <w:vAlign w:val="center"/>
            <w:textDirection w:val="lrTb"/>
            <w:noWrap/>
          </w:tcPr>
          <w:p>
            <w:pPr>
              <w:pStyle w:val="70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法定代表人（或委托代理人）：（签名）</w:t>
            </w:r>
            <w:r>
              <w:rPr>
                <w:rFonts w:hint="eastAsia" w:ascii="宋体" w:hAnsi="宋体" w:eastAsia="宋体" w:cs="宋体"/>
                <w:i w:val="0"/>
                <w:iCs w:val="0"/>
                <w:color w:val="000000"/>
                <w:sz w:val="22"/>
                <w:szCs w:val="22"/>
                <w:u w:val="non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tcW w:w="394"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02" w:type="dxa"/>
            <w:vAlign w:val="center"/>
            <w:textDirection w:val="lrTb"/>
            <w:noWrap/>
          </w:tcPr>
          <w:p>
            <w:pPr>
              <w:pStyle w:val="700"/>
              <w:jc w:val="left"/>
              <w:rPr>
                <w:rFonts w:ascii="Times New Roman" w:hAnsi="Times New Roman" w:eastAsia="宋体" w:cs="Times New Roman"/>
                <w:i w:val="0"/>
                <w:iCs w:val="0"/>
                <w:color w:val="000000"/>
                <w:sz w:val="22"/>
                <w:szCs w:val="22"/>
                <w:u w:val="none"/>
              </w:rPr>
            </w:pPr>
            <w:r>
              <w:rPr>
                <w:rFonts w:ascii="Times New Roman" w:hAnsi="Times New Roman" w:eastAsia="宋体" w:cs="Times New Roman"/>
                <w:i w:val="0"/>
                <w:iCs w:val="0"/>
                <w:color w:val="000000"/>
                <w:sz w:val="22"/>
                <w:szCs w:val="22"/>
                <w:u w:val="none"/>
              </w:rPr>
            </w:r>
            <w:r/>
          </w:p>
        </w:tc>
        <w:tc>
          <w:tcPr>
            <w:gridSpan w:val="5"/>
            <w:tcW w:w="6874"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22"/>
                <w:szCs w:val="22"/>
                <w:u w:val="single"/>
              </w:rPr>
              <w:suppressLineNumbers w:val="0"/>
            </w:pPr>
            <w:r>
              <w:rPr>
                <w:rFonts w:ascii="Times New Roman" w:hAnsi="Times New Roman" w:eastAsia="宋体" w:cs="Times New Roman"/>
                <w:i w:val="0"/>
                <w:iCs w:val="0"/>
                <w:color w:val="000000"/>
                <w:sz w:val="22"/>
                <w:szCs w:val="22"/>
                <w:u w:val="single"/>
                <w:lang w:val="en-US" w:eastAsia="zh-CN" w:bidi="ar"/>
              </w:rPr>
              <w:t xml:space="preserve">          </w:t>
            </w:r>
            <w:r>
              <w:rPr>
                <w:rFonts w:hint="eastAsia" w:ascii="宋体" w:hAnsi="宋体" w:eastAsia="宋体" w:cs="宋体"/>
                <w:i w:val="0"/>
                <w:iCs w:val="0"/>
                <w:color w:val="000000"/>
                <w:sz w:val="22"/>
                <w:szCs w:val="22"/>
                <w:u w:val="single"/>
                <w:lang w:val="en-US" w:eastAsia="zh-CN" w:bidi="ar"/>
              </w:rPr>
              <w:t xml:space="preserve">年</w:t>
            </w:r>
            <w:r>
              <w:rPr>
                <w:rFonts w:ascii="Times New Roman" w:hAnsi="Times New Roman" w:eastAsia="宋体" w:cs="Times New Roman"/>
                <w:i w:val="0"/>
                <w:iCs w:val="0"/>
                <w:color w:val="000000"/>
                <w:sz w:val="22"/>
                <w:szCs w:val="22"/>
                <w:u w:val="single"/>
                <w:lang w:val="en-US" w:eastAsia="zh-CN" w:bidi="ar"/>
              </w:rPr>
              <w:t xml:space="preserve">       </w:t>
            </w:r>
            <w:r>
              <w:rPr>
                <w:rFonts w:hint="eastAsia" w:ascii="宋体" w:hAnsi="宋体" w:eastAsia="宋体" w:cs="宋体"/>
                <w:i w:val="0"/>
                <w:iCs w:val="0"/>
                <w:color w:val="000000"/>
                <w:sz w:val="22"/>
                <w:szCs w:val="22"/>
                <w:u w:val="single"/>
                <w:lang w:val="en-US" w:eastAsia="zh-CN" w:bidi="ar"/>
              </w:rPr>
              <w:t xml:space="preserve">月</w:t>
            </w:r>
            <w:r>
              <w:rPr>
                <w:rFonts w:ascii="Times New Roman" w:hAnsi="Times New Roman" w:eastAsia="宋体" w:cs="Times New Roman"/>
                <w:i w:val="0"/>
                <w:iCs w:val="0"/>
                <w:color w:val="000000"/>
                <w:sz w:val="22"/>
                <w:szCs w:val="22"/>
                <w:u w:val="single"/>
                <w:lang w:val="en-US" w:eastAsia="zh-CN" w:bidi="ar"/>
              </w:rPr>
              <w:t xml:space="preserve">      </w:t>
            </w:r>
            <w:r>
              <w:rPr>
                <w:rFonts w:hint="eastAsia" w:ascii="宋体" w:hAnsi="宋体" w:eastAsia="宋体" w:cs="宋体"/>
                <w:i w:val="0"/>
                <w:iCs w:val="0"/>
                <w:color w:val="000000"/>
                <w:sz w:val="22"/>
                <w:szCs w:val="22"/>
                <w:u w:val="single"/>
                <w:lang w:val="en-US" w:eastAsia="zh-CN" w:bidi="ar"/>
              </w:rPr>
              <w:t xml:space="preserve">日</w:t>
            </w:r>
            <w:r>
              <w:rPr>
                <w:rFonts w:ascii="Times New Roman" w:hAnsi="Times New Roman" w:eastAsia="宋体" w:cs="Times New Roman"/>
                <w:i w:val="0"/>
                <w:iCs w:val="0"/>
                <w:color w:val="000000"/>
                <w:sz w:val="22"/>
                <w:szCs w:val="22"/>
                <w:u w:val="single"/>
              </w:rPr>
            </w:r>
            <w:r/>
          </w:p>
        </w:tc>
        <w:tc>
          <w:tcPr>
            <w:tcW w:w="238" w:type="dxa"/>
            <w:vAlign w:val="bottom"/>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00"/>
        <w:rPr>
          <w:rFonts w:hint="eastAsia" w:ascii="Arial" w:hAnsi="Arial" w:eastAsia="宋体" w:cs="Arial"/>
          <w:i/>
          <w:iCs/>
          <w:sz w:val="36"/>
          <w:u w:val="single"/>
        </w:rPr>
      </w:pPr>
      <w:r>
        <w:rPr>
          <w:rFonts w:hint="eastAsia" w:ascii="Arial" w:hAnsi="Arial" w:eastAsia="宋体" w:cs="Arial"/>
          <w:i/>
          <w:iCs/>
          <w:sz w:val="36"/>
          <w:u w:val="single"/>
        </w:rPr>
        <w:br w:type="page" w:clear="all"/>
      </w:r>
      <w:r>
        <w:rPr>
          <w:rFonts w:hint="eastAsia" w:ascii="Arial" w:hAnsi="Arial" w:eastAsia="宋体" w:cs="Arial"/>
          <w:i/>
          <w:iCs/>
          <w:sz w:val="36"/>
          <w:u w:val="single"/>
        </w:rPr>
      </w:r>
      <w:r/>
    </w:p>
    <w:tbl>
      <w:tblPr>
        <w:tblW w:w="566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4"/>
        <w:gridCol w:w="2551"/>
        <w:gridCol w:w="2912"/>
        <w:gridCol w:w="539"/>
        <w:gridCol w:w="539"/>
        <w:gridCol w:w="1211"/>
        <w:gridCol w:w="1007"/>
        <w:gridCol w:w="809"/>
      </w:tblGrid>
      <w:tr>
        <w:trPr>
          <w:trHeight w:val="460"/>
        </w:trPr>
        <w:tc>
          <w:tcPr>
            <w:gridSpan w:val="8"/>
            <w:tcW w:w="10682" w:type="dxa"/>
            <w:vAlign w:val="center"/>
            <w:textDirection w:val="lrTb"/>
            <w:noWrap/>
          </w:tcPr>
          <w:p>
            <w:pPr>
              <w:pStyle w:val="700"/>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分项工程量清单</w:t>
            </w:r>
            <w:r>
              <w:rPr>
                <w:rFonts w:hint="eastAsia" w:ascii="宋体" w:hAnsi="宋体" w:eastAsia="宋体" w:cs="宋体"/>
                <w:b/>
                <w:bCs/>
                <w:i w:val="0"/>
                <w:iCs w:val="0"/>
                <w:color w:val="000000"/>
                <w:sz w:val="36"/>
                <w:szCs w:val="36"/>
                <w:u w:val="none"/>
              </w:rPr>
            </w:r>
            <w:r/>
          </w:p>
        </w:tc>
      </w:tr>
      <w:tr>
        <w:trPr>
          <w:trHeight w:val="300"/>
        </w:trPr>
        <w:tc>
          <w:tcPr>
            <w:gridSpan w:val="8"/>
            <w:tcW w:w="10682" w:type="dxa"/>
            <w:vAlign w:val="center"/>
            <w:textDirection w:val="lrTb"/>
            <w:noWrap/>
          </w:tcPr>
          <w:p>
            <w:pPr>
              <w:pStyle w:val="700"/>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0"/>
                <w:szCs w:val="20"/>
                <w:u w:val="none"/>
                <w:lang w:val="en-US" w:eastAsia="zh-CN" w:bidi="ar"/>
              </w:rPr>
              <w:t xml:space="preserve">编号：</w:t>
            </w:r>
            <w:r>
              <w:rPr>
                <w:rFonts w:ascii="Times New Roman" w:hAnsi="Times New Roman" w:eastAsia="宋体" w:cs="Times New Roman"/>
                <w:i w:val="0"/>
                <w:iCs w:val="0"/>
                <w:color w:val="000000"/>
                <w:sz w:val="20"/>
                <w:szCs w:val="20"/>
                <w:u w:val="none"/>
                <w:lang w:val="en-US" w:eastAsia="zh-CN" w:bidi="ar"/>
              </w:rPr>
              <w:t xml:space="preserve"> 7                          </w:t>
            </w:r>
            <w:r>
              <w:rPr>
                <w:rFonts w:hint="eastAsia" w:ascii="宋体" w:hAnsi="宋体" w:eastAsia="宋体" w:cs="宋体"/>
                <w:i w:val="0"/>
                <w:iCs w:val="0"/>
                <w:color w:val="000000"/>
                <w:sz w:val="20"/>
                <w:szCs w:val="20"/>
                <w:u w:val="none"/>
                <w:lang w:val="en-US" w:eastAsia="zh-CN" w:bidi="ar"/>
              </w:rPr>
              <w:t xml:space="preserve">分项名称：</w:t>
            </w:r>
            <w:r>
              <w:rPr>
                <w:rFonts w:hint="eastAsia" w:ascii="宋体" w:hAnsi="宋体" w:eastAsia="宋体" w:cs="宋体"/>
                <w:i w:val="0"/>
                <w:iCs w:val="0"/>
                <w:color w:val="000000"/>
                <w:sz w:val="20"/>
                <w:szCs w:val="20"/>
                <w:u w:val="single"/>
                <w:lang w:val="en-US" w:eastAsia="zh-CN" w:bidi="ar"/>
              </w:rPr>
              <w:t xml:space="preserve">机电及金属结构设备</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singl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项</w:t>
            </w:r>
            <w:r>
              <w:rPr>
                <w:rFonts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4"/>
                <w:szCs w:val="24"/>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19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363"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tcW w:w="252"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252"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rPr>
                <w:rFonts w:hint="eastAsia" w:ascii="宋体" w:hAnsi="宋体" w:eastAsia="宋体" w:cs="宋体"/>
                <w:i w:val="0"/>
                <w:iCs w:val="0"/>
                <w:color w:val="000000"/>
                <w:sz w:val="18"/>
                <w:szCs w:val="18"/>
                <w:u w:val="none"/>
              </w:rPr>
            </w:r>
            <w:r/>
          </w:p>
        </w:tc>
        <w:tc>
          <w:tcPr>
            <w:tcW w:w="566"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47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rPr>
            </w:r>
            <w:r/>
          </w:p>
        </w:tc>
        <w:tc>
          <w:tcPr>
            <w:tcW w:w="378"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176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集成水泵机组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（恒压供水机组,Q=26,H=35,P=5.5kW）购置安装</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1.购置、安装、调试、预埋件及等所有工作内容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2.施工时须满足设计图纸及规范要求、其他参数详见设计单位图纸</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2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（管道、弯管、底阀、蝶阀、电磁阀、法兰等部件）购置安装</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1.购置、安装、调试、预埋件及等所有工作内容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2.施工时须满足设计图纸及规范要求、其他参数详见设计单位图纸</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8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（实现用电及用水量的计量）</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1.购置、安装、调试、预埋件及等所有工作内容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2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动力配电箱AP</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防水灯（带蓄电池）</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开户等相关费</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1.施工时须满足相关部门开户要求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 NH-YJV-5*10</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0.02</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 NH-YJV-4*4+PE4</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km</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0.03</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避雷接地 制作及安装</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接地装置 制作及安装</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7-11</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灭火器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（3kg手提二氧化碳）</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1.购置、安装、预埋件及等所有工作内容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7-12</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其它零星设备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(含户外手孔电缆井，开关柜基础，开关，插座，电缆穿线PE管、线槽、接线盒，其他安装辅件等)</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7-13</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不锈钢水箱</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（4×6×2.5m）</w:t>
            </w: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1.施工时须满足设计图纸及规范要求；</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rPr>
            </w:r>
            <w:r/>
          </w:p>
        </w:tc>
        <w:tc>
          <w:tcPr>
            <w:tcW w:w="252"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566"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val="false"/>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740"/>
        </w:trPr>
        <w:tc>
          <w:tcPr>
            <w:tcW w:w="521"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rPr>
            </w:r>
            <w:r/>
          </w:p>
        </w:tc>
        <w:tc>
          <w:tcPr>
            <w:tcW w:w="1193" w:type="dxa"/>
            <w:vAlign w:val="center"/>
            <w:textDirection w:val="lrTb"/>
            <w:noWrap w:val="false"/>
          </w:tcPr>
          <w:p>
            <w:pPr>
              <w:pStyle w:val="70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363" w:type="dxa"/>
            <w:vAlign w:val="center"/>
            <w:textDirection w:val="lrTb"/>
            <w:noWrap w:val="false"/>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汇总到清单汇总表</w:t>
            </w:r>
            <w:r>
              <w:rPr>
                <w:rFonts w:hint="eastAsia" w:ascii="宋体" w:hAnsi="宋体" w:eastAsia="宋体" w:cs="宋体"/>
                <w:i w:val="0"/>
                <w:iCs w:val="0"/>
                <w:color w:val="000000"/>
                <w:sz w:val="18"/>
                <w:szCs w:val="18"/>
                <w:u w:val="none"/>
              </w:rPr>
            </w:r>
            <w:r/>
          </w:p>
        </w:tc>
        <w:tc>
          <w:tcPr>
            <w:tcW w:w="252"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52" w:type="dxa"/>
            <w:vAlign w:val="center"/>
            <w:textDirection w:val="lrTb"/>
            <w:noWrap/>
          </w:tcPr>
          <w:p>
            <w:pPr>
              <w:pStyle w:val="70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566" w:type="dxa"/>
            <w:vAlign w:val="center"/>
            <w:textDirection w:val="lrTb"/>
            <w:noWrap/>
          </w:tcPr>
          <w:p>
            <w:pPr>
              <w:pStyle w:val="700"/>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71" w:type="dxa"/>
            <w:vAlign w:val="center"/>
            <w:textDirection w:val="lrTb"/>
            <w:noWrap/>
          </w:tcPr>
          <w:p>
            <w:pPr>
              <w:pStyle w:val="700"/>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gridSpan w:val="8"/>
            <w:tcW w:w="10682" w:type="dxa"/>
            <w:vAlign w:val="center"/>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注：本工程量为1项工程量。结算时按实发生的量结算。</w:t>
            </w:r>
            <w:r>
              <w:rPr>
                <w:rFonts w:hint="eastAsia" w:ascii="宋体" w:hAnsi="宋体" w:eastAsia="宋体" w:cs="宋体"/>
                <w:i w:val="0"/>
                <w:iCs w:val="0"/>
                <w:color w:val="000000"/>
                <w:sz w:val="18"/>
                <w:szCs w:val="18"/>
                <w:u w:val="none"/>
              </w:rPr>
            </w:r>
            <w:r/>
          </w:p>
        </w:tc>
      </w:tr>
      <w:tr>
        <w:trPr>
          <w:trHeight w:val="525"/>
        </w:trPr>
        <w:tc>
          <w:tcPr>
            <w:tcW w:w="521"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93"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208"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投标人：（单位盖章）</w:t>
            </w: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521"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6"/>
            <w:tcW w:w="8759" w:type="dxa"/>
            <w:vAlign w:val="center"/>
            <w:textDirection w:val="lrTb"/>
            <w:noWrap/>
          </w:tcPr>
          <w:p>
            <w:pPr>
              <w:pStyle w:val="70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法定代表人（或委托代理人）：（签名）</w:t>
            </w:r>
            <w:r>
              <w:rPr>
                <w:rFonts w:hint="eastAsia" w:ascii="宋体" w:hAnsi="宋体" w:eastAsia="宋体" w:cs="宋体"/>
                <w:i w:val="0"/>
                <w:iCs w:val="0"/>
                <w:color w:val="000000"/>
                <w:sz w:val="18"/>
                <w:szCs w:val="18"/>
                <w:u w:val="non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00"/>
        </w:trPr>
        <w:tc>
          <w:tcPr>
            <w:tcW w:w="521"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93" w:type="dxa"/>
            <w:vAlign w:val="center"/>
            <w:textDirection w:val="lrTb"/>
            <w:noWrap/>
          </w:tcPr>
          <w:p>
            <w:pPr>
              <w:pStyle w:val="700"/>
              <w:jc w:val="left"/>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gridSpan w:val="5"/>
            <w:tcW w:w="6208" w:type="dxa"/>
            <w:vAlign w:val="center"/>
            <w:textDirection w:val="lrTb"/>
            <w:noWrap/>
          </w:tcPr>
          <w:p>
            <w:pPr>
              <w:pStyle w:val="700"/>
              <w:jc w:val="center"/>
              <w:keepLines w:val="0"/>
              <w:keepNext w:val="0"/>
              <w:widowControl/>
              <w:rPr>
                <w:rFonts w:ascii="Times New Roman" w:hAnsi="Times New Roman" w:eastAsia="宋体" w:cs="Times New Roman"/>
                <w:i w:val="0"/>
                <w:iCs w:val="0"/>
                <w:color w:val="000000"/>
                <w:sz w:val="18"/>
                <w:szCs w:val="18"/>
                <w:u w:val="single"/>
              </w:rPr>
              <w:suppressLineNumbers w:val="0"/>
            </w:pP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年</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月</w:t>
            </w:r>
            <w:r>
              <w:rPr>
                <w:rFonts w:ascii="Times New Roman" w:hAnsi="Times New Roman" w:eastAsia="宋体" w:cs="Times New Roman"/>
                <w:i w:val="0"/>
                <w:iCs w:val="0"/>
                <w:color w:val="000000"/>
                <w:sz w:val="18"/>
                <w:szCs w:val="18"/>
                <w:u w:val="single"/>
                <w:lang w:val="en-US" w:eastAsia="zh-CN" w:bidi="ar"/>
              </w:rPr>
              <w:t xml:space="preserve">      </w:t>
            </w:r>
            <w:r>
              <w:rPr>
                <w:rFonts w:hint="eastAsia" w:ascii="宋体" w:hAnsi="宋体" w:eastAsia="宋体" w:cs="宋体"/>
                <w:i w:val="0"/>
                <w:iCs w:val="0"/>
                <w:color w:val="000000"/>
                <w:sz w:val="18"/>
                <w:szCs w:val="18"/>
                <w:u w:val="single"/>
                <w:lang w:val="en-US" w:eastAsia="zh-CN" w:bidi="ar"/>
              </w:rPr>
              <w:t xml:space="preserve">日</w:t>
            </w:r>
            <w:r>
              <w:rPr>
                <w:rFonts w:ascii="Times New Roman" w:hAnsi="Times New Roman" w:eastAsia="宋体" w:cs="Times New Roman"/>
                <w:i w:val="0"/>
                <w:iCs w:val="0"/>
                <w:color w:val="000000"/>
                <w:sz w:val="18"/>
                <w:szCs w:val="18"/>
                <w:u w:val="single"/>
              </w:rPr>
            </w:r>
            <w:r/>
          </w:p>
        </w:tc>
        <w:tc>
          <w:tcPr>
            <w:tcW w:w="378" w:type="dxa"/>
            <w:vAlign w:val="bottom"/>
            <w:textDirection w:val="lrTb"/>
            <w:noWrap/>
          </w:tcPr>
          <w:p>
            <w:pPr>
              <w:pStyle w:val="70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00"/>
        <w:rPr>
          <w:color w:val="ff0000"/>
        </w:rPr>
      </w:pPr>
      <w:r>
        <w:rPr>
          <w:color w:val="ff0000"/>
        </w:rPr>
      </w:r>
      <w:r/>
    </w:p>
    <w:p>
      <w:pPr>
        <w:pStyle w:val="700"/>
        <w:rPr>
          <w:color w:val="ff0000"/>
        </w:rPr>
      </w:pPr>
      <w:r>
        <w:rPr>
          <w:color w:val="ff0000"/>
        </w:rPr>
      </w:r>
      <w:r/>
    </w:p>
    <w:p>
      <w:pPr>
        <w:pStyle w:val="700"/>
        <w:jc w:val="both"/>
        <w:spacing w:line="360" w:lineRule="auto"/>
        <w:rPr>
          <w:rFonts w:ascii="宋体" w:hAnsi="宋体" w:eastAsia="宋体" w:cs="Times New Roman"/>
          <w:szCs w:val="24"/>
        </w:rPr>
      </w:pPr>
      <w:r>
        <w:rPr>
          <w:rFonts w:ascii="宋体" w:hAnsi="宋体" w:eastAsia="宋体" w:cs="Times New Roman"/>
          <w:szCs w:val="24"/>
        </w:rPr>
      </w:r>
      <w:r/>
    </w:p>
    <w:p>
      <w:pPr>
        <w:pStyle w:val="700"/>
        <w:rPr>
          <w:rFonts w:ascii="Arial" w:hAnsi="Arial" w:eastAsia="宋体" w:cs="Arial"/>
          <w:i/>
          <w:iCs/>
          <w:sz w:val="36"/>
          <w:u w:val="single"/>
        </w:rPr>
      </w:pPr>
      <w:r>
        <w:rPr>
          <w:rFonts w:ascii="Arial" w:hAnsi="Arial" w:eastAsia="宋体" w:cs="Arial"/>
          <w:i/>
          <w:iCs/>
          <w:sz w:val="36"/>
          <w:u w:val="single"/>
        </w:rPr>
      </w:r>
      <w:r/>
    </w:p>
    <w:p>
      <w:pPr>
        <w:pStyle w:val="700"/>
        <w:rPr>
          <w:rFonts w:ascii="Arial" w:hAnsi="Arial" w:eastAsia="宋体" w:cs="Arial"/>
          <w:i/>
          <w:iCs/>
          <w:sz w:val="36"/>
          <w:u w:val="single"/>
        </w:rPr>
      </w:pPr>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eastAsia="宋体" w:cs="Arial"/>
          <w:i/>
          <w:iCs/>
          <w:sz w:val="36"/>
          <w:u w:val="single"/>
        </w:rPr>
        <w:t xml:space="preserve">、技术要求响应及偏离表</w:t>
      </w:r>
      <w:r>
        <w:rPr>
          <w:rFonts w:ascii="Arial" w:hAnsi="Arial" w:eastAsia="宋体" w:cs="Arial"/>
          <w:i/>
          <w:iCs/>
          <w:sz w:val="36"/>
          <w:u w:val="single"/>
        </w:rPr>
      </w:r>
      <w:r/>
    </w:p>
    <w:p>
      <w:pPr>
        <w:pStyle w:val="70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0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00"/>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00"/>
      </w:pPr>
      <w:r/>
      <w:r/>
    </w:p>
    <w:p>
      <w:pPr>
        <w:pStyle w:val="700"/>
      </w:pPr>
      <w:r/>
      <w:r/>
    </w:p>
    <w:p>
      <w:pPr>
        <w:pStyle w:val="700"/>
        <w:rPr>
          <w:rFonts w:ascii="Arial" w:hAnsi="Arial" w:eastAsia="宋体" w:cs="Arial"/>
          <w:i/>
          <w:iCs/>
          <w:sz w:val="36"/>
          <w:u w:val="single"/>
        </w:rPr>
      </w:pPr>
      <w:r/>
      <w:bookmarkStart w:id="667" w:name="_Hlt26955054"/>
      <w:r/>
      <w:bookmarkEnd w:id="667"/>
      <w:r>
        <w:rPr>
          <w:rFonts w:hint="eastAsia" w:ascii="Arial" w:hAnsi="Arial" w:eastAsia="宋体" w:cs="Arial"/>
          <w:i/>
          <w:iCs/>
          <w:sz w:val="36"/>
          <w:u w:val="single"/>
        </w:rPr>
        <w:br w:type="page" w:clear="all"/>
      </w:r>
      <w:r>
        <w:rPr>
          <w:rFonts w:ascii="Arial" w:hAnsi="Arial" w:eastAsia="宋体" w:cs="Arial"/>
          <w:i/>
          <w:iCs/>
          <w:sz w:val="36"/>
          <w:u w:val="single"/>
        </w:rPr>
      </w:r>
      <w:r/>
    </w:p>
    <w:p>
      <w:pPr>
        <w:pStyle w:val="70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eastAsia="宋体" w:cs="Arial"/>
          <w:i/>
          <w:iCs/>
          <w:sz w:val="36"/>
          <w:u w:val="single"/>
        </w:rPr>
        <w:t xml:space="preserve">、商务要求响应及偏离表</w:t>
      </w:r>
      <w:r>
        <w:rPr>
          <w:rFonts w:ascii="Arial" w:hAnsi="Arial" w:eastAsia="宋体" w:cs="Arial"/>
          <w:i/>
          <w:iCs/>
          <w:sz w:val="36"/>
          <w:u w:val="single"/>
        </w:rPr>
      </w:r>
      <w:r/>
    </w:p>
    <w:p>
      <w:pPr>
        <w:pStyle w:val="70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00"/>
              <w:jc w:val="center"/>
              <w:rPr>
                <w:rFonts w:ascii="宋体" w:hAnsi="宋体" w:eastAsia="宋体" w:cs="Times New Roman"/>
                <w:color w:val="000000"/>
                <w:sz w:val="24"/>
                <w:szCs w:val="24"/>
              </w:rPr>
            </w:pPr>
            <w:r/>
            <w:bookmarkStart w:id="668" w:name="_Hlt26671372"/>
            <w:r/>
            <w:bookmarkEnd w:id="668"/>
            <w:r/>
            <w:bookmarkStart w:id="669" w:name="_Hlt26955064"/>
            <w:r/>
            <w:bookmarkEnd w:id="669"/>
            <w:r/>
            <w:bookmarkStart w:id="670" w:name="_Hlt26580838"/>
            <w:r/>
            <w:bookmarkEnd w:id="670"/>
            <w:r/>
            <w:bookmarkStart w:id="671" w:name="_Hlt26955056"/>
            <w:r/>
            <w:bookmarkEnd w:id="671"/>
            <w:r/>
            <w:bookmarkStart w:id="672" w:name="_Hlt26609391"/>
            <w:r/>
            <w:bookmarkEnd w:id="672"/>
            <w:r/>
            <w:bookmarkStart w:id="673" w:name="_Hlt26671343"/>
            <w:r/>
            <w:bookmarkEnd w:id="673"/>
            <w:r/>
            <w:bookmarkStart w:id="674" w:name="_Hlt24879081"/>
            <w:r/>
            <w:bookmarkEnd w:id="674"/>
            <w:r/>
            <w:bookmarkStart w:id="675" w:name="_Hlt26782999"/>
            <w:r/>
            <w:bookmarkEnd w:id="675"/>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00"/>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00"/>
      </w:pPr>
      <w:r/>
      <w:bookmarkStart w:id="676" w:name="_Hlt26955066"/>
      <w:r/>
      <w:bookmarkEnd w:id="676"/>
      <w:r/>
      <w:bookmarkStart w:id="677" w:name="_Hlt26609389"/>
      <w:r/>
      <w:bookmarkEnd w:id="677"/>
      <w:r/>
      <w:bookmarkStart w:id="678" w:name="_格式2__法定代表人授权书"/>
      <w:r/>
      <w:bookmarkEnd w:id="678"/>
      <w:r/>
      <w:bookmarkStart w:id="679" w:name="_Hlt26671374"/>
      <w:r/>
      <w:bookmarkEnd w:id="679"/>
      <w:r/>
      <w:r/>
    </w:p>
    <w:p>
      <w:pPr>
        <w:pStyle w:val="700"/>
        <w:rPr>
          <w:rFonts w:ascii="Arial" w:hAnsi="Arial" w:eastAsia="宋体" w:cs="Arial"/>
          <w:iCs/>
          <w:sz w:val="36"/>
        </w:rPr>
      </w:pPr>
      <w:r>
        <w:rPr>
          <w:rFonts w:hint="eastAsia" w:ascii="Arial" w:hAnsi="Arial" w:eastAsia="宋体" w:cs="Arial"/>
          <w:iCs/>
          <w:sz w:val="36"/>
        </w:rPr>
        <w:br w:type="page" w:clear="all"/>
      </w:r>
      <w:r>
        <w:rPr>
          <w:rFonts w:ascii="Arial" w:hAnsi="Arial" w:eastAsia="宋体" w:cs="Arial"/>
          <w:iCs/>
          <w:sz w:val="36"/>
        </w:rPr>
      </w:r>
      <w:r/>
    </w:p>
    <w:p>
      <w:pPr>
        <w:pStyle w:val="700"/>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cs="Arial"/>
          <w:iCs/>
          <w:sz w:val="36"/>
          <w:lang w:val="en-US" w:eastAsia="zh-CN"/>
        </w:rPr>
        <w:t xml:space="preserve">八</w:t>
      </w:r>
      <w:r>
        <w:rPr>
          <w:rFonts w:hint="eastAsia" w:ascii="Arial" w:hAnsi="Arial" w:eastAsia="宋体" w:cs="Arial"/>
          <w:iCs/>
          <w:sz w:val="36"/>
        </w:rPr>
        <w:t xml:space="preserve">、类似项目业绩一览表</w:t>
      </w:r>
      <w:r>
        <w:rPr>
          <w:rFonts w:ascii="Arial" w:hAnsi="Arial" w:eastAsia="宋体" w:cs="Arial"/>
          <w:iCs/>
          <w:sz w:val="36"/>
        </w:rPr>
      </w:r>
      <w:r/>
    </w:p>
    <w:p>
      <w:pPr>
        <w:pStyle w:val="70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00"/>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00"/>
      </w:pPr>
      <w:r/>
      <w:r/>
    </w:p>
    <w:p>
      <w:pPr>
        <w:pStyle w:val="700"/>
      </w:pPr>
      <w:r/>
      <w:r/>
    </w:p>
    <w:p>
      <w:pPr>
        <w:pStyle w:val="700"/>
        <w:rPr>
          <w:rFonts w:ascii="Arial" w:hAnsi="Arial" w:eastAsia="宋体" w:cs="Arial"/>
          <w:iCs/>
          <w:sz w:val="36"/>
        </w:rPr>
      </w:pPr>
      <w:r>
        <w:rPr>
          <w:rFonts w:hint="eastAsia" w:ascii="Arial" w:hAnsi="Arial" w:eastAsia="宋体" w:cs="Arial"/>
          <w:iCs/>
          <w:sz w:val="36"/>
        </w:rPr>
        <w:br w:type="page" w:clear="all"/>
      </w:r>
      <w:r>
        <w:rPr>
          <w:rFonts w:ascii="Arial" w:hAnsi="Arial" w:eastAsia="宋体" w:cs="Arial"/>
          <w:iCs/>
          <w:sz w:val="36"/>
        </w:rPr>
      </w:r>
      <w:r/>
    </w:p>
    <w:p>
      <w:pPr>
        <w:pStyle w:val="700"/>
        <w:jc w:val="left"/>
        <w:keepLines/>
        <w:keepNext/>
        <w:spacing w:before="360" w:after="200" w:line="360" w:lineRule="auto"/>
        <w:rPr>
          <w:rFonts w:ascii="Arial" w:hAnsi="Arial" w:eastAsia="宋体" w:cs="Arial"/>
          <w:iCs/>
          <w:sz w:val="36"/>
        </w:rPr>
        <w:outlineLvl w:val="1"/>
      </w:pPr>
      <w:r>
        <w:rPr>
          <w:rFonts w:hint="eastAsia" w:ascii="Arial" w:hAnsi="Arial" w:cs="Arial"/>
          <w:iCs/>
          <w:sz w:val="36"/>
          <w:lang w:val="en-US" w:eastAsia="zh-CN"/>
        </w:rPr>
        <w:t xml:space="preserve">十九</w:t>
      </w:r>
      <w:r>
        <w:rPr>
          <w:rFonts w:hint="eastAsia" w:ascii="Arial" w:hAnsi="Arial" w:eastAsia="宋体" w:cs="Arial"/>
          <w:iCs/>
          <w:sz w:val="36"/>
        </w:rPr>
        <w:t xml:space="preserve">、项目团队人员一览表</w:t>
      </w:r>
      <w:r>
        <w:rPr>
          <w:rFonts w:ascii="Arial" w:hAnsi="Arial" w:eastAsia="宋体" w:cs="Arial"/>
          <w:iCs/>
          <w:sz w:val="36"/>
        </w:rPr>
      </w:r>
      <w:r/>
    </w:p>
    <w:p>
      <w:pPr>
        <w:pStyle w:val="70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rPr>
                <w:rFonts w:ascii="宋体" w:hAnsi="宋体" w:eastAsia="宋体" w:cs="Times New Roman"/>
                <w:color w:val="000000"/>
                <w:sz w:val="24"/>
                <w:szCs w:val="24"/>
              </w:rPr>
            </w:r>
            <w:r/>
          </w:p>
        </w:tc>
        <w:tc>
          <w:tcPr>
            <w:tcW w:w="1601" w:type="dxa"/>
            <w:vAlign w:val="center"/>
            <w:textDirection w:val="lrTb"/>
            <w:noWrap w:val="false"/>
          </w:tcPr>
          <w:p>
            <w:pPr>
              <w:pStyle w:val="70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70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0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700"/>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700"/>
      </w:pPr>
      <w:r/>
      <w:r/>
    </w:p>
    <w:p>
      <w:pPr>
        <w:pStyle w:val="700"/>
        <w:rPr>
          <w:rFonts w:ascii="Arial" w:hAnsi="Arial" w:eastAsia="宋体" w:cs="Arial"/>
          <w:i/>
          <w:sz w:val="36"/>
          <w:u w:val="single"/>
        </w:rPr>
      </w:pPr>
      <w:r>
        <w:rPr>
          <w:rFonts w:hint="eastAsia" w:ascii="Arial" w:hAnsi="Arial" w:eastAsia="宋体" w:cs="Arial"/>
          <w:i/>
          <w:sz w:val="36"/>
          <w:u w:val="single"/>
        </w:rPr>
        <w:br w:type="page" w:clear="all"/>
      </w:r>
      <w:r>
        <w:rPr>
          <w:rFonts w:ascii="Arial" w:hAnsi="Arial" w:eastAsia="宋体" w:cs="Arial"/>
          <w:i/>
          <w:sz w:val="36"/>
          <w:u w:val="single"/>
        </w:rPr>
      </w:r>
      <w:r/>
    </w:p>
    <w:p>
      <w:pPr>
        <w:pStyle w:val="938"/>
        <w:numPr>
          <w:ilvl w:val="0"/>
          <w:numId w:val="0"/>
        </w:numPr>
        <w:rPr>
          <w:rFonts w:ascii="黑体" w:hAnsi="黑体" w:cs="黑体"/>
          <w:color w:val="000000"/>
          <w:sz w:val="24"/>
          <w:szCs w:val="24"/>
        </w:rPr>
      </w:pPr>
      <w:r>
        <w:rPr>
          <w:rFonts w:hint="eastAsia" w:ascii="Arial" w:hAnsi="Arial" w:eastAsia="宋体" w:cs="Arial"/>
          <w:iCs/>
          <w:sz w:val="36"/>
          <w:lang w:val="en-US" w:eastAsia="zh-CN"/>
        </w:rPr>
        <w:t xml:space="preserve">二十</w:t>
      </w:r>
      <w:r>
        <w:rPr>
          <w:rFonts w:hint="eastAsia" w:ascii="黑体" w:hAnsi="黑体" w:cs="黑体"/>
          <w:color w:val="000000"/>
          <w:sz w:val="24"/>
          <w:szCs w:val="24"/>
        </w:rPr>
        <w:t xml:space="preserve">、</w:t>
      </w:r>
      <w:r>
        <w:rPr>
          <w:rFonts w:hint="eastAsia" w:ascii="Arial" w:hAnsi="Arial" w:eastAsia="宋体" w:cs="Arial"/>
          <w:b w:val="0"/>
          <w:iCs/>
          <w:sz w:val="36"/>
          <w:szCs w:val="22"/>
        </w:rPr>
        <w:t xml:space="preserve">其他材料</w:t>
      </w:r>
      <w:r>
        <w:rPr>
          <w:rFonts w:ascii="黑体" w:hAnsi="黑体" w:cs="黑体"/>
          <w:color w:val="000000"/>
          <w:sz w:val="24"/>
          <w:szCs w:val="24"/>
        </w:rPr>
      </w:r>
      <w:r/>
    </w:p>
    <w:p>
      <w:pPr>
        <w:pStyle w:val="700"/>
        <w:ind w:firstLine="720"/>
        <w:jc w:val="center"/>
        <w:rPr>
          <w:rFonts w:ascii="黑体" w:hAnsi="黑体" w:eastAsia="黑体" w:cs="宋体"/>
          <w:bCs/>
          <w:sz w:val="36"/>
          <w:szCs w:val="28"/>
        </w:rPr>
      </w:pPr>
      <w:r>
        <w:rPr>
          <w:rFonts w:hint="eastAsia" w:ascii="黑体" w:hAnsi="黑体" w:eastAsia="黑体" w:cs="宋体"/>
          <w:bCs/>
          <w:sz w:val="36"/>
          <w:szCs w:val="28"/>
        </w:rPr>
        <w:t xml:space="preserve">其它材料</w:t>
      </w:r>
      <w:r>
        <w:rPr>
          <w:rFonts w:ascii="黑体" w:hAnsi="黑体" w:eastAsia="黑体" w:cs="宋体"/>
          <w:bCs/>
          <w:sz w:val="36"/>
          <w:szCs w:val="28"/>
        </w:rPr>
      </w:r>
      <w:r/>
    </w:p>
    <w:p>
      <w:pPr>
        <w:pStyle w:val="700"/>
        <w:ind w:firstLine="480"/>
        <w:jc w:val="center"/>
        <w:spacing w:line="520" w:lineRule="exact"/>
        <w:rPr>
          <w:rFonts w:ascii="宋体" w:hAnsi="宋体"/>
          <w:color w:val="000000"/>
          <w:sz w:val="24"/>
        </w:rPr>
      </w:pPr>
      <w:r>
        <w:rPr>
          <w:rFonts w:hint="eastAsia" w:ascii="宋体" w:hAnsi="宋体"/>
          <w:color w:val="000000"/>
          <w:sz w:val="24"/>
        </w:rPr>
        <w:t xml:space="preserve">（供应商对招标文件响应有必要提供的材料或评标办法中要求提供的材料）</w:t>
      </w:r>
      <w:r>
        <w:rPr>
          <w:rFonts w:ascii="宋体" w:hAnsi="宋体"/>
          <w:color w:val="000000"/>
          <w:sz w:val="24"/>
        </w:rPr>
      </w:r>
      <w:r/>
    </w:p>
    <w:p>
      <w:pPr>
        <w:pStyle w:val="700"/>
        <w:rPr>
          <w:rFonts w:ascii="黑体" w:hAnsi="黑体" w:eastAsia="黑体" w:cs="仿宋"/>
          <w:bCs/>
          <w:color w:val="000000"/>
          <w:sz w:val="40"/>
          <w:szCs w:val="32"/>
        </w:rPr>
      </w:pPr>
      <w:r>
        <w:rPr>
          <w:rFonts w:ascii="黑体" w:hAnsi="黑体" w:eastAsia="黑体" w:cs="仿宋"/>
          <w:bCs/>
          <w:color w:val="000000"/>
          <w:sz w:val="40"/>
          <w:szCs w:val="32"/>
        </w:rPr>
      </w:r>
      <w:r/>
    </w:p>
    <w:p>
      <w:pPr>
        <w:pStyle w:val="700"/>
        <w:rPr>
          <w:rFonts w:ascii="黑体" w:hAnsi="黑体" w:eastAsia="黑体" w:cs="仿宋"/>
          <w:bCs/>
          <w:color w:val="000000"/>
          <w:sz w:val="40"/>
          <w:szCs w:val="32"/>
        </w:rPr>
      </w:pPr>
      <w:r>
        <w:rPr>
          <w:rFonts w:hint="eastAsia"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700"/>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00"/>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rPr>
          <w:rFonts w:ascii="宋体" w:hAnsi="宋体" w:eastAsia="宋体" w:cs="仿宋"/>
          <w:bCs/>
          <w:color w:val="000000"/>
          <w:sz w:val="24"/>
          <w:szCs w:val="24"/>
        </w:rPr>
      </w:r>
      <w:r/>
    </w:p>
    <w:p>
      <w:pPr>
        <w:pStyle w:val="70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招标人名称：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700"/>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70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00"/>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0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70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700"/>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700"/>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700"/>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700"/>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700"/>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700"/>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700"/>
        <w:ind w:firstLine="480"/>
        <w:jc w:val="left"/>
        <w:spacing w:line="500" w:lineRule="exact"/>
        <w:widowControl/>
        <w:rPr>
          <w:sz w:val="24"/>
          <w:szCs w:val="24"/>
        </w:rPr>
      </w:pPr>
      <w:r>
        <w:rPr>
          <w:rFonts w:hint="eastAsia" w:ascii="宋体" w:hAnsi="宋体"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szCs w:val="24"/>
        </w:rPr>
      </w:r>
      <w:r/>
    </w:p>
    <w:sectPr>
      <w:footerReference w:type="default" r:id="rId10"/>
      <w:footnotePr/>
      <w:endnotePr/>
      <w:type w:val="nextPage"/>
      <w:pgSz w:w="11906" w:h="16838" w:orient="portrait"/>
      <w:pgMar w:top="1440" w:right="1576" w:bottom="1440" w:left="112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tabs>
        <w:tab w:val="center" w:pos="4153" w:leader="none"/>
        <w:tab w:val="right" w:pos="8306" w:leader="none"/>
      </w:tabs>
    </w:pPr>
    <w:r/>
    <w:r/>
  </w:p>
  <w:p>
    <w:pPr>
      <w:pStyle w:val="7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73</w:t>
    </w:r>
    <w:r>
      <w:rPr>
        <w:lang w:val="zh-CN"/>
      </w:rPr>
      <w:fldChar w:fldCharType="end"/>
    </w:r>
    <w:r/>
  </w:p>
  <w:p>
    <w:pPr>
      <w:pStyle w:val="7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0"/>
        <w:tabs>
          <w:tab w:val="num" w:pos="312" w:leader="none"/>
        </w:tabs>
      </w:pPr>
    </w:lvl>
    <w:lvl w:ilvl="1">
      <w:start w:val="1"/>
      <w:numFmt w:val="bullet"/>
      <w:isLgl w:val="false"/>
      <w:suff w:val="tab"/>
      <w:lvlText w:val="o"/>
      <w:lvlJc w:val="left"/>
      <w:pPr>
        <w:pStyle w:val="700"/>
        <w:ind w:left="1440" w:hanging="360"/>
      </w:pPr>
      <w:rPr>
        <w:rFonts w:ascii="Courier New" w:hAnsi="Courier New" w:eastAsia="Courier New" w:cs="Courier New"/>
      </w:rPr>
    </w:lvl>
    <w:lvl w:ilvl="2">
      <w:start w:val="1"/>
      <w:numFmt w:val="bullet"/>
      <w:isLgl w:val="false"/>
      <w:suff w:val="tab"/>
      <w:lvlText w:val="§"/>
      <w:lvlJc w:val="left"/>
      <w:pPr>
        <w:pStyle w:val="700"/>
        <w:ind w:left="2160" w:hanging="360"/>
      </w:pPr>
      <w:rPr>
        <w:rFonts w:ascii="Wingdings" w:hAnsi="Wingdings" w:eastAsia="Wingdings" w:cs="Wingdings"/>
      </w:rPr>
    </w:lvl>
    <w:lvl w:ilvl="3">
      <w:start w:val="1"/>
      <w:numFmt w:val="bullet"/>
      <w:isLgl w:val="false"/>
      <w:suff w:val="tab"/>
      <w:lvlText w:val="·"/>
      <w:lvlJc w:val="left"/>
      <w:pPr>
        <w:pStyle w:val="700"/>
        <w:ind w:left="2880" w:hanging="360"/>
      </w:pPr>
      <w:rPr>
        <w:rFonts w:ascii="Symbol" w:hAnsi="Symbol" w:eastAsia="Symbol" w:cs="Symbol"/>
      </w:rPr>
    </w:lvl>
    <w:lvl w:ilvl="4">
      <w:start w:val="1"/>
      <w:numFmt w:val="bullet"/>
      <w:isLgl w:val="false"/>
      <w:suff w:val="tab"/>
      <w:lvlText w:val="o"/>
      <w:lvlJc w:val="left"/>
      <w:pPr>
        <w:pStyle w:val="700"/>
        <w:ind w:left="3600" w:hanging="360"/>
      </w:pPr>
      <w:rPr>
        <w:rFonts w:ascii="Courier New" w:hAnsi="Courier New" w:eastAsia="Courier New" w:cs="Courier New"/>
      </w:rPr>
    </w:lvl>
    <w:lvl w:ilvl="5">
      <w:start w:val="1"/>
      <w:numFmt w:val="bullet"/>
      <w:isLgl w:val="false"/>
      <w:suff w:val="tab"/>
      <w:lvlText w:val="§"/>
      <w:lvlJc w:val="left"/>
      <w:pPr>
        <w:pStyle w:val="700"/>
        <w:ind w:left="4320" w:hanging="360"/>
      </w:pPr>
      <w:rPr>
        <w:rFonts w:ascii="Wingdings" w:hAnsi="Wingdings" w:eastAsia="Wingdings" w:cs="Wingdings"/>
      </w:rPr>
    </w:lvl>
    <w:lvl w:ilvl="6">
      <w:start w:val="1"/>
      <w:numFmt w:val="bullet"/>
      <w:isLgl w:val="false"/>
      <w:suff w:val="tab"/>
      <w:lvlText w:val="·"/>
      <w:lvlJc w:val="left"/>
      <w:pPr>
        <w:pStyle w:val="700"/>
        <w:ind w:left="5040" w:hanging="360"/>
      </w:pPr>
      <w:rPr>
        <w:rFonts w:ascii="Symbol" w:hAnsi="Symbol" w:eastAsia="Symbol" w:cs="Symbol"/>
      </w:rPr>
    </w:lvl>
    <w:lvl w:ilvl="7">
      <w:start w:val="1"/>
      <w:numFmt w:val="bullet"/>
      <w:isLgl w:val="false"/>
      <w:suff w:val="tab"/>
      <w:lvlText w:val="o"/>
      <w:lvlJc w:val="left"/>
      <w:pPr>
        <w:pStyle w:val="700"/>
        <w:ind w:left="5760" w:hanging="360"/>
      </w:pPr>
      <w:rPr>
        <w:rFonts w:ascii="Courier New" w:hAnsi="Courier New" w:eastAsia="Courier New" w:cs="Courier New"/>
      </w:rPr>
    </w:lvl>
    <w:lvl w:ilvl="8">
      <w:start w:val="1"/>
      <w:numFmt w:val="bullet"/>
      <w:isLgl w:val="false"/>
      <w:suff w:val="tab"/>
      <w:lvlText w:val="§"/>
      <w:lvlJc w:val="left"/>
      <w:pPr>
        <w:pStyle w:val="700"/>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00"/>
      </w:pPr>
      <w:rPr>
        <w:rFonts w:hint="eastAsia"/>
      </w:rPr>
    </w:lvl>
    <w:lvl w:ilvl="1">
      <w:start w:val="1"/>
      <w:numFmt w:val="bullet"/>
      <w:pStyle w:val="938"/>
      <w:isLgl w:val="false"/>
      <w:suff w:val="tab"/>
      <w:lvlText w:val="o"/>
      <w:lvlJc w:val="left"/>
      <w:pPr>
        <w:pStyle w:val="700"/>
        <w:ind w:left="1440" w:hanging="360"/>
      </w:pPr>
      <w:rPr>
        <w:rFonts w:ascii="Courier New" w:hAnsi="Courier New" w:eastAsia="Courier New" w:cs="Courier New"/>
      </w:rPr>
    </w:lvl>
    <w:lvl w:ilvl="2">
      <w:start w:val="1"/>
      <w:numFmt w:val="bullet"/>
      <w:isLgl w:val="false"/>
      <w:suff w:val="tab"/>
      <w:lvlText w:val="§"/>
      <w:lvlJc w:val="left"/>
      <w:pPr>
        <w:pStyle w:val="700"/>
        <w:ind w:left="2160" w:hanging="360"/>
      </w:pPr>
      <w:rPr>
        <w:rFonts w:ascii="Wingdings" w:hAnsi="Wingdings" w:eastAsia="Wingdings" w:cs="Wingdings"/>
      </w:rPr>
    </w:lvl>
    <w:lvl w:ilvl="3">
      <w:start w:val="1"/>
      <w:numFmt w:val="bullet"/>
      <w:isLgl w:val="false"/>
      <w:suff w:val="tab"/>
      <w:lvlText w:val="·"/>
      <w:lvlJc w:val="left"/>
      <w:pPr>
        <w:pStyle w:val="700"/>
        <w:ind w:left="2880" w:hanging="360"/>
      </w:pPr>
      <w:rPr>
        <w:rFonts w:ascii="Symbol" w:hAnsi="Symbol" w:eastAsia="Symbol" w:cs="Symbol"/>
      </w:rPr>
    </w:lvl>
    <w:lvl w:ilvl="4">
      <w:start w:val="1"/>
      <w:numFmt w:val="bullet"/>
      <w:isLgl w:val="false"/>
      <w:suff w:val="tab"/>
      <w:lvlText w:val="o"/>
      <w:lvlJc w:val="left"/>
      <w:pPr>
        <w:pStyle w:val="700"/>
        <w:ind w:left="3600" w:hanging="360"/>
      </w:pPr>
      <w:rPr>
        <w:rFonts w:ascii="Courier New" w:hAnsi="Courier New" w:eastAsia="Courier New" w:cs="Courier New"/>
      </w:rPr>
    </w:lvl>
    <w:lvl w:ilvl="5">
      <w:start w:val="1"/>
      <w:numFmt w:val="bullet"/>
      <w:isLgl w:val="false"/>
      <w:suff w:val="tab"/>
      <w:lvlText w:val="§"/>
      <w:lvlJc w:val="left"/>
      <w:pPr>
        <w:pStyle w:val="700"/>
        <w:ind w:left="4320" w:hanging="360"/>
      </w:pPr>
      <w:rPr>
        <w:rFonts w:ascii="Wingdings" w:hAnsi="Wingdings" w:eastAsia="Wingdings" w:cs="Wingdings"/>
      </w:rPr>
    </w:lvl>
    <w:lvl w:ilvl="6">
      <w:start w:val="1"/>
      <w:numFmt w:val="bullet"/>
      <w:isLgl w:val="false"/>
      <w:suff w:val="tab"/>
      <w:lvlText w:val="·"/>
      <w:lvlJc w:val="left"/>
      <w:pPr>
        <w:pStyle w:val="700"/>
        <w:ind w:left="5040" w:hanging="360"/>
      </w:pPr>
      <w:rPr>
        <w:rFonts w:ascii="Symbol" w:hAnsi="Symbol" w:eastAsia="Symbol" w:cs="Symbol"/>
      </w:rPr>
    </w:lvl>
    <w:lvl w:ilvl="7">
      <w:start w:val="1"/>
      <w:numFmt w:val="bullet"/>
      <w:isLgl w:val="false"/>
      <w:suff w:val="tab"/>
      <w:lvlText w:val="o"/>
      <w:lvlJc w:val="left"/>
      <w:pPr>
        <w:pStyle w:val="700"/>
        <w:ind w:left="5760" w:hanging="360"/>
      </w:pPr>
      <w:rPr>
        <w:rFonts w:ascii="Courier New" w:hAnsi="Courier New" w:eastAsia="Courier New" w:cs="Courier New"/>
      </w:rPr>
    </w:lvl>
    <w:lvl w:ilvl="8">
      <w:start w:val="1"/>
      <w:numFmt w:val="bullet"/>
      <w:isLgl w:val="false"/>
      <w:suff w:val="tab"/>
      <w:lvlText w:val="§"/>
      <w:lvlJc w:val="left"/>
      <w:pPr>
        <w:pStyle w:val="700"/>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700"/>
    <w:next w:val="700"/>
    <w:link w:val="789"/>
    <w:uiPriority w:val="9"/>
    <w:qFormat/>
    <w:pPr>
      <w:keepLines/>
      <w:keepNext/>
      <w:spacing w:before="480" w:after="200"/>
      <w:outlineLvl w:val="0"/>
    </w:pPr>
    <w:rPr>
      <w:rFonts w:ascii="Arial" w:hAnsi="Arial" w:eastAsia="Arial" w:cs="Arial"/>
      <w:sz w:val="40"/>
      <w:szCs w:val="40"/>
    </w:rPr>
  </w:style>
  <w:style w:type="paragraph" w:styleId="671">
    <w:name w:val="Heading 2"/>
    <w:basedOn w:val="700"/>
    <w:next w:val="700"/>
    <w:link w:val="790"/>
    <w:uiPriority w:val="9"/>
    <w:unhideWhenUsed/>
    <w:qFormat/>
    <w:pPr>
      <w:keepLines/>
      <w:keepNext/>
      <w:spacing w:before="360" w:after="200"/>
      <w:outlineLvl w:val="1"/>
    </w:pPr>
    <w:rPr>
      <w:rFonts w:ascii="Arial" w:hAnsi="Arial" w:eastAsia="Arial" w:cs="Arial"/>
      <w:sz w:val="34"/>
    </w:rPr>
  </w:style>
  <w:style w:type="paragraph" w:styleId="672">
    <w:name w:val="Heading 3"/>
    <w:basedOn w:val="700"/>
    <w:next w:val="700"/>
    <w:link w:val="791"/>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700"/>
    <w:next w:val="700"/>
    <w:link w:val="776"/>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700"/>
    <w:next w:val="700"/>
    <w:link w:val="777"/>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700"/>
    <w:next w:val="700"/>
    <w:link w:val="778"/>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700"/>
    <w:next w:val="700"/>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700"/>
    <w:next w:val="700"/>
    <w:link w:val="780"/>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700"/>
    <w:next w:val="700"/>
    <w:link w:val="781"/>
    <w:uiPriority w:val="9"/>
    <w:unhideWhenUsed/>
    <w:qFormat/>
    <w:pPr>
      <w:keepLines/>
      <w:keepNext/>
      <w:spacing w:before="320" w:after="200"/>
      <w:outlineLvl w:val="8"/>
    </w:pPr>
    <w:rPr>
      <w:rFonts w:ascii="Arial" w:hAnsi="Arial" w:eastAsia="Arial" w:cs="Arial"/>
      <w:i/>
      <w:iCs/>
      <w:sz w:val="21"/>
      <w:szCs w:val="21"/>
    </w:rPr>
  </w:style>
  <w:style w:type="paragraph" w:styleId="679">
    <w:name w:val="Title"/>
    <w:basedOn w:val="700"/>
    <w:next w:val="700"/>
    <w:link w:val="782"/>
    <w:uiPriority w:val="10"/>
    <w:qFormat/>
    <w:pPr>
      <w:contextualSpacing/>
      <w:spacing w:before="300" w:after="200"/>
    </w:pPr>
    <w:rPr>
      <w:sz w:val="48"/>
      <w:szCs w:val="48"/>
    </w:rPr>
  </w:style>
  <w:style w:type="paragraph" w:styleId="680">
    <w:name w:val="Subtitle"/>
    <w:basedOn w:val="700"/>
    <w:next w:val="700"/>
    <w:link w:val="783"/>
    <w:uiPriority w:val="11"/>
    <w:qFormat/>
    <w:pPr>
      <w:spacing w:before="200" w:after="200"/>
    </w:pPr>
    <w:rPr>
      <w:sz w:val="24"/>
      <w:szCs w:val="24"/>
    </w:rPr>
  </w:style>
  <w:style w:type="paragraph" w:styleId="681">
    <w:name w:val="Header"/>
    <w:basedOn w:val="700"/>
    <w:link w:val="797"/>
    <w:uiPriority w:val="99"/>
    <w:unhideWhenUsed/>
    <w:pPr>
      <w:spacing w:after="0" w:line="240" w:lineRule="auto"/>
      <w:tabs>
        <w:tab w:val="center" w:pos="7143" w:leader="none"/>
        <w:tab w:val="right" w:pos="14287" w:leader="none"/>
      </w:tabs>
    </w:pPr>
  </w:style>
  <w:style w:type="paragraph" w:styleId="682">
    <w:name w:val="Footer"/>
    <w:basedOn w:val="700"/>
    <w:link w:val="799"/>
    <w:uiPriority w:val="99"/>
    <w:unhideWhenUsed/>
    <w:pPr>
      <w:spacing w:after="0" w:line="240" w:lineRule="auto"/>
      <w:tabs>
        <w:tab w:val="center" w:pos="7143" w:leader="none"/>
        <w:tab w:val="right" w:pos="14287" w:leader="none"/>
      </w:tabs>
    </w:pPr>
  </w:style>
  <w:style w:type="paragraph" w:styleId="683">
    <w:name w:val="Caption"/>
    <w:basedOn w:val="700"/>
    <w:next w:val="700"/>
    <w:uiPriority w:val="35"/>
    <w:semiHidden/>
    <w:unhideWhenUsed/>
    <w:qFormat/>
    <w:pPr>
      <w:spacing w:line="276" w:lineRule="auto"/>
    </w:pPr>
    <w:rPr>
      <w:b/>
      <w:bCs/>
      <w:color w:val="4f81bd" w:themeColor="accent1"/>
      <w:sz w:val="18"/>
      <w:szCs w:val="18"/>
    </w:rPr>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Hyperlink"/>
    <w:uiPriority w:val="99"/>
    <w:unhideWhenUsed/>
    <w:rPr>
      <w:color w:val="0000ff" w:themeColor="hyperlink"/>
      <w:u w:val="single"/>
    </w:rPr>
  </w:style>
  <w:style w:type="paragraph" w:styleId="686">
    <w:name w:val="footnote text"/>
    <w:basedOn w:val="700"/>
    <w:link w:val="786"/>
    <w:uiPriority w:val="99"/>
    <w:semiHidden/>
    <w:unhideWhenUsed/>
    <w:pPr>
      <w:spacing w:after="40" w:line="240" w:lineRule="auto"/>
    </w:pPr>
    <w:rPr>
      <w:sz w:val="18"/>
    </w:rPr>
  </w:style>
  <w:style w:type="character" w:styleId="687">
    <w:name w:val="footnote reference"/>
    <w:uiPriority w:val="99"/>
    <w:unhideWhenUsed/>
    <w:rPr>
      <w:vertAlign w:val="superscript"/>
    </w:rPr>
  </w:style>
  <w:style w:type="paragraph" w:styleId="688">
    <w:name w:val="endnote text"/>
    <w:basedOn w:val="700"/>
    <w:link w:val="787"/>
    <w:uiPriority w:val="99"/>
    <w:semiHidden/>
    <w:unhideWhenUsed/>
    <w:pPr>
      <w:spacing w:after="0" w:line="240" w:lineRule="auto"/>
    </w:pPr>
    <w:rPr>
      <w:sz w:val="20"/>
    </w:rPr>
  </w:style>
  <w:style w:type="character" w:styleId="689">
    <w:name w:val="endnote reference"/>
    <w:uiPriority w:val="99"/>
    <w:semiHidden/>
    <w:unhideWhenUsed/>
    <w:rPr>
      <w:vertAlign w:val="superscript"/>
    </w:rPr>
  </w:style>
  <w:style w:type="paragraph" w:styleId="690">
    <w:name w:val="toc 1"/>
    <w:basedOn w:val="700"/>
    <w:next w:val="700"/>
    <w:uiPriority w:val="39"/>
    <w:unhideWhenUsed/>
    <w:pPr>
      <w:ind w:left="0" w:right="0" w:firstLine="0"/>
      <w:spacing w:after="57"/>
    </w:pPr>
  </w:style>
  <w:style w:type="paragraph" w:styleId="691">
    <w:name w:val="toc 2"/>
    <w:basedOn w:val="700"/>
    <w:next w:val="700"/>
    <w:uiPriority w:val="39"/>
    <w:unhideWhenUsed/>
    <w:pPr>
      <w:ind w:left="283" w:right="0" w:firstLine="0"/>
      <w:spacing w:after="57"/>
    </w:pPr>
  </w:style>
  <w:style w:type="paragraph" w:styleId="692">
    <w:name w:val="toc 3"/>
    <w:basedOn w:val="700"/>
    <w:next w:val="700"/>
    <w:uiPriority w:val="39"/>
    <w:unhideWhenUsed/>
    <w:pPr>
      <w:ind w:left="567" w:right="0" w:firstLine="0"/>
      <w:spacing w:after="57"/>
    </w:pPr>
  </w:style>
  <w:style w:type="paragraph" w:styleId="693">
    <w:name w:val="toc 4"/>
    <w:basedOn w:val="700"/>
    <w:next w:val="700"/>
    <w:uiPriority w:val="39"/>
    <w:unhideWhenUsed/>
    <w:pPr>
      <w:ind w:left="850" w:right="0" w:firstLine="0"/>
      <w:spacing w:after="57"/>
    </w:pPr>
  </w:style>
  <w:style w:type="paragraph" w:styleId="694">
    <w:name w:val="toc 5"/>
    <w:basedOn w:val="700"/>
    <w:next w:val="700"/>
    <w:uiPriority w:val="39"/>
    <w:unhideWhenUsed/>
    <w:pPr>
      <w:ind w:left="1134" w:right="0" w:firstLine="0"/>
      <w:spacing w:after="57"/>
    </w:pPr>
  </w:style>
  <w:style w:type="paragraph" w:styleId="695">
    <w:name w:val="toc 6"/>
    <w:basedOn w:val="700"/>
    <w:next w:val="700"/>
    <w:uiPriority w:val="39"/>
    <w:unhideWhenUsed/>
    <w:pPr>
      <w:ind w:left="1417" w:right="0" w:firstLine="0"/>
      <w:spacing w:after="57"/>
    </w:pPr>
  </w:style>
  <w:style w:type="paragraph" w:styleId="696">
    <w:name w:val="toc 7"/>
    <w:basedOn w:val="700"/>
    <w:next w:val="700"/>
    <w:uiPriority w:val="39"/>
    <w:unhideWhenUsed/>
    <w:pPr>
      <w:ind w:left="1701" w:right="0" w:firstLine="0"/>
      <w:spacing w:after="57"/>
    </w:pPr>
  </w:style>
  <w:style w:type="paragraph" w:styleId="697">
    <w:name w:val="toc 8"/>
    <w:basedOn w:val="700"/>
    <w:next w:val="700"/>
    <w:uiPriority w:val="39"/>
    <w:unhideWhenUsed/>
    <w:pPr>
      <w:ind w:left="1984" w:right="0" w:firstLine="0"/>
      <w:spacing w:after="57"/>
    </w:pPr>
  </w:style>
  <w:style w:type="paragraph" w:styleId="698">
    <w:name w:val="toc 9"/>
    <w:basedOn w:val="700"/>
    <w:next w:val="700"/>
    <w:uiPriority w:val="39"/>
    <w:unhideWhenUsed/>
    <w:pPr>
      <w:ind w:left="2268" w:right="0" w:firstLine="0"/>
      <w:spacing w:after="57"/>
    </w:pPr>
  </w:style>
  <w:style w:type="paragraph" w:styleId="699">
    <w:name w:val="table of figures"/>
    <w:basedOn w:val="700"/>
    <w:next w:val="700"/>
    <w:uiPriority w:val="99"/>
    <w:unhideWhenUsed/>
    <w:pPr>
      <w:spacing w:after="0" w:afterAutospacing="0"/>
    </w:pPr>
  </w:style>
  <w:style w:type="paragraph" w:styleId="700" w:default="1">
    <w:name w:val="Normal"/>
    <w:next w:val="712"/>
    <w:link w:val="700"/>
    <w:qFormat/>
    <w:pPr>
      <w:jc w:val="both"/>
      <w:widowControl w:val="off"/>
    </w:pPr>
    <w:rPr>
      <w:rFonts w:ascii="Calibri" w:hAnsi="Calibri" w:eastAsia="宋体" w:cs="Times New Roman"/>
      <w:sz w:val="21"/>
      <w:szCs w:val="22"/>
      <w:lang w:val="en-US" w:eastAsia="zh-CN" w:bidi="ar-SA"/>
    </w:rPr>
  </w:style>
  <w:style w:type="paragraph" w:styleId="701">
    <w:name w:val="标题 1"/>
    <w:basedOn w:val="700"/>
    <w:next w:val="700"/>
    <w:link w:val="714"/>
    <w:uiPriority w:val="9"/>
    <w:qFormat/>
    <w:pPr>
      <w:keepLines/>
      <w:keepNext/>
      <w:spacing w:before="340" w:after="330" w:line="578" w:lineRule="auto"/>
      <w:outlineLvl w:val="0"/>
    </w:pPr>
    <w:rPr>
      <w:b/>
      <w:bCs/>
      <w:sz w:val="44"/>
      <w:szCs w:val="44"/>
    </w:rPr>
  </w:style>
  <w:style w:type="paragraph" w:styleId="702">
    <w:name w:val="标题 2"/>
    <w:basedOn w:val="700"/>
    <w:next w:val="700"/>
    <w:link w:val="715"/>
    <w:uiPriority w:val="9"/>
    <w:unhideWhenUsed/>
    <w:qFormat/>
    <w:pPr>
      <w:keepLines/>
      <w:keepNext/>
      <w:spacing w:before="260" w:after="260" w:line="416" w:lineRule="auto"/>
      <w:outlineLvl w:val="1"/>
    </w:pPr>
    <w:rPr>
      <w:rFonts w:ascii="Cambria" w:hAnsi="Cambria" w:eastAsia="黑体" w:cs="Times New Roman"/>
      <w:b/>
      <w:bCs/>
      <w:sz w:val="32"/>
      <w:szCs w:val="32"/>
    </w:rPr>
  </w:style>
  <w:style w:type="paragraph" w:styleId="703">
    <w:name w:val="标题 3"/>
    <w:basedOn w:val="700"/>
    <w:next w:val="700"/>
    <w:link w:val="716"/>
    <w:uiPriority w:val="9"/>
    <w:unhideWhenUsed/>
    <w:qFormat/>
    <w:pPr>
      <w:keepLines/>
      <w:keepNext/>
      <w:spacing w:before="260" w:after="260" w:line="416" w:lineRule="auto"/>
      <w:outlineLvl w:val="2"/>
    </w:pPr>
    <w:rPr>
      <w:b/>
      <w:bCs/>
      <w:sz w:val="32"/>
      <w:szCs w:val="32"/>
    </w:rPr>
  </w:style>
  <w:style w:type="paragraph" w:styleId="704">
    <w:name w:val="标题 4"/>
    <w:basedOn w:val="700"/>
    <w:next w:val="700"/>
    <w:link w:val="717"/>
    <w:uiPriority w:val="9"/>
    <w:unhideWhenUsed/>
    <w:qFormat/>
    <w:pPr>
      <w:keepLines/>
      <w:keepNext/>
      <w:spacing w:before="320" w:after="200"/>
      <w:outlineLvl w:val="3"/>
    </w:pPr>
    <w:rPr>
      <w:rFonts w:ascii="Arial" w:hAnsi="Arial" w:eastAsia="Arial" w:cs="Arial"/>
      <w:b/>
      <w:bCs/>
      <w:sz w:val="26"/>
      <w:szCs w:val="26"/>
    </w:rPr>
  </w:style>
  <w:style w:type="paragraph" w:styleId="705">
    <w:name w:val="标题 5"/>
    <w:basedOn w:val="700"/>
    <w:next w:val="700"/>
    <w:link w:val="718"/>
    <w:uiPriority w:val="9"/>
    <w:unhideWhenUsed/>
    <w:qFormat/>
    <w:pPr>
      <w:keepLines/>
      <w:keepNext/>
      <w:spacing w:before="320" w:after="200"/>
      <w:outlineLvl w:val="4"/>
    </w:pPr>
    <w:rPr>
      <w:rFonts w:ascii="Arial" w:hAnsi="Arial" w:eastAsia="Arial" w:cs="Arial"/>
      <w:b/>
      <w:bCs/>
      <w:sz w:val="24"/>
      <w:szCs w:val="24"/>
    </w:rPr>
  </w:style>
  <w:style w:type="paragraph" w:styleId="706">
    <w:name w:val="标题 6"/>
    <w:basedOn w:val="700"/>
    <w:next w:val="700"/>
    <w:link w:val="719"/>
    <w:uiPriority w:val="9"/>
    <w:unhideWhenUsed/>
    <w:qFormat/>
    <w:pPr>
      <w:keepLines/>
      <w:keepNext/>
      <w:spacing w:before="320" w:after="200"/>
      <w:outlineLvl w:val="5"/>
    </w:pPr>
    <w:rPr>
      <w:rFonts w:ascii="Arial" w:hAnsi="Arial" w:eastAsia="Arial" w:cs="Arial"/>
      <w:b/>
      <w:bCs/>
      <w:sz w:val="22"/>
    </w:rPr>
  </w:style>
  <w:style w:type="paragraph" w:styleId="707">
    <w:name w:val="标题 7"/>
    <w:basedOn w:val="700"/>
    <w:next w:val="700"/>
    <w:link w:val="720"/>
    <w:uiPriority w:val="9"/>
    <w:unhideWhenUsed/>
    <w:qFormat/>
    <w:pPr>
      <w:keepLines/>
      <w:keepNext/>
      <w:spacing w:before="320" w:after="200"/>
      <w:outlineLvl w:val="6"/>
    </w:pPr>
    <w:rPr>
      <w:rFonts w:ascii="Arial" w:hAnsi="Arial" w:eastAsia="Arial" w:cs="Arial"/>
      <w:b/>
      <w:bCs/>
      <w:i/>
      <w:iCs/>
      <w:sz w:val="22"/>
    </w:rPr>
  </w:style>
  <w:style w:type="paragraph" w:styleId="708">
    <w:name w:val="标题 8"/>
    <w:basedOn w:val="700"/>
    <w:next w:val="700"/>
    <w:link w:val="721"/>
    <w:uiPriority w:val="9"/>
    <w:unhideWhenUsed/>
    <w:qFormat/>
    <w:pPr>
      <w:keepLines/>
      <w:keepNext/>
      <w:spacing w:before="320" w:after="200"/>
      <w:outlineLvl w:val="7"/>
    </w:pPr>
    <w:rPr>
      <w:rFonts w:ascii="Arial" w:hAnsi="Arial" w:eastAsia="Arial" w:cs="Arial"/>
      <w:i/>
      <w:iCs/>
      <w:sz w:val="22"/>
    </w:rPr>
  </w:style>
  <w:style w:type="paragraph" w:styleId="709">
    <w:name w:val="标题 9"/>
    <w:basedOn w:val="700"/>
    <w:next w:val="700"/>
    <w:link w:val="722"/>
    <w:uiPriority w:val="9"/>
    <w:unhideWhenUsed/>
    <w:qFormat/>
    <w:pPr>
      <w:keepLines/>
      <w:keepNext/>
      <w:spacing w:before="320" w:after="200"/>
      <w:outlineLvl w:val="8"/>
    </w:pPr>
    <w:rPr>
      <w:rFonts w:ascii="Arial" w:hAnsi="Arial" w:eastAsia="Arial" w:cs="Arial"/>
      <w:i/>
      <w:iCs/>
      <w:szCs w:val="21"/>
    </w:rPr>
  </w:style>
  <w:style w:type="character" w:styleId="710">
    <w:name w:val="默认段落字体"/>
    <w:next w:val="710"/>
    <w:link w:val="700"/>
    <w:uiPriority w:val="1"/>
    <w:unhideWhenUsed/>
    <w:qFormat/>
  </w:style>
  <w:style w:type="table" w:styleId="711">
    <w:name w:val="普通表格"/>
    <w:next w:val="711"/>
    <w:link w:val="700"/>
    <w:uiPriority w:val="99"/>
    <w:unhideWhenUsed/>
    <w:qFormat/>
    <w:tblPr/>
  </w:style>
  <w:style w:type="paragraph" w:styleId="712">
    <w:name w:val="文档结构图"/>
    <w:basedOn w:val="700"/>
    <w:next w:val="712"/>
    <w:link w:val="713"/>
    <w:uiPriority w:val="99"/>
    <w:unhideWhenUsed/>
    <w:qFormat/>
    <w:rPr>
      <w:rFonts w:ascii="宋体" w:eastAsia="宋体"/>
      <w:sz w:val="18"/>
      <w:szCs w:val="18"/>
    </w:rPr>
  </w:style>
  <w:style w:type="character" w:styleId="713">
    <w:name w:val="文档结构图 Char"/>
    <w:basedOn w:val="710"/>
    <w:next w:val="713"/>
    <w:link w:val="712"/>
    <w:uiPriority w:val="99"/>
    <w:semiHidden/>
    <w:qFormat/>
    <w:rPr>
      <w:rFonts w:ascii="宋体" w:eastAsia="宋体"/>
      <w:sz w:val="18"/>
      <w:szCs w:val="18"/>
    </w:rPr>
  </w:style>
  <w:style w:type="character" w:styleId="714">
    <w:name w:val="标题 1 Char"/>
    <w:basedOn w:val="710"/>
    <w:next w:val="714"/>
    <w:link w:val="701"/>
    <w:uiPriority w:val="9"/>
    <w:qFormat/>
    <w:rPr>
      <w:b/>
      <w:bCs/>
      <w:sz w:val="44"/>
      <w:szCs w:val="44"/>
    </w:rPr>
  </w:style>
  <w:style w:type="character" w:styleId="715">
    <w:name w:val="标题 2 Char"/>
    <w:basedOn w:val="710"/>
    <w:next w:val="715"/>
    <w:link w:val="702"/>
    <w:uiPriority w:val="9"/>
    <w:qFormat/>
    <w:rPr>
      <w:rFonts w:ascii="Cambria" w:hAnsi="Cambria" w:eastAsia="黑体" w:cs="Times New Roman"/>
      <w:b/>
      <w:bCs/>
      <w:sz w:val="32"/>
      <w:szCs w:val="32"/>
    </w:rPr>
  </w:style>
  <w:style w:type="character" w:styleId="716">
    <w:name w:val="标题 3 Char"/>
    <w:basedOn w:val="710"/>
    <w:next w:val="716"/>
    <w:link w:val="703"/>
    <w:uiPriority w:val="9"/>
    <w:qFormat/>
    <w:rPr>
      <w:b/>
      <w:bCs/>
      <w:sz w:val="32"/>
      <w:szCs w:val="32"/>
    </w:rPr>
  </w:style>
  <w:style w:type="character" w:styleId="717">
    <w:name w:val="标题 4 Char"/>
    <w:basedOn w:val="710"/>
    <w:next w:val="717"/>
    <w:link w:val="704"/>
    <w:uiPriority w:val="9"/>
    <w:rPr>
      <w:rFonts w:ascii="Arial" w:hAnsi="Arial" w:eastAsia="Arial" w:cs="Arial"/>
      <w:b/>
      <w:bCs/>
      <w:sz w:val="26"/>
      <w:szCs w:val="26"/>
    </w:rPr>
  </w:style>
  <w:style w:type="character" w:styleId="718">
    <w:name w:val="标题 5 Char"/>
    <w:basedOn w:val="710"/>
    <w:next w:val="718"/>
    <w:link w:val="705"/>
    <w:uiPriority w:val="9"/>
    <w:qFormat/>
    <w:rPr>
      <w:rFonts w:ascii="Arial" w:hAnsi="Arial" w:eastAsia="Arial" w:cs="Arial"/>
      <w:b/>
      <w:bCs/>
      <w:sz w:val="24"/>
      <w:szCs w:val="24"/>
    </w:rPr>
  </w:style>
  <w:style w:type="character" w:styleId="719">
    <w:name w:val="标题 6 Char"/>
    <w:basedOn w:val="710"/>
    <w:next w:val="719"/>
    <w:link w:val="706"/>
    <w:uiPriority w:val="9"/>
    <w:qFormat/>
    <w:rPr>
      <w:rFonts w:ascii="Arial" w:hAnsi="Arial" w:eastAsia="Arial" w:cs="Arial"/>
      <w:b/>
      <w:bCs/>
      <w:sz w:val="22"/>
      <w:szCs w:val="22"/>
    </w:rPr>
  </w:style>
  <w:style w:type="character" w:styleId="720">
    <w:name w:val="标题 7 Char"/>
    <w:basedOn w:val="710"/>
    <w:next w:val="720"/>
    <w:link w:val="707"/>
    <w:uiPriority w:val="9"/>
    <w:qFormat/>
    <w:rPr>
      <w:rFonts w:ascii="Arial" w:hAnsi="Arial" w:eastAsia="Arial" w:cs="Arial"/>
      <w:b/>
      <w:bCs/>
      <w:i/>
      <w:iCs/>
      <w:sz w:val="22"/>
      <w:szCs w:val="22"/>
    </w:rPr>
  </w:style>
  <w:style w:type="character" w:styleId="721">
    <w:name w:val="标题 8 Char"/>
    <w:basedOn w:val="710"/>
    <w:next w:val="721"/>
    <w:link w:val="708"/>
    <w:uiPriority w:val="9"/>
    <w:rPr>
      <w:rFonts w:ascii="Arial" w:hAnsi="Arial" w:eastAsia="Arial" w:cs="Arial"/>
      <w:i/>
      <w:iCs/>
      <w:sz w:val="22"/>
      <w:szCs w:val="22"/>
    </w:rPr>
  </w:style>
  <w:style w:type="character" w:styleId="722">
    <w:name w:val="标题 9 Char"/>
    <w:basedOn w:val="710"/>
    <w:next w:val="722"/>
    <w:link w:val="709"/>
    <w:uiPriority w:val="9"/>
    <w:rPr>
      <w:rFonts w:ascii="Arial" w:hAnsi="Arial" w:eastAsia="Arial" w:cs="Arial"/>
      <w:i/>
      <w:iCs/>
      <w:sz w:val="21"/>
      <w:szCs w:val="21"/>
    </w:rPr>
  </w:style>
  <w:style w:type="paragraph" w:styleId="723">
    <w:name w:val="目录 7"/>
    <w:basedOn w:val="700"/>
    <w:next w:val="700"/>
    <w:link w:val="700"/>
    <w:uiPriority w:val="39"/>
    <w:unhideWhenUsed/>
    <w:qFormat/>
    <w:pPr>
      <w:ind w:left="1701"/>
      <w:spacing w:after="57"/>
    </w:pPr>
  </w:style>
  <w:style w:type="paragraph" w:styleId="724">
    <w:name w:val="题注"/>
    <w:basedOn w:val="700"/>
    <w:next w:val="700"/>
    <w:link w:val="700"/>
    <w:uiPriority w:val="35"/>
    <w:unhideWhenUsed/>
    <w:qFormat/>
    <w:pPr>
      <w:spacing w:line="276" w:lineRule="auto"/>
    </w:pPr>
    <w:rPr>
      <w:b/>
      <w:bCs/>
      <w:color w:val="4f81bd"/>
      <w:sz w:val="18"/>
      <w:szCs w:val="18"/>
    </w:rPr>
  </w:style>
  <w:style w:type="paragraph" w:styleId="725">
    <w:name w:val="批注文字"/>
    <w:basedOn w:val="700"/>
    <w:next w:val="725"/>
    <w:link w:val="726"/>
    <w:qFormat/>
    <w:pPr>
      <w:ind w:firstLine="922"/>
      <w:jc w:val="left"/>
      <w:spacing w:line="360" w:lineRule="auto"/>
    </w:pPr>
    <w:rPr>
      <w:rFonts w:ascii="Times New Roman" w:hAnsi="Times New Roman" w:eastAsia="宋体" w:cs="Times New Roman"/>
      <w:szCs w:val="24"/>
    </w:rPr>
  </w:style>
  <w:style w:type="character" w:styleId="726">
    <w:name w:val="批注文字 Char"/>
    <w:basedOn w:val="710"/>
    <w:next w:val="726"/>
    <w:link w:val="725"/>
    <w:qFormat/>
    <w:rPr>
      <w:rFonts w:ascii="Times New Roman" w:hAnsi="Times New Roman" w:eastAsia="宋体" w:cs="Times New Roman"/>
      <w:szCs w:val="24"/>
    </w:rPr>
  </w:style>
  <w:style w:type="paragraph" w:styleId="727">
    <w:name w:val="正文文本"/>
    <w:basedOn w:val="700"/>
    <w:next w:val="727"/>
    <w:link w:val="700"/>
    <w:uiPriority w:val="99"/>
    <w:unhideWhenUsed/>
    <w:qFormat/>
    <w:pPr>
      <w:spacing w:after="120"/>
    </w:pPr>
  </w:style>
  <w:style w:type="paragraph" w:styleId="728">
    <w:name w:val="正文文本缩进"/>
    <w:next w:val="728"/>
    <w:link w:val="700"/>
    <w:qFormat/>
    <w:pPr>
      <w:ind w:left="420"/>
      <w:jc w:val="both"/>
      <w:spacing w:after="120"/>
      <w:widowControl w:val="off"/>
    </w:pPr>
    <w:rPr>
      <w:rFonts w:ascii="Times New Roman" w:hAnsi="Times New Roman" w:eastAsia="宋体" w:cs="Times New Roman"/>
      <w:sz w:val="22"/>
      <w:szCs w:val="22"/>
      <w:lang w:val="en-US" w:eastAsia="en-US" w:bidi="en-US"/>
    </w:rPr>
  </w:style>
  <w:style w:type="paragraph" w:styleId="729">
    <w:name w:val="目录 5"/>
    <w:basedOn w:val="700"/>
    <w:next w:val="700"/>
    <w:link w:val="700"/>
    <w:uiPriority w:val="39"/>
    <w:unhideWhenUsed/>
    <w:qFormat/>
    <w:pPr>
      <w:ind w:left="1134"/>
      <w:spacing w:after="57"/>
    </w:pPr>
  </w:style>
  <w:style w:type="paragraph" w:styleId="730">
    <w:name w:val="目录 3"/>
    <w:basedOn w:val="700"/>
    <w:next w:val="700"/>
    <w:link w:val="700"/>
    <w:uiPriority w:val="39"/>
    <w:unhideWhenUsed/>
    <w:qFormat/>
    <w:pPr>
      <w:ind w:left="567"/>
      <w:spacing w:after="57"/>
    </w:pPr>
  </w:style>
  <w:style w:type="paragraph" w:styleId="731">
    <w:name w:val="纯文本"/>
    <w:basedOn w:val="700"/>
    <w:next w:val="731"/>
    <w:link w:val="732"/>
    <w:qFormat/>
    <w:rPr>
      <w:rFonts w:ascii="宋体" w:hAnsi="Courier New" w:eastAsia="宋体" w:cs="Times New Roman"/>
      <w:szCs w:val="20"/>
    </w:rPr>
  </w:style>
  <w:style w:type="character" w:styleId="732">
    <w:name w:val="纯文本 Char"/>
    <w:basedOn w:val="710"/>
    <w:next w:val="732"/>
    <w:link w:val="731"/>
    <w:qFormat/>
    <w:rPr>
      <w:rFonts w:ascii="宋体" w:hAnsi="Courier New" w:eastAsia="宋体" w:cs="Times New Roman"/>
      <w:szCs w:val="20"/>
    </w:rPr>
  </w:style>
  <w:style w:type="paragraph" w:styleId="733">
    <w:name w:val="目录 8"/>
    <w:basedOn w:val="700"/>
    <w:next w:val="700"/>
    <w:link w:val="700"/>
    <w:uiPriority w:val="39"/>
    <w:unhideWhenUsed/>
    <w:qFormat/>
    <w:pPr>
      <w:ind w:left="1984"/>
      <w:spacing w:after="57"/>
    </w:pPr>
  </w:style>
  <w:style w:type="paragraph" w:styleId="734">
    <w:name w:val="日期"/>
    <w:basedOn w:val="700"/>
    <w:next w:val="700"/>
    <w:link w:val="735"/>
    <w:uiPriority w:val="99"/>
    <w:unhideWhenUsed/>
    <w:qFormat/>
    <w:pPr>
      <w:ind w:left="100"/>
    </w:pPr>
  </w:style>
  <w:style w:type="character" w:styleId="735">
    <w:name w:val="日期 Char"/>
    <w:basedOn w:val="710"/>
    <w:next w:val="735"/>
    <w:link w:val="734"/>
    <w:uiPriority w:val="99"/>
    <w:semiHidden/>
    <w:qFormat/>
  </w:style>
  <w:style w:type="paragraph" w:styleId="736">
    <w:name w:val="正文文本缩进 2"/>
    <w:basedOn w:val="700"/>
    <w:next w:val="736"/>
    <w:link w:val="700"/>
    <w:pPr>
      <w:ind w:firstLine="536"/>
      <w:spacing w:line="440" w:lineRule="exact"/>
    </w:pPr>
    <w:rPr>
      <w:rFonts w:ascii="宋体" w:hAnsi="宋体"/>
      <w:sz w:val="28"/>
    </w:rPr>
  </w:style>
  <w:style w:type="paragraph" w:styleId="737">
    <w:name w:val="尾注文本"/>
    <w:basedOn w:val="700"/>
    <w:next w:val="737"/>
    <w:link w:val="738"/>
    <w:uiPriority w:val="99"/>
    <w:unhideWhenUsed/>
    <w:qFormat/>
    <w:rPr>
      <w:sz w:val="20"/>
    </w:rPr>
  </w:style>
  <w:style w:type="character" w:styleId="738">
    <w:name w:val="尾注文本 Char"/>
    <w:next w:val="738"/>
    <w:link w:val="737"/>
    <w:uiPriority w:val="99"/>
    <w:qFormat/>
    <w:rPr>
      <w:sz w:val="20"/>
    </w:rPr>
  </w:style>
  <w:style w:type="paragraph" w:styleId="739">
    <w:name w:val="批注框文本"/>
    <w:basedOn w:val="700"/>
    <w:next w:val="739"/>
    <w:link w:val="740"/>
    <w:uiPriority w:val="99"/>
    <w:unhideWhenUsed/>
    <w:qFormat/>
    <w:rPr>
      <w:sz w:val="18"/>
      <w:szCs w:val="18"/>
    </w:rPr>
  </w:style>
  <w:style w:type="character" w:styleId="740">
    <w:name w:val="批注框文本 Char"/>
    <w:basedOn w:val="710"/>
    <w:next w:val="740"/>
    <w:link w:val="739"/>
    <w:uiPriority w:val="99"/>
    <w:semiHidden/>
    <w:qFormat/>
    <w:rPr>
      <w:sz w:val="18"/>
      <w:szCs w:val="18"/>
    </w:rPr>
  </w:style>
  <w:style w:type="paragraph" w:styleId="741">
    <w:name w:val="页脚"/>
    <w:basedOn w:val="700"/>
    <w:next w:val="741"/>
    <w:link w:val="742"/>
    <w:uiPriority w:val="99"/>
    <w:unhideWhenUsed/>
    <w:qFormat/>
    <w:pPr>
      <w:jc w:val="left"/>
      <w:tabs>
        <w:tab w:val="center" w:pos="4153" w:leader="none"/>
        <w:tab w:val="right" w:pos="8306" w:leader="none"/>
      </w:tabs>
    </w:pPr>
    <w:rPr>
      <w:sz w:val="18"/>
      <w:szCs w:val="18"/>
    </w:rPr>
  </w:style>
  <w:style w:type="character" w:styleId="742">
    <w:name w:val="页脚 Char"/>
    <w:basedOn w:val="710"/>
    <w:next w:val="742"/>
    <w:link w:val="741"/>
    <w:uiPriority w:val="99"/>
    <w:qFormat/>
    <w:rPr>
      <w:sz w:val="18"/>
      <w:szCs w:val="18"/>
    </w:rPr>
  </w:style>
  <w:style w:type="paragraph" w:styleId="743">
    <w:name w:val="页眉"/>
    <w:basedOn w:val="700"/>
    <w:next w:val="743"/>
    <w:link w:val="7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44">
    <w:name w:val="页眉 Char"/>
    <w:basedOn w:val="710"/>
    <w:next w:val="744"/>
    <w:link w:val="743"/>
    <w:uiPriority w:val="99"/>
    <w:qFormat/>
    <w:rPr>
      <w:sz w:val="18"/>
      <w:szCs w:val="18"/>
    </w:rPr>
  </w:style>
  <w:style w:type="paragraph" w:styleId="745">
    <w:name w:val="目录 1"/>
    <w:basedOn w:val="700"/>
    <w:next w:val="700"/>
    <w:link w:val="700"/>
    <w:uiPriority w:val="39"/>
    <w:unhideWhenUsed/>
    <w:qFormat/>
  </w:style>
  <w:style w:type="paragraph" w:styleId="746">
    <w:name w:val="目录 4"/>
    <w:basedOn w:val="700"/>
    <w:next w:val="700"/>
    <w:link w:val="700"/>
    <w:uiPriority w:val="39"/>
    <w:unhideWhenUsed/>
    <w:qFormat/>
    <w:pPr>
      <w:ind w:left="850"/>
      <w:spacing w:after="57"/>
    </w:pPr>
  </w:style>
  <w:style w:type="paragraph" w:styleId="747">
    <w:name w:val="索引标题"/>
    <w:basedOn w:val="700"/>
    <w:next w:val="748"/>
    <w:link w:val="700"/>
    <w:uiPriority w:val="99"/>
    <w:unhideWhenUsed/>
    <w:qFormat/>
    <w:pPr>
      <w:spacing w:line="500" w:lineRule="exact"/>
    </w:pPr>
    <w:rPr>
      <w:rFonts w:ascii="仿宋_GB2312" w:hAnsi="Calibri"/>
      <w:sz w:val="28"/>
    </w:rPr>
  </w:style>
  <w:style w:type="paragraph" w:styleId="748">
    <w:name w:val="索引 1"/>
    <w:basedOn w:val="700"/>
    <w:next w:val="700"/>
    <w:link w:val="700"/>
    <w:uiPriority w:val="99"/>
    <w:unhideWhenUsed/>
    <w:qFormat/>
  </w:style>
  <w:style w:type="paragraph" w:styleId="749">
    <w:name w:val="副标题"/>
    <w:basedOn w:val="700"/>
    <w:next w:val="700"/>
    <w:link w:val="750"/>
    <w:uiPriority w:val="11"/>
    <w:qFormat/>
    <w:pPr>
      <w:spacing w:before="200" w:after="200"/>
    </w:pPr>
    <w:rPr>
      <w:sz w:val="24"/>
      <w:szCs w:val="24"/>
    </w:rPr>
  </w:style>
  <w:style w:type="character" w:styleId="750">
    <w:name w:val="副标题 Char"/>
    <w:basedOn w:val="710"/>
    <w:next w:val="750"/>
    <w:link w:val="749"/>
    <w:uiPriority w:val="11"/>
    <w:qFormat/>
    <w:rPr>
      <w:sz w:val="24"/>
      <w:szCs w:val="24"/>
    </w:rPr>
  </w:style>
  <w:style w:type="paragraph" w:styleId="751">
    <w:name w:val="脚注文本"/>
    <w:basedOn w:val="700"/>
    <w:next w:val="751"/>
    <w:link w:val="752"/>
    <w:uiPriority w:val="99"/>
    <w:unhideWhenUsed/>
    <w:qFormat/>
    <w:pPr>
      <w:spacing w:after="40"/>
    </w:pPr>
    <w:rPr>
      <w:sz w:val="18"/>
    </w:rPr>
  </w:style>
  <w:style w:type="character" w:styleId="752">
    <w:name w:val="脚注文本 Char"/>
    <w:next w:val="752"/>
    <w:link w:val="751"/>
    <w:uiPriority w:val="99"/>
    <w:qFormat/>
    <w:rPr>
      <w:sz w:val="18"/>
    </w:rPr>
  </w:style>
  <w:style w:type="paragraph" w:styleId="753">
    <w:name w:val="目录 6"/>
    <w:basedOn w:val="700"/>
    <w:next w:val="700"/>
    <w:link w:val="700"/>
    <w:uiPriority w:val="39"/>
    <w:unhideWhenUsed/>
    <w:qFormat/>
    <w:pPr>
      <w:ind w:left="1417"/>
      <w:spacing w:after="57"/>
    </w:pPr>
  </w:style>
  <w:style w:type="paragraph" w:styleId="754">
    <w:name w:val="图表目录"/>
    <w:basedOn w:val="700"/>
    <w:next w:val="700"/>
    <w:link w:val="700"/>
    <w:uiPriority w:val="99"/>
    <w:unhideWhenUsed/>
    <w:qFormat/>
  </w:style>
  <w:style w:type="paragraph" w:styleId="755">
    <w:name w:val="目录 2"/>
    <w:basedOn w:val="700"/>
    <w:next w:val="700"/>
    <w:link w:val="700"/>
    <w:uiPriority w:val="39"/>
    <w:qFormat/>
    <w:pPr>
      <w:tabs>
        <w:tab w:val="right" w:pos="9060" w:leader="dot"/>
      </w:tabs>
    </w:pPr>
    <w:rPr>
      <w:rFonts w:ascii="宋体" w:hAnsi="宋体"/>
      <w:b/>
      <w:bCs/>
    </w:rPr>
  </w:style>
  <w:style w:type="paragraph" w:styleId="756">
    <w:name w:val="目录 9"/>
    <w:basedOn w:val="700"/>
    <w:next w:val="700"/>
    <w:link w:val="700"/>
    <w:uiPriority w:val="39"/>
    <w:unhideWhenUsed/>
    <w:qFormat/>
    <w:pPr>
      <w:ind w:left="2268"/>
      <w:spacing w:after="57"/>
    </w:pPr>
  </w:style>
  <w:style w:type="paragraph" w:styleId="757">
    <w:name w:val="普通(网站)"/>
    <w:basedOn w:val="700"/>
    <w:next w:val="757"/>
    <w:link w:val="700"/>
    <w:uiPriority w:val="99"/>
    <w:unhideWhenUsed/>
    <w:qFormat/>
    <w:pPr>
      <w:jc w:val="left"/>
    </w:pPr>
    <w:rPr>
      <w:rFonts w:cs="Times New Roman"/>
      <w:sz w:val="24"/>
    </w:rPr>
  </w:style>
  <w:style w:type="paragraph" w:styleId="758">
    <w:name w:val="标题"/>
    <w:basedOn w:val="700"/>
    <w:next w:val="700"/>
    <w:link w:val="759"/>
    <w:uiPriority w:val="10"/>
    <w:qFormat/>
    <w:pPr>
      <w:contextualSpacing/>
      <w:spacing w:before="300" w:after="200"/>
    </w:pPr>
    <w:rPr>
      <w:sz w:val="48"/>
      <w:szCs w:val="48"/>
    </w:rPr>
  </w:style>
  <w:style w:type="character" w:styleId="759">
    <w:name w:val="标题 Char"/>
    <w:basedOn w:val="710"/>
    <w:next w:val="759"/>
    <w:link w:val="758"/>
    <w:uiPriority w:val="10"/>
    <w:qFormat/>
    <w:rPr>
      <w:sz w:val="48"/>
      <w:szCs w:val="48"/>
    </w:rPr>
  </w:style>
  <w:style w:type="paragraph" w:styleId="760">
    <w:name w:val="正文首行缩进 2"/>
    <w:next w:val="760"/>
    <w:link w:val="700"/>
    <w:qFormat/>
    <w:pPr>
      <w:ind w:left="420" w:firstLine="420"/>
      <w:jc w:val="both"/>
      <w:spacing w:after="120" w:line="380" w:lineRule="exact"/>
      <w:widowControl w:val="off"/>
    </w:pPr>
    <w:rPr>
      <w:rFonts w:ascii="Times New Roman" w:hAnsi="Times New Roman" w:eastAsia="宋体" w:cs="Times New Roman"/>
      <w:sz w:val="21"/>
      <w:szCs w:val="24"/>
      <w:lang w:val="en-US" w:eastAsia="en-US" w:bidi="en-US"/>
    </w:rPr>
  </w:style>
  <w:style w:type="table" w:styleId="761">
    <w:name w:val="网格型"/>
    <w:basedOn w:val="711"/>
    <w:next w:val="761"/>
    <w:link w:val="700"/>
    <w:uiPriority w:val="59"/>
    <w:qFormat/>
    <w:tblPr/>
  </w:style>
  <w:style w:type="character" w:styleId="762">
    <w:name w:val="要点"/>
    <w:basedOn w:val="710"/>
    <w:next w:val="762"/>
    <w:link w:val="700"/>
    <w:uiPriority w:val="22"/>
    <w:qFormat/>
    <w:rPr>
      <w:b/>
      <w:bCs/>
    </w:rPr>
  </w:style>
  <w:style w:type="character" w:styleId="763">
    <w:name w:val="尾注引用"/>
    <w:basedOn w:val="710"/>
    <w:next w:val="763"/>
    <w:link w:val="700"/>
    <w:uiPriority w:val="99"/>
    <w:unhideWhenUsed/>
    <w:qFormat/>
    <w:rPr>
      <w:vertAlign w:val="superscript"/>
    </w:rPr>
  </w:style>
  <w:style w:type="character" w:styleId="764">
    <w:name w:val="已访问的超链接"/>
    <w:basedOn w:val="710"/>
    <w:next w:val="764"/>
    <w:link w:val="700"/>
    <w:uiPriority w:val="99"/>
    <w:unhideWhenUsed/>
    <w:qFormat/>
    <w:rPr>
      <w:color w:val="800080"/>
      <w:u w:val="none"/>
    </w:rPr>
  </w:style>
  <w:style w:type="character" w:styleId="765">
    <w:name w:val="HTML 定义"/>
    <w:basedOn w:val="710"/>
    <w:next w:val="765"/>
    <w:link w:val="700"/>
    <w:uiPriority w:val="99"/>
    <w:unhideWhenUsed/>
    <w:qFormat/>
  </w:style>
  <w:style w:type="character" w:styleId="766">
    <w:name w:val="HTML 打字机"/>
    <w:basedOn w:val="710"/>
    <w:next w:val="766"/>
    <w:link w:val="700"/>
    <w:uiPriority w:val="99"/>
    <w:unhideWhenUsed/>
    <w:qFormat/>
    <w:rPr>
      <w:rFonts w:ascii="monospace" w:hAnsi="monospace" w:eastAsia="monospace" w:cs="monospace"/>
      <w:sz w:val="20"/>
    </w:rPr>
  </w:style>
  <w:style w:type="character" w:styleId="767">
    <w:name w:val="HTML 缩写"/>
    <w:basedOn w:val="710"/>
    <w:next w:val="767"/>
    <w:link w:val="700"/>
    <w:uiPriority w:val="99"/>
    <w:unhideWhenUsed/>
    <w:qFormat/>
  </w:style>
  <w:style w:type="character" w:styleId="768">
    <w:name w:val="HTML 变量"/>
    <w:basedOn w:val="710"/>
    <w:next w:val="768"/>
    <w:link w:val="700"/>
    <w:uiPriority w:val="99"/>
    <w:unhideWhenUsed/>
    <w:qFormat/>
  </w:style>
  <w:style w:type="character" w:styleId="769">
    <w:name w:val="超链接"/>
    <w:next w:val="769"/>
    <w:link w:val="700"/>
    <w:uiPriority w:val="99"/>
    <w:qFormat/>
    <w:rPr>
      <w:color w:val="0000ff"/>
      <w:u w:val="none"/>
    </w:rPr>
  </w:style>
  <w:style w:type="character" w:styleId="770">
    <w:name w:val="HTML 代码"/>
    <w:basedOn w:val="710"/>
    <w:next w:val="770"/>
    <w:link w:val="700"/>
    <w:uiPriority w:val="99"/>
    <w:unhideWhenUsed/>
    <w:qFormat/>
    <w:rPr>
      <w:rFonts w:ascii="monospace" w:hAnsi="monospace" w:eastAsia="monospace" w:cs="monospace"/>
      <w:sz w:val="20"/>
    </w:rPr>
  </w:style>
  <w:style w:type="character" w:styleId="771">
    <w:name w:val="批注引用"/>
    <w:next w:val="771"/>
    <w:link w:val="700"/>
    <w:qFormat/>
    <w:rPr>
      <w:sz w:val="21"/>
      <w:szCs w:val="21"/>
    </w:rPr>
  </w:style>
  <w:style w:type="character" w:styleId="772">
    <w:name w:val="HTML 引文"/>
    <w:basedOn w:val="710"/>
    <w:next w:val="772"/>
    <w:link w:val="700"/>
    <w:uiPriority w:val="99"/>
    <w:unhideWhenUsed/>
    <w:qFormat/>
  </w:style>
  <w:style w:type="character" w:styleId="773">
    <w:name w:val="脚注引用"/>
    <w:basedOn w:val="710"/>
    <w:next w:val="773"/>
    <w:link w:val="700"/>
    <w:uiPriority w:val="99"/>
    <w:unhideWhenUsed/>
    <w:qFormat/>
    <w:rPr>
      <w:vertAlign w:val="superscript"/>
    </w:rPr>
  </w:style>
  <w:style w:type="character" w:styleId="774">
    <w:name w:val="HTML 键盘"/>
    <w:basedOn w:val="710"/>
    <w:next w:val="774"/>
    <w:link w:val="700"/>
    <w:uiPriority w:val="99"/>
    <w:unhideWhenUsed/>
    <w:qFormat/>
    <w:rPr>
      <w:rFonts w:ascii="monospace" w:hAnsi="monospace" w:eastAsia="monospace" w:cs="monospace"/>
      <w:sz w:val="20"/>
    </w:rPr>
  </w:style>
  <w:style w:type="character" w:styleId="775">
    <w:name w:val="HTML 样本"/>
    <w:basedOn w:val="710"/>
    <w:next w:val="775"/>
    <w:link w:val="700"/>
    <w:uiPriority w:val="99"/>
    <w:unhideWhenUsed/>
    <w:qFormat/>
    <w:rPr>
      <w:rFonts w:ascii="monospace" w:hAnsi="monospace" w:eastAsia="monospace" w:cs="monospace"/>
    </w:rPr>
  </w:style>
  <w:style w:type="character" w:styleId="776">
    <w:name w:val="Heading 4 Char"/>
    <w:basedOn w:val="710"/>
    <w:next w:val="776"/>
    <w:link w:val="700"/>
    <w:uiPriority w:val="9"/>
    <w:qFormat/>
    <w:rPr>
      <w:rFonts w:ascii="Arial" w:hAnsi="Arial" w:eastAsia="Arial" w:cs="Arial"/>
      <w:b/>
      <w:bCs/>
      <w:sz w:val="26"/>
      <w:szCs w:val="26"/>
    </w:rPr>
  </w:style>
  <w:style w:type="character" w:styleId="777">
    <w:name w:val="Heading 5 Char"/>
    <w:basedOn w:val="710"/>
    <w:next w:val="777"/>
    <w:link w:val="700"/>
    <w:uiPriority w:val="9"/>
    <w:qFormat/>
    <w:rPr>
      <w:rFonts w:ascii="Arial" w:hAnsi="Arial" w:eastAsia="Arial" w:cs="Arial"/>
      <w:b/>
      <w:bCs/>
      <w:sz w:val="24"/>
      <w:szCs w:val="24"/>
    </w:rPr>
  </w:style>
  <w:style w:type="character" w:styleId="778">
    <w:name w:val="Heading 6 Char"/>
    <w:basedOn w:val="710"/>
    <w:next w:val="778"/>
    <w:link w:val="700"/>
    <w:uiPriority w:val="9"/>
    <w:qFormat/>
    <w:rPr>
      <w:rFonts w:ascii="Arial" w:hAnsi="Arial" w:eastAsia="Arial" w:cs="Arial"/>
      <w:b/>
      <w:bCs/>
      <w:sz w:val="22"/>
      <w:szCs w:val="22"/>
    </w:rPr>
  </w:style>
  <w:style w:type="character" w:styleId="779">
    <w:name w:val="Heading 7 Char"/>
    <w:basedOn w:val="710"/>
    <w:next w:val="779"/>
    <w:link w:val="700"/>
    <w:uiPriority w:val="9"/>
    <w:qFormat/>
    <w:rPr>
      <w:rFonts w:ascii="Arial" w:hAnsi="Arial" w:eastAsia="Arial" w:cs="Arial"/>
      <w:b/>
      <w:bCs/>
      <w:i/>
      <w:iCs/>
      <w:sz w:val="22"/>
      <w:szCs w:val="22"/>
    </w:rPr>
  </w:style>
  <w:style w:type="character" w:styleId="780">
    <w:name w:val="Heading 8 Char"/>
    <w:basedOn w:val="710"/>
    <w:next w:val="780"/>
    <w:link w:val="700"/>
    <w:uiPriority w:val="9"/>
    <w:qFormat/>
    <w:rPr>
      <w:rFonts w:ascii="Arial" w:hAnsi="Arial" w:eastAsia="Arial" w:cs="Arial"/>
      <w:i/>
      <w:iCs/>
      <w:sz w:val="22"/>
      <w:szCs w:val="22"/>
    </w:rPr>
  </w:style>
  <w:style w:type="character" w:styleId="781">
    <w:name w:val="Heading 9 Char"/>
    <w:basedOn w:val="710"/>
    <w:next w:val="781"/>
    <w:link w:val="700"/>
    <w:uiPriority w:val="9"/>
    <w:qFormat/>
    <w:rPr>
      <w:rFonts w:ascii="Arial" w:hAnsi="Arial" w:eastAsia="Arial" w:cs="Arial"/>
      <w:i/>
      <w:iCs/>
      <w:sz w:val="21"/>
      <w:szCs w:val="21"/>
    </w:rPr>
  </w:style>
  <w:style w:type="character" w:styleId="782">
    <w:name w:val="Title Char"/>
    <w:basedOn w:val="710"/>
    <w:next w:val="782"/>
    <w:link w:val="700"/>
    <w:uiPriority w:val="10"/>
    <w:qFormat/>
    <w:rPr>
      <w:sz w:val="48"/>
      <w:szCs w:val="48"/>
    </w:rPr>
  </w:style>
  <w:style w:type="character" w:styleId="783">
    <w:name w:val="Subtitle Char"/>
    <w:basedOn w:val="710"/>
    <w:next w:val="783"/>
    <w:link w:val="700"/>
    <w:uiPriority w:val="11"/>
    <w:qFormat/>
    <w:rPr>
      <w:sz w:val="24"/>
      <w:szCs w:val="24"/>
    </w:rPr>
  </w:style>
  <w:style w:type="character" w:styleId="784">
    <w:name w:val="Quote Char"/>
    <w:next w:val="784"/>
    <w:link w:val="700"/>
    <w:uiPriority w:val="29"/>
    <w:qFormat/>
    <w:rPr>
      <w:i/>
    </w:rPr>
  </w:style>
  <w:style w:type="character" w:styleId="785">
    <w:name w:val="Intense Quote Char"/>
    <w:next w:val="785"/>
    <w:link w:val="700"/>
    <w:uiPriority w:val="30"/>
    <w:qFormat/>
    <w:rPr>
      <w:i/>
    </w:rPr>
  </w:style>
  <w:style w:type="character" w:styleId="786">
    <w:name w:val="Footnote Text Char"/>
    <w:next w:val="786"/>
    <w:link w:val="700"/>
    <w:uiPriority w:val="99"/>
    <w:qFormat/>
    <w:rPr>
      <w:sz w:val="18"/>
    </w:rPr>
  </w:style>
  <w:style w:type="character" w:styleId="787">
    <w:name w:val="Endnote Text Char"/>
    <w:next w:val="787"/>
    <w:link w:val="700"/>
    <w:uiPriority w:val="99"/>
    <w:qFormat/>
    <w:rPr>
      <w:sz w:val="20"/>
    </w:rPr>
  </w:style>
  <w:style w:type="paragraph" w:styleId="788">
    <w:name w:val="TOC Heading"/>
    <w:next w:val="788"/>
    <w:link w:val="700"/>
    <w:uiPriority w:val="39"/>
    <w:unhideWhenUsed/>
    <w:qFormat/>
    <w:rPr>
      <w:rFonts w:ascii="Times New Roman" w:hAnsi="Times New Roman" w:eastAsia="宋体" w:cs="Times New Roman"/>
    </w:rPr>
  </w:style>
  <w:style w:type="character" w:styleId="789">
    <w:name w:val="Heading 1 Char"/>
    <w:basedOn w:val="710"/>
    <w:next w:val="789"/>
    <w:link w:val="700"/>
    <w:uiPriority w:val="9"/>
    <w:qFormat/>
    <w:rPr>
      <w:rFonts w:ascii="Arial" w:hAnsi="Arial" w:eastAsia="Arial" w:cs="Arial"/>
      <w:sz w:val="40"/>
      <w:szCs w:val="40"/>
    </w:rPr>
  </w:style>
  <w:style w:type="character" w:styleId="790">
    <w:name w:val="Heading 2 Char"/>
    <w:basedOn w:val="710"/>
    <w:next w:val="790"/>
    <w:link w:val="700"/>
    <w:uiPriority w:val="9"/>
    <w:qFormat/>
    <w:rPr>
      <w:rFonts w:ascii="Arial" w:hAnsi="Arial" w:eastAsia="Arial" w:cs="Arial"/>
      <w:sz w:val="34"/>
    </w:rPr>
  </w:style>
  <w:style w:type="character" w:styleId="791">
    <w:name w:val="Heading 3 Char"/>
    <w:basedOn w:val="710"/>
    <w:next w:val="791"/>
    <w:link w:val="700"/>
    <w:uiPriority w:val="9"/>
    <w:qFormat/>
    <w:rPr>
      <w:rFonts w:ascii="Arial" w:hAnsi="Arial" w:eastAsia="Arial" w:cs="Arial"/>
      <w:sz w:val="30"/>
      <w:szCs w:val="30"/>
    </w:rPr>
  </w:style>
  <w:style w:type="paragraph" w:styleId="792">
    <w:name w:val="No Spacing"/>
    <w:next w:val="792"/>
    <w:link w:val="700"/>
    <w:uiPriority w:val="1"/>
    <w:qFormat/>
    <w:rPr>
      <w:rFonts w:ascii="Times New Roman" w:hAnsi="Times New Roman" w:eastAsia="宋体" w:cs="Times New Roman"/>
      <w:lang w:val="en-US" w:eastAsia="zh-CN" w:bidi="ar-SA"/>
    </w:rPr>
  </w:style>
  <w:style w:type="paragraph" w:styleId="793">
    <w:name w:val="Quote"/>
    <w:basedOn w:val="700"/>
    <w:next w:val="700"/>
    <w:link w:val="794"/>
    <w:uiPriority w:val="29"/>
    <w:qFormat/>
    <w:pPr>
      <w:ind w:left="720" w:right="720"/>
    </w:pPr>
    <w:rPr>
      <w:i/>
    </w:rPr>
  </w:style>
  <w:style w:type="character" w:styleId="794">
    <w:name w:val="引用 Char"/>
    <w:next w:val="794"/>
    <w:link w:val="793"/>
    <w:uiPriority w:val="29"/>
    <w:qFormat/>
    <w:rPr>
      <w:i/>
    </w:rPr>
  </w:style>
  <w:style w:type="paragraph" w:styleId="795">
    <w:name w:val="Intense Quote"/>
    <w:basedOn w:val="700"/>
    <w:next w:val="700"/>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明显引用 Char"/>
    <w:next w:val="796"/>
    <w:link w:val="795"/>
    <w:uiPriority w:val="30"/>
    <w:qFormat/>
    <w:rPr>
      <w:i/>
    </w:rPr>
  </w:style>
  <w:style w:type="character" w:styleId="797">
    <w:name w:val="Header Char"/>
    <w:basedOn w:val="710"/>
    <w:next w:val="797"/>
    <w:link w:val="700"/>
    <w:uiPriority w:val="99"/>
    <w:qFormat/>
  </w:style>
  <w:style w:type="character" w:styleId="798">
    <w:name w:val="Footer Char"/>
    <w:basedOn w:val="710"/>
    <w:next w:val="798"/>
    <w:link w:val="700"/>
    <w:uiPriority w:val="99"/>
    <w:qFormat/>
  </w:style>
  <w:style w:type="character" w:styleId="799">
    <w:name w:val="Caption Char"/>
    <w:next w:val="799"/>
    <w:link w:val="700"/>
    <w:uiPriority w:val="99"/>
    <w:qFormat/>
  </w:style>
  <w:style w:type="table" w:styleId="800">
    <w:name w:val="Table Grid Light"/>
    <w:basedOn w:val="711"/>
    <w:next w:val="800"/>
    <w:link w:val="700"/>
    <w:uiPriority w:val="59"/>
    <w:qFormat/>
    <w:tblPr/>
  </w:style>
  <w:style w:type="table" w:styleId="801">
    <w:name w:val="Plain Table 1"/>
    <w:basedOn w:val="711"/>
    <w:next w:val="801"/>
    <w:link w:val="700"/>
    <w:uiPriority w:val="59"/>
    <w:qFormat/>
    <w:tblPr/>
  </w:style>
  <w:style w:type="table" w:styleId="802">
    <w:name w:val="Plain Table 2"/>
    <w:basedOn w:val="711"/>
    <w:next w:val="802"/>
    <w:link w:val="700"/>
    <w:uiPriority w:val="59"/>
    <w:qFormat/>
    <w:tblPr/>
  </w:style>
  <w:style w:type="table" w:styleId="803">
    <w:name w:val="Plain Table 3"/>
    <w:basedOn w:val="711"/>
    <w:next w:val="803"/>
    <w:link w:val="700"/>
    <w:uiPriority w:val="99"/>
    <w:qFormat/>
    <w:tblPr/>
  </w:style>
  <w:style w:type="table" w:styleId="804">
    <w:name w:val="Plain Table 4"/>
    <w:basedOn w:val="711"/>
    <w:next w:val="804"/>
    <w:link w:val="700"/>
    <w:uiPriority w:val="99"/>
    <w:qFormat/>
    <w:tblPr/>
  </w:style>
  <w:style w:type="table" w:styleId="805">
    <w:name w:val="Plain Table 5"/>
    <w:basedOn w:val="711"/>
    <w:next w:val="805"/>
    <w:link w:val="700"/>
    <w:uiPriority w:val="99"/>
    <w:qFormat/>
    <w:tblPr/>
  </w:style>
  <w:style w:type="table" w:styleId="806">
    <w:name w:val="Grid Table 1 Light"/>
    <w:basedOn w:val="711"/>
    <w:next w:val="806"/>
    <w:link w:val="700"/>
    <w:uiPriority w:val="99"/>
    <w:qFormat/>
    <w:tblPr/>
  </w:style>
  <w:style w:type="table" w:styleId="807">
    <w:name w:val="Grid Table 1 Light - Accent 1"/>
    <w:basedOn w:val="711"/>
    <w:next w:val="807"/>
    <w:link w:val="700"/>
    <w:uiPriority w:val="99"/>
    <w:qFormat/>
    <w:tblPr/>
  </w:style>
  <w:style w:type="table" w:styleId="808">
    <w:name w:val="Grid Table 1 Light - Accent 2"/>
    <w:basedOn w:val="711"/>
    <w:next w:val="808"/>
    <w:link w:val="700"/>
    <w:uiPriority w:val="99"/>
    <w:qFormat/>
    <w:tblPr/>
  </w:style>
  <w:style w:type="table" w:styleId="809">
    <w:name w:val="Grid Table 1 Light - Accent 3"/>
    <w:basedOn w:val="711"/>
    <w:next w:val="809"/>
    <w:link w:val="700"/>
    <w:uiPriority w:val="99"/>
    <w:qFormat/>
    <w:tblPr/>
  </w:style>
  <w:style w:type="table" w:styleId="810">
    <w:name w:val="Grid Table 1 Light - Accent 4"/>
    <w:basedOn w:val="711"/>
    <w:next w:val="810"/>
    <w:link w:val="700"/>
    <w:uiPriority w:val="99"/>
    <w:qFormat/>
    <w:tblPr/>
  </w:style>
  <w:style w:type="table" w:styleId="811">
    <w:name w:val="Grid Table 1 Light - Accent 5"/>
    <w:basedOn w:val="711"/>
    <w:next w:val="811"/>
    <w:link w:val="700"/>
    <w:uiPriority w:val="99"/>
    <w:qFormat/>
    <w:tblPr/>
  </w:style>
  <w:style w:type="table" w:styleId="812">
    <w:name w:val="Grid Table 1 Light - Accent 6"/>
    <w:basedOn w:val="711"/>
    <w:next w:val="812"/>
    <w:link w:val="700"/>
    <w:uiPriority w:val="99"/>
    <w:qFormat/>
    <w:tblPr/>
  </w:style>
  <w:style w:type="table" w:styleId="813">
    <w:name w:val="Grid Table 2"/>
    <w:basedOn w:val="711"/>
    <w:next w:val="813"/>
    <w:link w:val="700"/>
    <w:uiPriority w:val="99"/>
    <w:qFormat/>
    <w:tblPr/>
  </w:style>
  <w:style w:type="table" w:styleId="814">
    <w:name w:val="Grid Table 2 - Accent 1"/>
    <w:basedOn w:val="711"/>
    <w:next w:val="814"/>
    <w:link w:val="700"/>
    <w:uiPriority w:val="99"/>
    <w:qFormat/>
    <w:tblPr/>
  </w:style>
  <w:style w:type="table" w:styleId="815">
    <w:name w:val="Grid Table 2 - Accent 2"/>
    <w:basedOn w:val="711"/>
    <w:next w:val="815"/>
    <w:link w:val="700"/>
    <w:uiPriority w:val="99"/>
    <w:qFormat/>
    <w:tblPr/>
  </w:style>
  <w:style w:type="table" w:styleId="816">
    <w:name w:val="Grid Table 2 - Accent 3"/>
    <w:basedOn w:val="711"/>
    <w:next w:val="816"/>
    <w:link w:val="700"/>
    <w:uiPriority w:val="99"/>
    <w:qFormat/>
    <w:tblPr/>
  </w:style>
  <w:style w:type="table" w:styleId="817">
    <w:name w:val="Grid Table 2 - Accent 4"/>
    <w:basedOn w:val="711"/>
    <w:next w:val="817"/>
    <w:link w:val="700"/>
    <w:uiPriority w:val="99"/>
    <w:qFormat/>
    <w:tblPr/>
  </w:style>
  <w:style w:type="table" w:styleId="818">
    <w:name w:val="Grid Table 2 - Accent 5"/>
    <w:basedOn w:val="711"/>
    <w:next w:val="818"/>
    <w:link w:val="700"/>
    <w:uiPriority w:val="99"/>
    <w:qFormat/>
    <w:tblPr/>
  </w:style>
  <w:style w:type="table" w:styleId="819">
    <w:name w:val="Grid Table 2 - Accent 6"/>
    <w:basedOn w:val="711"/>
    <w:next w:val="819"/>
    <w:link w:val="700"/>
    <w:uiPriority w:val="99"/>
    <w:qFormat/>
    <w:tblPr/>
  </w:style>
  <w:style w:type="table" w:styleId="820">
    <w:name w:val="Grid Table 3"/>
    <w:basedOn w:val="711"/>
    <w:next w:val="820"/>
    <w:link w:val="700"/>
    <w:uiPriority w:val="99"/>
    <w:qFormat/>
    <w:tblPr/>
  </w:style>
  <w:style w:type="table" w:styleId="821">
    <w:name w:val="Grid Table 3 - Accent 1"/>
    <w:basedOn w:val="711"/>
    <w:next w:val="821"/>
    <w:link w:val="700"/>
    <w:uiPriority w:val="99"/>
    <w:qFormat/>
    <w:tblPr/>
  </w:style>
  <w:style w:type="table" w:styleId="822">
    <w:name w:val="Grid Table 3 - Accent 2"/>
    <w:basedOn w:val="711"/>
    <w:next w:val="822"/>
    <w:link w:val="700"/>
    <w:uiPriority w:val="99"/>
    <w:qFormat/>
    <w:tblPr/>
  </w:style>
  <w:style w:type="table" w:styleId="823">
    <w:name w:val="Grid Table 3 - Accent 3"/>
    <w:basedOn w:val="711"/>
    <w:next w:val="823"/>
    <w:link w:val="700"/>
    <w:uiPriority w:val="99"/>
    <w:qFormat/>
    <w:tblPr/>
  </w:style>
  <w:style w:type="table" w:styleId="824">
    <w:name w:val="Grid Table 3 - Accent 4"/>
    <w:basedOn w:val="711"/>
    <w:next w:val="824"/>
    <w:link w:val="700"/>
    <w:uiPriority w:val="99"/>
    <w:qFormat/>
    <w:tblPr/>
  </w:style>
  <w:style w:type="table" w:styleId="825">
    <w:name w:val="Grid Table 3 - Accent 5"/>
    <w:basedOn w:val="711"/>
    <w:next w:val="825"/>
    <w:link w:val="700"/>
    <w:uiPriority w:val="99"/>
    <w:qFormat/>
    <w:tblPr/>
  </w:style>
  <w:style w:type="table" w:styleId="826">
    <w:name w:val="Grid Table 3 - Accent 6"/>
    <w:basedOn w:val="711"/>
    <w:next w:val="826"/>
    <w:link w:val="700"/>
    <w:uiPriority w:val="99"/>
    <w:qFormat/>
    <w:tblPr/>
  </w:style>
  <w:style w:type="table" w:styleId="827">
    <w:name w:val="Grid Table 4"/>
    <w:basedOn w:val="711"/>
    <w:next w:val="827"/>
    <w:link w:val="700"/>
    <w:uiPriority w:val="59"/>
    <w:qFormat/>
    <w:tblPr/>
  </w:style>
  <w:style w:type="table" w:styleId="828">
    <w:name w:val="Grid Table 4 - Accent 1"/>
    <w:basedOn w:val="711"/>
    <w:next w:val="828"/>
    <w:link w:val="700"/>
    <w:uiPriority w:val="59"/>
    <w:qFormat/>
    <w:tblPr/>
  </w:style>
  <w:style w:type="table" w:styleId="829">
    <w:name w:val="Grid Table 4 - Accent 2"/>
    <w:basedOn w:val="711"/>
    <w:next w:val="829"/>
    <w:link w:val="700"/>
    <w:uiPriority w:val="59"/>
    <w:qFormat/>
    <w:tblPr/>
  </w:style>
  <w:style w:type="table" w:styleId="830">
    <w:name w:val="Grid Table 4 - Accent 3"/>
    <w:basedOn w:val="711"/>
    <w:next w:val="830"/>
    <w:link w:val="700"/>
    <w:uiPriority w:val="59"/>
    <w:qFormat/>
    <w:tblPr/>
  </w:style>
  <w:style w:type="table" w:styleId="831">
    <w:name w:val="Grid Table 4 - Accent 4"/>
    <w:basedOn w:val="711"/>
    <w:next w:val="831"/>
    <w:link w:val="700"/>
    <w:uiPriority w:val="59"/>
    <w:qFormat/>
    <w:tblPr/>
  </w:style>
  <w:style w:type="table" w:styleId="832">
    <w:name w:val="Grid Table 4 - Accent 5"/>
    <w:basedOn w:val="711"/>
    <w:next w:val="832"/>
    <w:link w:val="700"/>
    <w:uiPriority w:val="59"/>
    <w:qFormat/>
    <w:tblPr/>
  </w:style>
  <w:style w:type="table" w:styleId="833">
    <w:name w:val="Grid Table 4 - Accent 6"/>
    <w:basedOn w:val="711"/>
    <w:next w:val="833"/>
    <w:link w:val="700"/>
    <w:uiPriority w:val="59"/>
    <w:qFormat/>
    <w:tblPr/>
  </w:style>
  <w:style w:type="table" w:styleId="834">
    <w:name w:val="Grid Table 5 Dark"/>
    <w:basedOn w:val="711"/>
    <w:next w:val="834"/>
    <w:link w:val="700"/>
    <w:uiPriority w:val="99"/>
    <w:qFormat/>
    <w:tblPr/>
  </w:style>
  <w:style w:type="table" w:styleId="835">
    <w:name w:val="Grid Table 5 Dark- Accent 1"/>
    <w:basedOn w:val="711"/>
    <w:next w:val="835"/>
    <w:link w:val="700"/>
    <w:uiPriority w:val="99"/>
    <w:qFormat/>
    <w:tblPr/>
  </w:style>
  <w:style w:type="table" w:styleId="836">
    <w:name w:val="Grid Table 5 Dark - Accent 2"/>
    <w:basedOn w:val="711"/>
    <w:next w:val="836"/>
    <w:link w:val="700"/>
    <w:uiPriority w:val="99"/>
    <w:qFormat/>
    <w:tblPr/>
  </w:style>
  <w:style w:type="table" w:styleId="837">
    <w:name w:val="Grid Table 5 Dark - Accent 3"/>
    <w:basedOn w:val="711"/>
    <w:next w:val="837"/>
    <w:link w:val="700"/>
    <w:uiPriority w:val="99"/>
    <w:qFormat/>
    <w:tblPr/>
  </w:style>
  <w:style w:type="table" w:styleId="838">
    <w:name w:val="Grid Table 5 Dark- Accent 4"/>
    <w:basedOn w:val="711"/>
    <w:next w:val="838"/>
    <w:link w:val="700"/>
    <w:uiPriority w:val="99"/>
    <w:qFormat/>
    <w:tblPr/>
  </w:style>
  <w:style w:type="table" w:styleId="839">
    <w:name w:val="Grid Table 5 Dark - Accent 5"/>
    <w:basedOn w:val="711"/>
    <w:next w:val="839"/>
    <w:link w:val="700"/>
    <w:uiPriority w:val="99"/>
    <w:qFormat/>
    <w:tblPr/>
  </w:style>
  <w:style w:type="table" w:styleId="840">
    <w:name w:val="Grid Table 5 Dark - Accent 6"/>
    <w:basedOn w:val="711"/>
    <w:next w:val="840"/>
    <w:link w:val="700"/>
    <w:uiPriority w:val="99"/>
    <w:qFormat/>
    <w:tblPr/>
  </w:style>
  <w:style w:type="table" w:styleId="841">
    <w:name w:val="Grid Table 6 Colorful"/>
    <w:basedOn w:val="711"/>
    <w:next w:val="841"/>
    <w:link w:val="700"/>
    <w:uiPriority w:val="99"/>
    <w:qFormat/>
    <w:tblPr/>
  </w:style>
  <w:style w:type="table" w:styleId="842">
    <w:name w:val="Grid Table 6 Colorful - Accent 1"/>
    <w:basedOn w:val="711"/>
    <w:next w:val="842"/>
    <w:link w:val="700"/>
    <w:uiPriority w:val="99"/>
    <w:qFormat/>
    <w:tblPr/>
  </w:style>
  <w:style w:type="table" w:styleId="843">
    <w:name w:val="Grid Table 6 Colorful - Accent 2"/>
    <w:basedOn w:val="711"/>
    <w:next w:val="843"/>
    <w:link w:val="700"/>
    <w:uiPriority w:val="99"/>
    <w:qFormat/>
    <w:tblPr/>
  </w:style>
  <w:style w:type="table" w:styleId="844">
    <w:name w:val="Grid Table 6 Colorful - Accent 3"/>
    <w:basedOn w:val="711"/>
    <w:next w:val="844"/>
    <w:link w:val="700"/>
    <w:uiPriority w:val="99"/>
    <w:qFormat/>
    <w:tblPr/>
  </w:style>
  <w:style w:type="table" w:styleId="845">
    <w:name w:val="Grid Table 6 Colorful - Accent 4"/>
    <w:basedOn w:val="711"/>
    <w:next w:val="845"/>
    <w:link w:val="700"/>
    <w:uiPriority w:val="99"/>
    <w:qFormat/>
    <w:tblPr/>
  </w:style>
  <w:style w:type="table" w:styleId="846">
    <w:name w:val="Grid Table 6 Colorful - Accent 5"/>
    <w:basedOn w:val="711"/>
    <w:next w:val="846"/>
    <w:link w:val="700"/>
    <w:uiPriority w:val="99"/>
    <w:qFormat/>
    <w:tblPr/>
  </w:style>
  <w:style w:type="table" w:styleId="847">
    <w:name w:val="Grid Table 6 Colorful - Accent 6"/>
    <w:basedOn w:val="711"/>
    <w:next w:val="847"/>
    <w:link w:val="700"/>
    <w:uiPriority w:val="99"/>
    <w:qFormat/>
    <w:tblPr/>
  </w:style>
  <w:style w:type="table" w:styleId="848">
    <w:name w:val="Grid Table 7 Colorful"/>
    <w:basedOn w:val="711"/>
    <w:next w:val="848"/>
    <w:link w:val="700"/>
    <w:uiPriority w:val="99"/>
    <w:qFormat/>
    <w:tblPr/>
  </w:style>
  <w:style w:type="table" w:styleId="849">
    <w:name w:val="Grid Table 7 Colorful - Accent 1"/>
    <w:basedOn w:val="711"/>
    <w:next w:val="849"/>
    <w:link w:val="700"/>
    <w:uiPriority w:val="99"/>
    <w:qFormat/>
    <w:tblPr/>
  </w:style>
  <w:style w:type="table" w:styleId="850">
    <w:name w:val="Grid Table 7 Colorful - Accent 2"/>
    <w:basedOn w:val="711"/>
    <w:next w:val="850"/>
    <w:link w:val="700"/>
    <w:uiPriority w:val="99"/>
    <w:qFormat/>
    <w:tblPr/>
  </w:style>
  <w:style w:type="table" w:styleId="851">
    <w:name w:val="Grid Table 7 Colorful - Accent 3"/>
    <w:basedOn w:val="711"/>
    <w:next w:val="851"/>
    <w:link w:val="700"/>
    <w:uiPriority w:val="99"/>
    <w:qFormat/>
    <w:tblPr/>
  </w:style>
  <w:style w:type="table" w:styleId="852">
    <w:name w:val="Grid Table 7 Colorful - Accent 4"/>
    <w:basedOn w:val="711"/>
    <w:next w:val="852"/>
    <w:link w:val="700"/>
    <w:uiPriority w:val="99"/>
    <w:qFormat/>
    <w:tblPr/>
  </w:style>
  <w:style w:type="table" w:styleId="853">
    <w:name w:val="Grid Table 7 Colorful - Accent 5"/>
    <w:basedOn w:val="711"/>
    <w:next w:val="853"/>
    <w:link w:val="700"/>
    <w:uiPriority w:val="99"/>
    <w:qFormat/>
    <w:tblPr/>
  </w:style>
  <w:style w:type="table" w:styleId="854">
    <w:name w:val="Grid Table 7 Colorful - Accent 6"/>
    <w:basedOn w:val="711"/>
    <w:next w:val="854"/>
    <w:link w:val="700"/>
    <w:uiPriority w:val="99"/>
    <w:qFormat/>
    <w:tblPr/>
  </w:style>
  <w:style w:type="table" w:styleId="855">
    <w:name w:val="List Table 1 Light"/>
    <w:basedOn w:val="711"/>
    <w:next w:val="855"/>
    <w:link w:val="700"/>
    <w:uiPriority w:val="99"/>
    <w:qFormat/>
    <w:tblPr/>
  </w:style>
  <w:style w:type="table" w:styleId="856">
    <w:name w:val="List Table 1 Light - Accent 1"/>
    <w:basedOn w:val="711"/>
    <w:next w:val="856"/>
    <w:link w:val="700"/>
    <w:uiPriority w:val="99"/>
    <w:qFormat/>
    <w:tblPr/>
  </w:style>
  <w:style w:type="table" w:styleId="857">
    <w:name w:val="List Table 1 Light - Accent 2"/>
    <w:basedOn w:val="711"/>
    <w:next w:val="857"/>
    <w:link w:val="700"/>
    <w:uiPriority w:val="99"/>
    <w:qFormat/>
    <w:tblPr/>
  </w:style>
  <w:style w:type="table" w:styleId="858">
    <w:name w:val="List Table 1 Light - Accent 3"/>
    <w:basedOn w:val="711"/>
    <w:next w:val="858"/>
    <w:link w:val="700"/>
    <w:uiPriority w:val="99"/>
    <w:qFormat/>
    <w:tblPr/>
  </w:style>
  <w:style w:type="table" w:styleId="859">
    <w:name w:val="List Table 1 Light - Accent 4"/>
    <w:basedOn w:val="711"/>
    <w:next w:val="859"/>
    <w:link w:val="700"/>
    <w:uiPriority w:val="99"/>
    <w:qFormat/>
    <w:tblPr/>
  </w:style>
  <w:style w:type="table" w:styleId="860">
    <w:name w:val="List Table 1 Light - Accent 5"/>
    <w:basedOn w:val="711"/>
    <w:next w:val="860"/>
    <w:link w:val="700"/>
    <w:uiPriority w:val="99"/>
    <w:qFormat/>
    <w:tblPr/>
  </w:style>
  <w:style w:type="table" w:styleId="861">
    <w:name w:val="List Table 1 Light - Accent 6"/>
    <w:basedOn w:val="711"/>
    <w:next w:val="861"/>
    <w:link w:val="700"/>
    <w:uiPriority w:val="99"/>
    <w:qFormat/>
    <w:tblPr/>
  </w:style>
  <w:style w:type="table" w:styleId="862">
    <w:name w:val="List Table 2"/>
    <w:basedOn w:val="711"/>
    <w:next w:val="862"/>
    <w:link w:val="700"/>
    <w:uiPriority w:val="99"/>
    <w:qFormat/>
    <w:tblPr/>
  </w:style>
  <w:style w:type="table" w:styleId="863">
    <w:name w:val="List Table 2 - Accent 1"/>
    <w:basedOn w:val="711"/>
    <w:next w:val="863"/>
    <w:link w:val="700"/>
    <w:uiPriority w:val="99"/>
    <w:qFormat/>
    <w:tblPr/>
  </w:style>
  <w:style w:type="table" w:styleId="864">
    <w:name w:val="List Table 2 - Accent 2"/>
    <w:basedOn w:val="711"/>
    <w:next w:val="864"/>
    <w:link w:val="700"/>
    <w:uiPriority w:val="99"/>
    <w:qFormat/>
    <w:tblPr/>
  </w:style>
  <w:style w:type="table" w:styleId="865">
    <w:name w:val="List Table 2 - Accent 3"/>
    <w:basedOn w:val="711"/>
    <w:next w:val="865"/>
    <w:link w:val="700"/>
    <w:uiPriority w:val="99"/>
    <w:qFormat/>
    <w:tblPr/>
  </w:style>
  <w:style w:type="table" w:styleId="866">
    <w:name w:val="List Table 2 - Accent 4"/>
    <w:basedOn w:val="711"/>
    <w:next w:val="866"/>
    <w:link w:val="700"/>
    <w:uiPriority w:val="99"/>
    <w:qFormat/>
    <w:tblPr/>
  </w:style>
  <w:style w:type="table" w:styleId="867">
    <w:name w:val="List Table 2 - Accent 5"/>
    <w:basedOn w:val="711"/>
    <w:next w:val="867"/>
    <w:link w:val="700"/>
    <w:uiPriority w:val="99"/>
    <w:qFormat/>
    <w:tblPr/>
  </w:style>
  <w:style w:type="table" w:styleId="868">
    <w:name w:val="List Table 2 - Accent 6"/>
    <w:basedOn w:val="711"/>
    <w:next w:val="868"/>
    <w:link w:val="700"/>
    <w:uiPriority w:val="99"/>
    <w:qFormat/>
    <w:tblPr/>
  </w:style>
  <w:style w:type="table" w:styleId="869">
    <w:name w:val="List Table 3"/>
    <w:basedOn w:val="711"/>
    <w:next w:val="869"/>
    <w:link w:val="700"/>
    <w:uiPriority w:val="99"/>
    <w:qFormat/>
    <w:tblPr/>
  </w:style>
  <w:style w:type="table" w:styleId="870">
    <w:name w:val="List Table 3 - Accent 1"/>
    <w:basedOn w:val="711"/>
    <w:next w:val="870"/>
    <w:link w:val="700"/>
    <w:uiPriority w:val="99"/>
    <w:qFormat/>
    <w:tblPr/>
  </w:style>
  <w:style w:type="table" w:styleId="871">
    <w:name w:val="List Table 3 - Accent 2"/>
    <w:basedOn w:val="711"/>
    <w:next w:val="871"/>
    <w:link w:val="700"/>
    <w:uiPriority w:val="99"/>
    <w:qFormat/>
    <w:tblPr/>
  </w:style>
  <w:style w:type="table" w:styleId="872">
    <w:name w:val="List Table 3 - Accent 3"/>
    <w:basedOn w:val="711"/>
    <w:next w:val="872"/>
    <w:link w:val="700"/>
    <w:uiPriority w:val="99"/>
    <w:qFormat/>
    <w:tblPr/>
  </w:style>
  <w:style w:type="table" w:styleId="873">
    <w:name w:val="List Table 3 - Accent 4"/>
    <w:basedOn w:val="711"/>
    <w:next w:val="873"/>
    <w:link w:val="700"/>
    <w:uiPriority w:val="99"/>
    <w:qFormat/>
    <w:tblPr/>
  </w:style>
  <w:style w:type="table" w:styleId="874">
    <w:name w:val="List Table 3 - Accent 5"/>
    <w:basedOn w:val="711"/>
    <w:next w:val="874"/>
    <w:link w:val="700"/>
    <w:uiPriority w:val="99"/>
    <w:qFormat/>
    <w:tblPr/>
  </w:style>
  <w:style w:type="table" w:styleId="875">
    <w:name w:val="List Table 3 - Accent 6"/>
    <w:basedOn w:val="711"/>
    <w:next w:val="875"/>
    <w:link w:val="700"/>
    <w:uiPriority w:val="99"/>
    <w:qFormat/>
    <w:tblPr/>
  </w:style>
  <w:style w:type="table" w:styleId="876">
    <w:name w:val="List Table 4"/>
    <w:basedOn w:val="711"/>
    <w:next w:val="876"/>
    <w:link w:val="700"/>
    <w:uiPriority w:val="99"/>
    <w:qFormat/>
    <w:tblPr/>
  </w:style>
  <w:style w:type="table" w:styleId="877">
    <w:name w:val="List Table 4 - Accent 1"/>
    <w:basedOn w:val="711"/>
    <w:next w:val="877"/>
    <w:link w:val="700"/>
    <w:uiPriority w:val="99"/>
    <w:qFormat/>
    <w:tblPr/>
  </w:style>
  <w:style w:type="table" w:styleId="878">
    <w:name w:val="List Table 4 - Accent 2"/>
    <w:basedOn w:val="711"/>
    <w:next w:val="878"/>
    <w:link w:val="700"/>
    <w:uiPriority w:val="99"/>
    <w:qFormat/>
    <w:tblPr/>
  </w:style>
  <w:style w:type="table" w:styleId="879">
    <w:name w:val="List Table 4 - Accent 3"/>
    <w:basedOn w:val="711"/>
    <w:next w:val="879"/>
    <w:link w:val="700"/>
    <w:uiPriority w:val="99"/>
    <w:qFormat/>
    <w:tblPr/>
  </w:style>
  <w:style w:type="table" w:styleId="880">
    <w:name w:val="List Table 4 - Accent 4"/>
    <w:basedOn w:val="711"/>
    <w:next w:val="880"/>
    <w:link w:val="700"/>
    <w:uiPriority w:val="99"/>
    <w:qFormat/>
    <w:tblPr/>
  </w:style>
  <w:style w:type="table" w:styleId="881">
    <w:name w:val="List Table 4 - Accent 5"/>
    <w:basedOn w:val="711"/>
    <w:next w:val="881"/>
    <w:link w:val="700"/>
    <w:uiPriority w:val="99"/>
    <w:qFormat/>
    <w:tblPr/>
  </w:style>
  <w:style w:type="table" w:styleId="882">
    <w:name w:val="List Table 4 - Accent 6"/>
    <w:basedOn w:val="711"/>
    <w:next w:val="882"/>
    <w:link w:val="700"/>
    <w:uiPriority w:val="99"/>
    <w:qFormat/>
    <w:tblPr/>
  </w:style>
  <w:style w:type="table" w:styleId="883">
    <w:name w:val="List Table 5 Dark"/>
    <w:basedOn w:val="711"/>
    <w:next w:val="883"/>
    <w:link w:val="700"/>
    <w:uiPriority w:val="99"/>
    <w:qFormat/>
    <w:tblPr/>
  </w:style>
  <w:style w:type="table" w:styleId="884">
    <w:name w:val="List Table 5 Dark - Accent 1"/>
    <w:basedOn w:val="711"/>
    <w:next w:val="884"/>
    <w:link w:val="700"/>
    <w:uiPriority w:val="99"/>
    <w:qFormat/>
    <w:tblPr/>
  </w:style>
  <w:style w:type="table" w:styleId="885">
    <w:name w:val="List Table 5 Dark - Accent 2"/>
    <w:basedOn w:val="711"/>
    <w:next w:val="885"/>
    <w:link w:val="700"/>
    <w:uiPriority w:val="99"/>
    <w:qFormat/>
    <w:tblPr/>
  </w:style>
  <w:style w:type="table" w:styleId="886">
    <w:name w:val="List Table 5 Dark - Accent 3"/>
    <w:basedOn w:val="711"/>
    <w:next w:val="886"/>
    <w:link w:val="700"/>
    <w:uiPriority w:val="99"/>
    <w:qFormat/>
    <w:tblPr/>
  </w:style>
  <w:style w:type="table" w:styleId="887">
    <w:name w:val="List Table 5 Dark - Accent 4"/>
    <w:basedOn w:val="711"/>
    <w:next w:val="887"/>
    <w:link w:val="700"/>
    <w:uiPriority w:val="99"/>
    <w:qFormat/>
    <w:tblPr/>
  </w:style>
  <w:style w:type="table" w:styleId="888">
    <w:name w:val="List Table 5 Dark - Accent 5"/>
    <w:basedOn w:val="711"/>
    <w:next w:val="888"/>
    <w:link w:val="700"/>
    <w:uiPriority w:val="99"/>
    <w:qFormat/>
    <w:tblPr/>
  </w:style>
  <w:style w:type="table" w:styleId="889">
    <w:name w:val="List Table 5 Dark - Accent 6"/>
    <w:basedOn w:val="711"/>
    <w:next w:val="889"/>
    <w:link w:val="700"/>
    <w:uiPriority w:val="99"/>
    <w:qFormat/>
    <w:tblPr/>
  </w:style>
  <w:style w:type="table" w:styleId="890">
    <w:name w:val="List Table 6 Colorful"/>
    <w:basedOn w:val="711"/>
    <w:next w:val="890"/>
    <w:link w:val="700"/>
    <w:uiPriority w:val="99"/>
    <w:qFormat/>
    <w:tblPr/>
  </w:style>
  <w:style w:type="table" w:styleId="891">
    <w:name w:val="List Table 6 Colorful - Accent 1"/>
    <w:basedOn w:val="711"/>
    <w:next w:val="891"/>
    <w:link w:val="700"/>
    <w:uiPriority w:val="99"/>
    <w:qFormat/>
    <w:tblPr/>
  </w:style>
  <w:style w:type="table" w:styleId="892">
    <w:name w:val="List Table 6 Colorful - Accent 2"/>
    <w:basedOn w:val="711"/>
    <w:next w:val="892"/>
    <w:link w:val="700"/>
    <w:uiPriority w:val="99"/>
    <w:qFormat/>
    <w:tblPr/>
  </w:style>
  <w:style w:type="table" w:styleId="893">
    <w:name w:val="List Table 6 Colorful - Accent 3"/>
    <w:basedOn w:val="711"/>
    <w:next w:val="893"/>
    <w:link w:val="700"/>
    <w:uiPriority w:val="99"/>
    <w:qFormat/>
    <w:tblPr/>
  </w:style>
  <w:style w:type="table" w:styleId="894">
    <w:name w:val="List Table 6 Colorful - Accent 4"/>
    <w:basedOn w:val="711"/>
    <w:next w:val="894"/>
    <w:link w:val="700"/>
    <w:uiPriority w:val="99"/>
    <w:qFormat/>
    <w:tblPr/>
  </w:style>
  <w:style w:type="table" w:styleId="895">
    <w:name w:val="List Table 6 Colorful - Accent 5"/>
    <w:basedOn w:val="711"/>
    <w:next w:val="895"/>
    <w:link w:val="700"/>
    <w:uiPriority w:val="99"/>
    <w:qFormat/>
    <w:tblPr/>
  </w:style>
  <w:style w:type="table" w:styleId="896">
    <w:name w:val="List Table 6 Colorful - Accent 6"/>
    <w:basedOn w:val="711"/>
    <w:next w:val="896"/>
    <w:link w:val="700"/>
    <w:uiPriority w:val="99"/>
    <w:qFormat/>
    <w:tblPr/>
  </w:style>
  <w:style w:type="table" w:styleId="897">
    <w:name w:val="List Table 7 Colorful"/>
    <w:basedOn w:val="711"/>
    <w:next w:val="897"/>
    <w:link w:val="700"/>
    <w:uiPriority w:val="99"/>
    <w:qFormat/>
    <w:tblPr/>
  </w:style>
  <w:style w:type="table" w:styleId="898">
    <w:name w:val="List Table 7 Colorful - Accent 1"/>
    <w:basedOn w:val="711"/>
    <w:next w:val="898"/>
    <w:link w:val="700"/>
    <w:uiPriority w:val="99"/>
    <w:qFormat/>
    <w:tblPr/>
  </w:style>
  <w:style w:type="table" w:styleId="899">
    <w:name w:val="List Table 7 Colorful - Accent 2"/>
    <w:basedOn w:val="711"/>
    <w:next w:val="899"/>
    <w:link w:val="700"/>
    <w:uiPriority w:val="99"/>
    <w:qFormat/>
    <w:tblPr/>
  </w:style>
  <w:style w:type="table" w:styleId="900">
    <w:name w:val="List Table 7 Colorful - Accent 3"/>
    <w:basedOn w:val="711"/>
    <w:next w:val="900"/>
    <w:link w:val="700"/>
    <w:uiPriority w:val="99"/>
    <w:qFormat/>
    <w:tblPr/>
  </w:style>
  <w:style w:type="table" w:styleId="901">
    <w:name w:val="List Table 7 Colorful - Accent 4"/>
    <w:basedOn w:val="711"/>
    <w:next w:val="901"/>
    <w:link w:val="700"/>
    <w:uiPriority w:val="99"/>
    <w:qFormat/>
    <w:tblPr/>
  </w:style>
  <w:style w:type="table" w:styleId="902">
    <w:name w:val="List Table 7 Colorful - Accent 5"/>
    <w:basedOn w:val="711"/>
    <w:next w:val="902"/>
    <w:link w:val="700"/>
    <w:uiPriority w:val="99"/>
    <w:qFormat/>
    <w:tblPr/>
  </w:style>
  <w:style w:type="table" w:styleId="903">
    <w:name w:val="List Table 7 Colorful - Accent 6"/>
    <w:basedOn w:val="711"/>
    <w:next w:val="903"/>
    <w:link w:val="700"/>
    <w:uiPriority w:val="99"/>
    <w:qFormat/>
    <w:tblPr/>
  </w:style>
  <w:style w:type="table" w:styleId="904">
    <w:name w:val="Lined - Accent"/>
    <w:basedOn w:val="711"/>
    <w:next w:val="904"/>
    <w:link w:val="700"/>
    <w:uiPriority w:val="99"/>
    <w:qFormat/>
    <w:rPr>
      <w:color w:val="404040"/>
    </w:rPr>
    <w:tblPr/>
  </w:style>
  <w:style w:type="table" w:styleId="905">
    <w:name w:val="Lined - Accent 1"/>
    <w:basedOn w:val="711"/>
    <w:next w:val="905"/>
    <w:link w:val="700"/>
    <w:uiPriority w:val="99"/>
    <w:qFormat/>
    <w:rPr>
      <w:color w:val="404040"/>
    </w:rPr>
    <w:tblPr/>
  </w:style>
  <w:style w:type="table" w:styleId="906">
    <w:name w:val="Lined - Accent 2"/>
    <w:basedOn w:val="711"/>
    <w:next w:val="906"/>
    <w:link w:val="700"/>
    <w:uiPriority w:val="99"/>
    <w:qFormat/>
    <w:rPr>
      <w:color w:val="404040"/>
    </w:rPr>
    <w:tblPr/>
  </w:style>
  <w:style w:type="table" w:styleId="907">
    <w:name w:val="Lined - Accent 3"/>
    <w:basedOn w:val="711"/>
    <w:next w:val="907"/>
    <w:link w:val="700"/>
    <w:uiPriority w:val="99"/>
    <w:qFormat/>
    <w:rPr>
      <w:color w:val="404040"/>
    </w:rPr>
    <w:tblPr/>
  </w:style>
  <w:style w:type="table" w:styleId="908">
    <w:name w:val="Lined - Accent 4"/>
    <w:basedOn w:val="711"/>
    <w:next w:val="908"/>
    <w:link w:val="700"/>
    <w:uiPriority w:val="99"/>
    <w:qFormat/>
    <w:rPr>
      <w:color w:val="404040"/>
    </w:rPr>
    <w:tblPr/>
  </w:style>
  <w:style w:type="table" w:styleId="909">
    <w:name w:val="Lined - Accent 5"/>
    <w:basedOn w:val="711"/>
    <w:next w:val="909"/>
    <w:link w:val="700"/>
    <w:uiPriority w:val="99"/>
    <w:qFormat/>
    <w:rPr>
      <w:color w:val="404040"/>
    </w:rPr>
    <w:tblPr/>
  </w:style>
  <w:style w:type="table" w:styleId="910">
    <w:name w:val="Lined - Accent 6"/>
    <w:basedOn w:val="711"/>
    <w:next w:val="910"/>
    <w:link w:val="700"/>
    <w:uiPriority w:val="99"/>
    <w:qFormat/>
    <w:rPr>
      <w:color w:val="404040"/>
    </w:rPr>
    <w:tblPr/>
  </w:style>
  <w:style w:type="table" w:styleId="911">
    <w:name w:val="Bordered &amp; Lined - Accent"/>
    <w:basedOn w:val="711"/>
    <w:next w:val="911"/>
    <w:link w:val="700"/>
    <w:uiPriority w:val="99"/>
    <w:qFormat/>
    <w:rPr>
      <w:color w:val="404040"/>
    </w:rPr>
    <w:tblPr/>
  </w:style>
  <w:style w:type="table" w:styleId="912">
    <w:name w:val="Bordered &amp; Lined - Accent 1"/>
    <w:basedOn w:val="711"/>
    <w:next w:val="912"/>
    <w:link w:val="700"/>
    <w:uiPriority w:val="99"/>
    <w:qFormat/>
    <w:rPr>
      <w:color w:val="404040"/>
    </w:rPr>
    <w:tblPr/>
  </w:style>
  <w:style w:type="table" w:styleId="913">
    <w:name w:val="Bordered &amp; Lined - Accent 2"/>
    <w:basedOn w:val="711"/>
    <w:next w:val="913"/>
    <w:link w:val="700"/>
    <w:uiPriority w:val="99"/>
    <w:qFormat/>
    <w:rPr>
      <w:color w:val="404040"/>
    </w:rPr>
    <w:tblPr/>
  </w:style>
  <w:style w:type="table" w:styleId="914">
    <w:name w:val="Bordered &amp; Lined - Accent 3"/>
    <w:basedOn w:val="711"/>
    <w:next w:val="914"/>
    <w:link w:val="700"/>
    <w:uiPriority w:val="99"/>
    <w:qFormat/>
    <w:rPr>
      <w:color w:val="404040"/>
    </w:rPr>
    <w:tblPr/>
  </w:style>
  <w:style w:type="table" w:styleId="915">
    <w:name w:val="Bordered &amp; Lined - Accent 4"/>
    <w:basedOn w:val="711"/>
    <w:next w:val="915"/>
    <w:link w:val="700"/>
    <w:uiPriority w:val="99"/>
    <w:qFormat/>
    <w:rPr>
      <w:color w:val="404040"/>
    </w:rPr>
    <w:tblPr/>
  </w:style>
  <w:style w:type="table" w:styleId="916">
    <w:name w:val="Bordered &amp; Lined - Accent 5"/>
    <w:basedOn w:val="711"/>
    <w:next w:val="916"/>
    <w:link w:val="700"/>
    <w:uiPriority w:val="99"/>
    <w:qFormat/>
    <w:rPr>
      <w:color w:val="404040"/>
    </w:rPr>
    <w:tblPr/>
  </w:style>
  <w:style w:type="table" w:styleId="917">
    <w:name w:val="Bordered &amp; Lined - Accent 6"/>
    <w:basedOn w:val="711"/>
    <w:next w:val="917"/>
    <w:link w:val="700"/>
    <w:uiPriority w:val="99"/>
    <w:qFormat/>
    <w:rPr>
      <w:color w:val="404040"/>
    </w:rPr>
    <w:tblPr/>
  </w:style>
  <w:style w:type="table" w:styleId="918">
    <w:name w:val="Bordered"/>
    <w:basedOn w:val="711"/>
    <w:next w:val="918"/>
    <w:link w:val="700"/>
    <w:uiPriority w:val="99"/>
    <w:qFormat/>
    <w:tblPr/>
  </w:style>
  <w:style w:type="table" w:styleId="919">
    <w:name w:val="Bordered - Accent 1"/>
    <w:basedOn w:val="711"/>
    <w:next w:val="919"/>
    <w:link w:val="700"/>
    <w:uiPriority w:val="99"/>
    <w:qFormat/>
    <w:tblPr/>
  </w:style>
  <w:style w:type="table" w:styleId="920">
    <w:name w:val="Bordered - Accent 2"/>
    <w:basedOn w:val="711"/>
    <w:next w:val="920"/>
    <w:link w:val="700"/>
    <w:uiPriority w:val="99"/>
    <w:qFormat/>
    <w:tblPr/>
  </w:style>
  <w:style w:type="table" w:styleId="921">
    <w:name w:val="Bordered - Accent 3"/>
    <w:basedOn w:val="711"/>
    <w:next w:val="921"/>
    <w:link w:val="700"/>
    <w:uiPriority w:val="99"/>
    <w:qFormat/>
    <w:tblPr/>
  </w:style>
  <w:style w:type="table" w:styleId="922">
    <w:name w:val="Bordered - Accent 4"/>
    <w:basedOn w:val="711"/>
    <w:next w:val="922"/>
    <w:link w:val="700"/>
    <w:uiPriority w:val="99"/>
    <w:qFormat/>
    <w:tblPr/>
  </w:style>
  <w:style w:type="table" w:styleId="923">
    <w:name w:val="Bordered - Accent 5"/>
    <w:basedOn w:val="711"/>
    <w:next w:val="923"/>
    <w:link w:val="700"/>
    <w:uiPriority w:val="99"/>
    <w:qFormat/>
    <w:tblPr/>
  </w:style>
  <w:style w:type="table" w:styleId="924">
    <w:name w:val="Bordered - Accent 6"/>
    <w:basedOn w:val="711"/>
    <w:next w:val="924"/>
    <w:link w:val="700"/>
    <w:uiPriority w:val="99"/>
    <w:qFormat/>
    <w:tblPr/>
  </w:style>
  <w:style w:type="paragraph" w:styleId="925">
    <w:name w:val="TOC 标题1"/>
    <w:next w:val="925"/>
    <w:link w:val="700"/>
    <w:uiPriority w:val="39"/>
    <w:unhideWhenUsed/>
    <w:qFormat/>
    <w:rPr>
      <w:rFonts w:ascii="Times New Roman" w:hAnsi="Times New Roman" w:eastAsia="宋体" w:cs="Times New Roman"/>
      <w:lang w:val="en-US" w:eastAsia="zh-CN" w:bidi="ar-SA"/>
    </w:rPr>
  </w:style>
  <w:style w:type="paragraph" w:styleId="926">
    <w:name w:val="Default"/>
    <w:next w:val="926"/>
    <w:link w:val="927"/>
    <w:uiPriority w:val="99"/>
    <w:qFormat/>
    <w:pPr>
      <w:widowControl w:val="off"/>
    </w:pPr>
    <w:rPr>
      <w:rFonts w:ascii="MS Mincho" w:hAnsi="Calibri" w:eastAsia="宋体" w:cs="Times New Roman"/>
      <w:color w:val="000000"/>
      <w:sz w:val="21"/>
      <w:szCs w:val="24"/>
      <w:lang w:val="en-US" w:eastAsia="zh-CN" w:bidi="ar-SA"/>
    </w:rPr>
  </w:style>
  <w:style w:type="character" w:styleId="927">
    <w:name w:val="Default Char"/>
    <w:next w:val="927"/>
    <w:link w:val="926"/>
    <w:uiPriority w:val="99"/>
    <w:qFormat/>
    <w:rPr>
      <w:rFonts w:ascii="MS Mincho" w:hAnsi="Calibri" w:eastAsia="宋体" w:cs="Times New Roman"/>
      <w:color w:val="000000"/>
      <w:szCs w:val="24"/>
    </w:rPr>
  </w:style>
  <w:style w:type="character" w:styleId="928">
    <w:name w:val="hover"/>
    <w:basedOn w:val="710"/>
    <w:next w:val="928"/>
    <w:link w:val="700"/>
    <w:qFormat/>
    <w:rPr>
      <w:color w:val="5fb878"/>
    </w:rPr>
  </w:style>
  <w:style w:type="character" w:styleId="929">
    <w:name w:val="hover1"/>
    <w:basedOn w:val="710"/>
    <w:next w:val="929"/>
    <w:link w:val="700"/>
    <w:qFormat/>
    <w:rPr>
      <w:color w:val="5fb878"/>
    </w:rPr>
  </w:style>
  <w:style w:type="character" w:styleId="930">
    <w:name w:val="hover2"/>
    <w:basedOn w:val="710"/>
    <w:next w:val="930"/>
    <w:link w:val="700"/>
    <w:qFormat/>
    <w:rPr>
      <w:color w:val="ffffff"/>
    </w:rPr>
  </w:style>
  <w:style w:type="character" w:styleId="931">
    <w:name w:val="NormalCharacter1"/>
    <w:next w:val="931"/>
    <w:link w:val="700"/>
    <w:semiHidden/>
    <w:qFormat/>
  </w:style>
  <w:style w:type="paragraph" w:styleId="932">
    <w:name w:val="正文1"/>
    <w:next w:val="932"/>
    <w:link w:val="700"/>
    <w:uiPriority w:val="99"/>
    <w:qFormat/>
    <w:pPr>
      <w:jc w:val="both"/>
    </w:pPr>
    <w:rPr>
      <w:rFonts w:ascii="Times New Roman" w:hAnsi="Times New Roman" w:eastAsia="宋体" w:cs="Times New Roman"/>
      <w:sz w:val="21"/>
      <w:szCs w:val="21"/>
      <w:lang w:val="en-US" w:eastAsia="zh-CN" w:bidi="ar-SA"/>
    </w:rPr>
  </w:style>
  <w:style w:type="paragraph" w:styleId="933">
    <w:name w:val="List Paragraph"/>
    <w:next w:val="933"/>
    <w:link w:val="700"/>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934">
    <w:name w:val="apple-style-span"/>
    <w:next w:val="934"/>
    <w:link w:val="700"/>
    <w:uiPriority w:val="99"/>
    <w:qFormat/>
    <w:rPr>
      <w:rFonts w:cs="Times New Roman"/>
    </w:rPr>
  </w:style>
  <w:style w:type="paragraph" w:styleId="935">
    <w:name w:val="文本块12"/>
    <w:basedOn w:val="700"/>
    <w:next w:val="935"/>
    <w:link w:val="700"/>
    <w:uiPriority w:val="6"/>
    <w:qFormat/>
    <w:pPr>
      <w:ind w:left="256" w:right="6" w:firstLine="624"/>
      <w:spacing w:after="160" w:line="259" w:lineRule="auto"/>
    </w:pPr>
    <w:rPr>
      <w:rFonts w:ascii="Times New Roman" w:hAnsi="Times New Roman" w:eastAsia="仿宋_GB2312"/>
      <w:sz w:val="28"/>
      <w:szCs w:val="20"/>
    </w:rPr>
  </w:style>
  <w:style w:type="character" w:styleId="936">
    <w:name w:val="font01"/>
    <w:basedOn w:val="710"/>
    <w:next w:val="936"/>
    <w:link w:val="700"/>
    <w:qFormat/>
    <w:rPr>
      <w:rFonts w:hint="eastAsia" w:ascii="宋体" w:hAnsi="宋体" w:eastAsia="宋体" w:cs="宋体"/>
      <w:color w:val="000000"/>
      <w:sz w:val="22"/>
      <w:szCs w:val="22"/>
      <w:u w:val="none"/>
    </w:rPr>
  </w:style>
  <w:style w:type="character" w:styleId="937">
    <w:name w:val="font51"/>
    <w:basedOn w:val="710"/>
    <w:next w:val="937"/>
    <w:link w:val="700"/>
    <w:qFormat/>
    <w:rPr>
      <w:rFonts w:hint="eastAsia" w:ascii="宋体" w:hAnsi="宋体" w:eastAsia="宋体" w:cs="宋体"/>
      <w:color w:val="000000"/>
      <w:sz w:val="21"/>
      <w:szCs w:val="21"/>
      <w:u w:val="none"/>
    </w:rPr>
  </w:style>
  <w:style w:type="paragraph" w:styleId="938">
    <w:name w:val="标题 21"/>
    <w:basedOn w:val="700"/>
    <w:next w:val="700"/>
    <w:link w:val="700"/>
    <w:uiPriority w:val="99"/>
    <w:qFormat/>
    <w:pPr>
      <w:numPr>
        <w:ilvl w:val="1"/>
        <w:numId w:val="1"/>
      </w:numPr>
      <w:keepNext/>
      <w:outlineLvl w:val="1"/>
    </w:pPr>
    <w:rPr>
      <w:rFonts w:eastAsia="黑体"/>
      <w:b/>
      <w:sz w:val="28"/>
      <w:szCs w:val="20"/>
    </w:rPr>
  </w:style>
  <w:style w:type="character" w:styleId="939">
    <w:name w:val="font31"/>
    <w:basedOn w:val="710"/>
    <w:next w:val="939"/>
    <w:link w:val="700"/>
    <w:rPr>
      <w:rFonts w:ascii="Times New Roman" w:hAnsi="Times New Roman" w:cs="Times New Roman"/>
      <w:i w:val="0"/>
      <w:iCs w:val="0"/>
      <w:color w:val="000000"/>
      <w:sz w:val="20"/>
      <w:szCs w:val="20"/>
      <w:u w:val="none"/>
    </w:rPr>
  </w:style>
  <w:style w:type="character" w:styleId="940">
    <w:name w:val="font21"/>
    <w:basedOn w:val="710"/>
    <w:next w:val="940"/>
    <w:link w:val="700"/>
    <w:rPr>
      <w:rFonts w:hint="eastAsia" w:ascii="宋体" w:hAnsi="宋体" w:eastAsia="宋体" w:cs="宋体"/>
      <w:i w:val="0"/>
      <w:iCs w:val="0"/>
      <w:color w:val="000000"/>
      <w:sz w:val="20"/>
      <w:szCs w:val="20"/>
      <w:u w:val="none"/>
    </w:rPr>
  </w:style>
  <w:style w:type="character" w:styleId="941">
    <w:name w:val="font41"/>
    <w:basedOn w:val="710"/>
    <w:next w:val="941"/>
    <w:link w:val="700"/>
    <w:rPr>
      <w:rFonts w:ascii="仿宋_GB2312" w:eastAsia="仿宋_GB2312" w:cs="仿宋_GB2312"/>
      <w:i w:val="0"/>
      <w:iCs w:val="0"/>
      <w:color w:val="000000"/>
      <w:sz w:val="24"/>
      <w:szCs w:val="24"/>
      <w:u w:val="single"/>
    </w:rPr>
  </w:style>
  <w:style w:type="character" w:styleId="942">
    <w:name w:val="font91"/>
    <w:basedOn w:val="710"/>
    <w:next w:val="942"/>
    <w:link w:val="700"/>
    <w:rPr>
      <w:rFonts w:hint="eastAsia" w:ascii="宋体" w:hAnsi="宋体" w:eastAsia="宋体" w:cs="宋体"/>
      <w:i w:val="0"/>
      <w:iCs w:val="0"/>
      <w:color w:val="000000"/>
      <w:sz w:val="20"/>
      <w:szCs w:val="20"/>
      <w:u w:val="single"/>
    </w:rPr>
  </w:style>
  <w:style w:type="character" w:styleId="943">
    <w:name w:val="font101"/>
    <w:basedOn w:val="710"/>
    <w:next w:val="943"/>
    <w:link w:val="700"/>
    <w:rPr>
      <w:rFonts w:ascii="Times New Roman" w:hAnsi="Times New Roman" w:cs="Times New Roman"/>
      <w:i w:val="0"/>
      <w:iCs w:val="0"/>
      <w:color w:val="000000"/>
      <w:sz w:val="20"/>
      <w:szCs w:val="20"/>
      <w:u w:val="none"/>
    </w:rPr>
  </w:style>
  <w:style w:type="character" w:styleId="944">
    <w:name w:val="font81"/>
    <w:basedOn w:val="710"/>
    <w:next w:val="944"/>
    <w:link w:val="700"/>
    <w:rPr>
      <w:rFonts w:ascii="Times New Roman" w:hAnsi="Times New Roman" w:cs="Times New Roman"/>
      <w:i w:val="0"/>
      <w:iCs w:val="0"/>
      <w:color w:val="000000"/>
      <w:sz w:val="22"/>
      <w:szCs w:val="22"/>
      <w:u w:val="single"/>
    </w:rPr>
  </w:style>
  <w:style w:type="character" w:styleId="945">
    <w:name w:val="font71"/>
    <w:basedOn w:val="710"/>
    <w:next w:val="945"/>
    <w:link w:val="700"/>
    <w:rPr>
      <w:rFonts w:ascii="Times New Roman" w:hAnsi="Times New Roman" w:cs="Times New Roman"/>
      <w:i w:val="0"/>
      <w:iCs w:val="0"/>
      <w:color w:val="000000"/>
      <w:sz w:val="22"/>
      <w:szCs w:val="22"/>
      <w:u w:val="single"/>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emf"/><Relationship Id="rId12" Type="http://schemas.openxmlformats.org/officeDocument/2006/relationships/image" Target="media/image2.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Doub</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刘阳生</cp:lastModifiedBy>
  <cp:revision>5</cp:revision>
  <dcterms:created xsi:type="dcterms:W3CDTF">2024-01-04T03:50:00Z</dcterms:created>
  <dcterms:modified xsi:type="dcterms:W3CDTF">2026-06-08T02:09:53Z</dcterms:modified>
  <cp:category>“苏采云”公开</cp:category>
</cp:coreProperties>
</file>