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54B1D3">
      <w:pPr>
        <w:pStyle w:val="98"/>
        <w:pageBreakBefore w:val="0"/>
        <w:tabs>
          <w:tab w:val="left" w:pos="3163"/>
        </w:tabs>
        <w:kinsoku/>
        <w:bidi w:val="0"/>
        <w:spacing w:line="360" w:lineRule="exact"/>
        <w:ind w:firstLine="0"/>
        <w:rPr>
          <w:rFonts w:hint="eastAsia" w:ascii="宋体" w:hAnsi="宋体" w:eastAsia="宋体" w:cs="宋体"/>
          <w:bCs/>
          <w:color w:val="auto"/>
          <w:kern w:val="2"/>
          <w:sz w:val="32"/>
          <w:szCs w:val="32"/>
          <w:highlight w:val="none"/>
          <w:lang w:val="en-US" w:eastAsia="zh-CN" w:bidi="ar-SA"/>
        </w:rPr>
      </w:pPr>
      <w:r>
        <w:rPr>
          <w:rFonts w:hint="eastAsia" w:ascii="宋体" w:hAnsi="宋体" w:eastAsia="宋体" w:cs="宋体"/>
          <w:bCs/>
          <w:color w:val="auto"/>
          <w:kern w:val="2"/>
          <w:sz w:val="32"/>
          <w:szCs w:val="32"/>
          <w:highlight w:val="none"/>
          <w:lang w:val="en-US" w:eastAsia="zh-CN" w:bidi="ar-SA"/>
        </w:rPr>
        <w:tab/>
      </w:r>
    </w:p>
    <w:p w14:paraId="3050B7BB">
      <w:pPr>
        <w:pStyle w:val="98"/>
        <w:pageBreakBefore w:val="0"/>
        <w:tabs>
          <w:tab w:val="left" w:pos="3163"/>
        </w:tabs>
        <w:kinsoku/>
        <w:bidi w:val="0"/>
        <w:spacing w:line="360" w:lineRule="exact"/>
        <w:ind w:firstLine="0"/>
        <w:rPr>
          <w:rFonts w:hint="eastAsia" w:ascii="宋体" w:hAnsi="宋体" w:eastAsia="宋体" w:cs="宋体"/>
          <w:bCs/>
          <w:color w:val="auto"/>
          <w:kern w:val="2"/>
          <w:sz w:val="32"/>
          <w:szCs w:val="32"/>
          <w:highlight w:val="none"/>
          <w:lang w:val="en-US" w:eastAsia="zh-CN" w:bidi="ar-SA"/>
        </w:rPr>
      </w:pPr>
    </w:p>
    <w:p w14:paraId="6E3CDA68">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563AFC6C">
      <w:pPr>
        <w:pStyle w:val="98"/>
        <w:ind w:firstLine="0"/>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公开招标文件</w:t>
      </w:r>
    </w:p>
    <w:p w14:paraId="541F8508">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5D4C5296">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2E6315AF">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13650A1A">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2A253BFB">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287B1F84">
      <w:pPr>
        <w:pStyle w:val="98"/>
        <w:pageBreakBefore w:val="0"/>
        <w:kinsoku/>
        <w:bidi w:val="0"/>
        <w:spacing w:line="360" w:lineRule="exact"/>
        <w:ind w:firstLine="0"/>
        <w:jc w:val="center"/>
        <w:rPr>
          <w:rFonts w:hint="eastAsia" w:ascii="宋体" w:hAnsi="宋体" w:eastAsia="宋体" w:cs="宋体"/>
          <w:bCs/>
          <w:color w:val="auto"/>
          <w:kern w:val="2"/>
          <w:sz w:val="32"/>
          <w:szCs w:val="32"/>
          <w:highlight w:val="none"/>
          <w:lang w:val="en-US" w:eastAsia="zh-CN" w:bidi="ar-SA"/>
        </w:rPr>
      </w:pPr>
    </w:p>
    <w:p w14:paraId="02C1EFA2">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72351E98">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1041B339">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5F47D8BC">
      <w:pPr>
        <w:pStyle w:val="98"/>
        <w:pageBreakBefore w:val="0"/>
        <w:kinsoku/>
        <w:bidi w:val="0"/>
        <w:spacing w:line="360" w:lineRule="exact"/>
        <w:ind w:firstLine="0"/>
        <w:jc w:val="center"/>
        <w:rPr>
          <w:rFonts w:hint="eastAsia" w:ascii="宋体" w:hAnsi="宋体" w:eastAsia="宋体" w:cs="宋体"/>
          <w:bCs/>
          <w:color w:val="auto"/>
          <w:spacing w:val="20"/>
          <w:sz w:val="52"/>
          <w:szCs w:val="52"/>
          <w:highlight w:val="none"/>
          <w:shd w:val="clear" w:color="FFFFFF" w:fill="D9D9D9"/>
        </w:rPr>
      </w:pPr>
    </w:p>
    <w:p w14:paraId="4128046D">
      <w:pPr>
        <w:pStyle w:val="98"/>
        <w:pageBreakBefore w:val="0"/>
        <w:kinsoku/>
        <w:bidi w:val="0"/>
        <w:spacing w:line="360" w:lineRule="auto"/>
        <w:ind w:firstLine="0"/>
        <w:jc w:val="left"/>
        <w:rPr>
          <w:rFonts w:hint="eastAsia" w:ascii="宋体" w:hAnsi="宋体" w:eastAsia="宋体" w:cs="宋体"/>
          <w:bCs/>
          <w:color w:val="auto"/>
          <w:spacing w:val="20"/>
          <w:sz w:val="52"/>
          <w:szCs w:val="52"/>
          <w:highlight w:val="none"/>
          <w:shd w:val="clear" w:color="FFFFFF" w:fill="D9D9D9"/>
        </w:rPr>
      </w:pPr>
    </w:p>
    <w:p w14:paraId="49DE1AA0">
      <w:pPr>
        <w:pageBreakBefore w:val="0"/>
        <w:kinsoku/>
        <w:bidi w:val="0"/>
        <w:spacing w:line="360" w:lineRule="auto"/>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项目编号：</w:t>
      </w:r>
      <w:r>
        <w:rPr>
          <w:rFonts w:hint="eastAsia" w:ascii="宋体" w:hAnsi="宋体" w:cs="宋体"/>
          <w:bCs/>
          <w:color w:val="auto"/>
          <w:sz w:val="32"/>
          <w:szCs w:val="32"/>
          <w:highlight w:val="none"/>
          <w:lang w:eastAsia="zh-CN"/>
        </w:rPr>
        <w:t>JSZC-320200-JXCG-G2026-0020</w:t>
      </w:r>
    </w:p>
    <w:p w14:paraId="2E8F38C2">
      <w:pPr>
        <w:pageBreakBefore w:val="0"/>
        <w:kinsoku/>
        <w:bidi w:val="0"/>
        <w:spacing w:line="360" w:lineRule="auto"/>
        <w:ind w:left="1600" w:hanging="1600" w:hangingChars="500"/>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项目名称：</w:t>
      </w:r>
      <w:r>
        <w:rPr>
          <w:rFonts w:hint="eastAsia" w:ascii="宋体" w:hAnsi="宋体" w:eastAsia="宋体" w:cs="宋体"/>
          <w:bCs/>
          <w:color w:val="auto"/>
          <w:sz w:val="32"/>
          <w:szCs w:val="32"/>
          <w:highlight w:val="none"/>
          <w:lang w:eastAsia="zh-CN"/>
        </w:rPr>
        <w:t>2026—2029年市管夜景照明设施维护项目</w:t>
      </w:r>
      <w:r>
        <w:rPr>
          <w:rFonts w:hint="eastAsia" w:ascii="宋体" w:hAnsi="宋体" w:cs="宋体"/>
          <w:bCs/>
          <w:color w:val="auto"/>
          <w:sz w:val="32"/>
          <w:szCs w:val="32"/>
          <w:highlight w:val="none"/>
          <w:lang w:eastAsia="zh-CN"/>
        </w:rPr>
        <w:t>（</w:t>
      </w:r>
      <w:r>
        <w:rPr>
          <w:rFonts w:hint="eastAsia" w:ascii="宋体" w:hAnsi="宋体" w:cs="宋体"/>
          <w:bCs/>
          <w:color w:val="auto"/>
          <w:sz w:val="32"/>
          <w:szCs w:val="32"/>
          <w:highlight w:val="none"/>
          <w:lang w:val="en-US" w:eastAsia="zh-CN"/>
        </w:rPr>
        <w:t>第二次</w:t>
      </w:r>
      <w:r>
        <w:rPr>
          <w:rFonts w:hint="eastAsia" w:ascii="宋体" w:hAnsi="宋体" w:cs="宋体"/>
          <w:bCs/>
          <w:color w:val="auto"/>
          <w:sz w:val="32"/>
          <w:szCs w:val="32"/>
          <w:highlight w:val="none"/>
          <w:lang w:eastAsia="zh-CN"/>
        </w:rPr>
        <w:t>）</w:t>
      </w:r>
    </w:p>
    <w:p w14:paraId="05DC05CE">
      <w:pPr>
        <w:pageBreakBefore w:val="0"/>
        <w:kinsoku/>
        <w:bidi w:val="0"/>
        <w:spacing w:line="360" w:lineRule="auto"/>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采购人：</w:t>
      </w:r>
      <w:r>
        <w:rPr>
          <w:rFonts w:hint="eastAsia" w:ascii="宋体" w:hAnsi="宋体" w:eastAsia="宋体" w:cs="宋体"/>
          <w:bCs/>
          <w:color w:val="auto"/>
          <w:sz w:val="32"/>
          <w:szCs w:val="32"/>
          <w:highlight w:val="none"/>
          <w:lang w:eastAsia="zh-CN"/>
        </w:rPr>
        <w:t>无锡市照明和排水管理中心</w:t>
      </w:r>
    </w:p>
    <w:p w14:paraId="04322A27">
      <w:pPr>
        <w:pageBreakBefore w:val="0"/>
        <w:kinsoku/>
        <w:bidi w:val="0"/>
        <w:spacing w:line="360" w:lineRule="auto"/>
        <w:jc w:val="left"/>
        <w:rPr>
          <w:rFonts w:hint="eastAsia" w:ascii="宋体" w:hAnsi="宋体" w:eastAsia="宋体" w:cs="宋体"/>
          <w:color w:val="auto"/>
          <w:sz w:val="32"/>
          <w:szCs w:val="32"/>
          <w:highlight w:val="none"/>
          <w:shd w:val="clear" w:color="FFFFFF" w:fill="D9D9D9"/>
          <w:lang w:eastAsia="zh-CN"/>
        </w:rPr>
      </w:pPr>
      <w:r>
        <w:rPr>
          <w:rFonts w:hint="eastAsia" w:ascii="宋体" w:hAnsi="宋体" w:eastAsia="宋体" w:cs="宋体"/>
          <w:bCs/>
          <w:color w:val="auto"/>
          <w:sz w:val="32"/>
          <w:szCs w:val="32"/>
          <w:highlight w:val="none"/>
        </w:rPr>
        <w:t>采购代理机构：</w:t>
      </w:r>
      <w:r>
        <w:rPr>
          <w:rFonts w:hint="eastAsia" w:ascii="宋体" w:hAnsi="宋体" w:eastAsia="宋体" w:cs="宋体"/>
          <w:bCs/>
          <w:color w:val="auto"/>
          <w:sz w:val="32"/>
          <w:szCs w:val="32"/>
          <w:highlight w:val="none"/>
          <w:lang w:eastAsia="zh-CN"/>
        </w:rPr>
        <w:t>江苏建协全过程工程咨询有限公司</w:t>
      </w:r>
    </w:p>
    <w:p w14:paraId="461C3C2F">
      <w:pPr>
        <w:pStyle w:val="98"/>
        <w:pageBreakBefore w:val="0"/>
        <w:kinsoku/>
        <w:bidi w:val="0"/>
        <w:spacing w:line="360" w:lineRule="auto"/>
        <w:ind w:firstLine="0"/>
        <w:jc w:val="center"/>
        <w:rPr>
          <w:rFonts w:hint="eastAsia" w:ascii="宋体" w:hAnsi="宋体" w:eastAsia="宋体" w:cs="宋体"/>
          <w:color w:val="auto"/>
          <w:sz w:val="52"/>
          <w:szCs w:val="52"/>
          <w:highlight w:val="none"/>
        </w:rPr>
      </w:pPr>
      <w:r>
        <w:rPr>
          <w:rFonts w:hint="eastAsia" w:ascii="宋体" w:hAnsi="宋体" w:eastAsia="宋体" w:cs="宋体"/>
          <w:bCs/>
          <w:color w:val="auto"/>
          <w:sz w:val="32"/>
          <w:szCs w:val="32"/>
          <w:highlight w:val="none"/>
          <w:lang w:eastAsia="zh-CN"/>
        </w:rPr>
        <w:t>二〇</w:t>
      </w:r>
      <w:r>
        <w:rPr>
          <w:rFonts w:hint="eastAsia" w:ascii="宋体" w:hAnsi="宋体" w:eastAsia="宋体" w:cs="宋体"/>
          <w:bCs/>
          <w:color w:val="auto"/>
          <w:sz w:val="32"/>
          <w:szCs w:val="32"/>
          <w:highlight w:val="none"/>
        </w:rPr>
        <w:t>二</w:t>
      </w:r>
      <w:r>
        <w:rPr>
          <w:rFonts w:hint="eastAsia" w:ascii="宋体" w:hAnsi="宋体" w:eastAsia="宋体" w:cs="宋体"/>
          <w:bCs/>
          <w:color w:val="auto"/>
          <w:sz w:val="32"/>
          <w:szCs w:val="32"/>
          <w:highlight w:val="none"/>
          <w:lang w:val="en-US" w:eastAsia="zh-CN"/>
        </w:rPr>
        <w:t>六</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六</w:t>
      </w:r>
      <w:r>
        <w:rPr>
          <w:rFonts w:hint="eastAsia" w:ascii="宋体" w:hAnsi="宋体" w:eastAsia="宋体" w:cs="宋体"/>
          <w:bCs/>
          <w:color w:val="auto"/>
          <w:sz w:val="32"/>
          <w:szCs w:val="32"/>
          <w:highlight w:val="none"/>
        </w:rPr>
        <w:t>月</w:t>
      </w:r>
      <w:r>
        <w:rPr>
          <w:rFonts w:hint="eastAsia" w:ascii="宋体" w:hAnsi="宋体" w:eastAsia="宋体" w:cs="宋体"/>
          <w:bCs/>
          <w:color w:val="auto"/>
          <w:sz w:val="44"/>
          <w:szCs w:val="44"/>
          <w:highlight w:val="none"/>
        </w:rPr>
        <w:br w:type="page"/>
      </w:r>
      <w:bookmarkStart w:id="0" w:name="_Toc120614210"/>
      <w:bookmarkStart w:id="1" w:name="_Toc20823272"/>
      <w:bookmarkStart w:id="2" w:name="_Toc16938516"/>
      <w:bookmarkStart w:id="3" w:name="_Toc523127445"/>
      <w:bookmarkStart w:id="4" w:name="_Toc479757206"/>
      <w:bookmarkStart w:id="5" w:name="_Toc513029200"/>
      <w:r>
        <w:rPr>
          <w:rFonts w:hint="eastAsia" w:ascii="宋体" w:hAnsi="宋体" w:eastAsia="宋体" w:cs="宋体"/>
          <w:color w:val="auto"/>
          <w:sz w:val="52"/>
          <w:szCs w:val="52"/>
          <w:highlight w:val="none"/>
        </w:rPr>
        <w:t>目录</w:t>
      </w:r>
    </w:p>
    <w:p w14:paraId="796D6197">
      <w:pPr>
        <w:pStyle w:val="98"/>
        <w:pageBreakBefore w:val="0"/>
        <w:kinsoku/>
        <w:bidi w:val="0"/>
        <w:spacing w:line="600" w:lineRule="auto"/>
        <w:ind w:firstLine="0"/>
        <w:jc w:val="both"/>
        <w:rPr>
          <w:rFonts w:hint="eastAsia" w:ascii="宋体" w:hAnsi="宋体" w:eastAsia="宋体" w:cs="宋体"/>
          <w:color w:val="auto"/>
          <w:sz w:val="21"/>
          <w:highlight w:val="none"/>
        </w:rPr>
      </w:pPr>
    </w:p>
    <w:p w14:paraId="7E0D3C79">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TOC \o "1-1" \h \u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_Toc27711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第一章  投标邀请</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_Toc27711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3</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63E6EB20">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_Toc18519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第二章  投标人须知</w:t>
      </w:r>
      <w:bookmarkStart w:id="240" w:name="_GoBack"/>
      <w:bookmarkEnd w:id="240"/>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_Toc18519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8</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7C84B1B8">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_Toc29592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第三章  合同文本</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_Toc29592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22</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47D3FA3B">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_Toc2602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第四章 </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采购需求</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_Toc2602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39</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7933123E">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_Toc14501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第五章  评标方法与评标标准</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_Toc14501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48</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1A05ED6A">
      <w:pPr>
        <w:pStyle w:val="212"/>
        <w:pageBreakBefore w:val="0"/>
        <w:tabs>
          <w:tab w:val="right" w:leader="dot" w:pos="8953"/>
        </w:tabs>
        <w:kinsoku/>
        <w:bidi w:val="0"/>
        <w:snapToGrid w:val="0"/>
        <w:spacing w:beforeAutospacing="0" w:after="120" w:afterAutospacing="0" w:line="480" w:lineRule="auto"/>
        <w:ind w:left="0" w:leftChars="0" w:right="0" w:rightChars="0" w:firstLine="0" w:firstLineChars="0"/>
        <w:jc w:val="left"/>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_Toc25872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第六章  投标文件内容与格式</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_Toc25872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59</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p>
    <w:p w14:paraId="04A9DDD1">
      <w:pPr>
        <w:pageBreakBefore w:val="0"/>
        <w:kinsoku/>
        <w:bidi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p>
    <w:p w14:paraId="547CC55D">
      <w:pPr>
        <w:pageBreakBefore w:val="0"/>
        <w:kinsoku/>
        <w:bidi w:val="0"/>
        <w:spacing w:line="360" w:lineRule="exact"/>
        <w:rPr>
          <w:rFonts w:hint="eastAsia" w:ascii="宋体" w:hAnsi="宋体" w:eastAsia="宋体" w:cs="宋体"/>
          <w:color w:val="auto"/>
          <w:highlight w:val="none"/>
        </w:rPr>
      </w:pPr>
    </w:p>
    <w:p w14:paraId="7E4038B4">
      <w:pPr>
        <w:pageBreakBefore w:val="0"/>
        <w:kinsoku/>
        <w:bidi w:val="0"/>
        <w:spacing w:line="360" w:lineRule="exact"/>
        <w:rPr>
          <w:rFonts w:hint="eastAsia" w:ascii="宋体" w:hAnsi="宋体" w:eastAsia="宋体" w:cs="宋体"/>
          <w:color w:val="auto"/>
          <w:highlight w:val="none"/>
        </w:rPr>
      </w:pPr>
    </w:p>
    <w:p w14:paraId="041B7DC5">
      <w:pPr>
        <w:pageBreakBefore w:val="0"/>
        <w:kinsoku/>
        <w:bidi w:val="0"/>
        <w:spacing w:line="360" w:lineRule="exact"/>
        <w:rPr>
          <w:rFonts w:hint="eastAsia" w:ascii="宋体" w:hAnsi="宋体" w:eastAsia="宋体" w:cs="宋体"/>
          <w:color w:val="auto"/>
          <w:highlight w:val="none"/>
        </w:rPr>
      </w:pPr>
    </w:p>
    <w:p w14:paraId="4BB66AD3">
      <w:pPr>
        <w:pageBreakBefore w:val="0"/>
        <w:kinsoku/>
        <w:bidi w:val="0"/>
        <w:spacing w:line="360" w:lineRule="exact"/>
        <w:rPr>
          <w:rFonts w:hint="eastAsia" w:ascii="宋体" w:hAnsi="宋体" w:eastAsia="宋体" w:cs="宋体"/>
          <w:color w:val="auto"/>
          <w:highlight w:val="none"/>
        </w:rPr>
      </w:pPr>
    </w:p>
    <w:p w14:paraId="77A8E423">
      <w:pPr>
        <w:pageBreakBefore w:val="0"/>
        <w:kinsoku/>
        <w:bidi w:val="0"/>
        <w:spacing w:line="360" w:lineRule="exact"/>
        <w:rPr>
          <w:rFonts w:hint="eastAsia" w:ascii="宋体" w:hAnsi="宋体" w:eastAsia="宋体" w:cs="宋体"/>
          <w:color w:val="auto"/>
          <w:highlight w:val="none"/>
        </w:rPr>
      </w:pPr>
    </w:p>
    <w:p w14:paraId="2DC05D70">
      <w:pPr>
        <w:pageBreakBefore w:val="0"/>
        <w:kinsoku/>
        <w:bidi w:val="0"/>
        <w:spacing w:line="360" w:lineRule="exact"/>
        <w:rPr>
          <w:rFonts w:hint="eastAsia" w:ascii="宋体" w:hAnsi="宋体" w:eastAsia="宋体" w:cs="宋体"/>
          <w:color w:val="auto"/>
          <w:highlight w:val="none"/>
        </w:rPr>
      </w:pPr>
    </w:p>
    <w:p w14:paraId="2DB08626">
      <w:pPr>
        <w:pageBreakBefore w:val="0"/>
        <w:kinsoku/>
        <w:bidi w:val="0"/>
        <w:spacing w:line="360" w:lineRule="exact"/>
        <w:rPr>
          <w:rFonts w:hint="eastAsia" w:ascii="宋体" w:hAnsi="宋体" w:eastAsia="宋体" w:cs="宋体"/>
          <w:color w:val="auto"/>
          <w:highlight w:val="none"/>
        </w:rPr>
      </w:pPr>
    </w:p>
    <w:p w14:paraId="717AC1FD">
      <w:pPr>
        <w:pageBreakBefore w:val="0"/>
        <w:kinsoku/>
        <w:bidi w:val="0"/>
        <w:spacing w:line="360" w:lineRule="exact"/>
        <w:rPr>
          <w:rFonts w:hint="eastAsia" w:ascii="宋体" w:hAnsi="宋体" w:eastAsia="宋体" w:cs="宋体"/>
          <w:color w:val="auto"/>
          <w:highlight w:val="none"/>
        </w:rPr>
      </w:pPr>
    </w:p>
    <w:p w14:paraId="00EBBEFB">
      <w:pPr>
        <w:pageBreakBefore w:val="0"/>
        <w:kinsoku/>
        <w:bidi w:val="0"/>
        <w:spacing w:line="360" w:lineRule="exact"/>
        <w:rPr>
          <w:rFonts w:hint="eastAsia" w:ascii="宋体" w:hAnsi="宋体" w:eastAsia="宋体" w:cs="宋体"/>
          <w:color w:val="auto"/>
          <w:highlight w:val="none"/>
        </w:rPr>
      </w:pPr>
    </w:p>
    <w:p w14:paraId="3E9B8BAE">
      <w:pPr>
        <w:pageBreakBefore w:val="0"/>
        <w:kinsoku/>
        <w:bidi w:val="0"/>
        <w:spacing w:line="360" w:lineRule="exact"/>
        <w:rPr>
          <w:rFonts w:hint="eastAsia" w:ascii="宋体" w:hAnsi="宋体" w:eastAsia="宋体" w:cs="宋体"/>
          <w:color w:val="auto"/>
          <w:highlight w:val="none"/>
        </w:rPr>
      </w:pPr>
    </w:p>
    <w:p w14:paraId="5E567866">
      <w:pPr>
        <w:pageBreakBefore w:val="0"/>
        <w:kinsoku/>
        <w:bidi w:val="0"/>
        <w:spacing w:line="360" w:lineRule="exact"/>
        <w:rPr>
          <w:rFonts w:hint="eastAsia" w:ascii="宋体" w:hAnsi="宋体" w:eastAsia="宋体" w:cs="宋体"/>
          <w:color w:val="auto"/>
          <w:highlight w:val="none"/>
        </w:rPr>
      </w:pPr>
    </w:p>
    <w:p w14:paraId="785AD31F">
      <w:pPr>
        <w:pageBreakBefore w:val="0"/>
        <w:kinsoku/>
        <w:bidi w:val="0"/>
        <w:spacing w:line="360" w:lineRule="exact"/>
        <w:rPr>
          <w:rFonts w:hint="eastAsia" w:ascii="宋体" w:hAnsi="宋体" w:eastAsia="宋体" w:cs="宋体"/>
          <w:color w:val="auto"/>
          <w:highlight w:val="none"/>
        </w:rPr>
      </w:pPr>
    </w:p>
    <w:p w14:paraId="6179B335">
      <w:pPr>
        <w:pageBreakBefore w:val="0"/>
        <w:kinsoku/>
        <w:bidi w:val="0"/>
        <w:spacing w:line="360" w:lineRule="exact"/>
        <w:rPr>
          <w:rFonts w:hint="eastAsia" w:ascii="宋体" w:hAnsi="宋体" w:eastAsia="宋体" w:cs="宋体"/>
          <w:color w:val="auto"/>
          <w:highlight w:val="none"/>
        </w:rPr>
      </w:pPr>
    </w:p>
    <w:p w14:paraId="0678CBBC">
      <w:pPr>
        <w:pageBreakBefore w:val="0"/>
        <w:kinsoku/>
        <w:bidi w:val="0"/>
        <w:spacing w:line="360" w:lineRule="exact"/>
        <w:rPr>
          <w:rFonts w:hint="eastAsia" w:ascii="宋体" w:hAnsi="宋体" w:eastAsia="宋体" w:cs="宋体"/>
          <w:color w:val="auto"/>
          <w:highlight w:val="none"/>
        </w:rPr>
      </w:pPr>
    </w:p>
    <w:p w14:paraId="078189E1">
      <w:pPr>
        <w:pageBreakBefore w:val="0"/>
        <w:kinsoku/>
        <w:bidi w:val="0"/>
        <w:spacing w:line="360" w:lineRule="exact"/>
        <w:rPr>
          <w:rFonts w:hint="eastAsia" w:ascii="宋体" w:hAnsi="宋体" w:eastAsia="宋体" w:cs="宋体"/>
          <w:color w:val="auto"/>
          <w:highlight w:val="none"/>
        </w:rPr>
      </w:pPr>
    </w:p>
    <w:p w14:paraId="1C27B8BA">
      <w:pPr>
        <w:pageBreakBefore w:val="0"/>
        <w:kinsoku/>
        <w:bidi w:val="0"/>
        <w:spacing w:line="360" w:lineRule="exact"/>
        <w:rPr>
          <w:rFonts w:hint="eastAsia" w:ascii="宋体" w:hAnsi="宋体" w:eastAsia="宋体" w:cs="宋体"/>
          <w:color w:val="auto"/>
          <w:highlight w:val="none"/>
        </w:rPr>
      </w:pPr>
    </w:p>
    <w:p w14:paraId="2561A9F0">
      <w:pPr>
        <w:pageBreakBefore w:val="0"/>
        <w:kinsoku/>
        <w:bidi w:val="0"/>
        <w:spacing w:line="360" w:lineRule="exact"/>
        <w:rPr>
          <w:rFonts w:hint="eastAsia" w:ascii="宋体" w:hAnsi="宋体" w:eastAsia="宋体" w:cs="宋体"/>
          <w:color w:val="auto"/>
          <w:highlight w:val="none"/>
        </w:rPr>
      </w:pPr>
    </w:p>
    <w:p w14:paraId="0A66281B">
      <w:pPr>
        <w:rPr>
          <w:rFonts w:hint="eastAsia" w:ascii="宋体" w:hAnsi="宋体" w:eastAsia="宋体" w:cs="宋体"/>
          <w:highlight w:val="none"/>
        </w:rPr>
      </w:pPr>
      <w:bookmarkStart w:id="6" w:name="_Toc27711"/>
    </w:p>
    <w:p w14:paraId="6F239D1C">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第一章  投标邀请</w:t>
      </w:r>
      <w:bookmarkEnd w:id="6"/>
    </w:p>
    <w:bookmarkEnd w:id="0"/>
    <w:p w14:paraId="4705B12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无锡市照明和排水管理中心</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第二次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JSZC-320200-JXCG-G2026-0020</w:t>
      </w:r>
      <w:r>
        <w:rPr>
          <w:rFonts w:hint="eastAsia" w:ascii="宋体" w:hAnsi="宋体" w:eastAsia="宋体" w:cs="宋体"/>
          <w:color w:val="auto"/>
          <w:sz w:val="24"/>
          <w:szCs w:val="24"/>
          <w:highlight w:val="none"/>
        </w:rPr>
        <w:t>）进行公开招标采购，欢迎符合条件的供应商投标。</w:t>
      </w:r>
    </w:p>
    <w:p w14:paraId="0C78F4AE">
      <w:pPr>
        <w:pageBreakBefore w:val="0"/>
        <w:pBdr>
          <w:top w:val="single" w:color="auto" w:sz="4" w:space="1"/>
          <w:left w:val="single" w:color="auto" w:sz="4" w:space="4"/>
          <w:bottom w:val="single" w:color="auto" w:sz="4" w:space="1"/>
          <w:right w:val="single" w:color="auto" w:sz="4" w:space="4"/>
        </w:pBd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项目概况</w:t>
      </w:r>
    </w:p>
    <w:p w14:paraId="1435033A">
      <w:pPr>
        <w:pageBreakBefore w:val="0"/>
        <w:pBdr>
          <w:top w:val="single" w:color="auto" w:sz="4" w:space="1"/>
          <w:left w:val="single" w:color="auto" w:sz="4" w:space="4"/>
          <w:bottom w:val="single" w:color="auto" w:sz="4" w:space="1"/>
          <w:right w:val="single" w:color="auto" w:sz="4" w:space="4"/>
        </w:pBd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第二次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的潜在投标人应在“江苏政府采购网”自行浏览招标文件，如有投标意向须在本招标文件有效获取期内通过登录“江苏省政府采购（苏采云）平台”下载的方式依法获取招标文件，并于</w:t>
      </w:r>
      <w:r>
        <w:rPr>
          <w:rFonts w:hint="eastAsia" w:ascii="宋体" w:hAnsi="宋体" w:cs="宋体"/>
          <w:color w:val="auto"/>
          <w:sz w:val="24"/>
          <w:szCs w:val="24"/>
          <w:highlight w:val="none"/>
          <w:lang w:eastAsia="zh-CN"/>
        </w:rPr>
        <w:t>2026年7月24日</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点30分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608A2351">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7" w:name="_Toc38985263"/>
      <w:bookmarkStart w:id="8" w:name="_Toc28359079"/>
      <w:bookmarkStart w:id="9" w:name="_Toc28359002"/>
      <w:bookmarkStart w:id="10" w:name="_Toc35393621"/>
      <w:bookmarkStart w:id="11" w:name="_Toc35393790"/>
      <w:bookmarkStart w:id="12" w:name="_Hlk24379207"/>
      <w:r>
        <w:rPr>
          <w:rFonts w:hint="eastAsia" w:ascii="宋体" w:hAnsi="宋体" w:eastAsia="宋体" w:cs="宋体"/>
          <w:b/>
          <w:bCs/>
          <w:kern w:val="0"/>
          <w:sz w:val="24"/>
          <w:szCs w:val="24"/>
          <w:highlight w:val="none"/>
          <w:lang w:val="en-US" w:eastAsia="zh-CN" w:bidi="ar-SA"/>
        </w:rPr>
        <w:t>一、项目基本情况</w:t>
      </w:r>
      <w:bookmarkEnd w:id="7"/>
      <w:bookmarkEnd w:id="8"/>
      <w:bookmarkEnd w:id="9"/>
      <w:bookmarkEnd w:id="10"/>
      <w:bookmarkEnd w:id="11"/>
    </w:p>
    <w:p w14:paraId="71C31E41">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eastAsia="zh-CN"/>
        </w:rPr>
        <w:t>JSZC-320200-JXCG-G2026-0020</w:t>
      </w:r>
    </w:p>
    <w:p w14:paraId="7F317259">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第二次</w:t>
      </w:r>
      <w:r>
        <w:rPr>
          <w:rFonts w:hint="eastAsia" w:ascii="宋体" w:hAnsi="宋体" w:cs="宋体"/>
          <w:color w:val="auto"/>
          <w:sz w:val="24"/>
          <w:szCs w:val="24"/>
          <w:highlight w:val="none"/>
          <w:lang w:eastAsia="zh-CN"/>
        </w:rPr>
        <w:t>）</w:t>
      </w:r>
    </w:p>
    <w:bookmarkEnd w:id="12"/>
    <w:p w14:paraId="65CAFCE5">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3.项目</w:t>
      </w:r>
      <w:r>
        <w:rPr>
          <w:rFonts w:hint="eastAsia" w:ascii="宋体" w:hAnsi="宋体" w:cs="宋体"/>
          <w:color w:val="auto"/>
          <w:sz w:val="24"/>
          <w:szCs w:val="24"/>
          <w:highlight w:val="none"/>
          <w:lang w:val="en-US" w:eastAsia="zh-CN"/>
        </w:rPr>
        <w:t>总</w:t>
      </w:r>
      <w:r>
        <w:rPr>
          <w:rFonts w:hint="eastAsia" w:ascii="宋体" w:hAnsi="宋体" w:eastAsia="宋体" w:cs="宋体"/>
          <w:color w:val="auto"/>
          <w:sz w:val="24"/>
          <w:szCs w:val="24"/>
          <w:highlight w:val="none"/>
        </w:rPr>
        <w:t>预算金额：961.5715万元</w:t>
      </w:r>
      <w:r>
        <w:rPr>
          <w:rFonts w:hint="eastAsia" w:ascii="宋体" w:hAnsi="宋体" w:cs="宋体"/>
          <w:color w:val="auto"/>
          <w:sz w:val="24"/>
          <w:szCs w:val="24"/>
          <w:highlight w:val="none"/>
          <w:lang w:eastAsia="zh-CN"/>
        </w:rPr>
        <w:t>。</w:t>
      </w:r>
    </w:p>
    <w:p w14:paraId="219DE851">
      <w:pPr>
        <w:keepNext w:val="0"/>
        <w:keepLines w:val="0"/>
        <w:pageBreakBefore w:val="0"/>
        <w:widowControl/>
        <w:kinsoku/>
        <w:wordWrap/>
        <w:overflowPunct/>
        <w:topLine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i/>
          <w:iCs/>
          <w:color w:val="auto"/>
          <w:kern w:val="0"/>
          <w:sz w:val="24"/>
          <w:szCs w:val="24"/>
          <w:highlight w:val="none"/>
          <w:lang w:eastAsia="zh-CN"/>
        </w:rPr>
      </w:pPr>
      <w:r>
        <w:rPr>
          <w:rFonts w:hint="eastAsia" w:ascii="宋体" w:hAnsi="宋体" w:eastAsia="宋体" w:cs="宋体"/>
          <w:color w:val="auto"/>
          <w:sz w:val="24"/>
          <w:szCs w:val="24"/>
          <w:highlight w:val="none"/>
        </w:rPr>
        <w:t>4.项目最高限价：</w:t>
      </w:r>
      <w:r>
        <w:rPr>
          <w:rFonts w:hint="eastAsia" w:ascii="宋体" w:hAnsi="宋体" w:eastAsia="宋体" w:cs="宋体"/>
          <w:bCs/>
          <w:color w:val="auto"/>
          <w:kern w:val="0"/>
          <w:sz w:val="24"/>
          <w:highlight w:val="none"/>
          <w:lang w:val="en-US" w:eastAsia="zh-CN" w:bidi="ar"/>
        </w:rPr>
        <w:t>养护单价限价</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23.4元/</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/年</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三标段（中心商务区夜景照明）：限价261.32652万元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三年</w:t>
      </w:r>
      <w:r>
        <w:rPr>
          <w:rFonts w:hint="eastAsia" w:ascii="宋体" w:hAnsi="宋体" w:cs="宋体"/>
          <w:bCs/>
          <w:color w:val="auto"/>
          <w:kern w:val="0"/>
          <w:sz w:val="24"/>
          <w:highlight w:val="none"/>
          <w:lang w:val="en-US" w:eastAsia="zh-CN" w:bidi="ar"/>
        </w:rPr>
        <w:t>设施量</w:t>
      </w:r>
      <w:r>
        <w:rPr>
          <w:rFonts w:hint="eastAsia" w:ascii="宋体" w:hAnsi="宋体" w:eastAsia="宋体" w:cs="宋体"/>
          <w:bCs/>
          <w:color w:val="auto"/>
          <w:kern w:val="0"/>
          <w:sz w:val="24"/>
          <w:highlight w:val="none"/>
          <w:lang w:val="en-US" w:eastAsia="zh-CN" w:bidi="ar"/>
        </w:rPr>
        <w:t>均为37226</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，每年费用均</w:t>
      </w:r>
      <w:r>
        <w:rPr>
          <w:rFonts w:hint="eastAsia" w:ascii="宋体" w:hAnsi="宋体" w:cs="宋体"/>
          <w:bCs/>
          <w:color w:val="auto"/>
          <w:kern w:val="0"/>
          <w:sz w:val="24"/>
          <w:highlight w:val="none"/>
          <w:lang w:val="en-US" w:eastAsia="zh-CN" w:bidi="ar"/>
        </w:rPr>
        <w:t>为</w:t>
      </w:r>
      <w:r>
        <w:rPr>
          <w:rFonts w:hint="eastAsia" w:ascii="宋体" w:hAnsi="宋体" w:eastAsia="宋体" w:cs="宋体"/>
          <w:bCs/>
          <w:color w:val="auto"/>
          <w:kern w:val="0"/>
          <w:sz w:val="24"/>
          <w:highlight w:val="none"/>
          <w:lang w:val="en-US" w:eastAsia="zh-CN" w:bidi="ar"/>
        </w:rPr>
        <w:t>87.10884万元。</w:t>
      </w:r>
      <w:r>
        <w:rPr>
          <w:rFonts w:hint="eastAsia" w:ascii="宋体" w:hAnsi="宋体" w:eastAsia="宋体" w:cs="宋体"/>
          <w:bCs/>
          <w:color w:val="auto"/>
          <w:kern w:val="0"/>
          <w:sz w:val="24"/>
          <w:highlight w:val="none"/>
          <w:lang w:bidi="ar"/>
        </w:rPr>
        <w:t>投标人的报价不得超过最高限价</w:t>
      </w:r>
      <w:r>
        <w:rPr>
          <w:rFonts w:hint="eastAsia" w:ascii="宋体" w:hAnsi="宋体" w:eastAsia="宋体" w:cs="宋体"/>
          <w:bCs/>
          <w:color w:val="auto"/>
          <w:kern w:val="0"/>
          <w:sz w:val="24"/>
          <w:highlight w:val="none"/>
          <w:lang w:eastAsia="zh-CN" w:bidi="ar"/>
        </w:rPr>
        <w:t>、子项最高限价</w:t>
      </w:r>
      <w:r>
        <w:rPr>
          <w:rFonts w:hint="eastAsia" w:ascii="宋体" w:hAnsi="宋体" w:eastAsia="宋体" w:cs="宋体"/>
          <w:bCs/>
          <w:color w:val="auto"/>
          <w:kern w:val="0"/>
          <w:sz w:val="24"/>
          <w:highlight w:val="none"/>
          <w:lang w:bidi="ar"/>
        </w:rPr>
        <w:t>否则作无效投标处理</w:t>
      </w:r>
      <w:r>
        <w:rPr>
          <w:rFonts w:hint="eastAsia" w:ascii="宋体" w:hAnsi="宋体" w:eastAsia="宋体" w:cs="宋体"/>
          <w:bCs/>
          <w:color w:val="auto"/>
          <w:kern w:val="0"/>
          <w:sz w:val="24"/>
          <w:highlight w:val="none"/>
          <w:lang w:eastAsia="zh-CN" w:bidi="ar"/>
        </w:rPr>
        <w:t>。</w:t>
      </w:r>
      <w:r>
        <w:rPr>
          <w:rFonts w:hint="eastAsia" w:ascii="宋体" w:hAnsi="宋体" w:cs="宋体"/>
          <w:bCs/>
          <w:color w:val="auto"/>
          <w:kern w:val="0"/>
          <w:sz w:val="24"/>
          <w:highlight w:val="none"/>
          <w:lang w:val="en-US" w:eastAsia="zh-CN" w:bidi="ar"/>
        </w:rPr>
        <w:t>本次招标标段为三标段，一、二标段已中标的供应商不可参与本标段投标</w:t>
      </w:r>
      <w:r>
        <w:rPr>
          <w:rFonts w:hint="eastAsia" w:ascii="宋体" w:hAnsi="宋体" w:eastAsia="宋体" w:cs="宋体"/>
          <w:bCs/>
          <w:color w:val="auto"/>
          <w:kern w:val="0"/>
          <w:sz w:val="24"/>
          <w:highlight w:val="none"/>
          <w:lang w:bidi="ar"/>
        </w:rPr>
        <w:t>；</w:t>
      </w:r>
    </w:p>
    <w:p w14:paraId="6894DED9">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5.采购需求：</w:t>
      </w:r>
      <w:r>
        <w:rPr>
          <w:rFonts w:hint="eastAsia" w:ascii="宋体" w:hAnsi="宋体" w:eastAsia="宋体" w:cs="宋体"/>
          <w:bCs/>
          <w:color w:val="auto"/>
          <w:kern w:val="0"/>
          <w:sz w:val="24"/>
          <w:highlight w:val="none"/>
          <w:lang w:eastAsia="zh-CN" w:bidi="ar"/>
        </w:rPr>
        <w:t>2026—2029年市管夜景照明设施维护项目</w:t>
      </w:r>
      <w:r>
        <w:rPr>
          <w:rFonts w:hint="eastAsia" w:ascii="宋体" w:hAnsi="宋体" w:eastAsia="宋体" w:cs="宋体"/>
          <w:bCs/>
          <w:color w:val="auto"/>
          <w:kern w:val="0"/>
          <w:sz w:val="24"/>
          <w:highlight w:val="none"/>
          <w:lang w:bidi="ar"/>
        </w:rPr>
        <w:t>，</w:t>
      </w:r>
      <w:r>
        <w:rPr>
          <w:rFonts w:hint="eastAsia" w:ascii="宋体" w:hAnsi="宋体" w:eastAsia="宋体" w:cs="宋体"/>
          <w:color w:val="auto"/>
          <w:kern w:val="0"/>
          <w:sz w:val="24"/>
          <w:szCs w:val="24"/>
          <w:highlight w:val="none"/>
        </w:rPr>
        <w:t>详见招标文件第四章《采购需求》</w:t>
      </w:r>
      <w:r>
        <w:rPr>
          <w:rFonts w:hint="eastAsia" w:ascii="宋体" w:hAnsi="宋体" w:eastAsia="宋体" w:cs="宋体"/>
          <w:color w:val="auto"/>
          <w:kern w:val="0"/>
          <w:sz w:val="24"/>
          <w:szCs w:val="24"/>
          <w:highlight w:val="none"/>
          <w:lang w:eastAsia="zh-CN"/>
        </w:rPr>
        <w:t>；</w:t>
      </w:r>
    </w:p>
    <w:p w14:paraId="63CD62EF">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lang w:bidi="ar"/>
        </w:rPr>
      </w:pPr>
      <w:r>
        <w:rPr>
          <w:rFonts w:hint="eastAsia" w:ascii="宋体" w:hAnsi="宋体" w:eastAsia="宋体" w:cs="宋体"/>
          <w:color w:val="auto"/>
          <w:sz w:val="24"/>
          <w:szCs w:val="24"/>
          <w:highlight w:val="none"/>
        </w:rPr>
        <w:t>6.</w:t>
      </w:r>
      <w:r>
        <w:rPr>
          <w:rFonts w:hint="eastAsia" w:ascii="宋体" w:hAnsi="宋体" w:eastAsia="宋体" w:cs="宋体"/>
          <w:bCs/>
          <w:color w:val="auto"/>
          <w:sz w:val="24"/>
          <w:highlight w:val="none"/>
          <w:lang w:eastAsia="zh-CN"/>
        </w:rPr>
        <w:t>养护期：</w:t>
      </w:r>
      <w:r>
        <w:rPr>
          <w:rFonts w:hint="eastAsia" w:ascii="宋体" w:hAnsi="宋体" w:cs="宋体"/>
          <w:bCs/>
          <w:color w:val="auto"/>
          <w:kern w:val="0"/>
          <w:sz w:val="24"/>
          <w:highlight w:val="none"/>
          <w:lang w:eastAsia="zh-CN" w:bidi="ar"/>
        </w:rPr>
        <w:t>发布中标公告起至2029年6月30日</w:t>
      </w:r>
      <w:r>
        <w:rPr>
          <w:rFonts w:hint="eastAsia" w:ascii="宋体" w:hAnsi="宋体" w:eastAsia="宋体" w:cs="宋体"/>
          <w:bCs/>
          <w:color w:val="auto"/>
          <w:kern w:val="0"/>
          <w:sz w:val="24"/>
          <w:highlight w:val="none"/>
          <w:lang w:bidi="ar"/>
        </w:rPr>
        <w:t>；</w:t>
      </w:r>
    </w:p>
    <w:p w14:paraId="778D8FC2">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7.本项目不接受联合体投标。</w:t>
      </w:r>
    </w:p>
    <w:p w14:paraId="23C9371A">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3" w:name="_Toc28359003"/>
      <w:bookmarkStart w:id="14" w:name="_Toc28359080"/>
      <w:bookmarkStart w:id="15" w:name="_Toc35393791"/>
      <w:bookmarkStart w:id="16" w:name="_Toc38985264"/>
      <w:bookmarkStart w:id="17" w:name="_Toc35393622"/>
      <w:r>
        <w:rPr>
          <w:rFonts w:hint="eastAsia" w:ascii="宋体" w:hAnsi="宋体" w:eastAsia="宋体" w:cs="宋体"/>
          <w:b/>
          <w:bCs/>
          <w:kern w:val="0"/>
          <w:sz w:val="24"/>
          <w:szCs w:val="24"/>
          <w:highlight w:val="none"/>
          <w:lang w:val="en-US" w:eastAsia="zh-CN" w:bidi="ar-SA"/>
        </w:rPr>
        <w:t>二、申请人的资格要求</w:t>
      </w:r>
      <w:bookmarkEnd w:id="13"/>
      <w:bookmarkEnd w:id="14"/>
      <w:bookmarkEnd w:id="15"/>
      <w:bookmarkEnd w:id="16"/>
      <w:bookmarkEnd w:id="17"/>
    </w:p>
    <w:p w14:paraId="3DC52B5B">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bookmarkStart w:id="18" w:name="_Toc38985265"/>
      <w:bookmarkStart w:id="19" w:name="_Toc35393623"/>
      <w:bookmarkStart w:id="20" w:name="_Toc28359004"/>
      <w:bookmarkStart w:id="21" w:name="_Toc35393792"/>
      <w:bookmarkStart w:id="22" w:name="_Toc28359081"/>
      <w:r>
        <w:rPr>
          <w:rFonts w:hint="eastAsia" w:ascii="宋体" w:hAnsi="宋体" w:eastAsia="宋体" w:cs="宋体"/>
          <w:color w:val="auto"/>
          <w:sz w:val="24"/>
          <w:szCs w:val="24"/>
          <w:highlight w:val="none"/>
        </w:rPr>
        <w:t>1.满足《中华人民共和国政府采购法》第二十二条规定；</w:t>
      </w:r>
    </w:p>
    <w:p w14:paraId="68E03C2D">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2.在“信用中国”网站（www.creditchina.gov.cn）、中国政府采购网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查询，无被列入失信被执行人、</w:t>
      </w:r>
      <w:r>
        <w:rPr>
          <w:rFonts w:hint="eastAsia" w:ascii="宋体" w:hAnsi="宋体" w:eastAsia="宋体" w:cs="宋体"/>
          <w:color w:val="auto"/>
          <w:sz w:val="24"/>
          <w:szCs w:val="24"/>
          <w:highlight w:val="none"/>
          <w:lang w:eastAsia="zh-CN"/>
        </w:rPr>
        <w:t>重大税收违法失信主体名单</w:t>
      </w:r>
      <w:r>
        <w:rPr>
          <w:rFonts w:hint="eastAsia" w:ascii="宋体" w:hAnsi="宋体" w:eastAsia="宋体" w:cs="宋体"/>
          <w:color w:val="auto"/>
          <w:sz w:val="24"/>
          <w:szCs w:val="24"/>
          <w:highlight w:val="none"/>
        </w:rPr>
        <w:t>、政府采购严重失信行为记录名单及其他不符合《中华人民共和国政府采购法》第二十二条规定条件的信用记录；</w:t>
      </w:r>
    </w:p>
    <w:p w14:paraId="6A795529">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3.落实政府采购政策需满足的资格要求：</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rPr>
        <w:t>应为中小微企业、监狱企业、残疾人福利性单位</w:t>
      </w:r>
      <w:r>
        <w:rPr>
          <w:rFonts w:hint="eastAsia" w:ascii="宋体" w:hAnsi="宋体" w:eastAsia="宋体" w:cs="宋体"/>
          <w:color w:val="auto"/>
          <w:sz w:val="24"/>
          <w:szCs w:val="24"/>
          <w:highlight w:val="none"/>
        </w:rPr>
        <w:t>；</w:t>
      </w:r>
    </w:p>
    <w:p w14:paraId="6DF05BD3">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4.本项目的特定资格要求：</w:t>
      </w:r>
    </w:p>
    <w:p w14:paraId="14C0442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投标人应</w:t>
      </w:r>
      <w:r>
        <w:rPr>
          <w:rFonts w:hint="eastAsia" w:ascii="宋体" w:hAnsi="宋体" w:eastAsia="宋体" w:cs="宋体"/>
          <w:color w:val="auto"/>
          <w:sz w:val="24"/>
          <w:szCs w:val="24"/>
          <w:highlight w:val="none"/>
          <w:lang w:eastAsia="zh-CN"/>
        </w:rPr>
        <w:t>为在</w:t>
      </w:r>
      <w:r>
        <w:rPr>
          <w:rFonts w:hint="eastAsia" w:ascii="宋体" w:hAnsi="宋体" w:eastAsia="宋体" w:cs="宋体"/>
          <w:color w:val="auto"/>
          <w:sz w:val="24"/>
          <w:szCs w:val="24"/>
          <w:highlight w:val="none"/>
        </w:rPr>
        <w:t>中国大陆境内合法注册，具有独立法人资格</w:t>
      </w:r>
      <w:r>
        <w:rPr>
          <w:rFonts w:hint="eastAsia" w:ascii="宋体" w:hAnsi="宋体" w:eastAsia="宋体" w:cs="宋体"/>
          <w:color w:val="auto"/>
          <w:sz w:val="24"/>
          <w:szCs w:val="24"/>
          <w:highlight w:val="none"/>
          <w:lang w:eastAsia="zh-CN"/>
        </w:rPr>
        <w:t>；</w:t>
      </w:r>
    </w:p>
    <w:p w14:paraId="63A45B2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具有城市及道路照明工程专业承包三级（含）以上资质及</w:t>
      </w:r>
      <w:r>
        <w:rPr>
          <w:rFonts w:hint="eastAsia" w:ascii="宋体" w:hAnsi="宋体" w:eastAsia="宋体" w:cs="宋体"/>
          <w:color w:val="auto"/>
          <w:sz w:val="24"/>
          <w:highlight w:val="none"/>
        </w:rPr>
        <w:t>有效的安全生产许可证</w:t>
      </w:r>
      <w:r>
        <w:rPr>
          <w:rFonts w:hint="eastAsia" w:ascii="宋体" w:hAnsi="宋体" w:eastAsia="宋体" w:cs="宋体"/>
          <w:bCs/>
          <w:color w:val="auto"/>
          <w:kern w:val="0"/>
          <w:sz w:val="24"/>
          <w:highlight w:val="none"/>
        </w:rPr>
        <w:t>；</w:t>
      </w:r>
    </w:p>
    <w:p w14:paraId="7DC3E773">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lang w:val="en-US" w:eastAsia="zh-CN"/>
        </w:rPr>
        <w:t>3</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项目负责人具备[市政公用工程</w:t>
      </w:r>
      <w:r>
        <w:rPr>
          <w:rFonts w:hint="eastAsia" w:ascii="宋体" w:hAnsi="宋体" w:eastAsia="宋体" w:cs="宋体"/>
          <w:color w:val="auto"/>
          <w:sz w:val="24"/>
          <w:highlight w:val="none"/>
          <w:lang w:val="zh-CN"/>
        </w:rPr>
        <w:t>或机电安装工程专业</w:t>
      </w:r>
      <w:r>
        <w:rPr>
          <w:rFonts w:hint="eastAsia" w:ascii="宋体" w:hAnsi="宋体" w:eastAsia="宋体" w:cs="宋体"/>
          <w:bCs/>
          <w:color w:val="auto"/>
          <w:kern w:val="0"/>
          <w:sz w:val="24"/>
          <w:highlight w:val="none"/>
        </w:rPr>
        <w:t>注册建造师二级]（含）以上资格和有效期内的《建筑施工企业项目负责人安全生产考核合格证书》（B证）；</w:t>
      </w:r>
    </w:p>
    <w:p w14:paraId="4127CEA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kern w:val="0"/>
          <w:sz w:val="24"/>
          <w:highlight w:val="none"/>
        </w:rPr>
        <w:t>授权委托人和项目负责人</w:t>
      </w:r>
      <w:r>
        <w:rPr>
          <w:rFonts w:hint="eastAsia" w:ascii="宋体" w:hAnsi="宋体" w:eastAsia="宋体" w:cs="宋体"/>
          <w:color w:val="auto"/>
          <w:sz w:val="24"/>
          <w:szCs w:val="24"/>
          <w:highlight w:val="none"/>
          <w:lang w:eastAsia="zh-CN"/>
        </w:rPr>
        <w:t>应为投标人本单位在职员工</w:t>
      </w:r>
      <w:r>
        <w:rPr>
          <w:rFonts w:hint="eastAsia" w:ascii="宋体" w:hAnsi="宋体" w:eastAsia="宋体" w:cs="宋体"/>
          <w:color w:val="auto"/>
          <w:sz w:val="24"/>
          <w:szCs w:val="24"/>
          <w:highlight w:val="none"/>
        </w:rPr>
        <w:t>。</w:t>
      </w:r>
    </w:p>
    <w:p w14:paraId="7287A2E0">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三、获取招标文件</w:t>
      </w:r>
      <w:bookmarkEnd w:id="18"/>
      <w:bookmarkEnd w:id="19"/>
      <w:bookmarkEnd w:id="20"/>
      <w:bookmarkEnd w:id="21"/>
      <w:bookmarkEnd w:id="22"/>
    </w:p>
    <w:p w14:paraId="1A31A718">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bookmarkStart w:id="23" w:name="_Toc28359005"/>
      <w:bookmarkStart w:id="24" w:name="_Toc28359082"/>
      <w:bookmarkStart w:id="25" w:name="_Toc35393624"/>
      <w:bookmarkStart w:id="26" w:name="_Toc38985266"/>
      <w:bookmarkStart w:id="27" w:name="_Toc35393793"/>
      <w:r>
        <w:rPr>
          <w:rFonts w:hint="eastAsia" w:ascii="宋体" w:hAnsi="宋体" w:eastAsia="宋体" w:cs="宋体"/>
          <w:color w:val="auto"/>
          <w:sz w:val="24"/>
          <w:szCs w:val="24"/>
          <w:highlight w:val="none"/>
        </w:rPr>
        <w:t>1.时间：本招标文件有效获取期自招标文件公告发布之日起5个工作日，（有效获取期内的）每天00:00至12:00，下午12:00至23:59（北京时间，法定节假日除外）。</w:t>
      </w:r>
    </w:p>
    <w:p w14:paraId="3E8A8E58">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09E80677">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Style w:val="55"/>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3.方式：请有投标意向的供应商在招标文件有效获取期内及时至</w:t>
      </w:r>
      <w:r>
        <w:rPr>
          <w:rFonts w:hint="eastAsia" w:ascii="宋体" w:hAnsi="宋体" w:eastAsia="宋体" w:cs="宋体"/>
          <w:color w:val="auto"/>
          <w:sz w:val="24"/>
          <w:szCs w:val="24"/>
          <w:highlight w:val="none"/>
        </w:rPr>
        <w:t>“江苏省政府采购（苏采云）平台”获取。</w:t>
      </w:r>
      <w:r>
        <w:rPr>
          <w:rFonts w:hint="eastAsia" w:ascii="宋体" w:hAnsi="宋体" w:eastAsia="宋体" w:cs="宋体"/>
          <w:bCs/>
          <w:color w:val="auto"/>
          <w:sz w:val="24"/>
          <w:szCs w:val="24"/>
          <w:highlight w:val="none"/>
        </w:rPr>
        <w:t>在招标文件有效获取期限内，从</w:t>
      </w:r>
      <w:r>
        <w:rPr>
          <w:rFonts w:hint="eastAsia" w:ascii="宋体" w:hAnsi="宋体" w:eastAsia="宋体" w:cs="宋体"/>
          <w:color w:val="auto"/>
          <w:sz w:val="24"/>
          <w:szCs w:val="24"/>
          <w:highlight w:val="none"/>
        </w:rPr>
        <w:t>“江苏省政府采购（苏采云）平台”获取的</w:t>
      </w:r>
      <w:r>
        <w:rPr>
          <w:rFonts w:hint="eastAsia" w:ascii="宋体" w:hAnsi="宋体" w:eastAsia="宋体" w:cs="宋体"/>
          <w:bCs/>
          <w:color w:val="auto"/>
          <w:sz w:val="24"/>
          <w:szCs w:val="24"/>
          <w:highlight w:val="none"/>
        </w:rPr>
        <w:t>招标文件，视为依法获取的招标文件。</w:t>
      </w:r>
    </w:p>
    <w:p w14:paraId="2432E6FF">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71F1788F">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四、提交投标文件</w:t>
      </w:r>
      <w:bookmarkEnd w:id="23"/>
      <w:bookmarkEnd w:id="24"/>
      <w:r>
        <w:rPr>
          <w:rFonts w:hint="eastAsia" w:ascii="宋体" w:hAnsi="宋体" w:eastAsia="宋体" w:cs="宋体"/>
          <w:b/>
          <w:bCs/>
          <w:kern w:val="0"/>
          <w:sz w:val="24"/>
          <w:szCs w:val="24"/>
          <w:highlight w:val="none"/>
          <w:lang w:val="en-US" w:eastAsia="zh-CN" w:bidi="ar-SA"/>
        </w:rPr>
        <w:t>截止时间、开标时间和地点</w:t>
      </w:r>
      <w:bookmarkEnd w:id="25"/>
      <w:bookmarkEnd w:id="26"/>
      <w:bookmarkEnd w:id="27"/>
    </w:p>
    <w:p w14:paraId="68C1CF51">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1.时间：</w:t>
      </w:r>
      <w:r>
        <w:rPr>
          <w:rFonts w:hint="eastAsia" w:ascii="宋体" w:hAnsi="宋体" w:cs="宋体"/>
          <w:b w:val="0"/>
          <w:bCs w:val="0"/>
          <w:color w:val="auto"/>
          <w:sz w:val="24"/>
          <w:szCs w:val="24"/>
          <w:highlight w:val="none"/>
          <w:lang w:eastAsia="zh-CN"/>
        </w:rPr>
        <w:t>2026年7月24日</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点30分（北京时间）</w:t>
      </w:r>
    </w:p>
    <w:p w14:paraId="59BF6F9C">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outlineLvl w:val="2"/>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2.地点：“江苏省政府采购（苏采云）平台”网上开标大厅。</w:t>
      </w:r>
    </w:p>
    <w:p w14:paraId="004B7F9E">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8" w:name="_Toc38985267"/>
      <w:bookmarkStart w:id="29" w:name="_Toc35393794"/>
      <w:bookmarkStart w:id="30" w:name="_Toc28359007"/>
      <w:bookmarkStart w:id="31" w:name="_Toc35393625"/>
      <w:bookmarkStart w:id="32" w:name="_Toc28359084"/>
      <w:r>
        <w:rPr>
          <w:rFonts w:hint="eastAsia" w:ascii="宋体" w:hAnsi="宋体" w:eastAsia="宋体" w:cs="宋体"/>
          <w:b/>
          <w:bCs/>
          <w:kern w:val="0"/>
          <w:sz w:val="24"/>
          <w:szCs w:val="24"/>
          <w:highlight w:val="none"/>
          <w:lang w:val="en-US" w:eastAsia="zh-CN" w:bidi="ar-SA"/>
        </w:rPr>
        <w:t>五、公告期限</w:t>
      </w:r>
      <w:bookmarkEnd w:id="28"/>
      <w:bookmarkEnd w:id="29"/>
      <w:bookmarkEnd w:id="30"/>
      <w:bookmarkEnd w:id="31"/>
      <w:bookmarkEnd w:id="32"/>
    </w:p>
    <w:p w14:paraId="19FCB3B0">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bookmarkStart w:id="33" w:name="_Toc35393626"/>
      <w:bookmarkStart w:id="34" w:name="_Toc38985268"/>
      <w:bookmarkStart w:id="35" w:name="_Toc35393795"/>
      <w:r>
        <w:rPr>
          <w:rFonts w:hint="eastAsia" w:ascii="宋体" w:hAnsi="宋体" w:eastAsia="宋体" w:cs="宋体"/>
          <w:color w:val="auto"/>
          <w:kern w:val="0"/>
          <w:sz w:val="24"/>
          <w:szCs w:val="24"/>
          <w:highlight w:val="none"/>
        </w:rPr>
        <w:t>（招标公告及招标文件公告期限）自本公告发布之日起5个工作日。</w:t>
      </w:r>
    </w:p>
    <w:p w14:paraId="0DD9FB6A">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六、其他补充事宜</w:t>
      </w:r>
      <w:bookmarkEnd w:id="33"/>
      <w:bookmarkEnd w:id="34"/>
      <w:bookmarkEnd w:id="35"/>
    </w:p>
    <w:p w14:paraId="14C91C7E">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lang w:val="en-US" w:eastAsia="zh-CN"/>
        </w:rPr>
      </w:pPr>
      <w:bookmarkStart w:id="36" w:name="_Toc28359008"/>
      <w:bookmarkStart w:id="37" w:name="_Toc35393796"/>
      <w:bookmarkStart w:id="38" w:name="_Toc38985269"/>
      <w:bookmarkStart w:id="39" w:name="_Toc35393627"/>
      <w:bookmarkStart w:id="40" w:name="_Toc28359085"/>
      <w:r>
        <w:rPr>
          <w:rFonts w:hint="eastAsia" w:ascii="宋体" w:hAnsi="宋体" w:eastAsia="宋体" w:cs="宋体"/>
          <w:bCs/>
          <w:color w:val="auto"/>
          <w:sz w:val="24"/>
          <w:szCs w:val="24"/>
          <w:highlight w:val="none"/>
          <w:lang w:val="en-US" w:eastAsia="zh-CN"/>
        </w:rPr>
        <w:t>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p>
    <w:p w14:paraId="18957E5A">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七、本项目联系方式</w:t>
      </w:r>
      <w:bookmarkEnd w:id="36"/>
      <w:bookmarkEnd w:id="37"/>
      <w:bookmarkEnd w:id="38"/>
      <w:bookmarkEnd w:id="39"/>
      <w:bookmarkEnd w:id="40"/>
    </w:p>
    <w:p w14:paraId="481CA367">
      <w:pPr>
        <w:keepNext w:val="0"/>
        <w:keepLines w:val="0"/>
        <w:pageBreakBefore w:val="0"/>
        <w:kinsoku/>
        <w:wordWrap/>
        <w:overflowPunct/>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1.采购人信息</w:t>
      </w:r>
    </w:p>
    <w:p w14:paraId="15EE27B5">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lang w:eastAsia="zh-CN"/>
        </w:rPr>
        <w:t>无锡市照明和排水管理中心</w:t>
      </w:r>
    </w:p>
    <w:p w14:paraId="4ADAD562">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lang w:eastAsia="zh-CN"/>
        </w:rPr>
        <w:t xml:space="preserve">：无锡市后西溪25号 </w:t>
      </w:r>
    </w:p>
    <w:p w14:paraId="5877EC34">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联系方式：</w:t>
      </w:r>
      <w:bookmarkStart w:id="41" w:name="_Toc28359009"/>
      <w:bookmarkStart w:id="42" w:name="_Toc28359086"/>
      <w:r>
        <w:rPr>
          <w:rFonts w:hint="eastAsia" w:ascii="宋体" w:hAnsi="宋体" w:eastAsia="宋体" w:cs="宋体"/>
          <w:color w:val="auto"/>
          <w:kern w:val="0"/>
          <w:sz w:val="24"/>
          <w:szCs w:val="24"/>
          <w:highlight w:val="none"/>
        </w:rPr>
        <w:t>见“项目联系方式”</w:t>
      </w:r>
    </w:p>
    <w:p w14:paraId="1804F720">
      <w:pPr>
        <w:keepNext w:val="0"/>
        <w:keepLines w:val="0"/>
        <w:pageBreakBefore w:val="0"/>
        <w:kinsoku/>
        <w:wordWrap/>
        <w:overflowPunct/>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w:t>
      </w:r>
      <w:bookmarkEnd w:id="41"/>
      <w:bookmarkEnd w:id="42"/>
      <w:r>
        <w:rPr>
          <w:rFonts w:hint="eastAsia" w:ascii="宋体" w:hAnsi="宋体" w:eastAsia="宋体" w:cs="宋体"/>
          <w:b/>
          <w:color w:val="auto"/>
          <w:kern w:val="0"/>
          <w:sz w:val="24"/>
          <w:szCs w:val="24"/>
          <w:highlight w:val="none"/>
        </w:rPr>
        <w:t>采购代理机构信息</w:t>
      </w:r>
    </w:p>
    <w:p w14:paraId="3D2550C3">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lang w:eastAsia="zh-CN"/>
        </w:rPr>
        <w:t>江苏建协全过程工程咨询有限公司</w:t>
      </w:r>
    </w:p>
    <w:p w14:paraId="1F6392A1">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lang w:eastAsia="zh-CN"/>
        </w:rPr>
        <w:t>无锡市滨湖区蠡湖大道2018号13号楼3楼代理部</w:t>
      </w:r>
    </w:p>
    <w:p w14:paraId="4C7BEFF6">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联系方式：见“项目联系方式”</w:t>
      </w:r>
    </w:p>
    <w:p w14:paraId="64721F28">
      <w:pPr>
        <w:keepNext w:val="0"/>
        <w:keepLines w:val="0"/>
        <w:pageBreakBefore w:val="0"/>
        <w:kinsoku/>
        <w:wordWrap/>
        <w:overflowPunct/>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3.项目联系方式</w:t>
      </w:r>
    </w:p>
    <w:p w14:paraId="7D13B604">
      <w:pPr>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采购人项目咨询联系人：刘工；电话</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rPr>
        <w:t>0510-66050952</w:t>
      </w:r>
    </w:p>
    <w:p w14:paraId="045514A2">
      <w:pPr>
        <w:pStyle w:val="86"/>
        <w:keepNext w:val="0"/>
        <w:keepLines w:val="0"/>
        <w:pageBreakBefore w:val="0"/>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夏超、徐颖</w:t>
      </w:r>
      <w:r>
        <w:rPr>
          <w:rFonts w:hint="eastAsia" w:ascii="宋体" w:hAnsi="宋体" w:eastAsia="宋体" w:cs="宋体"/>
          <w:color w:val="auto"/>
          <w:sz w:val="24"/>
          <w:szCs w:val="24"/>
          <w:highlight w:val="none"/>
        </w:rPr>
        <w:t>；电话：0510-</w:t>
      </w:r>
      <w:r>
        <w:rPr>
          <w:rFonts w:hint="eastAsia" w:ascii="宋体" w:hAnsi="宋体" w:eastAsia="宋体" w:cs="宋体"/>
          <w:color w:val="auto"/>
          <w:sz w:val="24"/>
          <w:szCs w:val="24"/>
          <w:highlight w:val="none"/>
          <w:lang w:val="en-US" w:eastAsia="zh-CN"/>
        </w:rPr>
        <w:t>82835960</w:t>
      </w:r>
    </w:p>
    <w:p w14:paraId="0A0A342D">
      <w:pPr>
        <w:pStyle w:val="4"/>
        <w:keepNext w:val="0"/>
        <w:keepLines w:val="0"/>
        <w:pageBreakBefore w:val="0"/>
        <w:kinsoku/>
        <w:wordWrap/>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八、其他</w:t>
      </w:r>
    </w:p>
    <w:p w14:paraId="6AD5D89B">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（一）供应商“账号注册”及CA办理</w:t>
      </w:r>
    </w:p>
    <w:p w14:paraId="5B2B247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4AE8BA9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访问“江苏政府采购网”点击“</w:t>
      </w:r>
      <w:r>
        <w:rPr>
          <w:rFonts w:hint="eastAsia" w:ascii="宋体" w:hAnsi="宋体" w:eastAsia="宋体" w:cs="宋体"/>
          <w:color w:val="auto"/>
          <w:sz w:val="24"/>
          <w:szCs w:val="24"/>
          <w:highlight w:val="none"/>
          <w:lang w:val="en-US" w:eastAsia="zh-CN"/>
        </w:rPr>
        <w:t>办事指南</w:t>
      </w:r>
      <w:r>
        <w:rPr>
          <w:rFonts w:hint="eastAsia" w:ascii="宋体" w:hAnsi="宋体" w:eastAsia="宋体" w:cs="宋体"/>
          <w:color w:val="auto"/>
          <w:sz w:val="24"/>
          <w:szCs w:val="24"/>
          <w:highlight w:val="none"/>
        </w:rPr>
        <w:t>”选择供应商版块，点击“用户注册”按钮，进行账号注册，注册完成后需在</w:t>
      </w:r>
      <w:r>
        <w:rPr>
          <w:rFonts w:hint="eastAsia" w:ascii="宋体" w:hAnsi="宋体" w:eastAsia="宋体" w:cs="宋体"/>
          <w:bCs/>
          <w:color w:val="auto"/>
          <w:sz w:val="24"/>
          <w:szCs w:val="24"/>
          <w:highlight w:val="none"/>
        </w:rPr>
        <w:t>系统</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办理“意源”CA数字证书和“方正”电子签章（办理地址：无锡市滨湖区观山路199号12号楼</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楼</w:t>
      </w:r>
      <w:r>
        <w:rPr>
          <w:rFonts w:hint="eastAsia" w:ascii="宋体" w:hAnsi="宋体" w:eastAsia="宋体" w:cs="宋体"/>
          <w:color w:val="auto"/>
          <w:sz w:val="24"/>
          <w:szCs w:val="24"/>
          <w:highlight w:val="none"/>
          <w:lang w:val="en-US" w:eastAsia="zh-CN"/>
        </w:rPr>
        <w:t>大厅</w:t>
      </w:r>
      <w:r>
        <w:rPr>
          <w:rFonts w:hint="eastAsia" w:ascii="宋体" w:hAnsi="宋体" w:eastAsia="宋体" w:cs="宋体"/>
          <w:color w:val="auto"/>
          <w:sz w:val="24"/>
          <w:szCs w:val="24"/>
          <w:highlight w:val="none"/>
        </w:rPr>
        <w:t>），办理指南链接：http://jsxcmm.com/help/help.html。</w:t>
      </w:r>
    </w:p>
    <w:p w14:paraId="7E963418">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CA驱动下载：</w:t>
      </w:r>
    </w:p>
    <w:p w14:paraId="739DA4AC">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lang w:eastAsia="zh-CN"/>
        </w:rPr>
        <w:t>登录</w:t>
      </w:r>
      <w:r>
        <w:rPr>
          <w:rFonts w:hint="eastAsia" w:ascii="宋体" w:hAnsi="宋体" w:eastAsia="宋体" w:cs="宋体"/>
          <w:color w:val="auto"/>
          <w:sz w:val="24"/>
          <w:szCs w:val="24"/>
          <w:highlight w:val="none"/>
        </w:rPr>
        <w:t>页面，点击“驱动下载”链接中的“政务CA、方正签章控件驱动安装包及安装说明”可以直接下载驱动安装包，安装包中附有驱动安装手册。</w:t>
      </w:r>
    </w:p>
    <w:p w14:paraId="7BB4B382">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技术服务电话：0510-81827781（服务时间：工作日 9:00-11:30,13:00-17:00）</w:t>
      </w:r>
    </w:p>
    <w:p w14:paraId="4A31DE5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账号注册的供应商方可在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中进行CA绑定。登录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，插入CA后，点击【账号设置】——【绑定CA】。</w:t>
      </w:r>
    </w:p>
    <w:p w14:paraId="5EB5461E">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3.供应商应按上述要求提供相关材料信息，所提供的材料应均是真实的、准确的，若有违背，供应商自行承担由此而产生的一切后果。</w:t>
      </w:r>
    </w:p>
    <w:p w14:paraId="71895930">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17B9E737">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技术支持QQ：孙先生：442456465；王先生：1476328133。</w:t>
      </w:r>
    </w:p>
    <w:p w14:paraId="1B700F11">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（二）完成项目参与，获取招标文件</w:t>
      </w:r>
    </w:p>
    <w:p w14:paraId="3E1256D3">
      <w:pPr>
        <w:keepNext w:val="0"/>
        <w:keepLines w:val="0"/>
        <w:pageBreakBefore w:val="0"/>
        <w:widowControl/>
        <w:shd w:val="clear" w:color="auto" w:fill="FFFFFF"/>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供应商可在项目招标公告附件中查看公开招标文件，如确定参加本次采购活动，必须在</w:t>
      </w:r>
      <w:r>
        <w:rPr>
          <w:rFonts w:hint="eastAsia" w:ascii="宋体" w:hAnsi="宋体" w:eastAsia="宋体" w:cs="宋体"/>
          <w:bCs/>
          <w:color w:val="auto"/>
          <w:sz w:val="24"/>
          <w:szCs w:val="24"/>
          <w:highlight w:val="none"/>
        </w:rPr>
        <w:t>招标文件提供期限</w:t>
      </w:r>
      <w:r>
        <w:rPr>
          <w:rFonts w:hint="eastAsia" w:ascii="宋体" w:hAnsi="宋体" w:eastAsia="宋体" w:cs="宋体"/>
          <w:color w:val="auto"/>
          <w:sz w:val="24"/>
          <w:szCs w:val="24"/>
          <w:highlight w:val="none"/>
        </w:rPr>
        <w:t>内从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上传该加密的投标文件，对招标文件各项内容做出实质性响应，否则其投标文件无效。</w:t>
      </w:r>
    </w:p>
    <w:p w14:paraId="06B7EABB">
      <w:pPr>
        <w:keepNext w:val="0"/>
        <w:keepLines w:val="0"/>
        <w:pageBreakBefore w:val="0"/>
        <w:tabs>
          <w:tab w:val="left" w:pos="900"/>
        </w:tabs>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（三）有关本次采购的事项若存在变动或修改，敬请及时关注</w:t>
      </w:r>
      <w:r>
        <w:rPr>
          <w:rFonts w:hint="eastAsia" w:ascii="宋体" w:hAnsi="宋体" w:eastAsia="宋体" w:cs="宋体"/>
          <w:bCs/>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在“江苏政府采购网”发布的更正公告。</w:t>
      </w:r>
    </w:p>
    <w:p w14:paraId="2C2E930E">
      <w:pPr>
        <w:keepNext w:val="0"/>
        <w:keepLines w:val="0"/>
        <w:pageBreakBefore w:val="0"/>
        <w:tabs>
          <w:tab w:val="left" w:pos="900"/>
        </w:tabs>
        <w:kinsoku/>
        <w:wordWrap/>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（四）本次采购不收取投标保证金。</w:t>
      </w:r>
    </w:p>
    <w:p w14:paraId="669822BF">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bookmarkStart w:id="43" w:name="_Toc120614211"/>
      <w:bookmarkStart w:id="44" w:name="_Toc18519"/>
      <w:r>
        <w:rPr>
          <w:rFonts w:hint="eastAsia" w:ascii="宋体" w:hAnsi="宋体" w:eastAsia="宋体" w:cs="宋体"/>
          <w:b/>
          <w:bCs/>
          <w:kern w:val="0"/>
          <w:sz w:val="24"/>
          <w:szCs w:val="24"/>
          <w:highlight w:val="none"/>
          <w:lang w:val="en-US" w:eastAsia="zh-CN" w:bidi="ar-SA"/>
        </w:rPr>
        <w:t xml:space="preserve">第二章  </w:t>
      </w:r>
      <w:bookmarkEnd w:id="1"/>
      <w:bookmarkEnd w:id="2"/>
      <w:bookmarkEnd w:id="3"/>
      <w:bookmarkEnd w:id="4"/>
      <w:bookmarkEnd w:id="5"/>
      <w:bookmarkEnd w:id="43"/>
      <w:bookmarkStart w:id="45" w:name="_Toc120614213"/>
      <w:bookmarkStart w:id="46" w:name="_Toc513029202"/>
      <w:bookmarkStart w:id="47" w:name="_Toc20823274"/>
      <w:bookmarkStart w:id="48" w:name="_Toc16938518"/>
      <w:r>
        <w:rPr>
          <w:rFonts w:hint="eastAsia" w:ascii="宋体" w:hAnsi="宋体" w:eastAsia="宋体" w:cs="宋体"/>
          <w:b/>
          <w:bCs/>
          <w:kern w:val="0"/>
          <w:sz w:val="24"/>
          <w:szCs w:val="24"/>
          <w:highlight w:val="none"/>
          <w:lang w:val="en-US" w:eastAsia="zh-CN" w:bidi="ar-SA"/>
        </w:rPr>
        <w:t>投标人须知</w:t>
      </w:r>
      <w:bookmarkEnd w:id="44"/>
      <w:bookmarkEnd w:id="45"/>
      <w:bookmarkEnd w:id="46"/>
      <w:bookmarkEnd w:id="47"/>
      <w:bookmarkEnd w:id="48"/>
    </w:p>
    <w:p w14:paraId="3A48A479">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49" w:name="_Toc16938519"/>
      <w:bookmarkStart w:id="50" w:name="_Toc513029203"/>
      <w:bookmarkStart w:id="51" w:name="_Toc20823275"/>
      <w:bookmarkStart w:id="52" w:name="_Toc120614214"/>
      <w:r>
        <w:rPr>
          <w:rFonts w:hint="eastAsia" w:ascii="宋体" w:hAnsi="宋体" w:eastAsia="宋体" w:cs="宋体"/>
          <w:b/>
          <w:bCs/>
          <w:kern w:val="0"/>
          <w:sz w:val="24"/>
          <w:szCs w:val="24"/>
          <w:highlight w:val="none"/>
          <w:lang w:val="en-US" w:eastAsia="zh-CN" w:bidi="ar-SA"/>
        </w:rPr>
        <w:t>一、总则</w:t>
      </w:r>
      <w:bookmarkEnd w:id="49"/>
      <w:bookmarkEnd w:id="50"/>
      <w:bookmarkEnd w:id="51"/>
      <w:bookmarkEnd w:id="52"/>
    </w:p>
    <w:p w14:paraId="64433F7C">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53" w:name="_Hlt16619475"/>
      <w:bookmarkEnd w:id="53"/>
      <w:bookmarkStart w:id="54" w:name="_Toc513029204"/>
      <w:bookmarkStart w:id="55" w:name="_Toc16938520"/>
      <w:bookmarkStart w:id="56" w:name="_Toc20823276"/>
      <w:r>
        <w:rPr>
          <w:rFonts w:hint="eastAsia" w:ascii="宋体" w:hAnsi="宋体" w:eastAsia="宋体" w:cs="宋体"/>
          <w:bCs w:val="0"/>
          <w:color w:val="auto"/>
          <w:sz w:val="24"/>
          <w:highlight w:val="none"/>
        </w:rPr>
        <w:t>1.招标方式</w:t>
      </w:r>
      <w:bookmarkEnd w:id="54"/>
      <w:bookmarkEnd w:id="55"/>
      <w:bookmarkEnd w:id="56"/>
    </w:p>
    <w:p w14:paraId="5F0B723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1.1本次招标采取公开招标方式，本招标文件仅适用于招标公告中所述项目。</w:t>
      </w:r>
    </w:p>
    <w:p w14:paraId="7627E2B6">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57" w:name="_Toc20823277"/>
      <w:bookmarkStart w:id="58" w:name="_Toc16938521"/>
      <w:bookmarkStart w:id="59" w:name="_Toc513029205"/>
      <w:r>
        <w:rPr>
          <w:rFonts w:hint="eastAsia" w:ascii="宋体" w:hAnsi="宋体" w:eastAsia="宋体" w:cs="宋体"/>
          <w:bCs w:val="0"/>
          <w:color w:val="auto"/>
          <w:sz w:val="24"/>
          <w:highlight w:val="none"/>
        </w:rPr>
        <w:t>2.</w:t>
      </w:r>
      <w:bookmarkEnd w:id="57"/>
      <w:bookmarkEnd w:id="58"/>
      <w:bookmarkEnd w:id="59"/>
      <w:r>
        <w:rPr>
          <w:rFonts w:hint="eastAsia" w:ascii="宋体" w:hAnsi="宋体" w:eastAsia="宋体" w:cs="宋体"/>
          <w:bCs w:val="0"/>
          <w:color w:val="auto"/>
          <w:sz w:val="24"/>
          <w:highlight w:val="none"/>
        </w:rPr>
        <w:t>采购人、采购代理机构、投标人、联合体</w:t>
      </w:r>
    </w:p>
    <w:p w14:paraId="12665DE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04CB66D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2.2投标人（也称“供应商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3863BE4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F7B0781">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60" w:name="_Toc513029206"/>
      <w:bookmarkStart w:id="61" w:name="_Toc16938522"/>
      <w:bookmarkStart w:id="62" w:name="_Toc20823278"/>
      <w:r>
        <w:rPr>
          <w:rFonts w:hint="eastAsia" w:ascii="宋体" w:hAnsi="宋体" w:eastAsia="宋体" w:cs="宋体"/>
          <w:bCs w:val="0"/>
          <w:color w:val="auto"/>
          <w:sz w:val="24"/>
          <w:highlight w:val="none"/>
        </w:rPr>
        <w:t>3.适用法律</w:t>
      </w:r>
      <w:bookmarkEnd w:id="60"/>
      <w:bookmarkEnd w:id="61"/>
      <w:bookmarkEnd w:id="62"/>
    </w:p>
    <w:p w14:paraId="0168DD7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3A56D110">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63" w:name="_Toc16938523"/>
      <w:bookmarkStart w:id="64" w:name="_Toc513029207"/>
      <w:bookmarkStart w:id="65" w:name="_Toc462564067"/>
      <w:bookmarkStart w:id="66" w:name="_Toc20823279"/>
      <w:r>
        <w:rPr>
          <w:rFonts w:hint="eastAsia" w:ascii="宋体" w:hAnsi="宋体" w:eastAsia="宋体" w:cs="宋体"/>
          <w:bCs w:val="0"/>
          <w:color w:val="auto"/>
          <w:sz w:val="24"/>
          <w:highlight w:val="none"/>
        </w:rPr>
        <w:t>4.投标费用</w:t>
      </w:r>
      <w:bookmarkEnd w:id="63"/>
      <w:bookmarkEnd w:id="64"/>
      <w:bookmarkEnd w:id="65"/>
      <w:bookmarkEnd w:id="66"/>
    </w:p>
    <w:p w14:paraId="1CB28FC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color w:val="auto"/>
          <w:sz w:val="24"/>
          <w:highlight w:val="none"/>
        </w:rPr>
        <w:t>投标人应自行承担所有与参加投标有关的费用，无论投标过程中的做法和结果如何，</w:t>
      </w:r>
      <w:r>
        <w:rPr>
          <w:rFonts w:hint="eastAsia" w:ascii="宋体" w:hAnsi="宋体" w:eastAsia="宋体" w:cs="宋体"/>
          <w:color w:val="auto"/>
          <w:sz w:val="24"/>
          <w:highlight w:val="none"/>
          <w:lang w:eastAsia="zh-CN"/>
        </w:rPr>
        <w:t>江苏建协全过程工程咨询有限公司</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以下简称代理机构</w:t>
      </w:r>
      <w:r>
        <w:rPr>
          <w:rFonts w:hint="eastAsia" w:ascii="宋体" w:hAnsi="宋体" w:eastAsia="宋体" w:cs="宋体"/>
          <w:color w:val="auto"/>
          <w:sz w:val="24"/>
          <w:highlight w:val="none"/>
        </w:rPr>
        <w:t>）在任何情况下均无义务和责任承担这些费用。</w:t>
      </w:r>
    </w:p>
    <w:p w14:paraId="3876166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4.2本次招标标书工本费、招标文件均免费。</w:t>
      </w:r>
    </w:p>
    <w:p w14:paraId="1175E461">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5.招标文件的约束力</w:t>
      </w:r>
    </w:p>
    <w:p w14:paraId="5E3A7DB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4405078D">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67" w:name="_Toc120614215"/>
      <w:bookmarkStart w:id="68" w:name="_Toc513029209"/>
      <w:bookmarkStart w:id="69" w:name="_Toc20823281"/>
      <w:bookmarkStart w:id="70" w:name="_Toc16938525"/>
      <w:r>
        <w:rPr>
          <w:rFonts w:hint="eastAsia" w:ascii="宋体" w:hAnsi="宋体" w:eastAsia="宋体" w:cs="宋体"/>
          <w:b/>
          <w:bCs/>
          <w:kern w:val="0"/>
          <w:sz w:val="24"/>
          <w:szCs w:val="24"/>
          <w:highlight w:val="none"/>
          <w:lang w:val="en-US" w:eastAsia="zh-CN" w:bidi="ar-SA"/>
        </w:rPr>
        <w:t>二、招标文件</w:t>
      </w:r>
      <w:bookmarkEnd w:id="67"/>
      <w:bookmarkEnd w:id="68"/>
      <w:bookmarkEnd w:id="69"/>
      <w:bookmarkEnd w:id="70"/>
    </w:p>
    <w:p w14:paraId="11386FA3">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71" w:name="_Toc16938526"/>
      <w:bookmarkStart w:id="72" w:name="_Toc20823282"/>
      <w:bookmarkStart w:id="73" w:name="_Toc513029210"/>
      <w:r>
        <w:rPr>
          <w:rFonts w:hint="eastAsia" w:ascii="宋体" w:hAnsi="宋体" w:eastAsia="宋体" w:cs="宋体"/>
          <w:bCs w:val="0"/>
          <w:color w:val="auto"/>
          <w:sz w:val="24"/>
          <w:highlight w:val="none"/>
        </w:rPr>
        <w:t>6.招标文件构成</w:t>
      </w:r>
      <w:bookmarkEnd w:id="71"/>
      <w:bookmarkEnd w:id="72"/>
      <w:bookmarkEnd w:id="73"/>
    </w:p>
    <w:p w14:paraId="285A628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招标文件由以下部分组成：</w:t>
      </w:r>
    </w:p>
    <w:p w14:paraId="315FDC4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投标邀请</w:t>
      </w:r>
    </w:p>
    <w:p w14:paraId="3333238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投标人须知</w:t>
      </w:r>
    </w:p>
    <w:p w14:paraId="59EDECB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合同文本</w:t>
      </w:r>
    </w:p>
    <w:p w14:paraId="416598B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采购需求</w:t>
      </w:r>
    </w:p>
    <w:p w14:paraId="432B04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评标方法与评标标准</w:t>
      </w:r>
    </w:p>
    <w:p w14:paraId="6A18B7A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投标文件内容与格式</w:t>
      </w:r>
    </w:p>
    <w:p w14:paraId="1714D3A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联系解决。</w:t>
      </w:r>
    </w:p>
    <w:p w14:paraId="2A2E6F2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3387079">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74" w:name="_Toc513029211"/>
      <w:bookmarkStart w:id="75" w:name="_Toc20823283"/>
      <w:bookmarkStart w:id="76" w:name="_Toc16938527"/>
      <w:bookmarkStart w:id="77" w:name="_Toc462564070"/>
      <w:r>
        <w:rPr>
          <w:rFonts w:hint="eastAsia" w:ascii="宋体" w:hAnsi="宋体" w:eastAsia="宋体" w:cs="宋体"/>
          <w:bCs w:val="0"/>
          <w:color w:val="auto"/>
          <w:sz w:val="24"/>
          <w:highlight w:val="none"/>
        </w:rPr>
        <w:t>7.招标文件的澄清</w:t>
      </w:r>
      <w:bookmarkEnd w:id="74"/>
      <w:bookmarkEnd w:id="75"/>
      <w:bookmarkEnd w:id="76"/>
      <w:bookmarkEnd w:id="77"/>
    </w:p>
    <w:p w14:paraId="78FA291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color w:val="auto"/>
          <w:sz w:val="24"/>
          <w:highlight w:val="none"/>
          <w:lang w:eastAsia="zh-CN"/>
        </w:rPr>
        <w:t>代理机构</w:t>
      </w:r>
      <w:r>
        <w:rPr>
          <w:rFonts w:hint="eastAsia" w:ascii="宋体" w:hAnsi="宋体" w:eastAsia="宋体" w:cs="宋体"/>
          <w:bCs/>
          <w:color w:val="auto"/>
          <w:sz w:val="24"/>
          <w:highlight w:val="none"/>
        </w:rPr>
        <w:t>。</w:t>
      </w:r>
    </w:p>
    <w:p w14:paraId="32868A2C">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78" w:name="_Toc20823284"/>
      <w:bookmarkStart w:id="79" w:name="_Toc16938528"/>
      <w:bookmarkStart w:id="80" w:name="_Toc462564071"/>
      <w:bookmarkStart w:id="81" w:name="_Toc513029212"/>
      <w:r>
        <w:rPr>
          <w:rFonts w:hint="eastAsia" w:ascii="宋体" w:hAnsi="宋体" w:eastAsia="宋体" w:cs="宋体"/>
          <w:bCs w:val="0"/>
          <w:color w:val="auto"/>
          <w:sz w:val="24"/>
          <w:highlight w:val="none"/>
        </w:rPr>
        <w:t>8.招标文件的修改</w:t>
      </w:r>
      <w:bookmarkEnd w:id="78"/>
      <w:bookmarkEnd w:id="79"/>
      <w:bookmarkEnd w:id="80"/>
      <w:bookmarkEnd w:id="81"/>
    </w:p>
    <w:p w14:paraId="3EE5671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highlight w:val="none"/>
          <w:lang w:eastAsia="zh-CN"/>
        </w:rPr>
        <w:t>代理机构</w:t>
      </w:r>
      <w:r>
        <w:rPr>
          <w:rFonts w:hint="eastAsia" w:ascii="宋体" w:hAnsi="宋体" w:eastAsia="宋体" w:cs="宋体"/>
          <w:bCs/>
          <w:color w:val="auto"/>
          <w:sz w:val="24"/>
          <w:szCs w:val="24"/>
          <w:highlight w:val="none"/>
        </w:rPr>
        <w:t>可在投标截止时间十五日前对招标文件进行必要的澄清或者修改，不足十五日的，将顺延提交投标文件的截止时间和开标日期。</w:t>
      </w:r>
    </w:p>
    <w:p w14:paraId="75392A0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bCs/>
          <w:color w:val="auto"/>
          <w:sz w:val="24"/>
          <w:szCs w:val="24"/>
          <w:highlight w:val="none"/>
        </w:rPr>
        <w:t>如需对招标文件进行澄清或修改，</w:t>
      </w:r>
      <w:r>
        <w:rPr>
          <w:rFonts w:hint="eastAsia" w:ascii="宋体" w:hAnsi="宋体" w:eastAsia="宋体" w:cs="宋体"/>
          <w:color w:val="auto"/>
          <w:sz w:val="24"/>
          <w:highlight w:val="none"/>
          <w:lang w:eastAsia="zh-CN"/>
        </w:rPr>
        <w:t>代理机构</w:t>
      </w:r>
      <w:r>
        <w:rPr>
          <w:rFonts w:hint="eastAsia" w:ascii="宋体" w:hAnsi="宋体" w:eastAsia="宋体" w:cs="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因投标人未尽注意义务，未及时更新上传投标文件</w:t>
      </w:r>
      <w:r>
        <w:rPr>
          <w:rFonts w:hint="eastAsia" w:ascii="宋体" w:hAnsi="宋体" w:eastAsia="宋体" w:cs="宋体"/>
          <w:color w:val="auto"/>
          <w:sz w:val="24"/>
          <w:szCs w:val="24"/>
          <w:highlight w:val="none"/>
        </w:rPr>
        <w:t>或未</w:t>
      </w:r>
      <w:r>
        <w:rPr>
          <w:rFonts w:hint="eastAsia" w:ascii="宋体" w:hAnsi="宋体" w:eastAsia="宋体" w:cs="宋体"/>
          <w:bCs/>
          <w:color w:val="auto"/>
          <w:sz w:val="24"/>
          <w:szCs w:val="24"/>
          <w:highlight w:val="none"/>
        </w:rPr>
        <w:t>全面地关注更正公告导致其提交的投标材料不符合本项目相关招标要求，而造成的损失及风险（包括但不限于未中标）由投标人自行承担。</w:t>
      </w:r>
    </w:p>
    <w:p w14:paraId="644EE6C2">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82" w:name="_Toc16938529"/>
      <w:bookmarkStart w:id="83" w:name="_Toc120614216"/>
      <w:bookmarkStart w:id="84" w:name="_Toc20823285"/>
      <w:bookmarkStart w:id="85" w:name="_Toc513029213"/>
      <w:bookmarkStart w:id="86" w:name="_Toc462564072"/>
      <w:r>
        <w:rPr>
          <w:rFonts w:hint="eastAsia" w:ascii="宋体" w:hAnsi="宋体" w:eastAsia="宋体" w:cs="宋体"/>
          <w:b/>
          <w:bCs/>
          <w:kern w:val="0"/>
          <w:sz w:val="24"/>
          <w:szCs w:val="24"/>
          <w:highlight w:val="none"/>
          <w:lang w:val="en-US" w:eastAsia="zh-CN" w:bidi="ar-SA"/>
        </w:rPr>
        <w:t>三、投标文件的编制</w:t>
      </w:r>
      <w:bookmarkEnd w:id="82"/>
      <w:bookmarkEnd w:id="83"/>
      <w:bookmarkEnd w:id="84"/>
      <w:bookmarkEnd w:id="85"/>
      <w:bookmarkEnd w:id="86"/>
    </w:p>
    <w:p w14:paraId="0E297F17">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87" w:name="_Toc16938530"/>
      <w:bookmarkStart w:id="88" w:name="_Toc20823286"/>
      <w:bookmarkStart w:id="89" w:name="_Toc462564073"/>
      <w:bookmarkStart w:id="90" w:name="_Toc513029214"/>
      <w:r>
        <w:rPr>
          <w:rFonts w:hint="eastAsia" w:ascii="宋体" w:hAnsi="宋体" w:eastAsia="宋体" w:cs="宋体"/>
          <w:bCs w:val="0"/>
          <w:color w:val="auto"/>
          <w:sz w:val="24"/>
          <w:highlight w:val="none"/>
        </w:rPr>
        <w:t>9.投标文件的语言及度量衡单位</w:t>
      </w:r>
      <w:bookmarkEnd w:id="87"/>
      <w:bookmarkEnd w:id="88"/>
      <w:bookmarkEnd w:id="89"/>
      <w:bookmarkEnd w:id="90"/>
    </w:p>
    <w:p w14:paraId="26C4E81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投标人提交的投标文件以及投标人与</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就有关投标的所有来往通知、函件和文件均应使用</w:t>
      </w:r>
      <w:r>
        <w:rPr>
          <w:rFonts w:hint="eastAsia" w:ascii="宋体" w:hAnsi="宋体" w:eastAsia="宋体" w:cs="宋体"/>
          <w:bCs/>
          <w:color w:val="auto"/>
          <w:sz w:val="24"/>
          <w:highlight w:val="none"/>
        </w:rPr>
        <w:t>简体中文</w:t>
      </w:r>
      <w:r>
        <w:rPr>
          <w:rFonts w:hint="eastAsia" w:ascii="宋体" w:hAnsi="宋体" w:eastAsia="宋体" w:cs="宋体"/>
          <w:bCs/>
          <w:color w:val="auto"/>
          <w:sz w:val="24"/>
          <w:szCs w:val="24"/>
          <w:highlight w:val="none"/>
        </w:rPr>
        <w:t>（规格、型号辅助符号例外）</w:t>
      </w:r>
      <w:r>
        <w:rPr>
          <w:rFonts w:hint="eastAsia" w:ascii="宋体" w:hAnsi="宋体" w:eastAsia="宋体" w:cs="宋体"/>
          <w:color w:val="auto"/>
          <w:sz w:val="24"/>
          <w:highlight w:val="none"/>
        </w:rPr>
        <w:t>。</w:t>
      </w:r>
    </w:p>
    <w:p w14:paraId="1F1F723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除技术性能另有规定外，投标文件所使用的度量衡单位，均须采用国家法定计量单位。</w:t>
      </w:r>
    </w:p>
    <w:p w14:paraId="13BBC649">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91" w:name="_Toc462564074"/>
      <w:bookmarkStart w:id="92" w:name="_Toc20823287"/>
      <w:bookmarkStart w:id="93" w:name="_Toc16938531"/>
      <w:bookmarkStart w:id="94" w:name="_Toc513029215"/>
      <w:r>
        <w:rPr>
          <w:rFonts w:hint="eastAsia" w:ascii="宋体" w:hAnsi="宋体" w:eastAsia="宋体" w:cs="宋体"/>
          <w:bCs w:val="0"/>
          <w:color w:val="auto"/>
          <w:sz w:val="24"/>
          <w:highlight w:val="none"/>
        </w:rPr>
        <w:t>10.投标文件构成</w:t>
      </w:r>
      <w:bookmarkEnd w:id="91"/>
      <w:bookmarkEnd w:id="92"/>
      <w:bookmarkEnd w:id="93"/>
      <w:bookmarkEnd w:id="94"/>
    </w:p>
    <w:p w14:paraId="7C73977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C4423E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10.2投标人所须提供的相关证明文件和要求以及投标文件的部分格式要求，详见第六章《投标文件内容与格式》。</w:t>
      </w:r>
    </w:p>
    <w:p w14:paraId="0D05C14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10.3如标书制作工具中格式和内容与招标文件不一致的，请以招标文件为准。</w:t>
      </w:r>
    </w:p>
    <w:p w14:paraId="45D2C37F">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597F011">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不得有体现投标人身份的内容是指：</w:t>
      </w:r>
    </w:p>
    <w:p w14:paraId="584A7A0F">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10.4.1技术部分不得出现能够体现投标人身份、名称的相关描述、材料、文件等内容；</w:t>
      </w:r>
    </w:p>
    <w:p w14:paraId="7977E23D">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10.4.2技术部分不得更改，不得在其中涂改、标注或做任何可以辨认投标人及所属人员身份的名称、</w:t>
      </w:r>
      <w:r>
        <w:rPr>
          <w:rFonts w:hint="eastAsia" w:ascii="宋体" w:hAnsi="宋体" w:cs="宋体"/>
          <w:b/>
          <w:color w:val="auto"/>
          <w:sz w:val="24"/>
          <w:highlight w:val="none"/>
          <w:lang w:val="en-US" w:eastAsia="zh-CN"/>
        </w:rPr>
        <w:t>标识</w:t>
      </w:r>
      <w:r>
        <w:rPr>
          <w:rFonts w:hint="eastAsia" w:ascii="宋体" w:hAnsi="宋体" w:eastAsia="宋体" w:cs="宋体"/>
          <w:b/>
          <w:color w:val="auto"/>
          <w:sz w:val="24"/>
          <w:highlight w:val="none"/>
        </w:rPr>
        <w:t>、印章、商标等标记；</w:t>
      </w:r>
    </w:p>
    <w:p w14:paraId="22FC0CD7">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10.4.3不得采用任何不符合常规、有别于其他投标人的特殊做法；</w:t>
      </w:r>
    </w:p>
    <w:p w14:paraId="494154BE">
      <w:pPr>
        <w:keepNext w:val="0"/>
        <w:keepLines w:val="0"/>
        <w:pageBreakBefore w:val="0"/>
        <w:widowControl w:val="0"/>
        <w:kinsoku/>
        <w:overflowPunct/>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10.4.4不得有其他体现投标人身份的内容。</w:t>
      </w:r>
    </w:p>
    <w:p w14:paraId="0D85745E">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95" w:name="_Hlt26668975"/>
      <w:bookmarkEnd w:id="95"/>
      <w:bookmarkStart w:id="96" w:name="_Hlt26670360"/>
      <w:bookmarkEnd w:id="96"/>
      <w:bookmarkStart w:id="97" w:name="_Hlt26954838"/>
      <w:bookmarkEnd w:id="97"/>
      <w:bookmarkStart w:id="98" w:name="_Toc49090509"/>
      <w:bookmarkStart w:id="99" w:name="_Toc14577357"/>
      <w:bookmarkStart w:id="100" w:name="_Toc513029219"/>
      <w:bookmarkStart w:id="101" w:name="_Toc513029216"/>
      <w:bookmarkStart w:id="102" w:name="_Toc14577354"/>
      <w:bookmarkStart w:id="103" w:name="_Toc49090507"/>
      <w:r>
        <w:rPr>
          <w:rFonts w:hint="eastAsia" w:ascii="宋体" w:hAnsi="宋体" w:eastAsia="宋体" w:cs="宋体"/>
          <w:bCs w:val="0"/>
          <w:color w:val="auto"/>
          <w:sz w:val="24"/>
          <w:highlight w:val="none"/>
        </w:rPr>
        <w:t>11.证明投标人及投标标的符合招标文件规定的文件</w:t>
      </w:r>
      <w:bookmarkEnd w:id="98"/>
      <w:bookmarkEnd w:id="99"/>
      <w:bookmarkEnd w:id="100"/>
    </w:p>
    <w:bookmarkEnd w:id="101"/>
    <w:bookmarkEnd w:id="102"/>
    <w:bookmarkEnd w:id="103"/>
    <w:p w14:paraId="3EBDF42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bookmarkStart w:id="104" w:name="_Toc49090508"/>
      <w:bookmarkStart w:id="105" w:name="_Toc14577355"/>
      <w:r>
        <w:rPr>
          <w:rFonts w:hint="eastAsia" w:ascii="宋体" w:hAnsi="宋体" w:eastAsia="宋体" w:cs="宋体"/>
          <w:bCs/>
          <w:color w:val="auto"/>
          <w:sz w:val="24"/>
          <w:highlight w:val="none"/>
        </w:rPr>
        <w:t>11.1投标人应按照</w:t>
      </w:r>
      <w:r>
        <w:rPr>
          <w:rFonts w:hint="eastAsia" w:ascii="宋体" w:hAnsi="宋体" w:eastAsia="宋体" w:cs="宋体"/>
          <w:bCs/>
          <w:color w:val="auto"/>
          <w:sz w:val="24"/>
          <w:highlight w:val="none"/>
          <w:lang w:eastAsia="zh-CN"/>
        </w:rPr>
        <w:t>法律法规</w:t>
      </w:r>
      <w:r>
        <w:rPr>
          <w:rFonts w:hint="eastAsia" w:ascii="宋体" w:hAnsi="宋体" w:eastAsia="宋体" w:cs="宋体"/>
          <w:bCs/>
          <w:color w:val="auto"/>
          <w:sz w:val="24"/>
          <w:highlight w:val="none"/>
        </w:rPr>
        <w:t>、规章和规范性文件以及招标文件要求提交证明文件，证明</w:t>
      </w:r>
      <w:r>
        <w:rPr>
          <w:rFonts w:hint="eastAsia" w:ascii="宋体" w:hAnsi="宋体" w:eastAsia="宋体" w:cs="宋体"/>
          <w:bCs/>
          <w:color w:val="auto"/>
          <w:sz w:val="24"/>
          <w:highlight w:val="none"/>
          <w:lang w:eastAsia="zh-CN"/>
        </w:rPr>
        <w:t>其</w:t>
      </w:r>
      <w:r>
        <w:rPr>
          <w:rFonts w:hint="eastAsia" w:ascii="宋体" w:hAnsi="宋体" w:eastAsia="宋体" w:cs="宋体"/>
          <w:bCs/>
          <w:color w:val="auto"/>
          <w:sz w:val="24"/>
          <w:highlight w:val="none"/>
        </w:rPr>
        <w:t>投标标的符合招标文</w:t>
      </w:r>
      <w:r>
        <w:rPr>
          <w:rFonts w:hint="eastAsia" w:ascii="宋体" w:hAnsi="宋体" w:eastAsia="宋体" w:cs="宋体"/>
          <w:bCs/>
          <w:color w:val="auto"/>
          <w:sz w:val="24"/>
          <w:highlight w:val="none"/>
          <w:lang w:eastAsia="zh-CN"/>
        </w:rPr>
        <w:t>件的</w:t>
      </w:r>
      <w:r>
        <w:rPr>
          <w:rFonts w:hint="eastAsia" w:ascii="宋体" w:hAnsi="宋体" w:eastAsia="宋体" w:cs="宋体"/>
          <w:bCs/>
          <w:color w:val="auto"/>
          <w:sz w:val="24"/>
          <w:highlight w:val="none"/>
        </w:rPr>
        <w:t>规定。</w:t>
      </w:r>
    </w:p>
    <w:p w14:paraId="2052D8E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2BA49CAB">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06" w:name="_Toc49090510"/>
      <w:bookmarkStart w:id="107" w:name="_Toc14577359"/>
      <w:r>
        <w:rPr>
          <w:rFonts w:hint="eastAsia" w:ascii="宋体" w:hAnsi="宋体" w:eastAsia="宋体" w:cs="宋体"/>
          <w:bCs w:val="0"/>
          <w:color w:val="auto"/>
          <w:sz w:val="24"/>
          <w:highlight w:val="none"/>
        </w:rPr>
        <w:t>12.投标函、承诺书和开标一览表</w:t>
      </w:r>
    </w:p>
    <w:p w14:paraId="5EB1701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投标人应按照招标文件中提供的格式完整、正确填写投标函、承诺书和开标一览表。</w:t>
      </w:r>
    </w:p>
    <w:p w14:paraId="18193C1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12.2对于采用货币报价的项目，开标一览表中的投标总报价应与分项报价表的总额一致，如不一致，不作为无效投标处理，但评标时按开标一览表中价格为准。</w:t>
      </w:r>
    </w:p>
    <w:bookmarkEnd w:id="106"/>
    <w:bookmarkEnd w:id="107"/>
    <w:p w14:paraId="170544F2">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13.</w:t>
      </w:r>
      <w:bookmarkEnd w:id="104"/>
      <w:bookmarkEnd w:id="105"/>
      <w:r>
        <w:rPr>
          <w:rFonts w:hint="eastAsia" w:ascii="宋体" w:hAnsi="宋体" w:eastAsia="宋体" w:cs="宋体"/>
          <w:bCs w:val="0"/>
          <w:color w:val="auto"/>
          <w:sz w:val="24"/>
          <w:highlight w:val="none"/>
        </w:rPr>
        <w:t>分项报价表</w:t>
      </w:r>
    </w:p>
    <w:p w14:paraId="7C7834C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13.1</w:t>
      </w:r>
      <w:r>
        <w:rPr>
          <w:rFonts w:hint="eastAsia" w:ascii="宋体" w:hAnsi="宋体" w:eastAsia="宋体" w:cs="宋体"/>
          <w:color w:val="auto"/>
          <w:sz w:val="24"/>
          <w:highlight w:val="none"/>
        </w:rPr>
        <w:t>投</w:t>
      </w:r>
      <w:bookmarkStart w:id="108" w:name="_Hlt26954840"/>
      <w:bookmarkEnd w:id="108"/>
      <w:r>
        <w:rPr>
          <w:rFonts w:hint="eastAsia" w:ascii="宋体" w:hAnsi="宋体" w:eastAsia="宋体" w:cs="宋体"/>
          <w:color w:val="auto"/>
          <w:sz w:val="24"/>
          <w:highlight w:val="none"/>
        </w:rPr>
        <w:t>标人应按照招标文件规定格式填报</w:t>
      </w:r>
      <w:bookmarkStart w:id="109" w:name="_Hlt26670399"/>
      <w:bookmarkEnd w:id="109"/>
      <w:r>
        <w:rPr>
          <w:rFonts w:hint="eastAsia" w:ascii="宋体" w:hAnsi="宋体" w:eastAsia="宋体" w:cs="宋体"/>
          <w:color w:val="auto"/>
          <w:sz w:val="24"/>
          <w:highlight w:val="none"/>
        </w:rPr>
        <w:t>分项报价表。</w:t>
      </w:r>
    </w:p>
    <w:p w14:paraId="69D64FC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13.2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14:paraId="1EA030E0">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10" w:name="_Hlt26954848"/>
      <w:bookmarkEnd w:id="110"/>
      <w:bookmarkStart w:id="111" w:name="_Hlt26954846"/>
      <w:bookmarkEnd w:id="111"/>
      <w:bookmarkStart w:id="112" w:name="_Hlt26668983"/>
      <w:bookmarkEnd w:id="112"/>
      <w:bookmarkStart w:id="113" w:name="_Hlt26670486"/>
      <w:bookmarkEnd w:id="113"/>
      <w:bookmarkStart w:id="114" w:name="_Hlt26670403"/>
      <w:bookmarkEnd w:id="114"/>
      <w:bookmarkStart w:id="115" w:name="_Hlt26954731"/>
      <w:bookmarkEnd w:id="115"/>
      <w:bookmarkStart w:id="116" w:name="_Hlt26670425"/>
      <w:bookmarkEnd w:id="116"/>
      <w:bookmarkStart w:id="117" w:name="_Hlt26954842"/>
      <w:bookmarkEnd w:id="117"/>
      <w:bookmarkStart w:id="118" w:name="_Hlt26670482"/>
      <w:bookmarkEnd w:id="118"/>
      <w:bookmarkStart w:id="119" w:name="_Hlt26954844"/>
      <w:bookmarkEnd w:id="119"/>
      <w:r>
        <w:rPr>
          <w:rFonts w:hint="eastAsia" w:ascii="宋体" w:hAnsi="宋体" w:eastAsia="宋体" w:cs="宋体"/>
          <w:bCs w:val="0"/>
          <w:color w:val="auto"/>
          <w:sz w:val="24"/>
          <w:highlight w:val="none"/>
        </w:rPr>
        <w:t>14.投标偏离表</w:t>
      </w:r>
    </w:p>
    <w:p w14:paraId="30B7B920">
      <w:pPr>
        <w:keepNext w:val="0"/>
        <w:keepLines w:val="0"/>
        <w:pageBreakBefore w:val="0"/>
        <w:widowControl w:val="0"/>
        <w:tabs>
          <w:tab w:val="left" w:pos="1035"/>
        </w:tabs>
        <w:kinsoku/>
        <w:overflowPunct/>
        <w:autoSpaceDE w:val="0"/>
        <w:autoSpaceDN w:val="0"/>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投标人可在投标文件中提供认为需要的其他技术文件或说明。</w:t>
      </w:r>
    </w:p>
    <w:p w14:paraId="052E6184">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20" w:name="_Hlt26954734"/>
      <w:bookmarkEnd w:id="120"/>
      <w:bookmarkStart w:id="121" w:name="_Hlt26670489"/>
      <w:bookmarkEnd w:id="121"/>
      <w:bookmarkStart w:id="122" w:name="_Hlt26954850"/>
      <w:bookmarkEnd w:id="122"/>
      <w:bookmarkStart w:id="123" w:name="_Toc14577360"/>
      <w:bookmarkStart w:id="124" w:name="_Toc49090511"/>
      <w:r>
        <w:rPr>
          <w:rFonts w:hint="eastAsia" w:ascii="宋体" w:hAnsi="宋体" w:eastAsia="宋体" w:cs="宋体"/>
          <w:bCs w:val="0"/>
          <w:color w:val="auto"/>
          <w:sz w:val="24"/>
          <w:highlight w:val="none"/>
        </w:rPr>
        <w:t>15.投标有效期</w:t>
      </w:r>
      <w:bookmarkEnd w:id="123"/>
      <w:bookmarkEnd w:id="124"/>
    </w:p>
    <w:p w14:paraId="597372E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bCs/>
          <w:color w:val="auto"/>
          <w:sz w:val="24"/>
          <w:highlight w:val="none"/>
        </w:rPr>
        <w:t>投标有效期为招标文件规定的开标之日后</w:t>
      </w:r>
      <w:r>
        <w:rPr>
          <w:rFonts w:hint="eastAsia" w:ascii="宋体" w:hAnsi="宋体" w:eastAsia="宋体" w:cs="宋体"/>
          <w:color w:val="auto"/>
          <w:sz w:val="24"/>
          <w:highlight w:val="none"/>
        </w:rPr>
        <w:t>九十（90）天</w:t>
      </w:r>
      <w:r>
        <w:rPr>
          <w:rFonts w:hint="eastAsia" w:ascii="宋体" w:hAnsi="宋体" w:eastAsia="宋体" w:cs="宋体"/>
          <w:bCs/>
          <w:color w:val="auto"/>
          <w:sz w:val="24"/>
          <w:highlight w:val="none"/>
        </w:rPr>
        <w:t>。投标有效期比规定短的将被视为未实质性响应招标文件而予以拒绝。</w:t>
      </w:r>
    </w:p>
    <w:p w14:paraId="699F387C">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16.投标有效期的延长</w:t>
      </w:r>
    </w:p>
    <w:p w14:paraId="6E19CFA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在特殊情况下，</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14:paraId="689F347D">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25" w:name="_Hlt26954739"/>
      <w:bookmarkEnd w:id="125"/>
      <w:bookmarkStart w:id="126" w:name="_Hlt26954852"/>
      <w:bookmarkEnd w:id="126"/>
      <w:bookmarkStart w:id="127" w:name="_Toc513029224"/>
      <w:bookmarkStart w:id="128" w:name="_Toc120614217"/>
      <w:bookmarkStart w:id="129" w:name="_Toc16938540"/>
      <w:bookmarkStart w:id="130" w:name="_Toc20823296"/>
      <w:r>
        <w:rPr>
          <w:rFonts w:hint="eastAsia" w:ascii="宋体" w:hAnsi="宋体" w:eastAsia="宋体" w:cs="宋体"/>
          <w:b/>
          <w:bCs/>
          <w:kern w:val="0"/>
          <w:sz w:val="24"/>
          <w:szCs w:val="24"/>
          <w:highlight w:val="none"/>
          <w:lang w:val="en-US" w:eastAsia="zh-CN" w:bidi="ar-SA"/>
        </w:rPr>
        <w:t>四、投标文件的递交</w:t>
      </w:r>
      <w:bookmarkEnd w:id="127"/>
      <w:bookmarkEnd w:id="128"/>
      <w:bookmarkEnd w:id="129"/>
      <w:bookmarkEnd w:id="130"/>
    </w:p>
    <w:p w14:paraId="13303A72">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31" w:name="_Toc513029225"/>
      <w:bookmarkStart w:id="132" w:name="_Toc462564084"/>
      <w:bookmarkStart w:id="133" w:name="_Toc20823297"/>
      <w:bookmarkStart w:id="134" w:name="_Toc16938541"/>
      <w:r>
        <w:rPr>
          <w:rFonts w:hint="eastAsia" w:ascii="宋体" w:hAnsi="宋体" w:eastAsia="宋体" w:cs="宋体"/>
          <w:bCs w:val="0"/>
          <w:color w:val="auto"/>
          <w:sz w:val="24"/>
          <w:highlight w:val="none"/>
        </w:rPr>
        <w:t>17.投标文件</w:t>
      </w:r>
      <w:bookmarkEnd w:id="131"/>
      <w:bookmarkEnd w:id="132"/>
      <w:bookmarkEnd w:id="133"/>
      <w:bookmarkEnd w:id="134"/>
      <w:r>
        <w:rPr>
          <w:rFonts w:hint="eastAsia" w:ascii="宋体" w:hAnsi="宋体" w:eastAsia="宋体" w:cs="宋体"/>
          <w:bCs w:val="0"/>
          <w:color w:val="auto"/>
          <w:sz w:val="24"/>
          <w:highlight w:val="none"/>
        </w:rPr>
        <w:t>的递交</w:t>
      </w:r>
    </w:p>
    <w:p w14:paraId="6A8A801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电子投标文件的递交</w:t>
      </w:r>
    </w:p>
    <w:p w14:paraId="1CA70A15">
      <w:pPr>
        <w:pStyle w:val="123"/>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投标人应当按照《操作手册》规定，在投标截止时间前制作并上传电子投标文件。</w:t>
      </w:r>
      <w:bookmarkStart w:id="135" w:name="_Toc20823298"/>
      <w:bookmarkStart w:id="136" w:name="_Toc16938542"/>
      <w:bookmarkStart w:id="137" w:name="_Toc513029226"/>
    </w:p>
    <w:p w14:paraId="46A3DB15">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18.投标截止</w:t>
      </w:r>
      <w:bookmarkEnd w:id="135"/>
      <w:bookmarkEnd w:id="136"/>
      <w:bookmarkEnd w:id="137"/>
      <w:r>
        <w:rPr>
          <w:rFonts w:hint="eastAsia" w:ascii="宋体" w:hAnsi="宋体" w:eastAsia="宋体" w:cs="宋体"/>
          <w:bCs w:val="0"/>
          <w:color w:val="auto"/>
          <w:sz w:val="24"/>
          <w:highlight w:val="none"/>
        </w:rPr>
        <w:t>时间</w:t>
      </w:r>
    </w:p>
    <w:p w14:paraId="14927CC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18.1</w:t>
      </w:r>
      <w:r>
        <w:rPr>
          <w:rFonts w:hint="eastAsia" w:ascii="宋体" w:hAnsi="宋体" w:eastAsia="宋体" w:cs="宋体"/>
          <w:bCs/>
          <w:color w:val="auto"/>
          <w:sz w:val="24"/>
          <w:highlight w:val="none"/>
        </w:rPr>
        <w:t>投标人上传电子投标文件的时间不得迟于招标公告中规定的投标截止时间。</w:t>
      </w:r>
    </w:p>
    <w:p w14:paraId="4177A41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w:t>
      </w:r>
      <w:r>
        <w:rPr>
          <w:rFonts w:hint="eastAsia" w:ascii="宋体" w:hAnsi="宋体" w:eastAsia="宋体" w:cs="宋体"/>
          <w:bCs/>
          <w:color w:val="auto"/>
          <w:sz w:val="24"/>
          <w:highlight w:val="none"/>
          <w:lang w:eastAsia="zh-CN"/>
        </w:rPr>
        <w:t>充分考虑</w:t>
      </w:r>
      <w:r>
        <w:rPr>
          <w:rFonts w:hint="eastAsia" w:ascii="宋体" w:hAnsi="宋体" w:eastAsia="宋体" w:cs="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作</w:t>
      </w:r>
      <w:r>
        <w:rPr>
          <w:rFonts w:hint="eastAsia" w:ascii="宋体" w:hAnsi="宋体" w:eastAsia="宋体" w:cs="宋体"/>
          <w:bCs/>
          <w:color w:val="auto"/>
          <w:sz w:val="24"/>
          <w:highlight w:val="none"/>
        </w:rPr>
        <w:t>无效投标处理。</w:t>
      </w:r>
    </w:p>
    <w:p w14:paraId="7832869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18.2</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可以按照规定，通过更正公告修改投标截止时间，投标人的所有权利和义务以及投标人受制的截止时间均应以延长后新的截止时间为准。</w:t>
      </w:r>
    </w:p>
    <w:p w14:paraId="0AAC2E9A">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38" w:name="_Toc513029227"/>
      <w:bookmarkStart w:id="139" w:name="_Toc20823299"/>
      <w:bookmarkStart w:id="140" w:name="_Toc16938543"/>
      <w:r>
        <w:rPr>
          <w:rFonts w:hint="eastAsia" w:ascii="宋体" w:hAnsi="宋体" w:eastAsia="宋体" w:cs="宋体"/>
          <w:bCs w:val="0"/>
          <w:color w:val="auto"/>
          <w:sz w:val="24"/>
          <w:highlight w:val="none"/>
        </w:rPr>
        <w:t>19.投标文件</w:t>
      </w:r>
      <w:bookmarkEnd w:id="138"/>
      <w:bookmarkEnd w:id="139"/>
      <w:bookmarkEnd w:id="140"/>
      <w:r>
        <w:rPr>
          <w:rFonts w:hint="eastAsia" w:ascii="宋体" w:hAnsi="宋体" w:eastAsia="宋体" w:cs="宋体"/>
          <w:bCs w:val="0"/>
          <w:color w:val="auto"/>
          <w:sz w:val="24"/>
          <w:highlight w:val="none"/>
        </w:rPr>
        <w:t>的拒收</w:t>
      </w:r>
    </w:p>
    <w:p w14:paraId="2368BD6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拒绝接收在其规定的投标截止时间后上传的任何投标文件。</w:t>
      </w:r>
    </w:p>
    <w:p w14:paraId="0465091F">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41" w:name="_Toc16938544"/>
      <w:bookmarkStart w:id="142" w:name="_Toc513029228"/>
      <w:bookmarkStart w:id="143" w:name="_Toc20823300"/>
      <w:r>
        <w:rPr>
          <w:rFonts w:hint="eastAsia" w:ascii="宋体" w:hAnsi="宋体" w:eastAsia="宋体" w:cs="宋体"/>
          <w:bCs w:val="0"/>
          <w:color w:val="auto"/>
          <w:sz w:val="24"/>
          <w:highlight w:val="none"/>
        </w:rPr>
        <w:t>20.投标文件的撤回和修改</w:t>
      </w:r>
      <w:bookmarkEnd w:id="141"/>
      <w:bookmarkEnd w:id="142"/>
      <w:bookmarkEnd w:id="143"/>
    </w:p>
    <w:p w14:paraId="15EF9A4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073D50D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21.1.1电子投标文件的撤回</w:t>
      </w:r>
    </w:p>
    <w:p w14:paraId="225E6A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02E68E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14:paraId="140E4A1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3B9F524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3F719B2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313316D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149ADCFB">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44" w:name="_Toc20823301"/>
      <w:bookmarkStart w:id="145" w:name="_Toc513029229"/>
      <w:bookmarkStart w:id="146" w:name="_Toc120614218"/>
      <w:bookmarkStart w:id="147" w:name="_Toc16938545"/>
      <w:r>
        <w:rPr>
          <w:rFonts w:hint="eastAsia" w:ascii="宋体" w:hAnsi="宋体" w:eastAsia="宋体" w:cs="宋体"/>
          <w:b/>
          <w:bCs/>
          <w:kern w:val="0"/>
          <w:sz w:val="24"/>
          <w:szCs w:val="24"/>
          <w:highlight w:val="none"/>
          <w:lang w:val="en-US" w:eastAsia="zh-CN" w:bidi="ar-SA"/>
        </w:rPr>
        <w:t>五、开标与评标</w:t>
      </w:r>
      <w:bookmarkEnd w:id="144"/>
      <w:bookmarkEnd w:id="145"/>
      <w:bookmarkEnd w:id="146"/>
      <w:bookmarkEnd w:id="147"/>
    </w:p>
    <w:p w14:paraId="152820B7">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48" w:name="_Toc513029230"/>
      <w:bookmarkStart w:id="149" w:name="_Toc20823302"/>
      <w:bookmarkStart w:id="150" w:name="_Toc16938546"/>
      <w:r>
        <w:rPr>
          <w:rFonts w:hint="eastAsia" w:ascii="宋体" w:hAnsi="宋体" w:eastAsia="宋体" w:cs="宋体"/>
          <w:bCs w:val="0"/>
          <w:color w:val="auto"/>
          <w:sz w:val="24"/>
          <w:highlight w:val="none"/>
        </w:rPr>
        <w:t>21.开标</w:t>
      </w:r>
      <w:bookmarkEnd w:id="148"/>
      <w:bookmarkEnd w:id="149"/>
      <w:bookmarkEnd w:id="150"/>
    </w:p>
    <w:p w14:paraId="00B7C25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将在招标公告中规定的时间和地点组织公开开标</w:t>
      </w:r>
      <w:r>
        <w:rPr>
          <w:rFonts w:hint="eastAsia" w:ascii="宋体" w:hAnsi="宋体" w:eastAsia="宋体" w:cs="宋体"/>
          <w:color w:val="auto"/>
          <w:sz w:val="24"/>
          <w:szCs w:val="24"/>
          <w:highlight w:val="none"/>
        </w:rPr>
        <w:t>。投标人应当按照《操作手册》规定，参加开标活动和在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规定的时间内对投标文件进行解密。</w:t>
      </w:r>
    </w:p>
    <w:p w14:paraId="511A148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21.2开标仪式由</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组织。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将自动对项目进行开标，并宣布各投标人名称和投标价格。</w:t>
      </w:r>
    </w:p>
    <w:p w14:paraId="659152F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21.3投标人在开标过程中</w:t>
      </w:r>
      <w:r>
        <w:rPr>
          <w:rFonts w:hint="eastAsia" w:ascii="宋体" w:hAnsi="宋体" w:eastAsia="宋体" w:cs="宋体"/>
          <w:color w:val="auto"/>
          <w:sz w:val="24"/>
          <w:highlight w:val="none"/>
          <w:lang w:eastAsia="zh-CN"/>
        </w:rPr>
        <w:t>涉及的</w:t>
      </w:r>
      <w:r>
        <w:rPr>
          <w:rFonts w:hint="eastAsia" w:ascii="宋体" w:hAnsi="宋体" w:eastAsia="宋体" w:cs="宋体"/>
          <w:color w:val="auto"/>
          <w:sz w:val="24"/>
          <w:highlight w:val="none"/>
        </w:rPr>
        <w:t>投标文件解密、开标结果确认等工作，应按照《操作手册》规定执行。</w:t>
      </w:r>
    </w:p>
    <w:p w14:paraId="24E1C48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21.4投标人如果对开标过程和开标记录有疑义，应当根据《操作手册》规定提出，如</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中《开标记录表》宣布后5分钟内未提出的，视同认可开标结果。</w:t>
      </w:r>
    </w:p>
    <w:p w14:paraId="52D17864">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51" w:name="_Toc513029231"/>
      <w:bookmarkStart w:id="152" w:name="_Toc20823303"/>
      <w:bookmarkStart w:id="153" w:name="_Toc16938547"/>
      <w:r>
        <w:rPr>
          <w:rFonts w:hint="eastAsia" w:ascii="宋体" w:hAnsi="宋体" w:eastAsia="宋体" w:cs="宋体"/>
          <w:bCs w:val="0"/>
          <w:color w:val="auto"/>
          <w:sz w:val="24"/>
          <w:highlight w:val="none"/>
        </w:rPr>
        <w:t>22.评标委员会</w:t>
      </w:r>
    </w:p>
    <w:p w14:paraId="1E600F2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将立即组织评标委员会（以下简称评委会）进行评标。</w:t>
      </w:r>
    </w:p>
    <w:p w14:paraId="0A21762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22.2评委会依法组建，且人员构成符合政府采购有关规定。</w:t>
      </w:r>
    </w:p>
    <w:p w14:paraId="699658F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73AED69A">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23.评标过程的保密与公正</w:t>
      </w:r>
    </w:p>
    <w:bookmarkEnd w:id="151"/>
    <w:bookmarkEnd w:id="152"/>
    <w:bookmarkEnd w:id="153"/>
    <w:p w14:paraId="7E74969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color w:val="auto"/>
          <w:sz w:val="24"/>
          <w:highlight w:val="none"/>
          <w:lang w:eastAsia="zh-CN"/>
        </w:rPr>
        <w:t>凡</w:t>
      </w:r>
      <w:r>
        <w:rPr>
          <w:rFonts w:hint="eastAsia" w:ascii="宋体" w:hAnsi="宋体" w:eastAsia="宋体" w:cs="宋体"/>
          <w:bCs/>
          <w:color w:val="auto"/>
          <w:sz w:val="24"/>
          <w:highlight w:val="none"/>
        </w:rPr>
        <w:t>与审查、澄清、评价和比较投标的有关资料以及</w:t>
      </w:r>
      <w:r>
        <w:rPr>
          <w:rFonts w:hint="eastAsia" w:ascii="宋体" w:hAnsi="宋体" w:eastAsia="宋体" w:cs="宋体"/>
          <w:bCs/>
          <w:color w:val="auto"/>
          <w:sz w:val="24"/>
          <w:highlight w:val="none"/>
          <w:lang w:eastAsia="zh-CN"/>
        </w:rPr>
        <w:t>投标</w:t>
      </w:r>
      <w:r>
        <w:rPr>
          <w:rFonts w:hint="eastAsia" w:ascii="宋体" w:hAnsi="宋体" w:eastAsia="宋体" w:cs="宋体"/>
          <w:bCs/>
          <w:color w:val="auto"/>
          <w:sz w:val="24"/>
          <w:highlight w:val="none"/>
        </w:rPr>
        <w:t>建议等，采购人、评委、</w:t>
      </w:r>
      <w:r>
        <w:rPr>
          <w:rFonts w:hint="eastAsia" w:ascii="宋体" w:hAnsi="宋体" w:eastAsia="宋体" w:cs="宋体"/>
          <w:bCs/>
          <w:color w:val="auto"/>
          <w:sz w:val="24"/>
          <w:highlight w:val="none"/>
          <w:lang w:eastAsia="zh-CN"/>
        </w:rPr>
        <w:t>代理机构</w:t>
      </w:r>
      <w:r>
        <w:rPr>
          <w:rFonts w:hint="eastAsia" w:ascii="宋体" w:hAnsi="宋体" w:eastAsia="宋体" w:cs="宋体"/>
          <w:bCs/>
          <w:color w:val="auto"/>
          <w:sz w:val="24"/>
          <w:highlight w:val="none"/>
        </w:rPr>
        <w:t>均不得向投标人或与评标无关的其他人员透露。</w:t>
      </w:r>
    </w:p>
    <w:p w14:paraId="781143D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52E40CD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7E1231C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23.4采用综合评分法的项目，未中标的投标人可于中标结果公告发布后通过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查看自己的评审得分及排序情况。</w:t>
      </w:r>
    </w:p>
    <w:p w14:paraId="67B4EE89">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54" w:name="_Toc513029232"/>
      <w:bookmarkStart w:id="155" w:name="_Toc20823304"/>
      <w:bookmarkStart w:id="156" w:name="_Toc16938548"/>
      <w:r>
        <w:rPr>
          <w:rFonts w:hint="eastAsia" w:ascii="宋体" w:hAnsi="宋体" w:eastAsia="宋体" w:cs="宋体"/>
          <w:bCs w:val="0"/>
          <w:color w:val="auto"/>
          <w:sz w:val="24"/>
          <w:highlight w:val="none"/>
        </w:rPr>
        <w:t>24.投标文件的澄清</w:t>
      </w:r>
      <w:bookmarkEnd w:id="154"/>
      <w:bookmarkEnd w:id="155"/>
      <w:bookmarkEnd w:id="156"/>
    </w:p>
    <w:p w14:paraId="467F822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14:paraId="1C92184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70B9AA8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向供应商发出“澄清要求函”，接到“澄清要求函”的投标人应当按照要求在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中提交“澄清响应函”并加盖CA电子公章。澄清、说明和补正的内容作为投标文件的补充部分，具体操作方式见《操作手册》。</w:t>
      </w:r>
    </w:p>
    <w:p w14:paraId="4DF2B11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24.3接到评委会澄清、说明和补正要求的投标人如未按规定及时</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澄清、说明和补正，其风险由投标人自行承担。</w:t>
      </w:r>
    </w:p>
    <w:p w14:paraId="687E19D1">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57" w:name="_Toc20823305"/>
      <w:bookmarkStart w:id="158" w:name="_Toc513029233"/>
      <w:bookmarkStart w:id="159" w:name="_Toc16938549"/>
      <w:r>
        <w:rPr>
          <w:rFonts w:hint="eastAsia" w:ascii="宋体" w:hAnsi="宋体" w:eastAsia="宋体" w:cs="宋体"/>
          <w:bCs w:val="0"/>
          <w:color w:val="auto"/>
          <w:sz w:val="24"/>
          <w:highlight w:val="none"/>
        </w:rPr>
        <w:t>25.对投标文件的初审</w:t>
      </w:r>
      <w:bookmarkEnd w:id="157"/>
      <w:bookmarkEnd w:id="158"/>
      <w:bookmarkEnd w:id="159"/>
    </w:p>
    <w:p w14:paraId="36F7794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bCs/>
          <w:color w:val="auto"/>
          <w:sz w:val="24"/>
          <w:highlight w:val="none"/>
        </w:rPr>
        <w:t>投标文件初审分为资格审查和符合性审查。</w:t>
      </w:r>
    </w:p>
    <w:p w14:paraId="3E1CCCD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25.1.1资格审查：依据法律法规和招标文件的规定，由采购人对投标文件中的资格证明文件进行审查。</w:t>
      </w:r>
    </w:p>
    <w:p w14:paraId="70E2BF4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采购人在进行资格审查的同时，将</w:t>
      </w:r>
      <w:r>
        <w:rPr>
          <w:rFonts w:hint="eastAsia" w:ascii="宋体" w:hAnsi="宋体" w:eastAsia="宋体" w:cs="宋体"/>
          <w:bCs/>
          <w:color w:val="auto"/>
          <w:sz w:val="24"/>
          <w:szCs w:val="24"/>
          <w:highlight w:val="none"/>
        </w:rPr>
        <w:t>通过“信用中国”网站（</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"http://www.creditchina.gov.cn"</w:instrText>
      </w:r>
      <w:r>
        <w:rPr>
          <w:rFonts w:hint="eastAsia" w:ascii="宋体" w:hAnsi="宋体" w:eastAsia="宋体" w:cs="宋体"/>
          <w:color w:val="auto"/>
          <w:sz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color w:val="auto"/>
          <w:sz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查询</w:t>
      </w:r>
      <w:r>
        <w:rPr>
          <w:rFonts w:hint="eastAsia" w:ascii="宋体" w:hAnsi="宋体" w:cs="宋体"/>
          <w:bCs/>
          <w:color w:val="auto"/>
          <w:sz w:val="24"/>
          <w:szCs w:val="24"/>
          <w:highlight w:val="none"/>
          <w:lang w:eastAsia="zh-CN"/>
        </w:rPr>
        <w:t>投标人</w:t>
      </w:r>
      <w:r>
        <w:rPr>
          <w:rFonts w:hint="eastAsia" w:ascii="宋体" w:hAnsi="宋体" w:eastAsia="宋体" w:cs="宋体"/>
          <w:bCs/>
          <w:color w:val="auto"/>
          <w:sz w:val="24"/>
          <w:szCs w:val="24"/>
          <w:highlight w:val="none"/>
        </w:rPr>
        <w:t>在投标截止时间之前，是否被列入</w:t>
      </w:r>
      <w:r>
        <w:rPr>
          <w:rFonts w:hint="eastAsia" w:ascii="宋体" w:hAnsi="宋体" w:eastAsia="宋体" w:cs="宋体"/>
          <w:color w:val="auto"/>
          <w:sz w:val="24"/>
          <w:szCs w:val="24"/>
          <w:highlight w:val="none"/>
        </w:rPr>
        <w:t>失信被执行人、</w:t>
      </w:r>
      <w:r>
        <w:rPr>
          <w:rFonts w:hint="eastAsia" w:ascii="宋体" w:hAnsi="宋体" w:eastAsia="宋体" w:cs="宋体"/>
          <w:color w:val="auto"/>
          <w:sz w:val="24"/>
          <w:szCs w:val="24"/>
          <w:highlight w:val="none"/>
          <w:lang w:eastAsia="zh-CN"/>
        </w:rPr>
        <w:t>重大税收违法失信主体名单</w:t>
      </w:r>
      <w:r>
        <w:rPr>
          <w:rFonts w:hint="eastAsia" w:ascii="宋体" w:hAnsi="宋体" w:eastAsia="宋体" w:cs="宋体"/>
          <w:color w:val="auto"/>
          <w:sz w:val="24"/>
          <w:szCs w:val="24"/>
          <w:highlight w:val="none"/>
        </w:rPr>
        <w:t>、政府采购严重违法失信行为记录名单，</w:t>
      </w:r>
      <w:r>
        <w:rPr>
          <w:rFonts w:hint="eastAsia" w:ascii="宋体" w:hAnsi="宋体" w:eastAsia="宋体" w:cs="宋体"/>
          <w:bCs/>
          <w:color w:val="auto"/>
          <w:sz w:val="24"/>
          <w:highlight w:val="none"/>
        </w:rPr>
        <w:t>以确定</w:t>
      </w:r>
      <w:r>
        <w:rPr>
          <w:rFonts w:hint="eastAsia" w:ascii="宋体" w:hAnsi="宋体" w:cs="宋体"/>
          <w:bCs/>
          <w:color w:val="auto"/>
          <w:sz w:val="24"/>
          <w:highlight w:val="none"/>
          <w:lang w:eastAsia="zh-CN"/>
        </w:rPr>
        <w:t>投标人</w:t>
      </w:r>
      <w:r>
        <w:rPr>
          <w:rFonts w:hint="eastAsia" w:ascii="宋体" w:hAnsi="宋体" w:eastAsia="宋体" w:cs="宋体"/>
          <w:bCs/>
          <w:color w:val="auto"/>
          <w:sz w:val="24"/>
          <w:highlight w:val="none"/>
        </w:rPr>
        <w:t>是否具备投标资格。</w:t>
      </w:r>
      <w:r>
        <w:rPr>
          <w:rFonts w:hint="eastAsia" w:ascii="宋体" w:hAnsi="宋体" w:eastAsia="宋体" w:cs="宋体"/>
          <w:color w:val="auto"/>
          <w:sz w:val="24"/>
          <w:szCs w:val="24"/>
          <w:highlight w:val="none"/>
        </w:rPr>
        <w:t>查询结果留存并归档。</w:t>
      </w:r>
    </w:p>
    <w:p w14:paraId="3575CF8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联合体成员存在不良信用记录的，视同联合体存在不良应用记录。</w:t>
      </w:r>
    </w:p>
    <w:p w14:paraId="0B8D694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7E16B9A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25.1.3未通过资格审查或符合性审查的投标人，将在</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中告知未通过资格审查或符合性审查的原因，评标结束后，将不再告知未通过资格审查和符合性审查的原因。</w:t>
      </w:r>
    </w:p>
    <w:p w14:paraId="638B2A7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04C573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AB17BB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25.3如果投标文件实质上没有响应招标文件的要求，评委会将予以拒绝，其投标文件无效，投标人不得通过修改或撤销</w:t>
      </w:r>
      <w:r>
        <w:rPr>
          <w:rFonts w:hint="eastAsia" w:ascii="宋体" w:hAnsi="宋体" w:eastAsia="宋体" w:cs="宋体"/>
          <w:color w:val="auto"/>
          <w:sz w:val="24"/>
          <w:highlight w:val="none"/>
          <w:lang w:eastAsia="zh-CN"/>
        </w:rPr>
        <w:t>不符</w:t>
      </w:r>
      <w:r>
        <w:rPr>
          <w:rFonts w:hint="eastAsia" w:ascii="宋体" w:hAnsi="宋体" w:eastAsia="宋体" w:cs="宋体"/>
          <w:color w:val="auto"/>
          <w:sz w:val="24"/>
          <w:highlight w:val="none"/>
        </w:rPr>
        <w:t>合要求的偏离或保留而使其投标成为实质性响应的投标。</w:t>
      </w:r>
    </w:p>
    <w:p w14:paraId="5D90F70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7CC38AE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rPr>
        <w:t>投标文件中开标一览表内容与投标文件中相应内容不一致的，以开标一览表为准。</w:t>
      </w:r>
    </w:p>
    <w:p w14:paraId="2F9BC23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rPr>
        <w:t>大写金额和小写金额不一致的，以大写金额为准。</w:t>
      </w:r>
    </w:p>
    <w:p w14:paraId="02C2509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（3）</w:t>
      </w:r>
      <w:r>
        <w:rPr>
          <w:rFonts w:hint="eastAsia" w:ascii="宋体" w:hAnsi="宋体" w:eastAsia="宋体" w:cs="宋体"/>
          <w:bCs/>
          <w:color w:val="auto"/>
          <w:sz w:val="24"/>
          <w:highlight w:val="none"/>
        </w:rPr>
        <w:t>单价金额小数点或者百分比有明显错位的，以开标一览表的总价为准，并修改单价。</w:t>
      </w:r>
    </w:p>
    <w:p w14:paraId="425E91CA">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（4）</w:t>
      </w:r>
      <w:r>
        <w:rPr>
          <w:rFonts w:hint="eastAsia" w:ascii="宋体" w:hAnsi="宋体" w:eastAsia="宋体" w:cs="宋体"/>
          <w:bCs/>
          <w:color w:val="auto"/>
          <w:sz w:val="24"/>
          <w:highlight w:val="none"/>
        </w:rPr>
        <w:t>总价金额与按单价汇总金额不一致的，以单价金额计算结果为准。</w:t>
      </w:r>
    </w:p>
    <w:p w14:paraId="661A01C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01B5110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25.5</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告知投标人，调整后的价格应对投标人具有约束力。如果投标人不确认或不接受修正后的价格，则其投标将被拒绝，其投标无效。</w:t>
      </w:r>
    </w:p>
    <w:p w14:paraId="7260027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bookmarkStart w:id="160" w:name="_Toc513029234"/>
      <w:bookmarkStart w:id="161" w:name="_Toc20823306"/>
      <w:bookmarkStart w:id="162" w:name="_Toc16938550"/>
      <w:r>
        <w:rPr>
          <w:rFonts w:hint="eastAsia" w:ascii="宋体" w:hAnsi="宋体" w:eastAsia="宋体" w:cs="宋体"/>
          <w:color w:val="auto"/>
          <w:sz w:val="24"/>
          <w:highlight w:val="none"/>
        </w:rPr>
        <w:t>25.6投标人在开、评标全过程中应</w:t>
      </w:r>
      <w:r>
        <w:rPr>
          <w:rFonts w:hint="eastAsia" w:ascii="宋体" w:hAnsi="宋体" w:eastAsia="宋体" w:cs="宋体"/>
          <w:color w:val="auto"/>
          <w:sz w:val="24"/>
          <w:highlight w:val="none"/>
          <w:lang w:eastAsia="zh-CN"/>
        </w:rPr>
        <w:t>保持通信畅通</w:t>
      </w:r>
      <w:r>
        <w:rPr>
          <w:rFonts w:hint="eastAsia" w:ascii="宋体" w:hAnsi="宋体" w:eastAsia="宋体" w:cs="宋体"/>
          <w:color w:val="auto"/>
          <w:sz w:val="24"/>
          <w:highlight w:val="none"/>
        </w:rPr>
        <w:t>，及时登录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查阅、答复相关信息，并安排专人随时接受与代理机构及评标委员会的相关询问。</w:t>
      </w:r>
    </w:p>
    <w:p w14:paraId="2E14ACD5">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26</w:t>
      </w:r>
      <w:bookmarkEnd w:id="160"/>
      <w:bookmarkEnd w:id="161"/>
      <w:bookmarkEnd w:id="162"/>
      <w:r>
        <w:rPr>
          <w:rFonts w:hint="eastAsia" w:ascii="宋体" w:hAnsi="宋体" w:eastAsia="宋体" w:cs="宋体"/>
          <w:bCs w:val="0"/>
          <w:color w:val="auto"/>
          <w:sz w:val="24"/>
          <w:highlight w:val="none"/>
        </w:rPr>
        <w:t>.无效投标条款和废标条款</w:t>
      </w:r>
    </w:p>
    <w:p w14:paraId="4708B53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bookmarkStart w:id="163" w:name="_Toc513029235"/>
      <w:bookmarkStart w:id="164" w:name="_Toc16938551"/>
      <w:bookmarkStart w:id="165" w:name="_Toc20823307"/>
      <w:r>
        <w:rPr>
          <w:rFonts w:hint="eastAsia" w:ascii="宋体" w:hAnsi="宋体" w:eastAsia="宋体" w:cs="宋体"/>
          <w:bCs/>
          <w:color w:val="auto"/>
          <w:sz w:val="24"/>
          <w:highlight w:val="none"/>
        </w:rPr>
        <w:t>26.1无效投标条款</w:t>
      </w:r>
    </w:p>
    <w:p w14:paraId="26F8DDA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未按《“苏采云”系统供应商操作手册》进行正确操作的。</w:t>
      </w:r>
    </w:p>
    <w:p w14:paraId="64E4998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26.1.2投标人在“苏采云”系统规定的时间内未成功解密电子投标文件的。</w:t>
      </w:r>
    </w:p>
    <w:p w14:paraId="3810BE6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w:t>
      </w:r>
      <w:r>
        <w:rPr>
          <w:rFonts w:hint="eastAsia" w:ascii="宋体" w:hAnsi="宋体" w:eastAsia="宋体" w:cs="宋体"/>
          <w:bCs/>
          <w:color w:val="auto"/>
          <w:sz w:val="24"/>
          <w:highlight w:val="none"/>
        </w:rPr>
        <w:t>投标人未按照招标文件要求上传电子投标文件、</w:t>
      </w:r>
      <w:r>
        <w:rPr>
          <w:rFonts w:hint="eastAsia" w:ascii="宋体" w:hAnsi="宋体" w:eastAsia="宋体" w:cs="宋体"/>
          <w:bCs/>
          <w:color w:val="auto"/>
          <w:sz w:val="24"/>
          <w:szCs w:val="24"/>
          <w:highlight w:val="none"/>
        </w:rPr>
        <w:t>电子投标文件未按规定期限投标的，纸质投标文件（如有）未按规定的期限、地点送达的。</w:t>
      </w:r>
    </w:p>
    <w:p w14:paraId="7C70160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电子投标文件未按招标文件要求签章的。</w:t>
      </w:r>
    </w:p>
    <w:p w14:paraId="4096600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26.1.5投标人的被授权代表无授权委托书或授权委托日期晚于投标截止日期的。</w:t>
      </w:r>
    </w:p>
    <w:p w14:paraId="59CFFA0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26.1.6投标人不具备招标文件中规定的资格要求或未按招标文件规定的要求提供资格证明文件的。</w:t>
      </w:r>
    </w:p>
    <w:p w14:paraId="78E3F1B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26.1.7</w:t>
      </w:r>
      <w:r>
        <w:rPr>
          <w:rFonts w:hint="eastAsia" w:ascii="宋体" w:hAnsi="宋体" w:eastAsia="宋体" w:cs="宋体"/>
          <w:bCs/>
          <w:color w:val="auto"/>
          <w:sz w:val="24"/>
          <w:highlight w:val="none"/>
        </w:rPr>
        <w:t>同一投标人提交两种（含两种）以上不同的投标报价的。</w:t>
      </w:r>
    </w:p>
    <w:p w14:paraId="53BFB66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26.1.8投标人被“信用中国”网站（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列入失信被执行人或</w:t>
      </w:r>
      <w:r>
        <w:rPr>
          <w:rFonts w:hint="eastAsia" w:ascii="宋体" w:hAnsi="宋体" w:eastAsia="宋体" w:cs="宋体"/>
          <w:color w:val="auto"/>
          <w:sz w:val="24"/>
          <w:szCs w:val="24"/>
          <w:highlight w:val="none"/>
          <w:lang w:eastAsia="zh-CN"/>
        </w:rPr>
        <w:t>重大税收违法失信主体名单</w:t>
      </w:r>
      <w:r>
        <w:rPr>
          <w:rFonts w:hint="eastAsia" w:ascii="宋体" w:hAnsi="宋体" w:eastAsia="宋体" w:cs="宋体"/>
          <w:color w:val="auto"/>
          <w:sz w:val="24"/>
          <w:szCs w:val="24"/>
          <w:highlight w:val="none"/>
        </w:rPr>
        <w:t>或政府采购严重违法失信行为记录名单的。</w:t>
      </w:r>
      <w:r>
        <w:rPr>
          <w:rFonts w:hint="eastAsia" w:ascii="宋体" w:hAnsi="宋体" w:eastAsia="宋体" w:cs="宋体"/>
          <w:bCs/>
          <w:color w:val="auto"/>
          <w:sz w:val="24"/>
          <w:highlight w:val="none"/>
        </w:rPr>
        <w:t>或查询“信用中国”网站、</w:t>
      </w:r>
      <w:r>
        <w:rPr>
          <w:rFonts w:hint="eastAsia" w:ascii="宋体" w:hAnsi="宋体" w:eastAsia="宋体" w:cs="宋体"/>
          <w:color w:val="auto"/>
          <w:sz w:val="24"/>
          <w:szCs w:val="24"/>
          <w:highlight w:val="none"/>
        </w:rPr>
        <w:t>中国政府采购网</w:t>
      </w:r>
      <w:r>
        <w:rPr>
          <w:rFonts w:hint="eastAsia" w:ascii="宋体" w:hAnsi="宋体" w:eastAsia="宋体" w:cs="宋体"/>
          <w:bCs/>
          <w:color w:val="auto"/>
          <w:sz w:val="24"/>
          <w:highlight w:val="none"/>
        </w:rPr>
        <w:t>后发现投标人存在其他不符合《中华人民共和国政府采购法》第二十二条规定条件的信用记录。</w:t>
      </w:r>
    </w:p>
    <w:p w14:paraId="45B03AA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26.1.9投标文件未按招标文件规定的内容和要求填写的。</w:t>
      </w:r>
    </w:p>
    <w:p w14:paraId="1625410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项目（标项、标段、分包）投标总价超过本项目（标项、标段、分包）预算或最高限价</w:t>
      </w:r>
      <w:r>
        <w:rPr>
          <w:rFonts w:hint="eastAsia" w:ascii="宋体" w:hAnsi="宋体" w:eastAsia="宋体" w:cs="宋体"/>
          <w:bCs/>
          <w:color w:val="auto"/>
          <w:sz w:val="24"/>
          <w:szCs w:val="24"/>
          <w:highlight w:val="none"/>
          <w:lang w:eastAsia="zh-CN"/>
        </w:rPr>
        <w:t>、子项最高限价</w:t>
      </w:r>
      <w:r>
        <w:rPr>
          <w:rFonts w:hint="eastAsia" w:ascii="宋体" w:hAnsi="宋体" w:eastAsia="宋体" w:cs="宋体"/>
          <w:bCs/>
          <w:color w:val="auto"/>
          <w:sz w:val="24"/>
          <w:szCs w:val="24"/>
          <w:highlight w:val="none"/>
        </w:rPr>
        <w:t>的。</w:t>
      </w:r>
    </w:p>
    <w:p w14:paraId="42D2138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26.1.11未通过符合性审查的。</w:t>
      </w:r>
    </w:p>
    <w:p w14:paraId="5D01BFD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26.1.12投标文件含有采购人不能接受的附加条件的。</w:t>
      </w:r>
    </w:p>
    <w:p w14:paraId="6E56A8C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26.1.13电子投标文件图片、字迹模糊不清、无法辨认导致无法评审的。</w:t>
      </w:r>
    </w:p>
    <w:p w14:paraId="1963CD0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26.1.14投标文件中有招标文件未允许提供的选择性内容。</w:t>
      </w:r>
    </w:p>
    <w:p w14:paraId="6B6D467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26.1.15</w:t>
      </w:r>
      <w:r>
        <w:rPr>
          <w:rFonts w:hint="eastAsia" w:ascii="宋体" w:hAnsi="宋体" w:eastAsia="宋体" w:cs="宋体"/>
          <w:bCs/>
          <w:color w:val="auto"/>
          <w:sz w:val="24"/>
          <w:szCs w:val="24"/>
          <w:highlight w:val="none"/>
        </w:rPr>
        <w:t>不同投标人委托同一单位或者个人办理投标事宜的。</w:t>
      </w:r>
    </w:p>
    <w:p w14:paraId="2595EFC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26.1.16</w:t>
      </w:r>
      <w:r>
        <w:rPr>
          <w:rFonts w:hint="eastAsia" w:ascii="宋体" w:hAnsi="宋体" w:eastAsia="宋体" w:cs="宋体"/>
          <w:bCs/>
          <w:color w:val="auto"/>
          <w:sz w:val="24"/>
          <w:szCs w:val="24"/>
          <w:highlight w:val="none"/>
        </w:rPr>
        <w:t>不同投标人的单位负责人为同一人或者存在直接控股、管理关系的。</w:t>
      </w:r>
    </w:p>
    <w:p w14:paraId="5966C10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60E32AC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23C69FE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156A1F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26.1.20</w:t>
      </w:r>
      <w:r>
        <w:rPr>
          <w:rFonts w:hint="eastAsia" w:ascii="宋体" w:hAnsi="宋体" w:eastAsia="宋体" w:cs="宋体"/>
          <w:bCs/>
          <w:color w:val="auto"/>
          <w:sz w:val="24"/>
          <w:szCs w:val="24"/>
          <w:highlight w:val="none"/>
        </w:rPr>
        <w:t>提供虚假材料的（包括工商营业执照、财务报表、资格证明文件等）。</w:t>
      </w:r>
    </w:p>
    <w:p w14:paraId="36C6D07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26.1.21</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1CD976C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highlight w:val="none"/>
        </w:rPr>
        <w:t>26.1.22评标委员会认定投标人的报价明显低于其他通过符合性审查投标人的报价，有可能影响产品质量或者不能诚信履约，且投标人不能应评标委员会要求通过“苏采云”系统（或在评标现场</w:t>
      </w:r>
      <w:r>
        <w:rPr>
          <w:rFonts w:hint="eastAsia" w:ascii="宋体" w:hAnsi="宋体" w:eastAsia="宋体" w:cs="宋体"/>
          <w:bCs/>
          <w:color w:val="auto"/>
          <w:sz w:val="24"/>
          <w:highlight w:val="none"/>
          <w:lang w:eastAsia="zh-CN"/>
        </w:rPr>
        <w:t>）在</w:t>
      </w:r>
      <w:r>
        <w:rPr>
          <w:rFonts w:hint="eastAsia" w:ascii="宋体" w:hAnsi="宋体" w:eastAsia="宋体" w:cs="宋体"/>
          <w:bCs/>
          <w:color w:val="auto"/>
          <w:sz w:val="24"/>
          <w:highlight w:val="none"/>
        </w:rPr>
        <w:t>给定的合理时间内提供说明（必要时评标委员会可要求投标人提交相关证明材料）证明其报价合理性的，评标委员会应当将其作为无效投标处理</w:t>
      </w:r>
      <w:r>
        <w:rPr>
          <w:rFonts w:hint="eastAsia" w:ascii="宋体" w:hAnsi="宋体" w:eastAsia="宋体" w:cs="宋体"/>
          <w:bCs/>
          <w:color w:val="auto"/>
          <w:sz w:val="24"/>
          <w:highlight w:val="none"/>
          <w:lang w:eastAsia="zh-CN"/>
        </w:rPr>
        <w:t>。</w:t>
      </w:r>
    </w:p>
    <w:p w14:paraId="3C514A6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26.1.23投标文件内容不全或不符合招标文件中规定的</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实质性要求和条件的</w:t>
      </w:r>
    </w:p>
    <w:p w14:paraId="3F2916E7">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26.1.24其他</w:t>
      </w:r>
      <w:r>
        <w:rPr>
          <w:rFonts w:hint="eastAsia" w:ascii="宋体" w:hAnsi="宋体" w:eastAsia="宋体" w:cs="宋体"/>
          <w:bCs/>
          <w:color w:val="auto"/>
          <w:sz w:val="24"/>
          <w:highlight w:val="none"/>
          <w:lang w:eastAsia="zh-CN"/>
        </w:rPr>
        <w:t>法律法规</w:t>
      </w:r>
      <w:r>
        <w:rPr>
          <w:rFonts w:hint="eastAsia" w:ascii="宋体" w:hAnsi="宋体" w:eastAsia="宋体" w:cs="宋体"/>
          <w:bCs/>
          <w:color w:val="auto"/>
          <w:sz w:val="24"/>
          <w:highlight w:val="none"/>
        </w:rPr>
        <w:t>及本招标文件规定的</w:t>
      </w:r>
      <w:r>
        <w:rPr>
          <w:rFonts w:hint="eastAsia" w:ascii="宋体" w:hAnsi="宋体" w:eastAsia="宋体" w:cs="宋体"/>
          <w:bCs/>
          <w:color w:val="auto"/>
          <w:sz w:val="24"/>
          <w:highlight w:val="none"/>
          <w:lang w:eastAsia="zh-CN"/>
        </w:rPr>
        <w:t>属于</w:t>
      </w:r>
      <w:r>
        <w:rPr>
          <w:rFonts w:hint="eastAsia" w:ascii="宋体" w:hAnsi="宋体" w:eastAsia="宋体" w:cs="宋体"/>
          <w:bCs/>
          <w:color w:val="auto"/>
          <w:sz w:val="24"/>
          <w:highlight w:val="none"/>
        </w:rPr>
        <w:t>无效投标的情形。</w:t>
      </w:r>
    </w:p>
    <w:p w14:paraId="19E8AE6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64333F4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26.2.1符合专业条件的供应商或者对招标文件</w:t>
      </w:r>
      <w:r>
        <w:rPr>
          <w:rFonts w:hint="eastAsia" w:ascii="宋体" w:hAnsi="宋体" w:eastAsia="宋体" w:cs="宋体"/>
          <w:bCs/>
          <w:color w:val="auto"/>
          <w:sz w:val="24"/>
          <w:highlight w:val="none"/>
          <w:lang w:eastAsia="zh-CN"/>
        </w:rPr>
        <w:t>做</w:t>
      </w:r>
      <w:r>
        <w:rPr>
          <w:rFonts w:hint="eastAsia" w:ascii="宋体" w:hAnsi="宋体" w:eastAsia="宋体" w:cs="宋体"/>
          <w:bCs/>
          <w:color w:val="auto"/>
          <w:sz w:val="24"/>
          <w:highlight w:val="none"/>
        </w:rPr>
        <w:t>实质响应的供应商不足三家的。26.2.2出现影响采购公正的违法、违规行为的。</w:t>
      </w:r>
    </w:p>
    <w:p w14:paraId="60B5925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411543E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26.2.4评标委员会认定招标文件存在歧义、重大缺陷导致评审工作无法进行。</w:t>
      </w:r>
    </w:p>
    <w:p w14:paraId="3DC5E47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故障原因造成开标不成功的；</w:t>
      </w:r>
    </w:p>
    <w:p w14:paraId="46DC6EA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26.2.6投标人的报价均超过采购预算，采购人不能支付的。</w:t>
      </w:r>
    </w:p>
    <w:p w14:paraId="1F04DC4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投标截止时间结束后参加投标的供应商不足三家的处理：</w:t>
      </w:r>
    </w:p>
    <w:p w14:paraId="3A7ECB6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26.3.1如出现投标截止时间结束后参加投标的供应商或者在评标期间对招标文件做出实质响应的供应商不足三家情况，按政府采购相关规定执行。</w:t>
      </w:r>
    </w:p>
    <w:p w14:paraId="1B008E86">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66" w:name="_Toc120614219"/>
      <w:r>
        <w:rPr>
          <w:rFonts w:hint="eastAsia" w:ascii="宋体" w:hAnsi="宋体" w:eastAsia="宋体" w:cs="宋体"/>
          <w:b/>
          <w:bCs/>
          <w:kern w:val="0"/>
          <w:sz w:val="24"/>
          <w:szCs w:val="24"/>
          <w:highlight w:val="none"/>
          <w:lang w:val="en-US" w:eastAsia="zh-CN" w:bidi="ar-SA"/>
        </w:rPr>
        <w:t>六、</w:t>
      </w:r>
      <w:bookmarkEnd w:id="163"/>
      <w:bookmarkEnd w:id="164"/>
      <w:bookmarkEnd w:id="165"/>
      <w:r>
        <w:rPr>
          <w:rFonts w:hint="eastAsia" w:ascii="宋体" w:hAnsi="宋体" w:eastAsia="宋体" w:cs="宋体"/>
          <w:b/>
          <w:bCs/>
          <w:kern w:val="0"/>
          <w:sz w:val="24"/>
          <w:szCs w:val="24"/>
          <w:highlight w:val="none"/>
          <w:lang w:val="en-US" w:eastAsia="zh-CN" w:bidi="ar-SA"/>
        </w:rPr>
        <w:t>定标</w:t>
      </w:r>
      <w:bookmarkEnd w:id="166"/>
    </w:p>
    <w:p w14:paraId="2184D136">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67" w:name="_Toc513029238"/>
      <w:bookmarkStart w:id="168" w:name="_Toc20823310"/>
      <w:bookmarkStart w:id="169" w:name="_Toc16938554"/>
      <w:r>
        <w:rPr>
          <w:rFonts w:hint="eastAsia" w:ascii="宋体" w:hAnsi="宋体" w:eastAsia="宋体" w:cs="宋体"/>
          <w:bCs w:val="0"/>
          <w:color w:val="auto"/>
          <w:sz w:val="24"/>
          <w:highlight w:val="none"/>
          <w:lang w:eastAsia="zh-CN"/>
        </w:rPr>
        <w:t>27.</w:t>
      </w:r>
      <w:bookmarkEnd w:id="167"/>
      <w:r>
        <w:rPr>
          <w:rFonts w:hint="eastAsia" w:ascii="宋体" w:hAnsi="宋体" w:eastAsia="宋体" w:cs="宋体"/>
          <w:bCs w:val="0"/>
          <w:color w:val="auto"/>
          <w:sz w:val="24"/>
          <w:highlight w:val="none"/>
        </w:rPr>
        <w:t>确定</w:t>
      </w:r>
      <w:bookmarkEnd w:id="168"/>
      <w:bookmarkEnd w:id="169"/>
      <w:r>
        <w:rPr>
          <w:rFonts w:hint="eastAsia" w:ascii="宋体" w:hAnsi="宋体" w:eastAsia="宋体" w:cs="宋体"/>
          <w:bCs w:val="0"/>
          <w:color w:val="auto"/>
          <w:sz w:val="24"/>
          <w:highlight w:val="none"/>
        </w:rPr>
        <w:t>中标单位</w:t>
      </w:r>
    </w:p>
    <w:p w14:paraId="787C9882">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2A3AD64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27.2采购人应根据评委会推荐的中标候选人确定中标人。联合体中标的，联合体各方应当共同与采购人签订合同，就中标项目向采购人承担连带责任。</w:t>
      </w:r>
    </w:p>
    <w:p w14:paraId="14B13B2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将在“江苏政府采购网”发布中标公告，公告期限为1个工作日。</w:t>
      </w:r>
    </w:p>
    <w:p w14:paraId="06F0E74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27.4中标无效的确认</w:t>
      </w:r>
    </w:p>
    <w:p w14:paraId="2A05739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若有充分证据证明，中标人出现下列情况之一的，一经查实，将被取消中标资格：</w:t>
      </w:r>
    </w:p>
    <w:p w14:paraId="03E95D0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64E1AE5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行贿或者提供其他不正当利益的。</w:t>
      </w:r>
    </w:p>
    <w:p w14:paraId="6C9829D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27.4.3属于本文件规定的无效投标文件条件的，但在评标过程中又未被评委会发现的。</w:t>
      </w:r>
    </w:p>
    <w:p w14:paraId="0B88217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6DA83A0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7063111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bookmarkStart w:id="170" w:name="_Toc200451960"/>
      <w:r>
        <w:rPr>
          <w:rFonts w:hint="eastAsia" w:ascii="宋体" w:hAnsi="宋体" w:eastAsia="宋体" w:cs="宋体"/>
          <w:color w:val="auto"/>
          <w:sz w:val="24"/>
          <w:szCs w:val="24"/>
          <w:highlight w:val="none"/>
        </w:rPr>
        <w:t>27.4.6</w:t>
      </w:r>
      <w:r>
        <w:rPr>
          <w:rFonts w:hint="eastAsia" w:ascii="宋体" w:hAnsi="宋体" w:eastAsia="宋体" w:cs="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693B95B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27.4.7</w:t>
      </w:r>
      <w:r>
        <w:rPr>
          <w:rFonts w:hint="eastAsia" w:ascii="宋体" w:hAnsi="宋体" w:eastAsia="宋体" w:cs="宋体"/>
          <w:bCs/>
          <w:color w:val="auto"/>
          <w:sz w:val="24"/>
          <w:szCs w:val="24"/>
          <w:highlight w:val="none"/>
        </w:rPr>
        <w:t>拒绝有关部门监督检查或者提供虚假情况的。</w:t>
      </w:r>
    </w:p>
    <w:p w14:paraId="5AA1706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w:t>
      </w:r>
      <w:r>
        <w:rPr>
          <w:rFonts w:hint="eastAsia" w:ascii="宋体" w:hAnsi="宋体" w:eastAsia="宋体" w:cs="宋体"/>
          <w:color w:val="auto"/>
          <w:kern w:val="0"/>
          <w:sz w:val="24"/>
          <w:szCs w:val="24"/>
          <w:highlight w:val="none"/>
        </w:rPr>
        <w:t>有下列情形之一的，视为投标人串通投标，投标无效：</w:t>
      </w:r>
    </w:p>
    <w:p w14:paraId="21FCA1B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04527DB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5471691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4F596C8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069039B5">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28.质疑处理</w:t>
      </w:r>
      <w:bookmarkEnd w:id="170"/>
    </w:p>
    <w:p w14:paraId="4363505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提出质疑的供应商应当是参与所质疑项目采购活动的供应商。潜在供应商依法获取其可质疑的采购文件的，可以对采购文件提出质疑。</w:t>
      </w:r>
    </w:p>
    <w:p w14:paraId="0434D04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在法定质疑期内一次性提出针对同一采购程序环节的质疑。供应商因未按该规定提出质疑从而造成质疑超出政府采购法定期限或其他情形导致质疑不予受理或无法受理的，由供应商自行承担。上述应知其权益受到损害之日，是指：</w:t>
      </w:r>
    </w:p>
    <w:p w14:paraId="5F147DB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4711AE4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2E592483">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11780A5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、采购人将只对供应商第一次质疑作出答复。</w:t>
      </w:r>
    </w:p>
    <w:p w14:paraId="51804FB4">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w:t>
      </w:r>
      <w:r>
        <w:rPr>
          <w:rFonts w:hint="eastAsia" w:ascii="宋体" w:hAnsi="宋体" w:eastAsia="宋体" w:cs="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供应商如组成联合体参加投标，则《质疑函范本》中要求签字、盖章、加盖公章之处，联合体各方均须按要求签字、盖章、加盖公章。</w:t>
      </w:r>
    </w:p>
    <w:p w14:paraId="57BFA92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负责答复。</w:t>
      </w:r>
    </w:p>
    <w:p w14:paraId="62F7CF3B">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只接收以纸质原件形式送达的质疑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质疑供应商可通过面交或邮寄方式送达（采购人和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不接受未填写快递运单的快件）。</w:t>
      </w:r>
    </w:p>
    <w:p w14:paraId="55E966D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联系人、联系方式、通信地址见招标文件第一章。</w:t>
      </w:r>
    </w:p>
    <w:p w14:paraId="2CD8167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397A65A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 内容不符合《政府采购质疑和投诉办法》第十二条规定的质疑。</w:t>
      </w:r>
    </w:p>
    <w:p w14:paraId="7980DDF0">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 超出政府采购法定期限的质疑。</w:t>
      </w:r>
    </w:p>
    <w:p w14:paraId="5C68ADAD">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以传真、电子邮件等方式递交的非原件形式的质疑。</w:t>
      </w:r>
    </w:p>
    <w:p w14:paraId="45272C55">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74F4208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7AB5FFF9">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w:t>
      </w:r>
      <w:r>
        <w:rPr>
          <w:rFonts w:hint="eastAsia" w:ascii="宋体" w:hAnsi="宋体" w:eastAsia="宋体" w:cs="宋体"/>
          <w:bCs/>
          <w:color w:val="auto"/>
          <w:sz w:val="24"/>
          <w:highlight w:val="none"/>
        </w:rPr>
        <w:t>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2E95A9FF">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29.中标通知书</w:t>
      </w:r>
    </w:p>
    <w:p w14:paraId="1AC694C6">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将向中标人发出中标通知书。请中标人在中标结果公告届满之日起30日内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及时下载中标通知书。因系统存储空间有限，自中标结果公告届满之日起30日后，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不再保证提供下载中标通知书服务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因未及时下载而造成的不利后果由中标人自行承担。</w:t>
      </w:r>
    </w:p>
    <w:p w14:paraId="7F91871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196005AF">
      <w:pPr>
        <w:pStyle w:val="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171" w:name="_Toc120614220"/>
      <w:bookmarkStart w:id="172" w:name="_Toc513029236"/>
      <w:bookmarkStart w:id="173" w:name="_Toc16938552"/>
      <w:bookmarkStart w:id="174" w:name="_Toc20823308"/>
      <w:r>
        <w:rPr>
          <w:rFonts w:hint="eastAsia" w:ascii="宋体" w:hAnsi="宋体" w:eastAsia="宋体" w:cs="宋体"/>
          <w:b/>
          <w:bCs/>
          <w:kern w:val="0"/>
          <w:sz w:val="24"/>
          <w:szCs w:val="24"/>
          <w:highlight w:val="none"/>
          <w:lang w:val="en-US" w:eastAsia="zh-CN" w:bidi="ar-SA"/>
        </w:rPr>
        <w:t>七、授予合同</w:t>
      </w:r>
      <w:bookmarkEnd w:id="171"/>
    </w:p>
    <w:bookmarkEnd w:id="172"/>
    <w:bookmarkEnd w:id="173"/>
    <w:bookmarkEnd w:id="174"/>
    <w:p w14:paraId="379F836B">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bookmarkStart w:id="175" w:name="_Toc513029237"/>
      <w:bookmarkStart w:id="176" w:name="_Toc20823309"/>
      <w:bookmarkStart w:id="177" w:name="_Toc16938553"/>
      <w:r>
        <w:rPr>
          <w:rFonts w:hint="eastAsia" w:ascii="宋体" w:hAnsi="宋体" w:eastAsia="宋体" w:cs="宋体"/>
          <w:bCs w:val="0"/>
          <w:color w:val="auto"/>
          <w:sz w:val="24"/>
          <w:highlight w:val="none"/>
        </w:rPr>
        <w:t>30.签订合同</w:t>
      </w:r>
    </w:p>
    <w:p w14:paraId="36B556FC">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招标文件、中标人的投标文件及招标过程中有关澄清、承诺文件均应作为合同附件。</w:t>
      </w:r>
    </w:p>
    <w:p w14:paraId="3799BBBE">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30.2中标人非因不可抗力未履行招、投标文件和合同规定的义务，一经查实，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将根据具体情况提请政府采购管理部门作出相应处理。</w:t>
      </w:r>
    </w:p>
    <w:p w14:paraId="100B6A58">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1A913C1">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693A1F97">
      <w:pPr>
        <w:pStyle w:val="6"/>
        <w:keepNext w:val="0"/>
        <w:keepLines w:val="0"/>
        <w:pageBreakBefore w:val="0"/>
        <w:widowControl w:val="0"/>
        <w:kinsoku/>
        <w:overflowPunct/>
        <w:bidi w:val="0"/>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31.服务（包含与服务相关的货物）的追加</w:t>
      </w:r>
    </w:p>
    <w:p w14:paraId="5E622CAF">
      <w:pPr>
        <w:keepNext w:val="0"/>
        <w:keepLines w:val="0"/>
        <w:pageBreakBefore w:val="0"/>
        <w:widowControl w:val="0"/>
        <w:kinsoku/>
        <w:overflowPunct/>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额的</w:t>
      </w:r>
      <w:r>
        <w:rPr>
          <w:rFonts w:hint="eastAsia" w:ascii="宋体" w:hAnsi="宋体" w:eastAsia="宋体" w:cs="宋体"/>
          <w:color w:val="auto"/>
          <w:sz w:val="24"/>
          <w:szCs w:val="24"/>
          <w:highlight w:val="none"/>
        </w:rPr>
        <w:t>10%。</w:t>
      </w:r>
    </w:p>
    <w:p w14:paraId="6DBD8F64">
      <w:pPr>
        <w:pStyle w:val="214"/>
        <w:keepNext w:val="0"/>
        <w:keepLines w:val="0"/>
        <w:pageBreakBefore w:val="0"/>
        <w:widowControl w:val="0"/>
        <w:kinsoku/>
        <w:overflowPunct/>
        <w:bidi w:val="0"/>
        <w:snapToGrid/>
        <w:spacing w:before="0" w:beforeAutospacing="0" w:after="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八、代理服务费</w:t>
      </w:r>
    </w:p>
    <w:p w14:paraId="4C355D27">
      <w:pPr>
        <w:pStyle w:val="8"/>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rightChars="0" w:firstLine="480" w:firstLineChars="200"/>
        <w:jc w:val="left"/>
        <w:textAlignment w:val="auto"/>
        <w:outlineLvl w:val="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w:t>
      </w:r>
      <w:bookmarkEnd w:id="175"/>
      <w:bookmarkEnd w:id="176"/>
      <w:bookmarkEnd w:id="177"/>
      <w:bookmarkStart w:id="178" w:name="_Toc120614221"/>
      <w:bookmarkStart w:id="179" w:name="_Toc479757207"/>
      <w:bookmarkStart w:id="180" w:name="_Toc16938558"/>
      <w:bookmarkStart w:id="181" w:name="_Toc20823314"/>
      <w:bookmarkStart w:id="182" w:name="_Toc513029242"/>
      <w:r>
        <w:rPr>
          <w:rFonts w:hint="eastAsia" w:ascii="宋体" w:hAnsi="宋体" w:eastAsia="宋体" w:cs="宋体"/>
          <w:color w:val="auto"/>
          <w:sz w:val="24"/>
          <w:highlight w:val="none"/>
          <w:shd w:val="clear" w:color="auto" w:fill="FFFFFF"/>
        </w:rPr>
        <w:t>招标代理服务费由中标人支付</w:t>
      </w:r>
      <w:r>
        <w:rPr>
          <w:rFonts w:hint="eastAsia" w:ascii="宋体" w:hAnsi="宋体" w:eastAsia="宋体" w:cs="宋体"/>
          <w:bCs/>
          <w:color w:val="auto"/>
          <w:sz w:val="24"/>
          <w:highlight w:val="none"/>
        </w:rPr>
        <w:t>：代理费以中标金额为计费基础，差额定率累进法计算，</w:t>
      </w:r>
      <w:r>
        <w:rPr>
          <w:rFonts w:hint="eastAsia" w:ascii="宋体" w:hAnsi="宋体" w:eastAsia="宋体" w:cs="宋体"/>
          <w:color w:val="auto"/>
          <w:sz w:val="24"/>
          <w:highlight w:val="none"/>
          <w:shd w:val="clear" w:color="auto" w:fill="FFFFFF"/>
        </w:rPr>
        <w:t>代理费（服务）收费标准：</w:t>
      </w:r>
      <w:r>
        <w:rPr>
          <w:rFonts w:hint="eastAsia" w:ascii="宋体" w:hAnsi="宋体" w:cs="宋体"/>
          <w:color w:val="auto"/>
          <w:sz w:val="24"/>
          <w:highlight w:val="none"/>
          <w:shd w:val="clear" w:color="auto" w:fill="FFFFFF"/>
          <w:lang w:val="en-US" w:eastAsia="zh-CN"/>
        </w:rPr>
        <w:t>中标</w:t>
      </w:r>
      <w:r>
        <w:rPr>
          <w:rFonts w:hint="eastAsia" w:ascii="宋体" w:hAnsi="宋体" w:eastAsia="宋体" w:cs="宋体"/>
          <w:color w:val="auto"/>
          <w:sz w:val="24"/>
          <w:highlight w:val="none"/>
          <w:shd w:val="clear" w:color="auto" w:fill="FFFFFF"/>
        </w:rPr>
        <w:t>金额</w:t>
      </w:r>
      <w:r>
        <w:rPr>
          <w:rFonts w:hint="eastAsia" w:ascii="宋体" w:hAnsi="宋体" w:eastAsia="宋体" w:cs="宋体"/>
          <w:color w:val="auto"/>
          <w:sz w:val="24"/>
          <w:highlight w:val="none"/>
          <w:shd w:val="clear" w:color="auto" w:fill="FFFFFF"/>
          <w:lang w:eastAsia="zh-CN"/>
        </w:rPr>
        <w:t>100万元以下</w:t>
      </w:r>
      <w:r>
        <w:rPr>
          <w:rFonts w:hint="eastAsia" w:ascii="宋体" w:hAnsi="宋体" w:eastAsia="宋体" w:cs="宋体"/>
          <w:color w:val="auto"/>
          <w:sz w:val="24"/>
          <w:highlight w:val="none"/>
          <w:shd w:val="clear" w:color="auto" w:fill="FFFFFF"/>
        </w:rPr>
        <w:t>费率为</w:t>
      </w:r>
      <w:r>
        <w:rPr>
          <w:rFonts w:hint="eastAsia" w:ascii="宋体" w:hAnsi="宋体" w:cs="宋体"/>
          <w:color w:val="auto"/>
          <w:sz w:val="24"/>
          <w:highlight w:val="none"/>
          <w:shd w:val="clear" w:color="auto" w:fill="FFFFFF"/>
          <w:lang w:val="en-US" w:eastAsia="zh-CN"/>
        </w:rPr>
        <w:t>中标</w:t>
      </w:r>
      <w:r>
        <w:rPr>
          <w:rFonts w:hint="eastAsia" w:ascii="宋体" w:hAnsi="宋体" w:eastAsia="宋体" w:cs="宋体"/>
          <w:color w:val="auto"/>
          <w:sz w:val="24"/>
          <w:highlight w:val="none"/>
          <w:shd w:val="clear" w:color="auto" w:fill="FFFFFF"/>
        </w:rPr>
        <w:t>金额的1.316%，</w:t>
      </w:r>
      <w:r>
        <w:rPr>
          <w:rFonts w:hint="eastAsia" w:ascii="宋体" w:hAnsi="宋体" w:cs="宋体"/>
          <w:color w:val="auto"/>
          <w:sz w:val="24"/>
          <w:highlight w:val="none"/>
          <w:shd w:val="clear" w:color="auto" w:fill="FFFFFF"/>
          <w:lang w:val="en-US" w:eastAsia="zh-CN"/>
        </w:rPr>
        <w:t>中标金额100万元</w:t>
      </w:r>
      <w:r>
        <w:rPr>
          <w:rFonts w:hint="eastAsia" w:ascii="宋体" w:hAnsi="宋体" w:eastAsia="宋体" w:cs="宋体"/>
          <w:color w:val="auto"/>
          <w:sz w:val="24"/>
          <w:highlight w:val="none"/>
          <w:shd w:val="clear" w:color="auto" w:fill="FFFFFF"/>
          <w:lang w:eastAsia="zh-CN"/>
        </w:rPr>
        <w:t>—500</w:t>
      </w:r>
      <w:r>
        <w:rPr>
          <w:rFonts w:hint="eastAsia" w:ascii="宋体" w:hAnsi="宋体" w:cs="宋体"/>
          <w:color w:val="auto"/>
          <w:sz w:val="24"/>
          <w:highlight w:val="none"/>
          <w:shd w:val="clear" w:color="auto" w:fill="FFFFFF"/>
          <w:lang w:eastAsia="zh-CN"/>
        </w:rPr>
        <w:t>万元</w:t>
      </w:r>
      <w:r>
        <w:rPr>
          <w:rFonts w:hint="eastAsia" w:ascii="宋体" w:hAnsi="宋体" w:eastAsia="宋体" w:cs="宋体"/>
          <w:color w:val="auto"/>
          <w:sz w:val="24"/>
          <w:highlight w:val="none"/>
          <w:shd w:val="clear" w:color="auto" w:fill="FFFFFF"/>
        </w:rPr>
        <w:t>费率为</w:t>
      </w:r>
      <w:r>
        <w:rPr>
          <w:rFonts w:hint="eastAsia" w:ascii="宋体" w:hAnsi="宋体" w:cs="宋体"/>
          <w:color w:val="auto"/>
          <w:sz w:val="24"/>
          <w:highlight w:val="none"/>
          <w:shd w:val="clear" w:color="auto" w:fill="FFFFFF"/>
          <w:lang w:val="en-US" w:eastAsia="zh-CN"/>
        </w:rPr>
        <w:t>中标</w:t>
      </w:r>
      <w:r>
        <w:rPr>
          <w:rFonts w:hint="eastAsia" w:ascii="宋体" w:hAnsi="宋体" w:eastAsia="宋体" w:cs="宋体"/>
          <w:color w:val="auto"/>
          <w:sz w:val="24"/>
          <w:highlight w:val="none"/>
          <w:shd w:val="clear" w:color="auto" w:fill="FFFFFF"/>
        </w:rPr>
        <w:t>金额的0.826%</w:t>
      </w:r>
      <w:r>
        <w:rPr>
          <w:rFonts w:hint="eastAsia" w:ascii="宋体" w:hAnsi="宋体" w:cs="宋体"/>
          <w:color w:val="auto"/>
          <w:sz w:val="24"/>
          <w:highlight w:val="none"/>
          <w:shd w:val="clear" w:color="auto" w:fill="FFFFFF"/>
          <w:lang w:eastAsia="zh-CN"/>
        </w:rPr>
        <w:t>。</w:t>
      </w:r>
    </w:p>
    <w:p w14:paraId="7D3B4E0B">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bookmarkStart w:id="183" w:name="_Toc29592"/>
      <w:r>
        <w:rPr>
          <w:rFonts w:hint="eastAsia" w:ascii="宋体" w:hAnsi="宋体" w:eastAsia="宋体" w:cs="宋体"/>
          <w:b/>
          <w:bCs/>
          <w:kern w:val="0"/>
          <w:sz w:val="24"/>
          <w:szCs w:val="24"/>
          <w:highlight w:val="none"/>
          <w:lang w:val="en-US" w:eastAsia="zh-CN" w:bidi="ar-SA"/>
        </w:rPr>
        <w:t>第三章  合同</w:t>
      </w:r>
      <w:bookmarkEnd w:id="178"/>
      <w:bookmarkEnd w:id="179"/>
      <w:bookmarkEnd w:id="180"/>
      <w:bookmarkEnd w:id="181"/>
      <w:bookmarkEnd w:id="182"/>
      <w:r>
        <w:rPr>
          <w:rFonts w:hint="eastAsia" w:ascii="宋体" w:hAnsi="宋体" w:eastAsia="宋体" w:cs="宋体"/>
          <w:b/>
          <w:bCs/>
          <w:kern w:val="0"/>
          <w:sz w:val="24"/>
          <w:szCs w:val="24"/>
          <w:highlight w:val="none"/>
          <w:lang w:val="en-US" w:eastAsia="zh-CN" w:bidi="ar-SA"/>
        </w:rPr>
        <w:t>文本</w:t>
      </w:r>
      <w:bookmarkEnd w:id="183"/>
    </w:p>
    <w:p w14:paraId="6942D228">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2026—2029年市管夜景照明设施维护项目合同</w:t>
      </w:r>
    </w:p>
    <w:p w14:paraId="2549093F">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bookmarkStart w:id="184" w:name="_Toc513029243"/>
      <w:bookmarkStart w:id="185" w:name="_Toc16938559"/>
      <w:bookmarkStart w:id="186" w:name="_Toc20823315"/>
      <w:r>
        <w:rPr>
          <w:rFonts w:ascii="宋体" w:hAnsi="宋体" w:cs="宋体"/>
          <w:b/>
          <w:color w:val="000000"/>
          <w:highlight w:val="none"/>
        </w:rPr>
        <w:t>发包方：</w:t>
      </w:r>
      <w:r>
        <w:rPr>
          <w:rFonts w:ascii="宋体" w:hAnsi="宋体" w:cs="宋体"/>
          <w:b/>
          <w:color w:val="000000"/>
          <w:highlight w:val="none"/>
          <w:u w:val="single"/>
        </w:rPr>
        <w:t>        </w:t>
      </w:r>
      <w:r>
        <w:rPr>
          <w:rFonts w:ascii="宋体" w:hAnsi="宋体" w:cs="宋体"/>
          <w:b/>
          <w:color w:val="000000"/>
          <w:highlight w:val="none"/>
        </w:rPr>
        <w:t>（以下简称甲方）</w:t>
      </w:r>
    </w:p>
    <w:p w14:paraId="4035480A">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b/>
          <w:color w:val="000000"/>
          <w:highlight w:val="none"/>
        </w:rPr>
        <w:t>承包方：</w:t>
      </w:r>
      <w:r>
        <w:rPr>
          <w:rFonts w:ascii="宋体" w:hAnsi="宋体" w:cs="宋体"/>
          <w:b/>
          <w:color w:val="000000"/>
          <w:highlight w:val="none"/>
          <w:u w:val="single"/>
        </w:rPr>
        <w:t>        </w:t>
      </w:r>
      <w:r>
        <w:rPr>
          <w:rFonts w:ascii="宋体" w:hAnsi="宋体" w:cs="宋体"/>
          <w:b/>
          <w:color w:val="000000"/>
          <w:highlight w:val="none"/>
        </w:rPr>
        <w:t>（以下简称乙方）</w:t>
      </w:r>
    </w:p>
    <w:p w14:paraId="5D687EBE">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为明确甲、乙双方权利义务，依照《中华人民共和国民法典</w:t>
      </w:r>
      <w:r>
        <w:rPr>
          <w:rFonts w:hint="eastAsia" w:cs="宋体"/>
          <w:color w:val="000000"/>
          <w:highlight w:val="none"/>
          <w:lang w:eastAsia="zh-CN"/>
        </w:rPr>
        <w:t>》《</w:t>
      </w:r>
      <w:r>
        <w:rPr>
          <w:rFonts w:hint="eastAsia" w:ascii="宋体" w:hAnsi="宋体" w:eastAsia="宋体" w:cs="宋体"/>
          <w:color w:val="auto"/>
          <w:sz w:val="24"/>
          <w:szCs w:val="24"/>
          <w:highlight w:val="none"/>
        </w:rPr>
        <w:t>中华人民共和国政府采购法</w:t>
      </w:r>
      <w:r>
        <w:rPr>
          <w:rFonts w:hint="eastAsia" w:cs="宋体"/>
          <w:color w:val="auto"/>
          <w:sz w:val="24"/>
          <w:szCs w:val="24"/>
          <w:highlight w:val="none"/>
          <w:lang w:eastAsia="zh-CN"/>
        </w:rPr>
        <w:t>》《</w:t>
      </w:r>
      <w:r>
        <w:rPr>
          <w:rFonts w:hint="eastAsia" w:ascii="宋体" w:hAnsi="宋体" w:eastAsia="宋体" w:cs="宋体"/>
          <w:color w:val="auto"/>
          <w:spacing w:val="2"/>
          <w:kern w:val="28"/>
          <w:sz w:val="24"/>
          <w:highlight w:val="none"/>
        </w:rPr>
        <w:t>无锡市市政园林精细化养护管理细则（试行）</w:t>
      </w:r>
      <w:r>
        <w:rPr>
          <w:rFonts w:hint="eastAsia" w:cs="宋体"/>
          <w:color w:val="auto"/>
          <w:spacing w:val="2"/>
          <w:kern w:val="28"/>
          <w:sz w:val="24"/>
          <w:highlight w:val="none"/>
          <w:lang w:eastAsia="zh-CN"/>
        </w:rPr>
        <w:t>》《</w:t>
      </w:r>
      <w:r>
        <w:rPr>
          <w:rFonts w:hint="eastAsia" w:ascii="宋体" w:hAnsi="宋体" w:eastAsia="宋体" w:cs="宋体"/>
          <w:color w:val="auto"/>
          <w:kern w:val="0"/>
          <w:sz w:val="24"/>
          <w:highlight w:val="none"/>
        </w:rPr>
        <w:t>无锡市城市照明设施维护考核办法》</w:t>
      </w:r>
      <w:r>
        <w:rPr>
          <w:rFonts w:hint="eastAsia" w:ascii="宋体" w:hAnsi="宋体" w:eastAsia="宋体" w:cs="宋体"/>
          <w:color w:val="auto"/>
          <w:spacing w:val="2"/>
          <w:kern w:val="28"/>
          <w:sz w:val="24"/>
          <w:highlight w:val="none"/>
        </w:rPr>
        <w:t>（最新版）</w:t>
      </w:r>
      <w:r>
        <w:rPr>
          <w:rFonts w:hint="eastAsia" w:ascii="宋体" w:hAnsi="宋体" w:eastAsia="宋体" w:cs="宋体"/>
          <w:color w:val="auto"/>
          <w:spacing w:val="2"/>
          <w:kern w:val="28"/>
          <w:sz w:val="24"/>
          <w:highlight w:val="none"/>
          <w:lang w:eastAsia="zh-CN"/>
        </w:rPr>
        <w:t>及其实施细则</w:t>
      </w:r>
      <w:r>
        <w:rPr>
          <w:rFonts w:ascii="宋体" w:hAnsi="宋体" w:cs="宋体"/>
          <w:color w:val="000000"/>
          <w:highlight w:val="none"/>
        </w:rPr>
        <w:t>等有关规定，在遵循自愿、平等、公平、诚信原则的基础上，甲方就本合同</w:t>
      </w:r>
      <w:r>
        <w:rPr>
          <w:rFonts w:hint="eastAsia" w:ascii="宋体" w:hAnsi="宋体" w:eastAsia="宋体" w:cs="宋体"/>
          <w:color w:val="auto"/>
          <w:sz w:val="24"/>
          <w:szCs w:val="24"/>
          <w:highlight w:val="none"/>
        </w:rPr>
        <w:t>2026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2029年市管夜景照明设施维护</w:t>
      </w:r>
      <w:r>
        <w:rPr>
          <w:rFonts w:ascii="宋体" w:hAnsi="宋体" w:cs="宋体"/>
          <w:color w:val="000000"/>
          <w:highlight w:val="none"/>
        </w:rPr>
        <w:t>等相关委托事项，经法定招投标程序已确定由乙方中标。根据有关法律规定，订立本合同。</w:t>
      </w:r>
    </w:p>
    <w:p w14:paraId="3D1913E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项目概况</w:t>
      </w:r>
    </w:p>
    <w:p w14:paraId="3FAFD231">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委托项目名称：</w:t>
      </w:r>
      <w:r>
        <w:rPr>
          <w:rFonts w:ascii="宋体" w:hAnsi="宋体" w:cs="宋体"/>
          <w:color w:val="000000"/>
          <w:highlight w:val="none"/>
          <w:u w:val="single"/>
        </w:rPr>
        <w:t>        </w:t>
      </w:r>
      <w:r>
        <w:rPr>
          <w:rFonts w:ascii="宋体" w:hAnsi="宋体" w:cs="宋体"/>
          <w:color w:val="000000"/>
          <w:highlight w:val="none"/>
        </w:rPr>
        <w:t>。</w:t>
      </w:r>
    </w:p>
    <w:p w14:paraId="1AB8BF9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组成合同的文件</w:t>
      </w:r>
    </w:p>
    <w:p w14:paraId="309BB21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本合同由下列文件组成，效力顺序如下：</w:t>
      </w:r>
    </w:p>
    <w:p w14:paraId="575C7A3C">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本合同（含附件）；</w:t>
      </w:r>
    </w:p>
    <w:p w14:paraId="1F43C9A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招、投标书及附件（设施量清单及报价单或预算书等）；</w:t>
      </w:r>
    </w:p>
    <w:p w14:paraId="7A9A9C1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中标通知书；</w:t>
      </w:r>
    </w:p>
    <w:p w14:paraId="67EB8176">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维修养护标准、规范及相关技术文件；</w:t>
      </w:r>
    </w:p>
    <w:p w14:paraId="5DFE7EB8">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组成本合同的其他文件和资料。</w:t>
      </w:r>
    </w:p>
    <w:p w14:paraId="66F7FCA2">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维修养护范围及维修养护内容</w:t>
      </w:r>
    </w:p>
    <w:p w14:paraId="30D0808F">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维修养护范围：</w:t>
      </w:r>
      <w:r>
        <w:rPr>
          <w:rFonts w:ascii="宋体" w:hAnsi="宋体" w:cs="宋体"/>
          <w:color w:val="000000"/>
          <w:highlight w:val="none"/>
          <w:u w:val="single"/>
        </w:rPr>
        <w:t>        </w:t>
      </w:r>
      <w:r>
        <w:rPr>
          <w:rFonts w:ascii="宋体" w:hAnsi="宋体" w:cs="宋体"/>
          <w:color w:val="000000"/>
          <w:highlight w:val="none"/>
        </w:rPr>
        <w:t>。</w:t>
      </w:r>
    </w:p>
    <w:p w14:paraId="7C40ABD4">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维修养护内容：</w:t>
      </w:r>
      <w:r>
        <w:rPr>
          <w:rFonts w:hint="eastAsia" w:ascii="宋体" w:hAnsi="宋体" w:eastAsia="宋体" w:cs="宋体"/>
          <w:color w:val="auto"/>
          <w:sz w:val="24"/>
          <w:highlight w:val="none"/>
        </w:rPr>
        <w:t>清单中所列的中标标段维护内容</w:t>
      </w:r>
      <w:r>
        <w:rPr>
          <w:rFonts w:hint="eastAsia" w:ascii="宋体" w:hAnsi="宋体" w:eastAsia="宋体" w:cs="宋体"/>
          <w:color w:val="auto"/>
          <w:sz w:val="24"/>
          <w:highlight w:val="none"/>
          <w:lang w:eastAsia="zh-CN"/>
        </w:rPr>
        <w:t>。</w:t>
      </w:r>
    </w:p>
    <w:p w14:paraId="4392E1A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维修养护设施量确认：维修养护设施量由甲、乙双方在订立本合同时确定。乙方进场后发现实际设施量与本合同约定不符的，应在进场</w:t>
      </w:r>
      <w:r>
        <w:rPr>
          <w:rFonts w:ascii="宋体" w:hAnsi="宋体" w:cs="宋体"/>
          <w:color w:val="000000"/>
          <w:highlight w:val="none"/>
          <w:u w:val="single"/>
        </w:rPr>
        <w:t>    天</w:t>
      </w:r>
      <w:r>
        <w:rPr>
          <w:rFonts w:ascii="宋体" w:hAnsi="宋体" w:cs="宋体"/>
          <w:color w:val="000000"/>
          <w:highlight w:val="none"/>
        </w:rPr>
        <w:t>内向甲方提交差异报告。甲方接到乙方报告后应在</w:t>
      </w:r>
      <w:r>
        <w:rPr>
          <w:rFonts w:ascii="宋体" w:hAnsi="宋体" w:cs="宋体"/>
          <w:color w:val="000000"/>
          <w:highlight w:val="none"/>
          <w:u w:val="single"/>
        </w:rPr>
        <w:t>    天</w:t>
      </w:r>
      <w:r>
        <w:rPr>
          <w:rFonts w:ascii="宋体" w:hAnsi="宋体" w:cs="宋体"/>
          <w:color w:val="000000"/>
          <w:highlight w:val="none"/>
        </w:rPr>
        <w:t>内对实际设施量进行现场核实确认，并通知乙方参加。甲方收到乙方报告后，在本合同约定时间内不进行实际设施量现场核实确认的，视为认可乙方的差异报告。乙方进后</w:t>
      </w:r>
      <w:r>
        <w:rPr>
          <w:rFonts w:ascii="宋体" w:hAnsi="宋体" w:cs="宋体"/>
          <w:color w:val="000000"/>
          <w:highlight w:val="none"/>
          <w:u w:val="single"/>
        </w:rPr>
        <w:t>  天</w:t>
      </w:r>
      <w:r>
        <w:rPr>
          <w:rFonts w:ascii="宋体" w:hAnsi="宋体" w:cs="宋体"/>
          <w:color w:val="000000"/>
          <w:highlight w:val="none"/>
        </w:rPr>
        <w:t>内，未提出维修养护设施量差异的，视为对本合同确定的设施量无差异。乙方超出本合同约定范围或因乙方原因造成返工的维修养护设施量，甲方不予确认。</w:t>
      </w:r>
    </w:p>
    <w:p w14:paraId="3EFDD2A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维修养护期限</w:t>
      </w:r>
    </w:p>
    <w:p w14:paraId="24B091DF">
      <w:pPr>
        <w:pStyle w:val="42"/>
        <w:keepNext w:val="0"/>
        <w:keepLines w:val="0"/>
        <w:pageBreakBefore w:val="0"/>
        <w:widowControl/>
        <w:kinsoku/>
        <w:wordWrap w:val="0"/>
        <w:overflowPunct/>
        <w:topLinePunct/>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本合同委托维修养护的期限为</w:t>
      </w:r>
      <w:r>
        <w:rPr>
          <w:rFonts w:ascii="宋体" w:hAnsi="宋体" w:cs="宋体"/>
          <w:color w:val="000000"/>
          <w:highlight w:val="none"/>
          <w:u w:val="single"/>
        </w:rPr>
        <w:t> </w:t>
      </w:r>
      <w:r>
        <w:rPr>
          <w:rFonts w:hint="eastAsia" w:cs="宋体"/>
          <w:color w:val="000000"/>
          <w:highlight w:val="none"/>
          <w:u w:val="single"/>
          <w:lang w:val="en-US" w:eastAsia="zh-CN"/>
        </w:rPr>
        <w:t xml:space="preserve"> </w:t>
      </w:r>
      <w:r>
        <w:rPr>
          <w:rFonts w:ascii="宋体" w:hAnsi="宋体" w:cs="宋体"/>
          <w:color w:val="000000"/>
          <w:highlight w:val="none"/>
          <w:u w:val="single"/>
        </w:rPr>
        <w:t>个月</w:t>
      </w:r>
      <w:r>
        <w:rPr>
          <w:rFonts w:ascii="宋体" w:hAnsi="宋体" w:cs="宋体"/>
          <w:color w:val="000000"/>
          <w:highlight w:val="none"/>
        </w:rPr>
        <w:t>，</w:t>
      </w:r>
      <w:r>
        <w:rPr>
          <w:rFonts w:ascii="宋体" w:hAnsi="宋体" w:cs="宋体"/>
          <w:color w:val="000000"/>
          <w:highlight w:val="none"/>
          <w:u w:val="single"/>
        </w:rPr>
        <w:t>自 年</w:t>
      </w:r>
      <w:r>
        <w:rPr>
          <w:rFonts w:hint="eastAsia" w:cs="宋体"/>
          <w:color w:val="000000"/>
          <w:highlight w:val="none"/>
          <w:u w:val="single"/>
          <w:lang w:val="en-US" w:eastAsia="zh-CN"/>
        </w:rPr>
        <w:t xml:space="preserve">  </w:t>
      </w:r>
      <w:r>
        <w:rPr>
          <w:rFonts w:ascii="宋体" w:hAnsi="宋体" w:cs="宋体"/>
          <w:color w:val="000000"/>
          <w:highlight w:val="none"/>
          <w:u w:val="single"/>
        </w:rPr>
        <w:t>月 日起至 年 月 日止</w:t>
      </w:r>
      <w:r>
        <w:rPr>
          <w:rFonts w:ascii="宋体" w:hAnsi="宋体" w:cs="宋体"/>
          <w:color w:val="000000"/>
          <w:highlight w:val="none"/>
        </w:rPr>
        <w:t>。</w:t>
      </w:r>
    </w:p>
    <w:p w14:paraId="79AD18DA">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维修养护质量和考核</w:t>
      </w:r>
    </w:p>
    <w:p w14:paraId="71B6B55B">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维修养护质量：</w:t>
      </w:r>
    </w:p>
    <w:p w14:paraId="30FB1D7C">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240" w:firstLineChars="100"/>
        <w:textAlignment w:val="auto"/>
        <w:rPr>
          <w:rFonts w:ascii="宋体" w:hAnsi="宋体" w:cs="宋体"/>
          <w:color w:val="000000"/>
          <w:highlight w:val="none"/>
        </w:rPr>
      </w:pPr>
      <w:r>
        <w:rPr>
          <w:rFonts w:ascii="宋体" w:hAnsi="宋体" w:cs="宋体"/>
          <w:color w:val="000000"/>
          <w:highlight w:val="none"/>
        </w:rPr>
        <w:t>（1）</w:t>
      </w:r>
      <w:r>
        <w:rPr>
          <w:rFonts w:hint="eastAsia" w:ascii="宋体" w:hAnsi="宋体" w:eastAsia="宋体" w:cs="宋体"/>
          <w:color w:val="auto"/>
          <w:sz w:val="24"/>
          <w:highlight w:val="none"/>
        </w:rPr>
        <w:t>合同履行期间的维护目标：设施完好率≥92%；亮灯率≥97%；运行故障率≤1%；故障修复及时率100%；交办事项办理及时率100%；应急抢修确保30分钟内赶赴现场组织处理；零安全事故；</w:t>
      </w:r>
    </w:p>
    <w:p w14:paraId="69BE2D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建立每日巡查制度，并建立景观照明维护档案，包括下列内容：维护计划、实际耗材、数据检测记录、巡检台账、维修记录、安全教育记录等相关资料。维护档案资料应装订成册并实行电子化。随时接受甲方检查；</w:t>
      </w:r>
    </w:p>
    <w:p w14:paraId="33E301B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在接到</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抽查的设施损坏及灭灯故障的通知后，</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应在24小时内对故障进行排查修复。如遇特殊情况不能及时修复的，</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应书面向</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说明原因（</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应充分准备足够的备料，材料供应时限原因不可作为未及时修复的理由）；</w:t>
      </w:r>
    </w:p>
    <w:p w14:paraId="00E662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szCs w:val="24"/>
          <w:highlight w:val="none"/>
        </w:rPr>
        <w:t>需按要求配备车辆，并</w:t>
      </w:r>
      <w:r>
        <w:rPr>
          <w:rFonts w:hint="eastAsia" w:ascii="宋体" w:hAnsi="宋体" w:eastAsia="宋体" w:cs="宋体"/>
          <w:b/>
          <w:color w:val="auto"/>
          <w:sz w:val="24"/>
          <w:szCs w:val="24"/>
          <w:highlight w:val="none"/>
        </w:rPr>
        <w:t>安装</w:t>
      </w:r>
      <w:r>
        <w:rPr>
          <w:rFonts w:hint="eastAsia" w:ascii="宋体" w:hAnsi="宋体" w:eastAsia="宋体" w:cs="宋体"/>
          <w:b/>
          <w:color w:val="auto"/>
          <w:sz w:val="24"/>
          <w:szCs w:val="24"/>
          <w:highlight w:val="none"/>
          <w:lang w:val="en-US" w:eastAsia="zh-CN"/>
        </w:rPr>
        <w:t>GPS</w:t>
      </w:r>
      <w:r>
        <w:rPr>
          <w:rFonts w:hint="eastAsia" w:ascii="宋体" w:hAnsi="宋体" w:eastAsia="宋体" w:cs="宋体"/>
          <w:b/>
          <w:color w:val="auto"/>
          <w:sz w:val="24"/>
          <w:szCs w:val="24"/>
          <w:highlight w:val="none"/>
        </w:rPr>
        <w:t>系统设备</w:t>
      </w:r>
      <w:r>
        <w:rPr>
          <w:rFonts w:hint="eastAsia" w:ascii="宋体" w:hAnsi="宋体" w:eastAsia="宋体" w:cs="宋体"/>
          <w:color w:val="auto"/>
          <w:sz w:val="24"/>
          <w:szCs w:val="24"/>
          <w:highlight w:val="none"/>
        </w:rPr>
        <w:t>，保持系统正常运行。办理特殊车辆通行证，同时按</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提供的标识等对车辆进行统一装饰</w:t>
      </w:r>
      <w:r>
        <w:rPr>
          <w:rFonts w:hint="eastAsia" w:ascii="宋体" w:hAnsi="宋体" w:cs="宋体"/>
          <w:color w:val="auto"/>
          <w:sz w:val="24"/>
          <w:szCs w:val="24"/>
          <w:highlight w:val="none"/>
          <w:lang w:eastAsia="zh-CN"/>
        </w:rPr>
        <w:t>；</w:t>
      </w:r>
    </w:p>
    <w:p w14:paraId="5E33273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遇重大节日或重要活动，</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通知</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临时增加巡查频率或临时保障工作时，</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应无条件服从，不另行结算费用</w:t>
      </w:r>
      <w:r>
        <w:rPr>
          <w:rFonts w:hint="eastAsia" w:ascii="宋体" w:hAnsi="宋体" w:eastAsia="宋体" w:cs="宋体"/>
          <w:color w:val="auto"/>
          <w:sz w:val="24"/>
          <w:highlight w:val="none"/>
          <w:lang w:eastAsia="zh-CN"/>
        </w:rPr>
        <w:t>；</w:t>
      </w:r>
    </w:p>
    <w:p w14:paraId="4FD5D08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240" w:firstLineChars="1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维护项目所需材料，必须与原有设施品牌、性能保持一致。如无法获得原有品牌、性能元器件，另需购买其他品牌的材料，其性能不能低于原有材料性能，新材料应用需得到</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的认可</w:t>
      </w:r>
      <w:r>
        <w:rPr>
          <w:rFonts w:hint="eastAsia" w:ascii="宋体" w:hAnsi="宋体" w:cs="宋体"/>
          <w:color w:val="auto"/>
          <w:sz w:val="24"/>
          <w:highlight w:val="none"/>
          <w:lang w:eastAsia="zh-CN"/>
        </w:rPr>
        <w:t>；</w:t>
      </w:r>
    </w:p>
    <w:p w14:paraId="0F62B1A6">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240" w:firstLineChars="100"/>
        <w:textAlignment w:val="auto"/>
        <w:rPr>
          <w:rFonts w:hint="eastAsia" w:ascii="宋体" w:hAnsi="宋体" w:eastAsia="宋体" w:cs="宋体"/>
          <w:color w:val="000000"/>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ascii="宋体" w:hAnsi="宋体" w:cs="宋体"/>
          <w:color w:val="000000"/>
          <w:highlight w:val="none"/>
        </w:rPr>
        <w:t>对维修养护质量有特殊要求的，由双方另行约定</w:t>
      </w:r>
      <w:r>
        <w:rPr>
          <w:rFonts w:hint="eastAsia" w:cs="宋体"/>
          <w:color w:val="000000"/>
          <w:highlight w:val="none"/>
          <w:lang w:eastAsia="zh-CN"/>
        </w:rPr>
        <w:t>。</w:t>
      </w:r>
    </w:p>
    <w:p w14:paraId="3EFF3D4E">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维修养护考核：</w:t>
      </w:r>
    </w:p>
    <w:p w14:paraId="62F1D79B">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乙方应严格按照</w:t>
      </w:r>
      <w:r>
        <w:rPr>
          <w:rFonts w:hint="eastAsia" w:ascii="宋体" w:hAnsi="宋体" w:eastAsia="宋体" w:cs="宋体"/>
          <w:color w:val="auto"/>
          <w:spacing w:val="2"/>
          <w:kern w:val="28"/>
          <w:sz w:val="24"/>
          <w:highlight w:val="none"/>
        </w:rPr>
        <w:t>《无锡市市政园林精细化养护管理细则（试行）</w:t>
      </w:r>
      <w:r>
        <w:rPr>
          <w:rFonts w:hint="eastAsia" w:cs="宋体"/>
          <w:color w:val="auto"/>
          <w:spacing w:val="2"/>
          <w:kern w:val="28"/>
          <w:sz w:val="24"/>
          <w:highlight w:val="none"/>
          <w:lang w:eastAsia="zh-CN"/>
        </w:rPr>
        <w:t>》《</w:t>
      </w:r>
      <w:r>
        <w:rPr>
          <w:rFonts w:hint="eastAsia" w:ascii="宋体" w:hAnsi="宋体" w:eastAsia="宋体" w:cs="宋体"/>
          <w:color w:val="auto"/>
          <w:kern w:val="0"/>
          <w:sz w:val="24"/>
          <w:highlight w:val="none"/>
        </w:rPr>
        <w:t>无锡市城市照明设施维护考核办法》</w:t>
      </w:r>
      <w:r>
        <w:rPr>
          <w:rFonts w:hint="eastAsia" w:ascii="宋体" w:hAnsi="宋体" w:eastAsia="宋体" w:cs="宋体"/>
          <w:color w:val="auto"/>
          <w:spacing w:val="2"/>
          <w:kern w:val="28"/>
          <w:sz w:val="24"/>
          <w:highlight w:val="none"/>
        </w:rPr>
        <w:t>（最新版）</w:t>
      </w:r>
      <w:r>
        <w:rPr>
          <w:rFonts w:hint="eastAsia" w:ascii="宋体" w:hAnsi="宋体" w:eastAsia="宋体" w:cs="宋体"/>
          <w:color w:val="auto"/>
          <w:spacing w:val="2"/>
          <w:kern w:val="28"/>
          <w:sz w:val="24"/>
          <w:highlight w:val="none"/>
          <w:lang w:eastAsia="zh-CN"/>
        </w:rPr>
        <w:t>及其实施细则</w:t>
      </w:r>
      <w:r>
        <w:rPr>
          <w:rFonts w:ascii="宋体" w:hAnsi="宋体" w:cs="宋体"/>
          <w:color w:val="000000"/>
          <w:highlight w:val="none"/>
        </w:rPr>
        <w:t>等规定，以及本合同约定进行维修养护；</w:t>
      </w:r>
    </w:p>
    <w:p w14:paraId="43EE003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甲方一般应不少于</w:t>
      </w:r>
      <w:r>
        <w:rPr>
          <w:rFonts w:hint="eastAsia" w:ascii="宋体" w:hAnsi="宋体" w:cs="宋体"/>
          <w:color w:val="000000"/>
          <w:highlight w:val="none"/>
          <w:lang w:val="en-US" w:eastAsia="zh-CN"/>
        </w:rPr>
        <w:t>12</w:t>
      </w:r>
      <w:r>
        <w:rPr>
          <w:rFonts w:ascii="宋体" w:hAnsi="宋体" w:cs="宋体"/>
          <w:color w:val="000000"/>
          <w:highlight w:val="none"/>
        </w:rPr>
        <w:t>次/年对乙方维修养护的情况进行检查；</w:t>
      </w:r>
    </w:p>
    <w:p w14:paraId="5878C62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甲方发现维修养护不符合本合同约定的，要求乙方采取重做、修复、更换等补救措施，乙方应采取补救措施直至符合本合同约定要求</w:t>
      </w:r>
      <w:r>
        <w:rPr>
          <w:rFonts w:hint="eastAsia" w:cs="宋体"/>
          <w:color w:val="000000"/>
          <w:highlight w:val="none"/>
          <w:lang w:eastAsia="zh-CN"/>
        </w:rPr>
        <w:t>；</w:t>
      </w:r>
    </w:p>
    <w:p w14:paraId="00C2A11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乙方采取补救措施后仍不符合本合同约定要求的，甲方有权委托第三方采取措施，由此发生的全部费用由乙方承担；</w:t>
      </w:r>
    </w:p>
    <w:p w14:paraId="59063BA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甲方应按照合同规定进行月度评价和年度考核：</w:t>
      </w:r>
    </w:p>
    <w:p w14:paraId="6AEE89A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考核措施如下：</w:t>
      </w:r>
    </w:p>
    <w:p w14:paraId="1872BE0C">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A.</w:t>
      </w:r>
      <w:r>
        <w:rPr>
          <w:rFonts w:hint="eastAsia" w:ascii="宋体" w:hAnsi="宋体" w:cs="宋体" w:eastAsiaTheme="minorEastAsia"/>
          <w:color w:val="000000"/>
          <w:highlight w:val="none"/>
          <w:lang w:eastAsia="zh-CN"/>
        </w:rPr>
        <w:t>乙方</w:t>
      </w:r>
      <w:r>
        <w:rPr>
          <w:rFonts w:ascii="宋体" w:hAnsi="宋体" w:cs="宋体" w:eastAsiaTheme="minorEastAsia"/>
          <w:color w:val="000000"/>
          <w:highlight w:val="none"/>
        </w:rPr>
        <w:t>未按时将巡查工作计划列入月度维护工作计划中上报的</w:t>
      </w:r>
      <w:r>
        <w:rPr>
          <w:rFonts w:hint="eastAsia" w:ascii="宋体" w:hAnsi="宋体" w:cs="宋体" w:eastAsiaTheme="minorEastAsia"/>
          <w:color w:val="000000"/>
          <w:highlight w:val="none"/>
        </w:rPr>
        <w:t>，</w:t>
      </w:r>
      <w:r>
        <w:rPr>
          <w:rFonts w:ascii="宋体" w:hAnsi="宋体" w:cs="宋体" w:eastAsiaTheme="minorEastAsia"/>
          <w:color w:val="000000"/>
          <w:highlight w:val="none"/>
        </w:rPr>
        <w:t>每次扣除当月</w:t>
      </w:r>
      <w:bookmarkStart w:id="187" w:name="OLE_LINK4"/>
      <w:bookmarkStart w:id="188" w:name="OLE_LINK5"/>
      <w:r>
        <w:rPr>
          <w:rFonts w:ascii="宋体" w:hAnsi="宋体" w:cs="宋体" w:eastAsiaTheme="minorEastAsia"/>
          <w:color w:val="000000"/>
          <w:highlight w:val="none"/>
        </w:rPr>
        <w:t>维护费用</w:t>
      </w:r>
      <w:bookmarkEnd w:id="187"/>
      <w:bookmarkEnd w:id="188"/>
      <w:r>
        <w:rPr>
          <w:rFonts w:ascii="宋体" w:hAnsi="宋体" w:cs="宋体" w:eastAsiaTheme="minorEastAsia"/>
          <w:color w:val="000000"/>
          <w:highlight w:val="none"/>
        </w:rPr>
        <w:t>的</w:t>
      </w:r>
      <w:r>
        <w:rPr>
          <w:rFonts w:hint="eastAsia" w:ascii="宋体" w:hAnsi="宋体" w:cs="宋体" w:eastAsiaTheme="minorEastAsia"/>
          <w:color w:val="000000"/>
          <w:highlight w:val="none"/>
        </w:rPr>
        <w:t>2</w:t>
      </w:r>
      <w:r>
        <w:rPr>
          <w:rFonts w:ascii="宋体" w:hAnsi="宋体" w:cs="宋体" w:eastAsiaTheme="minorEastAsia"/>
          <w:color w:val="000000"/>
          <w:highlight w:val="none"/>
        </w:rPr>
        <w:t>%。</w:t>
      </w:r>
    </w:p>
    <w:p w14:paraId="15CEB3E5">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ascii="宋体" w:hAnsi="宋体" w:cs="宋体" w:eastAsiaTheme="minorEastAsia"/>
          <w:color w:val="000000"/>
          <w:highlight w:val="none"/>
        </w:rPr>
        <w:t>B</w:t>
      </w:r>
      <w:r>
        <w:rPr>
          <w:rFonts w:hint="eastAsia" w:ascii="宋体" w:hAnsi="宋体" w:cs="宋体" w:eastAsiaTheme="minorEastAsia"/>
          <w:color w:val="000000"/>
          <w:highlight w:val="none"/>
          <w:lang w:eastAsia="zh-CN"/>
        </w:rPr>
        <w:t>.乙方</w:t>
      </w:r>
      <w:r>
        <w:rPr>
          <w:rFonts w:ascii="宋体" w:hAnsi="宋体" w:cs="宋体" w:eastAsiaTheme="minorEastAsia"/>
          <w:color w:val="000000"/>
          <w:highlight w:val="none"/>
        </w:rPr>
        <w:t>每天未对标段内全部项目的亮灯情况巡查一次，每日扣除当月</w:t>
      </w:r>
      <w:bookmarkStart w:id="189" w:name="OLE_LINK7"/>
      <w:bookmarkStart w:id="190" w:name="OLE_LINK6"/>
      <w:r>
        <w:rPr>
          <w:rFonts w:ascii="宋体" w:hAnsi="宋体" w:cs="宋体" w:eastAsiaTheme="minorEastAsia"/>
          <w:color w:val="000000"/>
          <w:highlight w:val="none"/>
        </w:rPr>
        <w:t>维护费用</w:t>
      </w:r>
      <w:bookmarkEnd w:id="189"/>
      <w:bookmarkEnd w:id="190"/>
      <w:bookmarkStart w:id="191" w:name="OLE_LINK9"/>
      <w:bookmarkStart w:id="192" w:name="OLE_LINK8"/>
      <w:r>
        <w:rPr>
          <w:rFonts w:ascii="宋体" w:hAnsi="宋体" w:cs="宋体" w:eastAsiaTheme="minorEastAsia"/>
          <w:color w:val="000000"/>
          <w:highlight w:val="none"/>
        </w:rPr>
        <w:t>的</w:t>
      </w:r>
      <w:r>
        <w:rPr>
          <w:rFonts w:hint="eastAsia" w:ascii="宋体" w:hAnsi="宋体" w:cs="宋体" w:eastAsiaTheme="minorEastAsia"/>
          <w:color w:val="000000"/>
          <w:highlight w:val="none"/>
        </w:rPr>
        <w:t>2%</w:t>
      </w:r>
      <w:bookmarkEnd w:id="191"/>
      <w:bookmarkEnd w:id="192"/>
      <w:r>
        <w:rPr>
          <w:rFonts w:ascii="宋体" w:hAnsi="宋体" w:cs="宋体" w:eastAsiaTheme="minorEastAsia"/>
          <w:color w:val="000000"/>
          <w:highlight w:val="none"/>
        </w:rPr>
        <w:t>。夜间亮灯巡查不到位情况，经科级检查发现，每处故障扣除当月维护费用的</w:t>
      </w:r>
      <w:r>
        <w:rPr>
          <w:rFonts w:hint="eastAsia" w:ascii="宋体" w:hAnsi="宋体" w:cs="宋体" w:eastAsiaTheme="minorEastAsia"/>
          <w:color w:val="000000"/>
          <w:highlight w:val="none"/>
        </w:rPr>
        <w:t>0.4%</w:t>
      </w:r>
      <w:r>
        <w:rPr>
          <w:rFonts w:ascii="宋体" w:hAnsi="宋体" w:cs="宋体" w:eastAsiaTheme="minorEastAsia"/>
          <w:color w:val="000000"/>
          <w:highlight w:val="none"/>
        </w:rPr>
        <w:t>，经处级检查发现，每处故障扣除当月</w:t>
      </w:r>
      <w:bookmarkStart w:id="193" w:name="OLE_LINK10"/>
      <w:bookmarkStart w:id="194" w:name="OLE_LINK11"/>
      <w:r>
        <w:rPr>
          <w:rFonts w:ascii="宋体" w:hAnsi="宋体" w:cs="宋体" w:eastAsiaTheme="minorEastAsia"/>
          <w:color w:val="000000"/>
          <w:highlight w:val="none"/>
        </w:rPr>
        <w:t>维护费用</w:t>
      </w:r>
      <w:bookmarkEnd w:id="193"/>
      <w:bookmarkEnd w:id="194"/>
      <w:r>
        <w:rPr>
          <w:rFonts w:ascii="宋体" w:hAnsi="宋体" w:cs="宋体" w:eastAsiaTheme="minorEastAsia"/>
          <w:color w:val="000000"/>
          <w:highlight w:val="none"/>
        </w:rPr>
        <w:t>的</w:t>
      </w:r>
      <w:r>
        <w:rPr>
          <w:rFonts w:hint="eastAsia" w:ascii="宋体" w:hAnsi="宋体" w:cs="宋体" w:eastAsiaTheme="minorEastAsia"/>
          <w:color w:val="000000"/>
          <w:highlight w:val="none"/>
        </w:rPr>
        <w:t>1%</w:t>
      </w:r>
      <w:r>
        <w:rPr>
          <w:rFonts w:ascii="宋体" w:hAnsi="宋体" w:cs="宋体" w:eastAsiaTheme="minorEastAsia"/>
          <w:color w:val="000000"/>
          <w:highlight w:val="none"/>
        </w:rPr>
        <w:t>。</w:t>
      </w:r>
    </w:p>
    <w:p w14:paraId="59407776">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C.</w:t>
      </w:r>
      <w:r>
        <w:rPr>
          <w:rFonts w:ascii="宋体" w:hAnsi="宋体" w:cs="宋体" w:eastAsiaTheme="minorEastAsia"/>
          <w:color w:val="000000"/>
          <w:highlight w:val="none"/>
        </w:rPr>
        <w:t>维护单位每月未对标段内全部项目的设施情况巡查一次，每处扣除当月</w:t>
      </w:r>
      <w:r>
        <w:rPr>
          <w:rFonts w:hint="eastAsia" w:ascii="宋体" w:hAnsi="宋体" w:cs="宋体" w:eastAsiaTheme="minorEastAsia"/>
          <w:color w:val="000000"/>
          <w:highlight w:val="none"/>
        </w:rPr>
        <w:t>维护费用的</w:t>
      </w:r>
      <w:r>
        <w:rPr>
          <w:rFonts w:ascii="宋体" w:hAnsi="宋体" w:cs="宋体" w:eastAsiaTheme="minorEastAsia"/>
          <w:color w:val="000000"/>
          <w:highlight w:val="none"/>
        </w:rPr>
        <w:t>2%。设施巡查不到位情况，经科级检查发现，每处故障扣除当月</w:t>
      </w:r>
      <w:bookmarkStart w:id="195" w:name="OLE_LINK15"/>
      <w:bookmarkStart w:id="196" w:name="OLE_LINK14"/>
      <w:bookmarkStart w:id="197" w:name="OLE_LINK16"/>
      <w:bookmarkStart w:id="198" w:name="OLE_LINK13"/>
      <w:bookmarkStart w:id="199" w:name="OLE_LINK12"/>
      <w:r>
        <w:rPr>
          <w:rFonts w:hint="eastAsia" w:ascii="宋体" w:hAnsi="宋体" w:cs="宋体" w:eastAsiaTheme="minorEastAsia"/>
          <w:color w:val="000000"/>
          <w:highlight w:val="none"/>
        </w:rPr>
        <w:t>维护费用</w:t>
      </w:r>
      <w:bookmarkEnd w:id="195"/>
      <w:bookmarkEnd w:id="196"/>
      <w:bookmarkEnd w:id="197"/>
      <w:r>
        <w:rPr>
          <w:rFonts w:ascii="宋体" w:hAnsi="宋体" w:cs="宋体" w:eastAsiaTheme="minorEastAsia"/>
          <w:color w:val="000000"/>
          <w:highlight w:val="none"/>
        </w:rPr>
        <w:t>的</w:t>
      </w:r>
      <w:r>
        <w:rPr>
          <w:rFonts w:hint="eastAsia" w:ascii="宋体" w:hAnsi="宋体" w:cs="宋体" w:eastAsiaTheme="minorEastAsia"/>
          <w:color w:val="000000"/>
          <w:highlight w:val="none"/>
        </w:rPr>
        <w:t>0.2%</w:t>
      </w:r>
      <w:bookmarkEnd w:id="198"/>
      <w:bookmarkEnd w:id="199"/>
      <w:r>
        <w:rPr>
          <w:rFonts w:ascii="宋体" w:hAnsi="宋体" w:cs="宋体" w:eastAsiaTheme="minorEastAsia"/>
          <w:color w:val="000000"/>
          <w:highlight w:val="none"/>
        </w:rPr>
        <w:t>，经处级检查发现，每处故障扣除当月</w:t>
      </w:r>
      <w:r>
        <w:rPr>
          <w:rFonts w:hint="eastAsia" w:ascii="宋体" w:hAnsi="宋体" w:cs="宋体" w:eastAsiaTheme="minorEastAsia"/>
          <w:color w:val="000000"/>
          <w:highlight w:val="none"/>
        </w:rPr>
        <w:t>维护费用</w:t>
      </w:r>
      <w:r>
        <w:rPr>
          <w:rFonts w:ascii="宋体" w:hAnsi="宋体" w:cs="宋体" w:eastAsiaTheme="minorEastAsia"/>
          <w:color w:val="000000"/>
          <w:highlight w:val="none"/>
        </w:rPr>
        <w:t>的</w:t>
      </w:r>
      <w:r>
        <w:rPr>
          <w:rFonts w:hint="eastAsia" w:ascii="宋体" w:hAnsi="宋体" w:cs="宋体" w:eastAsiaTheme="minorEastAsia"/>
          <w:color w:val="000000"/>
          <w:highlight w:val="none"/>
        </w:rPr>
        <w:t>0.6%</w:t>
      </w:r>
      <w:r>
        <w:rPr>
          <w:rFonts w:ascii="宋体" w:hAnsi="宋体" w:cs="宋体" w:eastAsiaTheme="minorEastAsia"/>
          <w:color w:val="000000"/>
          <w:highlight w:val="none"/>
        </w:rPr>
        <w:t>。</w:t>
      </w:r>
    </w:p>
    <w:p w14:paraId="021E0F26">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D.</w:t>
      </w:r>
      <w:r>
        <w:rPr>
          <w:rFonts w:ascii="宋体" w:hAnsi="宋体" w:cs="宋体" w:eastAsiaTheme="minorEastAsia"/>
          <w:color w:val="000000"/>
          <w:highlight w:val="none"/>
        </w:rPr>
        <w:t>应发现的私自占用设施、私自改动设施、设施被盗、被破坏、私自接用城市照明电源等情况未及时发现，每发现一起扣除当月设施的</w:t>
      </w:r>
      <w:r>
        <w:rPr>
          <w:rFonts w:hint="eastAsia" w:ascii="宋体" w:hAnsi="宋体" w:cs="宋体" w:eastAsiaTheme="minorEastAsia"/>
          <w:color w:val="000000"/>
          <w:highlight w:val="none"/>
        </w:rPr>
        <w:t>1%</w:t>
      </w:r>
      <w:r>
        <w:rPr>
          <w:rFonts w:ascii="宋体" w:hAnsi="宋体" w:cs="宋体" w:eastAsiaTheme="minorEastAsia"/>
          <w:color w:val="000000"/>
          <w:highlight w:val="none"/>
        </w:rPr>
        <w:t>。</w:t>
      </w:r>
    </w:p>
    <w:p w14:paraId="5A44A2B4">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lang w:val="en-US" w:eastAsia="zh-CN"/>
        </w:rPr>
      </w:pPr>
      <w:r>
        <w:rPr>
          <w:rFonts w:hint="eastAsia" w:ascii="宋体" w:hAnsi="宋体" w:cs="宋体" w:eastAsiaTheme="minorEastAsia"/>
          <w:color w:val="000000"/>
          <w:highlight w:val="none"/>
          <w:lang w:val="en-US" w:eastAsia="zh-CN"/>
        </w:rPr>
        <w:t>E.</w:t>
      </w:r>
      <w:r>
        <w:rPr>
          <w:rFonts w:ascii="宋体" w:hAnsi="宋体" w:cs="宋体" w:eastAsiaTheme="minorEastAsia"/>
          <w:color w:val="000000"/>
          <w:highlight w:val="none"/>
        </w:rPr>
        <w:t>对政府活动、防汛抗台等应急保障巡查工作，未严格按照相关要求实施，每次扣除当月维护费用的</w:t>
      </w:r>
      <w:r>
        <w:rPr>
          <w:rFonts w:hint="eastAsia" w:ascii="宋体" w:hAnsi="宋体" w:cs="宋体" w:eastAsiaTheme="minorEastAsia"/>
          <w:color w:val="000000"/>
          <w:highlight w:val="none"/>
        </w:rPr>
        <w:t>2%</w:t>
      </w:r>
      <w:r>
        <w:rPr>
          <w:rFonts w:ascii="宋体" w:hAnsi="宋体" w:cs="宋体" w:eastAsiaTheme="minorEastAsia"/>
          <w:color w:val="000000"/>
          <w:highlight w:val="none"/>
        </w:rPr>
        <w:t>。</w:t>
      </w:r>
    </w:p>
    <w:p w14:paraId="655BD657">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eastAsiaTheme="minorEastAsia"/>
          <w:color w:val="000000"/>
          <w:highlight w:val="none"/>
        </w:rPr>
      </w:pPr>
      <w:r>
        <w:rPr>
          <w:rFonts w:hint="eastAsia" w:ascii="宋体" w:hAnsi="宋体" w:cs="宋体" w:eastAsiaTheme="minorEastAsia"/>
          <w:color w:val="000000"/>
          <w:highlight w:val="none"/>
          <w:lang w:val="en-US" w:eastAsia="zh-CN"/>
        </w:rPr>
        <w:t>F.</w:t>
      </w:r>
      <w:r>
        <w:rPr>
          <w:rFonts w:ascii="宋体" w:hAnsi="宋体" w:cs="宋体" w:eastAsiaTheme="minorEastAsia"/>
          <w:color w:val="000000"/>
          <w:highlight w:val="none"/>
        </w:rPr>
        <w:t>未及时上报相关巡查数据、照片、信息等每次扣除当月维护费用的</w:t>
      </w:r>
      <w:r>
        <w:rPr>
          <w:rFonts w:hint="eastAsia" w:ascii="宋体" w:hAnsi="宋体" w:cs="宋体" w:eastAsiaTheme="minorEastAsia"/>
          <w:color w:val="000000"/>
          <w:highlight w:val="none"/>
        </w:rPr>
        <w:t>1%</w:t>
      </w:r>
      <w:r>
        <w:rPr>
          <w:rFonts w:ascii="宋体" w:hAnsi="宋体" w:cs="宋体" w:eastAsiaTheme="minorEastAsia"/>
          <w:color w:val="000000"/>
          <w:highlight w:val="none"/>
        </w:rPr>
        <w:t>；不符合要求，每次扣除当月维护费用的</w:t>
      </w:r>
      <w:r>
        <w:rPr>
          <w:rFonts w:hint="eastAsia" w:ascii="宋体" w:hAnsi="宋体" w:cs="宋体" w:eastAsiaTheme="minorEastAsia"/>
          <w:color w:val="000000"/>
          <w:highlight w:val="none"/>
        </w:rPr>
        <w:t>0.2%</w:t>
      </w:r>
      <w:r>
        <w:rPr>
          <w:rFonts w:ascii="宋体" w:hAnsi="宋体" w:cs="宋体" w:eastAsiaTheme="minorEastAsia"/>
          <w:color w:val="000000"/>
          <w:highlight w:val="none"/>
        </w:rPr>
        <w:t>。</w:t>
      </w:r>
    </w:p>
    <w:p w14:paraId="3C02975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因乙方维修养护不当造成的</w:t>
      </w:r>
      <w:r>
        <w:rPr>
          <w:rFonts w:hint="eastAsia" w:ascii="宋体" w:hAnsi="宋体" w:eastAsia="宋体" w:cs="宋体"/>
          <w:color w:val="auto"/>
          <w:sz w:val="24"/>
          <w:szCs w:val="24"/>
          <w:highlight w:val="none"/>
        </w:rPr>
        <w:t>市管夜景照明</w:t>
      </w:r>
      <w:r>
        <w:rPr>
          <w:rFonts w:ascii="宋体" w:hAnsi="宋体" w:cs="宋体"/>
          <w:color w:val="000000"/>
          <w:highlight w:val="none"/>
        </w:rPr>
        <w:t>设施损坏的，乙方应无偿修复。</w:t>
      </w:r>
    </w:p>
    <w:p w14:paraId="62BC72DE">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双方权利和义务</w:t>
      </w:r>
    </w:p>
    <w:p w14:paraId="3F13A783">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甲方代表：</w:t>
      </w:r>
    </w:p>
    <w:p w14:paraId="7A45B56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甲方指定</w:t>
      </w:r>
      <w:r>
        <w:rPr>
          <w:rFonts w:hint="eastAsia" w:ascii="宋体" w:hAnsi="宋体" w:cs="宋体"/>
          <w:color w:val="000000"/>
          <w:highlight w:val="none"/>
          <w:u w:val="single"/>
          <w:lang w:eastAsia="zh-CN"/>
        </w:rPr>
        <w:t>项目专管员</w:t>
      </w:r>
      <w:r>
        <w:rPr>
          <w:rFonts w:ascii="宋体" w:hAnsi="宋体" w:cs="宋体"/>
          <w:color w:val="000000"/>
          <w:highlight w:val="none"/>
        </w:rPr>
        <w:t>为甲方代表，代表甲方行使本合同权利，履行本合同义务；</w:t>
      </w:r>
    </w:p>
    <w:p w14:paraId="71911FA4">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除甲方代表外，其他人员无权向乙方发出指令、通知。除本合同另有约定外，甲方代表不得委托他人代行职权；</w:t>
      </w:r>
    </w:p>
    <w:p w14:paraId="47EDA2A9">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甲方代表的指令、通知，应签字后以书面方式送交乙方，乙方代表在回执上签署后生效。必要时，甲方代表可发出口头指令，但应在48小时内予以书面方式确认；</w:t>
      </w:r>
    </w:p>
    <w:p w14:paraId="6A17A944">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甲方代表不能及时予以书面确认的，乙方应自甲方代表发出口头指令后7天内提出确认要求。甲方代表在乙方提出确认要求后48小时内未予答复的，视为甲方代表的口头指令已被确认；</w:t>
      </w:r>
    </w:p>
    <w:p w14:paraId="12948BA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认为甲方代表指令不合理或无法实施的，应在收到指令后24小时内向甲方代表提出异议报告。甲方代表应在收到乙方报告后24小时内作出修改或继续执行原指令的书面决定，乙方应予执行。因甲方代表指令不当或错误而发生的追加合同价款或造成乙方的经济损失由甲方承担，并应相应顺延工期；</w:t>
      </w:r>
    </w:p>
    <w:p w14:paraId="13E116E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甲方代表应及时向乙方发出指令、通知。因甲方代表未按本合同约定履行义务造成乙方经济损失的，由甲方承担；</w:t>
      </w:r>
    </w:p>
    <w:p w14:paraId="7CEFD76E">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甲方认为确有必要更换甲方代表的，应提前7天以书面方式通知乙方。</w:t>
      </w:r>
    </w:p>
    <w:p w14:paraId="0256A05D">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乙方代表：</w:t>
      </w:r>
    </w:p>
    <w:p w14:paraId="28F0327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乙方任命</w:t>
      </w:r>
      <w:r>
        <w:rPr>
          <w:rFonts w:ascii="宋体" w:hAnsi="宋体" w:cs="宋体"/>
          <w:color w:val="000000"/>
          <w:highlight w:val="none"/>
          <w:u w:val="single"/>
        </w:rPr>
        <w:t>        </w:t>
      </w:r>
      <w:r>
        <w:rPr>
          <w:rFonts w:ascii="宋体" w:hAnsi="宋体" w:cs="宋体"/>
          <w:color w:val="000000"/>
          <w:highlight w:val="none"/>
        </w:rPr>
        <w:t>为乙方代表，代表乙方行使本合同权利，履行本合同义务；</w:t>
      </w:r>
    </w:p>
    <w:p w14:paraId="7B892BB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乙方依据本合同提出的报告，应以书面方式签章后送交甲方代表，甲方代表在回执上签署后生效；</w:t>
      </w:r>
    </w:p>
    <w:p w14:paraId="47432BE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代表应当按照本合同约定和甲方代表发出的指令、通知组织维修养护作业。在情况紧急且无法与甲方代表联系时，乙方代表应立即采取保证人员生命、财产安全的必要措施，并在采取措施后48小时内向甲方代表提交报告。采取必要措施的费用由责任方承担；</w:t>
      </w:r>
    </w:p>
    <w:p w14:paraId="6049F8CC">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乙方需要更换乙方代表的，应提前7天以书面方式通知甲方。后任乙方代表继续行使本合同权利，履行本合同义务；</w:t>
      </w:r>
    </w:p>
    <w:p w14:paraId="3BFCBF9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乙方代表不称职时，甲方有权要求撤换。乙方应按甲方要求及时以称职人员替换。</w:t>
      </w:r>
    </w:p>
    <w:p w14:paraId="5CDA4797">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甲方工作：</w:t>
      </w:r>
    </w:p>
    <w:p w14:paraId="75A54606">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负责向乙方提供</w:t>
      </w:r>
      <w:r>
        <w:rPr>
          <w:rFonts w:hint="eastAsia" w:ascii="宋体" w:hAnsi="宋体" w:eastAsia="宋体" w:cs="宋体"/>
          <w:color w:val="auto"/>
          <w:sz w:val="24"/>
          <w:szCs w:val="24"/>
          <w:highlight w:val="none"/>
        </w:rPr>
        <w:t>市管夜景照明设施</w:t>
      </w:r>
      <w:r>
        <w:rPr>
          <w:rFonts w:hint="eastAsia" w:ascii="宋体" w:hAnsi="宋体" w:eastAsia="宋体" w:cs="宋体"/>
          <w:color w:val="000000"/>
          <w:highlight w:val="none"/>
          <w:lang w:eastAsia="zh-CN"/>
        </w:rPr>
        <w:t>资料</w:t>
      </w:r>
      <w:r>
        <w:rPr>
          <w:rFonts w:hint="eastAsia" w:cs="宋体"/>
          <w:color w:val="000000"/>
          <w:highlight w:val="none"/>
          <w:lang w:eastAsia="zh-CN"/>
        </w:rPr>
        <w:t>；</w:t>
      </w:r>
    </w:p>
    <w:p w14:paraId="7147D1B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负责向乙方提供有关</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维修养护的法律规定等规范性文件，以及相关技术规范、规程和检查、考核办法，并提供各类报表样式。为乙方提供查阅与</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维修养护技术资料的便利；</w:t>
      </w:r>
    </w:p>
    <w:p w14:paraId="332A171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根据</w:t>
      </w:r>
      <w:r>
        <w:rPr>
          <w:rFonts w:hint="eastAsia" w:ascii="宋体" w:hAnsi="宋体" w:cs="宋体"/>
          <w:color w:val="000000"/>
          <w:highlight w:val="none"/>
          <w:lang w:eastAsia="zh-CN"/>
        </w:rPr>
        <w:t>同级财政</w:t>
      </w:r>
      <w:r>
        <w:rPr>
          <w:rFonts w:ascii="宋体" w:hAnsi="宋体" w:cs="宋体"/>
          <w:color w:val="000000"/>
          <w:highlight w:val="none"/>
        </w:rPr>
        <w:t>部门批复的</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维修养护经费计划，按本合同约定及时向乙方支付委托</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维修养护费用的合同价款；</w:t>
      </w:r>
    </w:p>
    <w:p w14:paraId="5A5D114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为乙方维修养护管理与操作人员的技术培训优先提供便利；</w:t>
      </w:r>
    </w:p>
    <w:p w14:paraId="527AD66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需要维修养护的</w:t>
      </w:r>
      <w:r>
        <w:rPr>
          <w:rFonts w:hint="eastAsia" w:ascii="宋体" w:hAnsi="宋体" w:eastAsia="宋体" w:cs="宋体"/>
          <w:color w:val="auto"/>
          <w:sz w:val="24"/>
          <w:szCs w:val="24"/>
          <w:highlight w:val="none"/>
        </w:rPr>
        <w:t>市管夜景照明</w:t>
      </w:r>
      <w:r>
        <w:rPr>
          <w:rFonts w:ascii="宋体" w:hAnsi="宋体" w:cs="宋体"/>
          <w:color w:val="000000"/>
          <w:highlight w:val="none"/>
        </w:rPr>
        <w:t>设施及其它设施，应列明范围或设施量清单，并经双方现场确认；</w:t>
      </w:r>
    </w:p>
    <w:p w14:paraId="31E8C99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组织召开维修养护作业要求交底会；</w:t>
      </w:r>
    </w:p>
    <w:p w14:paraId="61D93B5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负责协调乙方在维修养护期间与相关部门、单位和有关人员的关系。协调推进乙方报告的监管类问题处置销项工作；</w:t>
      </w:r>
    </w:p>
    <w:p w14:paraId="03632E4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负责检查、考核乙方</w:t>
      </w:r>
      <w:r>
        <w:rPr>
          <w:rFonts w:hint="eastAsia" w:ascii="宋体" w:hAnsi="宋体" w:eastAsia="宋体" w:cs="宋体"/>
          <w:color w:val="auto"/>
          <w:sz w:val="24"/>
          <w:szCs w:val="24"/>
          <w:highlight w:val="none"/>
        </w:rPr>
        <w:t>市管夜景照明设施</w:t>
      </w:r>
      <w:r>
        <w:rPr>
          <w:rFonts w:ascii="宋体" w:hAnsi="宋体" w:cs="宋体"/>
          <w:color w:val="000000"/>
          <w:highlight w:val="none"/>
        </w:rPr>
        <w:t>维修养护的日常工作；</w:t>
      </w:r>
    </w:p>
    <w:p w14:paraId="590DCBDC">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甲方应履行的其他工作：</w:t>
      </w:r>
      <w:r>
        <w:rPr>
          <w:rFonts w:ascii="宋体" w:hAnsi="宋体" w:cs="宋体"/>
          <w:color w:val="000000"/>
          <w:highlight w:val="none"/>
          <w:u w:val="single"/>
        </w:rPr>
        <w:t>        </w:t>
      </w:r>
      <w:r>
        <w:rPr>
          <w:rFonts w:ascii="宋体" w:hAnsi="宋体" w:cs="宋体"/>
          <w:color w:val="000000"/>
          <w:highlight w:val="none"/>
        </w:rPr>
        <w:t>。</w:t>
      </w:r>
    </w:p>
    <w:p w14:paraId="78633037">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highlight w:val="none"/>
        </w:rPr>
      </w:pPr>
      <w:r>
        <w:rPr>
          <w:rFonts w:ascii="宋体" w:hAnsi="宋体" w:cs="宋体"/>
          <w:color w:val="000000"/>
          <w:highlight w:val="none"/>
        </w:rPr>
        <w:t>乙方工作：</w:t>
      </w:r>
    </w:p>
    <w:p w14:paraId="297FE297">
      <w:pPr>
        <w:tabs>
          <w:tab w:val="left" w:pos="938"/>
        </w:tabs>
        <w:bidi w:val="0"/>
        <w:ind w:firstLine="480" w:firstLineChars="200"/>
        <w:jc w:val="left"/>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w:t>
      </w:r>
      <w:r>
        <w:rPr>
          <w:rFonts w:hint="eastAsia" w:ascii="宋体" w:hAnsi="宋体" w:eastAsia="宋体" w:cs="宋体"/>
          <w:color w:val="auto"/>
          <w:sz w:val="24"/>
          <w:szCs w:val="24"/>
          <w:highlight w:val="none"/>
        </w:rPr>
        <w:t>建立健全巡视巡修制度，周有周工作计划月有月工作计划，每月有工作计划及周巡视、巡修原始记录</w:t>
      </w:r>
      <w:r>
        <w:rPr>
          <w:rFonts w:hint="eastAsia" w:ascii="宋体" w:hAnsi="宋体" w:eastAsia="宋体" w:cs="宋体"/>
          <w:color w:val="auto"/>
          <w:sz w:val="24"/>
          <w:szCs w:val="24"/>
          <w:highlight w:val="none"/>
          <w:lang w:eastAsia="zh-CN"/>
        </w:rPr>
        <w:t>资料台账</w:t>
      </w:r>
      <w:r>
        <w:rPr>
          <w:rFonts w:hint="eastAsia" w:ascii="宋体" w:hAnsi="宋体" w:eastAsia="宋体" w:cs="宋体"/>
          <w:color w:val="auto"/>
          <w:sz w:val="24"/>
          <w:szCs w:val="24"/>
          <w:highlight w:val="none"/>
        </w:rPr>
        <w:t>汇总。每月月底前上报无锡市照明和排水管理中心亮化管理科下月工作计划，每周按要求上报周工作计划</w:t>
      </w:r>
      <w:r>
        <w:rPr>
          <w:rFonts w:hint="eastAsia" w:ascii="宋体" w:hAnsi="宋体" w:eastAsia="宋体" w:cs="宋体"/>
          <w:color w:val="auto"/>
          <w:sz w:val="24"/>
          <w:szCs w:val="24"/>
          <w:highlight w:val="none"/>
          <w:lang w:eastAsia="zh-CN"/>
        </w:rPr>
        <w:t>。</w:t>
      </w:r>
    </w:p>
    <w:p w14:paraId="4A7E70E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乙方须每月五号前上交上月的巡视台账（成册）。</w:t>
      </w:r>
    </w:p>
    <w:p w14:paraId="5CB8586F">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乙方须每天至少安排两人进行巡视，白天巡查设施完好率，夜间巡查亮灯率，形成每天每个项目巡查制度。</w:t>
      </w:r>
    </w:p>
    <w:p w14:paraId="1F16EEA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rPr>
        <w:t>维护期间，</w:t>
      </w:r>
      <w:r>
        <w:rPr>
          <w:rFonts w:hint="eastAsia" w:ascii="宋体" w:hAnsi="宋体" w:eastAsia="宋体" w:cs="宋体"/>
          <w:color w:val="auto"/>
          <w:sz w:val="24"/>
          <w:szCs w:val="24"/>
          <w:highlight w:val="none"/>
          <w:lang w:eastAsia="zh-CN"/>
        </w:rPr>
        <w:t>乙方须购买企业安全生产责任险，</w:t>
      </w:r>
      <w:r>
        <w:rPr>
          <w:rFonts w:hint="eastAsia" w:ascii="宋体" w:hAnsi="宋体" w:eastAsia="宋体" w:cs="宋体"/>
          <w:color w:val="auto"/>
          <w:kern w:val="2"/>
          <w:sz w:val="24"/>
          <w:szCs w:val="24"/>
          <w:highlight w:val="none"/>
          <w:lang w:val="en-US" w:eastAsia="zh-CN"/>
        </w:rPr>
        <w:t>对其工作人员进行技术和安全的定期培训，并为工作人员购买人身意外保险，在工作中引发的任何安全责任和事故，均由乙方自行承担。</w:t>
      </w:r>
    </w:p>
    <w:p w14:paraId="192196FA">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rPr>
        <w:t>维护期间，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须书面上报项目负责人、固定维护、巡检人员名单，固定车辆型号及车牌号，以及电工证复印件。人员变动、车辆更换等事宜，均须经过</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同意后才能变更。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私自进行人员变动或车辆更换，当月维护考核不合格。</w:t>
      </w:r>
    </w:p>
    <w:p w14:paraId="60DCD37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eastAsia="zh-CN"/>
        </w:rPr>
        <w:t>维护期间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乙方须在保证安全的条件下，尽量减少对交通、业主和住户的影响，作业区间必须设置明显的安全标志，警示灯等，采取措施、保证安全并减少对交通等的干扰。维护作业必须文明，做到工完、料清、场清。</w:t>
      </w:r>
    </w:p>
    <w:p w14:paraId="23E42C0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rPr>
        <w:t>维护期间，如因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维护不力，造成</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直接损失的，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须按实赔偿</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所有损失。</w:t>
      </w:r>
    </w:p>
    <w:p w14:paraId="7D546AA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维护期间，乙方需无偿、整齐堆放日常养护中拆除、更换的夜景照明设施，</w:t>
      </w:r>
      <w:r>
        <w:rPr>
          <w:rFonts w:hint="eastAsia" w:ascii="宋体" w:hAnsi="宋体" w:eastAsia="宋体" w:cs="宋体"/>
          <w:b/>
          <w:color w:val="auto"/>
          <w:sz w:val="24"/>
          <w:szCs w:val="24"/>
          <w:highlight w:val="none"/>
          <w:lang w:val="en-US" w:eastAsia="zh-CN"/>
        </w:rPr>
        <w:t>并进行保管，不得自行处置</w:t>
      </w:r>
      <w:r>
        <w:rPr>
          <w:rFonts w:hint="eastAsia" w:ascii="宋体" w:hAnsi="宋体" w:eastAsia="宋体" w:cs="宋体"/>
          <w:color w:val="auto"/>
          <w:sz w:val="24"/>
          <w:szCs w:val="24"/>
          <w:highlight w:val="none"/>
          <w:lang w:val="en-US" w:eastAsia="zh-CN"/>
        </w:rPr>
        <w:t>。所需场地由乙方提供，甲方不再另行支付场地费用。</w:t>
      </w:r>
    </w:p>
    <w:p w14:paraId="045AB67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1" w:firstLineChars="150"/>
        <w:textAlignment w:val="auto"/>
        <w:rPr>
          <w:rFonts w:ascii="宋体" w:hAnsi="宋体" w:cs="宋体"/>
          <w:color w:val="000000"/>
          <w:highlight w:val="none"/>
        </w:rPr>
      </w:pPr>
      <w:r>
        <w:rPr>
          <w:rFonts w:hint="eastAsia" w:ascii="宋体" w:hAnsi="宋体" w:eastAsia="宋体" w:cs="宋体"/>
          <w:b/>
          <w:color w:val="auto"/>
          <w:sz w:val="24"/>
          <w:szCs w:val="24"/>
          <w:highlight w:val="none"/>
          <w:lang w:val="en-US" w:eastAsia="zh-CN"/>
        </w:rPr>
        <w:t>维护期间，</w:t>
      </w: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必须按要求对维护范围内的相关设施及时维护，如</w:t>
      </w: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不能及时修复，</w:t>
      </w:r>
      <w:r>
        <w:rPr>
          <w:rFonts w:hint="eastAsia" w:ascii="宋体" w:hAnsi="宋体" w:eastAsia="宋体" w:cs="宋体"/>
          <w:b/>
          <w:color w:val="auto"/>
          <w:sz w:val="24"/>
          <w:szCs w:val="24"/>
          <w:highlight w:val="none"/>
          <w:lang w:eastAsia="zh-CN"/>
        </w:rPr>
        <w:t>甲方</w:t>
      </w:r>
      <w:r>
        <w:rPr>
          <w:rFonts w:hint="eastAsia" w:ascii="宋体" w:hAnsi="宋体" w:eastAsia="宋体" w:cs="宋体"/>
          <w:b/>
          <w:color w:val="auto"/>
          <w:sz w:val="24"/>
          <w:szCs w:val="24"/>
          <w:highlight w:val="none"/>
        </w:rPr>
        <w:t>有权</w:t>
      </w:r>
      <w:r>
        <w:rPr>
          <w:rFonts w:hint="eastAsia" w:cs="宋体"/>
          <w:b/>
          <w:color w:val="auto"/>
          <w:sz w:val="24"/>
          <w:szCs w:val="24"/>
          <w:highlight w:val="none"/>
          <w:lang w:eastAsia="zh-CN"/>
        </w:rPr>
        <w:t>雇佣</w:t>
      </w:r>
      <w:r>
        <w:rPr>
          <w:rFonts w:hint="eastAsia" w:ascii="宋体" w:hAnsi="宋体" w:eastAsia="宋体" w:cs="宋体"/>
          <w:b/>
          <w:color w:val="auto"/>
          <w:sz w:val="24"/>
          <w:szCs w:val="24"/>
          <w:highlight w:val="none"/>
        </w:rPr>
        <w:t>其他单位进行修复</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相关费用从</w:t>
      </w: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工程款中扣除。</w:t>
      </w:r>
      <w:r>
        <w:rPr>
          <w:rFonts w:ascii="宋体" w:hAnsi="宋体" w:cs="宋体"/>
          <w:b/>
          <w:bCs/>
          <w:color w:val="000000"/>
          <w:highlight w:val="none"/>
        </w:rPr>
        <w:t>对甲方发出的整改通知，应及时按要求整改。乙方无正当理由拒绝整改的，甲方可以另行委托他人整改，所发生的整改费用由乙方承担</w:t>
      </w:r>
      <w:r>
        <w:rPr>
          <w:rFonts w:hint="eastAsia" w:ascii="宋体" w:hAnsi="宋体" w:cs="宋体"/>
          <w:b/>
          <w:bCs/>
          <w:color w:val="000000"/>
          <w:highlight w:val="none"/>
          <w:lang w:eastAsia="zh-CN"/>
        </w:rPr>
        <w:t>。</w:t>
      </w:r>
    </w:p>
    <w:p w14:paraId="55A1F7E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乙方须</w:t>
      </w:r>
      <w:r>
        <w:rPr>
          <w:rFonts w:ascii="宋体" w:hAnsi="宋体" w:cs="宋体"/>
          <w:color w:val="000000"/>
          <w:highlight w:val="none"/>
        </w:rPr>
        <w:t>建立维修养护项目部、维修养护班组，配备技术管理人员和维修养护作业人员，配置必要的车辆和设备。制订各项管理作业制度，确保维修养护工作有序开展。管理用房、工间休息室和材料、工具存放间等由乙方自行解决。除双方另有约定外，自行解决车辆及大型机械设备的停放</w:t>
      </w:r>
      <w:r>
        <w:rPr>
          <w:rFonts w:hint="eastAsia" w:ascii="宋体" w:hAnsi="宋体" w:cs="宋体"/>
          <w:color w:val="000000"/>
          <w:highlight w:val="none"/>
          <w:lang w:eastAsia="zh-CN"/>
        </w:rPr>
        <w:t>。</w:t>
      </w:r>
    </w:p>
    <w:p w14:paraId="3A05E2F7">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乙方须</w:t>
      </w:r>
      <w:r>
        <w:rPr>
          <w:rFonts w:ascii="宋体" w:hAnsi="宋体" w:cs="宋体"/>
          <w:color w:val="000000"/>
          <w:highlight w:val="none"/>
        </w:rPr>
        <w:t>建立健全维修养护管理档案，对维修养护中采集的信息、资料及时做好整理归档，并报送甲方备案。本合同委托期限届</w:t>
      </w:r>
      <w:r>
        <w:rPr>
          <w:rFonts w:hint="eastAsia" w:cs="宋体"/>
          <w:color w:val="000000"/>
          <w:highlight w:val="none"/>
          <w:lang w:eastAsia="zh-CN"/>
        </w:rPr>
        <w:t>满后</w:t>
      </w:r>
      <w:r>
        <w:rPr>
          <w:rFonts w:ascii="宋体" w:hAnsi="宋体" w:cs="宋体"/>
          <w:color w:val="000000"/>
          <w:highlight w:val="none"/>
        </w:rPr>
        <w:t>，应将维修养护的所有归档资料，以及维修养护范围内的各类设施完好地移交给甲方，并保证所采集的各种信息、资料不泄露给任何第三方</w:t>
      </w:r>
      <w:r>
        <w:rPr>
          <w:rFonts w:hint="eastAsia" w:ascii="宋体" w:hAnsi="宋体" w:cs="宋体"/>
          <w:color w:val="000000"/>
          <w:highlight w:val="none"/>
          <w:lang w:eastAsia="zh-CN"/>
        </w:rPr>
        <w:t>。</w:t>
      </w:r>
    </w:p>
    <w:p w14:paraId="7072709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乙方须</w:t>
      </w:r>
      <w:r>
        <w:rPr>
          <w:rFonts w:ascii="宋体" w:hAnsi="宋体" w:cs="宋体"/>
          <w:color w:val="000000"/>
          <w:highlight w:val="none"/>
        </w:rPr>
        <w:t>遵守环境保护和安全生产的管理规定，做到文明施工作业。对外开放的维修养护区域，处理好维修养护工作与其他人员的关系。</w:t>
      </w:r>
    </w:p>
    <w:p w14:paraId="487C7AB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hint="eastAsia" w:ascii="宋体" w:hAnsi="宋体" w:eastAsia="宋体" w:cs="宋体"/>
          <w:color w:val="auto"/>
          <w:sz w:val="24"/>
          <w:szCs w:val="24"/>
          <w:highlight w:val="none"/>
          <w:lang w:eastAsia="zh-CN"/>
        </w:rPr>
        <w:t>乙方</w:t>
      </w:r>
      <w:r>
        <w:rPr>
          <w:rFonts w:ascii="宋体" w:hAnsi="宋体" w:cs="宋体"/>
          <w:color w:val="000000"/>
          <w:highlight w:val="none"/>
        </w:rPr>
        <w:t>负责维修养护人员的劳动保护和人身安全。除双方另有约定外，维修养护人员的食宿由乙方自行承担，在合同期间，乙方劳动人员的劳动争议、人身财产损失均由乙方自行负责处理，对于上述情况的</w:t>
      </w:r>
      <w:r>
        <w:rPr>
          <w:rFonts w:hint="eastAsia" w:cs="宋体"/>
          <w:color w:val="000000"/>
          <w:highlight w:val="none"/>
          <w:lang w:eastAsia="zh-CN"/>
        </w:rPr>
        <w:t>发生</w:t>
      </w:r>
      <w:r>
        <w:rPr>
          <w:rFonts w:ascii="宋体" w:hAnsi="宋体" w:cs="宋体"/>
          <w:color w:val="000000"/>
          <w:highlight w:val="none"/>
        </w:rPr>
        <w:t>乙方应当及时妥善处理，避免对正常工作造成影响</w:t>
      </w:r>
      <w:r>
        <w:rPr>
          <w:rFonts w:hint="eastAsia" w:ascii="宋体" w:hAnsi="宋体" w:cs="宋体"/>
          <w:color w:val="000000"/>
          <w:highlight w:val="none"/>
          <w:lang w:eastAsia="zh-CN"/>
        </w:rPr>
        <w:t>。</w:t>
      </w:r>
    </w:p>
    <w:p w14:paraId="6237500F">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ascii="宋体" w:hAnsi="宋体" w:cs="宋体"/>
          <w:color w:val="000000"/>
          <w:highlight w:val="none"/>
        </w:rPr>
        <w:t>乙方因维修养护作业被有关部门行政处罚、责令停工（整改），或者由于安全措施不力，违反安全操作规程而导致安全责任事故的，所发生的行政罚款或经济损失全部由乙方承担。甲方并应按照本合同约定追究乙方的违约责任</w:t>
      </w:r>
      <w:r>
        <w:rPr>
          <w:rFonts w:hint="eastAsia" w:ascii="宋体" w:hAnsi="宋体" w:cs="宋体"/>
          <w:color w:val="000000"/>
          <w:highlight w:val="none"/>
          <w:lang w:eastAsia="zh-CN"/>
        </w:rPr>
        <w:t>。</w:t>
      </w:r>
    </w:p>
    <w:p w14:paraId="51986BBF">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hint="eastAsia" w:ascii="宋体" w:hAnsi="宋体" w:eastAsia="宋体" w:cs="宋体"/>
          <w:color w:val="auto"/>
          <w:sz w:val="24"/>
          <w:szCs w:val="24"/>
          <w:highlight w:val="none"/>
          <w:lang w:val="en-US" w:eastAsia="zh-CN"/>
        </w:rPr>
        <w:t>维护期间，</w:t>
      </w:r>
      <w:r>
        <w:rPr>
          <w:rFonts w:ascii="宋体" w:hAnsi="宋体" w:cs="宋体"/>
          <w:color w:val="000000"/>
          <w:highlight w:val="none"/>
        </w:rPr>
        <w:t>乙方落实防汛工作责任制，成立防汛工作小组，编制防汛应急预案，配备必要的防汛抢险队伍、防汛设备和物资</w:t>
      </w:r>
      <w:r>
        <w:rPr>
          <w:rFonts w:hint="eastAsia" w:ascii="宋体" w:hAnsi="宋体" w:cs="宋体"/>
          <w:color w:val="000000"/>
          <w:highlight w:val="none"/>
          <w:lang w:eastAsia="zh-CN"/>
        </w:rPr>
        <w:t>。</w:t>
      </w:r>
      <w:r>
        <w:rPr>
          <w:rFonts w:ascii="宋体" w:hAnsi="宋体" w:cs="宋体"/>
          <w:color w:val="000000"/>
          <w:highlight w:val="none"/>
        </w:rPr>
        <w:t>汛情发生后，乙方应立即组织人员开展对</w:t>
      </w:r>
      <w:r>
        <w:rPr>
          <w:rFonts w:hint="eastAsia" w:ascii="宋体" w:hAnsi="宋体" w:eastAsia="宋体" w:cs="宋体"/>
          <w:color w:val="auto"/>
          <w:sz w:val="24"/>
          <w:szCs w:val="24"/>
          <w:highlight w:val="none"/>
        </w:rPr>
        <w:t>市管夜景照明</w:t>
      </w:r>
      <w:r>
        <w:rPr>
          <w:rFonts w:ascii="宋体" w:hAnsi="宋体" w:cs="宋体"/>
          <w:color w:val="000000"/>
          <w:highlight w:val="none"/>
        </w:rPr>
        <w:t>设施及沿线构筑物安全进行全面检查。对检查中发现的问题，应当在第一时间采取必要有效措施并及时向甲方报告</w:t>
      </w:r>
      <w:r>
        <w:rPr>
          <w:rFonts w:hint="eastAsia" w:ascii="宋体" w:hAnsi="宋体" w:cs="宋体"/>
          <w:color w:val="000000"/>
          <w:highlight w:val="none"/>
          <w:lang w:eastAsia="zh-CN"/>
        </w:rPr>
        <w:t>。</w:t>
      </w:r>
    </w:p>
    <w:p w14:paraId="1CE8142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及时协助解决来信、来电、来访，并根据有关部门和甲方要求及时处置</w:t>
      </w:r>
      <w:r>
        <w:rPr>
          <w:rFonts w:hint="eastAsia" w:ascii="宋体" w:hAnsi="宋体" w:cs="宋体"/>
          <w:color w:val="000000"/>
          <w:highlight w:val="none"/>
          <w:lang w:eastAsia="zh-CN"/>
        </w:rPr>
        <w:t>。</w:t>
      </w:r>
    </w:p>
    <w:p w14:paraId="0542988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完成甲方交办的其他工作</w:t>
      </w:r>
      <w:r>
        <w:rPr>
          <w:rFonts w:ascii="宋体" w:hAnsi="宋体" w:cs="宋体"/>
          <w:color w:val="000000"/>
          <w:highlight w:val="none"/>
          <w:u w:val="single"/>
        </w:rPr>
        <w:t>        </w:t>
      </w:r>
      <w:r>
        <w:rPr>
          <w:rFonts w:ascii="宋体" w:hAnsi="宋体" w:cs="宋体"/>
          <w:color w:val="000000"/>
          <w:highlight w:val="none"/>
        </w:rPr>
        <w:t>。</w:t>
      </w:r>
    </w:p>
    <w:p w14:paraId="62C508FC">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维修养护方案及调整</w:t>
      </w:r>
    </w:p>
    <w:p w14:paraId="76D32AFC">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涉及重大活动或其他突发情况，甲方代表认为有必要暂停维修养护或调整维修养护方案时，应当以书面方式要求乙方调整维修养护时间或更改维修养护措施，乙方应服从甲方要求。除双方另有约定外，因该项暂停维修养护或调整维修养护方案导致费用增加的，由甲方承担。</w:t>
      </w:r>
    </w:p>
    <w:p w14:paraId="19D25E97">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未经甲方书面同意，乙方不得自行调整维修养护时间或更改维修养护措施。</w:t>
      </w:r>
    </w:p>
    <w:p w14:paraId="144C7DAB">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安全防护及事故处理</w:t>
      </w:r>
    </w:p>
    <w:p w14:paraId="00773FAD">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一般要求：</w:t>
      </w:r>
    </w:p>
    <w:p w14:paraId="29738670">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维修养护期间，乙方应当严格遵守安全生产管理规定，并接受行业安全监督检查，采取必要安全防护措施，消除安全事故隐患。因乙方安全措施不力造成安全事故责任和相关费用的，由乙方承担；</w:t>
      </w:r>
    </w:p>
    <w:p w14:paraId="7308DCEB">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应对维修养护人员进行安全生产教育，并对所属人员在维修养护期间的人身安全负责；</w:t>
      </w:r>
    </w:p>
    <w:p w14:paraId="00C2144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甲方不得要求乙方违反安全管理的规定进行维修养护。因甲方原因导致安全责任事故的，由甲方承担法律责任及全部费用。</w:t>
      </w:r>
    </w:p>
    <w:p w14:paraId="101ADE4B">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安全防范：</w:t>
      </w:r>
    </w:p>
    <w:p w14:paraId="5B30449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乙方应采取安全防护措施。除双方另有约定外，安全防护费用由乙方自行承担；</w:t>
      </w:r>
    </w:p>
    <w:p w14:paraId="5FF490B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乙方应保证各项维修养护设施、物品安全使用，对于存在安全隐患的设施、物品，应及时提请甲方及时修理或更换。</w:t>
      </w:r>
    </w:p>
    <w:p w14:paraId="7B7CE2DC">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环境保护：</w:t>
      </w:r>
    </w:p>
    <w:p w14:paraId="70F06798">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乙方应遵守环境保护的有关规定。维修养护范围内的垃圾应按规定清理、外运。</w:t>
      </w:r>
    </w:p>
    <w:p w14:paraId="1B81D031">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事故处理：</w:t>
      </w:r>
    </w:p>
    <w:p w14:paraId="61493F52">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发生重大人员伤亡及其他安全事故的，乙方应按有关规定立即上报有关部门并通知甲方代表，并按有关部门要求及时处理，由此发生的费用由事故责任方承担；</w:t>
      </w:r>
    </w:p>
    <w:p w14:paraId="4F0783D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甲、乙双方对发生的安全事故的责任有争议的，按有关部门责任认定处理。</w:t>
      </w:r>
    </w:p>
    <w:p w14:paraId="1A5907E9">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合同价款与支付</w:t>
      </w:r>
    </w:p>
    <w:p w14:paraId="1F33C43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合同价款及调整</w:t>
      </w:r>
    </w:p>
    <w:p w14:paraId="53B2E981">
      <w:pPr>
        <w:pStyle w:val="42"/>
        <w:keepNext w:val="0"/>
        <w:keepLines w:val="0"/>
        <w:pageBreakBefore w:val="0"/>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本合同价款总额为</w:t>
      </w:r>
      <w:r>
        <w:rPr>
          <w:rFonts w:hint="eastAsia" w:ascii="宋体" w:hAnsi="宋体" w:cs="宋体" w:eastAsiaTheme="minorEastAsia"/>
          <w:color w:val="000000"/>
          <w:highlight w:val="none"/>
          <w:u w:val="single"/>
        </w:rPr>
        <w:t xml:space="preserve">￥：        </w:t>
      </w:r>
      <w:r>
        <w:rPr>
          <w:rFonts w:hint="eastAsia" w:ascii="宋体" w:hAnsi="宋体" w:cs="宋体" w:eastAsiaTheme="minorEastAsia"/>
          <w:color w:val="000000"/>
          <w:highlight w:val="none"/>
        </w:rPr>
        <w:t>元</w:t>
      </w:r>
      <w:r>
        <w:rPr>
          <w:rFonts w:ascii="宋体" w:hAnsi="宋体" w:cs="宋体" w:eastAsiaTheme="minorEastAsia"/>
          <w:color w:val="000000"/>
          <w:highlight w:val="none"/>
        </w:rPr>
        <w:t>（</w:t>
      </w:r>
      <w:r>
        <w:rPr>
          <w:rFonts w:ascii="宋体" w:hAnsi="宋体" w:cs="宋体"/>
          <w:color w:val="000000"/>
          <w:highlight w:val="none"/>
          <w:u w:val="single"/>
        </w:rPr>
        <w:t>大写：人民币   元整</w:t>
      </w:r>
      <w:r>
        <w:rPr>
          <w:rFonts w:ascii="宋体" w:hAnsi="宋体" w:cs="宋体"/>
          <w:color w:val="000000"/>
          <w:highlight w:val="none"/>
        </w:rPr>
        <w:t>）</w:t>
      </w:r>
      <w:r>
        <w:rPr>
          <w:rFonts w:hint="eastAsia" w:cs="宋体"/>
          <w:color w:val="000000"/>
          <w:highlight w:val="none"/>
          <w:lang w:eastAsia="zh-CN"/>
        </w:rPr>
        <w:t>；</w:t>
      </w:r>
      <w:r>
        <w:rPr>
          <w:rFonts w:hint="eastAsia" w:ascii="宋体" w:hAnsi="宋体" w:cs="宋体"/>
          <w:color w:val="000000"/>
          <w:highlight w:val="none"/>
        </w:rPr>
        <w:t>单价</w:t>
      </w:r>
      <w:r>
        <w:rPr>
          <w:rFonts w:ascii="宋体" w:hAnsi="宋体" w:cs="宋体"/>
          <w:color w:val="000000"/>
          <w:highlight w:val="none"/>
        </w:rPr>
        <w:t>为</w:t>
      </w:r>
      <w:r>
        <w:rPr>
          <w:rFonts w:hint="eastAsia" w:ascii="宋体" w:hAnsi="宋体" w:cs="宋体" w:eastAsiaTheme="minorEastAsia"/>
          <w:color w:val="000000"/>
          <w:highlight w:val="none"/>
          <w:u w:val="single"/>
        </w:rPr>
        <w:t xml:space="preserve">￥：           </w:t>
      </w:r>
      <w:r>
        <w:rPr>
          <w:rFonts w:hint="eastAsia" w:ascii="宋体" w:hAnsi="宋体" w:cs="宋体" w:eastAsiaTheme="minorEastAsia"/>
          <w:color w:val="000000"/>
          <w:highlight w:val="none"/>
        </w:rPr>
        <w:t>元</w:t>
      </w:r>
      <w:r>
        <w:rPr>
          <w:rFonts w:ascii="宋体" w:hAnsi="宋体" w:cs="宋体" w:eastAsiaTheme="minorEastAsia"/>
          <w:color w:val="000000"/>
          <w:highlight w:val="none"/>
        </w:rPr>
        <w:t>（</w:t>
      </w:r>
      <w:r>
        <w:rPr>
          <w:rFonts w:ascii="宋体" w:hAnsi="宋体" w:cs="宋体"/>
          <w:color w:val="000000"/>
          <w:highlight w:val="none"/>
          <w:u w:val="single"/>
        </w:rPr>
        <w:t>大写：人民币  元</w:t>
      </w:r>
      <w:r>
        <w:rPr>
          <w:rFonts w:ascii="宋体" w:hAnsi="宋体" w:cs="宋体"/>
          <w:color w:val="000000"/>
          <w:highlight w:val="none"/>
        </w:rPr>
        <w:t>）</w:t>
      </w:r>
      <w:r>
        <w:rPr>
          <w:rFonts w:hint="eastAsia" w:cs="宋体"/>
          <w:color w:val="000000"/>
          <w:highlight w:val="none"/>
          <w:lang w:eastAsia="zh-CN"/>
        </w:rPr>
        <w:t>。</w:t>
      </w:r>
    </w:p>
    <w:p w14:paraId="00C1B8C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firstLine="360" w:firstLineChars="15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甲方</w:t>
      </w:r>
      <w:r>
        <w:rPr>
          <w:rFonts w:hint="eastAsia" w:ascii="宋体" w:hAnsi="宋体" w:eastAsia="宋体" w:cs="宋体"/>
          <w:color w:val="auto"/>
          <w:kern w:val="0"/>
          <w:sz w:val="24"/>
          <w:highlight w:val="none"/>
        </w:rPr>
        <w:t>每月</w:t>
      </w:r>
      <w:r>
        <w:rPr>
          <w:rFonts w:hint="eastAsia" w:ascii="宋体" w:hAnsi="宋体" w:cs="宋体"/>
          <w:color w:val="auto"/>
          <w:kern w:val="0"/>
          <w:sz w:val="24"/>
          <w:highlight w:val="none"/>
          <w:lang w:eastAsia="zh-CN"/>
        </w:rPr>
        <w:t>根据实际维护灯</w:t>
      </w:r>
      <w:r>
        <w:rPr>
          <w:rFonts w:hint="eastAsia" w:ascii="宋体" w:hAnsi="宋体" w:cs="宋体"/>
          <w:bCs/>
          <w:color w:val="auto"/>
          <w:kern w:val="0"/>
          <w:sz w:val="24"/>
          <w:highlight w:val="none"/>
          <w:lang w:val="en-US" w:eastAsia="zh-CN" w:bidi="ar"/>
        </w:rPr>
        <w:t>套</w:t>
      </w:r>
      <w:r>
        <w:rPr>
          <w:rFonts w:hint="eastAsia" w:ascii="宋体" w:hAnsi="宋体" w:cs="宋体"/>
          <w:color w:val="auto"/>
          <w:kern w:val="0"/>
          <w:sz w:val="24"/>
          <w:highlight w:val="none"/>
          <w:lang w:eastAsia="zh-CN"/>
        </w:rPr>
        <w:t>数</w:t>
      </w:r>
      <w:r>
        <w:rPr>
          <w:rFonts w:hint="eastAsia" w:ascii="宋体" w:hAnsi="宋体" w:cs="宋体"/>
          <w:color w:val="auto"/>
          <w:kern w:val="0"/>
          <w:sz w:val="24"/>
          <w:highlight w:val="none"/>
          <w:lang w:val="en-US" w:eastAsia="zh-CN"/>
        </w:rPr>
        <w:t>*中标单价</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按</w:t>
      </w:r>
      <w:r>
        <w:rPr>
          <w:rFonts w:hint="eastAsia" w:ascii="宋体" w:hAnsi="宋体" w:eastAsia="宋体" w:cs="宋体"/>
          <w:color w:val="auto"/>
          <w:spacing w:val="2"/>
          <w:kern w:val="28"/>
          <w:sz w:val="24"/>
          <w:highlight w:val="none"/>
        </w:rPr>
        <w:t>《无锡市市政园林精细化养护管理细则（试行）</w:t>
      </w:r>
      <w:r>
        <w:rPr>
          <w:rFonts w:hint="eastAsia" w:ascii="宋体" w:hAnsi="宋体" w:eastAsia="宋体" w:cs="宋体"/>
          <w:color w:val="auto"/>
          <w:spacing w:val="2"/>
          <w:kern w:val="28"/>
          <w:sz w:val="24"/>
          <w:highlight w:val="none"/>
          <w:lang w:eastAsia="zh-CN"/>
        </w:rPr>
        <w:t>》《</w:t>
      </w:r>
      <w:r>
        <w:rPr>
          <w:rFonts w:hint="eastAsia" w:ascii="宋体" w:hAnsi="宋体" w:eastAsia="宋体" w:cs="宋体"/>
          <w:color w:val="auto"/>
          <w:kern w:val="0"/>
          <w:sz w:val="24"/>
          <w:highlight w:val="none"/>
        </w:rPr>
        <w:t>无锡市城市照明设施维护考核办法》</w:t>
      </w:r>
      <w:r>
        <w:rPr>
          <w:rFonts w:hint="eastAsia" w:ascii="宋体" w:hAnsi="宋体" w:eastAsia="宋体" w:cs="宋体"/>
          <w:color w:val="auto"/>
          <w:spacing w:val="2"/>
          <w:kern w:val="28"/>
          <w:sz w:val="24"/>
          <w:highlight w:val="none"/>
        </w:rPr>
        <w:t>（最新版）</w:t>
      </w:r>
      <w:r>
        <w:rPr>
          <w:rFonts w:hint="eastAsia" w:ascii="宋体" w:hAnsi="宋体" w:eastAsia="宋体" w:cs="宋体"/>
          <w:color w:val="auto"/>
          <w:spacing w:val="2"/>
          <w:kern w:val="28"/>
          <w:sz w:val="24"/>
          <w:highlight w:val="none"/>
          <w:lang w:eastAsia="zh-CN"/>
        </w:rPr>
        <w:t>及其实施细则</w:t>
      </w:r>
      <w:r>
        <w:rPr>
          <w:rFonts w:hint="eastAsia" w:ascii="宋体" w:hAnsi="宋体" w:eastAsia="宋体" w:cs="宋体"/>
          <w:color w:val="auto"/>
          <w:kern w:val="0"/>
          <w:sz w:val="24"/>
          <w:highlight w:val="none"/>
        </w:rPr>
        <w:t>对</w:t>
      </w:r>
      <w:r>
        <w:rPr>
          <w:rFonts w:hint="eastAsia" w:ascii="宋体" w:hAnsi="宋体" w:eastAsia="宋体" w:cs="宋体"/>
          <w:color w:val="auto"/>
          <w:kern w:val="0"/>
          <w:sz w:val="24"/>
          <w:highlight w:val="none"/>
          <w:lang w:eastAsia="zh-CN"/>
        </w:rPr>
        <w:t>乙方</w:t>
      </w:r>
      <w:r>
        <w:rPr>
          <w:rFonts w:hint="eastAsia" w:ascii="宋体" w:hAnsi="宋体" w:eastAsia="宋体" w:cs="宋体"/>
          <w:color w:val="auto"/>
          <w:kern w:val="0"/>
          <w:sz w:val="24"/>
          <w:highlight w:val="none"/>
        </w:rPr>
        <w:t>的维护工作进行考核打分，根据考核结果，每季度支付维护费</w:t>
      </w:r>
      <w:r>
        <w:rPr>
          <w:rFonts w:hint="eastAsia" w:ascii="宋体" w:hAnsi="宋体" w:cs="宋体"/>
          <w:color w:val="auto"/>
          <w:kern w:val="0"/>
          <w:sz w:val="24"/>
          <w:highlight w:val="none"/>
          <w:lang w:eastAsia="zh-CN"/>
        </w:rPr>
        <w:t>。其中第四季度的十、十一月，</w:t>
      </w:r>
      <w:r>
        <w:rPr>
          <w:rFonts w:hint="eastAsia" w:ascii="宋体" w:hAnsi="宋体" w:eastAsia="宋体" w:cs="宋体"/>
          <w:color w:val="auto"/>
          <w:kern w:val="0"/>
          <w:sz w:val="24"/>
          <w:highlight w:val="none"/>
        </w:rPr>
        <w:t>根据考核结果支付维护费</w:t>
      </w:r>
      <w:r>
        <w:rPr>
          <w:rFonts w:hint="eastAsia" w:ascii="宋体" w:hAnsi="宋体" w:cs="宋体"/>
          <w:color w:val="auto"/>
          <w:kern w:val="0"/>
          <w:sz w:val="24"/>
          <w:highlight w:val="none"/>
          <w:lang w:eastAsia="zh-CN"/>
        </w:rPr>
        <w:t>；第四季度十二月考核结果纳入下一年度第一季度，统一支付维护费。</w:t>
      </w:r>
      <w:r>
        <w:rPr>
          <w:rFonts w:hint="eastAsia" w:ascii="宋体" w:hAnsi="宋体" w:eastAsia="宋体" w:cs="宋体"/>
          <w:color w:val="auto"/>
          <w:kern w:val="0"/>
          <w:sz w:val="24"/>
          <w:highlight w:val="none"/>
        </w:rPr>
        <w:t>（按财政资金拨付进度支付）。</w:t>
      </w:r>
    </w:p>
    <w:p w14:paraId="2A1C2F9E">
      <w:pPr>
        <w:pStyle w:val="42"/>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eastAsia="宋体" w:cs="宋体"/>
          <w:b/>
          <w:bCs/>
          <w:kern w:val="0"/>
          <w:sz w:val="24"/>
          <w:szCs w:val="24"/>
          <w:highlight w:val="none"/>
          <w:lang w:val="en-US" w:eastAsia="zh-CN" w:bidi="ar-SA"/>
        </w:rPr>
      </w:pPr>
      <w:r>
        <w:rPr>
          <w:rFonts w:ascii="宋体" w:hAnsi="宋体" w:eastAsia="宋体" w:cs="宋体"/>
          <w:b/>
          <w:bCs/>
          <w:kern w:val="0"/>
          <w:sz w:val="24"/>
          <w:szCs w:val="24"/>
          <w:highlight w:val="none"/>
          <w:lang w:val="en-US" w:eastAsia="zh-CN" w:bidi="ar-SA"/>
        </w:rPr>
        <w:t>违约责任</w:t>
      </w:r>
    </w:p>
    <w:p w14:paraId="599F0FA2">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乙方违约责任：</w:t>
      </w:r>
    </w:p>
    <w:p w14:paraId="609988EE">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维修养护质量未达到本合同约定要求的，乙方应采取补救措施，并赔偿甲方由此造成的经济损失；</w:t>
      </w:r>
    </w:p>
    <w:p w14:paraId="0666FEF9">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未经甲方同意，乙方擅自更改、调整维修养护方案的，应按本合同价款总额的</w:t>
      </w:r>
      <w:r>
        <w:rPr>
          <w:rFonts w:hint="eastAsia" w:ascii="宋体" w:hAnsi="宋体" w:cs="宋体"/>
          <w:color w:val="000000"/>
          <w:highlight w:val="none"/>
          <w:lang w:val="en-US" w:eastAsia="zh-CN"/>
        </w:rPr>
        <w:t>5</w:t>
      </w:r>
      <w:r>
        <w:rPr>
          <w:rFonts w:ascii="宋体" w:hAnsi="宋体" w:cs="宋体"/>
          <w:color w:val="000000"/>
          <w:highlight w:val="none"/>
        </w:rPr>
        <w:t>%计算向甲方支付违约金。由此造成甲方经济损失的，应承担赔偿责任；</w:t>
      </w:r>
    </w:p>
    <w:p w14:paraId="56947BA5">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乙方未按本合同约定履行其他义务的，应按本合同价款总额的</w:t>
      </w:r>
      <w:r>
        <w:rPr>
          <w:rFonts w:hint="eastAsia" w:ascii="宋体" w:hAnsi="宋体" w:cs="宋体"/>
          <w:color w:val="000000"/>
          <w:highlight w:val="none"/>
          <w:lang w:val="en-US" w:eastAsia="zh-CN"/>
        </w:rPr>
        <w:t>5</w:t>
      </w:r>
      <w:r>
        <w:rPr>
          <w:rFonts w:ascii="宋体" w:hAnsi="宋体" w:cs="宋体"/>
          <w:color w:val="000000"/>
          <w:highlight w:val="none"/>
        </w:rPr>
        <w:t>%计算向乙方支付违约金；</w:t>
      </w:r>
    </w:p>
    <w:p w14:paraId="151E85C3">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乙方擅自将本合同维修养护义务全部或者部分转包、分包由第三方履行的，应按本合同价款总额的</w:t>
      </w:r>
      <w:r>
        <w:rPr>
          <w:rFonts w:hint="eastAsia" w:ascii="宋体" w:hAnsi="宋体" w:cs="宋体"/>
          <w:color w:val="000000"/>
          <w:highlight w:val="none"/>
          <w:lang w:val="en-US" w:eastAsia="zh-CN"/>
        </w:rPr>
        <w:t>5</w:t>
      </w:r>
      <w:r>
        <w:rPr>
          <w:rFonts w:hint="default" w:ascii="Arial" w:hAnsi="Arial" w:cs="Arial"/>
          <w:color w:val="000000"/>
          <w:highlight w:val="none"/>
          <w:lang w:val="en-US" w:eastAsia="zh-CN"/>
        </w:rPr>
        <w:t>‰</w:t>
      </w:r>
      <w:r>
        <w:rPr>
          <w:rFonts w:hint="eastAsia" w:ascii="宋体" w:hAnsi="宋体" w:cs="宋体"/>
          <w:color w:val="000000"/>
          <w:highlight w:val="none"/>
          <w:lang w:val="en-US" w:eastAsia="zh-CN"/>
        </w:rPr>
        <w:t>以上10</w:t>
      </w:r>
      <w:r>
        <w:rPr>
          <w:rFonts w:hint="default" w:ascii="Arial" w:hAnsi="Arial" w:cs="Arial"/>
          <w:color w:val="000000"/>
          <w:highlight w:val="none"/>
          <w:lang w:val="en-US" w:eastAsia="zh-CN"/>
        </w:rPr>
        <w:t>‰</w:t>
      </w:r>
      <w:r>
        <w:rPr>
          <w:rFonts w:hint="eastAsia" w:ascii="Arial" w:hAnsi="Arial" w:cs="Arial"/>
          <w:color w:val="000000"/>
          <w:highlight w:val="none"/>
          <w:lang w:val="en-US" w:eastAsia="zh-CN"/>
        </w:rPr>
        <w:t>以下</w:t>
      </w:r>
      <w:r>
        <w:rPr>
          <w:rFonts w:ascii="宋体" w:hAnsi="宋体" w:cs="宋体"/>
          <w:color w:val="000000"/>
          <w:highlight w:val="none"/>
        </w:rPr>
        <w:t>计算向甲方支付违约金，甲方并有权解除本合同；</w:t>
      </w:r>
    </w:p>
    <w:p w14:paraId="196E876D">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合同期间，由于乙方管理不善，未能遵守国家有关环境保护的政策、法规。多次受到政府部门处罚、停工、整改或者由于乙方安全措施不力，多次违反安全操作规程而造成损失，甲方有权终止合同并保留追究乙方违约责任的权利</w:t>
      </w:r>
      <w:r>
        <w:rPr>
          <w:rFonts w:hint="eastAsia" w:cs="宋体"/>
          <w:color w:val="000000"/>
          <w:highlight w:val="none"/>
          <w:lang w:eastAsia="zh-CN"/>
        </w:rPr>
        <w:t>；</w:t>
      </w:r>
    </w:p>
    <w:p w14:paraId="1C2E1506">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乙方不得将在履行合同义务的过程中知悉的甲方信息、资料或由于履行义务而采集的信息、资料泄露给第三方，若因乙方信息、资料泄露造成的损失，甲方有权要求乙方承担赔偿责任</w:t>
      </w:r>
      <w:r>
        <w:rPr>
          <w:rFonts w:hint="eastAsia" w:cs="宋体"/>
          <w:color w:val="000000"/>
          <w:highlight w:val="none"/>
          <w:lang w:eastAsia="zh-CN"/>
        </w:rPr>
        <w:t>；</w:t>
      </w:r>
    </w:p>
    <w:p w14:paraId="607361F4">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ascii="宋体" w:hAnsi="宋体" w:cs="宋体"/>
          <w:color w:val="000000"/>
          <w:highlight w:val="none"/>
        </w:rPr>
      </w:pPr>
      <w:r>
        <w:rPr>
          <w:rFonts w:ascii="宋体" w:hAnsi="宋体" w:cs="宋体"/>
          <w:color w:val="000000"/>
          <w:highlight w:val="none"/>
        </w:rPr>
        <w:t>乙方应承担的其他违约责任：</w:t>
      </w:r>
      <w:r>
        <w:rPr>
          <w:rFonts w:ascii="宋体" w:hAnsi="宋体" w:cs="宋体"/>
          <w:color w:val="000000"/>
          <w:highlight w:val="none"/>
          <w:u w:val="single"/>
        </w:rPr>
        <w:t>        </w:t>
      </w:r>
      <w:r>
        <w:rPr>
          <w:rFonts w:ascii="宋体" w:hAnsi="宋体" w:cs="宋体"/>
          <w:color w:val="000000"/>
          <w:highlight w:val="none"/>
        </w:rPr>
        <w:t>。</w:t>
      </w:r>
    </w:p>
    <w:p w14:paraId="3EA93C06">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hint="eastAsia" w:ascii="宋体" w:hAnsi="宋体" w:cs="宋体"/>
          <w:sz w:val="24"/>
          <w:szCs w:val="24"/>
          <w:highlight w:val="none"/>
        </w:rPr>
        <w:t>合同的解除和转让</w:t>
      </w:r>
    </w:p>
    <w:p w14:paraId="37B209D5">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cs="宋体"/>
          <w:color w:val="000000"/>
          <w:highlight w:val="none"/>
        </w:rPr>
      </w:pPr>
      <w:r>
        <w:rPr>
          <w:rFonts w:hint="eastAsia" w:ascii="宋体" w:hAnsi="宋体" w:cs="宋体"/>
          <w:color w:val="000000"/>
          <w:highlight w:val="none"/>
        </w:rPr>
        <w:t>有下列情形之一，合同一方可以解除合同：</w:t>
      </w:r>
    </w:p>
    <w:p w14:paraId="03D8AE9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因不可抗力致使不能实现合同目的，未受不可抗力影响的一方有权解除合同；</w:t>
      </w:r>
    </w:p>
    <w:p w14:paraId="30494176">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因合同一方违约导致合同不能履行，另一方有权解除合同</w:t>
      </w:r>
      <w:r>
        <w:rPr>
          <w:rFonts w:hint="eastAsia" w:cs="宋体" w:eastAsiaTheme="minorEastAsia"/>
          <w:color w:val="000000"/>
          <w:highlight w:val="none"/>
          <w:lang w:eastAsia="zh-CN"/>
        </w:rPr>
        <w:t>；</w:t>
      </w:r>
    </w:p>
    <w:p w14:paraId="033253D8">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color w:val="000000"/>
          <w:highlight w:val="none"/>
          <w:lang w:eastAsia="zh-CN"/>
        </w:rPr>
        <w:t>因乙方损害公共利益，甲方有权解除合同</w:t>
      </w:r>
      <w:r>
        <w:rPr>
          <w:rFonts w:hint="eastAsia" w:cs="宋体"/>
          <w:color w:val="000000"/>
          <w:highlight w:val="none"/>
          <w:lang w:eastAsia="zh-CN"/>
        </w:rPr>
        <w:t>；</w:t>
      </w:r>
    </w:p>
    <w:p w14:paraId="37C56941">
      <w:pPr>
        <w:pStyle w:val="42"/>
        <w:keepNext w:val="0"/>
        <w:keepLines w:val="0"/>
        <w:pageBreakBefore w:val="0"/>
        <w:widowControl/>
        <w:numPr>
          <w:ilvl w:val="2"/>
          <w:numId w:val="5"/>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出现下列情况，</w:t>
      </w:r>
      <w:r>
        <w:rPr>
          <w:rFonts w:hint="eastAsia" w:ascii="宋体" w:hAnsi="宋体" w:cs="宋体" w:eastAsiaTheme="minorEastAsia"/>
          <w:color w:val="000000"/>
          <w:highlight w:val="none"/>
          <w:lang w:eastAsia="zh-CN"/>
        </w:rPr>
        <w:t>甲方</w:t>
      </w:r>
      <w:r>
        <w:rPr>
          <w:rFonts w:hint="eastAsia" w:ascii="宋体" w:hAnsi="宋体" w:cs="宋体" w:eastAsiaTheme="minorEastAsia"/>
          <w:color w:val="000000"/>
          <w:highlight w:val="none"/>
        </w:rPr>
        <w:t>有权解除合同：</w:t>
      </w:r>
    </w:p>
    <w:p w14:paraId="48470B49">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lang w:eastAsia="zh-CN"/>
        </w:rPr>
      </w:pPr>
      <w:r>
        <w:rPr>
          <w:rFonts w:hint="eastAsia" w:ascii="宋体" w:hAnsi="宋体" w:cs="宋体" w:eastAsiaTheme="minorEastAsia"/>
          <w:color w:val="000000"/>
          <w:highlight w:val="none"/>
        </w:rPr>
        <w:t>a.因维护不力，连续2个月或年度内累计达3个月维护考核不合格</w:t>
      </w:r>
      <w:r>
        <w:rPr>
          <w:rFonts w:hint="eastAsia" w:ascii="宋体" w:hAnsi="宋体" w:cs="宋体" w:eastAsiaTheme="minorEastAsia"/>
          <w:color w:val="000000"/>
          <w:highlight w:val="none"/>
          <w:lang w:eastAsia="zh-CN"/>
        </w:rPr>
        <w:t>；</w:t>
      </w:r>
    </w:p>
    <w:p w14:paraId="08555C58">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b.因安全管理工作不到位，发生重大安全事故的；</w:t>
      </w:r>
    </w:p>
    <w:p w14:paraId="29C121AE">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c.因维护工作不到位，造成重大社会影响的（媒体曝光、群众投诉、热线投诉）；</w:t>
      </w:r>
    </w:p>
    <w:p w14:paraId="2470949E">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lang w:eastAsia="zh-CN"/>
        </w:rPr>
      </w:pPr>
      <w:r>
        <w:rPr>
          <w:rFonts w:hint="eastAsia" w:ascii="宋体" w:hAnsi="宋体" w:cs="宋体" w:eastAsiaTheme="minorEastAsia"/>
          <w:color w:val="000000"/>
          <w:highlight w:val="none"/>
        </w:rPr>
        <w:t>d.不服从</w:t>
      </w:r>
      <w:r>
        <w:rPr>
          <w:rFonts w:hint="eastAsia" w:ascii="宋体" w:hAnsi="宋体" w:cs="宋体" w:eastAsiaTheme="minorEastAsia"/>
          <w:color w:val="000000"/>
          <w:highlight w:val="none"/>
          <w:lang w:eastAsia="zh-CN"/>
        </w:rPr>
        <w:t>甲方</w:t>
      </w:r>
      <w:r>
        <w:rPr>
          <w:rFonts w:hint="eastAsia" w:ascii="宋体" w:hAnsi="宋体" w:cs="宋体" w:eastAsiaTheme="minorEastAsia"/>
          <w:color w:val="000000"/>
          <w:highlight w:val="none"/>
        </w:rPr>
        <w:t>工作安排的</w:t>
      </w:r>
      <w:r>
        <w:rPr>
          <w:rFonts w:hint="eastAsia" w:ascii="宋体" w:hAnsi="宋体" w:cs="宋体" w:eastAsiaTheme="minorEastAsia"/>
          <w:color w:val="000000"/>
          <w:highlight w:val="none"/>
          <w:lang w:eastAsia="zh-CN"/>
        </w:rPr>
        <w:t>；</w:t>
      </w:r>
    </w:p>
    <w:p w14:paraId="4E78EEF0">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e.应急工作不到位的；</w:t>
      </w:r>
    </w:p>
    <w:p w14:paraId="4ACCB94B">
      <w:pPr>
        <w:pStyle w:val="4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360" w:firstLineChars="150"/>
        <w:textAlignment w:val="auto"/>
        <w:rPr>
          <w:rFonts w:hint="eastAsia" w:ascii="宋体" w:hAnsi="宋体" w:cs="宋体" w:eastAsiaTheme="minorEastAsia"/>
          <w:color w:val="000000"/>
          <w:highlight w:val="none"/>
        </w:rPr>
      </w:pPr>
      <w:r>
        <w:rPr>
          <w:rFonts w:hint="eastAsia" w:ascii="宋体" w:hAnsi="宋体" w:cs="宋体" w:eastAsiaTheme="minorEastAsia"/>
          <w:color w:val="000000"/>
          <w:highlight w:val="none"/>
        </w:rPr>
        <w:t>f.合同的部分和全部有转让的。</w:t>
      </w:r>
    </w:p>
    <w:p w14:paraId="1884E2CE">
      <w:pPr>
        <w:pStyle w:val="42"/>
        <w:keepNext w:val="0"/>
        <w:pageBreakBefore w:val="0"/>
        <w:numPr>
          <w:ilvl w:val="0"/>
          <w:numId w:val="0"/>
        </w:numPr>
        <w:kinsoku/>
        <w:wordWrap/>
        <w:overflowPunct/>
        <w:topLinePunct w:val="0"/>
        <w:autoSpaceDE/>
        <w:autoSpaceDN/>
        <w:bidi w:val="0"/>
        <w:adjustRightInd/>
        <w:snapToGrid/>
        <w:spacing w:before="0" w:beforeAutospacing="0" w:after="0" w:afterAutospacing="0" w:line="360" w:lineRule="auto"/>
        <w:ind w:firstLine="240" w:firstLineChars="100"/>
        <w:textAlignment w:val="auto"/>
        <w:rPr>
          <w:highlight w:val="none"/>
        </w:rPr>
      </w:pPr>
      <w:r>
        <w:rPr>
          <w:rFonts w:hint="eastAsia" w:ascii="宋体" w:hAnsi="宋体" w:cs="宋体" w:eastAsiaTheme="minorEastAsia"/>
          <w:color w:val="000000"/>
          <w:highlight w:val="none"/>
        </w:rPr>
        <w:t>2.有权解除合同的一方，应提前十个工作日书面通知对方提出解除合同，合同在书面通知到达对方时解除。</w:t>
      </w:r>
    </w:p>
    <w:p w14:paraId="79890CEF">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争议解决方式</w:t>
      </w:r>
    </w:p>
    <w:p w14:paraId="79AFE6F0">
      <w:pPr>
        <w:pStyle w:val="42"/>
        <w:keepNext w:val="0"/>
        <w:pageBreakBefore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ascii="宋体" w:hAnsi="宋体" w:cs="宋体"/>
          <w:color w:val="000000"/>
          <w:highlight w:val="none"/>
        </w:rPr>
        <w:t>因履行本合同发生的争议，由双方当事人协商解决。协商不成或不愿协商的，依法向甲方所在地人民法院起诉。</w:t>
      </w:r>
    </w:p>
    <w:p w14:paraId="70CD5F3A">
      <w:pPr>
        <w:pStyle w:val="5"/>
        <w:keepNext w:val="0"/>
        <w:pageBreakBefore w:val="0"/>
        <w:numPr>
          <w:ilvl w:val="0"/>
          <w:numId w:val="5"/>
        </w:numPr>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sz w:val="24"/>
          <w:szCs w:val="24"/>
          <w:highlight w:val="none"/>
        </w:rPr>
      </w:pPr>
      <w:r>
        <w:rPr>
          <w:rFonts w:ascii="宋体" w:hAnsi="宋体" w:cs="宋体"/>
          <w:sz w:val="24"/>
          <w:szCs w:val="24"/>
          <w:highlight w:val="none"/>
        </w:rPr>
        <w:t>其他约定事项</w:t>
      </w:r>
    </w:p>
    <w:p w14:paraId="762C148B">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cs="宋体"/>
          <w:color w:val="000000"/>
          <w:highlight w:val="none"/>
        </w:rPr>
      </w:pPr>
      <w:r>
        <w:rPr>
          <w:rFonts w:hint="eastAsia" w:ascii="宋体" w:hAnsi="宋体" w:cs="宋体"/>
          <w:color w:val="000000"/>
          <w:highlight w:val="none"/>
        </w:rPr>
        <w:t>本合同未尽事项，由甲、乙双方签订补充协议确定。补充协议与本合同具有同等法律效力。</w:t>
      </w:r>
    </w:p>
    <w:p w14:paraId="3ACABCBD">
      <w:pPr>
        <w:pStyle w:val="42"/>
        <w:keepNext w:val="0"/>
        <w:keepLines w:val="0"/>
        <w:pageBreakBefore w:val="0"/>
        <w:widowControl/>
        <w:numPr>
          <w:ilvl w:val="1"/>
          <w:numId w:val="5"/>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ascii="宋体" w:hAnsi="宋体" w:cs="宋体"/>
          <w:color w:val="000000"/>
          <w:highlight w:val="none"/>
        </w:rPr>
      </w:pPr>
      <w:r>
        <w:rPr>
          <w:rFonts w:hint="eastAsia" w:ascii="宋体" w:hAnsi="宋体" w:cs="宋体"/>
          <w:color w:val="000000"/>
          <w:highlight w:val="none"/>
        </w:rPr>
        <w:t>本合同自甲、乙双方签章之日起生效。</w:t>
      </w:r>
    </w:p>
    <w:p w14:paraId="1C971018">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sectPr>
          <w:headerReference r:id="rId4" w:type="first"/>
          <w:footerReference r:id="rId6" w:type="first"/>
          <w:headerReference r:id="rId3" w:type="default"/>
          <w:footerReference r:id="rId5" w:type="default"/>
          <w:pgSz w:w="11906" w:h="16838"/>
          <w:pgMar w:top="1440" w:right="1080" w:bottom="1440" w:left="1080" w:header="851" w:footer="907" w:gutter="0"/>
          <w:pgNumType w:fmt="decimal"/>
          <w:cols w:space="720" w:num="1"/>
          <w:titlePg/>
          <w:docGrid w:type="lines" w:linePitch="290" w:charSpace="0"/>
        </w:sectPr>
      </w:pPr>
    </w:p>
    <w:p w14:paraId="0B639E55">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发包方：</w:t>
      </w:r>
      <w:r>
        <w:rPr>
          <w:rFonts w:ascii="宋体" w:hAnsi="宋体" w:cs="宋体"/>
          <w:color w:val="000000"/>
          <w:highlight w:val="none"/>
          <w:u w:val="single"/>
        </w:rPr>
        <w:t>        </w:t>
      </w:r>
      <w:r>
        <w:rPr>
          <w:rFonts w:ascii="宋体" w:hAnsi="宋体" w:cs="宋体"/>
          <w:color w:val="000000"/>
          <w:highlight w:val="none"/>
        </w:rPr>
        <w:t>（公章）</w:t>
      </w:r>
    </w:p>
    <w:p w14:paraId="728E2020">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住所地：</w:t>
      </w:r>
      <w:r>
        <w:rPr>
          <w:rFonts w:ascii="宋体" w:hAnsi="宋体" w:cs="宋体"/>
          <w:color w:val="000000"/>
          <w:highlight w:val="none"/>
          <w:u w:val="single"/>
        </w:rPr>
        <w:t>        </w:t>
      </w:r>
    </w:p>
    <w:p w14:paraId="2682D676">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法定代表人：</w:t>
      </w:r>
      <w:r>
        <w:rPr>
          <w:rFonts w:ascii="宋体" w:hAnsi="宋体" w:cs="宋体"/>
          <w:color w:val="000000"/>
          <w:highlight w:val="none"/>
          <w:u w:val="single"/>
        </w:rPr>
        <w:t>        </w:t>
      </w:r>
    </w:p>
    <w:p w14:paraId="2FC32025">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委托代理人：</w:t>
      </w:r>
      <w:r>
        <w:rPr>
          <w:rFonts w:ascii="宋体" w:hAnsi="宋体" w:cs="宋体"/>
          <w:color w:val="000000"/>
          <w:highlight w:val="none"/>
          <w:u w:val="single"/>
        </w:rPr>
        <w:t>        </w:t>
      </w:r>
    </w:p>
    <w:p w14:paraId="4E3BA664">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电话：</w:t>
      </w:r>
      <w:r>
        <w:rPr>
          <w:rFonts w:ascii="宋体" w:hAnsi="宋体" w:cs="宋体"/>
          <w:color w:val="000000"/>
          <w:highlight w:val="none"/>
          <w:u w:val="single"/>
        </w:rPr>
        <w:t>        </w:t>
      </w:r>
    </w:p>
    <w:p w14:paraId="1129658C">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传真：</w:t>
      </w:r>
      <w:r>
        <w:rPr>
          <w:rFonts w:ascii="宋体" w:hAnsi="宋体" w:cs="宋体"/>
          <w:color w:val="000000"/>
          <w:highlight w:val="none"/>
          <w:u w:val="single"/>
        </w:rPr>
        <w:t>        </w:t>
      </w:r>
    </w:p>
    <w:p w14:paraId="36DBE401">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开户银行：</w:t>
      </w:r>
      <w:r>
        <w:rPr>
          <w:rFonts w:ascii="宋体" w:hAnsi="宋体" w:cs="宋体"/>
          <w:color w:val="000000"/>
          <w:highlight w:val="none"/>
          <w:u w:val="single"/>
        </w:rPr>
        <w:t>        </w:t>
      </w:r>
    </w:p>
    <w:p w14:paraId="64F9CA6F">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hint="eastAsia" w:cs="宋体"/>
          <w:color w:val="000000"/>
          <w:highlight w:val="none"/>
          <w:lang w:eastAsia="zh-CN"/>
        </w:rPr>
        <w:t>账号</w:t>
      </w:r>
      <w:r>
        <w:rPr>
          <w:rFonts w:ascii="宋体" w:hAnsi="宋体" w:cs="宋体"/>
          <w:color w:val="000000"/>
          <w:highlight w:val="none"/>
        </w:rPr>
        <w:t>：</w:t>
      </w:r>
      <w:r>
        <w:rPr>
          <w:rFonts w:ascii="宋体" w:hAnsi="宋体" w:cs="宋体"/>
          <w:color w:val="000000"/>
          <w:highlight w:val="none"/>
          <w:u w:val="single"/>
        </w:rPr>
        <w:t>        </w:t>
      </w:r>
    </w:p>
    <w:p w14:paraId="12E051FD">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邮政编码：</w:t>
      </w:r>
      <w:r>
        <w:rPr>
          <w:rFonts w:ascii="宋体" w:hAnsi="宋体" w:cs="宋体"/>
          <w:color w:val="000000"/>
          <w:highlight w:val="none"/>
          <w:u w:val="single"/>
        </w:rPr>
        <w:t>        </w:t>
      </w:r>
    </w:p>
    <w:p w14:paraId="0D30C000">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签约日期：</w:t>
      </w:r>
      <w:r>
        <w:rPr>
          <w:rFonts w:ascii="宋体" w:hAnsi="宋体" w:cs="宋体"/>
          <w:color w:val="000000"/>
          <w:highlight w:val="none"/>
          <w:u w:val="single"/>
        </w:rPr>
        <w:t>   </w:t>
      </w:r>
      <w:r>
        <w:rPr>
          <w:rFonts w:ascii="宋体" w:hAnsi="宋体" w:cs="宋体"/>
          <w:color w:val="000000"/>
          <w:highlight w:val="none"/>
        </w:rPr>
        <w:t>年</w:t>
      </w:r>
      <w:r>
        <w:rPr>
          <w:rFonts w:ascii="宋体" w:hAnsi="宋体" w:cs="宋体"/>
          <w:color w:val="000000"/>
          <w:highlight w:val="none"/>
          <w:u w:val="single"/>
        </w:rPr>
        <w:t>  </w:t>
      </w:r>
      <w:r>
        <w:rPr>
          <w:rFonts w:ascii="宋体" w:hAnsi="宋体" w:cs="宋体"/>
          <w:color w:val="000000"/>
          <w:highlight w:val="none"/>
        </w:rPr>
        <w:t>月</w:t>
      </w:r>
      <w:r>
        <w:rPr>
          <w:rFonts w:ascii="宋体" w:hAnsi="宋体" w:cs="宋体"/>
          <w:color w:val="000000"/>
          <w:highlight w:val="none"/>
          <w:u w:val="single"/>
        </w:rPr>
        <w:t>  </w:t>
      </w:r>
      <w:r>
        <w:rPr>
          <w:rFonts w:ascii="宋体" w:hAnsi="宋体" w:cs="宋体"/>
          <w:color w:val="000000"/>
          <w:highlight w:val="none"/>
        </w:rPr>
        <w:t>日</w:t>
      </w:r>
    </w:p>
    <w:p w14:paraId="5BF31BF2">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p>
    <w:p w14:paraId="4FB9845A">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承包方：</w:t>
      </w:r>
      <w:r>
        <w:rPr>
          <w:rFonts w:ascii="宋体" w:hAnsi="宋体" w:cs="宋体"/>
          <w:color w:val="000000"/>
          <w:highlight w:val="none"/>
          <w:u w:val="single"/>
        </w:rPr>
        <w:t>        </w:t>
      </w:r>
      <w:r>
        <w:rPr>
          <w:rFonts w:ascii="宋体" w:hAnsi="宋体" w:cs="宋体"/>
          <w:color w:val="000000"/>
          <w:highlight w:val="none"/>
        </w:rPr>
        <w:t>（公章）</w:t>
      </w:r>
    </w:p>
    <w:p w14:paraId="7BB1557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住所地：</w:t>
      </w:r>
      <w:r>
        <w:rPr>
          <w:rFonts w:ascii="宋体" w:hAnsi="宋体" w:cs="宋体"/>
          <w:color w:val="000000"/>
          <w:highlight w:val="none"/>
          <w:u w:val="single"/>
        </w:rPr>
        <w:t>        </w:t>
      </w:r>
    </w:p>
    <w:p w14:paraId="165446D9">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法定代表人：</w:t>
      </w:r>
      <w:r>
        <w:rPr>
          <w:rFonts w:ascii="宋体" w:hAnsi="宋体" w:cs="宋体"/>
          <w:color w:val="000000"/>
          <w:highlight w:val="none"/>
          <w:u w:val="single"/>
        </w:rPr>
        <w:t>        </w:t>
      </w:r>
    </w:p>
    <w:p w14:paraId="30548EB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委托代理人：</w:t>
      </w:r>
      <w:r>
        <w:rPr>
          <w:rFonts w:ascii="宋体" w:hAnsi="宋体" w:cs="宋体"/>
          <w:color w:val="000000"/>
          <w:highlight w:val="none"/>
          <w:u w:val="single"/>
        </w:rPr>
        <w:t>        </w:t>
      </w:r>
      <w:r>
        <w:rPr>
          <w:rFonts w:ascii="宋体" w:hAnsi="宋体" w:cs="宋体"/>
          <w:color w:val="000000"/>
          <w:highlight w:val="none"/>
        </w:rPr>
        <w:t>    </w:t>
      </w:r>
    </w:p>
    <w:p w14:paraId="27ACA6EB">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电话：</w:t>
      </w:r>
      <w:r>
        <w:rPr>
          <w:rFonts w:ascii="宋体" w:hAnsi="宋体" w:cs="宋体"/>
          <w:color w:val="000000"/>
          <w:highlight w:val="none"/>
          <w:u w:val="single"/>
        </w:rPr>
        <w:t>        </w:t>
      </w:r>
    </w:p>
    <w:p w14:paraId="77E48019">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传真：</w:t>
      </w:r>
      <w:r>
        <w:rPr>
          <w:rFonts w:ascii="宋体" w:hAnsi="宋体" w:cs="宋体"/>
          <w:color w:val="000000"/>
          <w:highlight w:val="none"/>
          <w:u w:val="single"/>
        </w:rPr>
        <w:t>        </w:t>
      </w:r>
      <w:r>
        <w:rPr>
          <w:rFonts w:ascii="宋体" w:hAnsi="宋体" w:cs="宋体"/>
          <w:color w:val="000000"/>
          <w:highlight w:val="none"/>
        </w:rPr>
        <w:t>    </w:t>
      </w:r>
    </w:p>
    <w:p w14:paraId="764FDFE7">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开户银行：</w:t>
      </w:r>
      <w:r>
        <w:rPr>
          <w:rFonts w:ascii="宋体" w:hAnsi="宋体" w:cs="宋体"/>
          <w:color w:val="000000"/>
          <w:highlight w:val="none"/>
          <w:u w:val="single"/>
        </w:rPr>
        <w:t>        </w:t>
      </w:r>
    </w:p>
    <w:p w14:paraId="41846DCD">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hint="eastAsia" w:cs="宋体"/>
          <w:color w:val="000000"/>
          <w:highlight w:val="none"/>
          <w:lang w:eastAsia="zh-CN"/>
        </w:rPr>
        <w:t>账号</w:t>
      </w:r>
      <w:r>
        <w:rPr>
          <w:rFonts w:ascii="宋体" w:hAnsi="宋体" w:cs="宋体"/>
          <w:color w:val="000000"/>
          <w:highlight w:val="none"/>
        </w:rPr>
        <w:t>：</w:t>
      </w:r>
      <w:r>
        <w:rPr>
          <w:rFonts w:ascii="宋体" w:hAnsi="宋体" w:cs="宋体"/>
          <w:color w:val="000000"/>
          <w:highlight w:val="none"/>
          <w:u w:val="single"/>
        </w:rPr>
        <w:t>        </w:t>
      </w:r>
    </w:p>
    <w:p w14:paraId="5FBF7D3A">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邮政编码：</w:t>
      </w:r>
      <w:r>
        <w:rPr>
          <w:rFonts w:ascii="宋体" w:hAnsi="宋体" w:cs="宋体"/>
          <w:color w:val="000000"/>
          <w:highlight w:val="none"/>
          <w:u w:val="single"/>
        </w:rPr>
        <w:t>        </w:t>
      </w:r>
    </w:p>
    <w:p w14:paraId="2043C7E3">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签约</w:t>
      </w:r>
      <w:r>
        <w:rPr>
          <w:rFonts w:hint="eastAsia" w:cs="宋体"/>
          <w:color w:val="000000"/>
          <w:highlight w:val="none"/>
          <w:lang w:val="en-US" w:eastAsia="zh-CN"/>
        </w:rPr>
        <w:t>日</w:t>
      </w:r>
      <w:r>
        <w:rPr>
          <w:rFonts w:ascii="宋体" w:hAnsi="宋体" w:cs="宋体"/>
          <w:color w:val="000000"/>
          <w:highlight w:val="none"/>
        </w:rPr>
        <w:t>期：</w:t>
      </w:r>
      <w:r>
        <w:rPr>
          <w:rFonts w:ascii="宋体" w:hAnsi="宋体" w:cs="宋体"/>
          <w:color w:val="000000"/>
          <w:highlight w:val="none"/>
          <w:u w:val="single"/>
        </w:rPr>
        <w:t>  </w:t>
      </w:r>
      <w:r>
        <w:rPr>
          <w:rFonts w:ascii="宋体" w:hAnsi="宋体" w:cs="宋体"/>
          <w:color w:val="000000"/>
          <w:highlight w:val="none"/>
        </w:rPr>
        <w:t>年</w:t>
      </w:r>
      <w:r>
        <w:rPr>
          <w:rFonts w:ascii="宋体" w:hAnsi="宋体" w:cs="宋体"/>
          <w:color w:val="000000"/>
          <w:highlight w:val="none"/>
          <w:u w:val="single"/>
        </w:rPr>
        <w:t>    </w:t>
      </w:r>
      <w:r>
        <w:rPr>
          <w:rFonts w:ascii="宋体" w:hAnsi="宋体" w:cs="宋体"/>
          <w:color w:val="000000"/>
          <w:highlight w:val="none"/>
        </w:rPr>
        <w:t>月</w:t>
      </w:r>
      <w:r>
        <w:rPr>
          <w:rFonts w:ascii="宋体" w:hAnsi="宋体" w:cs="宋体"/>
          <w:color w:val="000000"/>
          <w:highlight w:val="none"/>
          <w:u w:val="single"/>
        </w:rPr>
        <w:t>    </w:t>
      </w:r>
      <w:r>
        <w:rPr>
          <w:rFonts w:ascii="宋体" w:hAnsi="宋体" w:cs="宋体"/>
          <w:color w:val="000000"/>
          <w:highlight w:val="none"/>
        </w:rPr>
        <w:t>日</w:t>
      </w:r>
    </w:p>
    <w:p w14:paraId="5BDE08E4">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pPr>
      <w:r>
        <w:rPr>
          <w:rFonts w:ascii="宋体" w:hAnsi="宋体" w:cs="宋体"/>
          <w:color w:val="000000"/>
          <w:highlight w:val="none"/>
        </w:rPr>
        <w:t>签约地点：</w:t>
      </w:r>
    </w:p>
    <w:p w14:paraId="17504EC4">
      <w:pPr>
        <w:pStyle w:val="42"/>
        <w:keepNext w:val="0"/>
        <w:pageBreakBefore w:val="0"/>
        <w:kinsoku/>
        <w:wordWrap/>
        <w:overflowPunct/>
        <w:topLinePunct w:val="0"/>
        <w:autoSpaceDE/>
        <w:autoSpaceDN/>
        <w:bidi w:val="0"/>
        <w:adjustRightInd/>
        <w:snapToGrid/>
        <w:spacing w:before="0" w:beforeAutospacing="0" w:after="0" w:afterAutospacing="0" w:line="360" w:lineRule="auto"/>
        <w:textAlignment w:val="auto"/>
        <w:rPr>
          <w:rFonts w:ascii="宋体" w:hAnsi="宋体" w:cs="宋体"/>
          <w:color w:val="000000"/>
          <w:highlight w:val="none"/>
        </w:rPr>
        <w:sectPr>
          <w:type w:val="continuous"/>
          <w:pgSz w:w="11906" w:h="16838"/>
          <w:pgMar w:top="1440" w:right="1080" w:bottom="1440" w:left="1080" w:header="851" w:footer="907" w:gutter="0"/>
          <w:pgNumType w:fmt="decimal"/>
          <w:cols w:space="427" w:num="2"/>
          <w:titlePg/>
          <w:docGrid w:type="lines" w:linePitch="290" w:charSpace="0"/>
        </w:sectPr>
      </w:pPr>
    </w:p>
    <w:p w14:paraId="27C7262D">
      <w:pP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p>
    <w:p w14:paraId="0BE8246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附件1</w:t>
      </w:r>
    </w:p>
    <w:p w14:paraId="5C6DE3D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安全生产协议</w:t>
      </w:r>
    </w:p>
    <w:p w14:paraId="7B937EA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发包人（简称“甲方”）：</w:t>
      </w:r>
      <w:r>
        <w:rPr>
          <w:rFonts w:hint="eastAsia" w:ascii="宋体" w:hAnsi="宋体" w:eastAsia="宋体" w:cs="宋体"/>
          <w:color w:val="auto"/>
          <w:sz w:val="24"/>
          <w:highlight w:val="none"/>
          <w:u w:val="single"/>
        </w:rPr>
        <w:t xml:space="preserve">无锡市照明和排水管理中心  </w:t>
      </w:r>
    </w:p>
    <w:p w14:paraId="5B6FA7B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承包人（简称“乙方”）：</w:t>
      </w:r>
    </w:p>
    <w:p w14:paraId="0B5541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甲乙双方已签订</w:t>
      </w:r>
      <w:r>
        <w:rPr>
          <w:rFonts w:hint="eastAsia" w:ascii="宋体" w:hAnsi="宋体" w:eastAsia="宋体" w:cs="宋体"/>
          <w:color w:val="auto"/>
          <w:sz w:val="24"/>
          <w:highlight w:val="none"/>
          <w:lang w:eastAsia="zh-CN"/>
        </w:rPr>
        <w:t>《2026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2029年市管夜景照明设施维护项目》（以下简称“维护合同”）</w:t>
      </w:r>
      <w:r>
        <w:rPr>
          <w:rFonts w:hint="eastAsia" w:ascii="宋体" w:hAnsi="宋体" w:eastAsia="宋体" w:cs="宋体"/>
          <w:color w:val="auto"/>
          <w:sz w:val="24"/>
          <w:highlight w:val="none"/>
        </w:rPr>
        <w:t>，为进一步明确双方的安全生产责任，确保作业安全，特签订本协议，供双方执行。</w:t>
      </w:r>
    </w:p>
    <w:p w14:paraId="4880142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一、承包项目：</w:t>
      </w:r>
    </w:p>
    <w:p w14:paraId="158E072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项目名称：2026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2029年市管夜景照明设施维护项目</w:t>
      </w:r>
    </w:p>
    <w:p w14:paraId="074DFE4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二、协议内容：</w:t>
      </w:r>
    </w:p>
    <w:p w14:paraId="728074B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1.承包人作为本项目的承包人，根据招标文件及养护合同的规定，应对本项目整个维护过程中的安全负总责。</w:t>
      </w:r>
    </w:p>
    <w:p w14:paraId="6FBB142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2.甲乙双方须严格执行国家和劳动保护、安全生产主管部门颁发的有关安全生产、消防工作的法律、条例和规定。</w:t>
      </w:r>
    </w:p>
    <w:p w14:paraId="5CBA479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3.承包人应有安全管理组织体制，包括抓安全生产的领导，各级专职和兼职的安全干部；应有各工种的安全操作规程，特种作业工人的审证考核制度及各级安全生产岗位责任制和定期安全检查制度。</w:t>
      </w:r>
    </w:p>
    <w:p w14:paraId="23D87F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4.承包人在作业前要认真</w:t>
      </w:r>
      <w:r>
        <w:rPr>
          <w:rFonts w:hint="eastAsia" w:ascii="宋体" w:hAnsi="宋体" w:eastAsia="宋体" w:cs="宋体"/>
          <w:color w:val="auto"/>
          <w:sz w:val="24"/>
          <w:highlight w:val="none"/>
          <w:lang w:eastAsia="zh-CN"/>
        </w:rPr>
        <w:t>勘查现场</w:t>
      </w:r>
      <w:r>
        <w:rPr>
          <w:rFonts w:hint="eastAsia" w:ascii="宋体" w:hAnsi="宋体" w:eastAsia="宋体" w:cs="宋体"/>
          <w:color w:val="auto"/>
          <w:sz w:val="24"/>
          <w:highlight w:val="none"/>
        </w:rPr>
        <w:t>，项目由承包人按国家及建设主管部门的相关要求自行编制作业组织设计；制订有针对性的安全技术措施，承包人</w:t>
      </w:r>
      <w:r>
        <w:rPr>
          <w:rFonts w:hint="eastAsia" w:ascii="宋体" w:hAnsi="宋体" w:cs="宋体"/>
          <w:color w:val="auto"/>
          <w:sz w:val="24"/>
          <w:highlight w:val="none"/>
          <w:lang w:eastAsia="zh-CN"/>
        </w:rPr>
        <w:t>必须严格按照</w:t>
      </w:r>
      <w:r>
        <w:rPr>
          <w:rFonts w:hint="eastAsia" w:ascii="宋体" w:hAnsi="宋体" w:eastAsia="宋体" w:cs="宋体"/>
          <w:color w:val="auto"/>
          <w:sz w:val="24"/>
          <w:highlight w:val="none"/>
        </w:rPr>
        <w:t>作业组织设计的要求作业。</w:t>
      </w:r>
    </w:p>
    <w:p w14:paraId="76D6A1C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5.承包人的领导必须认真对本单位职工进行安全生产制度及安全技术知识教育，增强</w:t>
      </w:r>
      <w:r>
        <w:rPr>
          <w:rFonts w:hint="eastAsia" w:ascii="宋体" w:hAnsi="宋体" w:cs="宋体"/>
          <w:color w:val="auto"/>
          <w:sz w:val="24"/>
          <w:highlight w:val="none"/>
          <w:lang w:eastAsia="zh-CN"/>
        </w:rPr>
        <w:t>法制观念</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增强</w:t>
      </w:r>
      <w:r>
        <w:rPr>
          <w:rFonts w:hint="eastAsia" w:ascii="宋体" w:hAnsi="宋体" w:eastAsia="宋体" w:cs="宋体"/>
          <w:color w:val="auto"/>
          <w:sz w:val="24"/>
          <w:highlight w:val="none"/>
          <w:lang w:eastAsia="zh-CN"/>
        </w:rPr>
        <w:t>职工</w:t>
      </w:r>
      <w:r>
        <w:rPr>
          <w:rFonts w:hint="eastAsia" w:ascii="宋体" w:hAnsi="宋体" w:eastAsia="宋体" w:cs="宋体"/>
          <w:color w:val="auto"/>
          <w:sz w:val="24"/>
          <w:highlight w:val="none"/>
        </w:rPr>
        <w:t>的安全生产思想意识和自我</w:t>
      </w:r>
      <w:r>
        <w:rPr>
          <w:rFonts w:hint="eastAsia" w:ascii="宋体" w:hAnsi="宋体" w:cs="宋体"/>
          <w:color w:val="auto"/>
          <w:sz w:val="24"/>
          <w:highlight w:val="none"/>
          <w:lang w:eastAsia="zh-CN"/>
        </w:rPr>
        <w:t>保护</w:t>
      </w:r>
      <w:r>
        <w:rPr>
          <w:rFonts w:hint="eastAsia" w:ascii="宋体" w:hAnsi="宋体" w:eastAsia="宋体" w:cs="宋体"/>
          <w:color w:val="auto"/>
          <w:sz w:val="24"/>
          <w:highlight w:val="none"/>
        </w:rPr>
        <w:t>能力，督促职工自觉遵守安全纪律、制度法规。</w:t>
      </w:r>
    </w:p>
    <w:p w14:paraId="28BE64C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作业前，承包人应组织召开管理、作业人员安全生产教育会议，对作业人员应进行安全教育和安全交底，没有经过安全教育和安全交底的人员不准上岗，应介绍作业中有关安全操作规程、安全用电、防火等规章制度及要求，承包人必须检查督促作业人员严格遵守、认真执行。</w:t>
      </w:r>
    </w:p>
    <w:p w14:paraId="65ECC74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7.作业期间，承包人指派专职安全管理人员负责本工程项目的有关安全、防火工作；甲方指派相关人员负责联系予以协助、督促承包人执行有关安全、防火规定。</w:t>
      </w:r>
    </w:p>
    <w:p w14:paraId="151305A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承包人在作业期间必须严格执行和遵守国家、省及当地的相关安全生产管理的具体规定，接受建设行政主管部门的督促、检查和指导。甲方有协助承包人搞好安全生产防火管理以及督促定期检查的义务，对于查出的隐患，承包人必须限期整改。否则承包人须向甲方支付违约金  每次2000元。</w:t>
      </w:r>
    </w:p>
    <w:p w14:paraId="684545B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9.在生产操作过程中的个人安全防护用品，由各方自理，承包人应督促作业现场人员自觉穿戴好安全防护用品。进入现场作业区内必须戴安全帽。</w:t>
      </w:r>
    </w:p>
    <w:p w14:paraId="577260B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10.承包人人员对所处的作业区域、作业环境、操作设施设备、工具用具等必须认真检查，发现隐患，</w:t>
      </w:r>
      <w:r>
        <w:rPr>
          <w:rFonts w:hint="eastAsia" w:ascii="宋体" w:hAnsi="宋体" w:eastAsia="宋体" w:cs="宋体"/>
          <w:color w:val="auto"/>
          <w:sz w:val="24"/>
          <w:highlight w:val="none"/>
          <w:lang w:eastAsia="zh-CN"/>
        </w:rPr>
        <w:t>立即</w:t>
      </w:r>
      <w:r>
        <w:rPr>
          <w:rFonts w:hint="eastAsia" w:ascii="宋体" w:hAnsi="宋体" w:eastAsia="宋体" w:cs="宋体"/>
          <w:color w:val="auto"/>
          <w:sz w:val="24"/>
          <w:highlight w:val="none"/>
        </w:rPr>
        <w:t>停止作业，并经落实整改后方准作业。一经作业，就表示该承包人确认作业场所、作业环境、设施设备、工具用具等符合安全要求和处于安全状态。承包人对作业过程中产生的后果自行负责。</w:t>
      </w:r>
    </w:p>
    <w:p w14:paraId="1C355DB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11.承包人在作业期间所使用的各种设备以及工具等，均应由承包人自行负责。</w:t>
      </w:r>
    </w:p>
    <w:p w14:paraId="232C9D4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承包人的人员，对作业现场的脚手架、各类安全防护措施、安全标志和警告牌、不得擅自拆除、更动。如确实需要拆除更动的，必须经工地作业安全负责人同意，并采取必要、可靠的安全调整措施后方能拆除。擅自拆除所造成的后果，均由该人员及其单位承担相关责任。</w:t>
      </w:r>
    </w:p>
    <w:p w14:paraId="59844F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特种作业必须执行《国家特种作业人员安全技术培训考核管理规定》，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凡违反上述规定的，承包人须向甲方支付违约金 2000 元/次。</w:t>
      </w:r>
    </w:p>
    <w:p w14:paraId="1D5E202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14.承包人必须严格执行各类防火、防爆制度，易燃易爆场所严禁吸烟及动用明火，消防器材不准挪作他用。电焊、</w:t>
      </w:r>
      <w:r>
        <w:rPr>
          <w:rFonts w:hint="eastAsia" w:ascii="宋体" w:hAnsi="宋体" w:eastAsia="宋体" w:cs="宋体"/>
          <w:color w:val="auto"/>
          <w:sz w:val="24"/>
          <w:highlight w:val="none"/>
          <w:lang w:eastAsia="zh-CN"/>
        </w:rPr>
        <w:t>切割</w:t>
      </w:r>
      <w:r>
        <w:rPr>
          <w:rFonts w:hint="eastAsia" w:ascii="宋体" w:hAnsi="宋体" w:eastAsia="宋体" w:cs="宋体"/>
          <w:color w:val="auto"/>
          <w:sz w:val="24"/>
          <w:highlight w:val="none"/>
        </w:rPr>
        <w:t>作业应按规定办理动火审批手续，严格遵守“十不烧”规定，严禁使用电炉。冬季作业如必须采用明火加热防冻措施时，应取得防火主管人员同意，落实防火、防中毒措施，并指派专人值班。凡违反上述规定的，承包人须向甲方支付违约金 2000元/次。</w:t>
      </w:r>
    </w:p>
    <w:p w14:paraId="3C7530D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 承包人在作业中，应注意地下管线及高、低架空线路的保护。甲方对地下管线和障碍物应详细交底，承包人应贯彻交底要求，如遇有情况，应及时向甲方和有关部门联系，采取保护措施，如因承包人作业造成的损坏均由承包人负责。</w:t>
      </w:r>
    </w:p>
    <w:p w14:paraId="4D98271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 承包人应严格按照国家、省、市相关规定，在冬、雨季作业阶段设立安全保障措施；同时应加强</w:t>
      </w:r>
      <w:r>
        <w:rPr>
          <w:rFonts w:hint="eastAsia" w:ascii="宋体" w:hAnsi="宋体" w:eastAsia="宋体" w:cs="宋体"/>
          <w:color w:val="auto"/>
          <w:sz w:val="24"/>
          <w:highlight w:val="none"/>
          <w:lang w:eastAsia="zh-CN"/>
        </w:rPr>
        <w:t>对</w:t>
      </w:r>
      <w:r>
        <w:rPr>
          <w:rFonts w:hint="eastAsia" w:ascii="宋体" w:hAnsi="宋体" w:eastAsia="宋体" w:cs="宋体"/>
          <w:color w:val="auto"/>
          <w:sz w:val="24"/>
          <w:highlight w:val="none"/>
        </w:rPr>
        <w:t>工人生活区安全、文明管理，并承担相关安全责任。</w:t>
      </w:r>
    </w:p>
    <w:p w14:paraId="15C5773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 贯彻谁作业、谁负责安全的原则，承包人人员在作业期间，造成伤亡、火警、火灾、机械及其它安全事故（包括由承包人责任造成甲方人员、他方人员、行人伤亡等），应由承包人负责，承包人负责事故上报，经济赔偿及善后处理。甲方有协助承包人处理事故的义务。如因承包人安全作业原因给甲方造成经济损失或其他支出，甲方有权</w:t>
      </w:r>
      <w:r>
        <w:rPr>
          <w:rFonts w:hint="eastAsia" w:ascii="宋体" w:hAnsi="宋体" w:cs="宋体"/>
          <w:color w:val="auto"/>
          <w:sz w:val="24"/>
          <w:highlight w:val="none"/>
          <w:lang w:eastAsia="zh-CN"/>
        </w:rPr>
        <w:t>依据</w:t>
      </w:r>
      <w:r>
        <w:rPr>
          <w:rFonts w:hint="eastAsia" w:ascii="宋体" w:hAnsi="宋体" w:eastAsia="宋体" w:cs="宋体"/>
          <w:color w:val="auto"/>
          <w:sz w:val="24"/>
          <w:highlight w:val="none"/>
        </w:rPr>
        <w:t>本合同向承包人追偿。</w:t>
      </w:r>
    </w:p>
    <w:p w14:paraId="587F9BF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18. 本协议经双方盖章后即生效：协议作为合同的附件一式捌份。</w:t>
      </w:r>
    </w:p>
    <w:p w14:paraId="3F952B63">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39F2E5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72C884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甲方（盖章）：                      乙方（盖章）：</w:t>
      </w:r>
    </w:p>
    <w:p w14:paraId="0172A87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经办人：                           经办人：</w:t>
      </w:r>
    </w:p>
    <w:p w14:paraId="15B6EBB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日期：    年  月  日  </w:t>
      </w:r>
    </w:p>
    <w:p w14:paraId="550258DF">
      <w:pPr>
        <w:pStyle w:val="2"/>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lang w:val="en-US" w:eastAsia="zh-CN"/>
        </w:rPr>
      </w:pPr>
    </w:p>
    <w:p w14:paraId="3FF7DC90">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14D7466B">
      <w:pPr>
        <w:snapToGrid/>
        <w:spacing w:beforeAutospacing="0" w:afterAutospacing="0" w:line="360" w:lineRule="auto"/>
        <w:ind w:left="0" w:leftChars="0" w:right="0" w:rightChars="0" w:firstLine="480" w:firstLineChars="20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24"/>
          <w:highlight w:val="none"/>
        </w:rPr>
        <w:t>廉洁协议书</w:t>
      </w:r>
    </w:p>
    <w:p w14:paraId="7F4E488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val="en-US" w:eastAsia="zh-CN"/>
        </w:rPr>
        <w:t>2026—2029年市管夜景照明设施维护项目</w:t>
      </w:r>
    </w:p>
    <w:p w14:paraId="570EB4A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项目地址：无锡市</w:t>
      </w:r>
    </w:p>
    <w:p w14:paraId="78CFA1F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委托单位名称：无锡市照明和排水管理中心（简称发包方）</w:t>
      </w:r>
    </w:p>
    <w:p w14:paraId="3191DF0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承包单位名称：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（简称承包方）</w:t>
      </w:r>
    </w:p>
    <w:p w14:paraId="58C98A7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加强本项目实施中的廉洁建设，规范项目实施有关各方的各项活动，防止发生各种谋取不正当利益的违法违纪行为，保护国家、集体和当事人的合法权益，根据国家有关项目建设的法律法规和廉洁建设规定，特订立本廉洁协议。</w:t>
      </w:r>
    </w:p>
    <w:p w14:paraId="1EBE8721">
      <w:pPr>
        <w:keepNext w:val="0"/>
        <w:keepLines w:val="0"/>
        <w:pageBreakBefore w:val="0"/>
        <w:widowControl w:val="0"/>
        <w:kinsoku/>
        <w:wordWrap w:val="0"/>
        <w:overflowPunct/>
        <w:topLinePunct/>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同时面向社会接受监督，发包方监督部门将认真履行监督执纪问责职责，对违法违纪问题发现一起、查处一起，并追究相关责任。（举报电话0510-81823671，电子邮箱地址：szyljzf@163.com）</w:t>
      </w:r>
    </w:p>
    <w:p w14:paraId="59D57C26">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第一条  发包方工作人员在项目的事前、事中、事后应遵守以下规定。</w:t>
      </w:r>
    </w:p>
    <w:p w14:paraId="0F58465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（一）不准向承包方索要或接受回扣、礼金、有价证券、贵重物品和好处费、感谢费等；不准在承包方报销任何应由发包方或其工作人员个人支付的费用。</w:t>
      </w:r>
    </w:p>
    <w:p w14:paraId="726B6ED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（二）不准参加承包方安排的超标准宴请及健身、娱乐等活动；不得接受承包方提供的通讯工具、交通工具、高档办公用品等。</w:t>
      </w:r>
    </w:p>
    <w:p w14:paraId="21E2249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（三）不准要求、暗示和接受承包方为个人装修住房、婚丧嫁娶、配偶子女工作安排以及出国（境）、旅游等提供方便。</w:t>
      </w:r>
    </w:p>
    <w:p w14:paraId="207DC57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（四）配偶、子女不得参与承包方承包本项目有关的服务、设备材料供应、项目分包、劳务等经济活动。</w:t>
      </w:r>
    </w:p>
    <w:p w14:paraId="01DB790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（五）不得以任何理由向承包方推荐分包单位或要求承包方购买项目协议规定以外的材料、设备和服务等。</w:t>
      </w:r>
    </w:p>
    <w:p w14:paraId="71E2898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评审费”。</w:t>
      </w:r>
    </w:p>
    <w:p w14:paraId="7B77F8E6">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与项目有关的</w:t>
      </w:r>
      <w:r>
        <w:rPr>
          <w:rFonts w:hint="eastAsia" w:ascii="宋体" w:hAnsi="宋体" w:eastAsia="宋体" w:cs="宋体"/>
          <w:color w:val="auto"/>
          <w:sz w:val="24"/>
          <w:highlight w:val="none"/>
          <w:lang w:eastAsia="zh-CN"/>
        </w:rPr>
        <w:t>党风廉政建设</w:t>
      </w:r>
      <w:r>
        <w:rPr>
          <w:rFonts w:hint="eastAsia" w:ascii="宋体" w:hAnsi="宋体" w:eastAsia="宋体" w:cs="宋体"/>
          <w:color w:val="auto"/>
          <w:sz w:val="24"/>
          <w:highlight w:val="none"/>
        </w:rPr>
        <w:t>和预防腐败的规定。</w:t>
      </w:r>
    </w:p>
    <w:p w14:paraId="371E426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第二条  承包方应与发包方保持正常的业务交往，按照有关法律法规和程序开展业务工作，严格执行项目建设的有关政策、法规，特别是有关强制性标准和规范，并遵守以下规定：</w:t>
      </w:r>
    </w:p>
    <w:p w14:paraId="2D610A1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（一）不准以任何理由向发包方及其工作人员行贿或赠送礼金、有价证券、贵重物品等。</w:t>
      </w:r>
    </w:p>
    <w:p w14:paraId="3AD7C243">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（二）不准以任何名义为发包方及其工作人员报销应由发包方或个人支付的费用。</w:t>
      </w:r>
    </w:p>
    <w:p w14:paraId="04500BF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（三）不准以任何理由安排发包方工作人员参加超标准宴请及健身、娱乐和旅游等活动。</w:t>
      </w:r>
    </w:p>
    <w:p w14:paraId="5FADFB4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（四）不准为发包方及其工作人员购置或提供通讯工具、交通工具、高档办公用品和装修住房等。</w:t>
      </w:r>
    </w:p>
    <w:p w14:paraId="45A7DF0A">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严格执行“亮灯警告”制度，严格遵守各项廉政规定，不得安排无锡市市政和园林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接受局党组的重点督办，确保制度执行到位。</w:t>
      </w:r>
    </w:p>
    <w:p w14:paraId="2258E21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w:t>
      </w:r>
      <w:r>
        <w:rPr>
          <w:rFonts w:hint="eastAsia" w:ascii="宋体" w:hAnsi="宋体" w:eastAsia="宋体" w:cs="宋体"/>
          <w:color w:val="auto"/>
          <w:sz w:val="24"/>
          <w:highlight w:val="none"/>
          <w:lang w:eastAsia="zh-CN"/>
        </w:rPr>
        <w:t>其他</w:t>
      </w:r>
      <w:r>
        <w:rPr>
          <w:rFonts w:hint="eastAsia" w:ascii="宋体" w:hAnsi="宋体" w:cs="宋体"/>
          <w:color w:val="auto"/>
          <w:sz w:val="24"/>
          <w:highlight w:val="none"/>
          <w:lang w:eastAsia="zh-CN"/>
        </w:rPr>
        <w:t>有关</w:t>
      </w:r>
      <w:r>
        <w:rPr>
          <w:rFonts w:hint="eastAsia" w:ascii="宋体" w:hAnsi="宋体" w:eastAsia="宋体" w:cs="宋体"/>
          <w:color w:val="auto"/>
          <w:sz w:val="24"/>
          <w:highlight w:val="none"/>
          <w:lang w:eastAsia="zh-CN"/>
        </w:rPr>
        <w:t>党风廉政建设</w:t>
      </w:r>
      <w:r>
        <w:rPr>
          <w:rFonts w:hint="eastAsia" w:ascii="宋体" w:hAnsi="宋体" w:eastAsia="宋体" w:cs="宋体"/>
          <w:color w:val="auto"/>
          <w:sz w:val="24"/>
          <w:highlight w:val="none"/>
        </w:rPr>
        <w:t>和预防腐败的规定。</w:t>
      </w:r>
    </w:p>
    <w:p w14:paraId="4E12AED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第三条  发包方、承包方双方不得违反项目管理规章制度，不得为获取不正当利益，就项目费用、材料供应、工程量变动、项目验收、项目质量等问题相互串通，损害国家、集体或他人利益。</w:t>
      </w:r>
    </w:p>
    <w:p w14:paraId="765EDD4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第四条  发包方、承包方双方发现对方在业务活动中有违反本协议行为的，有及时提醒对方纠正的权利和义务。情节严重的，有向对方上级有关部门举报的权利。</w:t>
      </w:r>
    </w:p>
    <w:p w14:paraId="5ABBE31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第五条  发包方监督部门对发包方、承包方双方履行协议的情况进行监督，其职责是：</w:t>
      </w:r>
    </w:p>
    <w:p w14:paraId="6A7BD10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（一）严格依据国家</w:t>
      </w:r>
      <w:r>
        <w:rPr>
          <w:rFonts w:hint="eastAsia" w:ascii="宋体" w:hAnsi="宋体" w:eastAsia="宋体" w:cs="宋体"/>
          <w:color w:val="auto"/>
          <w:sz w:val="24"/>
          <w:highlight w:val="none"/>
          <w:lang w:eastAsia="zh-CN"/>
        </w:rPr>
        <w:t>法律法规</w:t>
      </w:r>
      <w:r>
        <w:rPr>
          <w:rFonts w:hint="eastAsia" w:ascii="宋体" w:hAnsi="宋体" w:eastAsia="宋体" w:cs="宋体"/>
          <w:color w:val="auto"/>
          <w:sz w:val="24"/>
          <w:highlight w:val="none"/>
        </w:rPr>
        <w:t>及党和政府的政策、制度、规定和党纪、政纪条规，对发包方、承包方双方遵纪守法情况进行监督检查；</w:t>
      </w:r>
    </w:p>
    <w:p w14:paraId="0113653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（二）协助和指导发包方、承包方双方抓好</w:t>
      </w:r>
      <w:r>
        <w:rPr>
          <w:rFonts w:hint="eastAsia" w:ascii="宋体" w:hAnsi="宋体" w:cs="宋体"/>
          <w:color w:val="auto"/>
          <w:sz w:val="24"/>
          <w:highlight w:val="none"/>
          <w:lang w:eastAsia="zh-CN"/>
        </w:rPr>
        <w:t>廉政建设</w:t>
      </w:r>
      <w:r>
        <w:rPr>
          <w:rFonts w:hint="eastAsia" w:ascii="宋体" w:hAnsi="宋体" w:eastAsia="宋体" w:cs="宋体"/>
          <w:color w:val="auto"/>
          <w:sz w:val="24"/>
          <w:highlight w:val="none"/>
        </w:rPr>
        <w:t>，对发包方、承包方双方工作人员有针对性地进行廉洁教育。</w:t>
      </w:r>
    </w:p>
    <w:p w14:paraId="4E92F95F">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第六条  违约责任</w:t>
      </w:r>
    </w:p>
    <w:p w14:paraId="3B1C8F47">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（一）发包方工作人员有违反本协议第一条、第三条行为的，发包方监督部门按照管理权限，依据有关法律法规和规定给予党纪、</w:t>
      </w:r>
      <w:r>
        <w:rPr>
          <w:rFonts w:hint="eastAsia" w:ascii="宋体" w:hAnsi="宋体" w:eastAsia="宋体" w:cs="宋体"/>
          <w:color w:val="auto"/>
          <w:sz w:val="24"/>
          <w:highlight w:val="none"/>
          <w:lang w:eastAsia="zh-CN"/>
        </w:rPr>
        <w:t>政务处分</w:t>
      </w:r>
      <w:r>
        <w:rPr>
          <w:rFonts w:hint="eastAsia" w:ascii="宋体" w:hAnsi="宋体" w:eastAsia="宋体" w:cs="宋体"/>
          <w:color w:val="auto"/>
          <w:sz w:val="24"/>
          <w:highlight w:val="none"/>
        </w:rPr>
        <w:t>或组织处理；涉嫌犯罪的，移交司法机关追究刑事责任；造成经济损失的，应予以赔偿。</w:t>
      </w:r>
    </w:p>
    <w:p w14:paraId="33EF23A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（二）承包方工作人员有违反本协议第二条、第三条行为的</w:t>
      </w:r>
      <w:r>
        <w:rPr>
          <w:rFonts w:hint="eastAsia" w:ascii="宋体" w:hAnsi="宋体" w:eastAsia="宋体" w:cs="宋体"/>
          <w:color w:val="auto"/>
          <w:sz w:val="24"/>
          <w:highlight w:val="none"/>
          <w:lang w:eastAsia="zh-CN"/>
        </w:rPr>
        <w:t>，由</w:t>
      </w:r>
      <w:r>
        <w:rPr>
          <w:rFonts w:hint="eastAsia" w:ascii="宋体" w:hAnsi="宋体" w:eastAsia="宋体" w:cs="宋体"/>
          <w:color w:val="auto"/>
          <w:sz w:val="24"/>
          <w:highlight w:val="none"/>
        </w:rPr>
        <w:t>发包方监督部门向上级或上级主管部门报告，建议对承包方予以一至</w:t>
      </w:r>
      <w:r>
        <w:rPr>
          <w:rFonts w:hint="eastAsia" w:ascii="宋体" w:hAnsi="宋体" w:eastAsia="宋体" w:cs="宋体"/>
          <w:color w:val="auto"/>
          <w:sz w:val="24"/>
          <w:highlight w:val="none"/>
          <w:lang w:eastAsia="zh-CN"/>
        </w:rPr>
        <w:t>两年</w:t>
      </w:r>
      <w:r>
        <w:rPr>
          <w:rFonts w:hint="eastAsia" w:ascii="宋体" w:hAnsi="宋体" w:eastAsia="宋体" w:cs="宋体"/>
          <w:color w:val="auto"/>
          <w:sz w:val="24"/>
          <w:highlight w:val="none"/>
        </w:rPr>
        <w:t>内不得进入本市招标投标市场或被列入发包方单位合格供方黑名单等处理。涉嫌犯罪的，移交司法机关追究刑事责任；造成经济损失的，应予以赔偿。</w:t>
      </w:r>
    </w:p>
    <w:p w14:paraId="694D3CC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（三）承包方将部分辅助项目依法分包的，承包方与分包单位就协议的履行承担连带责任。</w:t>
      </w:r>
    </w:p>
    <w:p w14:paraId="6ACB1A9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第七条  本协议作为合同的附件，与主合同具有同等法律效力，本协议自双方法定代表人（负责人）或授权代表签章并加盖双方单位公章后生效。</w:t>
      </w:r>
    </w:p>
    <w:p w14:paraId="779D0770">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1174CFF">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发包方（盖章）：</w:t>
      </w:r>
    </w:p>
    <w:p w14:paraId="3EA95C1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法定代表人（负责人）或授权代表（签章）：</w:t>
      </w:r>
    </w:p>
    <w:p w14:paraId="38E04D03">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87DE0D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承包方（盖章）：</w:t>
      </w:r>
    </w:p>
    <w:p w14:paraId="5A5B4561">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法定代表人（负责人）或授权代表（签章）：</w:t>
      </w:r>
    </w:p>
    <w:p w14:paraId="4794872A">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bookmarkEnd w:id="184"/>
    <w:bookmarkEnd w:id="185"/>
    <w:bookmarkEnd w:id="186"/>
    <w:p w14:paraId="512C0DC2">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bookmarkStart w:id="200" w:name="_Hlt16619369"/>
      <w:bookmarkEnd w:id="200"/>
      <w:bookmarkStart w:id="201" w:name="_Toc2602"/>
      <w:bookmarkStart w:id="202" w:name="_Toc20823346"/>
      <w:bookmarkStart w:id="203" w:name="_Toc16938590"/>
      <w:bookmarkStart w:id="204" w:name="_Toc120614244"/>
      <w:bookmarkStart w:id="205" w:name="_Toc462564139"/>
      <w:bookmarkStart w:id="206" w:name="_Toc479757211"/>
      <w:r>
        <w:rPr>
          <w:rFonts w:hint="eastAsia" w:ascii="宋体" w:hAnsi="宋体" w:eastAsia="宋体" w:cs="宋体"/>
          <w:b/>
          <w:bCs/>
          <w:kern w:val="0"/>
          <w:sz w:val="24"/>
          <w:szCs w:val="24"/>
          <w:highlight w:val="none"/>
          <w:lang w:val="en-US" w:eastAsia="zh-CN" w:bidi="ar-SA"/>
        </w:rPr>
        <w:t>第四章 采购需求</w:t>
      </w:r>
      <w:bookmarkEnd w:id="201"/>
      <w:bookmarkEnd w:id="202"/>
      <w:bookmarkEnd w:id="203"/>
      <w:bookmarkEnd w:id="204"/>
    </w:p>
    <w:p w14:paraId="4528AF7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07" w:name="_Toc10552"/>
      <w:bookmarkStart w:id="208" w:name="_Toc49090575"/>
      <w:bookmarkStart w:id="209" w:name="_Toc26554093"/>
      <w:r>
        <w:rPr>
          <w:rFonts w:hint="eastAsia" w:ascii="宋体" w:hAnsi="宋体" w:eastAsia="宋体" w:cs="宋体"/>
          <w:b/>
          <w:bCs/>
          <w:kern w:val="0"/>
          <w:sz w:val="24"/>
          <w:szCs w:val="24"/>
          <w:highlight w:val="none"/>
          <w:lang w:val="en-US" w:eastAsia="zh-CN" w:bidi="ar-SA"/>
        </w:rPr>
        <w:t>一、采购标的需实现的功能或者目标，以及为落实政府采购政策需满足的要求：</w:t>
      </w:r>
      <w:bookmarkEnd w:id="207"/>
    </w:p>
    <w:p w14:paraId="1064D74C">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2"/>
          <w:sz w:val="24"/>
          <w:szCs w:val="24"/>
          <w:highlight w:val="none"/>
          <w:lang w:val="en-US" w:eastAsia="zh-CN"/>
        </w:rPr>
      </w:pPr>
      <w:bookmarkStart w:id="210" w:name="_Toc322"/>
      <w:r>
        <w:rPr>
          <w:rFonts w:hint="eastAsia" w:ascii="宋体" w:hAnsi="宋体" w:eastAsia="宋体" w:cs="宋体"/>
          <w:b/>
          <w:color w:val="auto"/>
          <w:kern w:val="2"/>
          <w:sz w:val="24"/>
          <w:szCs w:val="24"/>
          <w:highlight w:val="none"/>
          <w:lang w:val="en-US" w:eastAsia="zh-CN"/>
        </w:rPr>
        <w:t>1.采购标的需实现的功能或者目标：</w:t>
      </w:r>
      <w:bookmarkEnd w:id="210"/>
    </w:p>
    <w:p w14:paraId="4480023E">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本次采购为夜景照明设施日常维护，主要包括内环沿线夜景照明设施、京杭运河沿线夜景照明设施、中心商务区夜景照明设施等的日常维护作业。</w:t>
      </w:r>
    </w:p>
    <w:p w14:paraId="6CC7B991">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kern w:val="2"/>
          <w:sz w:val="24"/>
          <w:szCs w:val="24"/>
          <w:highlight w:val="none"/>
          <w:lang w:val="en-US" w:eastAsia="zh-CN"/>
        </w:rPr>
      </w:pPr>
      <w:bookmarkStart w:id="211" w:name="_Toc10103"/>
      <w:r>
        <w:rPr>
          <w:rFonts w:hint="eastAsia" w:ascii="宋体" w:hAnsi="宋体" w:eastAsia="宋体" w:cs="宋体"/>
          <w:b/>
          <w:color w:val="auto"/>
          <w:kern w:val="2"/>
          <w:sz w:val="24"/>
          <w:szCs w:val="24"/>
          <w:highlight w:val="none"/>
          <w:lang w:val="en-US" w:eastAsia="zh-CN"/>
        </w:rPr>
        <w:t>2.为落实政府采购政策需满足的要求：</w:t>
      </w:r>
      <w:bookmarkEnd w:id="211"/>
    </w:p>
    <w:p w14:paraId="0CB3E119">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bookmarkStart w:id="212" w:name="_Toc18505"/>
      <w:r>
        <w:rPr>
          <w:rFonts w:hint="eastAsia" w:ascii="宋体" w:hAnsi="宋体" w:eastAsia="宋体" w:cs="宋体"/>
          <w:color w:val="auto"/>
          <w:kern w:val="2"/>
          <w:sz w:val="24"/>
          <w:szCs w:val="24"/>
          <w:highlight w:val="none"/>
          <w:lang w:val="en-US" w:eastAsia="zh-CN"/>
        </w:rPr>
        <w:t>本项目专门面向中小企业（含监狱企业、残疾人福利性单位）</w:t>
      </w:r>
      <w:bookmarkEnd w:id="212"/>
    </w:p>
    <w:p w14:paraId="220FCD5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13" w:name="_Toc4145"/>
      <w:r>
        <w:rPr>
          <w:rFonts w:hint="eastAsia" w:ascii="宋体" w:hAnsi="宋体" w:eastAsia="宋体" w:cs="宋体"/>
          <w:b/>
          <w:bCs/>
          <w:kern w:val="0"/>
          <w:sz w:val="24"/>
          <w:szCs w:val="24"/>
          <w:highlight w:val="none"/>
          <w:lang w:val="en-US" w:eastAsia="zh-CN" w:bidi="ar-SA"/>
        </w:rPr>
        <w:t>二、采购标的需执行的国家相关标准、行业标准、地方标准或者其他标准、规范：</w:t>
      </w:r>
      <w:bookmarkEnd w:id="213"/>
    </w:p>
    <w:p w14:paraId="6CA640B4">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《城市夜景照明设计规范》（JGJ/T163-2008）</w:t>
      </w:r>
    </w:p>
    <w:p w14:paraId="05AE94B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《电气装置安装工程接地装置作业及验收规范》（GB50169-2016）</w:t>
      </w:r>
    </w:p>
    <w:p w14:paraId="11E98A7A">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《建筑电气照明装置作业及验收规范》（GB50617-2010）</w:t>
      </w:r>
    </w:p>
    <w:p w14:paraId="697A2694">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《低压配电设计规范》（GB50054-2011）及其它现行国家设计规范与标准</w:t>
      </w:r>
    </w:p>
    <w:p w14:paraId="05C6520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《无锡市市政园林精细化养护管理细则（试行）》</w:t>
      </w:r>
      <w:bookmarkStart w:id="214" w:name="_Toc19284"/>
    </w:p>
    <w:p w14:paraId="1DEF818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pacing w:val="2"/>
          <w:kern w:val="28"/>
          <w:sz w:val="24"/>
          <w:highlight w:val="none"/>
        </w:rPr>
        <w:t>《无锡市城市照明设施维护考核办法》（最新版）</w:t>
      </w:r>
    </w:p>
    <w:p w14:paraId="2032CA8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bCs/>
          <w:color w:val="auto"/>
          <w:sz w:val="24"/>
          <w:highlight w:val="none"/>
        </w:rPr>
        <w:t>本项目维护期间，若有相关新的规范、规程等颁布，则应按照新颁规范、规程实施。</w:t>
      </w:r>
      <w:bookmarkEnd w:id="214"/>
    </w:p>
    <w:p w14:paraId="6F366D8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三、采购标的需满足的质量、安全、技术规格、物理特性等要求：</w:t>
      </w:r>
    </w:p>
    <w:p w14:paraId="2CB3FD7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pacing w:val="2"/>
          <w:kern w:val="28"/>
          <w:sz w:val="24"/>
          <w:highlight w:val="none"/>
        </w:rPr>
      </w:pPr>
      <w:r>
        <w:rPr>
          <w:rFonts w:hint="eastAsia" w:ascii="宋体" w:hAnsi="宋体" w:eastAsia="宋体" w:cs="宋体"/>
          <w:b/>
          <w:color w:val="auto"/>
          <w:spacing w:val="2"/>
          <w:kern w:val="28"/>
          <w:sz w:val="24"/>
          <w:highlight w:val="none"/>
        </w:rPr>
        <w:t>1.维护目标：</w:t>
      </w:r>
    </w:p>
    <w:p w14:paraId="6C4D31A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8" w:firstLineChars="200"/>
        <w:jc w:val="left"/>
        <w:textAlignment w:val="auto"/>
        <w:rPr>
          <w:rFonts w:hint="eastAsia" w:ascii="宋体" w:hAnsi="宋体" w:eastAsia="宋体" w:cs="宋体"/>
          <w:color w:val="auto"/>
          <w:spacing w:val="2"/>
          <w:kern w:val="28"/>
          <w:sz w:val="24"/>
          <w:highlight w:val="none"/>
        </w:rPr>
      </w:pPr>
      <w:r>
        <w:rPr>
          <w:rFonts w:hint="eastAsia" w:ascii="宋体" w:hAnsi="宋体" w:eastAsia="宋体" w:cs="宋体"/>
          <w:color w:val="auto"/>
          <w:spacing w:val="2"/>
          <w:kern w:val="28"/>
          <w:sz w:val="24"/>
          <w:highlight w:val="none"/>
        </w:rPr>
        <w:t>设施完好率≥92%；亮灯率≥97%；运行故障率≤1%；故障修复及时率100%；交办事项办理及时率100%；应急抢修确保30分钟内赶赴现场组织处理；零安全事故。</w:t>
      </w:r>
    </w:p>
    <w:p w14:paraId="7160D911">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pacing w:val="2"/>
          <w:kern w:val="28"/>
          <w:sz w:val="24"/>
          <w:highlight w:val="none"/>
        </w:rPr>
        <w:t>2.维护要求</w:t>
      </w:r>
      <w:r>
        <w:rPr>
          <w:rFonts w:hint="eastAsia" w:ascii="宋体" w:hAnsi="宋体" w:eastAsia="宋体" w:cs="宋体"/>
          <w:b/>
          <w:color w:val="auto"/>
          <w:sz w:val="24"/>
          <w:highlight w:val="none"/>
        </w:rPr>
        <w:t>：</w:t>
      </w:r>
    </w:p>
    <w:p w14:paraId="58F8554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482" w:firstLineChars="200"/>
        <w:jc w:val="left"/>
        <w:textAlignment w:val="auto"/>
        <w:outlineLvl w:val="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基本要求：</w:t>
      </w:r>
      <w:r>
        <w:rPr>
          <w:rFonts w:hint="eastAsia" w:ascii="宋体" w:hAnsi="宋体" w:eastAsia="宋体" w:cs="宋体"/>
          <w:color w:val="auto"/>
          <w:sz w:val="24"/>
          <w:highlight w:val="none"/>
        </w:rPr>
        <w:t>制定合理的维护计划，维护计划的落实保障、制定应急工作机制、落实安全保障工作、做好档案台账管理、更换材料的质量保障和备品保障以及日常GIS运维工作等。</w:t>
      </w:r>
    </w:p>
    <w:p w14:paraId="4DDF5EE0">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（1）各类夜景照明设施应根据类别、等级和技术级别进行维护。</w:t>
      </w:r>
    </w:p>
    <w:p w14:paraId="468AC01D">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（2）中标人应分别建立夜景照明维护档案，并应符合下列规定： </w:t>
      </w:r>
    </w:p>
    <w:p w14:paraId="1A719598">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1）维护档案应包括下列内容：维护计划、实际耗材、数据检测记录、巡检台账、维修记录、安全教育记录等相关资料。 </w:t>
      </w:r>
    </w:p>
    <w:p w14:paraId="11F38DFA">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2）维护档案资料应装订成册并实行电子化。</w:t>
      </w:r>
    </w:p>
    <w:p w14:paraId="7403E889">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（3）所有夜景照明设施完好率≥92%，亮灯率≥97%，修复及时率：100%，应急响应时间：≤30分钟。</w:t>
      </w:r>
    </w:p>
    <w:p w14:paraId="62DFBE53">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维护期间所使用的材料、灯具、元器件等必须经过采购人同意。维护作业应不断提高技术装备率和动力装备率，维修养护应贯彻国家的技术经济政策，使养护维修达到安全实用，质量可靠、经济合理，技术先进的要求。</w:t>
      </w:r>
    </w:p>
    <w:p w14:paraId="35E718B5">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（5）建立健全巡视巡修制度，周有周工作计划月有月工作计划，每月有工作计划及周巡视、巡修原始记录</w:t>
      </w:r>
      <w:r>
        <w:rPr>
          <w:rFonts w:hint="eastAsia" w:ascii="宋体" w:hAnsi="宋体" w:eastAsia="宋体" w:cs="宋体"/>
          <w:color w:val="auto"/>
          <w:sz w:val="24"/>
          <w:highlight w:val="none"/>
          <w:lang w:eastAsia="zh-CN"/>
        </w:rPr>
        <w:t>资料台账</w:t>
      </w:r>
      <w:r>
        <w:rPr>
          <w:rFonts w:hint="eastAsia" w:ascii="宋体" w:hAnsi="宋体" w:eastAsia="宋体" w:cs="宋体"/>
          <w:color w:val="auto"/>
          <w:sz w:val="24"/>
          <w:highlight w:val="none"/>
        </w:rPr>
        <w:t>汇总。每月月底前上报无锡市照明和排水管理中心亮化管理科下月工作计划，每周按要求上报周工作计划。</w:t>
      </w:r>
    </w:p>
    <w:p w14:paraId="6351BEA2">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夜景照明设施维护作业应在保证安全的条件下，尽量减少对交通、业主和住户的影响，作业区间必须设置明显的安全标志，警示灯等，采取措施、保证安全并减少对交通等的干扰。维护作业必须文明，做到工完、料清、场清。</w:t>
      </w:r>
    </w:p>
    <w:p w14:paraId="12CF4E17">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（7）中标人须无条件的接受采购人的考核监督，考核表作为维护结算费用的依据。</w:t>
      </w:r>
    </w:p>
    <w:p w14:paraId="70296E29">
      <w:pPr>
        <w:pStyle w:val="18"/>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（8）中标人</w:t>
      </w:r>
      <w:r>
        <w:rPr>
          <w:rFonts w:hint="eastAsia" w:ascii="宋体" w:hAnsi="宋体" w:eastAsia="宋体" w:cs="宋体"/>
          <w:color w:val="auto"/>
          <w:sz w:val="24"/>
          <w:szCs w:val="24"/>
          <w:highlight w:val="none"/>
          <w:lang w:eastAsia="zh-CN"/>
        </w:rPr>
        <w:t>须购买企业安全生产责任险</w:t>
      </w:r>
      <w:r>
        <w:rPr>
          <w:rFonts w:hint="eastAsia" w:ascii="宋体" w:hAnsi="宋体" w:eastAsia="宋体" w:cs="宋体"/>
          <w:color w:val="auto"/>
          <w:kern w:val="2"/>
          <w:sz w:val="24"/>
          <w:szCs w:val="24"/>
          <w:highlight w:val="none"/>
          <w:lang w:val="en-US" w:eastAsia="zh-CN"/>
        </w:rPr>
        <w:t>，对其工作人员进行技术和安全的定期培训，并为工作人员购买人身意外保险，在工作中引发的任何安全责任和事故，均由中标人自行承担。</w:t>
      </w:r>
    </w:p>
    <w:p w14:paraId="0E8C2A2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15" w:name="_Toc12727"/>
      <w:r>
        <w:rPr>
          <w:rFonts w:hint="eastAsia" w:ascii="宋体" w:hAnsi="宋体" w:eastAsia="宋体" w:cs="宋体"/>
          <w:b/>
          <w:bCs/>
          <w:kern w:val="0"/>
          <w:sz w:val="24"/>
          <w:szCs w:val="24"/>
          <w:highlight w:val="none"/>
          <w:lang w:val="en-US" w:eastAsia="zh-CN" w:bidi="ar-SA"/>
        </w:rPr>
        <w:t>四、采购标的的数量、采购项目交付或者实施的时间和地点：</w:t>
      </w:r>
      <w:bookmarkEnd w:id="215"/>
    </w:p>
    <w:p w14:paraId="239F6DE3">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1.维护期：</w:t>
      </w:r>
      <w:r>
        <w:rPr>
          <w:rFonts w:hint="eastAsia" w:ascii="宋体" w:hAnsi="宋体" w:cs="宋体"/>
          <w:b/>
          <w:color w:val="auto"/>
          <w:sz w:val="24"/>
          <w:highlight w:val="none"/>
          <w:lang w:eastAsia="zh-CN"/>
        </w:rPr>
        <w:t>发布中标公告起至2029年6月30日</w:t>
      </w:r>
      <w:r>
        <w:rPr>
          <w:rFonts w:hint="eastAsia" w:ascii="宋体" w:hAnsi="宋体" w:eastAsia="宋体" w:cs="宋体"/>
          <w:b/>
          <w:color w:val="auto"/>
          <w:sz w:val="24"/>
          <w:highlight w:val="none"/>
        </w:rPr>
        <w:t>。</w:t>
      </w:r>
    </w:p>
    <w:p w14:paraId="3DABECEC">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2.本次招标夜景照明设施划分为以下3个标段</w:t>
      </w:r>
    </w:p>
    <w:p w14:paraId="6F46B46C">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一标段：内环沿线夜景照明设施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已确定中标候选人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 </w:t>
      </w:r>
    </w:p>
    <w:p w14:paraId="4CF2EBF1">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二标段：京杭运河沿线夜景照明设施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已确定中标候选人</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p>
    <w:p w14:paraId="4AF014C9">
      <w:pPr>
        <w:keepNext w:val="0"/>
        <w:keepLines w:val="0"/>
        <w:pageBreakBefore w:val="0"/>
        <w:widowControl w:val="0"/>
        <w:tabs>
          <w:tab w:val="left" w:pos="840"/>
        </w:tabs>
        <w:kinsoku/>
        <w:wordWrap/>
        <w:overflowPunct/>
        <w:topLinePunct w:val="0"/>
        <w:autoSpaceDE/>
        <w:autoSpaceDN/>
        <w:bidi w:val="0"/>
        <w:adjustRightInd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三标段：中心商务区夜景照明设施。</w:t>
      </w:r>
    </w:p>
    <w:p w14:paraId="5D2CC3AA">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bookmarkStart w:id="216" w:name="_Toc1963"/>
      <w:r>
        <w:rPr>
          <w:rFonts w:hint="eastAsia" w:ascii="宋体" w:hAnsi="宋体" w:eastAsia="宋体" w:cs="宋体"/>
          <w:b/>
          <w:bCs/>
          <w:kern w:val="0"/>
          <w:sz w:val="24"/>
          <w:szCs w:val="24"/>
          <w:highlight w:val="none"/>
          <w:lang w:val="en-US" w:eastAsia="zh-CN" w:bidi="ar-SA"/>
        </w:rPr>
        <w:t>五、采购标的需满足的服务标准、期限、效率等要求：</w:t>
      </w:r>
      <w:bookmarkEnd w:id="216"/>
    </w:p>
    <w:p w14:paraId="11D2EE22">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1.对中标人的维护职责要求：</w:t>
      </w:r>
    </w:p>
    <w:p w14:paraId="3B03D93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（1）制定夜景照明维护计划，合理</w:t>
      </w:r>
      <w:r>
        <w:rPr>
          <w:rFonts w:hint="eastAsia" w:ascii="宋体" w:hAnsi="宋体" w:eastAsia="宋体" w:cs="宋体"/>
          <w:color w:val="auto"/>
          <w:sz w:val="24"/>
          <w:highlight w:val="none"/>
          <w:lang w:eastAsia="zh-CN"/>
        </w:rPr>
        <w:t>地</w:t>
      </w:r>
      <w:r>
        <w:rPr>
          <w:rFonts w:hint="eastAsia" w:ascii="宋体" w:hAnsi="宋体" w:eastAsia="宋体" w:cs="宋体"/>
          <w:color w:val="auto"/>
          <w:sz w:val="24"/>
          <w:highlight w:val="none"/>
        </w:rPr>
        <w:t xml:space="preserve">做好维护工作。 </w:t>
      </w:r>
    </w:p>
    <w:p w14:paraId="1938CB04">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（2）配合采购人的各项活动保障任务。</w:t>
      </w:r>
    </w:p>
    <w:p w14:paraId="7938F1DA">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涉及</w:t>
      </w:r>
      <w:r>
        <w:rPr>
          <w:rFonts w:hint="eastAsia" w:ascii="宋体" w:hAnsi="宋体" w:eastAsia="宋体" w:cs="宋体"/>
          <w:color w:val="auto"/>
          <w:sz w:val="24"/>
          <w:highlight w:val="none"/>
        </w:rPr>
        <w:t>夜景照明设施的拆除及迁移应积极配合。</w:t>
      </w:r>
    </w:p>
    <w:p w14:paraId="0D509F1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（4）对采购人提出的工作要求须积极响应。</w:t>
      </w:r>
    </w:p>
    <w:p w14:paraId="109478B8">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（5）维护作业结束后，须保持现场的整洁。 </w:t>
      </w:r>
    </w:p>
    <w:p w14:paraId="62D654CB">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（6）及时修复、更换有故障的夜景照明设施。</w:t>
      </w:r>
    </w:p>
    <w:p w14:paraId="141AA805">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（7）不得更改原亮化效果。</w:t>
      </w:r>
    </w:p>
    <w:p w14:paraId="00729CE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（8）本次维护的工作内容应包括中标的单项夜景照明工程要求维护范围内的所有设施的正常巡查、维修、养护、偷盗的恢复处理，以及相关书面记录等。</w:t>
      </w:r>
    </w:p>
    <w:p w14:paraId="422F0973">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（9）绘制中标维护项目中构、建筑物三维布灯、管线示意图，地面管线、灯具布置示意图，合同签订后按采购人要求的时限，将示意图电子版传至无锡市照明和排水管理中心亮化管理科备案。</w:t>
      </w:r>
    </w:p>
    <w:p w14:paraId="5CE27B3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2.对中标人的巡视要求：</w:t>
      </w:r>
    </w:p>
    <w:p w14:paraId="358D3FCB">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（1）中标人须制定夜景照明巡视计划表。</w:t>
      </w:r>
    </w:p>
    <w:p w14:paraId="4D32A843">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（2）中标人须建立夜景照明较健全的巡视制度、巡视台账，落实责任人。</w:t>
      </w:r>
    </w:p>
    <w:p w14:paraId="77FD281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（3）中标人须每月五号前上交上月的巡视台账（成册）。</w:t>
      </w:r>
    </w:p>
    <w:p w14:paraId="1D41E92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（4）中标人必须每天至少安排两人进行巡视，白天巡查设施完好率，夜间巡查亮灯率，形成</w:t>
      </w:r>
      <w:r>
        <w:rPr>
          <w:rFonts w:hint="eastAsia" w:ascii="宋体" w:hAnsi="宋体" w:eastAsia="宋体" w:cs="宋体"/>
          <w:b/>
          <w:color w:val="auto"/>
          <w:sz w:val="24"/>
          <w:highlight w:val="none"/>
        </w:rPr>
        <w:t>每天每个项目巡查制度</w:t>
      </w:r>
      <w:r>
        <w:rPr>
          <w:rFonts w:hint="eastAsia" w:ascii="宋体" w:hAnsi="宋体" w:eastAsia="宋体" w:cs="宋体"/>
          <w:color w:val="auto"/>
          <w:sz w:val="24"/>
          <w:highlight w:val="none"/>
        </w:rPr>
        <w:t>。</w:t>
      </w:r>
    </w:p>
    <w:p w14:paraId="721D51B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3.对中标人的安全管理要求：</w:t>
      </w:r>
    </w:p>
    <w:p w14:paraId="60BA915E">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（1）安全应包括正常营运及维护作业时发生事故的交通组织和安全防护。 </w:t>
      </w:r>
    </w:p>
    <w:p w14:paraId="257D6E0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（2）中标人在现场作业或维护时，应作出预测，采用必要的预防性安全措施。 </w:t>
      </w:r>
    </w:p>
    <w:p w14:paraId="5A680732">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（3）每月应进行一次安全教育学习。 </w:t>
      </w:r>
    </w:p>
    <w:p w14:paraId="72309E75">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（4）维护作业的安全防护应包括维护作业机械、人员的安全防护。 </w:t>
      </w:r>
    </w:p>
    <w:p w14:paraId="5863251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（5）在进行维护作业前，应做好以下工作： </w:t>
      </w:r>
    </w:p>
    <w:p w14:paraId="6B610958">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1）制定周密的作业组织计划，确定合理的工作区。</w:t>
      </w:r>
    </w:p>
    <w:p w14:paraId="4D0ACE48">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2）维护人员必须是接受过专门的安全教育和作业规程训练的，并统一穿有胸标的工作服及安全帽、电工鞋等。 </w:t>
      </w:r>
    </w:p>
    <w:p w14:paraId="36E0D764">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3）检查作业标志等设置是否规范合理。</w:t>
      </w:r>
    </w:p>
    <w:p w14:paraId="5B4D9EF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4）对维护机械、台架应进行全面的安全检查。</w:t>
      </w:r>
    </w:p>
    <w:p w14:paraId="45EE17D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5）占道作业期间有必要的导向警示设施。</w:t>
      </w:r>
    </w:p>
    <w:p w14:paraId="76BB2B1E">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4.对中标人的硬件配置要求：</w:t>
      </w:r>
    </w:p>
    <w:p w14:paraId="08C8D7FB">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需提供巡查车辆配置承诺书，并在投标文件中承诺该车辆在任何情况下均优先为本项目使用。需按要求</w:t>
      </w:r>
      <w:r>
        <w:rPr>
          <w:rFonts w:hint="eastAsia" w:ascii="宋体" w:hAnsi="宋体" w:eastAsia="宋体" w:cs="宋体"/>
          <w:b/>
          <w:color w:val="auto"/>
          <w:sz w:val="24"/>
          <w:highlight w:val="none"/>
        </w:rPr>
        <w:t>安装无锡照明巡更系统设备</w:t>
      </w:r>
      <w:r>
        <w:rPr>
          <w:rFonts w:hint="eastAsia" w:ascii="宋体" w:hAnsi="宋体" w:eastAsia="宋体" w:cs="宋体"/>
          <w:color w:val="auto"/>
          <w:sz w:val="24"/>
          <w:highlight w:val="none"/>
        </w:rPr>
        <w:t>，保持巡更系统正常运行。办理特殊车辆通行证，同时按采购人提供的标识等对车辆进行统一装饰。</w:t>
      </w:r>
    </w:p>
    <w:p w14:paraId="5D8213B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0" w:firstLineChars="0"/>
        <w:jc w:val="left"/>
        <w:textAlignment w:val="auto"/>
        <w:outlineLvl w:val="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5.对中标人保护技术资料的要求：</w:t>
      </w:r>
    </w:p>
    <w:p w14:paraId="32D0E32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（1）中标人不得向任何单位和个人提供采购人所提供的各种资料。</w:t>
      </w:r>
    </w:p>
    <w:p w14:paraId="32B4E79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（2）中标人必须按采购方要求对每个维护项目制作项目基础资料。</w:t>
      </w:r>
    </w:p>
    <w:p w14:paraId="13DD90F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（3）中标人在合同期满后须向采购人交回所有由采购人提供的技术资料。</w:t>
      </w:r>
    </w:p>
    <w:p w14:paraId="67E1623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六、采购标的的验收标准：</w:t>
      </w:r>
    </w:p>
    <w:p w14:paraId="7623958E">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 城市照明设施养护考核分为月度考核及年度考核；</w:t>
      </w:r>
    </w:p>
    <w:p w14:paraId="292640B2">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 中标人须遵守无锡市市政和园林局、无锡市照明和排水管理中心关于养护要求、养护考核办法等的最新要求。</w:t>
      </w:r>
    </w:p>
    <w:p w14:paraId="7A00AF0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leftChars="0" w:right="0" w:rightChars="0" w:firstLine="0" w:firstLineChars="0"/>
        <w:jc w:val="left"/>
        <w:textAlignment w:val="auto"/>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七、采购标的的其他技术、服务等要求：</w:t>
      </w:r>
    </w:p>
    <w:p w14:paraId="6462BD8F">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1.其他事项说明：</w:t>
      </w:r>
    </w:p>
    <w:p w14:paraId="564AE304">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（1）由于不可抗力造成的损失由采购人承担主材费，中标人承担人工及辅材费进行恢复。</w:t>
      </w:r>
    </w:p>
    <w:p w14:paraId="07C5A4E7">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（2）有零星的自然损坏、老化等所发生的费用全由中标人承担。</w:t>
      </w:r>
    </w:p>
    <w:p w14:paraId="69EBD919">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（3）投标人投标报价时应包含夜景照明设施失窃修复的材料、人工等费用。</w:t>
      </w:r>
    </w:p>
    <w:p w14:paraId="7CE1C505">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 投标总报价和子项报价一次报定，除非合同中另有规定，投标人对投标报价中的工作量和服务的报价应包括完成本项工作所需的</w:t>
      </w:r>
      <w:r>
        <w:rPr>
          <w:rFonts w:hint="eastAsia" w:ascii="宋体" w:hAnsi="宋体" w:cs="宋体"/>
          <w:b/>
          <w:bCs/>
          <w:color w:val="auto"/>
          <w:sz w:val="24"/>
          <w:highlight w:val="none"/>
          <w:lang w:val="en-US" w:eastAsia="zh-CN"/>
        </w:rPr>
        <w:t>招标代理费、</w:t>
      </w:r>
      <w:r>
        <w:rPr>
          <w:rFonts w:hint="eastAsia" w:ascii="宋体" w:hAnsi="宋体" w:eastAsia="宋体" w:cs="宋体"/>
          <w:color w:val="auto"/>
          <w:sz w:val="24"/>
          <w:highlight w:val="none"/>
        </w:rPr>
        <w:t>人工、材料、机械、管理、维护、保险、利润、税金、专业统一服装、胸卡、通讯器材、办公设备、巡检器材、政策性文件规定及合同包含的所有风险、责任等各项应有费用。投标总报价和子项报价为最终报价，除非因特殊原因并经双方协商同意，投标人不得再要求追加任何费用。同时，除非合同条款中另有规定，否则，投标人所报价格在合同实施期间不因市场变化因素而变动。</w:t>
      </w:r>
    </w:p>
    <w:p w14:paraId="2C3082C1">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3.投标报价的</w:t>
      </w:r>
      <w:r>
        <w:rPr>
          <w:rFonts w:hint="eastAsia" w:ascii="宋体" w:hAnsi="宋体" w:cs="宋体"/>
          <w:color w:val="auto"/>
          <w:sz w:val="24"/>
          <w:highlight w:val="none"/>
          <w:lang w:eastAsia="zh-CN"/>
        </w:rPr>
        <w:t>清单</w:t>
      </w:r>
      <w:r>
        <w:rPr>
          <w:rFonts w:hint="eastAsia" w:ascii="宋体" w:hAnsi="宋体" w:eastAsia="宋体" w:cs="宋体"/>
          <w:color w:val="auto"/>
          <w:sz w:val="24"/>
          <w:highlight w:val="none"/>
        </w:rPr>
        <w:t>仅作为各投标人统一报价的基本设施数据，投标人中标后，由采购人组织现场设施的清点和交接。</w:t>
      </w:r>
      <w:r>
        <w:rPr>
          <w:rFonts w:hint="eastAsia" w:ascii="宋体" w:hAnsi="宋体" w:eastAsia="宋体" w:cs="宋体"/>
          <w:b/>
          <w:bCs/>
          <w:color w:val="auto"/>
          <w:sz w:val="24"/>
          <w:highlight w:val="none"/>
        </w:rPr>
        <w:t>维护考核结算以现场实际项目的设施数量为准。中标的维护单价不变。</w:t>
      </w:r>
    </w:p>
    <w:p w14:paraId="6A6AA2D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维护项目所需材料，必须与原有设施品牌、性能保持一致。如无法获得原有品牌、性能元器件，另需购买其他品牌的材料，其性能不能低于原有材料性能，新材料应用需得到采购人的认可。</w:t>
      </w:r>
    </w:p>
    <w:p w14:paraId="6AB6C66A">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5.中标人全年365天24小时不间断提供服务，包括处理各项突发事件及紧急任务。</w:t>
      </w:r>
    </w:p>
    <w:p w14:paraId="2CE0F09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6.合同履行期间因中标人责任所造成的经济损失由中标人按实际金额赔偿。</w:t>
      </w:r>
    </w:p>
    <w:p w14:paraId="03A615CC">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7.中标人工作人员在岗履行职责期间（包括上下班途中），发生自身的人身伤害、伤亡，均由中标人负责处理，采购人不承担任何责任。</w:t>
      </w:r>
    </w:p>
    <w:p w14:paraId="18DA2546">
      <w:pPr>
        <w:keepNext w:val="0"/>
        <w:keepLines w:val="0"/>
        <w:pageBreakBefore w:val="0"/>
        <w:widowControl w:val="0"/>
        <w:tabs>
          <w:tab w:val="left" w:pos="840"/>
        </w:tabs>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8.中标人违反国家相关法规，与其工作人员发生纠纷，均由中标人负责调解与处理，采购人不承担责任。</w:t>
      </w:r>
    </w:p>
    <w:p w14:paraId="7586DDDB">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9.投标人应对所投项目的全部内容进行报价，只投其中部分内容者，其标书将被拒绝。</w:t>
      </w:r>
    </w:p>
    <w:p w14:paraId="4F675BE3">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10.中标人在合同期间，维护工作质量不达标、维护效率低下、对服务缺陷不予更正等且造成一定社会影响的，采购人有权重新组织维护单位进行故障维护，维护费由中标人费用中支出，类似情况发生2次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以上，采购人有权单方面解除合同。</w:t>
      </w:r>
    </w:p>
    <w:p w14:paraId="20E3BCDC">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11.因中标人管理不善，造成工作范围内的设施、设备等损坏的，采购人有权要求中标人负责赔偿损失，情节严重的可终止合同甚至诉诸法律。</w:t>
      </w:r>
    </w:p>
    <w:p w14:paraId="5295F72F">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12.凡涉及招标文件的补充说明和修改，均以相关</w:t>
      </w:r>
      <w:r>
        <w:rPr>
          <w:rFonts w:hint="eastAsia" w:ascii="宋体" w:hAnsi="宋体" w:eastAsia="宋体" w:cs="宋体"/>
          <w:color w:val="auto"/>
          <w:sz w:val="24"/>
          <w:highlight w:val="none"/>
          <w:lang w:eastAsia="zh-CN"/>
        </w:rPr>
        <w:t>媒体</w:t>
      </w:r>
      <w:r>
        <w:rPr>
          <w:rFonts w:hint="eastAsia" w:ascii="宋体" w:hAnsi="宋体" w:eastAsia="宋体" w:cs="宋体"/>
          <w:color w:val="auto"/>
          <w:sz w:val="24"/>
          <w:highlight w:val="none"/>
        </w:rPr>
        <w:t>公告通知为准。</w:t>
      </w:r>
    </w:p>
    <w:p w14:paraId="3D50D7D6">
      <w:pPr>
        <w:pStyle w:val="18"/>
        <w:snapToGrid/>
        <w:spacing w:beforeAutospacing="0" w:afterAutospacing="0" w:line="360" w:lineRule="auto"/>
        <w:ind w:left="0" w:leftChars="0" w:right="0" w:rightChars="0" w:firstLine="480" w:firstLineChars="200"/>
        <w:jc w:val="left"/>
        <w:rPr>
          <w:rFonts w:hint="eastAsia" w:ascii="宋体" w:hAnsi="宋体" w:eastAsia="宋体" w:cs="宋体"/>
          <w:color w:val="auto"/>
          <w:kern w:val="2"/>
          <w:sz w:val="24"/>
          <w:szCs w:val="24"/>
          <w:highlight w:val="none"/>
          <w:lang w:val="en-US" w:eastAsia="zh-CN"/>
        </w:rPr>
      </w:pPr>
    </w:p>
    <w:p w14:paraId="5373D0A0">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0CB1726F">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664DF849">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1AC82029">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rPr>
      </w:pPr>
    </w:p>
    <w:p w14:paraId="74CC5294">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u w:val="none" w:color="000000"/>
          <w:lang w:val="en-US" w:eastAsia="zh-CN"/>
        </w:rPr>
        <w:sectPr>
          <w:type w:val="continuous"/>
          <w:pgSz w:w="11906" w:h="16838"/>
          <w:pgMar w:top="1440" w:right="1080" w:bottom="1440" w:left="1080" w:header="851" w:footer="907" w:gutter="0"/>
          <w:pgNumType w:fmt="decimal"/>
          <w:cols w:space="720" w:num="1"/>
          <w:titlePg/>
          <w:docGrid w:type="lines" w:linePitch="290" w:charSpace="0"/>
        </w:sectPr>
      </w:pPr>
    </w:p>
    <w:p w14:paraId="0CD94C18">
      <w:pPr>
        <w:pStyle w:val="56"/>
        <w:rPr>
          <w:rFonts w:hint="eastAsia"/>
          <w:highlight w:val="none"/>
          <w:lang w:val="en-US" w:eastAsia="zh-CN"/>
        </w:rPr>
      </w:pPr>
    </w:p>
    <w:p w14:paraId="024203DC">
      <w:pPr>
        <w:pageBreakBefore w:val="0"/>
        <w:tabs>
          <w:tab w:val="left" w:pos="525"/>
          <w:tab w:val="left" w:pos="630"/>
          <w:tab w:val="left" w:pos="735"/>
          <w:tab w:val="left" w:pos="945"/>
        </w:tabs>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第二部分  政府采购政策（包括但不限于下列具体政策要求）</w:t>
      </w:r>
    </w:p>
    <w:p w14:paraId="51F2BA8B">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w:t>
      </w:r>
      <w:r>
        <w:rPr>
          <w:rFonts w:hint="eastAsia" w:ascii="宋体" w:hAnsi="宋体" w:eastAsia="宋体" w:cs="宋体"/>
          <w:bCs/>
          <w:color w:val="auto"/>
          <w:sz w:val="24"/>
          <w:szCs w:val="24"/>
          <w:highlight w:val="none"/>
          <w:lang w:eastAsia="zh-CN"/>
        </w:rPr>
        <w:t>涉及</w:t>
      </w:r>
      <w:r>
        <w:rPr>
          <w:rFonts w:hint="eastAsia" w:ascii="宋体" w:hAnsi="宋体" w:eastAsia="宋体" w:cs="宋体"/>
          <w:bCs/>
          <w:color w:val="auto"/>
          <w:sz w:val="24"/>
          <w:szCs w:val="24"/>
          <w:highlight w:val="none"/>
        </w:rPr>
        <w:t>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bCs/>
          <w:color w:val="auto"/>
          <w:sz w:val="24"/>
          <w:szCs w:val="24"/>
          <w:highlight w:val="none"/>
          <w:lang w:eastAsia="zh-CN"/>
        </w:rPr>
        <w:t>件中</w:t>
      </w:r>
      <w:r>
        <w:rPr>
          <w:rFonts w:hint="eastAsia" w:ascii="宋体" w:hAnsi="宋体" w:eastAsia="宋体" w:cs="宋体"/>
          <w:bCs/>
          <w:color w:val="auto"/>
          <w:sz w:val="24"/>
          <w:szCs w:val="24"/>
          <w:highlight w:val="none"/>
        </w:rPr>
        <w:t>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供的</w:t>
      </w:r>
      <w:r>
        <w:rPr>
          <w:rFonts w:hint="eastAsia" w:ascii="宋体" w:hAnsi="宋体" w:eastAsia="宋体" w:cs="宋体"/>
          <w:bCs/>
          <w:color w:val="auto"/>
          <w:sz w:val="24"/>
          <w:szCs w:val="24"/>
          <w:highlight w:val="none"/>
        </w:rPr>
        <w:t>产品及相关快递服务的具体包装要求和履约验收相关条款，中标（成交）供应商须严格执行，必要时应按照要求在履约验收环节出具检测报告。</w:t>
      </w:r>
    </w:p>
    <w:p w14:paraId="012DEB62">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194D4BA">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1156616F">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w:t>
      </w:r>
      <w:r>
        <w:rPr>
          <w:rFonts w:hint="eastAsia" w:ascii="宋体" w:hAnsi="宋体" w:eastAsia="宋体" w:cs="宋体"/>
          <w:bCs/>
          <w:color w:val="auto"/>
          <w:sz w:val="24"/>
          <w:szCs w:val="24"/>
          <w:highlight w:val="none"/>
          <w:lang w:eastAsia="zh-CN"/>
        </w:rPr>
        <w:t>国家市场监督管理总局</w:t>
      </w:r>
      <w:r>
        <w:rPr>
          <w:rFonts w:hint="eastAsia" w:ascii="宋体" w:hAnsi="宋体" w:eastAsia="宋体" w:cs="宋体"/>
          <w:bCs/>
          <w:color w:val="auto"/>
          <w:sz w:val="24"/>
          <w:szCs w:val="24"/>
          <w:highlight w:val="none"/>
        </w:rPr>
        <w:t>发布的《参与实施政府采购节能产品认证机构名录》和《参与实施政府采购环境标志产品认证机构名录》。</w:t>
      </w:r>
    </w:p>
    <w:p w14:paraId="468322C0">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本项目中如有涉及采购数据中心相关设备、运维服务的，应当</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2894683">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有关中小企业政策，如落实政府采购政策需满足的资格要求以及落实政府采购政策的价格调整的相关内容可详见本文件其他章节。</w:t>
      </w:r>
    </w:p>
    <w:p w14:paraId="1181DC13">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可采用合同融资形式，中标人可凭政府采购合同办理融资贷款，详见政府采购网“政采贷”专栏。</w:t>
      </w:r>
    </w:p>
    <w:p w14:paraId="47FAD22C">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履约担保，是指由专业担保机构为中标、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支付履约保证金的义务向采购人提供的保函担保。专业担保机构根据中标、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以保函形式缴纳履约保证金；供应商未按政府采购合同履行约定义务而应实际支付保证金的，由专业担保机构按照担保函约定履行担保责任。</w:t>
      </w:r>
    </w:p>
    <w:p w14:paraId="6695F274">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可以采用电子履约保函形式，具体操作可登录江</w:t>
      </w:r>
      <w:r>
        <w:rPr>
          <w:rFonts w:hint="eastAsia" w:ascii="宋体" w:hAnsi="宋体" w:eastAsia="宋体" w:cs="宋体"/>
          <w:bCs/>
          <w:color w:val="auto"/>
          <w:sz w:val="24"/>
          <w:szCs w:val="24"/>
          <w:highlight w:val="none"/>
          <w:lang w:eastAsia="zh-CN"/>
        </w:rPr>
        <w:t>苏省</w:t>
      </w:r>
      <w:r>
        <w:rPr>
          <w:rFonts w:hint="eastAsia" w:ascii="宋体" w:hAnsi="宋体" w:eastAsia="宋体" w:cs="宋体"/>
          <w:bCs/>
          <w:color w:val="auto"/>
          <w:sz w:val="24"/>
          <w:szCs w:val="24"/>
          <w:highlight w:val="none"/>
        </w:rPr>
        <w:t>政府采购网的保险保函模块进行办理，也可通过无锡市政府采购网、“苏采云”系统链接访问（首次使用需注册）。</w:t>
      </w:r>
    </w:p>
    <w:p w14:paraId="5CF3AFF9">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本项目中如有涉及数据库、操作系统、通用服务器、工作站、一体式计算机、便携式计算机、台式计算机等七种软硬件的，投标人不得违反财政部、工信部共同发</w:t>
      </w:r>
      <w:r>
        <w:rPr>
          <w:rFonts w:hint="eastAsia" w:ascii="宋体" w:hAnsi="宋体" w:eastAsia="宋体" w:cs="宋体"/>
          <w:bCs/>
          <w:color w:val="auto"/>
          <w:sz w:val="24"/>
          <w:szCs w:val="24"/>
          <w:highlight w:val="none"/>
          <w:lang w:eastAsia="zh-CN"/>
        </w:rPr>
        <w:t>布的</w:t>
      </w:r>
      <w:r>
        <w:rPr>
          <w:rFonts w:hint="eastAsia" w:ascii="宋体" w:hAnsi="宋体" w:eastAsia="宋体" w:cs="宋体"/>
          <w:bCs/>
          <w:color w:val="auto"/>
          <w:sz w:val="24"/>
          <w:szCs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9AE9723">
      <w:pPr>
        <w:keepNext w:val="0"/>
        <w:keepLines w:val="0"/>
        <w:pageBreakBefore w:val="0"/>
        <w:widowControl w:val="0"/>
        <w:numPr>
          <w:ilvl w:val="1"/>
          <w:numId w:val="6"/>
        </w:numPr>
        <w:tabs>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签订政府采购合同。采购人因不可抗力原因迟延签订合同的，应当自不可抗力事由消除之日起7日内完成合同签订事宜。</w:t>
      </w:r>
    </w:p>
    <w:p w14:paraId="7A1C1D4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25"/>
          <w:tab w:val="left" w:pos="630"/>
          <w:tab w:val="left" w:pos="736"/>
          <w:tab w:val="left" w:pos="946"/>
          <w:tab w:val="left" w:pos="1081"/>
        </w:tabs>
        <w:snapToGrid/>
        <w:spacing w:before="0" w:beforeAutospacing="0" w:after="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7C73BC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25"/>
          <w:tab w:val="left" w:pos="630"/>
          <w:tab w:val="left" w:pos="736"/>
          <w:tab w:val="left" w:pos="946"/>
          <w:tab w:val="left" w:pos="1081"/>
        </w:tabs>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采购人原则上应当自收到发票后10个工作日内将资金支付到合同约定的供应商账户。</w:t>
      </w:r>
    </w:p>
    <w:p w14:paraId="517F3A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25"/>
          <w:tab w:val="left" w:pos="630"/>
          <w:tab w:val="left" w:pos="736"/>
          <w:tab w:val="left" w:pos="946"/>
          <w:tab w:val="left" w:pos="1081"/>
        </w:tabs>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9.根据《国务院办公厅关于在政府采购中实施本国产品标准及相关政策的通知》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国办发〔2025〕34号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和《关于贯彻落实〈国务院办公厅关于在政府采购中实施本国产品标准及相关政策的通知〉的意见》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财库〔2025〕30号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D6D26D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p>
    <w:p w14:paraId="11D4C664">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p>
    <w:p w14:paraId="23FDAA7C">
      <w:pPr>
        <w:pageBreakBefore w:val="0"/>
        <w:tabs>
          <w:tab w:val="left" w:pos="1440"/>
        </w:tabs>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bookmarkStart w:id="217" w:name="_Toc14501"/>
      <w:bookmarkStart w:id="218" w:name="_Toc120614281"/>
      <w:r>
        <w:rPr>
          <w:rFonts w:hint="eastAsia" w:ascii="宋体" w:hAnsi="宋体" w:eastAsia="宋体" w:cs="宋体"/>
          <w:b/>
          <w:bCs/>
          <w:kern w:val="0"/>
          <w:sz w:val="24"/>
          <w:szCs w:val="24"/>
          <w:highlight w:val="none"/>
          <w:lang w:val="en-US" w:eastAsia="zh-CN" w:bidi="ar-SA"/>
        </w:rPr>
        <w:t>第五章  评标方法与评标标准</w:t>
      </w:r>
      <w:bookmarkEnd w:id="217"/>
    </w:p>
    <w:p w14:paraId="58E05E02">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第一部分  评标方法</w:t>
      </w:r>
    </w:p>
    <w:p w14:paraId="5E040670">
      <w:pPr>
        <w:pStyle w:val="98"/>
        <w:pageBreakBefore w:val="0"/>
        <w:kinsoku/>
        <w:bidi w:val="0"/>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投标人通过初审的，方可进入比较与评价程序。</w:t>
      </w:r>
    </w:p>
    <w:p w14:paraId="0F565A88">
      <w:pPr>
        <w:pStyle w:val="98"/>
        <w:pageBreakBefore w:val="0"/>
        <w:kinsoku/>
        <w:bidi w:val="0"/>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比较与评价采用综合评分法。</w:t>
      </w:r>
    </w:p>
    <w:p w14:paraId="6F226C20">
      <w:pPr>
        <w:pStyle w:val="98"/>
        <w:pageBreakBefore w:val="0"/>
        <w:kinsoku/>
        <w:bidi w:val="0"/>
        <w:snapToGrid/>
        <w:spacing w:before="0" w:beforeAutospacing="0" w:after="0" w:afterAutospacing="0" w:line="360" w:lineRule="auto"/>
        <w:ind w:left="0" w:leftChars="0" w:right="0" w:rightChars="0" w:firstLine="480" w:firstLineChars="200"/>
        <w:jc w:val="left"/>
        <w:rPr>
          <w:rFonts w:hint="eastAsia" w:ascii="宋体" w:hAnsi="宋体" w:eastAsia="宋体" w:cs="宋体"/>
          <w:b/>
          <w:color w:val="auto"/>
          <w:sz w:val="24"/>
          <w:szCs w:val="30"/>
          <w:highlight w:val="none"/>
        </w:rPr>
      </w:pPr>
      <w:r>
        <w:rPr>
          <w:rFonts w:hint="eastAsia" w:ascii="宋体" w:hAnsi="宋体" w:eastAsia="宋体" w:cs="宋体"/>
          <w:bCs/>
          <w:color w:val="auto"/>
          <w:sz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CDC3E25">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第二部分  评标标准</w:t>
      </w:r>
    </w:p>
    <w:p w14:paraId="72C7A1F7">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一、落实政府采购政策的价格调整</w:t>
      </w:r>
    </w:p>
    <w:p w14:paraId="7CA8F4FE">
      <w:pPr>
        <w:pageBreakBefore w:val="0"/>
        <w:kinsoku/>
        <w:bidi w:val="0"/>
        <w:adjustRightInd w:val="0"/>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小微型企业价格扣除：专门面向中小/小微企业的项目不做价格扣除。</w:t>
      </w:r>
    </w:p>
    <w:p w14:paraId="786C11D8">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0119907C">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eastAsia="zh-CN"/>
        </w:rPr>
        <w:t>〔2014〕68号</w:t>
      </w:r>
      <w:r>
        <w:rPr>
          <w:rFonts w:hint="eastAsia" w:ascii="宋体" w:hAnsi="宋体" w:eastAsia="宋体" w:cs="宋体"/>
          <w:bCs/>
          <w:color w:val="auto"/>
          <w:sz w:val="24"/>
          <w:szCs w:val="24"/>
          <w:highlight w:val="none"/>
        </w:rPr>
        <w:t>）的规定提供由省级以上监狱管理局、戒毒管理局</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含新疆生产建设兵团</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出具的属于监狱企业的证明文件扫描件。</w:t>
      </w:r>
    </w:p>
    <w:p w14:paraId="1F05A5E3">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C8395F1">
      <w:pPr>
        <w:pageBreakBefore w:val="0"/>
        <w:kinsoku/>
        <w:bidi w:val="0"/>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558BBB01">
      <w:pPr>
        <w:keepNext w:val="0"/>
        <w:keepLines w:val="0"/>
        <w:pageBreakBefore w:val="0"/>
        <w:tabs>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二、评分标准</w:t>
      </w:r>
    </w:p>
    <w:p w14:paraId="5DCD43D2">
      <w:pPr>
        <w:keepNext w:val="0"/>
        <w:keepLines w:val="0"/>
        <w:pageBreakBefore w:val="0"/>
        <w:tabs>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color w:val="auto"/>
          <w:kern w:val="2"/>
          <w:sz w:val="24"/>
          <w:highlight w:val="none"/>
          <w:shd w:val="clear" w:color="FFFFFF" w:fill="D9D9D9"/>
        </w:rPr>
      </w:pPr>
      <w:r>
        <w:rPr>
          <w:rFonts w:hint="eastAsia" w:ascii="宋体" w:hAnsi="宋体" w:eastAsia="宋体" w:cs="宋体"/>
          <w:b/>
          <w:color w:val="auto"/>
          <w:sz w:val="24"/>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5AFD1E79">
      <w:pPr>
        <w:pStyle w:val="98"/>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
          <w:color w:val="auto"/>
          <w:sz w:val="24"/>
          <w:szCs w:val="28"/>
          <w:highlight w:val="none"/>
          <w:lang w:val="en-US" w:eastAsia="zh-CN"/>
        </w:rPr>
      </w:pPr>
      <w:r>
        <w:rPr>
          <w:rFonts w:hint="eastAsia" w:ascii="宋体" w:hAnsi="宋体" w:eastAsia="宋体" w:cs="宋体"/>
          <w:b/>
          <w:color w:val="auto"/>
          <w:sz w:val="24"/>
          <w:szCs w:val="28"/>
          <w:highlight w:val="none"/>
        </w:rPr>
        <w:t>（一）</w:t>
      </w:r>
      <w:r>
        <w:rPr>
          <w:rFonts w:hint="eastAsia" w:ascii="宋体" w:hAnsi="宋体" w:eastAsia="宋体" w:cs="宋体"/>
          <w:b/>
          <w:color w:val="auto"/>
          <w:sz w:val="24"/>
          <w:szCs w:val="28"/>
          <w:highlight w:val="none"/>
          <w:lang w:val="en-US" w:eastAsia="zh-CN"/>
        </w:rPr>
        <w:t>报价部分（</w:t>
      </w:r>
      <w:r>
        <w:rPr>
          <w:rFonts w:hint="eastAsia" w:ascii="宋体" w:hAnsi="宋体" w:cs="宋体"/>
          <w:b/>
          <w:color w:val="auto"/>
          <w:sz w:val="24"/>
          <w:szCs w:val="28"/>
          <w:highlight w:val="none"/>
          <w:lang w:val="en-US" w:eastAsia="zh-CN"/>
        </w:rPr>
        <w:t>18</w:t>
      </w:r>
      <w:r>
        <w:rPr>
          <w:rFonts w:hint="eastAsia" w:ascii="宋体" w:hAnsi="宋体" w:eastAsia="宋体" w:cs="宋体"/>
          <w:b/>
          <w:color w:val="auto"/>
          <w:sz w:val="24"/>
          <w:szCs w:val="28"/>
          <w:highlight w:val="none"/>
          <w:lang w:val="en-US" w:eastAsia="zh-CN"/>
        </w:rPr>
        <w:t>分）</w:t>
      </w:r>
      <w:r>
        <w:rPr>
          <w:rFonts w:hint="eastAsia" w:ascii="宋体" w:hAnsi="宋体" w:eastAsia="宋体" w:cs="宋体"/>
          <w:b/>
          <w:color w:val="auto"/>
          <w:sz w:val="24"/>
          <w:szCs w:val="28"/>
          <w:highlight w:val="none"/>
        </w:rPr>
        <w:t>：</w:t>
      </w:r>
    </w:p>
    <w:p w14:paraId="7353689A">
      <w:pPr>
        <w:keepNext w:val="0"/>
        <w:keepLines w:val="0"/>
        <w:pageBreakBefore w:val="0"/>
        <w:numPr>
          <w:ilvl w:val="4"/>
          <w:numId w:val="0"/>
        </w:numPr>
        <w:tabs>
          <w:tab w:val="left" w:pos="525"/>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w:t>
      </w:r>
      <w:r>
        <w:rPr>
          <w:rFonts w:hint="eastAsia" w:ascii="宋体" w:hAnsi="宋体" w:eastAsia="宋体" w:cs="宋体"/>
          <w:b/>
          <w:bCs/>
          <w:color w:val="auto"/>
          <w:sz w:val="24"/>
          <w:szCs w:val="24"/>
          <w:highlight w:val="none"/>
        </w:rPr>
        <w:t>价格（</w:t>
      </w:r>
      <w:r>
        <w:rPr>
          <w:rFonts w:hint="eastAsia" w:ascii="宋体" w:hAnsi="宋体" w:cs="宋体"/>
          <w:b/>
          <w:bCs/>
          <w:color w:val="auto"/>
          <w:sz w:val="24"/>
          <w:szCs w:val="24"/>
          <w:highlight w:val="none"/>
          <w:lang w:val="en-US" w:eastAsia="zh-CN"/>
        </w:rPr>
        <w:t>18</w:t>
      </w:r>
      <w:r>
        <w:rPr>
          <w:rFonts w:hint="eastAsia" w:ascii="宋体" w:hAnsi="宋体" w:eastAsia="宋体" w:cs="宋体"/>
          <w:b/>
          <w:bCs/>
          <w:color w:val="auto"/>
          <w:sz w:val="24"/>
          <w:szCs w:val="24"/>
          <w:highlight w:val="none"/>
        </w:rPr>
        <w:t>分）：</w:t>
      </w:r>
    </w:p>
    <w:p w14:paraId="1B441CBF">
      <w:pPr>
        <w:keepNext w:val="0"/>
        <w:keepLines w:val="0"/>
        <w:pageBreakBefore w:val="0"/>
        <w:widowControl w:val="0"/>
        <w:tabs>
          <w:tab w:val="left" w:pos="945"/>
          <w:tab w:val="left" w:pos="1155"/>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采用低价优先法计算，即满足招标文件要求且投标价格最低的投标报价为评标基准价，其价格分为满分。其他投标人的价格分统一按照下列公式计算：投标报价得分=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×价格权值×100。关于价格扣除详见本章第二部分“一、落实政府采购政策的价格调整”。</w:t>
      </w:r>
    </w:p>
    <w:p w14:paraId="3FB1FCC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评审过程中出现下列情形之一的，评审委员会应当启动异常低价投标（响应）审查程序：</w:t>
      </w:r>
    </w:p>
    <w:p w14:paraId="7569FD4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1.评标委员会认为</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的投标总报价或者分项报价明显低于其他通过符合性审查</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的报价的，有可能影响货物质量或者不能诚信履约的，评标委员会将要求其在评标现场合理的时间内（1小时内）提供书面说明，必要时提交相关证明材料；</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不能证明其报价合理性的，评标委员会将其作为无效投标处理；</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的投标总报价或者分项报价为0元的，评标委员会应当将其作为无效投标处理。</w:t>
      </w:r>
    </w:p>
    <w:p w14:paraId="60C5D7B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审过程中出现下列情形之一的，评审委员会应当启动异常低价投标（响应）审查程序：（1）投标（响应）报价低于全部通过符合性审查供应商投标（响应）报价平均值50%的，即投标（响应）报价〈全部通过符合性审查供应商投标（响应）报价平均值×50%；（2）投标（响应）报价低于通过符合性审查的次低报价供应商投标（响应）报价50%的，即投标（响应）报价〈通过符合性审查的次低报价供应商投标（响应）报价×50%；（3）投标（响应）报价低于采购项目最高限价45%的，即投标（响应）报价〈采购项目最高限价×45%；（4）评审委员会基于专业判断，认为供应商报价过低，有可能影响产品质量或者不能诚信履约的其他情形。</w:t>
      </w:r>
    </w:p>
    <w:p w14:paraId="6F25BAE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67179A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napToGrid/>
        <w:spacing w:before="0" w:beforeAutospacing="0" w:after="0" w:afterAutospacing="0" w:line="360" w:lineRule="auto"/>
        <w:ind w:left="0" w:leftChars="0" w:right="0" w:rightChars="0"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特别说明：以上报价符合性审查需</w:t>
      </w:r>
      <w:r>
        <w:rPr>
          <w:rFonts w:hint="eastAsia" w:cs="宋体"/>
          <w:b/>
          <w:bCs/>
          <w:color w:val="auto"/>
          <w:sz w:val="24"/>
          <w:szCs w:val="24"/>
          <w:highlight w:val="none"/>
          <w:lang w:eastAsia="zh-CN"/>
        </w:rPr>
        <w:t>投标人</w:t>
      </w:r>
      <w:r>
        <w:rPr>
          <w:rFonts w:hint="eastAsia" w:ascii="宋体" w:hAnsi="宋体" w:eastAsia="宋体" w:cs="宋体"/>
          <w:b/>
          <w:bCs/>
          <w:color w:val="auto"/>
          <w:sz w:val="24"/>
          <w:szCs w:val="24"/>
          <w:highlight w:val="none"/>
        </w:rPr>
        <w:t>上传：1.开标一览表；</w:t>
      </w:r>
      <w:r>
        <w:rPr>
          <w:rFonts w:hint="eastAsia"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.明细报价表；</w:t>
      </w:r>
      <w:r>
        <w:rPr>
          <w:rFonts w:hint="eastAsia"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异常低价相关证明材料（如有，提供项目具体成本测算等与报价合理性相关的书面说明及相关证明材料，对投标（响应）价格作出解释，否则引起的一切后果包括废标，由投标人自行承担）。由评标委员会在投标报价评审阶段进行审查，以确定是否满足符合性审查的要求。</w:t>
      </w:r>
    </w:p>
    <w:p w14:paraId="47454D4A">
      <w:pPr>
        <w:pStyle w:val="98"/>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lang w:val="en-US" w:eastAsia="zh-CN"/>
        </w:rPr>
        <w:t>（二）商务部分（18分）</w:t>
      </w:r>
      <w:r>
        <w:rPr>
          <w:rFonts w:hint="eastAsia" w:ascii="宋体" w:hAnsi="宋体" w:eastAsia="宋体" w:cs="宋体"/>
          <w:b/>
          <w:color w:val="auto"/>
          <w:sz w:val="24"/>
          <w:szCs w:val="28"/>
          <w:highlight w:val="none"/>
        </w:rPr>
        <w:t>：</w:t>
      </w:r>
    </w:p>
    <w:p w14:paraId="73591B10">
      <w:pPr>
        <w:keepNext w:val="0"/>
        <w:keepLines w:val="0"/>
        <w:pageBreakBefore w:val="0"/>
        <w:numPr>
          <w:ilvl w:val="4"/>
          <w:numId w:val="0"/>
        </w:numPr>
        <w:tabs>
          <w:tab w:val="left" w:pos="525"/>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color w:val="auto"/>
          <w:kern w:val="2"/>
          <w:sz w:val="24"/>
          <w:szCs w:val="24"/>
          <w:highlight w:val="none"/>
          <w:lang w:val="en-US" w:eastAsia="zh-CN" w:bidi="ar-SA"/>
        </w:rPr>
        <w:t>2.</w:t>
      </w:r>
      <w:r>
        <w:rPr>
          <w:rFonts w:hint="eastAsia" w:ascii="宋体" w:hAnsi="宋体" w:eastAsia="宋体" w:cs="宋体"/>
          <w:b/>
          <w:bCs w:val="0"/>
          <w:color w:val="auto"/>
          <w:sz w:val="24"/>
          <w:szCs w:val="24"/>
          <w:highlight w:val="none"/>
          <w:lang w:val="en-US" w:eastAsia="zh-CN"/>
        </w:rPr>
        <w:t>投标人</w:t>
      </w:r>
      <w:r>
        <w:rPr>
          <w:rFonts w:hint="eastAsia" w:ascii="宋体" w:hAnsi="宋体" w:eastAsia="宋体" w:cs="宋体"/>
          <w:b/>
          <w:bCs w:val="0"/>
          <w:color w:val="auto"/>
          <w:sz w:val="24"/>
          <w:szCs w:val="24"/>
          <w:highlight w:val="none"/>
        </w:rPr>
        <w:t>评价（</w:t>
      </w: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rPr>
        <w:t>分）</w:t>
      </w:r>
    </w:p>
    <w:tbl>
      <w:tblPr>
        <w:tblStyle w:val="47"/>
        <w:tblW w:w="10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791"/>
        <w:gridCol w:w="781"/>
        <w:gridCol w:w="4728"/>
        <w:gridCol w:w="3587"/>
      </w:tblGrid>
      <w:tr w14:paraId="7866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63" w:type="dxa"/>
            <w:noWrap w:val="0"/>
            <w:vAlign w:val="center"/>
          </w:tcPr>
          <w:p w14:paraId="2BC9ABE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791" w:type="dxa"/>
            <w:noWrap w:val="0"/>
            <w:vAlign w:val="center"/>
          </w:tcPr>
          <w:p w14:paraId="729DD505">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781" w:type="dxa"/>
            <w:noWrap w:val="0"/>
            <w:vAlign w:val="center"/>
          </w:tcPr>
          <w:p w14:paraId="7269FD3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4728" w:type="dxa"/>
            <w:noWrap w:val="0"/>
            <w:vAlign w:val="center"/>
          </w:tcPr>
          <w:p w14:paraId="2684162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c>
          <w:tcPr>
            <w:tcW w:w="3587" w:type="dxa"/>
            <w:noWrap w:val="0"/>
            <w:vAlign w:val="center"/>
          </w:tcPr>
          <w:p w14:paraId="751325B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5F27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63" w:type="dxa"/>
            <w:noWrap w:val="0"/>
            <w:vAlign w:val="center"/>
          </w:tcPr>
          <w:p w14:paraId="177D0243">
            <w:pPr>
              <w:pageBreakBefore w:val="0"/>
              <w:widowControl/>
              <w:kinsoku/>
              <w:bidi w:val="0"/>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791" w:type="dxa"/>
            <w:noWrap w:val="0"/>
            <w:vAlign w:val="center"/>
          </w:tcPr>
          <w:p w14:paraId="391291E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企业业绩</w:t>
            </w:r>
          </w:p>
        </w:tc>
        <w:tc>
          <w:tcPr>
            <w:tcW w:w="781" w:type="dxa"/>
            <w:noWrap w:val="0"/>
            <w:vAlign w:val="center"/>
          </w:tcPr>
          <w:p w14:paraId="5D00D3A7">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728" w:type="dxa"/>
            <w:noWrap w:val="0"/>
            <w:vAlign w:val="center"/>
          </w:tcPr>
          <w:p w14:paraId="7DC1E9C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自202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年1月1日以来承担过</w:t>
            </w:r>
            <w:r>
              <w:rPr>
                <w:rFonts w:hint="eastAsia" w:ascii="宋体" w:hAnsi="宋体" w:eastAsia="宋体" w:cs="宋体"/>
                <w:color w:val="auto"/>
                <w:sz w:val="24"/>
                <w:szCs w:val="24"/>
                <w:highlight w:val="none"/>
              </w:rPr>
              <w:t>同类业</w:t>
            </w:r>
            <w:r>
              <w:rPr>
                <w:rFonts w:hint="eastAsia" w:ascii="宋体" w:hAnsi="宋体" w:eastAsia="宋体" w:cs="宋体"/>
                <w:bCs/>
                <w:color w:val="auto"/>
                <w:sz w:val="24"/>
                <w:szCs w:val="24"/>
                <w:highlight w:val="none"/>
              </w:rPr>
              <w:t>绩的</w:t>
            </w:r>
            <w:r>
              <w:rPr>
                <w:rFonts w:hint="eastAsia" w:ascii="宋体" w:hAnsi="宋体" w:cs="宋体"/>
                <w:bCs/>
                <w:color w:val="auto"/>
                <w:sz w:val="24"/>
                <w:szCs w:val="24"/>
                <w:highlight w:val="none"/>
                <w:lang w:eastAsia="zh-CN"/>
              </w:rPr>
              <w:t>（同类业绩是指夜景、亮化照明设施养护）</w:t>
            </w:r>
            <w:r>
              <w:rPr>
                <w:rFonts w:hint="eastAsia" w:ascii="宋体" w:hAnsi="宋体" w:eastAsia="宋体" w:cs="宋体"/>
                <w:bCs/>
                <w:color w:val="auto"/>
                <w:sz w:val="24"/>
                <w:szCs w:val="24"/>
                <w:highlight w:val="none"/>
              </w:rPr>
              <w:t>，有一个得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分，本项最高得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tc>
        <w:tc>
          <w:tcPr>
            <w:tcW w:w="3587" w:type="dxa"/>
            <w:noWrap w:val="0"/>
            <w:vAlign w:val="center"/>
          </w:tcPr>
          <w:p w14:paraId="02B3AFD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投标文件中附中标通知书（或项目委托书）、作业合同</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竣工验收证明文件</w:t>
            </w:r>
            <w:r>
              <w:rPr>
                <w:rFonts w:hint="eastAsia" w:ascii="宋体" w:hAnsi="宋体" w:cs="宋体"/>
                <w:bCs/>
                <w:color w:val="auto"/>
                <w:sz w:val="24"/>
                <w:highlight w:val="none"/>
              </w:rPr>
              <w:t>（或养护履约评价）</w:t>
            </w:r>
            <w:r>
              <w:rPr>
                <w:rFonts w:hint="eastAsia" w:ascii="宋体" w:hAnsi="宋体" w:cs="宋体"/>
                <w:color w:val="auto"/>
                <w:sz w:val="24"/>
                <w:szCs w:val="24"/>
                <w:highlight w:val="none"/>
                <w:lang w:val="en-US" w:eastAsia="zh-CN"/>
              </w:rPr>
              <w:t>原件扫描件</w:t>
            </w:r>
            <w:r>
              <w:rPr>
                <w:rFonts w:hint="eastAsia" w:ascii="宋体" w:hAnsi="宋体" w:eastAsia="宋体" w:cs="宋体"/>
                <w:bCs/>
                <w:color w:val="auto"/>
                <w:sz w:val="24"/>
                <w:szCs w:val="24"/>
                <w:highlight w:val="none"/>
              </w:rPr>
              <w:t>，不提供不得分，以合同签订日期为准。</w:t>
            </w:r>
          </w:p>
        </w:tc>
      </w:tr>
    </w:tbl>
    <w:p w14:paraId="169D2940">
      <w:pPr>
        <w:keepNext w:val="0"/>
        <w:keepLines w:val="0"/>
        <w:pageBreakBefore w:val="0"/>
        <w:numPr>
          <w:ilvl w:val="4"/>
          <w:numId w:val="0"/>
        </w:numPr>
        <w:tabs>
          <w:tab w:val="left" w:pos="525"/>
          <w:tab w:val="left" w:pos="945"/>
          <w:tab w:val="left" w:pos="1155"/>
          <w:tab w:val="left" w:pos="3823"/>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3.项目管理机构配备（14分）</w:t>
      </w:r>
    </w:p>
    <w:tbl>
      <w:tblPr>
        <w:tblStyle w:val="47"/>
        <w:tblpPr w:leftFromText="180" w:rightFromText="180" w:vertAnchor="text" w:tblpXSpec="center" w:tblpY="1"/>
        <w:tblOverlap w:val="never"/>
        <w:tblW w:w="10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795"/>
        <w:gridCol w:w="780"/>
        <w:gridCol w:w="4727"/>
        <w:gridCol w:w="3604"/>
      </w:tblGrid>
      <w:tr w14:paraId="0552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677" w:type="dxa"/>
            <w:tcBorders>
              <w:top w:val="single" w:color="auto" w:sz="4" w:space="0"/>
            </w:tcBorders>
            <w:noWrap w:val="0"/>
            <w:vAlign w:val="center"/>
          </w:tcPr>
          <w:p w14:paraId="1D6F0022">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795" w:type="dxa"/>
            <w:tcBorders>
              <w:top w:val="single" w:color="auto" w:sz="4" w:space="0"/>
            </w:tcBorders>
            <w:noWrap w:val="0"/>
            <w:vAlign w:val="center"/>
          </w:tcPr>
          <w:p w14:paraId="5B6FEA23">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780" w:type="dxa"/>
            <w:tcBorders>
              <w:top w:val="single" w:color="auto" w:sz="4" w:space="0"/>
            </w:tcBorders>
            <w:noWrap w:val="0"/>
            <w:vAlign w:val="center"/>
          </w:tcPr>
          <w:p w14:paraId="20253094">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4727" w:type="dxa"/>
            <w:tcBorders>
              <w:top w:val="single" w:color="auto" w:sz="4" w:space="0"/>
            </w:tcBorders>
            <w:noWrap w:val="0"/>
            <w:vAlign w:val="center"/>
          </w:tcPr>
          <w:p w14:paraId="0E55D984">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c>
          <w:tcPr>
            <w:tcW w:w="3604" w:type="dxa"/>
            <w:tcBorders>
              <w:top w:val="single" w:color="auto" w:sz="4" w:space="0"/>
            </w:tcBorders>
            <w:noWrap w:val="0"/>
            <w:vAlign w:val="center"/>
          </w:tcPr>
          <w:p w14:paraId="3CE5BC47">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78840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vMerge w:val="restart"/>
            <w:tcBorders>
              <w:top w:val="single" w:color="auto" w:sz="4" w:space="0"/>
            </w:tcBorders>
            <w:noWrap w:val="0"/>
            <w:vAlign w:val="center"/>
          </w:tcPr>
          <w:p w14:paraId="6CD3C463">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95" w:type="dxa"/>
            <w:vMerge w:val="restart"/>
            <w:tcBorders>
              <w:top w:val="single" w:color="auto" w:sz="4" w:space="0"/>
            </w:tcBorders>
            <w:noWrap w:val="0"/>
            <w:vAlign w:val="center"/>
          </w:tcPr>
          <w:p w14:paraId="1CF68C4F">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项目组人员配置</w:t>
            </w:r>
          </w:p>
        </w:tc>
        <w:tc>
          <w:tcPr>
            <w:tcW w:w="780" w:type="dxa"/>
            <w:vMerge w:val="restart"/>
            <w:tcBorders>
              <w:top w:val="single" w:color="auto" w:sz="4" w:space="0"/>
            </w:tcBorders>
            <w:noWrap w:val="0"/>
            <w:vAlign w:val="center"/>
          </w:tcPr>
          <w:p w14:paraId="465A1520">
            <w:pPr>
              <w:keepNext/>
              <w:snapToGrid w:val="0"/>
              <w:spacing w:line="360" w:lineRule="auto"/>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4727" w:type="dxa"/>
            <w:tcBorders>
              <w:top w:val="single" w:color="auto" w:sz="4" w:space="0"/>
            </w:tcBorders>
            <w:noWrap w:val="0"/>
            <w:vAlign w:val="center"/>
          </w:tcPr>
          <w:p w14:paraId="66749977">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①项目负责人具有照明、电气或机电设备安装</w:t>
            </w:r>
            <w:r>
              <w:rPr>
                <w:rFonts w:hint="eastAsia" w:ascii="宋体" w:hAnsi="宋体" w:eastAsia="宋体" w:cs="宋体"/>
                <w:bCs/>
                <w:color w:val="auto"/>
                <w:sz w:val="24"/>
                <w:szCs w:val="24"/>
                <w:highlight w:val="none"/>
                <w:lang w:val="en-US" w:eastAsia="zh-CN"/>
              </w:rPr>
              <w:t>或工程管理</w:t>
            </w:r>
            <w:r>
              <w:rPr>
                <w:rFonts w:hint="eastAsia" w:ascii="宋体" w:hAnsi="宋体" w:eastAsia="宋体" w:cs="宋体"/>
                <w:color w:val="auto"/>
                <w:sz w:val="24"/>
                <w:szCs w:val="24"/>
                <w:highlight w:val="none"/>
              </w:rPr>
              <w:t>相关专业高级技术职称的，得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分；中级技术职称的，得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②自202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年1月1日以来以项目负责人身份承担过同类业绩的</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lang w:eastAsia="zh-CN"/>
              </w:rPr>
              <w:t>同类业绩是指夜景、亮化照明设施养护</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，有一个得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3604" w:type="dxa"/>
            <w:tcBorders>
              <w:top w:val="single" w:color="auto" w:sz="4" w:space="0"/>
            </w:tcBorders>
            <w:noWrap w:val="0"/>
            <w:vAlign w:val="center"/>
          </w:tcPr>
          <w:p w14:paraId="4886D2ED">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color w:val="auto"/>
                <w:sz w:val="24"/>
                <w:szCs w:val="24"/>
                <w:highlight w:val="none"/>
              </w:rPr>
              <w:t>投标时提供项目负责人的职称证书原件</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，不提供不得分，如职称证书不显示专业的，提供职称申报评审表或毕业证书（时间以职称证书时间为准）；</w:t>
            </w:r>
            <w:r>
              <w:rPr>
                <w:rFonts w:hint="eastAsia" w:ascii="宋体" w:hAnsi="宋体" w:eastAsia="宋体" w:cs="宋体"/>
                <w:bCs/>
                <w:color w:val="auto"/>
                <w:sz w:val="24"/>
                <w:szCs w:val="24"/>
                <w:highlight w:val="none"/>
              </w:rPr>
              <w:t>②</w:t>
            </w:r>
            <w:r>
              <w:rPr>
                <w:rFonts w:hint="eastAsia" w:ascii="宋体" w:hAnsi="宋体" w:eastAsia="宋体" w:cs="宋体"/>
                <w:color w:val="auto"/>
                <w:sz w:val="24"/>
                <w:szCs w:val="24"/>
                <w:highlight w:val="none"/>
              </w:rPr>
              <w:t>项目负责人业绩须提供</w:t>
            </w:r>
            <w:r>
              <w:rPr>
                <w:rFonts w:hint="eastAsia" w:ascii="宋体" w:hAnsi="宋体" w:eastAsia="宋体" w:cs="宋体"/>
                <w:bCs/>
                <w:color w:val="auto"/>
                <w:sz w:val="24"/>
                <w:szCs w:val="24"/>
                <w:highlight w:val="none"/>
              </w:rPr>
              <w:t>中标通知书（或项目委托书）、作业合同</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竣工验收证明文件</w:t>
            </w:r>
            <w:r>
              <w:rPr>
                <w:rFonts w:hint="eastAsia" w:ascii="宋体" w:hAnsi="宋体" w:cs="宋体"/>
                <w:bCs/>
                <w:color w:val="auto"/>
                <w:sz w:val="24"/>
                <w:highlight w:val="none"/>
              </w:rPr>
              <w:t>（或养护履约评价</w:t>
            </w:r>
            <w:r>
              <w:rPr>
                <w:rFonts w:hint="eastAsia" w:ascii="宋体" w:hAnsi="宋体" w:cs="宋体"/>
                <w:color w:val="auto"/>
                <w:sz w:val="24"/>
                <w:szCs w:val="24"/>
                <w:highlight w:val="none"/>
                <w:lang w:val="en-US" w:eastAsia="zh-CN"/>
              </w:rPr>
              <w:t>原件扫描件）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项目负责人信息如前后不一致，需提供相关证明材料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投标时须提供齐全</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原件</w:t>
            </w:r>
            <w:r>
              <w:rPr>
                <w:rFonts w:hint="eastAsia" w:ascii="宋体" w:hAnsi="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rPr>
              <w:t>，不提供不得分，以合同签订日期为准</w:t>
            </w:r>
            <w:r>
              <w:rPr>
                <w:rFonts w:hint="eastAsia" w:ascii="宋体" w:hAnsi="宋体" w:eastAsia="宋体" w:cs="宋体"/>
                <w:color w:val="auto"/>
                <w:sz w:val="24"/>
                <w:szCs w:val="24"/>
                <w:highlight w:val="none"/>
              </w:rPr>
              <w:t>（与企业业绩不得重复）。</w:t>
            </w:r>
          </w:p>
        </w:tc>
      </w:tr>
      <w:tr w14:paraId="291A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vMerge w:val="continue"/>
            <w:noWrap w:val="0"/>
            <w:vAlign w:val="center"/>
          </w:tcPr>
          <w:p w14:paraId="65EF08FC">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795" w:type="dxa"/>
            <w:vMerge w:val="continue"/>
            <w:noWrap w:val="0"/>
            <w:vAlign w:val="center"/>
          </w:tcPr>
          <w:p w14:paraId="02C55343">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p>
        </w:tc>
        <w:tc>
          <w:tcPr>
            <w:tcW w:w="780" w:type="dxa"/>
            <w:vMerge w:val="continue"/>
            <w:noWrap w:val="0"/>
            <w:vAlign w:val="center"/>
          </w:tcPr>
          <w:p w14:paraId="08DF6F4B">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4727" w:type="dxa"/>
            <w:tcBorders>
              <w:top w:val="single" w:color="auto" w:sz="4" w:space="0"/>
            </w:tcBorders>
            <w:noWrap w:val="0"/>
            <w:vAlign w:val="top"/>
          </w:tcPr>
          <w:p w14:paraId="423A9F5E">
            <w:pPr>
              <w:keepNext/>
              <w:numPr>
                <w:ilvl w:val="0"/>
                <w:numId w:val="0"/>
              </w:numPr>
              <w:snapToGrid w:val="0"/>
              <w:spacing w:line="360" w:lineRule="auto"/>
              <w:ind w:leftChars="0" w:right="0" w:rightChars="0"/>
              <w:jc w:val="both"/>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基本配备</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2分</w:t>
            </w:r>
            <w:r>
              <w:rPr>
                <w:rFonts w:hint="eastAsia" w:ascii="宋体" w:hAnsi="宋体" w:eastAsia="宋体" w:cs="宋体"/>
                <w:b w:val="0"/>
                <w:bCs/>
                <w:color w:val="auto"/>
                <w:sz w:val="24"/>
                <w:szCs w:val="24"/>
                <w:highlight w:val="none"/>
                <w:lang w:eastAsia="zh-CN"/>
              </w:rPr>
              <w:t>）</w:t>
            </w:r>
          </w:p>
          <w:p w14:paraId="5704EAB9">
            <w:pPr>
              <w:keepNext/>
              <w:numPr>
                <w:ilvl w:val="0"/>
                <w:numId w:val="0"/>
              </w:numPr>
              <w:snapToGrid w:val="0"/>
              <w:spacing w:line="360" w:lineRule="auto"/>
              <w:ind w:leftChars="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项目部现场基本配备总人数（项目负责人除外）</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人（含）以上，其中：</w:t>
            </w:r>
          </w:p>
          <w:p w14:paraId="59515645">
            <w:pPr>
              <w:keepNext/>
              <w:numPr>
                <w:ilvl w:val="-1"/>
                <w:numId w:val="0"/>
              </w:numPr>
              <w:snapToGrid w:val="0"/>
              <w:spacing w:line="360" w:lineRule="auto"/>
              <w:ind w:left="0" w:leftChars="0" w:right="0" w:rightChars="0" w:firstLine="0" w:firstLineChars="0"/>
              <w:jc w:val="both"/>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rPr>
              <w:t>维护管理人员</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以上，其中包括资料员、安全员各1人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w:t>
            </w:r>
          </w:p>
          <w:p w14:paraId="62EB74E7">
            <w:pPr>
              <w:keepNext/>
              <w:numPr>
                <w:ilvl w:val="-1"/>
                <w:numId w:val="0"/>
              </w:numPr>
              <w:snapToGrid w:val="0"/>
              <w:spacing w:line="360" w:lineRule="auto"/>
              <w:ind w:left="0" w:leftChars="0" w:right="0" w:rightChars="0" w:firstLine="0" w:firstLineChars="0"/>
              <w:jc w:val="both"/>
              <w:rPr>
                <w:rFonts w:hint="eastAsia" w:ascii="宋体" w:hAnsi="宋体" w:cs="宋体"/>
                <w:strike w:val="0"/>
                <w:dstrike w:val="0"/>
                <w:color w:val="auto"/>
                <w:sz w:val="24"/>
                <w:szCs w:val="24"/>
                <w:highlight w:val="none"/>
                <w:lang w:val="en-US" w:eastAsia="zh-CN"/>
              </w:rPr>
            </w:pP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lang w:eastAsia="zh-CN"/>
              </w:rPr>
              <w:t>现场</w:t>
            </w:r>
            <w:r>
              <w:rPr>
                <w:rFonts w:hint="eastAsia" w:ascii="宋体" w:hAnsi="宋体" w:eastAsia="宋体" w:cs="宋体"/>
                <w:color w:val="auto"/>
                <w:sz w:val="24"/>
                <w:szCs w:val="24"/>
                <w:highlight w:val="none"/>
              </w:rPr>
              <w:t>维护</w:t>
            </w:r>
            <w:r>
              <w:rPr>
                <w:rFonts w:hint="eastAsia" w:ascii="宋体" w:hAnsi="宋体" w:cs="宋体"/>
                <w:color w:val="auto"/>
                <w:sz w:val="24"/>
                <w:szCs w:val="24"/>
                <w:highlight w:val="none"/>
                <w:lang w:eastAsia="zh-CN"/>
              </w:rPr>
              <w:t>人员</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w:t>
            </w:r>
            <w:r>
              <w:rPr>
                <w:rFonts w:hint="eastAsia" w:ascii="宋体" w:hAnsi="宋体" w:eastAsia="宋体" w:cs="宋体"/>
                <w:b/>
                <w:bCs/>
                <w:color w:val="auto"/>
                <w:sz w:val="24"/>
                <w:szCs w:val="24"/>
                <w:highlight w:val="none"/>
              </w:rPr>
              <w:t>其中至少包含</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名</w:t>
            </w:r>
            <w:r>
              <w:rPr>
                <w:rFonts w:hint="eastAsia" w:ascii="宋体" w:hAnsi="宋体" w:cs="宋体"/>
                <w:color w:val="auto"/>
                <w:sz w:val="24"/>
                <w:szCs w:val="24"/>
                <w:highlight w:val="none"/>
                <w:lang w:eastAsia="zh-CN"/>
              </w:rPr>
              <w:t>维护电工</w:t>
            </w:r>
            <w:r>
              <w:rPr>
                <w:rFonts w:hint="eastAsia" w:ascii="宋体" w:hAnsi="宋体" w:eastAsia="宋体" w:cs="宋体"/>
                <w:color w:val="auto"/>
                <w:sz w:val="24"/>
                <w:szCs w:val="24"/>
                <w:highlight w:val="none"/>
                <w:lang w:eastAsia="zh-CN"/>
              </w:rPr>
              <w:t>需同时具备高压电工证和高处作业证</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1名</w:t>
            </w:r>
            <w:r>
              <w:rPr>
                <w:rFonts w:hint="eastAsia" w:ascii="宋体" w:hAnsi="宋体" w:cs="宋体"/>
                <w:strike w:val="0"/>
                <w:dstrike w:val="0"/>
                <w:color w:val="auto"/>
                <w:sz w:val="24"/>
                <w:szCs w:val="24"/>
                <w:highlight w:val="none"/>
                <w:lang w:val="en-US" w:eastAsia="zh-CN"/>
              </w:rPr>
              <w:t>焊接与热切割作业</w:t>
            </w:r>
            <w:r>
              <w:rPr>
                <w:rFonts w:hint="eastAsia" w:hAnsi="宋体" w:cs="宋体"/>
                <w:color w:val="auto"/>
                <w:sz w:val="24"/>
                <w:szCs w:val="24"/>
                <w:highlight w:val="none"/>
              </w:rPr>
              <w:t>操作人员</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1名</w:t>
            </w:r>
            <w:r>
              <w:rPr>
                <w:rFonts w:hint="eastAsia" w:ascii="宋体" w:hAnsi="宋体" w:eastAsia="宋体" w:cs="宋体"/>
                <w:strike w:val="0"/>
                <w:dstrike w:val="0"/>
                <w:color w:val="auto"/>
                <w:sz w:val="24"/>
                <w:szCs w:val="24"/>
                <w:highlight w:val="none"/>
                <w:lang w:val="en-US" w:eastAsia="zh-CN"/>
              </w:rPr>
              <w:t>起重作业操作证书的技术人员</w:t>
            </w:r>
            <w:r>
              <w:rPr>
                <w:rFonts w:hint="eastAsia" w:ascii="宋体" w:hAnsi="宋体" w:cs="宋体"/>
                <w:strike w:val="0"/>
                <w:dstrike w:val="0"/>
                <w:color w:val="auto"/>
                <w:sz w:val="24"/>
                <w:szCs w:val="24"/>
                <w:highlight w:val="none"/>
                <w:lang w:val="en-US" w:eastAsia="zh-CN"/>
              </w:rPr>
              <w:t>。</w:t>
            </w:r>
          </w:p>
          <w:p w14:paraId="2919780C">
            <w:pPr>
              <w:keepNext/>
              <w:numPr>
                <w:ilvl w:val="-1"/>
                <w:numId w:val="0"/>
              </w:numPr>
              <w:snapToGrid w:val="0"/>
              <w:spacing w:line="360" w:lineRule="auto"/>
              <w:ind w:left="0" w:leftChars="0" w:right="0" w:righ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以上配备人员不重复身份，全部齐全得基本分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分，没有配齐不得分。</w:t>
            </w:r>
            <w:r>
              <w:rPr>
                <w:rFonts w:hint="eastAsia" w:ascii="宋体" w:hAnsi="宋体" w:eastAsia="宋体" w:cs="宋体"/>
                <w:color w:val="auto"/>
                <w:sz w:val="24"/>
                <w:szCs w:val="24"/>
                <w:highlight w:val="none"/>
              </w:rPr>
              <w:br w:type="textWrapping"/>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eastAsia="zh-CN"/>
              </w:rPr>
              <w:t>）</w:t>
            </w:r>
            <w:r>
              <w:rPr>
                <w:rFonts w:hint="eastAsia" w:ascii="宋体" w:hAnsi="宋体" w:eastAsia="宋体" w:cs="宋体"/>
                <w:color w:val="auto"/>
                <w:sz w:val="24"/>
                <w:szCs w:val="24"/>
                <w:highlight w:val="none"/>
              </w:rPr>
              <w:t>在满足上述人员基本配备基</w:t>
            </w:r>
            <w:r>
              <w:rPr>
                <w:rFonts w:hint="eastAsia" w:ascii="宋体" w:hAnsi="宋体" w:eastAsia="宋体" w:cs="宋体"/>
                <w:color w:val="auto"/>
                <w:sz w:val="24"/>
                <w:szCs w:val="24"/>
                <w:highlight w:val="none"/>
                <w:lang w:eastAsia="zh-CN"/>
              </w:rPr>
              <w:t>础上</w:t>
            </w:r>
            <w:r>
              <w:rPr>
                <w:rFonts w:hint="eastAsia" w:ascii="宋体" w:hAnsi="宋体" w:eastAsia="宋体" w:cs="宋体"/>
                <w:color w:val="auto"/>
                <w:sz w:val="24"/>
                <w:szCs w:val="24"/>
                <w:highlight w:val="none"/>
              </w:rPr>
              <w:t>，每增加1名</w:t>
            </w:r>
            <w:r>
              <w:rPr>
                <w:rFonts w:hint="eastAsia" w:ascii="宋体" w:hAnsi="宋体" w:eastAsia="宋体" w:cs="宋体"/>
                <w:color w:val="auto"/>
                <w:sz w:val="24"/>
                <w:szCs w:val="24"/>
                <w:highlight w:val="none"/>
                <w:lang w:eastAsia="zh-CN"/>
              </w:rPr>
              <w:t>需同时具备高压电工证和高处作业证</w:t>
            </w:r>
            <w:r>
              <w:rPr>
                <w:rFonts w:hint="eastAsia" w:ascii="宋体" w:hAnsi="宋体" w:eastAsia="宋体" w:cs="宋体"/>
                <w:color w:val="auto"/>
                <w:sz w:val="24"/>
                <w:szCs w:val="24"/>
                <w:highlight w:val="none"/>
              </w:rPr>
              <w:t>人员得0.5分，最多得1分。</w:t>
            </w:r>
          </w:p>
          <w:p w14:paraId="5EADA2F3">
            <w:pPr>
              <w:keepNext/>
              <w:snapToGrid w:val="0"/>
              <w:spacing w:line="360" w:lineRule="auto"/>
              <w:ind w:left="0" w:leftChars="0" w:right="0" w:rightChars="0" w:firstLine="0" w:firstLineChars="0"/>
              <w:jc w:val="both"/>
              <w:rPr>
                <w:rFonts w:hint="eastAsia" w:ascii="宋体" w:hAnsi="宋体" w:eastAsia="宋体" w:cs="宋体"/>
                <w:smallCaps/>
                <w:color w:val="auto"/>
                <w:sz w:val="24"/>
                <w:szCs w:val="24"/>
                <w:highlight w:val="none"/>
              </w:rPr>
            </w:pPr>
            <w:r>
              <w:rPr>
                <w:rFonts w:hint="eastAsia" w:ascii="宋体" w:hAnsi="宋体" w:eastAsia="宋体" w:cs="宋体"/>
                <w:color w:val="auto"/>
                <w:sz w:val="24"/>
                <w:szCs w:val="24"/>
                <w:highlight w:val="none"/>
              </w:rPr>
              <w:t>本项</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3604" w:type="dxa"/>
            <w:tcBorders>
              <w:top w:val="single" w:color="auto" w:sz="4" w:space="0"/>
            </w:tcBorders>
            <w:noWrap w:val="0"/>
            <w:vAlign w:val="center"/>
          </w:tcPr>
          <w:p w14:paraId="3DE5F58D">
            <w:pPr>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①现场项目管理机构的人员指驻现场项目部管理人员和技术人员，不含勤杂人员；②</w:t>
            </w:r>
            <w:r>
              <w:rPr>
                <w:rFonts w:hint="eastAsia" w:hAnsi="宋体" w:cs="宋体"/>
                <w:color w:val="auto"/>
                <w:sz w:val="24"/>
                <w:szCs w:val="24"/>
                <w:highlight w:val="none"/>
              </w:rPr>
              <w:t>电工证人员：提供电工证</w:t>
            </w:r>
            <w:r>
              <w:rPr>
                <w:rFonts w:hint="eastAsia" w:hAnsi="宋体" w:cs="宋体"/>
                <w:color w:val="auto"/>
                <w:sz w:val="24"/>
                <w:szCs w:val="24"/>
                <w:highlight w:val="none"/>
                <w:lang w:eastAsia="zh-CN"/>
              </w:rPr>
              <w:t>（由</w:t>
            </w:r>
            <w:r>
              <w:rPr>
                <w:rFonts w:hint="eastAsia" w:hAnsi="宋体" w:cs="宋体"/>
                <w:color w:val="auto"/>
                <w:sz w:val="24"/>
                <w:szCs w:val="24"/>
                <w:highlight w:val="none"/>
              </w:rPr>
              <w:t>国家电力监管委员会或江苏省建设主管部门（中华人民共和国住房和城乡建设部监制）或江苏省安全生产监督管理局颁发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③高</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rPr>
              <w:t>作业人员：提供高处作业证</w:t>
            </w:r>
            <w:r>
              <w:rPr>
                <w:rFonts w:hint="eastAsia" w:ascii="宋体" w:hAnsi="宋体" w:cs="宋体"/>
                <w:color w:val="auto"/>
                <w:sz w:val="24"/>
                <w:szCs w:val="24"/>
                <w:highlight w:val="none"/>
                <w:lang w:eastAsia="zh-CN"/>
              </w:rPr>
              <w:t>；④</w:t>
            </w:r>
            <w:r>
              <w:rPr>
                <w:rFonts w:hint="eastAsia" w:ascii="宋体" w:hAnsi="宋体" w:cs="宋体"/>
                <w:strike w:val="0"/>
                <w:dstrike w:val="0"/>
                <w:color w:val="auto"/>
                <w:sz w:val="24"/>
                <w:szCs w:val="24"/>
                <w:highlight w:val="none"/>
                <w:lang w:val="en-US" w:eastAsia="zh-CN"/>
              </w:rPr>
              <w:t>焊接与热切割作业</w:t>
            </w:r>
            <w:r>
              <w:rPr>
                <w:rFonts w:hint="eastAsia" w:hAnsi="宋体" w:cs="宋体"/>
                <w:color w:val="auto"/>
                <w:sz w:val="24"/>
                <w:szCs w:val="24"/>
                <w:highlight w:val="none"/>
              </w:rPr>
              <w:t>操作人员：提供具备特种作业证</w:t>
            </w:r>
            <w:r>
              <w:rPr>
                <w:rFonts w:hint="eastAsia" w:hAnsi="宋体" w:cs="宋体"/>
                <w:color w:val="auto"/>
                <w:sz w:val="24"/>
                <w:szCs w:val="24"/>
                <w:highlight w:val="none"/>
                <w:lang w:eastAsia="zh-CN"/>
              </w:rPr>
              <w:t>；⑤</w:t>
            </w:r>
            <w:r>
              <w:rPr>
                <w:rFonts w:hint="eastAsia" w:hAnsi="宋体" w:cs="宋体"/>
                <w:color w:val="auto"/>
                <w:sz w:val="24"/>
                <w:szCs w:val="24"/>
                <w:highlight w:val="none"/>
              </w:rPr>
              <w:t>起重作业操</w:t>
            </w:r>
            <w:r>
              <w:rPr>
                <w:rFonts w:hint="eastAsia" w:hAnsi="宋体" w:cs="宋体"/>
                <w:b w:val="0"/>
                <w:bCs w:val="0"/>
                <w:color w:val="auto"/>
                <w:sz w:val="24"/>
                <w:szCs w:val="24"/>
                <w:highlight w:val="none"/>
              </w:rPr>
              <w:t>作人员：提供特种车辆操作员【持有起重机械作业证</w:t>
            </w:r>
            <w:r>
              <w:rPr>
                <w:rFonts w:hAnsi="宋体" w:cs="宋体"/>
                <w:b w:val="0"/>
                <w:bCs w:val="0"/>
                <w:color w:val="auto"/>
                <w:sz w:val="24"/>
                <w:szCs w:val="24"/>
                <w:highlight w:val="none"/>
              </w:rPr>
              <w:t>Q1</w:t>
            </w:r>
            <w:r>
              <w:rPr>
                <w:rFonts w:hint="eastAsia" w:hAnsi="宋体" w:cs="宋体"/>
                <w:b w:val="0"/>
                <w:bCs w:val="0"/>
                <w:color w:val="auto"/>
                <w:sz w:val="24"/>
                <w:szCs w:val="24"/>
                <w:highlight w:val="none"/>
              </w:rPr>
              <w:t>证或</w:t>
            </w:r>
            <w:r>
              <w:rPr>
                <w:rFonts w:hAnsi="宋体" w:cs="宋体"/>
                <w:b w:val="0"/>
                <w:bCs w:val="0"/>
                <w:color w:val="auto"/>
                <w:sz w:val="24"/>
                <w:szCs w:val="24"/>
                <w:highlight w:val="none"/>
              </w:rPr>
              <w:t>Q2</w:t>
            </w:r>
            <w:r>
              <w:rPr>
                <w:rFonts w:hint="eastAsia" w:hAnsi="宋体" w:cs="宋体"/>
                <w:b w:val="0"/>
                <w:bCs w:val="0"/>
                <w:color w:val="auto"/>
                <w:sz w:val="24"/>
                <w:szCs w:val="24"/>
                <w:highlight w:val="none"/>
              </w:rPr>
              <w:t>证】</w:t>
            </w:r>
            <w:r>
              <w:rPr>
                <w:rFonts w:hint="eastAsia" w:hAnsi="宋体" w:cs="宋体"/>
                <w:b w:val="0"/>
                <w:bCs w:val="0"/>
                <w:color w:val="auto"/>
                <w:sz w:val="24"/>
                <w:szCs w:val="24"/>
                <w:highlight w:val="none"/>
                <w:lang w:eastAsia="zh-CN"/>
              </w:rPr>
              <w:t>。</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rPr>
              <w:t>投标时提供证书原件</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进入投标文件，否则不得分。</w:t>
            </w:r>
          </w:p>
        </w:tc>
      </w:tr>
      <w:tr w14:paraId="5709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noWrap w:val="0"/>
            <w:vAlign w:val="center"/>
          </w:tcPr>
          <w:p w14:paraId="407600AA">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795" w:type="dxa"/>
            <w:noWrap w:val="0"/>
            <w:vAlign w:val="center"/>
          </w:tcPr>
          <w:p w14:paraId="3B009B44">
            <w:pPr>
              <w:keepNext/>
              <w:snapToGrid w:val="0"/>
              <w:spacing w:line="360" w:lineRule="auto"/>
              <w:ind w:left="0" w:leftChars="0" w:right="0" w:rightChars="0" w:firstLine="0" w:firstLineChars="0"/>
              <w:jc w:val="center"/>
              <w:rPr>
                <w:rFonts w:hint="eastAsia" w:ascii="宋体" w:hAnsi="宋体" w:eastAsia="宋体" w:cs="宋体"/>
                <w:b/>
                <w:bCs/>
                <w:color w:val="auto"/>
                <w:sz w:val="24"/>
                <w:szCs w:val="24"/>
                <w:highlight w:val="none"/>
              </w:rPr>
            </w:pPr>
          </w:p>
        </w:tc>
        <w:tc>
          <w:tcPr>
            <w:tcW w:w="9111" w:type="dxa"/>
            <w:gridSpan w:val="3"/>
            <w:tcBorders>
              <w:top w:val="single" w:color="auto" w:sz="4" w:space="0"/>
            </w:tcBorders>
            <w:noWrap w:val="0"/>
            <w:vAlign w:val="center"/>
          </w:tcPr>
          <w:p w14:paraId="4D96E261">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7A122DA7">
            <w:pPr>
              <w:keepNext/>
              <w:snapToGrid w:val="0"/>
              <w:spacing w:line="36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①提供详细人员配备表②三个标段所有人员</w:t>
            </w:r>
            <w:r>
              <w:rPr>
                <w:rFonts w:hint="eastAsia" w:ascii="宋体" w:hAnsi="宋体" w:eastAsia="宋体" w:cs="宋体"/>
                <w:b/>
                <w:bCs/>
                <w:color w:val="auto"/>
                <w:sz w:val="24"/>
                <w:szCs w:val="24"/>
                <w:highlight w:val="none"/>
              </w:rPr>
              <w:t>可以拟派统一项目组人员</w:t>
            </w:r>
            <w:r>
              <w:rPr>
                <w:rFonts w:hint="eastAsia" w:ascii="宋体" w:hAnsi="宋体" w:eastAsia="宋体" w:cs="宋体"/>
                <w:color w:val="auto"/>
                <w:sz w:val="24"/>
                <w:szCs w:val="24"/>
                <w:highlight w:val="none"/>
              </w:rPr>
              <w:t>。上述人员（包括最低配备人员以及增加人员）职称证书或其他证书只计一人一证。③所有配备人员须提供与投标人企业签订的劳动合同，以及由社保机构出具的</w:t>
            </w:r>
            <w:r>
              <w:rPr>
                <w:rFonts w:hint="eastAsia" w:ascii="宋体" w:hAnsi="宋体" w:cs="宋体"/>
                <w:color w:val="auto"/>
                <w:sz w:val="24"/>
                <w:szCs w:val="24"/>
                <w:highlight w:val="none"/>
                <w:lang w:eastAsia="zh-CN"/>
              </w:rPr>
              <w:t>2026年3月—2026年5月</w:t>
            </w:r>
            <w:r>
              <w:rPr>
                <w:rFonts w:hint="eastAsia" w:ascii="宋体" w:hAnsi="宋体" w:eastAsia="宋体" w:cs="宋体"/>
                <w:color w:val="auto"/>
                <w:sz w:val="24"/>
                <w:szCs w:val="24"/>
                <w:highlight w:val="none"/>
              </w:rPr>
              <w:t>的养老保险缴费证明。上述证明资料的</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放入补充证明文件部分。</w:t>
            </w:r>
          </w:p>
        </w:tc>
      </w:tr>
      <w:tr w14:paraId="17F3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noWrap w:val="0"/>
            <w:vAlign w:val="center"/>
          </w:tcPr>
          <w:p w14:paraId="376D00FD">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795" w:type="dxa"/>
            <w:noWrap w:val="0"/>
            <w:vAlign w:val="center"/>
          </w:tcPr>
          <w:p w14:paraId="3FA160F1">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车辆要求</w:t>
            </w:r>
          </w:p>
        </w:tc>
        <w:tc>
          <w:tcPr>
            <w:tcW w:w="780" w:type="dxa"/>
            <w:noWrap w:val="0"/>
            <w:vAlign w:val="center"/>
          </w:tcPr>
          <w:p w14:paraId="08949BF5">
            <w:pPr>
              <w:keepNext/>
              <w:snapToGrid w:val="0"/>
              <w:spacing w:line="360" w:lineRule="auto"/>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4727" w:type="dxa"/>
            <w:noWrap w:val="0"/>
            <w:vAlign w:val="center"/>
          </w:tcPr>
          <w:p w14:paraId="7BBA8708">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smallCaps/>
                <w:color w:val="auto"/>
                <w:sz w:val="24"/>
                <w:szCs w:val="24"/>
                <w:highlight w:val="none"/>
              </w:rPr>
              <w:t>①满足基本条件</w:t>
            </w:r>
            <w:r>
              <w:rPr>
                <w:rFonts w:hint="eastAsia" w:ascii="宋体" w:hAnsi="宋体" w:eastAsia="宋体" w:cs="宋体"/>
                <w:bCs/>
                <w:color w:val="auto"/>
                <w:sz w:val="24"/>
                <w:szCs w:val="24"/>
                <w:highlight w:val="none"/>
              </w:rPr>
              <w:t>具备14米</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以上高空作业车辆</w:t>
            </w:r>
            <w:r>
              <w:rPr>
                <w:rFonts w:hint="eastAsia" w:ascii="宋体" w:hAnsi="宋体" w:eastAsia="宋体" w:cs="宋体"/>
                <w:b/>
                <w:bCs/>
                <w:color w:val="auto"/>
                <w:sz w:val="24"/>
                <w:szCs w:val="24"/>
                <w:highlight w:val="none"/>
              </w:rPr>
              <w:t>1</w:t>
            </w:r>
            <w:r>
              <w:rPr>
                <w:rFonts w:hint="eastAsia" w:ascii="宋体" w:hAnsi="宋体" w:eastAsia="宋体" w:cs="宋体"/>
                <w:bCs/>
                <w:color w:val="auto"/>
                <w:sz w:val="24"/>
                <w:szCs w:val="24"/>
                <w:highlight w:val="none"/>
              </w:rPr>
              <w:t>辆，巡查工程车5座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以上2辆</w:t>
            </w:r>
            <w:r>
              <w:rPr>
                <w:rFonts w:hint="eastAsia" w:ascii="宋体" w:hAnsi="宋体" w:cs="宋体"/>
                <w:bCs/>
                <w:color w:val="auto"/>
                <w:sz w:val="24"/>
                <w:szCs w:val="24"/>
                <w:highlight w:val="none"/>
                <w:lang w:eastAsia="zh-CN"/>
              </w:rPr>
              <w:t>的</w:t>
            </w:r>
            <w:r>
              <w:rPr>
                <w:rFonts w:hint="eastAsia" w:ascii="宋体" w:hAnsi="宋体" w:eastAsia="宋体" w:cs="宋体"/>
                <w:smallCaps/>
                <w:color w:val="auto"/>
                <w:sz w:val="24"/>
                <w:szCs w:val="24"/>
                <w:highlight w:val="none"/>
              </w:rPr>
              <w:t>得基础分</w:t>
            </w:r>
            <w:r>
              <w:rPr>
                <w:rFonts w:hint="eastAsia" w:ascii="宋体" w:hAnsi="宋体" w:cs="宋体"/>
                <w:smallCaps/>
                <w:color w:val="auto"/>
                <w:sz w:val="24"/>
                <w:szCs w:val="24"/>
                <w:highlight w:val="none"/>
                <w:lang w:val="en-US" w:eastAsia="zh-CN"/>
              </w:rPr>
              <w:t>1</w:t>
            </w:r>
            <w:r>
              <w:rPr>
                <w:rFonts w:hint="eastAsia" w:ascii="宋体" w:hAnsi="宋体" w:eastAsia="宋体" w:cs="宋体"/>
                <w:smallCaps/>
                <w:color w:val="auto"/>
                <w:sz w:val="24"/>
                <w:szCs w:val="24"/>
                <w:highlight w:val="none"/>
              </w:rPr>
              <w:t>分，少任意一项均不得分</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br w:type="textWrapping"/>
            </w:r>
            <w:r>
              <w:rPr>
                <w:rFonts w:hint="eastAsia" w:ascii="宋体" w:hAnsi="宋体" w:eastAsia="宋体" w:cs="宋体"/>
                <w:color w:val="auto"/>
                <w:sz w:val="24"/>
                <w:szCs w:val="24"/>
                <w:highlight w:val="none"/>
              </w:rPr>
              <w:t>②满足基本条件下每增加1辆14米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以上高空作业车辆的得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分；每增加1辆巡查工程车</w:t>
            </w:r>
            <w:r>
              <w:rPr>
                <w:rFonts w:hint="eastAsia" w:ascii="宋体" w:hAnsi="宋体" w:eastAsia="宋体" w:cs="宋体"/>
                <w:bCs/>
                <w:color w:val="auto"/>
                <w:sz w:val="24"/>
                <w:szCs w:val="24"/>
                <w:highlight w:val="none"/>
              </w:rPr>
              <w:t>5座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分；每增加1辆运输车辆</w:t>
            </w:r>
            <w:r>
              <w:rPr>
                <w:rFonts w:hint="eastAsia" w:ascii="宋体" w:hAnsi="宋体" w:eastAsia="宋体" w:cs="宋体"/>
                <w:bCs/>
                <w:color w:val="auto"/>
                <w:sz w:val="24"/>
                <w:szCs w:val="24"/>
                <w:highlight w:val="none"/>
              </w:rPr>
              <w:t>2.5T</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分；每增加1辆汽吊</w:t>
            </w:r>
            <w:r>
              <w:rPr>
                <w:rFonts w:hint="eastAsia" w:ascii="宋体" w:hAnsi="宋体" w:eastAsia="宋体" w:cs="宋体"/>
                <w:bCs/>
                <w:color w:val="auto"/>
                <w:sz w:val="24"/>
                <w:szCs w:val="24"/>
                <w:highlight w:val="none"/>
              </w:rPr>
              <w:t>5T</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以上</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3604" w:type="dxa"/>
            <w:noWrap w:val="0"/>
            <w:vAlign w:val="center"/>
          </w:tcPr>
          <w:p w14:paraId="2E1B58E7">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投标时提供以下</w:t>
            </w:r>
            <w:r>
              <w:rPr>
                <w:rFonts w:hint="eastAsia" w:ascii="宋体" w:hAnsi="宋体" w:eastAsia="宋体" w:cs="宋体"/>
                <w:b/>
                <w:bCs/>
                <w:color w:val="auto"/>
                <w:sz w:val="24"/>
                <w:szCs w:val="24"/>
                <w:highlight w:val="none"/>
              </w:rPr>
              <w:t>相应资料</w:t>
            </w:r>
            <w:r>
              <w:rPr>
                <w:rFonts w:hint="eastAsia" w:ascii="宋体" w:hAnsi="宋体" w:eastAsia="宋体" w:cs="宋体"/>
                <w:b/>
                <w:bCs/>
                <w:strike w:val="0"/>
                <w:dstrike w:val="0"/>
                <w:color w:val="auto"/>
                <w:sz w:val="24"/>
                <w:szCs w:val="24"/>
                <w:highlight w:val="none"/>
              </w:rPr>
              <w:t>或承诺书</w:t>
            </w:r>
            <w:r>
              <w:rPr>
                <w:rFonts w:hint="eastAsia" w:ascii="宋体" w:hAnsi="宋体" w:eastAsia="宋体" w:cs="宋体"/>
                <w:b/>
                <w:bCs/>
                <w:strike w:val="0"/>
                <w:dstrike w:val="0"/>
                <w:color w:val="auto"/>
                <w:sz w:val="24"/>
                <w:szCs w:val="24"/>
                <w:highlight w:val="none"/>
                <w:lang w:val="en-US" w:eastAsia="zh-CN"/>
              </w:rPr>
              <w:t>原件扫描件</w:t>
            </w:r>
            <w:r>
              <w:rPr>
                <w:rFonts w:hint="eastAsia" w:ascii="宋体" w:hAnsi="宋体" w:eastAsia="宋体" w:cs="宋体"/>
                <w:color w:val="auto"/>
                <w:sz w:val="24"/>
                <w:szCs w:val="24"/>
                <w:highlight w:val="none"/>
              </w:rPr>
              <w:t>（格式详见承诺书八），</w:t>
            </w:r>
            <w:r>
              <w:rPr>
                <w:rFonts w:hint="eastAsia" w:ascii="宋体" w:hAnsi="宋体" w:eastAsia="宋体" w:cs="宋体"/>
                <w:b/>
                <w:bCs/>
                <w:color w:val="auto"/>
                <w:sz w:val="24"/>
                <w:szCs w:val="24"/>
                <w:highlight w:val="none"/>
              </w:rPr>
              <w:t>同时须承诺</w:t>
            </w:r>
            <w:r>
              <w:rPr>
                <w:rFonts w:hint="eastAsia" w:ascii="宋体" w:hAnsi="宋体" w:eastAsia="宋体" w:cs="宋体"/>
                <w:color w:val="auto"/>
                <w:sz w:val="24"/>
                <w:szCs w:val="24"/>
                <w:highlight w:val="none"/>
              </w:rPr>
              <w:t>相应车辆在任何情况下均优先为本项目使用（格式详见</w:t>
            </w:r>
            <w:r>
              <w:rPr>
                <w:rFonts w:hint="eastAsia" w:ascii="宋体" w:hAnsi="宋体" w:eastAsia="宋体" w:cs="宋体"/>
                <w:b/>
                <w:bCs/>
                <w:color w:val="auto"/>
                <w:sz w:val="24"/>
                <w:szCs w:val="24"/>
                <w:highlight w:val="none"/>
              </w:rPr>
              <w:t>承诺书九</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须提供原件扫描件</w:t>
            </w:r>
            <w:r>
              <w:rPr>
                <w:rFonts w:hint="eastAsia" w:ascii="宋体" w:hAnsi="宋体" w:eastAsia="宋体" w:cs="宋体"/>
                <w:color w:val="auto"/>
                <w:sz w:val="24"/>
                <w:szCs w:val="24"/>
                <w:highlight w:val="none"/>
              </w:rPr>
              <w:t>）：若为自有车辆须提供：①车辆登记证原件；②车辆彩色照片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车牌清晰可辨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；③车辆技术参数证明材料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4 \* GB3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④</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车辆通行证网络查询截图（须反映车牌、有效期、服务内容等信息）</w:t>
            </w:r>
            <w:r>
              <w:rPr>
                <w:rFonts w:hint="eastAsia" w:ascii="宋体" w:hAnsi="宋体" w:eastAsia="宋体" w:cs="宋体"/>
                <w:color w:val="auto"/>
                <w:sz w:val="24"/>
                <w:szCs w:val="24"/>
                <w:highlight w:val="none"/>
              </w:rPr>
              <w:t>。若为租赁车辆须提供：①租赁协议</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（租赁期限不得少于本项目维护期）；②出租方的车辆登记证</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；③车辆彩色照片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车牌清晰可辨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；④车辆技术参数证明材料；</w:t>
            </w:r>
            <w:r>
              <w:rPr>
                <w:rFonts w:hint="eastAsia" w:ascii="宋体" w:hAnsi="宋体" w:eastAsia="宋体" w:cs="宋体"/>
                <w:color w:val="auto"/>
                <w:sz w:val="24"/>
                <w:szCs w:val="24"/>
                <w:highlight w:val="none"/>
                <w:lang w:val="zh-CN"/>
              </w:rPr>
              <w:t>⑤车辆通行证网络查询截图（须反映车牌、有效期、服务内容等信息）</w:t>
            </w:r>
          </w:p>
          <w:p w14:paraId="7EA8536C">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注：根据《关于无锡市区载货汽车、专项作业通行管理措施的通告》（无锡市公安局交警支队）要求，载货汽车、专项作业车进入指定区域进行作业、抢修、维护、抢险等作业须具备由公安部门核发的通行证，无通行证车辆不予认可。通行证范围必须包含本项目养护区域。</w:t>
            </w:r>
            <w:r>
              <w:rPr>
                <w:rFonts w:hint="eastAsia" w:ascii="宋体" w:hAnsi="宋体" w:eastAsia="宋体" w:cs="宋体"/>
                <w:b/>
                <w:bCs/>
                <w:color w:val="auto"/>
                <w:sz w:val="24"/>
                <w:szCs w:val="24"/>
                <w:highlight w:val="none"/>
              </w:rPr>
              <w:t>三个标段车辆配备可以使用同一车辆配备，</w:t>
            </w:r>
            <w:r>
              <w:rPr>
                <w:rFonts w:hint="eastAsia" w:ascii="宋体" w:hAnsi="宋体" w:eastAsia="宋体" w:cs="宋体"/>
                <w:color w:val="auto"/>
                <w:sz w:val="24"/>
                <w:szCs w:val="24"/>
                <w:highlight w:val="none"/>
              </w:rPr>
              <w:t>投标文件中须提供本评分项所需资料</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，不提供不得分。</w:t>
            </w:r>
          </w:p>
        </w:tc>
      </w:tr>
      <w:tr w14:paraId="02A2B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7" w:type="dxa"/>
            <w:noWrap w:val="0"/>
            <w:vAlign w:val="center"/>
          </w:tcPr>
          <w:p w14:paraId="4B28E093">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95" w:type="dxa"/>
            <w:noWrap w:val="0"/>
            <w:vAlign w:val="center"/>
          </w:tcPr>
          <w:p w14:paraId="0237129F">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养护设备</w:t>
            </w:r>
          </w:p>
        </w:tc>
        <w:tc>
          <w:tcPr>
            <w:tcW w:w="780" w:type="dxa"/>
            <w:noWrap w:val="0"/>
            <w:vAlign w:val="center"/>
          </w:tcPr>
          <w:p w14:paraId="584C5B36">
            <w:pPr>
              <w:keepNext/>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4727" w:type="dxa"/>
            <w:noWrap w:val="0"/>
            <w:vAlign w:val="center"/>
          </w:tcPr>
          <w:p w14:paraId="3EE36426">
            <w:pPr>
              <w:keepNext/>
              <w:snapToGrid w:val="0"/>
              <w:spacing w:line="360" w:lineRule="auto"/>
              <w:ind w:left="0" w:leftChars="0" w:right="0" w:rightChars="0" w:firstLine="0" w:firstLineChars="0"/>
              <w:jc w:val="left"/>
              <w:rPr>
                <w:rFonts w:hint="eastAsia" w:ascii="宋体" w:hAnsi="宋体" w:cs="宋体"/>
                <w:smallCaps/>
                <w:color w:val="auto"/>
                <w:sz w:val="24"/>
                <w:szCs w:val="24"/>
                <w:highlight w:val="none"/>
                <w:lang w:eastAsia="zh-CN"/>
              </w:rPr>
            </w:pPr>
            <w:r>
              <w:rPr>
                <w:rFonts w:hint="eastAsia" w:ascii="宋体" w:hAnsi="宋体" w:eastAsia="宋体" w:cs="宋体"/>
                <w:smallCaps/>
                <w:color w:val="auto"/>
                <w:sz w:val="24"/>
                <w:szCs w:val="24"/>
                <w:highlight w:val="none"/>
              </w:rPr>
              <w:t>满足基本条件：具有吊篮</w:t>
            </w:r>
            <w:r>
              <w:rPr>
                <w:rFonts w:hint="eastAsia" w:ascii="宋体" w:hAnsi="宋体" w:cs="宋体"/>
                <w:smallCaps/>
                <w:color w:val="auto"/>
                <w:sz w:val="24"/>
                <w:szCs w:val="24"/>
                <w:highlight w:val="none"/>
                <w:lang w:val="en-US" w:eastAsia="zh-CN"/>
              </w:rPr>
              <w:t>2</w:t>
            </w:r>
            <w:r>
              <w:rPr>
                <w:rFonts w:hint="eastAsia" w:ascii="宋体" w:hAnsi="宋体" w:eastAsia="宋体" w:cs="宋体"/>
                <w:smallCaps/>
                <w:color w:val="auto"/>
                <w:sz w:val="24"/>
                <w:szCs w:val="24"/>
                <w:highlight w:val="none"/>
              </w:rPr>
              <w:t>个（桥梁专用），全新高空作业安全坐板2个（大楼专用），全新高空作业安全绳5根，接地电阻测试仪1个；绝缘电阻测试仪</w:t>
            </w:r>
            <w:r>
              <w:rPr>
                <w:rFonts w:hint="eastAsia" w:ascii="宋体" w:hAnsi="宋体" w:cs="宋体"/>
                <w:smallCaps/>
                <w:color w:val="auto"/>
                <w:sz w:val="24"/>
                <w:szCs w:val="24"/>
                <w:highlight w:val="none"/>
                <w:lang w:val="en-US" w:eastAsia="zh-CN"/>
              </w:rPr>
              <w:t>2</w:t>
            </w:r>
            <w:r>
              <w:rPr>
                <w:rFonts w:hint="eastAsia" w:ascii="宋体" w:hAnsi="宋体" w:eastAsia="宋体" w:cs="宋体"/>
                <w:smallCaps/>
                <w:color w:val="auto"/>
                <w:sz w:val="24"/>
                <w:szCs w:val="24"/>
                <w:highlight w:val="none"/>
              </w:rPr>
              <w:t>个；2</w:t>
            </w:r>
            <w:r>
              <w:rPr>
                <w:rFonts w:hint="eastAsia" w:ascii="宋体" w:hAnsi="宋体" w:cs="宋体"/>
                <w:smallCaps/>
                <w:color w:val="auto"/>
                <w:sz w:val="24"/>
                <w:szCs w:val="24"/>
                <w:highlight w:val="none"/>
                <w:lang w:val="en-US" w:eastAsia="zh-CN"/>
              </w:rPr>
              <w:t>K</w:t>
            </w:r>
            <w:r>
              <w:rPr>
                <w:rFonts w:hint="eastAsia" w:ascii="宋体" w:hAnsi="宋体" w:cs="宋体"/>
                <w:smallCaps/>
                <w:color w:val="auto"/>
                <w:sz w:val="24"/>
                <w:szCs w:val="24"/>
                <w:highlight w:val="none"/>
                <w:lang w:eastAsia="zh-CN"/>
              </w:rPr>
              <w:t>W</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含</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以上发电机1台；2</w:t>
            </w:r>
            <w:r>
              <w:rPr>
                <w:rFonts w:hint="eastAsia" w:ascii="宋体" w:hAnsi="宋体" w:cs="宋体"/>
                <w:smallCaps/>
                <w:color w:val="auto"/>
                <w:sz w:val="24"/>
                <w:szCs w:val="24"/>
                <w:highlight w:val="none"/>
                <w:lang w:val="en-US" w:eastAsia="zh-CN"/>
              </w:rPr>
              <w:t>K</w:t>
            </w:r>
            <w:r>
              <w:rPr>
                <w:rFonts w:hint="eastAsia" w:ascii="宋体" w:hAnsi="宋体" w:cs="宋体"/>
                <w:smallCaps/>
                <w:color w:val="auto"/>
                <w:sz w:val="24"/>
                <w:szCs w:val="24"/>
                <w:highlight w:val="none"/>
                <w:lang w:eastAsia="zh-CN"/>
              </w:rPr>
              <w:t>W</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含</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以上电焊机1台，得基础分</w:t>
            </w:r>
            <w:r>
              <w:rPr>
                <w:rFonts w:hint="eastAsia" w:ascii="宋体" w:hAnsi="宋体" w:eastAsia="宋体" w:cs="宋体"/>
                <w:smallCaps/>
                <w:color w:val="auto"/>
                <w:sz w:val="24"/>
                <w:szCs w:val="24"/>
                <w:highlight w:val="none"/>
                <w:lang w:val="en-US" w:eastAsia="zh-CN"/>
              </w:rPr>
              <w:t>2</w:t>
            </w:r>
            <w:r>
              <w:rPr>
                <w:rFonts w:hint="eastAsia" w:ascii="宋体" w:hAnsi="宋体" w:eastAsia="宋体" w:cs="宋体"/>
                <w:smallCaps/>
                <w:color w:val="auto"/>
                <w:sz w:val="24"/>
                <w:szCs w:val="24"/>
                <w:highlight w:val="none"/>
              </w:rPr>
              <w:t>分，少任意一项均不得分。                                                                               满足基本条件下每增加1台2</w:t>
            </w:r>
            <w:r>
              <w:rPr>
                <w:rFonts w:hint="eastAsia" w:ascii="宋体" w:hAnsi="宋体" w:cs="宋体"/>
                <w:smallCaps/>
                <w:color w:val="auto"/>
                <w:sz w:val="24"/>
                <w:szCs w:val="24"/>
                <w:highlight w:val="none"/>
                <w:lang w:val="en-US" w:eastAsia="zh-CN"/>
              </w:rPr>
              <w:t>K</w:t>
            </w:r>
            <w:r>
              <w:rPr>
                <w:rFonts w:hint="eastAsia" w:ascii="宋体" w:hAnsi="宋体" w:cs="宋体"/>
                <w:smallCaps/>
                <w:color w:val="auto"/>
                <w:sz w:val="24"/>
                <w:szCs w:val="24"/>
                <w:highlight w:val="none"/>
                <w:lang w:eastAsia="zh-CN"/>
              </w:rPr>
              <w:t>W</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含</w:t>
            </w:r>
            <w:r>
              <w:rPr>
                <w:rFonts w:hint="eastAsia" w:ascii="宋体" w:hAnsi="宋体" w:eastAsia="宋体" w:cs="宋体"/>
                <w:smallCaps/>
                <w:color w:val="auto"/>
                <w:sz w:val="24"/>
                <w:szCs w:val="24"/>
                <w:highlight w:val="none"/>
                <w:lang w:eastAsia="zh-CN"/>
              </w:rPr>
              <w:t>）</w:t>
            </w:r>
            <w:r>
              <w:rPr>
                <w:rFonts w:hint="eastAsia" w:ascii="宋体" w:hAnsi="宋体" w:eastAsia="宋体" w:cs="宋体"/>
                <w:smallCaps/>
                <w:color w:val="auto"/>
                <w:sz w:val="24"/>
                <w:szCs w:val="24"/>
                <w:highlight w:val="none"/>
              </w:rPr>
              <w:t>以上发电机得1分，最高得1分；</w:t>
            </w:r>
            <w:r>
              <w:rPr>
                <w:rFonts w:hint="eastAsia" w:ascii="宋体" w:hAnsi="宋体" w:eastAsia="宋体" w:cs="宋体"/>
                <w:smallCaps/>
                <w:color w:val="auto"/>
                <w:sz w:val="24"/>
                <w:szCs w:val="24"/>
                <w:highlight w:val="none"/>
                <w:lang w:eastAsia="zh-CN"/>
              </w:rPr>
              <w:t>另</w:t>
            </w:r>
            <w:r>
              <w:rPr>
                <w:rFonts w:hint="eastAsia" w:ascii="宋体" w:hAnsi="宋体" w:eastAsia="宋体" w:cs="宋体"/>
                <w:smallCaps/>
                <w:color w:val="auto"/>
                <w:sz w:val="24"/>
                <w:szCs w:val="24"/>
                <w:highlight w:val="none"/>
              </w:rPr>
              <w:t>增加1个电缆故障探测仪得1分，最高得1分</w:t>
            </w:r>
            <w:r>
              <w:rPr>
                <w:rFonts w:hint="eastAsia" w:ascii="宋体" w:hAnsi="宋体" w:cs="宋体"/>
                <w:smallCaps/>
                <w:color w:val="auto"/>
                <w:sz w:val="24"/>
                <w:szCs w:val="24"/>
                <w:highlight w:val="none"/>
                <w:lang w:eastAsia="zh-CN"/>
              </w:rPr>
              <w:t>；另增加一台巡查无人机的</w:t>
            </w:r>
            <w:r>
              <w:rPr>
                <w:rFonts w:hint="eastAsia" w:ascii="宋体" w:hAnsi="宋体" w:eastAsia="宋体" w:cs="宋体"/>
                <w:smallCaps/>
                <w:color w:val="auto"/>
                <w:sz w:val="24"/>
                <w:szCs w:val="24"/>
                <w:highlight w:val="none"/>
              </w:rPr>
              <w:t>得1分，最高得1分</w:t>
            </w:r>
            <w:r>
              <w:rPr>
                <w:rFonts w:hint="eastAsia" w:ascii="宋体" w:hAnsi="宋体" w:cs="宋体"/>
                <w:smallCaps/>
                <w:color w:val="auto"/>
                <w:sz w:val="24"/>
                <w:szCs w:val="24"/>
                <w:highlight w:val="none"/>
                <w:lang w:eastAsia="zh-CN"/>
              </w:rPr>
              <w:t>；</w:t>
            </w:r>
          </w:p>
          <w:p w14:paraId="1C58DE24">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smallCaps/>
                <w:color w:val="auto"/>
                <w:sz w:val="24"/>
                <w:szCs w:val="24"/>
                <w:highlight w:val="none"/>
              </w:rPr>
              <w:t>本项最高得</w:t>
            </w:r>
            <w:r>
              <w:rPr>
                <w:rFonts w:hint="eastAsia" w:ascii="宋体" w:hAnsi="宋体" w:cs="宋体"/>
                <w:smallCaps/>
                <w:color w:val="auto"/>
                <w:sz w:val="24"/>
                <w:szCs w:val="24"/>
                <w:highlight w:val="none"/>
                <w:lang w:val="en-US" w:eastAsia="zh-CN"/>
              </w:rPr>
              <w:t>5</w:t>
            </w:r>
            <w:r>
              <w:rPr>
                <w:rFonts w:hint="eastAsia" w:ascii="宋体" w:hAnsi="宋体" w:eastAsia="宋体" w:cs="宋体"/>
                <w:smallCaps/>
                <w:color w:val="auto"/>
                <w:sz w:val="24"/>
                <w:szCs w:val="24"/>
                <w:highlight w:val="none"/>
              </w:rPr>
              <w:t>分。</w:t>
            </w:r>
          </w:p>
        </w:tc>
        <w:tc>
          <w:tcPr>
            <w:tcW w:w="3604" w:type="dxa"/>
            <w:noWrap w:val="0"/>
            <w:vAlign w:val="center"/>
          </w:tcPr>
          <w:p w14:paraId="73916DBA">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①如为自有设备，投标文件中须提供购买发票的</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；如为租赁设备，投标文件中须提供租赁合同以及设备购买发票的</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，且租赁期涵盖本项目实施周期。</w:t>
            </w:r>
            <w:r>
              <w:rPr>
                <w:rFonts w:hint="eastAsia" w:ascii="宋体" w:hAnsi="宋体" w:cs="宋体"/>
                <w:color w:val="auto"/>
                <w:sz w:val="24"/>
                <w:szCs w:val="24"/>
                <w:highlight w:val="none"/>
                <w:lang w:val="en-US" w:eastAsia="zh-CN"/>
              </w:rPr>
              <w:t>不提供</w:t>
            </w:r>
            <w:r>
              <w:rPr>
                <w:rFonts w:hint="eastAsia" w:ascii="宋体" w:hAnsi="宋体" w:eastAsia="宋体" w:cs="宋体"/>
                <w:color w:val="auto"/>
                <w:sz w:val="24"/>
                <w:szCs w:val="24"/>
                <w:highlight w:val="none"/>
              </w:rPr>
              <w:t>不得分。</w:t>
            </w:r>
          </w:p>
          <w:p w14:paraId="3626CCBA">
            <w:pPr>
              <w:keepNext/>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②提供设备彩色照片</w:t>
            </w:r>
            <w:r>
              <w:rPr>
                <w:rFonts w:hint="eastAsia" w:ascii="宋体" w:hAnsi="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。注：①和②均需满足，否则不得分。</w:t>
            </w:r>
            <w:r>
              <w:rPr>
                <w:rFonts w:hint="eastAsia" w:ascii="宋体" w:hAnsi="宋体" w:eastAsia="宋体" w:cs="宋体"/>
                <w:b/>
                <w:bCs/>
                <w:color w:val="auto"/>
                <w:sz w:val="24"/>
                <w:szCs w:val="24"/>
                <w:highlight w:val="none"/>
              </w:rPr>
              <w:t>三个标段养护设备可以使用同一套设备。</w:t>
            </w:r>
          </w:p>
        </w:tc>
      </w:tr>
    </w:tbl>
    <w:p w14:paraId="1492DA26">
      <w:pPr>
        <w:pStyle w:val="98"/>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left"/>
        <w:textAlignment w:val="auto"/>
        <w:rPr>
          <w:rFonts w:hint="eastAsia" w:ascii="宋体" w:hAnsi="宋体" w:eastAsia="宋体" w:cs="宋体"/>
          <w:b/>
          <w:color w:val="auto"/>
          <w:sz w:val="24"/>
          <w:szCs w:val="28"/>
          <w:highlight w:val="none"/>
          <w:u w:val="single"/>
          <w:lang w:val="en-US" w:eastAsia="zh-CN"/>
        </w:rPr>
      </w:pPr>
      <w:r>
        <w:rPr>
          <w:rFonts w:hint="eastAsia" w:ascii="宋体" w:hAnsi="宋体" w:eastAsia="宋体" w:cs="宋体"/>
          <w:b/>
          <w:color w:val="auto"/>
          <w:sz w:val="24"/>
          <w:szCs w:val="28"/>
          <w:highlight w:val="none"/>
          <w:lang w:val="en-US" w:eastAsia="zh-CN"/>
        </w:rPr>
        <w:t>（三）技术方案（</w:t>
      </w:r>
      <w:r>
        <w:rPr>
          <w:rFonts w:hint="eastAsia" w:ascii="宋体" w:hAnsi="宋体" w:cs="宋体"/>
          <w:b/>
          <w:color w:val="auto"/>
          <w:sz w:val="24"/>
          <w:szCs w:val="28"/>
          <w:highlight w:val="none"/>
          <w:lang w:val="en-US" w:eastAsia="zh-CN"/>
        </w:rPr>
        <w:t>64</w:t>
      </w:r>
      <w:r>
        <w:rPr>
          <w:rFonts w:hint="eastAsia" w:ascii="宋体" w:hAnsi="宋体" w:eastAsia="宋体" w:cs="宋体"/>
          <w:b/>
          <w:color w:val="auto"/>
          <w:sz w:val="24"/>
          <w:szCs w:val="28"/>
          <w:highlight w:val="none"/>
          <w:lang w:val="en-US" w:eastAsia="zh-CN"/>
        </w:rPr>
        <w:t>分）</w:t>
      </w:r>
      <w:r>
        <w:rPr>
          <w:rFonts w:hint="eastAsia" w:ascii="宋体" w:hAnsi="宋体" w:eastAsia="宋体" w:cs="宋体"/>
          <w:b/>
          <w:color w:val="auto"/>
          <w:sz w:val="24"/>
          <w:szCs w:val="28"/>
          <w:highlight w:val="none"/>
          <w:u w:val="single"/>
          <w:lang w:val="en-US" w:eastAsia="zh-CN"/>
        </w:rPr>
        <w:t>（技术部分属于暗标，投标人在制作技术部分相关内容时不得有体现投标人身份的内容，否则投标无效）</w:t>
      </w:r>
    </w:p>
    <w:tbl>
      <w:tblPr>
        <w:tblStyle w:val="4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1285"/>
        <w:gridCol w:w="511"/>
        <w:gridCol w:w="6844"/>
        <w:gridCol w:w="811"/>
      </w:tblGrid>
      <w:tr w14:paraId="28F2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06B0AFB5">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0" w:type="auto"/>
            <w:noWrap w:val="0"/>
            <w:vAlign w:val="center"/>
          </w:tcPr>
          <w:p w14:paraId="7ACF9AA8">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评分项目</w:t>
            </w:r>
          </w:p>
        </w:tc>
        <w:tc>
          <w:tcPr>
            <w:tcW w:w="0" w:type="auto"/>
            <w:noWrap w:val="0"/>
            <w:vAlign w:val="center"/>
          </w:tcPr>
          <w:p w14:paraId="6B837C25">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6845" w:type="dxa"/>
            <w:noWrap w:val="0"/>
            <w:vAlign w:val="center"/>
          </w:tcPr>
          <w:p w14:paraId="5FC01422">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评分标准</w:t>
            </w:r>
          </w:p>
        </w:tc>
        <w:tc>
          <w:tcPr>
            <w:tcW w:w="811" w:type="dxa"/>
            <w:noWrap w:val="0"/>
            <w:vAlign w:val="center"/>
          </w:tcPr>
          <w:p w14:paraId="40C5FA41">
            <w:pPr>
              <w:keepNext w:val="0"/>
              <w:snapToGrid w:val="0"/>
              <w:spacing w:line="360" w:lineRule="auto"/>
              <w:ind w:left="0" w:leftChars="0" w:right="0" w:righ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14:paraId="049C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58BEAC32">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0" w:type="auto"/>
            <w:noWrap w:val="0"/>
            <w:vAlign w:val="center"/>
          </w:tcPr>
          <w:p w14:paraId="7FF84989">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夜景照明设施维护总体方案</w:t>
            </w:r>
          </w:p>
        </w:tc>
        <w:tc>
          <w:tcPr>
            <w:tcW w:w="0" w:type="auto"/>
            <w:noWrap w:val="0"/>
            <w:vAlign w:val="center"/>
          </w:tcPr>
          <w:p w14:paraId="18727741">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3AF0B87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对于夜景照明设施运行服务提供相关的维护保养方案及整修方案，包括日常维护、灯具清洗及日常配合响应、设施定期检测等基本工作。</w:t>
            </w:r>
          </w:p>
          <w:p w14:paraId="3C8488D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275FA5F6">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r>
      <w:tr w14:paraId="6A60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28414C6">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0" w:type="auto"/>
            <w:noWrap w:val="0"/>
            <w:vAlign w:val="center"/>
          </w:tcPr>
          <w:p w14:paraId="7F1C4A06">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日常维护计划</w:t>
            </w:r>
          </w:p>
        </w:tc>
        <w:tc>
          <w:tcPr>
            <w:tcW w:w="0" w:type="auto"/>
            <w:noWrap w:val="0"/>
            <w:vAlign w:val="center"/>
          </w:tcPr>
          <w:p w14:paraId="584F539E">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450C07FE">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1"/>
                <w:highlight w:val="none"/>
                <w:lang w:val="en-US" w:eastAsia="zh-CN" w:bidi="ar-SA"/>
              </w:rPr>
              <w:t>1.</w:t>
            </w:r>
            <w:r>
              <w:rPr>
                <w:rFonts w:hint="eastAsia" w:ascii="宋体" w:hAnsi="宋体" w:eastAsia="宋体" w:cs="宋体"/>
                <w:color w:val="auto"/>
                <w:sz w:val="24"/>
                <w:highlight w:val="none"/>
              </w:rPr>
              <w:t>按月编制月度维护作业计划，包含巡查计划，以及灯具清洗、安全专项检查、各类数据检测等专项计划</w:t>
            </w:r>
            <w:r>
              <w:rPr>
                <w:rFonts w:hint="eastAsia" w:ascii="宋体" w:hAnsi="宋体" w:cs="宋体"/>
                <w:color w:val="auto"/>
                <w:sz w:val="24"/>
                <w:highlight w:val="none"/>
                <w:lang w:eastAsia="zh-CN"/>
              </w:rPr>
              <w:t>；</w:t>
            </w:r>
          </w:p>
          <w:p w14:paraId="17019940">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1"/>
                <w:highlight w:val="none"/>
                <w:lang w:val="en-US" w:eastAsia="zh-CN" w:bidi="ar-SA"/>
              </w:rPr>
              <w:t>2.</w:t>
            </w:r>
            <w:r>
              <w:rPr>
                <w:rFonts w:hint="eastAsia" w:ascii="宋体" w:hAnsi="宋体" w:eastAsia="宋体" w:cs="宋体"/>
                <w:color w:val="auto"/>
                <w:sz w:val="24"/>
                <w:highlight w:val="none"/>
              </w:rPr>
              <w:t>建立巡查、巡修、抢修机制，做到查、修分离，提高故障发现、处理效率。具体巡查措施</w:t>
            </w:r>
            <w:r>
              <w:rPr>
                <w:rFonts w:hint="eastAsia" w:ascii="宋体" w:hAnsi="宋体" w:cs="宋体"/>
                <w:color w:val="auto"/>
                <w:sz w:val="24"/>
                <w:highlight w:val="none"/>
                <w:lang w:eastAsia="zh-CN"/>
              </w:rPr>
              <w:t>；</w:t>
            </w:r>
          </w:p>
          <w:p w14:paraId="217C241E">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1"/>
                <w:highlight w:val="none"/>
                <w:lang w:val="en-US" w:eastAsia="zh-CN" w:bidi="ar-SA"/>
              </w:rPr>
              <w:t>3.</w:t>
            </w:r>
            <w:r>
              <w:rPr>
                <w:rFonts w:hint="eastAsia" w:ascii="宋体" w:hAnsi="宋体" w:eastAsia="宋体" w:cs="宋体"/>
                <w:color w:val="auto"/>
                <w:sz w:val="24"/>
                <w:highlight w:val="none"/>
              </w:rPr>
              <w:t>按照巡查结果及时处理各类故障，并将修复结果上报照明设施管理机构</w:t>
            </w:r>
            <w:r>
              <w:rPr>
                <w:rFonts w:hint="eastAsia" w:ascii="宋体" w:cs="宋体"/>
                <w:sz w:val="24"/>
                <w:highlight w:val="none"/>
                <w:lang w:val="zh-CN"/>
              </w:rPr>
              <w:t>。</w:t>
            </w:r>
          </w:p>
          <w:p w14:paraId="572E148A">
            <w:pPr>
              <w:keepNext w:val="0"/>
              <w:numPr>
                <w:ilvl w:val="-1"/>
                <w:numId w:val="0"/>
              </w:num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w:t>
            </w:r>
            <w:r>
              <w:rPr>
                <w:rFonts w:hint="eastAsia" w:ascii="宋体" w:eastAsia="宋体" w:cs="宋体"/>
                <w:sz w:val="24"/>
                <w:highlight w:val="none"/>
                <w:lang w:val="en-US" w:eastAsia="zh-CN"/>
              </w:rPr>
              <w:t>0</w:t>
            </w:r>
            <w:r>
              <w:rPr>
                <w:rFonts w:hint="eastAsia" w:ascii="宋体" w:eastAsia="宋体" w:cs="宋体"/>
                <w:sz w:val="24"/>
                <w:highlight w:val="none"/>
                <w:lang w:val="zh-CN"/>
              </w:rPr>
              <w:t>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00EC98F5">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含偷盗设施恢复</w:t>
            </w:r>
          </w:p>
        </w:tc>
      </w:tr>
      <w:tr w14:paraId="315BF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678362F">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0" w:type="auto"/>
            <w:noWrap w:val="0"/>
            <w:vAlign w:val="center"/>
          </w:tcPr>
          <w:p w14:paraId="4186F25F">
            <w:pPr>
              <w:keepNext w:val="0"/>
              <w:snapToGrid w:val="0"/>
              <w:spacing w:line="360" w:lineRule="auto"/>
              <w:ind w:left="0" w:leftChars="0" w:right="0" w:righ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综合协调方案</w:t>
            </w:r>
          </w:p>
        </w:tc>
        <w:tc>
          <w:tcPr>
            <w:tcW w:w="0" w:type="auto"/>
            <w:noWrap w:val="0"/>
            <w:vAlign w:val="center"/>
          </w:tcPr>
          <w:p w14:paraId="52CFEA98">
            <w:pPr>
              <w:keepNext w:val="0"/>
              <w:snapToGrid w:val="0"/>
              <w:spacing w:line="360" w:lineRule="auto"/>
              <w:ind w:left="0" w:leftChars="0" w:right="0" w:rightChars="0" w:firstLine="0" w:firstLineChars="0"/>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p>
        </w:tc>
        <w:tc>
          <w:tcPr>
            <w:tcW w:w="6845" w:type="dxa"/>
            <w:noWrap w:val="0"/>
            <w:vAlign w:val="center"/>
          </w:tcPr>
          <w:p w14:paraId="4DBB7159">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highlight w:val="none"/>
              </w:rPr>
              <w:t>实施维修作业期间与物业、居民及其它相关单位、部门综合协调处理方案，发生损坏事件的处理方案。</w:t>
            </w: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68E9712D">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40CD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65E37E5">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0" w:type="auto"/>
            <w:noWrap w:val="0"/>
            <w:vAlign w:val="center"/>
          </w:tcPr>
          <w:p w14:paraId="7ED2E2E7">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重大节日、重大活动保障措施</w:t>
            </w:r>
          </w:p>
        </w:tc>
        <w:tc>
          <w:tcPr>
            <w:tcW w:w="0" w:type="auto"/>
            <w:noWrap w:val="0"/>
            <w:vAlign w:val="center"/>
          </w:tcPr>
          <w:p w14:paraId="01150A1E">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21078D4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1.人员及车辆保障措施</w:t>
            </w:r>
            <w:r>
              <w:rPr>
                <w:rFonts w:hint="eastAsia" w:ascii="宋体" w:hAnsi="宋体" w:eastAsia="宋体" w:cs="宋体"/>
                <w:color w:val="auto"/>
                <w:sz w:val="24"/>
                <w:highlight w:val="none"/>
                <w:lang w:eastAsia="zh-CN"/>
              </w:rPr>
              <w:t>；</w:t>
            </w:r>
          </w:p>
          <w:p w14:paraId="0BECD6FD">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2.安全措施</w:t>
            </w:r>
            <w:r>
              <w:rPr>
                <w:rFonts w:hint="eastAsia" w:ascii="宋体" w:hAnsi="宋体" w:eastAsia="宋体" w:cs="宋体"/>
                <w:color w:val="auto"/>
                <w:sz w:val="24"/>
                <w:highlight w:val="none"/>
                <w:lang w:eastAsia="zh-CN"/>
              </w:rPr>
              <w:t>；</w:t>
            </w:r>
          </w:p>
          <w:p w14:paraId="7CFBA78A">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3.重点保障期间巡查、巡修措施</w:t>
            </w:r>
            <w:r>
              <w:rPr>
                <w:rFonts w:hint="eastAsia" w:ascii="宋体" w:hAnsi="宋体" w:eastAsia="宋体" w:cs="宋体"/>
                <w:color w:val="auto"/>
                <w:sz w:val="24"/>
                <w:highlight w:val="none"/>
                <w:lang w:eastAsia="zh-CN"/>
              </w:rPr>
              <w:t>；</w:t>
            </w:r>
          </w:p>
          <w:p w14:paraId="6089FB8F">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4.综合信息上报措施等。</w:t>
            </w:r>
          </w:p>
          <w:p w14:paraId="14118F37">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1426749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r>
      <w:tr w14:paraId="63AE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5226F07">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0" w:type="auto"/>
            <w:noWrap w:val="0"/>
            <w:vAlign w:val="center"/>
          </w:tcPr>
          <w:p w14:paraId="31E0DC38">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应急抢修方案</w:t>
            </w:r>
          </w:p>
        </w:tc>
        <w:tc>
          <w:tcPr>
            <w:tcW w:w="0" w:type="auto"/>
            <w:noWrap w:val="0"/>
            <w:vAlign w:val="center"/>
          </w:tcPr>
          <w:p w14:paraId="5C7AB1CD">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31B8D1DD">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1.启动城市照明应急预案后，所有相关人员到岗情况，实行24小时值班制，上报信息情况，根据</w:t>
            </w:r>
            <w:r>
              <w:rPr>
                <w:rFonts w:hint="eastAsia" w:ascii="宋体" w:hAnsi="宋体" w:eastAsia="宋体" w:cs="宋体"/>
                <w:color w:val="auto"/>
                <w:sz w:val="24"/>
                <w:highlight w:val="none"/>
                <w:lang w:eastAsia="zh-CN"/>
              </w:rPr>
              <w:t>Ⅲ</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Ⅱ</w:t>
            </w:r>
            <w:r>
              <w:rPr>
                <w:rFonts w:hint="eastAsia" w:ascii="宋体" w:hAnsi="宋体" w:eastAsia="宋体" w:cs="宋体"/>
                <w:color w:val="auto"/>
                <w:sz w:val="24"/>
                <w:highlight w:val="none"/>
              </w:rPr>
              <w:t>、I级突发事故提供相应实施方案</w:t>
            </w:r>
            <w:r>
              <w:rPr>
                <w:rFonts w:hint="eastAsia" w:ascii="宋体" w:hAnsi="宋体" w:eastAsia="宋体" w:cs="宋体"/>
                <w:color w:val="auto"/>
                <w:sz w:val="24"/>
                <w:highlight w:val="none"/>
                <w:lang w:eastAsia="zh-CN"/>
              </w:rPr>
              <w:t>；</w:t>
            </w:r>
          </w:p>
          <w:p w14:paraId="217A3D30">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2.当灾害性天气影响城市照明设施正常运行时的措施方案</w:t>
            </w:r>
            <w:r>
              <w:rPr>
                <w:rFonts w:hint="eastAsia" w:ascii="宋体" w:hAnsi="宋体" w:eastAsia="宋体" w:cs="宋体"/>
                <w:color w:val="auto"/>
                <w:sz w:val="24"/>
                <w:highlight w:val="none"/>
                <w:lang w:eastAsia="zh-CN"/>
              </w:rPr>
              <w:t>；</w:t>
            </w:r>
          </w:p>
          <w:p w14:paraId="0BCF9E04">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3.城市快速道路、滨水桥梁、高层建筑等不同地点发生灯杆倒塌、照明器具坠落、设施漏电等各类突发事件的处置措施，接报后确保30分钟内赶赴现场，处置方案</w:t>
            </w:r>
            <w:r>
              <w:rPr>
                <w:rFonts w:hint="eastAsia" w:ascii="宋体" w:hAnsi="宋体" w:eastAsia="宋体" w:cs="宋体"/>
                <w:color w:val="auto"/>
                <w:sz w:val="24"/>
                <w:highlight w:val="none"/>
                <w:lang w:eastAsia="zh-CN"/>
              </w:rPr>
              <w:t>；</w:t>
            </w:r>
          </w:p>
          <w:p w14:paraId="21C8E75F">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4.应急终止后的善后、恢复重建</w:t>
            </w:r>
            <w:r>
              <w:rPr>
                <w:rFonts w:hint="eastAsia" w:ascii="宋体" w:hAnsi="宋体" w:eastAsia="宋体" w:cs="宋体"/>
                <w:color w:val="auto"/>
                <w:sz w:val="24"/>
                <w:highlight w:val="none"/>
                <w:lang w:eastAsia="zh-CN"/>
              </w:rPr>
              <w:t>等</w:t>
            </w:r>
            <w:r>
              <w:rPr>
                <w:rFonts w:hint="eastAsia" w:ascii="宋体" w:hAnsi="宋体" w:eastAsia="宋体" w:cs="宋体"/>
                <w:color w:val="auto"/>
                <w:sz w:val="24"/>
                <w:highlight w:val="none"/>
              </w:rPr>
              <w:t>措施方案</w:t>
            </w:r>
            <w:r>
              <w:rPr>
                <w:rFonts w:hint="eastAsia" w:ascii="宋体" w:hAnsi="宋体" w:eastAsia="宋体" w:cs="宋体"/>
                <w:color w:val="auto"/>
                <w:sz w:val="24"/>
                <w:highlight w:val="none"/>
                <w:lang w:eastAsia="zh-CN"/>
              </w:rPr>
              <w:t>；</w:t>
            </w:r>
          </w:p>
          <w:p w14:paraId="026501C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5.平时各自应急演练措施方案。</w:t>
            </w:r>
          </w:p>
          <w:p w14:paraId="3EBB6D26">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5878F854">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r>
      <w:tr w14:paraId="3455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0B7A1F0">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0" w:type="auto"/>
            <w:noWrap w:val="0"/>
            <w:vAlign w:val="center"/>
          </w:tcPr>
          <w:p w14:paraId="1B812DEB">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安全文明生产保障措施</w:t>
            </w:r>
          </w:p>
        </w:tc>
        <w:tc>
          <w:tcPr>
            <w:tcW w:w="0" w:type="auto"/>
            <w:noWrap w:val="0"/>
            <w:vAlign w:val="center"/>
          </w:tcPr>
          <w:p w14:paraId="1DA01D63">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04940383">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1.现场作业或维护时，应作出预测，</w:t>
            </w:r>
            <w:r>
              <w:rPr>
                <w:rFonts w:hint="eastAsia" w:ascii="宋体" w:hAnsi="宋体" w:eastAsia="宋体" w:cs="宋体"/>
                <w:color w:val="auto"/>
                <w:sz w:val="24"/>
                <w:highlight w:val="none"/>
                <w:lang w:eastAsia="zh-CN"/>
              </w:rPr>
              <w:t>采取</w:t>
            </w:r>
            <w:r>
              <w:rPr>
                <w:rFonts w:hint="eastAsia" w:ascii="宋体" w:hAnsi="宋体" w:eastAsia="宋体" w:cs="宋体"/>
                <w:color w:val="auto"/>
                <w:sz w:val="24"/>
                <w:highlight w:val="none"/>
              </w:rPr>
              <w:t>必要的预防性安全措施</w:t>
            </w:r>
            <w:r>
              <w:rPr>
                <w:rFonts w:hint="eastAsia" w:ascii="宋体" w:hAnsi="宋体" w:eastAsia="宋体" w:cs="宋体"/>
                <w:color w:val="auto"/>
                <w:sz w:val="24"/>
                <w:highlight w:val="none"/>
                <w:lang w:eastAsia="zh-CN"/>
              </w:rPr>
              <w:t>；</w:t>
            </w:r>
          </w:p>
          <w:p w14:paraId="1F83F8B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2.快速道路上方、高层建筑顶部等重大隐患部位巡查计划措施</w:t>
            </w:r>
            <w:r>
              <w:rPr>
                <w:rFonts w:hint="eastAsia" w:ascii="宋体" w:hAnsi="宋体" w:eastAsia="宋体" w:cs="宋体"/>
                <w:color w:val="auto"/>
                <w:sz w:val="24"/>
                <w:highlight w:val="none"/>
                <w:lang w:eastAsia="zh-CN"/>
              </w:rPr>
              <w:t>；</w:t>
            </w:r>
          </w:p>
          <w:p w14:paraId="02DDBFE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安全规章制度</w:t>
            </w:r>
            <w:r>
              <w:rPr>
                <w:rFonts w:hint="eastAsia" w:ascii="宋体" w:hAnsi="宋体" w:eastAsia="宋体" w:cs="宋体"/>
                <w:color w:val="auto"/>
                <w:sz w:val="24"/>
                <w:highlight w:val="none"/>
                <w:lang w:eastAsia="zh-CN"/>
              </w:rPr>
              <w:t>；</w:t>
            </w:r>
          </w:p>
          <w:p w14:paraId="50C89B47">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4.维护人员进行过正规的安全教育、培训的内容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p w14:paraId="2C160648">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5.机械安全、现场作业安全、交通安全等自检台账；</w:t>
            </w:r>
          </w:p>
          <w:p w14:paraId="44DF9DBD">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6.每年进行安全教育记录</w:t>
            </w:r>
            <w:r>
              <w:rPr>
                <w:rFonts w:hint="eastAsia" w:ascii="宋体" w:hAnsi="宋体" w:eastAsia="宋体" w:cs="宋体"/>
                <w:color w:val="auto"/>
                <w:sz w:val="24"/>
                <w:highlight w:val="none"/>
                <w:lang w:eastAsia="zh-CN"/>
              </w:rPr>
              <w:t>；</w:t>
            </w:r>
          </w:p>
          <w:p w14:paraId="4F6D1CBB">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7.一切安全责任事故，均由中标单位全部承担</w:t>
            </w:r>
            <w:r>
              <w:rPr>
                <w:rFonts w:hint="eastAsia" w:ascii="宋体" w:hAnsi="宋体" w:eastAsia="宋体" w:cs="宋体"/>
                <w:color w:val="auto"/>
                <w:sz w:val="24"/>
                <w:highlight w:val="none"/>
                <w:lang w:eastAsia="zh-CN"/>
              </w:rPr>
              <w:t>；</w:t>
            </w:r>
          </w:p>
          <w:p w14:paraId="361BD558">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8.月度安全工作台账，维护单位开展安全检查、教育、考核</w:t>
            </w:r>
            <w:r>
              <w:rPr>
                <w:rFonts w:hint="eastAsia" w:ascii="宋体" w:hAnsi="宋体" w:eastAsia="宋体" w:cs="宋体"/>
                <w:color w:val="auto"/>
                <w:sz w:val="24"/>
                <w:highlight w:val="none"/>
                <w:lang w:eastAsia="zh-CN"/>
              </w:rPr>
              <w:t>等</w:t>
            </w:r>
            <w:r>
              <w:rPr>
                <w:rFonts w:hint="eastAsia" w:ascii="宋体" w:hAnsi="宋体" w:eastAsia="宋体" w:cs="宋体"/>
                <w:color w:val="auto"/>
                <w:sz w:val="24"/>
                <w:highlight w:val="none"/>
              </w:rPr>
              <w:t>台账，含年度安全工作总结等。</w:t>
            </w:r>
          </w:p>
          <w:p w14:paraId="7F094EFB">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2</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6</w:t>
            </w:r>
            <w:r>
              <w:rPr>
                <w:rFonts w:hint="eastAsia" w:ascii="宋体" w:eastAsia="宋体" w:cs="宋体"/>
                <w:sz w:val="24"/>
                <w:highlight w:val="none"/>
                <w:lang w:val="zh-CN"/>
              </w:rPr>
              <w:t>分。</w:t>
            </w:r>
          </w:p>
        </w:tc>
        <w:tc>
          <w:tcPr>
            <w:tcW w:w="811" w:type="dxa"/>
            <w:noWrap w:val="0"/>
            <w:vAlign w:val="center"/>
          </w:tcPr>
          <w:p w14:paraId="1D1D68B8">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677B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F4B35BE">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0" w:type="auto"/>
            <w:noWrap w:val="0"/>
            <w:vAlign w:val="center"/>
          </w:tcPr>
          <w:p w14:paraId="1DA4E228">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质量保障措施</w:t>
            </w:r>
          </w:p>
        </w:tc>
        <w:tc>
          <w:tcPr>
            <w:tcW w:w="0" w:type="auto"/>
            <w:noWrap w:val="0"/>
            <w:vAlign w:val="center"/>
          </w:tcPr>
          <w:p w14:paraId="4607C541">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1D60EA66">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1.巡俢制度（日常巡俢、专项巡修、防汛期间巡俢、大型活动期间巡俢等）保障措施</w:t>
            </w:r>
            <w:r>
              <w:rPr>
                <w:rFonts w:hint="eastAsia" w:ascii="宋体" w:hAnsi="宋体" w:eastAsia="宋体" w:cs="宋体"/>
                <w:color w:val="auto"/>
                <w:sz w:val="24"/>
                <w:highlight w:val="none"/>
                <w:lang w:eastAsia="zh-CN"/>
              </w:rPr>
              <w:t>；</w:t>
            </w:r>
          </w:p>
          <w:p w14:paraId="49027F5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2.各种作业车辆保障（作业车辆维护、保养）</w:t>
            </w:r>
            <w:r>
              <w:rPr>
                <w:rFonts w:hint="eastAsia" w:ascii="宋体" w:hAnsi="宋体" w:eastAsia="宋体" w:cs="宋体"/>
                <w:color w:val="auto"/>
                <w:sz w:val="24"/>
                <w:highlight w:val="none"/>
                <w:lang w:eastAsia="zh-CN"/>
              </w:rPr>
              <w:t>；</w:t>
            </w:r>
          </w:p>
          <w:p w14:paraId="7BC93A88">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3.维修工具（吊篮、保险绳、发电机、检测设备）保障措施；</w:t>
            </w:r>
          </w:p>
          <w:p w14:paraId="6AC4A99E">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4.作业人员（高温、高空、夜间检修）保障措施</w:t>
            </w:r>
            <w:r>
              <w:rPr>
                <w:rFonts w:hint="eastAsia" w:ascii="宋体" w:cs="宋体"/>
                <w:sz w:val="24"/>
                <w:highlight w:val="none"/>
                <w:lang w:val="zh-CN"/>
              </w:rPr>
              <w:t>。</w:t>
            </w:r>
          </w:p>
          <w:p w14:paraId="3336DBE7">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p>
        </w:tc>
        <w:tc>
          <w:tcPr>
            <w:tcW w:w="811" w:type="dxa"/>
            <w:noWrap w:val="0"/>
            <w:vAlign w:val="center"/>
          </w:tcPr>
          <w:p w14:paraId="7A87D2A2">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204C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0" w:type="auto"/>
            <w:noWrap w:val="0"/>
            <w:vAlign w:val="center"/>
          </w:tcPr>
          <w:p w14:paraId="6A95B2CA">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0" w:type="auto"/>
            <w:noWrap w:val="0"/>
            <w:vAlign w:val="center"/>
          </w:tcPr>
          <w:p w14:paraId="2413EB4B">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维护技术资料管理方案</w:t>
            </w:r>
          </w:p>
        </w:tc>
        <w:tc>
          <w:tcPr>
            <w:tcW w:w="0" w:type="auto"/>
            <w:noWrap w:val="0"/>
            <w:vAlign w:val="center"/>
          </w:tcPr>
          <w:p w14:paraId="44A1E5D5">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c>
          <w:tcPr>
            <w:tcW w:w="6845" w:type="dxa"/>
            <w:noWrap w:val="0"/>
            <w:vAlign w:val="center"/>
          </w:tcPr>
          <w:p w14:paraId="6A2BA601">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1.项目基础资料（配电设施GIS数据、供配电线路图、灯具的品牌以及设施数量等）定期更新、归档方案</w:t>
            </w:r>
            <w:r>
              <w:rPr>
                <w:rFonts w:hint="eastAsia" w:ascii="宋体" w:hAnsi="宋体" w:eastAsia="宋体" w:cs="宋体"/>
                <w:color w:val="auto"/>
                <w:sz w:val="24"/>
                <w:highlight w:val="none"/>
                <w:lang w:eastAsia="zh-CN"/>
              </w:rPr>
              <w:t>；</w:t>
            </w:r>
          </w:p>
          <w:p w14:paraId="3E1D84F8">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2.项目维护资料（维护台账、安全台账、维护计划</w:t>
            </w:r>
            <w:r>
              <w:rPr>
                <w:rFonts w:hint="eastAsia" w:ascii="宋体" w:hAnsi="宋体" w:eastAsia="宋体" w:cs="宋体"/>
                <w:color w:val="auto"/>
                <w:sz w:val="24"/>
                <w:highlight w:val="none"/>
                <w:lang w:eastAsia="zh-CN"/>
              </w:rPr>
              <w:t>等</w:t>
            </w:r>
            <w:r>
              <w:rPr>
                <w:rFonts w:hint="eastAsia" w:ascii="宋体" w:hAnsi="宋体" w:eastAsia="宋体" w:cs="宋体"/>
                <w:color w:val="auto"/>
                <w:sz w:val="24"/>
                <w:highlight w:val="none"/>
              </w:rPr>
              <w:t>）编制、归档方案</w:t>
            </w:r>
            <w:r>
              <w:rPr>
                <w:rFonts w:hint="eastAsia" w:ascii="宋体" w:hAnsi="宋体" w:eastAsia="宋体" w:cs="宋体"/>
                <w:color w:val="auto"/>
                <w:sz w:val="24"/>
                <w:highlight w:val="none"/>
                <w:lang w:eastAsia="zh-CN"/>
              </w:rPr>
              <w:t>；</w:t>
            </w:r>
          </w:p>
          <w:p w14:paraId="0D9F64B5">
            <w:pPr>
              <w:keepNext w:val="0"/>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3.投标人内部档案（维护工作例会、技能训练、应急演练、安全教育等）管理方案。</w:t>
            </w:r>
          </w:p>
          <w:p w14:paraId="28104BA2">
            <w:pPr>
              <w:keepNext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p>
        </w:tc>
        <w:tc>
          <w:tcPr>
            <w:tcW w:w="811" w:type="dxa"/>
            <w:noWrap w:val="0"/>
            <w:vAlign w:val="center"/>
          </w:tcPr>
          <w:p w14:paraId="5EE1F520">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46A1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2A85F9D">
            <w:pPr>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w:t>
            </w:r>
          </w:p>
          <w:p w14:paraId="443102B8">
            <w:pPr>
              <w:snapToGrid w:val="0"/>
              <w:spacing w:line="360" w:lineRule="auto"/>
              <w:ind w:left="0" w:leftChars="0" w:right="0" w:rightChars="0" w:firstLine="0" w:firstLineChars="0"/>
              <w:jc w:val="center"/>
              <w:rPr>
                <w:rFonts w:hint="eastAsia" w:ascii="宋体" w:eastAsia="宋体"/>
                <w:b w:val="0"/>
                <w:bCs w:val="0"/>
                <w:sz w:val="24"/>
                <w:highlight w:val="none"/>
              </w:rPr>
            </w:pPr>
          </w:p>
        </w:tc>
        <w:tc>
          <w:tcPr>
            <w:tcW w:w="0" w:type="auto"/>
            <w:noWrap w:val="0"/>
            <w:vAlign w:val="center"/>
          </w:tcPr>
          <w:p w14:paraId="5F765540">
            <w:pPr>
              <w:keepNext w:val="0"/>
              <w:snapToGrid w:val="0"/>
              <w:spacing w:line="360" w:lineRule="auto"/>
              <w:ind w:left="0" w:leftChars="0" w:right="0" w:rightChars="0" w:firstLine="0" w:firstLineChars="0"/>
              <w:jc w:val="center"/>
              <w:rPr>
                <w:rFonts w:hint="eastAsia" w:ascii="宋体" w:hAnsi="宋体" w:eastAsia="宋体" w:cs="宋体"/>
                <w:b w:val="0"/>
                <w:bCs w:val="0"/>
                <w:color w:val="auto"/>
                <w:sz w:val="24"/>
                <w:highlight w:val="none"/>
              </w:rPr>
            </w:pPr>
            <w:r>
              <w:rPr>
                <w:rFonts w:hint="eastAsia" w:ascii="宋体" w:eastAsia="宋体" w:cs="宋体"/>
                <w:b w:val="0"/>
                <w:bCs w:val="0"/>
                <w:sz w:val="24"/>
                <w:highlight w:val="none"/>
                <w:lang w:val="zh-CN"/>
              </w:rPr>
              <w:t>人员配置方案</w:t>
            </w:r>
          </w:p>
        </w:tc>
        <w:tc>
          <w:tcPr>
            <w:tcW w:w="0" w:type="auto"/>
            <w:noWrap w:val="0"/>
            <w:vAlign w:val="center"/>
          </w:tcPr>
          <w:p w14:paraId="6DD5546D">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6845" w:type="dxa"/>
            <w:noWrap w:val="0"/>
            <w:vAlign w:val="center"/>
          </w:tcPr>
          <w:p w14:paraId="0A9A17A9">
            <w:pPr>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s="宋体"/>
                <w:sz w:val="24"/>
                <w:highlight w:val="none"/>
                <w:lang w:val="zh-CN"/>
              </w:rPr>
            </w:pPr>
            <w:r>
              <w:rPr>
                <w:rFonts w:hint="eastAsia" w:ascii="宋体" w:cs="宋体"/>
                <w:sz w:val="24"/>
                <w:highlight w:val="none"/>
                <w:lang w:val="en-US" w:eastAsia="zh-CN"/>
              </w:rPr>
              <w:t>1.</w:t>
            </w:r>
            <w:r>
              <w:rPr>
                <w:rFonts w:hint="eastAsia" w:ascii="宋体" w:eastAsia="宋体" w:cs="宋体"/>
                <w:sz w:val="24"/>
                <w:highlight w:val="none"/>
                <w:lang w:val="zh-CN"/>
              </w:rPr>
              <w:t>维护人员配置计划；</w:t>
            </w:r>
          </w:p>
          <w:p w14:paraId="296C1D22">
            <w:pPr>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s="宋体"/>
                <w:sz w:val="24"/>
                <w:highlight w:val="none"/>
                <w:lang w:val="zh-CN"/>
              </w:rPr>
            </w:pPr>
            <w:r>
              <w:rPr>
                <w:rFonts w:hint="eastAsia" w:ascii="宋体" w:cs="宋体"/>
                <w:sz w:val="24"/>
                <w:highlight w:val="none"/>
                <w:lang w:val="en-US" w:eastAsia="zh-CN"/>
              </w:rPr>
              <w:t>2.</w:t>
            </w:r>
            <w:r>
              <w:rPr>
                <w:rFonts w:hint="eastAsia" w:ascii="宋体" w:eastAsia="宋体" w:cs="宋体"/>
                <w:sz w:val="24"/>
                <w:highlight w:val="none"/>
                <w:lang w:val="zh-CN"/>
              </w:rPr>
              <w:t>维护人员管理方案；</w:t>
            </w:r>
          </w:p>
          <w:p w14:paraId="62B72805">
            <w:pPr>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s="宋体"/>
                <w:sz w:val="24"/>
                <w:highlight w:val="none"/>
                <w:lang w:val="zh-CN"/>
              </w:rPr>
            </w:pPr>
            <w:r>
              <w:rPr>
                <w:rFonts w:hint="eastAsia" w:ascii="宋体" w:cs="宋体"/>
                <w:sz w:val="24"/>
                <w:highlight w:val="none"/>
                <w:lang w:val="en-US" w:eastAsia="zh-CN"/>
              </w:rPr>
              <w:t>3.</w:t>
            </w:r>
            <w:r>
              <w:rPr>
                <w:rFonts w:hint="eastAsia" w:ascii="宋体" w:eastAsia="宋体" w:cs="宋体"/>
                <w:sz w:val="24"/>
                <w:highlight w:val="none"/>
                <w:lang w:val="zh-CN"/>
              </w:rPr>
              <w:t>维护人员培训计划（包括正规的安全教育、培训等）</w:t>
            </w:r>
            <w:r>
              <w:rPr>
                <w:rFonts w:hint="eastAsia" w:ascii="宋体" w:cs="宋体"/>
                <w:sz w:val="24"/>
                <w:highlight w:val="none"/>
                <w:lang w:val="zh-CN"/>
              </w:rPr>
              <w:t>。</w:t>
            </w:r>
          </w:p>
          <w:p w14:paraId="749BDED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8</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8</w:t>
            </w:r>
            <w:r>
              <w:rPr>
                <w:rFonts w:hint="eastAsia" w:ascii="宋体" w:eastAsia="宋体" w:cs="宋体"/>
                <w:sz w:val="24"/>
                <w:highlight w:val="none"/>
                <w:lang w:val="zh-CN"/>
              </w:rPr>
              <w:t>分。</w:t>
            </w:r>
          </w:p>
        </w:tc>
        <w:tc>
          <w:tcPr>
            <w:tcW w:w="811" w:type="dxa"/>
            <w:noWrap w:val="0"/>
            <w:vAlign w:val="center"/>
          </w:tcPr>
          <w:p w14:paraId="21DC2BA3">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1885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432EADE">
            <w:pPr>
              <w:snapToGrid w:val="0"/>
              <w:spacing w:line="360" w:lineRule="auto"/>
              <w:ind w:left="0" w:leftChars="0" w:right="0" w:rightChars="0" w:firstLine="0" w:firstLineChars="0"/>
              <w:jc w:val="center"/>
              <w:rPr>
                <w:rFonts w:hint="default" w:ascii="宋体" w:eastAsia="宋体"/>
                <w:b w:val="0"/>
                <w:bCs w:val="0"/>
                <w:sz w:val="24"/>
                <w:highlight w:val="none"/>
                <w:lang w:val="en-US" w:eastAsia="zh-CN"/>
              </w:rPr>
            </w:pPr>
            <w:r>
              <w:rPr>
                <w:rFonts w:hint="eastAsia" w:ascii="宋体" w:eastAsia="宋体"/>
                <w:b w:val="0"/>
                <w:bCs w:val="0"/>
                <w:sz w:val="24"/>
                <w:highlight w:val="none"/>
                <w:lang w:val="en-US" w:eastAsia="zh-CN"/>
              </w:rPr>
              <w:t>10</w:t>
            </w:r>
          </w:p>
          <w:p w14:paraId="2109C890">
            <w:pPr>
              <w:snapToGrid w:val="0"/>
              <w:spacing w:line="360" w:lineRule="auto"/>
              <w:ind w:left="0" w:leftChars="0" w:right="0" w:rightChars="0" w:firstLine="0" w:firstLineChars="0"/>
              <w:jc w:val="center"/>
              <w:rPr>
                <w:rFonts w:hint="eastAsia" w:ascii="宋体" w:eastAsia="宋体"/>
                <w:b w:val="0"/>
                <w:bCs w:val="0"/>
                <w:sz w:val="24"/>
                <w:highlight w:val="none"/>
              </w:rPr>
            </w:pPr>
          </w:p>
        </w:tc>
        <w:tc>
          <w:tcPr>
            <w:tcW w:w="0" w:type="auto"/>
            <w:noWrap w:val="0"/>
            <w:vAlign w:val="center"/>
          </w:tcPr>
          <w:p w14:paraId="0C9EF766">
            <w:pPr>
              <w:keepNext w:val="0"/>
              <w:snapToGrid w:val="0"/>
              <w:spacing w:line="360" w:lineRule="auto"/>
              <w:ind w:left="0" w:leftChars="0" w:right="0" w:rightChars="0" w:firstLine="0" w:firstLineChars="0"/>
              <w:jc w:val="center"/>
              <w:rPr>
                <w:rFonts w:hint="eastAsia" w:ascii="宋体" w:eastAsia="宋体" w:cs="宋体"/>
                <w:b w:val="0"/>
                <w:bCs w:val="0"/>
                <w:sz w:val="24"/>
                <w:highlight w:val="none"/>
                <w:lang w:val="zh-CN"/>
              </w:rPr>
            </w:pPr>
            <w:r>
              <w:rPr>
                <w:rFonts w:hint="eastAsia" w:ascii="宋体" w:eastAsia="宋体" w:cs="宋体"/>
                <w:b w:val="0"/>
                <w:bCs w:val="0"/>
                <w:sz w:val="24"/>
                <w:highlight w:val="none"/>
                <w:lang w:val="zh-CN"/>
              </w:rPr>
              <w:t>无人机巡查方案</w:t>
            </w:r>
          </w:p>
        </w:tc>
        <w:tc>
          <w:tcPr>
            <w:tcW w:w="0" w:type="auto"/>
            <w:noWrap w:val="0"/>
            <w:vAlign w:val="center"/>
          </w:tcPr>
          <w:p w14:paraId="4DC841E4">
            <w:pPr>
              <w:keepNext w:val="0"/>
              <w:snapToGrid w:val="0"/>
              <w:spacing w:line="360" w:lineRule="auto"/>
              <w:ind w:left="0" w:leftChars="0" w:right="0" w:righ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6845" w:type="dxa"/>
            <w:noWrap w:val="0"/>
            <w:vAlign w:val="center"/>
          </w:tcPr>
          <w:p w14:paraId="35F332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巡查方案</w:t>
            </w:r>
            <w:r>
              <w:rPr>
                <w:rFonts w:hint="eastAsia" w:ascii="宋体" w:eastAsia="宋体" w:cs="宋体"/>
                <w:sz w:val="24"/>
                <w:highlight w:val="none"/>
                <w:lang w:val="zh-CN"/>
              </w:rPr>
              <w:t>；</w:t>
            </w:r>
          </w:p>
          <w:p w14:paraId="5A00FB4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巡查作业流程</w:t>
            </w:r>
            <w:r>
              <w:rPr>
                <w:rFonts w:hint="eastAsia" w:ascii="宋体" w:eastAsia="宋体" w:cs="宋体"/>
                <w:sz w:val="24"/>
                <w:highlight w:val="none"/>
                <w:lang w:val="zh-CN"/>
              </w:rPr>
              <w:t>；</w:t>
            </w:r>
            <w:r>
              <w:rPr>
                <w:rFonts w:hint="eastAsia" w:ascii="宋体" w:hAnsi="宋体" w:eastAsia="宋体" w:cs="宋体"/>
                <w:color w:val="auto"/>
                <w:sz w:val="24"/>
                <w:highlight w:val="none"/>
                <w:lang w:val="en-US" w:eastAsia="zh-CN"/>
              </w:rPr>
              <w:br w:type="textWrapping"/>
            </w:r>
            <w:r>
              <w:rPr>
                <w:rFonts w:hint="eastAsia" w:ascii="宋体" w:hAnsi="宋体" w:eastAsia="宋体" w:cs="宋体"/>
                <w:color w:val="auto"/>
                <w:sz w:val="24"/>
                <w:highlight w:val="none"/>
                <w:lang w:val="en-US" w:eastAsia="zh-CN"/>
              </w:rPr>
              <w:t>3.保障措施</w:t>
            </w:r>
            <w:r>
              <w:rPr>
                <w:rFonts w:hint="eastAsia" w:ascii="宋体" w:cs="宋体"/>
                <w:sz w:val="24"/>
                <w:highlight w:val="none"/>
                <w:lang w:val="zh-CN"/>
              </w:rPr>
              <w:t>。</w:t>
            </w:r>
          </w:p>
          <w:p w14:paraId="57841DC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default" w:ascii="宋体" w:hAnsi="宋体" w:eastAsia="宋体" w:cs="宋体"/>
                <w:color w:val="auto"/>
                <w:sz w:val="24"/>
                <w:highlight w:val="none"/>
                <w:lang w:val="en-US" w:eastAsia="zh-CN"/>
              </w:rPr>
            </w:pPr>
            <w:r>
              <w:rPr>
                <w:rFonts w:hint="eastAsia" w:ascii="宋体" w:eastAsia="宋体" w:cs="宋体"/>
                <w:sz w:val="24"/>
                <w:highlight w:val="none"/>
                <w:lang w:val="zh-CN"/>
              </w:rPr>
              <w:t>投标人针对上述内容进行阐述，要求阐述内容合理、条理清晰、针对性强、切实可行有效。以上内容不存在瑕疵的该条得</w:t>
            </w:r>
            <w:r>
              <w:rPr>
                <w:rFonts w:hint="eastAsia" w:ascii="宋体" w:eastAsia="宋体" w:cs="宋体"/>
                <w:sz w:val="24"/>
                <w:highlight w:val="none"/>
                <w:lang w:val="en-US" w:eastAsia="zh-CN"/>
              </w:rPr>
              <w:t>8</w:t>
            </w:r>
            <w:r>
              <w:rPr>
                <w:rFonts w:hint="eastAsia" w:ascii="宋体" w:eastAsia="宋体" w:cs="宋体"/>
                <w:sz w:val="24"/>
                <w:highlight w:val="none"/>
                <w:lang w:val="zh-CN"/>
              </w:rPr>
              <w:t>分；以上内容存在1处瑕疵的该条得</w:t>
            </w:r>
            <w:r>
              <w:rPr>
                <w:rFonts w:hint="eastAsia" w:ascii="宋体" w:eastAsia="宋体" w:cs="宋体"/>
                <w:sz w:val="24"/>
                <w:highlight w:val="none"/>
                <w:lang w:val="en-US" w:eastAsia="zh-CN"/>
              </w:rPr>
              <w:t>6</w:t>
            </w:r>
            <w:r>
              <w:rPr>
                <w:rFonts w:hint="eastAsia" w:ascii="宋体" w:eastAsia="宋体" w:cs="宋体"/>
                <w:sz w:val="24"/>
                <w:highlight w:val="none"/>
                <w:lang w:val="zh-CN"/>
              </w:rPr>
              <w:t>分；以上内容存在2处瑕疵的该条得</w:t>
            </w:r>
            <w:r>
              <w:rPr>
                <w:rFonts w:hint="eastAsia" w:ascii="宋体" w:eastAsia="宋体" w:cs="宋体"/>
                <w:sz w:val="24"/>
                <w:highlight w:val="none"/>
                <w:lang w:val="en-US" w:eastAsia="zh-CN"/>
              </w:rPr>
              <w:t>4</w:t>
            </w:r>
            <w:r>
              <w:rPr>
                <w:rFonts w:hint="eastAsia" w:ascii="宋体" w:eastAsia="宋体" w:cs="宋体"/>
                <w:sz w:val="24"/>
                <w:highlight w:val="none"/>
                <w:lang w:val="zh-CN"/>
              </w:rPr>
              <w:t>分；未进行阐述或不满足采购需求或内容存在3处及以上瑕疵的该条得0分；本项最高得</w:t>
            </w:r>
            <w:r>
              <w:rPr>
                <w:rFonts w:hint="eastAsia" w:ascii="宋体" w:eastAsia="宋体" w:cs="宋体"/>
                <w:sz w:val="24"/>
                <w:highlight w:val="none"/>
                <w:lang w:val="en-US" w:eastAsia="zh-CN"/>
              </w:rPr>
              <w:t>8</w:t>
            </w:r>
            <w:r>
              <w:rPr>
                <w:rFonts w:hint="eastAsia" w:ascii="宋体" w:eastAsia="宋体" w:cs="宋体"/>
                <w:sz w:val="24"/>
                <w:highlight w:val="none"/>
                <w:lang w:val="zh-CN"/>
              </w:rPr>
              <w:t>分。</w:t>
            </w:r>
          </w:p>
        </w:tc>
        <w:tc>
          <w:tcPr>
            <w:tcW w:w="811" w:type="dxa"/>
            <w:noWrap w:val="0"/>
            <w:vAlign w:val="center"/>
          </w:tcPr>
          <w:p w14:paraId="34C61BB0">
            <w:pPr>
              <w:keepNext w:val="0"/>
              <w:snapToGrid w:val="0"/>
              <w:spacing w:line="360" w:lineRule="auto"/>
              <w:ind w:left="0" w:leftChars="0" w:right="0" w:rightChars="0" w:firstLine="0" w:firstLineChars="0"/>
              <w:jc w:val="left"/>
              <w:rPr>
                <w:rFonts w:hint="eastAsia" w:ascii="宋体" w:hAnsi="宋体" w:eastAsia="宋体" w:cs="宋体"/>
                <w:bCs/>
                <w:color w:val="auto"/>
                <w:sz w:val="24"/>
                <w:highlight w:val="none"/>
              </w:rPr>
            </w:pPr>
          </w:p>
        </w:tc>
      </w:tr>
      <w:tr w14:paraId="4BBD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45" w:type="dxa"/>
            <w:gridSpan w:val="4"/>
            <w:noWrap w:val="0"/>
            <w:vAlign w:val="center"/>
          </w:tcPr>
          <w:p w14:paraId="43B3DDCC">
            <w:pPr>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cs="宋体"/>
                <w:sz w:val="24"/>
                <w:highlight w:val="none"/>
                <w:lang w:val="zh-CN"/>
              </w:rPr>
            </w:pPr>
            <w:r>
              <w:rPr>
                <w:rFonts w:hint="eastAsia" w:ascii="宋体" w:cs="宋体"/>
                <w:sz w:val="24"/>
                <w:highlight w:val="none"/>
                <w:lang w:val="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tc>
        <w:tc>
          <w:tcPr>
            <w:tcW w:w="811" w:type="dxa"/>
            <w:noWrap w:val="0"/>
            <w:vAlign w:val="center"/>
          </w:tcPr>
          <w:p w14:paraId="6A42EB2C">
            <w:pPr>
              <w:keepNext w:val="0"/>
              <w:snapToGrid w:val="0"/>
              <w:spacing w:line="360" w:lineRule="auto"/>
              <w:ind w:left="0" w:leftChars="0" w:right="0" w:rightChars="0" w:firstLine="0" w:firstLineChars="0"/>
              <w:jc w:val="center"/>
              <w:rPr>
                <w:rFonts w:hint="eastAsia" w:ascii="宋体" w:hAnsi="宋体" w:eastAsia="宋体" w:cs="宋体"/>
                <w:bCs/>
                <w:color w:val="auto"/>
                <w:sz w:val="24"/>
                <w:highlight w:val="none"/>
              </w:rPr>
            </w:pPr>
          </w:p>
        </w:tc>
      </w:tr>
    </w:tbl>
    <w:p w14:paraId="1BAA9000">
      <w:pPr>
        <w:pStyle w:val="8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sectPr>
          <w:pgSz w:w="11906" w:h="16838"/>
          <w:pgMar w:top="1440" w:right="1080" w:bottom="1440" w:left="1080" w:header="851" w:footer="907" w:gutter="0"/>
          <w:pgNumType w:fmt="decimal"/>
          <w:cols w:space="720" w:num="1"/>
          <w:titlePg/>
          <w:docGrid w:type="lines" w:linePitch="290" w:charSpace="0"/>
        </w:sectPr>
      </w:pPr>
    </w:p>
    <w:p w14:paraId="3D7013F7">
      <w:pPr>
        <w:pageBreakBefore w:val="0"/>
        <w:kinsoku/>
        <w:bidi w:val="0"/>
        <w:snapToGrid/>
        <w:spacing w:before="200" w:beforeAutospacing="0" w:after="200" w:afterAutospacing="0" w:line="240" w:lineRule="auto"/>
        <w:ind w:left="0" w:leftChars="0" w:right="0" w:rightChars="0" w:firstLine="0" w:firstLineChars="0"/>
        <w:jc w:val="center"/>
        <w:outlineLvl w:val="0"/>
        <w:rPr>
          <w:rFonts w:hint="eastAsia" w:ascii="宋体" w:hAnsi="宋体" w:eastAsia="宋体" w:cs="宋体"/>
          <w:b/>
          <w:bCs/>
          <w:kern w:val="0"/>
          <w:sz w:val="24"/>
          <w:szCs w:val="24"/>
          <w:highlight w:val="none"/>
          <w:lang w:val="en-US" w:eastAsia="zh-CN" w:bidi="ar-SA"/>
        </w:rPr>
      </w:pPr>
      <w:bookmarkStart w:id="219" w:name="_Toc25872"/>
      <w:r>
        <w:rPr>
          <w:rFonts w:hint="eastAsia" w:ascii="宋体" w:hAnsi="宋体" w:eastAsia="宋体" w:cs="宋体"/>
          <w:b/>
          <w:bCs/>
          <w:kern w:val="0"/>
          <w:sz w:val="24"/>
          <w:szCs w:val="24"/>
          <w:highlight w:val="none"/>
          <w:lang w:val="en-US" w:eastAsia="zh-CN" w:bidi="ar-SA"/>
        </w:rPr>
        <w:t xml:space="preserve">第六章  </w:t>
      </w:r>
      <w:bookmarkEnd w:id="208"/>
      <w:bookmarkEnd w:id="209"/>
      <w:bookmarkEnd w:id="218"/>
      <w:r>
        <w:rPr>
          <w:rFonts w:hint="eastAsia" w:ascii="宋体" w:hAnsi="宋体" w:eastAsia="宋体" w:cs="宋体"/>
          <w:b/>
          <w:bCs/>
          <w:kern w:val="0"/>
          <w:sz w:val="24"/>
          <w:szCs w:val="24"/>
          <w:highlight w:val="none"/>
          <w:lang w:val="en-US" w:eastAsia="zh-CN" w:bidi="ar-SA"/>
        </w:rPr>
        <w:t>投标文件内容与格式</w:t>
      </w:r>
      <w:bookmarkEnd w:id="219"/>
    </w:p>
    <w:p w14:paraId="2E4528B7">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bookmarkStart w:id="220" w:name="_Hlt26955039"/>
      <w:bookmarkEnd w:id="220"/>
      <w:bookmarkStart w:id="221" w:name="_Hlt26671244"/>
      <w:bookmarkEnd w:id="221"/>
      <w:bookmarkStart w:id="222" w:name="_Toc49090576"/>
      <w:bookmarkStart w:id="223" w:name="_Toc26554094"/>
      <w:bookmarkStart w:id="224" w:name="_Toc120614282"/>
      <w:r>
        <w:rPr>
          <w:rFonts w:hint="eastAsia" w:ascii="宋体" w:hAnsi="宋体" w:eastAsia="宋体" w:cs="宋体"/>
          <w:b/>
          <w:bCs/>
          <w:kern w:val="0"/>
          <w:sz w:val="24"/>
          <w:szCs w:val="24"/>
          <w:highlight w:val="none"/>
          <w:lang w:val="en-US" w:eastAsia="zh-CN" w:bidi="ar-SA"/>
        </w:rPr>
        <w:t>第一部分  投标文件内容</w:t>
      </w:r>
    </w:p>
    <w:p w14:paraId="1409331F">
      <w:pPr>
        <w:pStyle w:val="98"/>
        <w:pageBreakBefore w:val="0"/>
        <w:kinsoku/>
        <w:bidi w:val="0"/>
        <w:snapToGrid/>
        <w:spacing w:before="0" w:beforeAutospacing="0" w:after="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一、资格证明文件</w:t>
      </w:r>
    </w:p>
    <w:tbl>
      <w:tblPr>
        <w:tblStyle w:val="4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6104"/>
        <w:gridCol w:w="2449"/>
      </w:tblGrid>
      <w:tr w14:paraId="798C8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F99050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6104" w:type="dxa"/>
            <w:noWrap w:val="0"/>
            <w:vAlign w:val="center"/>
          </w:tcPr>
          <w:p w14:paraId="54F1A760">
            <w:pPr>
              <w:pStyle w:val="98"/>
              <w:keepNext w:val="0"/>
              <w:keepLines w:val="0"/>
              <w:pageBreakBefore w:val="0"/>
              <w:kinsoku/>
              <w:wordWrap/>
              <w:overflowPunct/>
              <w:topLinePunct w:val="0"/>
              <w:autoSpaceDE/>
              <w:autoSpaceDN/>
              <w:bidi w:val="0"/>
              <w:snapToGrid w:val="0"/>
              <w:spacing w:before="0" w:after="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评审项及评审要求</w:t>
            </w:r>
          </w:p>
        </w:tc>
        <w:tc>
          <w:tcPr>
            <w:tcW w:w="2449" w:type="dxa"/>
            <w:noWrap w:val="0"/>
            <w:vAlign w:val="center"/>
          </w:tcPr>
          <w:p w14:paraId="1C9AD4A2">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审查因素</w:t>
            </w:r>
          </w:p>
        </w:tc>
      </w:tr>
      <w:tr w14:paraId="7BFA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62C2F914">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104" w:type="dxa"/>
            <w:noWrap w:val="0"/>
            <w:vAlign w:val="center"/>
          </w:tcPr>
          <w:p w14:paraId="6B7BB2A9">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具有独立承担民事责任能力的投标人营业执照或相关部门的登记证明文件扫描件（投标人</w:t>
            </w:r>
            <w:r>
              <w:rPr>
                <w:rFonts w:hint="eastAsia" w:ascii="宋体" w:hAnsi="宋体" w:eastAsia="宋体" w:cs="宋体"/>
                <w:color w:val="auto"/>
                <w:highlight w:val="none"/>
                <w:lang w:eastAsia="zh-CN"/>
              </w:rPr>
              <w:t>如</w:t>
            </w:r>
            <w:r>
              <w:rPr>
                <w:rFonts w:hint="eastAsia" w:ascii="宋体" w:hAnsi="宋体" w:eastAsia="宋体" w:cs="宋体"/>
                <w:color w:val="auto"/>
                <w:highlight w:val="none"/>
              </w:rPr>
              <w:t>允许以分支机构身份参加投标的，提供投标人分支机构的营业执照扫描件；投标人如是自然人情形的，提供有效身份证扫描件）。</w:t>
            </w:r>
          </w:p>
        </w:tc>
        <w:tc>
          <w:tcPr>
            <w:tcW w:w="2449" w:type="dxa"/>
            <w:vMerge w:val="restart"/>
            <w:noWrap w:val="0"/>
            <w:vAlign w:val="center"/>
          </w:tcPr>
          <w:p w14:paraId="2AB289C1">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通用资格要求，详见第一章《投标邀请》</w:t>
            </w:r>
          </w:p>
        </w:tc>
      </w:tr>
      <w:tr w14:paraId="6D681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3375B46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104" w:type="dxa"/>
            <w:noWrap w:val="0"/>
            <w:vAlign w:val="center"/>
          </w:tcPr>
          <w:p w14:paraId="6A626738">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《授权委托书》（给定格式；投标人如是自然人情形的，可不提供）。</w:t>
            </w:r>
          </w:p>
        </w:tc>
        <w:tc>
          <w:tcPr>
            <w:tcW w:w="2449" w:type="dxa"/>
            <w:vMerge w:val="continue"/>
            <w:noWrap w:val="0"/>
            <w:vAlign w:val="center"/>
          </w:tcPr>
          <w:p w14:paraId="0F250ABA">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7C70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26F986F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104" w:type="dxa"/>
            <w:noWrap w:val="0"/>
            <w:vAlign w:val="center"/>
          </w:tcPr>
          <w:p w14:paraId="7D35804A">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投标人近</w:t>
            </w:r>
            <w:r>
              <w:rPr>
                <w:rFonts w:hint="eastAsia" w:ascii="宋体" w:hAnsi="宋体" w:eastAsia="宋体" w:cs="宋体"/>
                <w:color w:val="auto"/>
                <w:highlight w:val="none"/>
                <w:lang w:val="en-US" w:eastAsia="zh-CN"/>
              </w:rPr>
              <w:t>三个月</w:t>
            </w:r>
            <w:r>
              <w:rPr>
                <w:rFonts w:hint="eastAsia" w:ascii="宋体" w:hAnsi="宋体" w:eastAsia="宋体" w:cs="宋体"/>
                <w:color w:val="auto"/>
                <w:highlight w:val="none"/>
              </w:rPr>
              <w:t>中任意一个月份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不含投标当月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的财务报</w:t>
            </w:r>
            <w:r>
              <w:rPr>
                <w:rFonts w:hint="eastAsia" w:ascii="宋体" w:hAnsi="宋体" w:eastAsia="宋体" w:cs="宋体"/>
                <w:color w:val="auto"/>
                <w:highlight w:val="none"/>
                <w:lang w:val="en-US" w:eastAsia="zh-CN"/>
              </w:rPr>
              <w:t>表</w:t>
            </w:r>
            <w:r>
              <w:rPr>
                <w:rFonts w:hint="eastAsia" w:ascii="宋体" w:hAnsi="宋体" w:eastAsia="宋体" w:cs="宋体"/>
                <w:color w:val="auto"/>
                <w:highlight w:val="none"/>
              </w:rPr>
              <w:t>（资产负债表和利润表）或由会计师事务所出具的近两年中任意一个年度的审计报告和所附已</w:t>
            </w:r>
            <w:r>
              <w:rPr>
                <w:rFonts w:hint="eastAsia" w:ascii="宋体" w:hAnsi="宋体" w:eastAsia="宋体" w:cs="宋体"/>
                <w:color w:val="auto"/>
                <w:highlight w:val="none"/>
                <w:lang w:eastAsia="zh-CN"/>
              </w:rPr>
              <w:t>审计</w:t>
            </w:r>
            <w:r>
              <w:rPr>
                <w:rFonts w:hint="eastAsia" w:ascii="宋体" w:hAnsi="宋体" w:eastAsia="宋体" w:cs="宋体"/>
                <w:color w:val="auto"/>
                <w:highlight w:val="none"/>
              </w:rPr>
              <w:t>财务报告（投标人如是自然人情形的，没有经审计的财务报告的，可以提供银行出具的资信证明）</w:t>
            </w:r>
            <w:r>
              <w:rPr>
                <w:rStyle w:val="55"/>
                <w:rFonts w:hint="eastAsia" w:ascii="宋体" w:hAnsi="宋体" w:eastAsia="宋体" w:cs="宋体"/>
                <w:color w:val="auto"/>
                <w:sz w:val="24"/>
                <w:szCs w:val="24"/>
                <w:highlight w:val="none"/>
              </w:rPr>
              <w:t>。</w:t>
            </w:r>
          </w:p>
        </w:tc>
        <w:tc>
          <w:tcPr>
            <w:tcW w:w="2449" w:type="dxa"/>
            <w:vMerge w:val="continue"/>
            <w:noWrap w:val="0"/>
            <w:vAlign w:val="center"/>
          </w:tcPr>
          <w:p w14:paraId="28620B25">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1363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6447CD70">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104" w:type="dxa"/>
            <w:noWrap w:val="0"/>
            <w:vAlign w:val="center"/>
          </w:tcPr>
          <w:p w14:paraId="6F1FA485">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投标人近</w:t>
            </w:r>
            <w:r>
              <w:rPr>
                <w:rFonts w:hint="eastAsia" w:ascii="宋体" w:hAnsi="宋体" w:eastAsia="宋体" w:cs="宋体"/>
                <w:color w:val="auto"/>
                <w:highlight w:val="none"/>
                <w:lang w:val="en-US" w:eastAsia="zh-CN"/>
              </w:rPr>
              <w:t>三个月</w:t>
            </w:r>
            <w:r>
              <w:rPr>
                <w:rFonts w:hint="eastAsia" w:ascii="宋体" w:hAnsi="宋体" w:eastAsia="宋体" w:cs="宋体"/>
                <w:color w:val="auto"/>
                <w:highlight w:val="none"/>
              </w:rPr>
              <w:t>中任意一个月份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不含投标当月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的依法缴纳税收的相关材料（提供相关主管部门证明或银行代扣证明）。</w:t>
            </w:r>
          </w:p>
        </w:tc>
        <w:tc>
          <w:tcPr>
            <w:tcW w:w="2449" w:type="dxa"/>
            <w:vMerge w:val="continue"/>
            <w:noWrap w:val="0"/>
            <w:vAlign w:val="center"/>
          </w:tcPr>
          <w:p w14:paraId="3C06BD6D">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00B6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350D706F">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104" w:type="dxa"/>
            <w:noWrap w:val="0"/>
            <w:vAlign w:val="center"/>
          </w:tcPr>
          <w:p w14:paraId="3E244AAB">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投标人近</w:t>
            </w:r>
            <w:r>
              <w:rPr>
                <w:rFonts w:hint="eastAsia" w:ascii="宋体" w:hAnsi="宋体" w:eastAsia="宋体" w:cs="宋体"/>
                <w:color w:val="auto"/>
                <w:highlight w:val="none"/>
                <w:lang w:val="en-US" w:eastAsia="zh-CN"/>
              </w:rPr>
              <w:t>三个月</w:t>
            </w:r>
            <w:r>
              <w:rPr>
                <w:rFonts w:hint="eastAsia" w:ascii="宋体" w:hAnsi="宋体" w:eastAsia="宋体" w:cs="宋体"/>
                <w:color w:val="auto"/>
                <w:highlight w:val="none"/>
              </w:rPr>
              <w:t>中任意一个月份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不含投标当月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的依法缴纳社会保障资金的相关材料（提供相关主管部门证明或银行代扣证明）。</w:t>
            </w:r>
          </w:p>
        </w:tc>
        <w:tc>
          <w:tcPr>
            <w:tcW w:w="2449" w:type="dxa"/>
            <w:vMerge w:val="continue"/>
            <w:noWrap w:val="0"/>
            <w:vAlign w:val="center"/>
          </w:tcPr>
          <w:p w14:paraId="48D8DC25">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2550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9" w:type="dxa"/>
            <w:tcBorders>
              <w:bottom w:val="single" w:color="auto" w:sz="4" w:space="0"/>
            </w:tcBorders>
            <w:noWrap w:val="0"/>
            <w:vAlign w:val="center"/>
          </w:tcPr>
          <w:p w14:paraId="5CD1A7E5">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104" w:type="dxa"/>
            <w:tcBorders>
              <w:bottom w:val="single" w:color="auto" w:sz="4" w:space="0"/>
            </w:tcBorders>
            <w:noWrap w:val="0"/>
            <w:vAlign w:val="center"/>
          </w:tcPr>
          <w:p w14:paraId="4E381091">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《资格声明函》（给定格式）。</w:t>
            </w:r>
          </w:p>
        </w:tc>
        <w:tc>
          <w:tcPr>
            <w:tcW w:w="2449" w:type="dxa"/>
            <w:vMerge w:val="continue"/>
            <w:noWrap w:val="0"/>
            <w:vAlign w:val="center"/>
          </w:tcPr>
          <w:p w14:paraId="167B054A">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2CA9B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C2FD29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104" w:type="dxa"/>
            <w:noWrap w:val="0"/>
            <w:vAlign w:val="center"/>
          </w:tcPr>
          <w:p w14:paraId="1E5EAC14">
            <w:pPr>
              <w:keepNext w:val="0"/>
              <w:keepLines w:val="0"/>
              <w:pageBreakBefore w:val="0"/>
              <w:widowControl/>
              <w:kinsoku/>
              <w:wordWrap/>
              <w:overflowPunct/>
              <w:topLinePunct w:val="0"/>
              <w:autoSpaceDE/>
              <w:autoSpaceDN/>
              <w:bidi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落实政府采购政策需满足的资格要求的证明文件（如有）。</w:t>
            </w:r>
          </w:p>
        </w:tc>
        <w:tc>
          <w:tcPr>
            <w:tcW w:w="2449" w:type="dxa"/>
            <w:vMerge w:val="continue"/>
            <w:noWrap w:val="0"/>
            <w:vAlign w:val="center"/>
          </w:tcPr>
          <w:p w14:paraId="5035051A">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color w:val="auto"/>
                <w:highlight w:val="none"/>
              </w:rPr>
            </w:pPr>
          </w:p>
        </w:tc>
      </w:tr>
      <w:tr w14:paraId="3C775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799F76E9">
            <w:pPr>
              <w:pStyle w:val="98"/>
              <w:keepNext w:val="0"/>
              <w:keepLines w:val="0"/>
              <w:pageBreakBefore w:val="0"/>
              <w:kinsoku/>
              <w:wordWrap/>
              <w:overflowPunct/>
              <w:topLinePunct w:val="0"/>
              <w:autoSpaceDE/>
              <w:autoSpaceDN/>
              <w:bidi w:val="0"/>
              <w:snapToGrid w:val="0"/>
              <w:spacing w:before="0" w:after="0" w:line="360" w:lineRule="auto"/>
              <w:ind w:firstLine="0"/>
              <w:jc w:val="center"/>
              <w:rPr>
                <w:rFonts w:hint="eastAsia" w:ascii="宋体" w:hAnsi="宋体" w:eastAsia="宋体" w:cs="宋体"/>
                <w:bCs/>
                <w:color w:val="auto"/>
                <w:highlight w:val="none"/>
              </w:rPr>
            </w:pPr>
            <w:r>
              <w:rPr>
                <w:rFonts w:hint="eastAsia" w:ascii="宋体" w:hAnsi="宋体" w:eastAsia="宋体" w:cs="宋体"/>
                <w:bCs/>
                <w:color w:val="auto"/>
                <w:highlight w:val="none"/>
              </w:rPr>
              <w:t>8</w:t>
            </w:r>
          </w:p>
        </w:tc>
        <w:tc>
          <w:tcPr>
            <w:tcW w:w="6104" w:type="dxa"/>
            <w:noWrap w:val="0"/>
            <w:vAlign w:val="center"/>
          </w:tcPr>
          <w:p w14:paraId="1232FBE5">
            <w:pPr>
              <w:pStyle w:val="98"/>
              <w:keepNext w:val="0"/>
              <w:keepLines w:val="0"/>
              <w:pageBreakBefore w:val="0"/>
              <w:kinsoku/>
              <w:wordWrap/>
              <w:overflowPunct/>
              <w:topLinePunct w:val="0"/>
              <w:autoSpaceDE/>
              <w:autoSpaceDN/>
              <w:bidi w:val="0"/>
              <w:snapToGrid w:val="0"/>
              <w:spacing w:before="0" w:after="0" w:line="360" w:lineRule="auto"/>
              <w:ind w:firstLine="0"/>
              <w:jc w:val="both"/>
              <w:rPr>
                <w:rFonts w:hint="eastAsia" w:ascii="宋体" w:hAnsi="宋体" w:eastAsia="宋体" w:cs="宋体"/>
                <w:bCs/>
                <w:color w:val="auto"/>
                <w:highlight w:val="none"/>
              </w:rPr>
            </w:pPr>
            <w:r>
              <w:rPr>
                <w:rFonts w:hint="eastAsia" w:ascii="宋体" w:hAnsi="宋体" w:eastAsia="宋体" w:cs="宋体"/>
                <w:bCs/>
                <w:color w:val="auto"/>
                <w:highlight w:val="none"/>
              </w:rPr>
              <w:t>本项目要求的特定资格证明</w:t>
            </w:r>
            <w:r>
              <w:rPr>
                <w:rFonts w:hint="eastAsia" w:ascii="宋体" w:hAnsi="宋体" w:eastAsia="宋体" w:cs="宋体"/>
                <w:color w:val="auto"/>
                <w:highlight w:val="none"/>
              </w:rPr>
              <w:t>文件（</w:t>
            </w:r>
            <w:r>
              <w:rPr>
                <w:rFonts w:hint="eastAsia" w:ascii="宋体" w:hAnsi="宋体" w:eastAsia="宋体" w:cs="宋体"/>
                <w:bCs/>
                <w:color w:val="auto"/>
                <w:highlight w:val="none"/>
              </w:rPr>
              <w:t>如有</w:t>
            </w:r>
            <w:r>
              <w:rPr>
                <w:rFonts w:hint="eastAsia" w:ascii="宋体" w:hAnsi="宋体" w:eastAsia="宋体" w:cs="宋体"/>
                <w:color w:val="auto"/>
                <w:highlight w:val="none"/>
              </w:rPr>
              <w:t>）。</w:t>
            </w:r>
          </w:p>
        </w:tc>
        <w:tc>
          <w:tcPr>
            <w:tcW w:w="2449" w:type="dxa"/>
            <w:noWrap w:val="0"/>
            <w:vAlign w:val="center"/>
          </w:tcPr>
          <w:p w14:paraId="4B72747E">
            <w:pPr>
              <w:pStyle w:val="98"/>
              <w:keepNext w:val="0"/>
              <w:keepLines w:val="0"/>
              <w:pageBreakBefore w:val="0"/>
              <w:kinsoku/>
              <w:wordWrap/>
              <w:overflowPunct/>
              <w:topLinePunct w:val="0"/>
              <w:autoSpaceDE/>
              <w:autoSpaceDN/>
              <w:bidi w:val="0"/>
              <w:snapToGrid w:val="0"/>
              <w:spacing w:before="0" w:after="0" w:line="360" w:lineRule="auto"/>
              <w:ind w:firstLine="0"/>
              <w:rPr>
                <w:rFonts w:hint="eastAsia" w:ascii="宋体" w:hAnsi="宋体" w:eastAsia="宋体" w:cs="宋体"/>
                <w:bCs/>
                <w:color w:val="auto"/>
                <w:highlight w:val="none"/>
              </w:rPr>
            </w:pPr>
            <w:r>
              <w:rPr>
                <w:rFonts w:hint="eastAsia" w:ascii="宋体" w:hAnsi="宋体" w:eastAsia="宋体" w:cs="宋体"/>
                <w:color w:val="auto"/>
                <w:highlight w:val="none"/>
              </w:rPr>
              <w:t>特定资格要求，详见第一章《投标邀请》</w:t>
            </w:r>
          </w:p>
        </w:tc>
      </w:tr>
    </w:tbl>
    <w:p w14:paraId="6A4790C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646001C">
      <w:pPr>
        <w:pageBreakBefore w:val="0"/>
        <w:numPr>
          <w:ilvl w:val="0"/>
          <w:numId w:val="7"/>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w:t>
      </w:r>
      <w:r>
        <w:rPr>
          <w:rFonts w:hint="eastAsia" w:ascii="宋体" w:hAnsi="宋体" w:eastAsia="宋体" w:cs="宋体"/>
          <w:color w:val="auto"/>
          <w:sz w:val="24"/>
          <w:szCs w:val="24"/>
          <w:highlight w:val="none"/>
          <w:lang w:val="en-US" w:eastAsia="zh-CN"/>
        </w:rPr>
        <w:t>却又</w:t>
      </w:r>
      <w:r>
        <w:rPr>
          <w:rFonts w:hint="eastAsia" w:ascii="宋体" w:hAnsi="宋体" w:eastAsia="宋体" w:cs="宋体"/>
          <w:color w:val="auto"/>
          <w:sz w:val="24"/>
          <w:szCs w:val="24"/>
          <w:highlight w:val="none"/>
        </w:rPr>
        <w:t>无法提供的，可以不提供。</w:t>
      </w:r>
    </w:p>
    <w:p w14:paraId="110D6E05">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90FC56">
      <w:pPr>
        <w:pageBreakBefore w:val="0"/>
        <w:numPr>
          <w:ilvl w:val="0"/>
          <w:numId w:val="7"/>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上述资格证明文件第7项，如本项目有落实政府采购政策需满足的资格要求的（详见第一章《投标邀请》），必须提供相应证明文件，否则投标文件无效。</w:t>
      </w:r>
    </w:p>
    <w:p w14:paraId="2322B22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p>
    <w:p w14:paraId="394CBF5A">
      <w:pPr>
        <w:pageBreakBefore w:val="0"/>
        <w:numPr>
          <w:ilvl w:val="0"/>
          <w:numId w:val="7"/>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上述资格证明文件第8项，如本项目有特定资格要求的（详见第一章《投标邀请》），须提供相应的特定资格证明文件。</w:t>
      </w:r>
    </w:p>
    <w:p w14:paraId="38052BB4">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二、符合性证明文件及其他证明文件</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6095"/>
        <w:gridCol w:w="1979"/>
      </w:tblGrid>
      <w:tr w14:paraId="1CBD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292E93A">
            <w:pPr>
              <w:pStyle w:val="98"/>
              <w:pageBreakBefore w:val="0"/>
              <w:kinsoku/>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6095" w:type="dxa"/>
            <w:noWrap w:val="0"/>
            <w:vAlign w:val="center"/>
          </w:tcPr>
          <w:p w14:paraId="7B7D9A08">
            <w:pPr>
              <w:pStyle w:val="98"/>
              <w:pageBreakBefore w:val="0"/>
              <w:kinsoku/>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评审项及评审要求</w:t>
            </w:r>
          </w:p>
        </w:tc>
        <w:tc>
          <w:tcPr>
            <w:tcW w:w="1979" w:type="dxa"/>
            <w:noWrap w:val="0"/>
            <w:vAlign w:val="center"/>
          </w:tcPr>
          <w:p w14:paraId="58478F24">
            <w:pPr>
              <w:pStyle w:val="98"/>
              <w:pageBreakBefore w:val="0"/>
              <w:kinsoku/>
              <w:bidi w:val="0"/>
              <w:snapToGrid w:val="0"/>
              <w:spacing w:before="0" w:after="0" w:line="360" w:lineRule="auto"/>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审查因素</w:t>
            </w:r>
          </w:p>
        </w:tc>
      </w:tr>
      <w:tr w14:paraId="4B0F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A0E51F6">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095" w:type="dxa"/>
            <w:noWrap w:val="0"/>
            <w:vAlign w:val="center"/>
          </w:tcPr>
          <w:p w14:paraId="5E324420">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投标函（给定格式）</w:t>
            </w:r>
          </w:p>
        </w:tc>
        <w:tc>
          <w:tcPr>
            <w:tcW w:w="1979" w:type="dxa"/>
            <w:vMerge w:val="restart"/>
            <w:noWrap w:val="0"/>
            <w:vAlign w:val="center"/>
          </w:tcPr>
          <w:p w14:paraId="23B0E6BB">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符合性证明文件</w:t>
            </w:r>
          </w:p>
        </w:tc>
      </w:tr>
      <w:tr w14:paraId="2D184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03CE7C8">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095" w:type="dxa"/>
            <w:noWrap w:val="0"/>
            <w:vAlign w:val="center"/>
          </w:tcPr>
          <w:p w14:paraId="4836903C">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承诺书（给定格式）</w:t>
            </w:r>
          </w:p>
        </w:tc>
        <w:tc>
          <w:tcPr>
            <w:tcW w:w="1979" w:type="dxa"/>
            <w:vMerge w:val="continue"/>
            <w:noWrap w:val="0"/>
            <w:vAlign w:val="center"/>
          </w:tcPr>
          <w:p w14:paraId="2EF9ADFB">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350B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7F9EB2D">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095" w:type="dxa"/>
            <w:noWrap w:val="0"/>
            <w:vAlign w:val="center"/>
          </w:tcPr>
          <w:p w14:paraId="61A45917">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开标一览表（给定格式）</w:t>
            </w:r>
          </w:p>
        </w:tc>
        <w:tc>
          <w:tcPr>
            <w:tcW w:w="1979" w:type="dxa"/>
            <w:vMerge w:val="continue"/>
            <w:noWrap w:val="0"/>
            <w:vAlign w:val="center"/>
          </w:tcPr>
          <w:p w14:paraId="4D6B0372">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54BBC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51605E8">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095" w:type="dxa"/>
            <w:noWrap w:val="0"/>
            <w:vAlign w:val="center"/>
          </w:tcPr>
          <w:p w14:paraId="56D7A201">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分项报价表（给定格式）</w:t>
            </w:r>
          </w:p>
        </w:tc>
        <w:tc>
          <w:tcPr>
            <w:tcW w:w="1979" w:type="dxa"/>
            <w:vMerge w:val="continue"/>
            <w:noWrap w:val="0"/>
            <w:vAlign w:val="center"/>
          </w:tcPr>
          <w:p w14:paraId="05B1A5B9">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64E8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2266169">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095" w:type="dxa"/>
            <w:noWrap w:val="0"/>
            <w:vAlign w:val="center"/>
          </w:tcPr>
          <w:p w14:paraId="07BC99E6">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投标偏离表（给定格式）</w:t>
            </w:r>
          </w:p>
        </w:tc>
        <w:tc>
          <w:tcPr>
            <w:tcW w:w="1979" w:type="dxa"/>
            <w:vMerge w:val="continue"/>
            <w:noWrap w:val="0"/>
            <w:vAlign w:val="center"/>
          </w:tcPr>
          <w:p w14:paraId="27AC2F1E">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6DB1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3FE845C">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095" w:type="dxa"/>
            <w:noWrap w:val="0"/>
            <w:vAlign w:val="center"/>
          </w:tcPr>
          <w:p w14:paraId="2FF6F926">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《采购需求》中如有要求须提供的证明文件</w:t>
            </w:r>
          </w:p>
        </w:tc>
        <w:tc>
          <w:tcPr>
            <w:tcW w:w="1979" w:type="dxa"/>
            <w:vMerge w:val="continue"/>
            <w:noWrap w:val="0"/>
            <w:vAlign w:val="center"/>
          </w:tcPr>
          <w:p w14:paraId="1999D0DD">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p>
        </w:tc>
      </w:tr>
      <w:tr w14:paraId="61BF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18E74A6">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095" w:type="dxa"/>
            <w:noWrap w:val="0"/>
            <w:vAlign w:val="center"/>
          </w:tcPr>
          <w:p w14:paraId="0371FC23">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《评标方法与评标标准》中涉及的证明文件</w:t>
            </w:r>
          </w:p>
        </w:tc>
        <w:tc>
          <w:tcPr>
            <w:tcW w:w="1979" w:type="dxa"/>
            <w:vMerge w:val="restart"/>
            <w:noWrap w:val="0"/>
            <w:vAlign w:val="center"/>
          </w:tcPr>
          <w:p w14:paraId="4E4F04EC">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其他证明文件</w:t>
            </w:r>
          </w:p>
        </w:tc>
      </w:tr>
      <w:tr w14:paraId="10A3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53AE2FA">
            <w:pPr>
              <w:pStyle w:val="98"/>
              <w:pageBreakBefore w:val="0"/>
              <w:kinsoku/>
              <w:bidi w:val="0"/>
              <w:snapToGrid w:val="0"/>
              <w:spacing w:before="0" w:after="0"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6095" w:type="dxa"/>
            <w:noWrap w:val="0"/>
            <w:vAlign w:val="center"/>
          </w:tcPr>
          <w:p w14:paraId="7F0AF734">
            <w:pPr>
              <w:pStyle w:val="98"/>
              <w:pageBreakBefore w:val="0"/>
              <w:kinsoku/>
              <w:bidi w:val="0"/>
              <w:snapToGrid w:val="0"/>
              <w:spacing w:before="0" w:after="0"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其他投标人认为应附的文件（如有，自拟并自行添加）</w:t>
            </w:r>
          </w:p>
        </w:tc>
        <w:tc>
          <w:tcPr>
            <w:tcW w:w="1979" w:type="dxa"/>
            <w:vMerge w:val="continue"/>
            <w:noWrap w:val="0"/>
            <w:vAlign w:val="top"/>
          </w:tcPr>
          <w:p w14:paraId="1A9BED3E">
            <w:pPr>
              <w:pStyle w:val="98"/>
              <w:pageBreakBefore w:val="0"/>
              <w:kinsoku/>
              <w:bidi w:val="0"/>
              <w:snapToGrid w:val="0"/>
              <w:spacing w:before="0" w:after="0" w:line="360" w:lineRule="auto"/>
              <w:ind w:firstLine="0"/>
              <w:rPr>
                <w:rFonts w:hint="eastAsia" w:ascii="宋体" w:hAnsi="宋体" w:eastAsia="宋体" w:cs="宋体"/>
                <w:color w:val="auto"/>
                <w:highlight w:val="none"/>
              </w:rPr>
            </w:pPr>
          </w:p>
        </w:tc>
      </w:tr>
    </w:tbl>
    <w:p w14:paraId="6605FBCD">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9571BFE">
      <w:pPr>
        <w:pageBreakBefore w:val="0"/>
        <w:numPr>
          <w:ilvl w:val="0"/>
          <w:numId w:val="8"/>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上述符合性证明文件及其他证明文件1～6项必须按要求全部提供（有给定格式的，必须按给定格式的要求正确填报并提供，相应格式见本章第二部分），否则投标文件无效。</w:t>
      </w:r>
    </w:p>
    <w:p w14:paraId="61D948D4">
      <w:pPr>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第二部分  投标文件格式</w:t>
      </w:r>
    </w:p>
    <w:p w14:paraId="07C4944F">
      <w:pPr>
        <w:pStyle w:val="98"/>
        <w:pageBreakBefore w:val="0"/>
        <w:kinsoku/>
        <w:bidi w:val="0"/>
        <w:spacing w:before="0" w:after="0" w:line="360" w:lineRule="exact"/>
        <w:ind w:firstLine="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一、封面格式（参考格式）：</w:t>
      </w:r>
    </w:p>
    <w:p w14:paraId="6E58DEBF">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CB673C1">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7DC447E">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r>
        <w:rPr>
          <w:rFonts w:hint="eastAsia" w:ascii="宋体" w:hAnsi="宋体" w:eastAsia="宋体" w:cs="宋体"/>
          <w:bCs/>
          <w:color w:val="auto"/>
          <w:sz w:val="72"/>
          <w:szCs w:val="72"/>
          <w:highlight w:val="none"/>
          <w:lang w:val="en-US" w:eastAsia="zh-CN"/>
        </w:rPr>
        <w:t>投标文件</w:t>
      </w:r>
    </w:p>
    <w:p w14:paraId="01989835">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F97141C">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0E5449D7">
      <w:pPr>
        <w:pageBreakBefore w:val="0"/>
        <w:kinsoku/>
        <w:bidi w:val="0"/>
        <w:spacing w:line="360" w:lineRule="auto"/>
        <w:jc w:val="center"/>
        <w:rPr>
          <w:rFonts w:hint="eastAsia" w:ascii="宋体" w:hAnsi="宋体" w:eastAsia="宋体" w:cs="宋体"/>
          <w:bCs/>
          <w:color w:val="auto"/>
          <w:sz w:val="72"/>
          <w:szCs w:val="72"/>
          <w:highlight w:val="none"/>
          <w:lang w:val="en-US" w:eastAsia="zh-CN"/>
        </w:rPr>
      </w:pPr>
    </w:p>
    <w:p w14:paraId="3E0B7373">
      <w:pPr>
        <w:pageBreakBefore w:val="0"/>
        <w:kinsoku/>
        <w:bidi w:val="0"/>
        <w:spacing w:line="360" w:lineRule="auto"/>
        <w:ind w:firstLine="1800" w:firstLineChars="600"/>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0"/>
          <w:szCs w:val="30"/>
          <w:highlight w:val="none"/>
        </w:rPr>
        <w:t>项目编号：</w:t>
      </w:r>
      <w:r>
        <w:rPr>
          <w:rFonts w:hint="eastAsia" w:ascii="宋体" w:hAnsi="宋体" w:cs="宋体"/>
          <w:bCs/>
          <w:color w:val="auto"/>
          <w:sz w:val="32"/>
          <w:szCs w:val="32"/>
          <w:highlight w:val="none"/>
          <w:lang w:eastAsia="zh-CN"/>
        </w:rPr>
        <w:t>JSZC-320200-JXCG-G2026-0020</w:t>
      </w:r>
    </w:p>
    <w:p w14:paraId="4E42447B">
      <w:pPr>
        <w:pageBreakBefore w:val="0"/>
        <w:kinsoku/>
        <w:bidi w:val="0"/>
        <w:spacing w:line="360" w:lineRule="auto"/>
        <w:ind w:left="3289" w:leftChars="852" w:hanging="1500" w:hangingChars="500"/>
        <w:jc w:val="left"/>
        <w:rPr>
          <w:rFonts w:hint="default"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项目名称：</w:t>
      </w:r>
      <w:r>
        <w:rPr>
          <w:rFonts w:hint="eastAsia" w:ascii="宋体" w:hAnsi="宋体" w:cs="宋体"/>
          <w:bCs/>
          <w:color w:val="auto"/>
          <w:sz w:val="30"/>
          <w:szCs w:val="30"/>
          <w:highlight w:val="none"/>
          <w:lang w:eastAsia="zh-CN"/>
        </w:rPr>
        <w:t>2026—2029年市管夜景照明设施维护项目（</w:t>
      </w:r>
      <w:r>
        <w:rPr>
          <w:rFonts w:hint="eastAsia" w:ascii="宋体" w:hAnsi="宋体" w:cs="宋体"/>
          <w:bCs/>
          <w:color w:val="auto"/>
          <w:sz w:val="30"/>
          <w:szCs w:val="30"/>
          <w:highlight w:val="none"/>
          <w:lang w:val="en-US" w:eastAsia="zh-CN"/>
        </w:rPr>
        <w:t>第二次</w:t>
      </w:r>
      <w:r>
        <w:rPr>
          <w:rFonts w:hint="eastAsia" w:ascii="宋体" w:hAnsi="宋体" w:cs="宋体"/>
          <w:bCs/>
          <w:color w:val="auto"/>
          <w:sz w:val="30"/>
          <w:szCs w:val="30"/>
          <w:highlight w:val="none"/>
          <w:lang w:eastAsia="zh-CN"/>
        </w:rPr>
        <w:t>）</w:t>
      </w:r>
    </w:p>
    <w:p w14:paraId="0BA7F2F2">
      <w:pPr>
        <w:pageBreakBefore w:val="0"/>
        <w:kinsoku/>
        <w:bidi w:val="0"/>
        <w:spacing w:line="360" w:lineRule="auto"/>
        <w:ind w:firstLine="1800" w:firstLineChars="6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投 标 人：</w:t>
      </w:r>
    </w:p>
    <w:p w14:paraId="712AEE40">
      <w:pPr>
        <w:pageBreakBefore w:val="0"/>
        <w:kinsoku/>
        <w:bidi w:val="0"/>
        <w:spacing w:line="360" w:lineRule="auto"/>
        <w:ind w:firstLine="1800" w:firstLineChars="6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日    期：</w:t>
      </w:r>
    </w:p>
    <w:p w14:paraId="4AAD7DF0">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二、授权委托书（给定格式）：</w:t>
      </w:r>
    </w:p>
    <w:p w14:paraId="0144E799">
      <w:pPr>
        <w:pageBreakBefore w:val="0"/>
        <w:kinsoku/>
        <w:bidi w:val="0"/>
        <w:snapToGrid/>
        <w:spacing w:beforeAutospacing="0" w:afterAutospacing="0" w:line="360" w:lineRule="auto"/>
        <w:ind w:left="0" w:leftChars="0" w:right="0" w:rightChars="0" w:firstLine="480" w:firstLineChars="200"/>
        <w:jc w:val="center"/>
        <w:outlineLvl w:val="0"/>
        <w:rPr>
          <w:rFonts w:hint="eastAsia" w:ascii="宋体" w:hAnsi="宋体" w:eastAsia="宋体" w:cs="宋体"/>
          <w:color w:val="auto"/>
          <w:sz w:val="24"/>
          <w:highlight w:val="none"/>
          <w:shd w:val="clear" w:color="FFFFFF" w:fill="D9D9D9"/>
        </w:rPr>
      </w:pPr>
      <w:bookmarkStart w:id="225" w:name="_Toc19688"/>
      <w:r>
        <w:rPr>
          <w:rFonts w:hint="eastAsia" w:ascii="宋体" w:hAnsi="宋体" w:eastAsia="宋体" w:cs="宋体"/>
          <w:bCs/>
          <w:color w:val="auto"/>
          <w:sz w:val="24"/>
          <w:szCs w:val="28"/>
          <w:highlight w:val="none"/>
        </w:rPr>
        <w:t>授权委托书</w:t>
      </w:r>
      <w:bookmarkEnd w:id="225"/>
    </w:p>
    <w:p w14:paraId="4293C2D5">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我公司（单位）针对</w:t>
      </w:r>
      <w:r>
        <w:rPr>
          <w:rFonts w:hint="eastAsia" w:ascii="宋体" w:hAnsi="宋体" w:cs="宋体"/>
          <w:bCs/>
          <w:color w:val="auto"/>
          <w:sz w:val="24"/>
          <w:szCs w:val="24"/>
          <w:highlight w:val="none"/>
          <w:lang w:eastAsia="zh-CN"/>
        </w:rPr>
        <w:t>JSZC-320200-JXCG-G2026-0020</w:t>
      </w:r>
      <w:r>
        <w:rPr>
          <w:rFonts w:hint="eastAsia" w:ascii="宋体" w:hAnsi="宋体" w:eastAsia="宋体" w:cs="宋体"/>
          <w:bCs/>
          <w:color w:val="auto"/>
          <w:sz w:val="24"/>
          <w:szCs w:val="24"/>
          <w:highlight w:val="none"/>
        </w:rPr>
        <w:t>项目，兹授权：</w:t>
      </w:r>
    </w:p>
    <w:p w14:paraId="7CAB640D">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F9A026">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F363F1">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为我方合法代理人，以本单位名义全权处理</w:t>
      </w:r>
      <w:r>
        <w:rPr>
          <w:rFonts w:hint="eastAsia" w:ascii="宋体" w:hAnsi="宋体" w:eastAsia="宋体" w:cs="宋体"/>
          <w:bCs/>
          <w:color w:val="auto"/>
          <w:sz w:val="24"/>
          <w:szCs w:val="24"/>
          <w:highlight w:val="none"/>
        </w:rPr>
        <w:t>针对本次项目的投标、参与开标、评标、签约等具体工作，并签署全部有关的文件、协议及合同以及其他</w:t>
      </w:r>
      <w:r>
        <w:rPr>
          <w:rFonts w:hint="eastAsia" w:ascii="宋体" w:hAnsi="宋体" w:eastAsia="宋体" w:cs="宋体"/>
          <w:color w:val="auto"/>
          <w:sz w:val="24"/>
          <w:szCs w:val="24"/>
          <w:highlight w:val="none"/>
        </w:rPr>
        <w:t>一切与该项目采购有关的事务。</w:t>
      </w:r>
    </w:p>
    <w:p w14:paraId="17944F1D">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本授权委托书自授权之日起生效，</w:t>
      </w:r>
      <w:r>
        <w:rPr>
          <w:rFonts w:hint="eastAsia" w:ascii="宋体" w:hAnsi="宋体" w:eastAsia="宋体" w:cs="宋体"/>
          <w:bCs/>
          <w:color w:val="auto"/>
          <w:sz w:val="24"/>
          <w:szCs w:val="24"/>
          <w:highlight w:val="none"/>
        </w:rPr>
        <w:t>在撤销授权的书面通知送达你处以前，本授权书一直有效，被授权人签署的所有文件（在</w:t>
      </w:r>
      <w:r>
        <w:rPr>
          <w:rFonts w:hint="eastAsia" w:ascii="宋体" w:hAnsi="宋体" w:eastAsia="宋体" w:cs="宋体"/>
          <w:color w:val="auto"/>
          <w:sz w:val="24"/>
          <w:szCs w:val="24"/>
          <w:highlight w:val="none"/>
        </w:rPr>
        <w:t>授权委托</w:t>
      </w:r>
      <w:r>
        <w:rPr>
          <w:rFonts w:hint="eastAsia" w:ascii="宋体" w:hAnsi="宋体" w:eastAsia="宋体" w:cs="宋体"/>
          <w:bCs/>
          <w:color w:val="auto"/>
          <w:sz w:val="24"/>
          <w:szCs w:val="24"/>
          <w:highlight w:val="none"/>
        </w:rPr>
        <w:t>书有效期内签署的）不因授权的撤销而失效。</w:t>
      </w:r>
    </w:p>
    <w:p w14:paraId="2E207A92">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特此授权委托。</w:t>
      </w:r>
    </w:p>
    <w:p w14:paraId="4216C68F">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                     投标人名称</w:t>
      </w:r>
      <w:r>
        <w:rPr>
          <w:rFonts w:hint="eastAsia" w:ascii="宋体" w:hAnsi="宋体" w:eastAsia="宋体" w:cs="宋体"/>
          <w:bCs/>
          <w:color w:val="auto"/>
          <w:sz w:val="24"/>
          <w:szCs w:val="24"/>
          <w:highlight w:val="none"/>
        </w:rPr>
        <w:t>（盖章）</w:t>
      </w:r>
      <w:r>
        <w:rPr>
          <w:rFonts w:hint="eastAsia" w:ascii="宋体" w:hAnsi="宋体" w:eastAsia="宋体" w:cs="宋体"/>
          <w:color w:val="auto"/>
          <w:sz w:val="24"/>
          <w:szCs w:val="24"/>
          <w:highlight w:val="none"/>
        </w:rPr>
        <w:t>：</w:t>
      </w:r>
    </w:p>
    <w:p w14:paraId="02DF57C2">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被授权人签字：</w:t>
      </w:r>
      <w:r>
        <w:rPr>
          <w:rFonts w:hint="eastAsia" w:ascii="宋体" w:hAnsi="宋体" w:eastAsia="宋体" w:cs="宋体"/>
          <w:color w:val="auto"/>
          <w:sz w:val="24"/>
          <w:szCs w:val="24"/>
          <w:highlight w:val="none"/>
          <w:u w:val="single"/>
        </w:rPr>
        <w:t xml:space="preserve">        </w:t>
      </w:r>
    </w:p>
    <w:p w14:paraId="24DB99CB">
      <w:pPr>
        <w:pStyle w:val="96"/>
        <w:pageBreakBefore w:val="0"/>
        <w:kinsoku/>
        <w:bidi w:val="0"/>
        <w:snapToGrid/>
        <w:spacing w:beforeAutospacing="0" w:afterAutospacing="0" w:line="360" w:lineRule="auto"/>
        <w:ind w:left="0" w:leftChars="0" w:right="0" w:rightChars="0"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被授权人身份证原件扫描件附后</w:t>
      </w:r>
      <w:r>
        <w:rPr>
          <w:rFonts w:hint="eastAsia" w:ascii="宋体" w:hAnsi="宋体" w:eastAsia="宋体" w:cs="宋体"/>
          <w:b/>
          <w:color w:val="auto"/>
          <w:sz w:val="24"/>
          <w:highlight w:val="none"/>
          <w:lang w:eastAsia="zh-CN"/>
        </w:rPr>
        <w:t>）</w:t>
      </w:r>
    </w:p>
    <w:p w14:paraId="6D4D3A54">
      <w:pPr>
        <w:pStyle w:val="96"/>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F69A0CC">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若投标人为事业单位或其他组织或分支机构（仅限招标文件注明允许分支机构投标情形的），则法定代表人处的签字人可为单位负责人。</w:t>
      </w:r>
    </w:p>
    <w:p w14:paraId="38C15D3D">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当被授权人为法定代表人（或上述情况的单位负责人）时，只需在法定代表人处签字即可。</w:t>
      </w:r>
    </w:p>
    <w:p w14:paraId="50220D94">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供应商为自然人情形的，可不提供本《授权委托书》。</w:t>
      </w:r>
    </w:p>
    <w:p w14:paraId="07FFDD04">
      <w:pPr>
        <w:pStyle w:val="96"/>
        <w:pageBreakBefore w:val="0"/>
        <w:numPr>
          <w:ilvl w:val="0"/>
          <w:numId w:val="9"/>
        </w:numPr>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可在中国大陆有效居留的许可证明。</w:t>
      </w:r>
    </w:p>
    <w:p w14:paraId="52F3EFD9">
      <w:pPr>
        <w:pStyle w:val="96"/>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三、资格声明函（给定格式）：</w:t>
      </w:r>
    </w:p>
    <w:p w14:paraId="0E8E8019">
      <w:pPr>
        <w:pageBreakBefore w:val="0"/>
        <w:kinsoku/>
        <w:bidi w:val="0"/>
        <w:snapToGrid/>
        <w:spacing w:beforeAutospacing="0" w:afterAutospacing="0" w:line="360" w:lineRule="auto"/>
        <w:ind w:left="0" w:leftChars="0" w:right="0" w:rightChars="0" w:firstLine="482" w:firstLineChars="200"/>
        <w:jc w:val="center"/>
        <w:outlineLvl w:val="9"/>
        <w:rPr>
          <w:rFonts w:hint="eastAsia" w:ascii="宋体" w:hAnsi="宋体" w:eastAsia="宋体" w:cs="宋体"/>
          <w:b/>
          <w:bCs w:val="0"/>
          <w:color w:val="auto"/>
          <w:sz w:val="24"/>
          <w:szCs w:val="28"/>
          <w:highlight w:val="none"/>
        </w:rPr>
      </w:pPr>
      <w:bookmarkStart w:id="226" w:name="报价方关于资格的声明函（格式）"/>
      <w:bookmarkEnd w:id="226"/>
      <w:bookmarkStart w:id="227" w:name="_Toc20488"/>
      <w:r>
        <w:rPr>
          <w:rFonts w:hint="eastAsia" w:ascii="宋体" w:hAnsi="宋体" w:eastAsia="宋体" w:cs="宋体"/>
          <w:b/>
          <w:bCs w:val="0"/>
          <w:color w:val="auto"/>
          <w:sz w:val="24"/>
          <w:szCs w:val="28"/>
          <w:highlight w:val="none"/>
        </w:rPr>
        <w:t>资格声明函</w:t>
      </w:r>
      <w:bookmarkEnd w:id="227"/>
    </w:p>
    <w:p w14:paraId="4FC19976">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w:t>
      </w:r>
    </w:p>
    <w:p w14:paraId="37F39B15">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我公司（单位）针对本次项目</w:t>
      </w:r>
      <w:r>
        <w:rPr>
          <w:rFonts w:hint="eastAsia" w:ascii="宋体" w:hAnsi="宋体" w:cs="宋体"/>
          <w:bCs/>
          <w:color w:val="auto"/>
          <w:sz w:val="24"/>
          <w:szCs w:val="24"/>
          <w:highlight w:val="none"/>
          <w:lang w:eastAsia="zh-CN"/>
        </w:rPr>
        <w:t>JSZC-320200-JXCG-G2026-0020</w:t>
      </w:r>
      <w:r>
        <w:rPr>
          <w:rFonts w:hint="eastAsia" w:ascii="宋体" w:hAnsi="宋体" w:eastAsia="宋体" w:cs="宋体"/>
          <w:bCs/>
          <w:color w:val="auto"/>
          <w:sz w:val="24"/>
          <w:szCs w:val="24"/>
          <w:highlight w:val="none"/>
        </w:rPr>
        <w:t>进行投标，</w:t>
      </w:r>
      <w:r>
        <w:rPr>
          <w:rFonts w:hint="eastAsia" w:ascii="宋体" w:hAnsi="宋体" w:eastAsia="宋体" w:cs="宋体"/>
          <w:bCs/>
          <w:color w:val="auto"/>
          <w:sz w:val="24"/>
          <w:szCs w:val="24"/>
          <w:highlight w:val="none"/>
          <w:lang w:eastAsia="zh-CN"/>
        </w:rPr>
        <w:t>并作</w:t>
      </w:r>
      <w:r>
        <w:rPr>
          <w:rFonts w:hint="eastAsia" w:ascii="宋体" w:hAnsi="宋体" w:eastAsia="宋体" w:cs="宋体"/>
          <w:bCs/>
          <w:color w:val="auto"/>
          <w:sz w:val="24"/>
          <w:szCs w:val="24"/>
          <w:highlight w:val="none"/>
        </w:rPr>
        <w:t>如下声明</w:t>
      </w:r>
    </w:p>
    <w:p w14:paraId="441E849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CCDA02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2.本公司（单位）具备本次项目履行合同所必需的设备和专业技术能力。</w:t>
      </w:r>
    </w:p>
    <w:p w14:paraId="3C380C4A">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3.本公司（单位）无被“信用中国”网站（www.creditchina.gov.cn）、中国政府采购网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w:t>
      </w:r>
      <w:r>
        <w:rPr>
          <w:rFonts w:hint="eastAsia" w:ascii="宋体" w:hAnsi="宋体" w:eastAsia="宋体" w:cs="宋体"/>
          <w:bCs/>
          <w:color w:val="auto"/>
          <w:sz w:val="24"/>
          <w:szCs w:val="24"/>
          <w:highlight w:val="none"/>
          <w:lang w:eastAsia="zh-CN"/>
        </w:rPr>
        <w:t>重大税收违法失信主体名单</w:t>
      </w:r>
      <w:r>
        <w:rPr>
          <w:rFonts w:hint="eastAsia" w:ascii="宋体" w:hAnsi="宋体" w:eastAsia="宋体" w:cs="宋体"/>
          <w:bCs/>
          <w:color w:val="auto"/>
          <w:sz w:val="24"/>
          <w:szCs w:val="24"/>
          <w:highlight w:val="none"/>
        </w:rPr>
        <w:t>、政府采购严重失信行为记录名单及其他不符合《中华人民共和国政府采购法》第二十二条规定条件的信用记录。</w:t>
      </w:r>
    </w:p>
    <w:p w14:paraId="10BF2C77">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50D4EDBA">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56C75A55">
      <w:pPr>
        <w:pageBreakBefore w:val="0"/>
        <w:kinsoku/>
        <w:bidi w:val="0"/>
        <w:snapToGrid/>
        <w:spacing w:beforeAutospacing="0" w:afterAutospacing="0" w:line="360" w:lineRule="auto"/>
        <w:ind w:left="0" w:leftChars="0" w:right="0" w:rightChars="0" w:firstLine="480" w:firstLineChars="20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11D1EFFE">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28"/>
          <w:highlight w:val="none"/>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四、中小企业声明函（给定格式）：</w:t>
      </w:r>
    </w:p>
    <w:p w14:paraId="6CDDCFDF">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rPr>
        <w:t>中小企业声明函（服务）</w:t>
      </w:r>
    </w:p>
    <w:p w14:paraId="251636F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w:t>
      </w:r>
      <w:r>
        <w:rPr>
          <w:rFonts w:hint="eastAsia" w:ascii="宋体" w:hAnsi="宋体" w:eastAsia="宋体" w:cs="宋体"/>
          <w:b/>
          <w:color w:val="auto"/>
          <w:sz w:val="24"/>
          <w:highlight w:val="none"/>
        </w:rPr>
        <w:t>服务全部为符合政策要求的中小企业承接</w:t>
      </w:r>
      <w:r>
        <w:rPr>
          <w:rFonts w:hint="eastAsia" w:ascii="宋体" w:hAnsi="宋体" w:eastAsia="宋体" w:cs="宋体"/>
          <w:bCs/>
          <w:color w:val="auto"/>
          <w:sz w:val="24"/>
          <w:szCs w:val="24"/>
          <w:highlight w:val="none"/>
        </w:rPr>
        <w:t>。相关企业 （含联合体中的中小企业、签订分包意向协议的中小企业）的具体情况如下：</w:t>
      </w:r>
    </w:p>
    <w:p w14:paraId="6D552889">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 行业</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rPr>
        <w:t>承接企业</w:t>
      </w:r>
      <w:r>
        <w:rPr>
          <w:rFonts w:hint="eastAsia" w:ascii="宋体" w:hAnsi="宋体" w:eastAsia="宋体" w:cs="宋体"/>
          <w:bCs/>
          <w:color w:val="auto"/>
          <w:sz w:val="24"/>
          <w:szCs w:val="24"/>
          <w:highlight w:val="none"/>
        </w:rPr>
        <w:t>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 型企业、微型企业）</w:t>
      </w:r>
      <w:r>
        <w:rPr>
          <w:rFonts w:hint="eastAsia" w:ascii="宋体" w:hAnsi="宋体" w:eastAsia="宋体" w:cs="宋体"/>
          <w:bCs/>
          <w:color w:val="auto"/>
          <w:sz w:val="24"/>
          <w:szCs w:val="24"/>
          <w:highlight w:val="none"/>
        </w:rPr>
        <w:t>；</w:t>
      </w:r>
    </w:p>
    <w:p w14:paraId="2893FFE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 行业</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rPr>
        <w:t>承接企业</w:t>
      </w:r>
      <w:r>
        <w:rPr>
          <w:rFonts w:hint="eastAsia" w:ascii="宋体" w:hAnsi="宋体" w:eastAsia="宋体" w:cs="宋体"/>
          <w:bCs/>
          <w:color w:val="auto"/>
          <w:sz w:val="24"/>
          <w:szCs w:val="24"/>
          <w:highlight w:val="none"/>
        </w:rPr>
        <w:t>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 型企业、微型企业）</w:t>
      </w:r>
      <w:r>
        <w:rPr>
          <w:rFonts w:hint="eastAsia" w:ascii="宋体" w:hAnsi="宋体" w:eastAsia="宋体" w:cs="宋体"/>
          <w:bCs/>
          <w:color w:val="auto"/>
          <w:sz w:val="24"/>
          <w:szCs w:val="24"/>
          <w:highlight w:val="none"/>
        </w:rPr>
        <w:t>；</w:t>
      </w:r>
    </w:p>
    <w:p w14:paraId="7662477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3D93B13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1DBC5D4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14:paraId="0C39590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1A789795">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59D686C6">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26FBFED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从业人员、营业收入、资产总额填报上一年度数据，无上一年度数据的新成立企业可不填报。</w:t>
      </w:r>
    </w:p>
    <w:p w14:paraId="3084AEE7">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中标供应商的《中小企业声明函》将随中标公告进行公示。供应商按照本办法规定提供声明函内容不实的，属于提供虚假材料谋取中标、成交，可依照《中华人民共和国政府采购法》等国家有关规定追究相应责任。</w:t>
      </w:r>
    </w:p>
    <w:p w14:paraId="4F1B5608">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highlight w:val="none"/>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五、残疾人福利性单位声明函（给定格式）：</w:t>
      </w:r>
    </w:p>
    <w:p w14:paraId="739358FC">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val="0"/>
          <w:color w:val="auto"/>
          <w:sz w:val="24"/>
          <w:szCs w:val="28"/>
          <w:highlight w:val="none"/>
        </w:rPr>
      </w:pPr>
      <w:r>
        <w:rPr>
          <w:rFonts w:hint="eastAsia" w:ascii="宋体" w:hAnsi="宋体" w:eastAsia="宋体" w:cs="宋体"/>
          <w:b/>
          <w:bCs w:val="0"/>
          <w:color w:val="auto"/>
          <w:sz w:val="24"/>
          <w:szCs w:val="28"/>
          <w:highlight w:val="none"/>
        </w:rPr>
        <w:t>残疾人福利性单位声明函</w:t>
      </w:r>
    </w:p>
    <w:p w14:paraId="37D59C3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465BF8">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394B082A">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60A689AF">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20C5C225">
      <w:pPr>
        <w:pageBreakBefore w:val="0"/>
        <w:kinsoku/>
        <w:bidi w:val="0"/>
        <w:snapToGrid/>
        <w:spacing w:beforeAutospacing="0" w:afterAutospacing="0" w:line="360" w:lineRule="auto"/>
        <w:ind w:left="0" w:leftChars="0" w:right="0" w:rightChars="0" w:firstLine="480" w:firstLineChars="20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37691B35">
      <w:pPr>
        <w:pageBreakBefore w:val="0"/>
        <w:kinsoku/>
        <w:bidi w:val="0"/>
        <w:snapToGrid/>
        <w:spacing w:beforeAutospacing="0" w:afterAutospacing="0" w:line="360" w:lineRule="auto"/>
        <w:ind w:left="0" w:leftChars="0" w:right="0" w:rightChars="0" w:firstLine="480" w:firstLineChars="200"/>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1F5A7AA">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六、投标函（给定格式）：</w:t>
      </w:r>
    </w:p>
    <w:p w14:paraId="0B0C12A1">
      <w:pPr>
        <w:pageBreakBefore w:val="0"/>
        <w:kinsoku/>
        <w:bidi w:val="0"/>
        <w:snapToGrid/>
        <w:spacing w:beforeAutospacing="0" w:afterAutospacing="0" w:line="360" w:lineRule="auto"/>
        <w:ind w:left="0" w:leftChars="0" w:right="0" w:rightChars="0" w:firstLine="482" w:firstLineChars="200"/>
        <w:jc w:val="center"/>
        <w:rPr>
          <w:rFonts w:hint="eastAsia" w:ascii="宋体" w:hAnsi="宋体" w:eastAsia="宋体" w:cs="宋体"/>
          <w:b/>
          <w:bCs w:val="0"/>
          <w:color w:val="auto"/>
          <w:sz w:val="24"/>
          <w:szCs w:val="28"/>
          <w:highlight w:val="none"/>
        </w:rPr>
      </w:pPr>
      <w:r>
        <w:rPr>
          <w:rFonts w:hint="eastAsia" w:ascii="宋体" w:hAnsi="宋体" w:eastAsia="宋体" w:cs="宋体"/>
          <w:b/>
          <w:bCs w:val="0"/>
          <w:color w:val="auto"/>
          <w:sz w:val="24"/>
          <w:szCs w:val="28"/>
          <w:highlight w:val="none"/>
        </w:rPr>
        <w:t>投标函</w:t>
      </w:r>
    </w:p>
    <w:p w14:paraId="6C39FB9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：江苏建协全过程工程咨询有限公司</w:t>
      </w:r>
    </w:p>
    <w:p w14:paraId="0C9BC631">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p>
    <w:p w14:paraId="09A6CEF6">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w:t>
      </w:r>
      <w:r>
        <w:rPr>
          <w:rFonts w:hint="eastAsia" w:ascii="宋体" w:hAnsi="宋体" w:cs="宋体"/>
          <w:bCs/>
          <w:color w:val="auto"/>
          <w:sz w:val="24"/>
          <w:szCs w:val="24"/>
          <w:highlight w:val="none"/>
          <w:lang w:eastAsia="zh-CN"/>
        </w:rPr>
        <w:t>JSZC-320200-JXCG-G2026-0020</w:t>
      </w:r>
      <w:r>
        <w:rPr>
          <w:rFonts w:hint="eastAsia" w:ascii="宋体" w:hAnsi="宋体" w:eastAsia="宋体" w:cs="宋体"/>
          <w:bCs/>
          <w:color w:val="auto"/>
          <w:sz w:val="24"/>
          <w:szCs w:val="24"/>
          <w:highlight w:val="none"/>
        </w:rPr>
        <w:t>招标文件，经仔细阅读和研究，我方决定参加此项目的投标。</w:t>
      </w:r>
    </w:p>
    <w:p w14:paraId="78C9F0F7">
      <w:pPr>
        <w:pageBreakBefore w:val="0"/>
        <w:numPr>
          <w:ilvl w:val="0"/>
          <w:numId w:val="10"/>
        </w:numPr>
        <w:tabs>
          <w:tab w:val="left" w:pos="315"/>
          <w:tab w:val="left" w:pos="840"/>
          <w:tab w:val="left" w:pos="945"/>
          <w:tab w:val="left" w:pos="1050"/>
          <w:tab w:val="left" w:pos="126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498CDBA8">
      <w:pPr>
        <w:pageBreakBefore w:val="0"/>
        <w:numPr>
          <w:ilvl w:val="0"/>
          <w:numId w:val="10"/>
        </w:numPr>
        <w:tabs>
          <w:tab w:val="left" w:pos="0"/>
          <w:tab w:val="left" w:pos="315"/>
          <w:tab w:val="left" w:pos="525"/>
          <w:tab w:val="left" w:pos="840"/>
          <w:tab w:val="left" w:pos="945"/>
          <w:tab w:val="left" w:pos="1050"/>
          <w:tab w:val="clear" w:pos="552"/>
        </w:tabs>
        <w:kinsoku/>
        <w:bidi w:val="0"/>
        <w:snapToGrid/>
        <w:spacing w:beforeAutospacing="0" w:afterAutospacing="0" w:line="360" w:lineRule="auto"/>
        <w:ind w:left="0" w:leftChars="0" w:right="0" w:rightChars="0" w:firstLine="480" w:firstLineChars="200"/>
        <w:jc w:val="left"/>
        <w:rPr>
          <w:rStyle w:val="53"/>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我方愿意提供</w:t>
      </w:r>
      <w:r>
        <w:rPr>
          <w:rFonts w:hint="eastAsia" w:ascii="宋体" w:hAnsi="宋体" w:eastAsia="宋体" w:cs="宋体"/>
          <w:bCs/>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在招标文件中要求的文件、资料。</w:t>
      </w:r>
    </w:p>
    <w:p w14:paraId="14FBB28F">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招标文件中的规定，从规定的开标日期起遵循本投标文件，并在规定的投标有效期期满之前均具有约束力。</w:t>
      </w:r>
    </w:p>
    <w:p w14:paraId="53E3B099">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48722349">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我方完全同意招标文件规定的决定中标者的方式。</w:t>
      </w:r>
      <w:r>
        <w:rPr>
          <w:rFonts w:hint="eastAsia" w:ascii="宋体" w:hAnsi="宋体" w:cs="宋体"/>
          <w:bCs/>
          <w:color w:val="auto"/>
          <w:sz w:val="24"/>
          <w:szCs w:val="24"/>
          <w:highlight w:val="none"/>
          <w:lang w:val="en-US" w:eastAsia="zh-CN"/>
        </w:rPr>
        <w:t xml:space="preserve"> </w:t>
      </w:r>
    </w:p>
    <w:p w14:paraId="6F8D1CFB">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《中华人民共和国民法典》、财政部《政府采购货物和服务招标投标管理办法》等相关法律法规</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2B852B00">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我方已详细审核全部招标文件及其有效补充文件，我们知道必须放弃提出含糊不清或误解问题的权利。</w:t>
      </w:r>
    </w:p>
    <w:p w14:paraId="1F3FAA43">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750E835C">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如果我方被确定为中标供应商，我方愿意按采购人要求</w:t>
      </w:r>
      <w:r>
        <w:rPr>
          <w:rFonts w:hint="eastAsia" w:ascii="宋体" w:hAnsi="宋体" w:eastAsia="宋体" w:cs="宋体"/>
          <w:bCs/>
          <w:color w:val="auto"/>
          <w:sz w:val="24"/>
          <w:szCs w:val="24"/>
          <w:highlight w:val="none"/>
          <w:lang w:eastAsia="zh-CN"/>
        </w:rPr>
        <w:t>缴纳</w:t>
      </w:r>
      <w:r>
        <w:rPr>
          <w:rFonts w:hint="eastAsia" w:ascii="宋体" w:hAnsi="宋体" w:eastAsia="宋体" w:cs="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3A6EA39">
      <w:pPr>
        <w:pageBreakBefore w:val="0"/>
        <w:numPr>
          <w:ilvl w:val="0"/>
          <w:numId w:val="10"/>
        </w:numPr>
        <w:tabs>
          <w:tab w:val="left" w:pos="0"/>
          <w:tab w:val="left" w:pos="315"/>
          <w:tab w:val="left" w:pos="525"/>
          <w:tab w:val="left" w:pos="945"/>
          <w:tab w:val="left" w:pos="1050"/>
          <w:tab w:val="clear" w:pos="552"/>
        </w:tabs>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恶意串通、决不向采购人、</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06B35B5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p>
    <w:p w14:paraId="0B56936C">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通讯地址：</w:t>
      </w:r>
      <w:r>
        <w:rPr>
          <w:rFonts w:hint="eastAsia" w:ascii="宋体" w:hAnsi="宋体" w:eastAsia="宋体" w:cs="宋体"/>
          <w:bCs/>
          <w:color w:val="auto"/>
          <w:sz w:val="24"/>
          <w:szCs w:val="24"/>
          <w:highlight w:val="none"/>
          <w:u w:val="single"/>
        </w:rPr>
        <w:t xml:space="preserve">                                                        </w:t>
      </w:r>
    </w:p>
    <w:p w14:paraId="5F8F462B">
      <w:pPr>
        <w:pageBreakBefore w:val="0"/>
        <w:kinsoku/>
        <w:bidi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33DF1319">
      <w:pPr>
        <w:pageBreakBefore w:val="0"/>
        <w:kinsoku/>
        <w:bidi w:val="0"/>
        <w:snapToGrid/>
        <w:spacing w:beforeAutospacing="0" w:afterAutospacing="0" w:line="360" w:lineRule="auto"/>
        <w:ind w:left="0" w:leftChars="0" w:right="0" w:rightChars="0" w:firstLine="482" w:firstLineChars="200"/>
        <w:jc w:val="center"/>
        <w:outlineLvl w:val="9"/>
        <w:rPr>
          <w:rFonts w:hint="eastAsia" w:ascii="宋体" w:hAnsi="宋体" w:eastAsia="宋体" w:cs="宋体"/>
          <w:b/>
          <w:bCs w:val="0"/>
          <w:color w:val="auto"/>
          <w:sz w:val="24"/>
          <w:szCs w:val="28"/>
          <w:highlight w:val="none"/>
        </w:rPr>
      </w:pPr>
      <w:r>
        <w:rPr>
          <w:rFonts w:hint="eastAsia" w:ascii="宋体" w:hAnsi="宋体" w:eastAsia="宋体" w:cs="宋体"/>
          <w:b/>
          <w:bCs/>
          <w:kern w:val="0"/>
          <w:sz w:val="24"/>
          <w:szCs w:val="24"/>
          <w:highlight w:val="none"/>
          <w:lang w:val="en-US" w:eastAsia="zh-CN" w:bidi="ar-SA"/>
        </w:rPr>
        <w:br w:type="page"/>
      </w:r>
      <w:r>
        <w:rPr>
          <w:rFonts w:hint="eastAsia" w:ascii="宋体" w:hAnsi="宋体" w:eastAsia="宋体" w:cs="宋体"/>
          <w:b/>
          <w:bCs/>
          <w:kern w:val="0"/>
          <w:sz w:val="24"/>
          <w:szCs w:val="24"/>
          <w:highlight w:val="none"/>
          <w:lang w:val="en-US" w:eastAsia="zh-CN" w:bidi="ar-SA"/>
        </w:rPr>
        <w:t>七、承诺书（给定格式）：</w:t>
      </w:r>
    </w:p>
    <w:p w14:paraId="779421C7">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rPr>
        <w:t>承诺书一（格式）</w:t>
      </w:r>
    </w:p>
    <w:p w14:paraId="0F71D3B5">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7A35CD9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单位（公司）项目的投标，并接受对我公司的资格审查，我公司承诺：我公司未处于被责令停业、投标资格被取消或者财产被接管、冻结和破产状态，2020年1月以来企业没有因骗取中标或者严重违约以及发生重大工程</w:t>
      </w:r>
      <w:r>
        <w:rPr>
          <w:rFonts w:hint="eastAsia" w:ascii="宋体" w:hAnsi="宋体" w:eastAsia="宋体" w:cs="宋体"/>
          <w:b/>
          <w:color w:val="auto"/>
          <w:sz w:val="24"/>
          <w:highlight w:val="none"/>
        </w:rPr>
        <w:t>质量事故、安全事故、文明作业不良记录</w:t>
      </w:r>
      <w:r>
        <w:rPr>
          <w:rFonts w:hint="eastAsia" w:ascii="宋体" w:hAnsi="宋体" w:eastAsia="宋体" w:cs="宋体"/>
          <w:color w:val="auto"/>
          <w:sz w:val="24"/>
          <w:highlight w:val="none"/>
        </w:rPr>
        <w:t>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eastAsia="宋体" w:cs="宋体"/>
          <w:color w:val="auto"/>
          <w:sz w:val="24"/>
          <w:highlight w:val="none"/>
          <w:lang w:eastAsia="zh-CN"/>
        </w:rPr>
        <w:t>作出</w:t>
      </w:r>
      <w:r>
        <w:rPr>
          <w:rFonts w:hint="eastAsia" w:ascii="宋体" w:hAnsi="宋体" w:eastAsia="宋体" w:cs="宋体"/>
          <w:color w:val="auto"/>
          <w:sz w:val="24"/>
          <w:highlight w:val="none"/>
        </w:rPr>
        <w:t>的任何处理。</w:t>
      </w:r>
    </w:p>
    <w:p w14:paraId="6B97240B">
      <w:pPr>
        <w:tabs>
          <w:tab w:val="left" w:pos="840"/>
        </w:tabs>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我公司承诺中标后按采购方要求对每个维护分项制作项目基础资料。</w:t>
      </w:r>
    </w:p>
    <w:p w14:paraId="653C242B">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3B8035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660824A">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51F4656E">
      <w:pPr>
        <w:wordWrap/>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单位：（盖章）          </w:t>
      </w:r>
    </w:p>
    <w:p w14:paraId="1183EE94">
      <w:pPr>
        <w:wordWrap/>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5BE36598">
      <w:pPr>
        <w:wordWrap/>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19D8FFE9">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08BE9FD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449B0A62">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br w:type="page"/>
      </w:r>
    </w:p>
    <w:p w14:paraId="7BEDF1BD">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承诺书二 不拖欠农民工工资承诺书（格式）</w:t>
      </w:r>
    </w:p>
    <w:p w14:paraId="23BAE33A">
      <w:pPr>
        <w:pStyle w:val="56"/>
        <w:snapToGrid/>
        <w:spacing w:beforeAutospacing="0" w:afterAutospacing="0" w:line="360" w:lineRule="auto"/>
        <w:ind w:left="0" w:leftChars="0" w:right="0" w:rightChars="0" w:firstLine="480" w:firstLineChars="200"/>
        <w:jc w:val="left"/>
        <w:rPr>
          <w:rFonts w:hint="eastAsia" w:ascii="宋体" w:hAnsi="宋体" w:eastAsia="宋体" w:cs="宋体"/>
          <w:sz w:val="24"/>
          <w:highlight w:val="none"/>
        </w:rPr>
      </w:pPr>
    </w:p>
    <w:p w14:paraId="47F0266E">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533B4C51">
      <w:pPr>
        <w:pStyle w:val="56"/>
        <w:snapToGrid/>
        <w:spacing w:beforeAutospacing="0" w:afterAutospacing="0" w:line="360" w:lineRule="auto"/>
        <w:ind w:left="0" w:leftChars="0" w:right="0" w:rightChars="0" w:firstLine="480" w:firstLineChars="200"/>
        <w:jc w:val="left"/>
        <w:rPr>
          <w:rFonts w:hint="eastAsia" w:ascii="宋体" w:hAnsi="宋体" w:eastAsia="宋体" w:cs="宋体"/>
          <w:sz w:val="24"/>
          <w:highlight w:val="none"/>
        </w:rPr>
      </w:pPr>
    </w:p>
    <w:p w14:paraId="46EBEEC0">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为保护农民工的合法权益，不拖欠农民工工资，本签名人郑重承诺：</w:t>
      </w:r>
    </w:p>
    <w:p w14:paraId="46BFCD9B">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本企业如果中标承建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项目，需要使用农民工时，将保证做到：</w:t>
      </w:r>
    </w:p>
    <w:p w14:paraId="4A4FB899">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按照《</w:t>
      </w:r>
      <w:r>
        <w:rPr>
          <w:rFonts w:hint="eastAsia" w:ascii="宋体" w:hAnsi="宋体" w:eastAsia="宋体" w:cs="宋体"/>
          <w:color w:val="auto"/>
          <w:sz w:val="24"/>
          <w:highlight w:val="none"/>
          <w:lang w:eastAsia="zh-CN"/>
        </w:rPr>
        <w:t>中华人民共和国</w:t>
      </w:r>
      <w:r>
        <w:rPr>
          <w:rFonts w:hint="eastAsia" w:ascii="宋体" w:hAnsi="宋体" w:cs="宋体"/>
          <w:color w:val="auto"/>
          <w:sz w:val="24"/>
          <w:highlight w:val="none"/>
          <w:lang w:val="en-US" w:eastAsia="zh-CN"/>
        </w:rPr>
        <w:t>民法典</w:t>
      </w:r>
      <w:r>
        <w:rPr>
          <w:rFonts w:hint="eastAsia" w:ascii="宋体" w:hAnsi="宋体" w:eastAsia="宋体" w:cs="宋体"/>
          <w:color w:val="auto"/>
          <w:sz w:val="24"/>
          <w:highlight w:val="none"/>
        </w:rPr>
        <w:t>》规定雇佣和使用农民工，工资将直接发放给农民工本人，严禁发放给“包工头”。</w:t>
      </w:r>
    </w:p>
    <w:p w14:paraId="4F75504F">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3DB3B402">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如果发生违反规定拖欠或克扣农民工工资行为，造成农民工上访，本公司愿意接受业主暂停我公司1年期间参加业主招标项目投标资格的处罚，同时愿意接受行政主管部门依照有关规定作出的</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处罚决定。</w:t>
      </w:r>
    </w:p>
    <w:p w14:paraId="6CE56E4C">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1A2B1FE">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p>
    <w:p w14:paraId="1B4B2A24">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   （盖章）         </w:t>
      </w:r>
    </w:p>
    <w:p w14:paraId="2E13DB19">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法定代表人或其授权代理人：   （签字） </w:t>
      </w:r>
    </w:p>
    <w:p w14:paraId="650BA324">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03329E70">
      <w:pPr>
        <w:widowControl/>
        <w:topLinePunct/>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highlight w:val="none"/>
        </w:rPr>
        <w:sectPr>
          <w:pgSz w:w="11906" w:h="16838"/>
          <w:pgMar w:top="1440" w:right="1080" w:bottom="1440" w:left="1080" w:header="851" w:footer="907" w:gutter="0"/>
          <w:pgNumType w:fmt="decimal"/>
          <w:cols w:space="720" w:num="1"/>
          <w:titlePg/>
          <w:docGrid w:type="lines" w:linePitch="290" w:charSpace="0"/>
        </w:sectPr>
      </w:pPr>
    </w:p>
    <w:p w14:paraId="6E885AB3">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承诺书三 投标单位廉洁承诺书（格式）</w:t>
      </w:r>
    </w:p>
    <w:p w14:paraId="36646C1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为了积极配合贵局为平台的招标工作，有效遏制不公平竞争和违规违纪问题的发生，确保招标工作的公平、公正、公开，我们保证认真贯彻相关规定以及相关廉洁要求，特向贵局承诺如下事项：</w:t>
      </w:r>
    </w:p>
    <w:p w14:paraId="64E59F9E">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自觉遵守国家法律法规及有关廉政建设制度。</w:t>
      </w:r>
    </w:p>
    <w:p w14:paraId="5C45C13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主动了解贵局招投标纪律，积极配合贵局执行招投标廉政建设的有关规定。</w:t>
      </w:r>
    </w:p>
    <w:p w14:paraId="7D5BBD2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不使用不正当手段妨碍、排挤其他投标单位或串通投标。</w:t>
      </w:r>
    </w:p>
    <w:p w14:paraId="5AAA0D9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按照招标文件规定的方式进行投标，不隐瞒本单位投标资质的真实情况，投标资质符合规定。</w:t>
      </w:r>
    </w:p>
    <w:p w14:paraId="6C8D8C4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908AEE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不向涉及招标的单位及个人购置或提供通讯工具、交通工具和高档办公用品等。</w:t>
      </w:r>
    </w:p>
    <w:p w14:paraId="7C8303C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不向涉及招标的单位及个人的配偶、子女、亲属分包此次招标项目。</w:t>
      </w:r>
    </w:p>
    <w:p w14:paraId="5FAEFB1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8.</w:t>
      </w:r>
      <w:r>
        <w:rPr>
          <w:rFonts w:hint="eastAsia" w:ascii="宋体" w:hAnsi="宋体" w:eastAsia="宋体" w:cs="宋体"/>
          <w:color w:val="auto"/>
          <w:sz w:val="24"/>
          <w:highlight w:val="none"/>
        </w:rPr>
        <w:t>不向涉及招标的单位及个人支付好处费、介绍费。</w:t>
      </w:r>
    </w:p>
    <w:p w14:paraId="4DCE9E6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9.</w:t>
      </w:r>
      <w:r>
        <w:rPr>
          <w:rFonts w:hint="eastAsia" w:ascii="宋体" w:hAnsi="宋体" w:eastAsia="宋体" w:cs="宋体"/>
          <w:color w:val="auto"/>
          <w:sz w:val="24"/>
          <w:highlight w:val="none"/>
        </w:rPr>
        <w:t>一旦发现相关人员在招标过程中有索要财物等不廉洁行为，坚决予以抵制，并及时向贵局纪检监察室举报。（举报电话：</w:t>
      </w:r>
      <w:r>
        <w:rPr>
          <w:rFonts w:hint="eastAsia" w:ascii="宋体" w:hAnsi="宋体" w:eastAsia="宋体" w:cs="宋体"/>
          <w:color w:val="auto"/>
          <w:sz w:val="24"/>
          <w:highlight w:val="none"/>
          <w:lang w:eastAsia="zh-CN"/>
        </w:rPr>
        <w:t>0510-81823663</w:t>
      </w:r>
      <w:r>
        <w:rPr>
          <w:rFonts w:hint="eastAsia" w:ascii="宋体" w:hAnsi="宋体" w:eastAsia="宋体" w:cs="宋体"/>
          <w:color w:val="auto"/>
          <w:sz w:val="24"/>
          <w:highlight w:val="none"/>
        </w:rPr>
        <w:t>）</w:t>
      </w:r>
    </w:p>
    <w:p w14:paraId="161141E2">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w:t>
      </w:r>
      <w:r>
        <w:rPr>
          <w:rFonts w:hint="eastAsia" w:ascii="宋体" w:hAnsi="宋体" w:eastAsia="宋体" w:cs="宋体"/>
          <w:color w:val="auto"/>
          <w:sz w:val="24"/>
          <w:highlight w:val="none"/>
          <w:lang w:eastAsia="zh-CN"/>
        </w:rPr>
        <w:t>，自</w:t>
      </w:r>
      <w:r>
        <w:rPr>
          <w:rFonts w:hint="eastAsia" w:ascii="宋体" w:hAnsi="宋体" w:eastAsia="宋体" w:cs="宋体"/>
          <w:color w:val="auto"/>
          <w:sz w:val="24"/>
          <w:highlight w:val="none"/>
        </w:rPr>
        <w:t>愿</w:t>
      </w:r>
      <w:r>
        <w:rPr>
          <w:rFonts w:hint="eastAsia" w:ascii="宋体" w:hAnsi="宋体" w:eastAsia="宋体" w:cs="宋体"/>
          <w:color w:val="auto"/>
          <w:sz w:val="24"/>
          <w:highlight w:val="none"/>
          <w:lang w:eastAsia="zh-CN"/>
        </w:rPr>
        <w:t>接受</w:t>
      </w:r>
      <w:r>
        <w:rPr>
          <w:rFonts w:hint="eastAsia" w:ascii="宋体" w:hAnsi="宋体" w:eastAsia="宋体" w:cs="宋体"/>
          <w:color w:val="auto"/>
          <w:sz w:val="24"/>
          <w:highlight w:val="none"/>
        </w:rPr>
        <w:t>取消投标资格及其他任何形式的处理。</w:t>
      </w:r>
    </w:p>
    <w:p w14:paraId="5CB237EA">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rPr>
        <w:t>：（公章）</w:t>
      </w:r>
    </w:p>
    <w:p w14:paraId="25AED502">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法定代表人签名或盖章：</w:t>
      </w:r>
    </w:p>
    <w:p w14:paraId="05449377">
      <w:pPr>
        <w:adjustRightInd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w:t>
      </w:r>
      <w:r>
        <w:rPr>
          <w:rFonts w:hint="eastAsia" w:ascii="宋体" w:hAnsi="宋体" w:cs="宋体"/>
          <w:color w:val="auto"/>
          <w:sz w:val="24"/>
          <w:highlight w:val="none"/>
          <w:lang w:val="en-US" w:eastAsia="zh-CN"/>
        </w:rPr>
        <w:t>日</w:t>
      </w:r>
      <w:r>
        <w:rPr>
          <w:rFonts w:hint="eastAsia" w:ascii="宋体" w:hAnsi="宋体" w:eastAsia="宋体" w:cs="宋体"/>
          <w:color w:val="auto"/>
          <w:sz w:val="24"/>
          <w:highlight w:val="none"/>
        </w:rPr>
        <w:t xml:space="preserve">  </w:t>
      </w:r>
    </w:p>
    <w:p w14:paraId="54D0B268">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111997BC">
      <w:pPr>
        <w:pStyle w:val="2"/>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76133AE6">
      <w:pPr>
        <w:pStyle w:val="25"/>
        <w:numPr>
          <w:ilvl w:val="0"/>
          <w:numId w:val="0"/>
        </w:num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BCC9D9C">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承诺书四 中标人养护服务承诺书（格式）</w:t>
      </w:r>
    </w:p>
    <w:p w14:paraId="0D8E005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2404C3B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我公司郑重承诺，在整个养护工作期内，我公司将严格按照招标文件、城市照明相关法律法规及技术规范、合同条款等重要文件要求，承担照明设施养护工作。在维护期间，我公司将完全服从采购人及</w:t>
      </w:r>
      <w:r>
        <w:rPr>
          <w:rFonts w:hint="eastAsia" w:ascii="宋体" w:hAnsi="宋体" w:eastAsia="宋体" w:cs="宋体"/>
          <w:color w:val="auto"/>
          <w:sz w:val="24"/>
          <w:highlight w:val="none"/>
          <w:lang w:eastAsia="zh-CN"/>
        </w:rPr>
        <w:t>市委、市政府</w:t>
      </w:r>
      <w:r>
        <w:rPr>
          <w:rFonts w:hint="eastAsia" w:ascii="宋体" w:hAnsi="宋体" w:eastAsia="宋体" w:cs="宋体"/>
          <w:color w:val="auto"/>
          <w:sz w:val="24"/>
          <w:highlight w:val="none"/>
        </w:rPr>
        <w:t>的统一调度，认真完成各项保障任务，以最高的责任意识、最好的服务态度、最优的服务水平投入到城市照明养护工作中去。</w:t>
      </w:r>
    </w:p>
    <w:p w14:paraId="7F06FD84">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维护期间，我公司将：</w:t>
      </w:r>
    </w:p>
    <w:p w14:paraId="1EA5D190">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（1）积极主动配合采购人对照明设施的拆除、迁移、改动等活动；</w:t>
      </w:r>
    </w:p>
    <w:p w14:paraId="203DE9B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（2）积极配合采购人及</w:t>
      </w:r>
      <w:r>
        <w:rPr>
          <w:rFonts w:hint="eastAsia" w:ascii="宋体" w:hAnsi="宋体" w:eastAsia="宋体" w:cs="宋体"/>
          <w:color w:val="auto"/>
          <w:sz w:val="24"/>
          <w:highlight w:val="none"/>
          <w:lang w:eastAsia="zh-CN"/>
        </w:rPr>
        <w:t>市委、市政府</w:t>
      </w:r>
      <w:r>
        <w:rPr>
          <w:rFonts w:hint="eastAsia" w:ascii="宋体" w:hAnsi="宋体" w:eastAsia="宋体" w:cs="宋体"/>
          <w:color w:val="auto"/>
          <w:sz w:val="24"/>
          <w:highlight w:val="none"/>
        </w:rPr>
        <w:t>的重大节日、重大活动保障任务；</w:t>
      </w:r>
    </w:p>
    <w:p w14:paraId="5F3719DD">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（3）保证各种维护材料按照原有设施品牌、型号等进行作业，确保养护工作优良达标，并做好养护成本的详细核实，做到账册相符；</w:t>
      </w:r>
    </w:p>
    <w:p w14:paraId="7A4EFA3A">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（4）将无条件接受采购人的监督考核；</w:t>
      </w:r>
    </w:p>
    <w:p w14:paraId="54045562">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（5）将对梅雨季节、暴风雪雨等恶劣天气进行预测，提前做好各类应急预案，确保设施能正常安全运行；</w:t>
      </w:r>
    </w:p>
    <w:p w14:paraId="0FD628E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（6）将把最优秀的技术人员投入本次养护工作中去，保证值班中心24小时有值班人员，并能熟练应用采购人要求的各类考核系统，实现实时对接；</w:t>
      </w:r>
    </w:p>
    <w:p w14:paraId="36737BB2">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对</w:t>
      </w:r>
      <w:r>
        <w:rPr>
          <w:rFonts w:hint="eastAsia" w:ascii="宋体" w:hAnsi="宋体" w:eastAsia="宋体" w:cs="宋体"/>
          <w:color w:val="auto"/>
          <w:sz w:val="24"/>
          <w:highlight w:val="none"/>
        </w:rPr>
        <w:t>损害或影响城市照明设施正常、安全运行的行为应及时制止，并第一时间报采购人，做好书面、电子版台账记录。</w:t>
      </w:r>
    </w:p>
    <w:p w14:paraId="437AAFF1">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（8）将定期做好照度、亮度、接地电阻等数据的检测，并对其分析；将定期组织灯具清洁工作，提高设施维护系数；对破损严重需大批更换设施进行登记并上报采购人。</w:t>
      </w:r>
    </w:p>
    <w:p w14:paraId="64C2965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我公司将承诺遵守采购人提出的，其他合理、公正、有利于照明设施安全运行、有利于提高设施管理等的其他条件。</w:t>
      </w:r>
    </w:p>
    <w:p w14:paraId="3A0E02FE">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投标单位（公章）：             法定代表人或授权代理人：</w:t>
      </w:r>
    </w:p>
    <w:p w14:paraId="697EA5F9">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0399EE66">
      <w:pPr>
        <w:snapToGrid/>
        <w:spacing w:beforeAutospacing="0" w:afterAutospacing="0" w:line="360" w:lineRule="auto"/>
        <w:ind w:left="0" w:leftChars="0" w:right="0" w:rightChars="0" w:firstLine="480" w:firstLineChars="200"/>
        <w:jc w:val="left"/>
        <w:rPr>
          <w:rFonts w:hint="eastAsia" w:ascii="宋体" w:hAnsi="宋体" w:eastAsia="宋体" w:cs="宋体"/>
          <w:b/>
          <w:color w:val="auto"/>
          <w:sz w:val="24"/>
          <w:szCs w:val="30"/>
          <w:highlight w:val="none"/>
        </w:rPr>
      </w:pPr>
      <w:r>
        <w:rPr>
          <w:rFonts w:hint="eastAsia" w:ascii="宋体" w:hAnsi="宋体" w:eastAsia="宋体" w:cs="宋体"/>
          <w:color w:val="auto"/>
          <w:sz w:val="24"/>
          <w:highlight w:val="none"/>
        </w:rPr>
        <w:br w:type="page"/>
      </w:r>
    </w:p>
    <w:p w14:paraId="5016D482">
      <w:pPr>
        <w:snapToGrid/>
        <w:spacing w:beforeAutospacing="0" w:afterAutospacing="0" w:line="360" w:lineRule="auto"/>
        <w:ind w:left="0" w:leftChars="0" w:right="0" w:rightChars="0" w:firstLine="482" w:firstLineChars="200"/>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承诺书五 巡查车辆配置承诺书（格式）</w:t>
      </w:r>
    </w:p>
    <w:p w14:paraId="04808CAE">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为满足本项目维护期内使用需求需要，我公司承诺中标后提供专用照明工程维护车，并按采购人的要求，配置型号统一的车辆</w:t>
      </w:r>
      <w:r>
        <w:rPr>
          <w:rFonts w:hint="eastAsia" w:ascii="宋体" w:hAnsi="宋体" w:eastAsia="宋体" w:cs="宋体"/>
          <w:b w:val="0"/>
          <w:bCs w:val="0"/>
          <w:color w:val="auto"/>
          <w:sz w:val="24"/>
          <w:highlight w:val="none"/>
        </w:rPr>
        <w:t>，并安装GPS系统设备，保持系统正常运行。</w:t>
      </w:r>
      <w:r>
        <w:rPr>
          <w:rFonts w:hint="eastAsia" w:ascii="宋体" w:hAnsi="宋体" w:eastAsia="宋体" w:cs="宋体"/>
          <w:color w:val="auto"/>
          <w:sz w:val="24"/>
          <w:highlight w:val="none"/>
        </w:rPr>
        <w:t>办理特殊车辆通行证，同时按采购人提供的标识等对车辆进行统一装饰，特此承诺。</w:t>
      </w:r>
    </w:p>
    <w:p w14:paraId="4F0879F7">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642AF967">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4C60F155">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01E3153">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7E2E32D0">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9F32676">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282727DC">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23E7C3C9">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369121CA">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6168F4A7">
      <w:pPr>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7A72C255">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0B5D8D49">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7D47A4B4">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5336E286">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563E227E">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60403B3D">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12BAD2C0">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57616693">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49D5DE61">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290DC098">
      <w:pPr>
        <w:snapToGrid/>
        <w:spacing w:beforeAutospacing="0" w:afterAutospacing="0" w:line="360" w:lineRule="auto"/>
        <w:ind w:left="0" w:leftChars="0" w:right="0" w:rightChars="0" w:firstLine="482" w:firstLineChars="200"/>
        <w:jc w:val="left"/>
        <w:rPr>
          <w:rFonts w:hint="eastAsia" w:ascii="宋体" w:hAnsi="宋体" w:eastAsia="宋体" w:cs="宋体"/>
          <w:b/>
          <w:bCs/>
          <w:color w:val="auto"/>
          <w:sz w:val="24"/>
          <w:szCs w:val="28"/>
          <w:highlight w:val="none"/>
        </w:rPr>
      </w:pPr>
    </w:p>
    <w:p w14:paraId="2924883C">
      <w:pPr>
        <w:snapToGrid/>
        <w:spacing w:beforeAutospacing="0" w:afterAutospacing="0" w:line="360" w:lineRule="auto"/>
        <w:ind w:left="0" w:leftChars="0" w:right="0" w:rightChars="0"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w:t>
      </w:r>
      <w:r>
        <w:rPr>
          <w:rFonts w:hint="eastAsia" w:ascii="宋体" w:hAnsi="宋体" w:cs="宋体"/>
          <w:b/>
          <w:color w:val="auto"/>
          <w:sz w:val="24"/>
          <w:szCs w:val="30"/>
          <w:highlight w:val="none"/>
          <w:lang w:val="en-US" w:eastAsia="zh-CN"/>
        </w:rPr>
        <w:t>六</w:t>
      </w:r>
      <w:r>
        <w:rPr>
          <w:rFonts w:hint="eastAsia" w:ascii="宋体" w:hAnsi="宋体" w:eastAsia="宋体" w:cs="宋体"/>
          <w:b/>
          <w:color w:val="auto"/>
          <w:sz w:val="24"/>
          <w:szCs w:val="30"/>
          <w:highlight w:val="none"/>
        </w:rPr>
        <w:t>（格式）</w:t>
      </w:r>
    </w:p>
    <w:p w14:paraId="1647A61E">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我公司承诺：若中标，在发出中标通知书（中标公告发布）之日起七日内提供</w:t>
      </w:r>
      <w:r>
        <w:rPr>
          <w:rFonts w:hint="eastAsia" w:ascii="宋体" w:hAnsi="宋体" w:eastAsia="宋体" w:cs="宋体"/>
          <w:bCs/>
          <w:color w:val="auto"/>
          <w:sz w:val="24"/>
          <w:highlight w:val="none"/>
        </w:rPr>
        <w:t>无锡市（不含江阴、宜兴）养护基地，养护基地分别设置办公区、值班区（24小时值班）、车辆停放区、器材堆放区等区域</w:t>
      </w:r>
      <w:r>
        <w:rPr>
          <w:rFonts w:hint="eastAsia" w:ascii="宋体" w:hAnsi="宋体" w:eastAsia="宋体" w:cs="宋体"/>
          <w:b/>
          <w:color w:val="auto"/>
          <w:sz w:val="24"/>
          <w:highlight w:val="none"/>
        </w:rPr>
        <w:t>面积≥</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平方米</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车辆停放区、器材堆放区等区域</w:t>
      </w:r>
      <w:r>
        <w:rPr>
          <w:rFonts w:hint="eastAsia" w:ascii="宋体" w:hAnsi="宋体" w:eastAsia="宋体" w:cs="宋体"/>
          <w:b/>
          <w:color w:val="auto"/>
          <w:sz w:val="24"/>
          <w:highlight w:val="none"/>
        </w:rPr>
        <w:t>面积≥</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平方米</w:t>
      </w:r>
      <w:r>
        <w:rPr>
          <w:rFonts w:hint="eastAsia" w:ascii="宋体" w:hAnsi="宋体" w:eastAsia="宋体" w:cs="宋体"/>
          <w:bCs/>
          <w:color w:val="auto"/>
          <w:sz w:val="24"/>
          <w:highlight w:val="none"/>
        </w:rPr>
        <w:t>，</w:t>
      </w:r>
      <w:r>
        <w:rPr>
          <w:rFonts w:hint="eastAsia" w:ascii="宋体" w:hAnsi="宋体" w:eastAsia="宋体" w:cs="宋体"/>
          <w:color w:val="auto"/>
          <w:kern w:val="0"/>
          <w:sz w:val="24"/>
          <w:highlight w:val="none"/>
        </w:rPr>
        <w:t>并提供相应资料同时接受采购人的现场考察，七日内未提供相应资料或现场考察不符合要求的，视为我公司放弃中标资格。</w:t>
      </w:r>
    </w:p>
    <w:p w14:paraId="57114ACF">
      <w:pPr>
        <w:pStyle w:val="18"/>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0D797B3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我公司承诺</w:t>
      </w:r>
      <w:r>
        <w:rPr>
          <w:rFonts w:hint="eastAsia" w:ascii="宋体" w:hAnsi="宋体" w:eastAsia="宋体" w:cs="宋体"/>
          <w:b/>
          <w:color w:val="auto"/>
          <w:sz w:val="24"/>
          <w:highlight w:val="none"/>
        </w:rPr>
        <w:t>提供的相应资料</w:t>
      </w:r>
      <w:r>
        <w:rPr>
          <w:rFonts w:hint="eastAsia" w:ascii="宋体" w:hAnsi="宋体" w:eastAsia="宋体" w:cs="宋体"/>
          <w:bCs/>
          <w:color w:val="auto"/>
          <w:sz w:val="24"/>
          <w:highlight w:val="none"/>
        </w:rPr>
        <w:t>符合以下要求：</w:t>
      </w:r>
    </w:p>
    <w:p w14:paraId="10F838BA">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①养护基地平面图；</w:t>
      </w:r>
    </w:p>
    <w:p w14:paraId="529787D3">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②房屋所有权证（若房屋为投标人自有，则提供房屋所有权证；若房屋为投标人租赁，则提供租赁协议及经相关住建部门备案的房屋租赁备案证明）；</w:t>
      </w:r>
    </w:p>
    <w:p w14:paraId="26E1B94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③提供以上资料的原件</w:t>
      </w:r>
      <w:r>
        <w:rPr>
          <w:rFonts w:hint="eastAsia" w:ascii="宋体" w:hAnsi="宋体" w:cs="宋体"/>
          <w:bCs/>
          <w:color w:val="auto"/>
          <w:sz w:val="24"/>
          <w:highlight w:val="none"/>
          <w:lang w:val="en-US" w:eastAsia="zh-CN"/>
        </w:rPr>
        <w:t>扫描件</w:t>
      </w:r>
      <w:r>
        <w:rPr>
          <w:rFonts w:hint="eastAsia" w:ascii="宋体" w:hAnsi="宋体" w:eastAsia="宋体" w:cs="宋体"/>
          <w:bCs/>
          <w:color w:val="auto"/>
          <w:sz w:val="24"/>
          <w:highlight w:val="none"/>
        </w:rPr>
        <w:t>。</w:t>
      </w:r>
    </w:p>
    <w:p w14:paraId="6E6E9469">
      <w:pPr>
        <w:pStyle w:val="18"/>
        <w:snapToGrid/>
        <w:spacing w:beforeAutospacing="0" w:afterAutospacing="0" w:line="360" w:lineRule="auto"/>
        <w:ind w:left="0" w:leftChars="0" w:right="0" w:rightChars="0" w:firstLine="480" w:firstLineChars="200"/>
        <w:jc w:val="left"/>
        <w:rPr>
          <w:rFonts w:hint="eastAsia" w:ascii="宋体" w:hAnsi="宋体" w:eastAsia="宋体" w:cs="宋体"/>
          <w:color w:val="auto"/>
          <w:sz w:val="24"/>
          <w:highlight w:val="none"/>
        </w:rPr>
      </w:pPr>
    </w:p>
    <w:p w14:paraId="2179E5A7">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7980E719">
      <w:pPr>
        <w:wordWrap w:val="0"/>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5F4BFE99">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C98CA7E">
      <w:p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10741EA6">
      <w:pPr>
        <w:pStyle w:val="2"/>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6EFACCDD">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0B54810C">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43A78050">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0384C00D">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04D67618">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242BDA59">
      <w:pPr>
        <w:pStyle w:val="25"/>
        <w:numPr>
          <w:ilvl w:val="0"/>
          <w:numId w:val="0"/>
        </w:numPr>
        <w:snapToGrid/>
        <w:spacing w:beforeAutospacing="0" w:afterAutospacing="0" w:line="360" w:lineRule="auto"/>
        <w:ind w:left="0" w:leftChars="0" w:right="0" w:rightChars="0" w:firstLine="482" w:firstLineChars="200"/>
        <w:jc w:val="left"/>
        <w:rPr>
          <w:rFonts w:hint="eastAsia" w:ascii="宋体" w:hAnsi="宋体" w:eastAsia="宋体" w:cs="宋体"/>
          <w:b/>
          <w:color w:val="auto"/>
          <w:sz w:val="24"/>
          <w:szCs w:val="30"/>
          <w:highlight w:val="none"/>
        </w:rPr>
      </w:pPr>
    </w:p>
    <w:p w14:paraId="4F7F59DC">
      <w:pPr>
        <w:snapToGrid/>
        <w:spacing w:beforeAutospacing="0" w:afterAutospacing="0" w:line="360" w:lineRule="auto"/>
        <w:ind w:left="0" w:leftChars="0" w:right="0" w:rightChars="0" w:firstLine="482" w:firstLineChars="200"/>
        <w:jc w:val="center"/>
        <w:rPr>
          <w:rFonts w:hint="eastAsia" w:ascii="宋体" w:hAnsi="宋体" w:eastAsia="宋体" w:cs="宋体"/>
          <w:b/>
          <w:strike w:val="0"/>
          <w:dstrike w:val="0"/>
          <w:color w:val="auto"/>
          <w:sz w:val="24"/>
          <w:szCs w:val="30"/>
          <w:highlight w:val="none"/>
        </w:rPr>
      </w:pPr>
      <w:r>
        <w:rPr>
          <w:rFonts w:hint="eastAsia" w:ascii="宋体" w:hAnsi="宋体" w:eastAsia="宋体" w:cs="宋体"/>
          <w:b/>
          <w:strike w:val="0"/>
          <w:dstrike w:val="0"/>
          <w:color w:val="auto"/>
          <w:sz w:val="24"/>
          <w:szCs w:val="30"/>
          <w:highlight w:val="none"/>
        </w:rPr>
        <w:t>承诺书</w:t>
      </w:r>
      <w:r>
        <w:rPr>
          <w:rFonts w:hint="eastAsia" w:ascii="宋体" w:hAnsi="宋体" w:cs="宋体"/>
          <w:b/>
          <w:strike w:val="0"/>
          <w:dstrike w:val="0"/>
          <w:color w:val="auto"/>
          <w:sz w:val="24"/>
          <w:szCs w:val="30"/>
          <w:highlight w:val="none"/>
          <w:lang w:val="en-US" w:eastAsia="zh-CN"/>
        </w:rPr>
        <w:t>七</w:t>
      </w:r>
      <w:r>
        <w:rPr>
          <w:rFonts w:hint="eastAsia" w:ascii="宋体" w:hAnsi="宋体" w:eastAsia="宋体" w:cs="宋体"/>
          <w:b/>
          <w:strike w:val="0"/>
          <w:dstrike w:val="0"/>
          <w:color w:val="auto"/>
          <w:sz w:val="24"/>
          <w:szCs w:val="30"/>
          <w:highlight w:val="none"/>
        </w:rPr>
        <w:t>（格式）</w:t>
      </w:r>
    </w:p>
    <w:p w14:paraId="701CB5F4">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我公司承诺：若中标，在发出中标通知书（中标公告发布）之日起七日内提供以下</w:t>
      </w:r>
      <w:r>
        <w:rPr>
          <w:rFonts w:hint="eastAsia" w:ascii="宋体" w:hAnsi="宋体" w:eastAsia="宋体" w:cs="宋体"/>
          <w:b/>
          <w:bCs/>
          <w:strike w:val="0"/>
          <w:dstrike w:val="0"/>
          <w:color w:val="auto"/>
          <w:kern w:val="0"/>
          <w:sz w:val="24"/>
          <w:highlight w:val="none"/>
        </w:rPr>
        <w:t>车辆及其相应资料</w:t>
      </w:r>
      <w:r>
        <w:rPr>
          <w:rFonts w:hint="eastAsia" w:ascii="宋体" w:hAnsi="宋体" w:eastAsia="宋体" w:cs="宋体"/>
          <w:strike w:val="0"/>
          <w:dstrike w:val="0"/>
          <w:color w:val="auto"/>
          <w:kern w:val="0"/>
          <w:sz w:val="24"/>
          <w:highlight w:val="none"/>
        </w:rPr>
        <w:t>并接受采购人的现场考察，七日内未提供或现场考察不符合要求的，视为我公司放弃中标资格。</w:t>
      </w:r>
    </w:p>
    <w:p w14:paraId="05FAF3BB">
      <w:pPr>
        <w:pStyle w:val="18"/>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sz w:val="24"/>
          <w:szCs w:val="24"/>
          <w:highlight w:val="none"/>
          <w:lang w:val="en-US" w:eastAsia="zh-CN"/>
        </w:rPr>
      </w:pPr>
    </w:p>
    <w:p w14:paraId="155C30ED">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我公司</w:t>
      </w:r>
      <w:r>
        <w:rPr>
          <w:rFonts w:hint="eastAsia" w:ascii="宋体" w:hAnsi="宋体" w:eastAsia="宋体" w:cs="宋体"/>
          <w:b/>
          <w:bCs/>
          <w:strike w:val="0"/>
          <w:dstrike w:val="0"/>
          <w:color w:val="auto"/>
          <w:kern w:val="0"/>
          <w:sz w:val="24"/>
          <w:highlight w:val="none"/>
        </w:rPr>
        <w:t>承诺提供的车辆及其数量</w:t>
      </w:r>
      <w:r>
        <w:rPr>
          <w:rFonts w:hint="eastAsia" w:ascii="宋体" w:hAnsi="宋体" w:eastAsia="宋体" w:cs="宋体"/>
          <w:strike w:val="0"/>
          <w:dstrike w:val="0"/>
          <w:color w:val="auto"/>
          <w:kern w:val="0"/>
          <w:sz w:val="24"/>
          <w:highlight w:val="none"/>
        </w:rPr>
        <w:t>：</w:t>
      </w:r>
    </w:p>
    <w:p w14:paraId="62DD9E9B">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①14米</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以上高空作业车辆</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1DDBAB8B">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②巡查工程车5座</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00C5344A">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③运输车辆2.5T</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5FC59755">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④汽吊5T</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含</w:t>
      </w:r>
      <w:r>
        <w:rPr>
          <w:rFonts w:hint="eastAsia" w:ascii="宋体" w:hAnsi="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以上</w:t>
      </w:r>
      <w:r>
        <w:rPr>
          <w:rFonts w:hint="eastAsia" w:ascii="宋体" w:hAnsi="宋体" w:eastAsia="宋体" w:cs="宋体"/>
          <w:strike w:val="0"/>
          <w:dstrike w:val="0"/>
          <w:color w:val="auto"/>
          <w:kern w:val="0"/>
          <w:sz w:val="24"/>
          <w:highlight w:val="none"/>
          <w:u w:val="single"/>
        </w:rPr>
        <w:t xml:space="preserve">     </w:t>
      </w:r>
      <w:r>
        <w:rPr>
          <w:rFonts w:hint="eastAsia" w:ascii="宋体" w:hAnsi="宋体" w:eastAsia="宋体" w:cs="宋体"/>
          <w:strike w:val="0"/>
          <w:dstrike w:val="0"/>
          <w:color w:val="auto"/>
          <w:kern w:val="0"/>
          <w:sz w:val="24"/>
          <w:highlight w:val="none"/>
        </w:rPr>
        <w:t>辆。</w:t>
      </w:r>
    </w:p>
    <w:p w14:paraId="56873E37">
      <w:pPr>
        <w:pStyle w:val="18"/>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sz w:val="24"/>
          <w:szCs w:val="24"/>
          <w:highlight w:val="none"/>
          <w:lang w:val="en-US" w:eastAsia="zh-CN"/>
        </w:rPr>
      </w:pPr>
    </w:p>
    <w:p w14:paraId="4C559188">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strike w:val="0"/>
          <w:dstrike w:val="0"/>
          <w:color w:val="auto"/>
          <w:kern w:val="0"/>
          <w:sz w:val="24"/>
          <w:highlight w:val="none"/>
        </w:rPr>
        <w:t>我公司</w:t>
      </w:r>
      <w:r>
        <w:rPr>
          <w:rFonts w:hint="eastAsia" w:ascii="宋体" w:hAnsi="宋体" w:eastAsia="宋体" w:cs="宋体"/>
          <w:b/>
          <w:bCs/>
          <w:strike w:val="0"/>
          <w:dstrike w:val="0"/>
          <w:color w:val="auto"/>
          <w:kern w:val="0"/>
          <w:sz w:val="24"/>
          <w:highlight w:val="none"/>
        </w:rPr>
        <w:t>承诺提供的车辆相应资料</w:t>
      </w:r>
      <w:r>
        <w:rPr>
          <w:rFonts w:hint="eastAsia" w:ascii="宋体" w:hAnsi="宋体" w:eastAsia="宋体" w:cs="宋体"/>
          <w:strike w:val="0"/>
          <w:dstrike w:val="0"/>
          <w:color w:val="auto"/>
          <w:kern w:val="0"/>
          <w:sz w:val="24"/>
          <w:highlight w:val="none"/>
        </w:rPr>
        <w:t>符合以下要求：</w:t>
      </w:r>
    </w:p>
    <w:p w14:paraId="6779EE52">
      <w:pPr>
        <w:adjustRightInd w:val="0"/>
        <w:snapToGrid/>
        <w:spacing w:beforeAutospacing="0" w:afterAutospacing="0" w:line="360" w:lineRule="auto"/>
        <w:ind w:left="0" w:leftChars="0" w:right="0" w:rightChars="0" w:firstLine="482" w:firstLineChars="200"/>
        <w:jc w:val="left"/>
        <w:rPr>
          <w:rFonts w:hint="eastAsia" w:ascii="宋体" w:hAnsi="宋体" w:eastAsia="宋体" w:cs="宋体"/>
          <w:strike w:val="0"/>
          <w:dstrike w:val="0"/>
          <w:color w:val="auto"/>
          <w:kern w:val="0"/>
          <w:sz w:val="24"/>
          <w:highlight w:val="none"/>
          <w:lang w:val="en-US" w:eastAsia="zh-CN"/>
        </w:rPr>
      </w:pPr>
      <w:r>
        <w:rPr>
          <w:rFonts w:hint="eastAsia" w:ascii="宋体" w:hAnsi="宋体" w:eastAsia="宋体" w:cs="宋体"/>
          <w:b/>
          <w:bCs/>
          <w:strike w:val="0"/>
          <w:dstrike w:val="0"/>
          <w:color w:val="auto"/>
          <w:kern w:val="0"/>
          <w:sz w:val="24"/>
          <w:highlight w:val="none"/>
        </w:rPr>
        <w:t>若为自有车辆</w:t>
      </w:r>
      <w:r>
        <w:rPr>
          <w:rFonts w:hint="eastAsia" w:ascii="宋体" w:hAnsi="宋体" w:eastAsia="宋体" w:cs="宋体"/>
          <w:strike w:val="0"/>
          <w:dstrike w:val="0"/>
          <w:color w:val="auto"/>
          <w:kern w:val="0"/>
          <w:sz w:val="24"/>
          <w:highlight w:val="none"/>
        </w:rPr>
        <w:t>须提供：①车辆登记证原件；②车辆彩色照片</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车牌清晰可辨</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；③车辆技术参数证明材料；</w:t>
      </w:r>
      <w:r>
        <w:rPr>
          <w:rFonts w:hint="eastAsia" w:ascii="宋体" w:hAnsi="宋体" w:eastAsia="宋体" w:cs="宋体"/>
          <w:b/>
          <w:bCs/>
          <w:strike w:val="0"/>
          <w:dstrike w:val="0"/>
          <w:color w:val="auto"/>
          <w:kern w:val="0"/>
          <w:sz w:val="24"/>
          <w:highlight w:val="none"/>
        </w:rPr>
        <w:t>若为租赁车辆</w:t>
      </w:r>
      <w:r>
        <w:rPr>
          <w:rFonts w:hint="eastAsia" w:ascii="宋体" w:hAnsi="宋体" w:eastAsia="宋体" w:cs="宋体"/>
          <w:strike w:val="0"/>
          <w:dstrike w:val="0"/>
          <w:color w:val="auto"/>
          <w:kern w:val="0"/>
          <w:sz w:val="24"/>
          <w:highlight w:val="none"/>
        </w:rPr>
        <w:t>须提供：①租赁协议原件（租赁期限不得少于本项目维护期）；②出租方的车辆登记证原件；③车辆彩色照片</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车牌清晰可辨</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rPr>
        <w:t>；④车辆技术参数证明材料</w:t>
      </w:r>
      <w:r>
        <w:rPr>
          <w:rFonts w:hint="eastAsia" w:ascii="宋体" w:hAnsi="宋体" w:eastAsia="宋体" w:cs="宋体"/>
          <w:strike w:val="0"/>
          <w:dstrike w:val="0"/>
          <w:color w:val="auto"/>
          <w:kern w:val="0"/>
          <w:sz w:val="24"/>
          <w:highlight w:val="none"/>
          <w:lang w:eastAsia="zh-CN"/>
        </w:rPr>
        <w:t>；</w:t>
      </w:r>
      <w:r>
        <w:rPr>
          <w:rFonts w:hint="eastAsia" w:ascii="宋体" w:hAnsi="宋体" w:eastAsia="宋体" w:cs="宋体"/>
          <w:strike w:val="0"/>
          <w:dstrike w:val="0"/>
          <w:color w:val="auto"/>
          <w:kern w:val="0"/>
          <w:sz w:val="24"/>
          <w:highlight w:val="none"/>
          <w:lang w:val="en-US" w:eastAsia="zh-CN"/>
        </w:rPr>
        <w:t>⑤通行证。</w:t>
      </w:r>
    </w:p>
    <w:p w14:paraId="10199104">
      <w:pPr>
        <w:adjustRightInd w:val="0"/>
        <w:snapToGrid/>
        <w:spacing w:beforeAutospacing="0" w:afterAutospacing="0" w:line="360" w:lineRule="auto"/>
        <w:ind w:left="0" w:leftChars="0" w:right="0" w:rightChars="0" w:firstLine="482" w:firstLineChars="200"/>
        <w:jc w:val="left"/>
        <w:rPr>
          <w:rFonts w:hint="eastAsia" w:ascii="宋体" w:hAnsi="宋体" w:eastAsia="宋体" w:cs="宋体"/>
          <w:strike w:val="0"/>
          <w:dstrike w:val="0"/>
          <w:color w:val="auto"/>
          <w:kern w:val="0"/>
          <w:sz w:val="24"/>
          <w:highlight w:val="none"/>
        </w:rPr>
      </w:pPr>
      <w:r>
        <w:rPr>
          <w:rFonts w:hint="eastAsia" w:ascii="宋体" w:hAnsi="宋体" w:eastAsia="宋体" w:cs="宋体"/>
          <w:b/>
          <w:bCs/>
          <w:strike w:val="0"/>
          <w:dstrike w:val="0"/>
          <w:color w:val="auto"/>
          <w:kern w:val="0"/>
          <w:sz w:val="24"/>
          <w:highlight w:val="none"/>
        </w:rPr>
        <w:t>同时一并提供</w:t>
      </w:r>
      <w:r>
        <w:rPr>
          <w:rFonts w:hint="eastAsia" w:ascii="宋体" w:hAnsi="宋体" w:eastAsia="宋体" w:cs="宋体"/>
          <w:strike w:val="0"/>
          <w:dstrike w:val="0"/>
          <w:color w:val="auto"/>
          <w:kern w:val="0"/>
          <w:sz w:val="24"/>
          <w:highlight w:val="none"/>
        </w:rPr>
        <w:t>以上所有资料的</w:t>
      </w:r>
      <w:r>
        <w:rPr>
          <w:rFonts w:hint="eastAsia" w:ascii="宋体" w:hAnsi="宋体" w:cs="宋体"/>
          <w:strike w:val="0"/>
          <w:dstrike w:val="0"/>
          <w:color w:val="auto"/>
          <w:kern w:val="0"/>
          <w:sz w:val="24"/>
          <w:highlight w:val="none"/>
          <w:lang w:val="en-US" w:eastAsia="zh-CN"/>
        </w:rPr>
        <w:t>原件扫描件</w:t>
      </w:r>
      <w:r>
        <w:rPr>
          <w:rFonts w:hint="eastAsia" w:ascii="宋体" w:hAnsi="宋体" w:eastAsia="宋体" w:cs="宋体"/>
          <w:strike w:val="0"/>
          <w:dstrike w:val="0"/>
          <w:color w:val="auto"/>
          <w:kern w:val="0"/>
          <w:sz w:val="24"/>
          <w:highlight w:val="none"/>
        </w:rPr>
        <w:t>。</w:t>
      </w:r>
    </w:p>
    <w:p w14:paraId="630D9075">
      <w:pPr>
        <w:adjustRightInd w:val="0"/>
        <w:snapToGrid/>
        <w:spacing w:beforeAutospacing="0" w:afterAutospacing="0" w:line="360" w:lineRule="auto"/>
        <w:ind w:left="0" w:leftChars="0" w:right="0" w:rightChars="0" w:firstLine="480" w:firstLineChars="200"/>
        <w:jc w:val="left"/>
        <w:rPr>
          <w:rFonts w:hint="eastAsia" w:ascii="宋体" w:hAnsi="宋体" w:eastAsia="宋体" w:cs="宋体"/>
          <w:strike w:val="0"/>
          <w:dstrike w:val="0"/>
          <w:color w:val="auto"/>
          <w:kern w:val="0"/>
          <w:sz w:val="24"/>
          <w:highlight w:val="none"/>
        </w:rPr>
      </w:pPr>
    </w:p>
    <w:p w14:paraId="30357C7F">
      <w:pPr>
        <w:wordWrap w:val="0"/>
        <w:snapToGrid/>
        <w:spacing w:beforeAutospacing="0" w:afterAutospacing="0" w:line="360" w:lineRule="auto"/>
        <w:ind w:left="0" w:leftChars="0" w:right="0" w:rightChars="0" w:firstLine="480" w:firstLineChars="200"/>
        <w:jc w:val="right"/>
        <w:rPr>
          <w:rFonts w:hint="eastAsia" w:ascii="宋体" w:hAnsi="宋体" w:eastAsia="宋体" w:cs="宋体"/>
          <w:strike w:val="0"/>
          <w:dstrike w:val="0"/>
          <w:color w:val="auto"/>
          <w:sz w:val="24"/>
          <w:highlight w:val="none"/>
        </w:rPr>
      </w:pPr>
      <w:r>
        <w:rPr>
          <w:rFonts w:hint="eastAsia" w:ascii="宋体" w:hAnsi="宋体" w:eastAsia="宋体" w:cs="宋体"/>
          <w:strike w:val="0"/>
          <w:dstrike w:val="0"/>
          <w:color w:val="auto"/>
          <w:sz w:val="24"/>
          <w:highlight w:val="none"/>
        </w:rPr>
        <w:t xml:space="preserve">单位名称（盖章）：          </w:t>
      </w:r>
    </w:p>
    <w:p w14:paraId="6940D00E">
      <w:pPr>
        <w:snapToGrid/>
        <w:spacing w:beforeAutospacing="0" w:afterAutospacing="0" w:line="360" w:lineRule="auto"/>
        <w:ind w:left="0" w:leftChars="0" w:right="0" w:rightChars="0" w:firstLine="480" w:firstLineChars="200"/>
        <w:jc w:val="right"/>
        <w:rPr>
          <w:rFonts w:hint="eastAsia" w:ascii="宋体" w:hAnsi="宋体" w:eastAsia="宋体" w:cs="宋体"/>
          <w:strike/>
          <w:dstrike w:val="0"/>
          <w:color w:val="auto"/>
          <w:sz w:val="24"/>
          <w:highlight w:val="none"/>
        </w:rPr>
      </w:pPr>
    </w:p>
    <w:p w14:paraId="0902289A">
      <w:pPr>
        <w:snapToGrid/>
        <w:spacing w:beforeAutospacing="0" w:afterAutospacing="0" w:line="360" w:lineRule="auto"/>
        <w:ind w:left="0" w:leftChars="0" w:right="0" w:rightChars="0"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26965A67">
      <w:pPr>
        <w:pStyle w:val="56"/>
        <w:snapToGrid/>
        <w:spacing w:beforeAutospacing="0" w:afterAutospacing="0" w:line="360" w:lineRule="auto"/>
        <w:ind w:left="0" w:leftChars="0" w:right="0" w:rightChars="0" w:firstLine="480" w:firstLineChars="200"/>
        <w:jc w:val="left"/>
        <w:rPr>
          <w:rFonts w:hint="eastAsia" w:ascii="宋体" w:hAnsi="宋体" w:eastAsia="宋体" w:cs="宋体"/>
          <w:strike/>
          <w:dstrike w:val="0"/>
          <w:color w:val="auto"/>
          <w:sz w:val="24"/>
          <w:highlight w:val="none"/>
        </w:rPr>
      </w:pPr>
    </w:p>
    <w:p w14:paraId="566348EC">
      <w:pPr>
        <w:snapToGrid/>
        <w:spacing w:beforeAutospacing="0" w:afterAutospacing="0" w:line="360" w:lineRule="auto"/>
        <w:ind w:left="0" w:leftChars="0" w:right="0" w:rightChars="0" w:firstLine="480" w:firstLineChars="200"/>
        <w:jc w:val="left"/>
        <w:rPr>
          <w:rFonts w:hint="eastAsia" w:ascii="宋体" w:hAnsi="宋体" w:eastAsia="宋体" w:cs="宋体"/>
          <w:strike/>
          <w:dstrike w:val="0"/>
          <w:color w:val="auto"/>
          <w:sz w:val="24"/>
          <w:highlight w:val="none"/>
        </w:rPr>
      </w:pPr>
    </w:p>
    <w:p w14:paraId="23F6B381">
      <w:pPr>
        <w:pStyle w:val="56"/>
        <w:snapToGrid/>
        <w:spacing w:beforeAutospacing="0" w:afterAutospacing="0" w:line="360" w:lineRule="auto"/>
        <w:ind w:left="0" w:leftChars="0" w:right="0" w:rightChars="0" w:firstLine="480" w:firstLineChars="200"/>
        <w:jc w:val="left"/>
        <w:rPr>
          <w:rFonts w:hint="eastAsia" w:ascii="宋体" w:hAnsi="宋体" w:eastAsia="宋体" w:cs="宋体"/>
          <w:sz w:val="24"/>
          <w:highlight w:val="none"/>
        </w:rPr>
      </w:pPr>
    </w:p>
    <w:p w14:paraId="62D951F9">
      <w:pPr>
        <w:spacing w:line="360" w:lineRule="auto"/>
        <w:ind w:firstLine="482" w:firstLineChars="200"/>
        <w:jc w:val="center"/>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承诺书</w:t>
      </w:r>
      <w:r>
        <w:rPr>
          <w:rFonts w:hint="eastAsia" w:ascii="宋体" w:hAnsi="宋体" w:cs="宋体"/>
          <w:b/>
          <w:color w:val="auto"/>
          <w:sz w:val="24"/>
          <w:szCs w:val="30"/>
          <w:highlight w:val="none"/>
          <w:lang w:val="en-US" w:eastAsia="zh-CN"/>
        </w:rPr>
        <w:t>八</w:t>
      </w:r>
      <w:r>
        <w:rPr>
          <w:rFonts w:hint="eastAsia" w:ascii="宋体" w:hAnsi="宋体" w:eastAsia="宋体" w:cs="宋体"/>
          <w:b/>
          <w:color w:val="auto"/>
          <w:sz w:val="24"/>
          <w:szCs w:val="30"/>
          <w:highlight w:val="none"/>
        </w:rPr>
        <w:t>（格式）</w:t>
      </w:r>
    </w:p>
    <w:p w14:paraId="073F291C">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我公司承诺：若中标，我公司提供的以下车辆在任何情况下均优先为本项目使用，如不符合要求的，视为我公司放弃中标资格。</w:t>
      </w:r>
    </w:p>
    <w:p w14:paraId="4B7CE15E">
      <w:pPr>
        <w:pStyle w:val="18"/>
        <w:ind w:firstLine="480" w:firstLineChars="200"/>
        <w:rPr>
          <w:rFonts w:hint="eastAsia" w:ascii="宋体" w:hAnsi="宋体" w:eastAsia="宋体" w:cs="宋体"/>
          <w:color w:val="auto"/>
          <w:sz w:val="24"/>
          <w:szCs w:val="24"/>
          <w:highlight w:val="none"/>
          <w:lang w:val="en-US" w:eastAsia="zh-CN"/>
        </w:rPr>
      </w:pPr>
    </w:p>
    <w:p w14:paraId="5917DDD1">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w:t>
      </w:r>
      <w:r>
        <w:rPr>
          <w:rFonts w:hint="eastAsia" w:ascii="宋体" w:hAnsi="宋体" w:eastAsia="宋体" w:cs="宋体"/>
          <w:b/>
          <w:bCs/>
          <w:color w:val="auto"/>
          <w:kern w:val="0"/>
          <w:sz w:val="24"/>
          <w:highlight w:val="none"/>
        </w:rPr>
        <w:t>承诺优先为本项目使用</w:t>
      </w:r>
      <w:r>
        <w:rPr>
          <w:rFonts w:hint="eastAsia" w:ascii="宋体" w:hAnsi="宋体" w:eastAsia="宋体" w:cs="宋体"/>
          <w:color w:val="auto"/>
          <w:kern w:val="0"/>
          <w:sz w:val="24"/>
          <w:highlight w:val="none"/>
        </w:rPr>
        <w:t>的车辆及其数量：</w:t>
      </w:r>
    </w:p>
    <w:p w14:paraId="6D994E69">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①14米</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以上高空作业车辆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7872CE36">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②巡查工程车5座</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43D84F37">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③运输车辆2.5T</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7B470228">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④汽吊5T</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含</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辆。</w:t>
      </w:r>
    </w:p>
    <w:p w14:paraId="1CF507C0">
      <w:pPr>
        <w:pStyle w:val="18"/>
        <w:ind w:firstLine="480" w:firstLineChars="200"/>
        <w:rPr>
          <w:rFonts w:hint="eastAsia" w:ascii="宋体" w:hAnsi="宋体" w:eastAsia="宋体" w:cs="宋体"/>
          <w:color w:val="auto"/>
          <w:sz w:val="24"/>
          <w:szCs w:val="24"/>
          <w:highlight w:val="none"/>
          <w:lang w:val="en-US" w:eastAsia="zh-CN"/>
        </w:rPr>
      </w:pPr>
    </w:p>
    <w:p w14:paraId="7CEA1358">
      <w:pPr>
        <w:wordWrap w:val="0"/>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79346C55">
      <w:pPr>
        <w:wordWrap w:val="0"/>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02A103A3">
      <w:pPr>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1F253A2C">
      <w:pPr>
        <w:pStyle w:val="56"/>
        <w:rPr>
          <w:rFonts w:hint="eastAsia" w:ascii="宋体" w:hAnsi="宋体" w:eastAsia="宋体" w:cs="宋体"/>
          <w:color w:val="auto"/>
          <w:sz w:val="24"/>
          <w:highlight w:val="none"/>
        </w:rPr>
      </w:pPr>
    </w:p>
    <w:p w14:paraId="703DF29E">
      <w:pPr>
        <w:rPr>
          <w:rFonts w:hint="eastAsia" w:ascii="宋体" w:hAnsi="宋体" w:eastAsia="宋体" w:cs="宋体"/>
          <w:color w:val="auto"/>
          <w:sz w:val="24"/>
          <w:highlight w:val="none"/>
        </w:rPr>
      </w:pPr>
    </w:p>
    <w:p w14:paraId="7202258E">
      <w:pPr>
        <w:pStyle w:val="56"/>
        <w:rPr>
          <w:rFonts w:hint="eastAsia" w:ascii="宋体" w:hAnsi="宋体" w:eastAsia="宋体" w:cs="宋体"/>
          <w:color w:val="auto"/>
          <w:sz w:val="24"/>
          <w:highlight w:val="none"/>
        </w:rPr>
      </w:pPr>
    </w:p>
    <w:p w14:paraId="4D62AA89">
      <w:pPr>
        <w:rPr>
          <w:rFonts w:hint="eastAsia" w:ascii="宋体" w:hAnsi="宋体" w:eastAsia="宋体" w:cs="宋体"/>
          <w:color w:val="auto"/>
          <w:sz w:val="24"/>
          <w:highlight w:val="none"/>
        </w:rPr>
      </w:pPr>
    </w:p>
    <w:p w14:paraId="6031DEF8">
      <w:pPr>
        <w:pStyle w:val="56"/>
        <w:rPr>
          <w:rFonts w:hint="eastAsia" w:ascii="宋体" w:hAnsi="宋体" w:eastAsia="宋体" w:cs="宋体"/>
          <w:color w:val="auto"/>
          <w:sz w:val="24"/>
          <w:highlight w:val="none"/>
        </w:rPr>
      </w:pPr>
    </w:p>
    <w:p w14:paraId="5D3E25CE">
      <w:pPr>
        <w:rPr>
          <w:rFonts w:hint="eastAsia" w:ascii="宋体" w:hAnsi="宋体" w:eastAsia="宋体" w:cs="宋体"/>
          <w:color w:val="auto"/>
          <w:sz w:val="24"/>
          <w:highlight w:val="none"/>
        </w:rPr>
      </w:pPr>
    </w:p>
    <w:p w14:paraId="01215F69">
      <w:pPr>
        <w:pStyle w:val="56"/>
        <w:rPr>
          <w:rFonts w:hint="eastAsia" w:ascii="宋体" w:hAnsi="宋体" w:eastAsia="宋体" w:cs="宋体"/>
          <w:color w:val="auto"/>
          <w:sz w:val="24"/>
          <w:highlight w:val="none"/>
        </w:rPr>
      </w:pPr>
    </w:p>
    <w:p w14:paraId="2BAD84D9">
      <w:pPr>
        <w:rPr>
          <w:rFonts w:hint="eastAsia" w:ascii="宋体" w:hAnsi="宋体" w:eastAsia="宋体" w:cs="宋体"/>
          <w:color w:val="auto"/>
          <w:sz w:val="24"/>
          <w:highlight w:val="none"/>
        </w:rPr>
      </w:pPr>
    </w:p>
    <w:p w14:paraId="1ED41877">
      <w:pPr>
        <w:pStyle w:val="56"/>
        <w:rPr>
          <w:rFonts w:hint="eastAsia" w:ascii="宋体" w:hAnsi="宋体" w:eastAsia="宋体" w:cs="宋体"/>
          <w:color w:val="auto"/>
          <w:sz w:val="24"/>
          <w:highlight w:val="none"/>
        </w:rPr>
      </w:pPr>
    </w:p>
    <w:p w14:paraId="0244E8EB">
      <w:pPr>
        <w:rPr>
          <w:rFonts w:hint="eastAsia" w:ascii="宋体" w:hAnsi="宋体" w:eastAsia="宋体" w:cs="宋体"/>
          <w:color w:val="auto"/>
          <w:sz w:val="24"/>
          <w:highlight w:val="none"/>
        </w:rPr>
      </w:pPr>
    </w:p>
    <w:p w14:paraId="7C9DB65F">
      <w:pPr>
        <w:pStyle w:val="56"/>
        <w:rPr>
          <w:rFonts w:hint="eastAsia" w:ascii="宋体" w:hAnsi="宋体" w:eastAsia="宋体" w:cs="宋体"/>
          <w:highlight w:val="none"/>
        </w:rPr>
      </w:pPr>
    </w:p>
    <w:p w14:paraId="74945210">
      <w:pPr>
        <w:pageBreakBefore w:val="0"/>
        <w:kinsoku/>
        <w:bidi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八、开标一览表（给定格式）：</w:t>
      </w:r>
    </w:p>
    <w:p w14:paraId="178AE943">
      <w:pPr>
        <w:pageBreakBefore w:val="0"/>
        <w:kinsoku/>
        <w:bidi w:val="0"/>
        <w:spacing w:line="360" w:lineRule="auto"/>
        <w:jc w:val="center"/>
        <w:outlineLvl w:val="0"/>
        <w:rPr>
          <w:rFonts w:hint="eastAsia" w:ascii="宋体" w:hAnsi="宋体" w:eastAsia="宋体" w:cs="宋体"/>
          <w:bCs/>
          <w:color w:val="auto"/>
          <w:sz w:val="28"/>
          <w:szCs w:val="28"/>
          <w:highlight w:val="none"/>
        </w:rPr>
      </w:pPr>
      <w:bookmarkStart w:id="228" w:name="_Toc20701"/>
      <w:r>
        <w:rPr>
          <w:rFonts w:hint="eastAsia" w:ascii="宋体" w:hAnsi="宋体" w:eastAsia="宋体" w:cs="宋体"/>
          <w:bCs/>
          <w:color w:val="auto"/>
          <w:sz w:val="28"/>
          <w:szCs w:val="28"/>
          <w:highlight w:val="none"/>
        </w:rPr>
        <w:t>开标一览表</w:t>
      </w:r>
      <w:bookmarkEnd w:id="228"/>
    </w:p>
    <w:p w14:paraId="70914F97">
      <w:pPr>
        <w:pageBreakBefore w:val="0"/>
        <w:kinsoku/>
        <w:bidi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项目编号：</w:t>
      </w:r>
      <w:r>
        <w:rPr>
          <w:rFonts w:hint="eastAsia" w:ascii="宋体" w:hAnsi="宋体" w:cs="宋体"/>
          <w:bCs/>
          <w:color w:val="auto"/>
          <w:sz w:val="24"/>
          <w:szCs w:val="24"/>
          <w:highlight w:val="none"/>
          <w:lang w:eastAsia="zh-CN"/>
        </w:rPr>
        <w:t>JSZC-320200-JXCG-G2026-0020</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单位：元</w:t>
      </w:r>
    </w:p>
    <w:tbl>
      <w:tblPr>
        <w:tblStyle w:val="47"/>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5399"/>
        <w:gridCol w:w="3144"/>
        <w:gridCol w:w="708"/>
      </w:tblGrid>
      <w:tr w14:paraId="3AD01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34E24E50">
            <w:pPr>
              <w:snapToGrid w:val="0"/>
              <w:spacing w:line="360" w:lineRule="auto"/>
              <w:ind w:left="0" w:leftChars="0" w:right="0" w:rightChars="0" w:firstLine="0" w:firstLineChars="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0" w:type="auto"/>
            <w:noWrap w:val="0"/>
            <w:vAlign w:val="center"/>
          </w:tcPr>
          <w:p w14:paraId="1A3318F3">
            <w:pPr>
              <w:snapToGrid w:val="0"/>
              <w:spacing w:line="360" w:lineRule="auto"/>
              <w:ind w:left="0" w:leftChars="0" w:right="0" w:rightChars="0" w:firstLine="0" w:firstLineChars="0"/>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项目</w:t>
            </w:r>
            <w:r>
              <w:rPr>
                <w:rFonts w:hint="eastAsia" w:ascii="宋体" w:hAnsi="宋体" w:cs="宋体"/>
                <w:b/>
                <w:bCs/>
                <w:color w:val="auto"/>
                <w:sz w:val="24"/>
                <w:highlight w:val="none"/>
                <w:lang w:eastAsia="zh-CN"/>
              </w:rPr>
              <w:t>名称</w:t>
            </w:r>
          </w:p>
        </w:tc>
        <w:tc>
          <w:tcPr>
            <w:tcW w:w="0" w:type="auto"/>
            <w:noWrap w:val="0"/>
            <w:vAlign w:val="center"/>
          </w:tcPr>
          <w:p w14:paraId="36FCB6CA">
            <w:pPr>
              <w:snapToGrid w:val="0"/>
              <w:spacing w:line="360" w:lineRule="auto"/>
              <w:ind w:left="0" w:leftChars="0" w:right="0" w:rightChars="0" w:firstLine="0" w:firstLineChars="0"/>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总价（三年）</w:t>
            </w:r>
          </w:p>
        </w:tc>
        <w:tc>
          <w:tcPr>
            <w:tcW w:w="708" w:type="dxa"/>
            <w:noWrap w:val="0"/>
            <w:vAlign w:val="center"/>
          </w:tcPr>
          <w:p w14:paraId="7BCF0A73">
            <w:pPr>
              <w:snapToGrid w:val="0"/>
              <w:spacing w:line="360" w:lineRule="auto"/>
              <w:ind w:left="0" w:leftChars="0" w:right="0" w:rightChars="0" w:firstLine="0" w:firstLineChars="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6CB5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7D4BFCB">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p>
        </w:tc>
        <w:tc>
          <w:tcPr>
            <w:tcW w:w="0" w:type="auto"/>
            <w:noWrap w:val="0"/>
            <w:vAlign w:val="center"/>
          </w:tcPr>
          <w:p w14:paraId="17CC049F">
            <w:pPr>
              <w:pStyle w:val="124"/>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2026—2029年市管夜景照明设施维护项目</w:t>
            </w:r>
            <w:r>
              <w:rPr>
                <w:rFonts w:hint="eastAsia" w:ascii="宋体" w:hAnsi="宋体" w:eastAsia="宋体" w:cs="宋体"/>
                <w:color w:val="auto"/>
                <w:sz w:val="24"/>
                <w:szCs w:val="24"/>
                <w:highlight w:val="none"/>
                <w:lang w:val="en-US" w:eastAsia="zh-CN"/>
              </w:rPr>
              <w:t>三标段</w:t>
            </w:r>
          </w:p>
        </w:tc>
        <w:tc>
          <w:tcPr>
            <w:tcW w:w="0" w:type="auto"/>
            <w:noWrap w:val="0"/>
            <w:vAlign w:val="center"/>
          </w:tcPr>
          <w:p w14:paraId="19F67A2F">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大写：</w:t>
            </w:r>
          </w:p>
          <w:p w14:paraId="1638B842">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小写：</w:t>
            </w:r>
          </w:p>
        </w:tc>
        <w:tc>
          <w:tcPr>
            <w:tcW w:w="708" w:type="dxa"/>
            <w:noWrap w:val="0"/>
            <w:vAlign w:val="center"/>
          </w:tcPr>
          <w:p w14:paraId="310BF56B">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6ABA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157E8C32">
            <w:pPr>
              <w:snapToGrid w:val="0"/>
              <w:spacing w:line="360" w:lineRule="auto"/>
              <w:ind w:left="0" w:leftChars="0" w:right="0" w:righ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0" w:type="auto"/>
            <w:noWrap w:val="0"/>
            <w:vAlign w:val="center"/>
          </w:tcPr>
          <w:p w14:paraId="21AC5DA5">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养护单价</w:t>
            </w:r>
          </w:p>
        </w:tc>
        <w:tc>
          <w:tcPr>
            <w:tcW w:w="0" w:type="auto"/>
            <w:noWrap w:val="0"/>
            <w:vAlign w:val="center"/>
          </w:tcPr>
          <w:p w14:paraId="2B8889F4">
            <w:pPr>
              <w:snapToGrid w:val="0"/>
              <w:spacing w:line="360" w:lineRule="auto"/>
              <w:ind w:left="0" w:leftChars="0" w:right="0" w:rightChars="0" w:firstLine="0" w:firstLineChars="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大写：</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元/</w:t>
            </w:r>
            <w:r>
              <w:rPr>
                <w:rFonts w:hint="eastAsia" w:ascii="宋体" w:hAnsi="宋体" w:cs="宋体"/>
                <w:bCs/>
                <w:color w:val="auto"/>
                <w:kern w:val="0"/>
                <w:sz w:val="24"/>
                <w:highlight w:val="none"/>
                <w:lang w:val="en-US" w:eastAsia="zh-CN" w:bidi="ar"/>
              </w:rPr>
              <w:t>套</w:t>
            </w:r>
            <w:r>
              <w:rPr>
                <w:rFonts w:hint="eastAsia" w:ascii="宋体" w:hAnsi="宋体" w:eastAsia="宋体" w:cs="宋体"/>
                <w:color w:val="auto"/>
                <w:sz w:val="24"/>
                <w:highlight w:val="none"/>
                <w:lang w:eastAsia="zh-CN"/>
              </w:rPr>
              <w:t>/年</w:t>
            </w:r>
          </w:p>
          <w:p w14:paraId="481FBA90">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小写：</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元/</w:t>
            </w:r>
            <w:r>
              <w:rPr>
                <w:rFonts w:hint="eastAsia" w:ascii="宋体" w:hAnsi="宋体" w:cs="宋体"/>
                <w:bCs/>
                <w:color w:val="auto"/>
                <w:kern w:val="0"/>
                <w:sz w:val="24"/>
                <w:highlight w:val="none"/>
                <w:lang w:val="en-US" w:eastAsia="zh-CN" w:bidi="ar"/>
              </w:rPr>
              <w:t>套</w:t>
            </w:r>
            <w:r>
              <w:rPr>
                <w:rFonts w:hint="eastAsia" w:ascii="宋体" w:hAnsi="宋体" w:eastAsia="宋体" w:cs="宋体"/>
                <w:color w:val="auto"/>
                <w:sz w:val="24"/>
                <w:highlight w:val="none"/>
                <w:lang w:eastAsia="zh-CN"/>
              </w:rPr>
              <w:t>/年</w:t>
            </w:r>
          </w:p>
        </w:tc>
        <w:tc>
          <w:tcPr>
            <w:tcW w:w="708" w:type="dxa"/>
            <w:noWrap w:val="0"/>
            <w:vAlign w:val="center"/>
          </w:tcPr>
          <w:p w14:paraId="62092048">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77A0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51EF3293">
            <w:pPr>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p>
        </w:tc>
        <w:tc>
          <w:tcPr>
            <w:tcW w:w="0" w:type="auto"/>
            <w:noWrap w:val="0"/>
            <w:vAlign w:val="center"/>
          </w:tcPr>
          <w:p w14:paraId="2226CA8E">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项目负责人</w:t>
            </w:r>
          </w:p>
        </w:tc>
        <w:tc>
          <w:tcPr>
            <w:tcW w:w="0" w:type="auto"/>
            <w:noWrap w:val="0"/>
            <w:vAlign w:val="center"/>
          </w:tcPr>
          <w:p w14:paraId="00E8DC1A">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p w14:paraId="01E9B8B3">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专业：</w:t>
            </w:r>
          </w:p>
          <w:p w14:paraId="30A4768C">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执业资格： </w:t>
            </w:r>
          </w:p>
        </w:tc>
        <w:tc>
          <w:tcPr>
            <w:tcW w:w="708" w:type="dxa"/>
            <w:noWrap w:val="0"/>
            <w:vAlign w:val="center"/>
          </w:tcPr>
          <w:p w14:paraId="2DE9DBFD">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2EBA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7F829B5">
            <w:pPr>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p>
        </w:tc>
        <w:tc>
          <w:tcPr>
            <w:tcW w:w="0" w:type="auto"/>
            <w:noWrap w:val="0"/>
            <w:vAlign w:val="center"/>
          </w:tcPr>
          <w:p w14:paraId="75175C97">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维护期</w:t>
            </w:r>
          </w:p>
        </w:tc>
        <w:tc>
          <w:tcPr>
            <w:tcW w:w="0" w:type="auto"/>
            <w:noWrap w:val="0"/>
            <w:vAlign w:val="center"/>
          </w:tcPr>
          <w:p w14:paraId="2B939FBC">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p>
        </w:tc>
        <w:tc>
          <w:tcPr>
            <w:tcW w:w="708" w:type="dxa"/>
            <w:noWrap w:val="0"/>
            <w:vAlign w:val="center"/>
          </w:tcPr>
          <w:p w14:paraId="73EB0550">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r w14:paraId="1097A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5" w:type="dxa"/>
            <w:noWrap w:val="0"/>
            <w:vAlign w:val="center"/>
          </w:tcPr>
          <w:p w14:paraId="36BEF9BD">
            <w:pPr>
              <w:snapToGrid w:val="0"/>
              <w:spacing w:line="360" w:lineRule="auto"/>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p>
        </w:tc>
        <w:tc>
          <w:tcPr>
            <w:tcW w:w="5399" w:type="dxa"/>
            <w:noWrap w:val="0"/>
            <w:vAlign w:val="center"/>
          </w:tcPr>
          <w:p w14:paraId="5B6E0B53">
            <w:pPr>
              <w:snapToGrid w:val="0"/>
              <w:spacing w:line="36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维护目标</w:t>
            </w:r>
          </w:p>
        </w:tc>
        <w:tc>
          <w:tcPr>
            <w:tcW w:w="3144" w:type="dxa"/>
            <w:noWrap w:val="0"/>
            <w:vAlign w:val="center"/>
          </w:tcPr>
          <w:p w14:paraId="4E771F4D">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设施完好率：≥92%</w:t>
            </w:r>
          </w:p>
          <w:p w14:paraId="19B4052A">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亮灯率：≥97%</w:t>
            </w:r>
          </w:p>
          <w:p w14:paraId="40934FFD">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运行故障率：≤1%</w:t>
            </w:r>
          </w:p>
          <w:p w14:paraId="1C40227B">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修复及时率：100%</w:t>
            </w:r>
          </w:p>
          <w:p w14:paraId="0FC621A6">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应急响应时间：&lt;30分钟</w:t>
            </w:r>
          </w:p>
          <w:p w14:paraId="7C3E989C">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交办事项办理及时率：100%</w:t>
            </w:r>
          </w:p>
          <w:p w14:paraId="013D31D0">
            <w:pPr>
              <w:snapToGrid w:val="0"/>
              <w:spacing w:line="36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事故率：零安全事故</w:t>
            </w:r>
          </w:p>
        </w:tc>
        <w:tc>
          <w:tcPr>
            <w:tcW w:w="708" w:type="dxa"/>
            <w:noWrap w:val="0"/>
            <w:vAlign w:val="center"/>
          </w:tcPr>
          <w:p w14:paraId="5F559FF8">
            <w:pPr>
              <w:snapToGrid w:val="0"/>
              <w:spacing w:line="360" w:lineRule="auto"/>
              <w:ind w:left="0" w:leftChars="0" w:right="0" w:rightChars="0" w:firstLine="0" w:firstLineChars="0"/>
              <w:jc w:val="right"/>
              <w:rPr>
                <w:rFonts w:hint="eastAsia" w:ascii="宋体" w:hAnsi="宋体" w:eastAsia="宋体" w:cs="宋体"/>
                <w:color w:val="auto"/>
                <w:sz w:val="24"/>
                <w:highlight w:val="none"/>
              </w:rPr>
            </w:pPr>
          </w:p>
        </w:tc>
      </w:tr>
    </w:tbl>
    <w:p w14:paraId="77FFAB08">
      <w:pPr>
        <w:tabs>
          <w:tab w:val="left" w:pos="7140"/>
        </w:tabs>
        <w:spacing w:line="360" w:lineRule="auto"/>
        <w:ind w:right="480"/>
        <w:jc w:val="right"/>
        <w:rPr>
          <w:color w:val="auto"/>
          <w:sz w:val="24"/>
          <w:szCs w:val="21"/>
          <w:highlight w:val="none"/>
        </w:rPr>
      </w:pPr>
      <w:r>
        <w:rPr>
          <w:rFonts w:hint="eastAsia"/>
          <w:color w:val="auto"/>
          <w:sz w:val="24"/>
          <w:szCs w:val="21"/>
          <w:highlight w:val="none"/>
        </w:rPr>
        <w:t>法定代表人或授权代表签字：</w:t>
      </w:r>
    </w:p>
    <w:p w14:paraId="7264B8F8">
      <w:pPr>
        <w:tabs>
          <w:tab w:val="left" w:pos="7140"/>
        </w:tabs>
        <w:spacing w:line="360" w:lineRule="auto"/>
        <w:ind w:right="120"/>
        <w:jc w:val="center"/>
        <w:rPr>
          <w:rFonts w:hint="eastAsia"/>
          <w:color w:val="auto"/>
          <w:sz w:val="24"/>
          <w:szCs w:val="21"/>
          <w:highlight w:val="none"/>
        </w:rPr>
      </w:pPr>
      <w:r>
        <w:rPr>
          <w:rFonts w:hint="eastAsia"/>
          <w:color w:val="auto"/>
          <w:sz w:val="24"/>
          <w:szCs w:val="21"/>
          <w:highlight w:val="none"/>
          <w:lang w:val="en-US" w:eastAsia="zh-CN"/>
        </w:rPr>
        <w:t xml:space="preserve">                                                                    </w:t>
      </w:r>
      <w:r>
        <w:rPr>
          <w:rFonts w:hint="eastAsia"/>
          <w:color w:val="auto"/>
          <w:sz w:val="24"/>
          <w:szCs w:val="21"/>
          <w:highlight w:val="none"/>
        </w:rPr>
        <w:t>日期：年月</w:t>
      </w:r>
      <w:r>
        <w:rPr>
          <w:rFonts w:hint="eastAsia"/>
          <w:color w:val="auto"/>
          <w:sz w:val="24"/>
          <w:szCs w:val="21"/>
          <w:highlight w:val="none"/>
          <w:lang w:val="en-US" w:eastAsia="zh-CN"/>
        </w:rPr>
        <w:t xml:space="preserve"> </w:t>
      </w:r>
      <w:r>
        <w:rPr>
          <w:rFonts w:hint="eastAsia"/>
          <w:color w:val="auto"/>
          <w:sz w:val="24"/>
          <w:szCs w:val="21"/>
          <w:highlight w:val="none"/>
        </w:rPr>
        <w:t>日</w:t>
      </w:r>
    </w:p>
    <w:p w14:paraId="4E99D1A6">
      <w:pPr>
        <w:pStyle w:val="2"/>
        <w:rPr>
          <w:rFonts w:hint="eastAsia"/>
          <w:color w:val="auto"/>
          <w:sz w:val="24"/>
          <w:szCs w:val="21"/>
          <w:highlight w:val="none"/>
        </w:rPr>
      </w:pPr>
    </w:p>
    <w:p w14:paraId="7BD4548A">
      <w:pPr>
        <w:rPr>
          <w:rFonts w:hint="eastAsia"/>
          <w:color w:val="auto"/>
          <w:sz w:val="24"/>
          <w:szCs w:val="21"/>
          <w:highlight w:val="none"/>
        </w:rPr>
      </w:pPr>
    </w:p>
    <w:p w14:paraId="6DE4D65B">
      <w:pPr>
        <w:rPr>
          <w:highlight w:val="none"/>
        </w:rPr>
      </w:pPr>
      <w:r>
        <w:rPr>
          <w:highlight w:val="none"/>
        </w:rPr>
        <w:br w:type="page"/>
      </w:r>
    </w:p>
    <w:p w14:paraId="7E421F78">
      <w:pPr>
        <w:rPr>
          <w:highlight w:val="none"/>
        </w:rPr>
      </w:pPr>
    </w:p>
    <w:p w14:paraId="64EABCB1">
      <w:pPr>
        <w:spacing w:line="360" w:lineRule="auto"/>
        <w:jc w:val="center"/>
        <w:outlineLvl w:val="0"/>
        <w:rPr>
          <w:rFonts w:hAnsi="宋体"/>
          <w:b/>
          <w:color w:val="auto"/>
          <w:sz w:val="24"/>
          <w:szCs w:val="24"/>
          <w:highlight w:val="none"/>
        </w:rPr>
      </w:pPr>
      <w:r>
        <w:rPr>
          <w:rFonts w:hint="eastAsia" w:hAnsi="宋体"/>
          <w:b/>
          <w:color w:val="auto"/>
          <w:sz w:val="24"/>
          <w:szCs w:val="24"/>
          <w:highlight w:val="none"/>
        </w:rPr>
        <w:t>明细报价表</w:t>
      </w:r>
    </w:p>
    <w:tbl>
      <w:tblPr>
        <w:tblStyle w:val="47"/>
        <w:tblW w:w="9956" w:type="dxa"/>
        <w:jc w:val="center"/>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928"/>
        <w:gridCol w:w="2509"/>
        <w:gridCol w:w="2028"/>
        <w:gridCol w:w="2491"/>
      </w:tblGrid>
      <w:tr w14:paraId="5A116DB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928" w:type="dxa"/>
            <w:tcBorders>
              <w:top w:val="single" w:color="auto" w:sz="4" w:space="0"/>
              <w:left w:val="single" w:color="auto" w:sz="4" w:space="0"/>
            </w:tcBorders>
            <w:noWrap w:val="0"/>
            <w:vAlign w:val="center"/>
          </w:tcPr>
          <w:p w14:paraId="157D54CE">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标段</w:t>
            </w:r>
          </w:p>
        </w:tc>
        <w:tc>
          <w:tcPr>
            <w:tcW w:w="2509" w:type="dxa"/>
            <w:tcBorders>
              <w:top w:val="single" w:color="auto" w:sz="4" w:space="0"/>
            </w:tcBorders>
            <w:noWrap w:val="0"/>
            <w:vAlign w:val="center"/>
          </w:tcPr>
          <w:p w14:paraId="2DFFB0E0">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报价内容</w:t>
            </w:r>
          </w:p>
        </w:tc>
        <w:tc>
          <w:tcPr>
            <w:tcW w:w="2028" w:type="dxa"/>
            <w:tcBorders>
              <w:top w:val="single" w:color="auto" w:sz="4" w:space="0"/>
            </w:tcBorders>
            <w:noWrap w:val="0"/>
            <w:vAlign w:val="center"/>
          </w:tcPr>
          <w:p w14:paraId="7DBFB8B6">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单位</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eastAsia="zh-CN"/>
              </w:rPr>
              <w:t>）</w:t>
            </w:r>
          </w:p>
        </w:tc>
        <w:tc>
          <w:tcPr>
            <w:tcW w:w="2491" w:type="dxa"/>
            <w:tcBorders>
              <w:top w:val="single" w:color="auto" w:sz="4" w:space="0"/>
              <w:right w:val="single" w:color="auto" w:sz="4" w:space="0"/>
            </w:tcBorders>
            <w:noWrap w:val="0"/>
            <w:vAlign w:val="center"/>
          </w:tcPr>
          <w:p w14:paraId="09C98200">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说明</w:t>
            </w:r>
          </w:p>
        </w:tc>
      </w:tr>
      <w:tr w14:paraId="4D2411C7">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restart"/>
            <w:tcBorders>
              <w:left w:val="single" w:color="auto" w:sz="4" w:space="0"/>
            </w:tcBorders>
            <w:shd w:val="clear" w:color="auto" w:fill="auto"/>
            <w:vAlign w:val="center"/>
          </w:tcPr>
          <w:p w14:paraId="759507A8">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2026—2029年市管夜景照明设施维护项目</w:t>
            </w:r>
            <w:r>
              <w:rPr>
                <w:rFonts w:hint="eastAsia" w:asciiTheme="minorEastAsia" w:hAnsiTheme="minorEastAsia" w:eastAsiaTheme="minorEastAsia" w:cstheme="minorEastAsia"/>
                <w:color w:val="auto"/>
                <w:sz w:val="24"/>
                <w:szCs w:val="24"/>
                <w:highlight w:val="none"/>
                <w:lang w:val="en-US" w:eastAsia="zh-CN"/>
              </w:rPr>
              <w:t>三标段</w:t>
            </w:r>
          </w:p>
        </w:tc>
        <w:tc>
          <w:tcPr>
            <w:tcW w:w="2509" w:type="dxa"/>
            <w:shd w:val="clear" w:color="auto" w:fill="auto"/>
            <w:vAlign w:val="center"/>
          </w:tcPr>
          <w:p w14:paraId="0C7B5FA8">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养护</w:t>
            </w:r>
            <w:r>
              <w:rPr>
                <w:rFonts w:hint="eastAsia" w:asciiTheme="minorEastAsia" w:hAnsiTheme="minorEastAsia" w:eastAsiaTheme="minorEastAsia" w:cstheme="minorEastAsia"/>
                <w:color w:val="auto"/>
                <w:sz w:val="24"/>
                <w:szCs w:val="24"/>
                <w:highlight w:val="none"/>
              </w:rPr>
              <w:t>总价</w:t>
            </w:r>
          </w:p>
        </w:tc>
        <w:tc>
          <w:tcPr>
            <w:tcW w:w="2028" w:type="dxa"/>
            <w:vAlign w:val="center"/>
          </w:tcPr>
          <w:p w14:paraId="55BB724F">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7476E60D">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75F2FED9">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27D80F4D">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57D037E8">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2026—2027年养护价</w:t>
            </w:r>
          </w:p>
        </w:tc>
        <w:tc>
          <w:tcPr>
            <w:tcW w:w="2028" w:type="dxa"/>
            <w:vAlign w:val="center"/>
          </w:tcPr>
          <w:p w14:paraId="2AC53B48">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36DC4703">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4383FA98">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6F491C90">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1FF990D6">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2027—2028年养护价</w:t>
            </w:r>
          </w:p>
        </w:tc>
        <w:tc>
          <w:tcPr>
            <w:tcW w:w="2028" w:type="dxa"/>
            <w:vAlign w:val="center"/>
          </w:tcPr>
          <w:p w14:paraId="56F1C63D">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4F874C26">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61FF16F0">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928" w:type="dxa"/>
            <w:vMerge w:val="continue"/>
            <w:tcBorders>
              <w:left w:val="single" w:color="auto" w:sz="4" w:space="0"/>
            </w:tcBorders>
            <w:vAlign w:val="center"/>
          </w:tcPr>
          <w:p w14:paraId="7BCA9248">
            <w:pPr>
              <w:widowControl/>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c>
          <w:tcPr>
            <w:tcW w:w="2509" w:type="dxa"/>
            <w:shd w:val="clear" w:color="auto" w:fill="auto"/>
            <w:vAlign w:val="center"/>
          </w:tcPr>
          <w:p w14:paraId="0E4ED1D3">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2028—2029年养护价</w:t>
            </w:r>
          </w:p>
        </w:tc>
        <w:tc>
          <w:tcPr>
            <w:tcW w:w="2028" w:type="dxa"/>
            <w:vAlign w:val="center"/>
          </w:tcPr>
          <w:p w14:paraId="6A0206B7">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right w:val="single" w:color="auto" w:sz="4" w:space="0"/>
            </w:tcBorders>
            <w:vAlign w:val="center"/>
          </w:tcPr>
          <w:p w14:paraId="21719797">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r w14:paraId="5C44FC32">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437" w:type="dxa"/>
            <w:gridSpan w:val="2"/>
            <w:tcBorders>
              <w:left w:val="single" w:color="auto" w:sz="4" w:space="0"/>
              <w:bottom w:val="single" w:color="auto" w:sz="4" w:space="0"/>
            </w:tcBorders>
            <w:vAlign w:val="center"/>
          </w:tcPr>
          <w:p w14:paraId="38A03FBE">
            <w:pPr>
              <w:snapToGrid w:val="0"/>
              <w:spacing w:line="36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合计（元）</w:t>
            </w:r>
          </w:p>
        </w:tc>
        <w:tc>
          <w:tcPr>
            <w:tcW w:w="2028" w:type="dxa"/>
            <w:tcBorders>
              <w:bottom w:val="single" w:color="auto" w:sz="4" w:space="0"/>
            </w:tcBorders>
            <w:vAlign w:val="center"/>
          </w:tcPr>
          <w:p w14:paraId="606BAC18">
            <w:pPr>
              <w:snapToGrid w:val="0"/>
              <w:spacing w:line="360" w:lineRule="auto"/>
              <w:ind w:left="0" w:leftChars="0" w:right="0" w:rightChars="0" w:firstLine="0" w:firstLineChars="0"/>
              <w:jc w:val="center"/>
              <w:rPr>
                <w:rFonts w:hint="eastAsia" w:asciiTheme="minorEastAsia" w:hAnsiTheme="minorEastAsia" w:eastAsiaTheme="minorEastAsia" w:cstheme="minorEastAsia"/>
                <w:b/>
                <w:color w:val="auto"/>
                <w:sz w:val="24"/>
                <w:szCs w:val="24"/>
                <w:highlight w:val="none"/>
              </w:rPr>
            </w:pPr>
          </w:p>
        </w:tc>
        <w:tc>
          <w:tcPr>
            <w:tcW w:w="2491" w:type="dxa"/>
            <w:tcBorders>
              <w:bottom w:val="single" w:color="auto" w:sz="4" w:space="0"/>
              <w:right w:val="single" w:color="auto" w:sz="4" w:space="0"/>
            </w:tcBorders>
            <w:vAlign w:val="center"/>
          </w:tcPr>
          <w:p w14:paraId="567BD300">
            <w:pPr>
              <w:snapToGrid w:val="0"/>
              <w:spacing w:line="360" w:lineRule="auto"/>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rPr>
            </w:pPr>
          </w:p>
        </w:tc>
      </w:tr>
    </w:tbl>
    <w:p w14:paraId="521D9C2E">
      <w:pPr>
        <w:pageBreakBefore w:val="0"/>
        <w:kinsoku/>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填写说明：</w:t>
      </w:r>
    </w:p>
    <w:p w14:paraId="7B623B41">
      <w:pPr>
        <w:pageBreakBefore w:val="0"/>
        <w:numPr>
          <w:ilvl w:val="0"/>
          <w:numId w:val="11"/>
        </w:numPr>
        <w:kinsoku/>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本项目仅接受一个价格，不得填报有选择性报价方案或提供单独提交的报价函。若有优惠条款须注明，但不得影响报价，影响产品整体功能。</w:t>
      </w:r>
    </w:p>
    <w:p w14:paraId="764E2A01">
      <w:pPr>
        <w:keepNext w:val="0"/>
        <w:keepLines w:val="0"/>
        <w:pageBreakBefore w:val="0"/>
        <w:widowControl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中标人对所承包养护范围内所有的照明设施实施偷盗包干，</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单价包含</w:t>
      </w:r>
      <w:r>
        <w:rPr>
          <w:rFonts w:hint="eastAsia" w:ascii="宋体" w:hAnsi="宋体" w:eastAsia="宋体" w:cs="宋体"/>
          <w:b/>
          <w:bCs/>
          <w:color w:val="auto"/>
          <w:sz w:val="24"/>
          <w:szCs w:val="24"/>
          <w:highlight w:val="none"/>
          <w:lang w:val="en-US" w:eastAsia="zh-CN"/>
        </w:rPr>
        <w:t>招标代理费、</w:t>
      </w:r>
      <w:r>
        <w:rPr>
          <w:rFonts w:hint="eastAsia" w:ascii="宋体" w:hAnsi="宋体" w:eastAsia="宋体" w:cs="宋体"/>
          <w:b/>
          <w:bCs/>
          <w:color w:val="auto"/>
          <w:sz w:val="24"/>
          <w:szCs w:val="24"/>
          <w:highlight w:val="none"/>
        </w:rPr>
        <w:t>灯具、灯杆、管线、配电设施等所有照明设施及附属设施的</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费、税金、偷盗恢复、政策性调整等所有费用。配电设施</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工作，延伸至各转接箱、分接箱，</w:t>
      </w:r>
      <w:r>
        <w:rPr>
          <w:rFonts w:hint="eastAsia" w:ascii="宋体" w:hAnsi="宋体" w:eastAsia="宋体" w:cs="宋体"/>
          <w:b/>
          <w:bCs/>
          <w:color w:val="auto"/>
          <w:sz w:val="24"/>
          <w:szCs w:val="24"/>
          <w:highlight w:val="none"/>
          <w:lang w:eastAsia="zh-CN"/>
        </w:rPr>
        <w:t>养护</w:t>
      </w:r>
      <w:r>
        <w:rPr>
          <w:rFonts w:hint="eastAsia" w:ascii="宋体" w:hAnsi="宋体" w:eastAsia="宋体" w:cs="宋体"/>
          <w:b/>
          <w:bCs/>
          <w:color w:val="auto"/>
          <w:sz w:val="24"/>
          <w:szCs w:val="24"/>
          <w:highlight w:val="none"/>
        </w:rPr>
        <w:t>要求一致。</w:t>
      </w:r>
    </w:p>
    <w:p w14:paraId="4559B8CF">
      <w:pPr>
        <w:tabs>
          <w:tab w:val="left" w:pos="1114"/>
        </w:tabs>
        <w:bidi w:val="0"/>
        <w:jc w:val="left"/>
        <w:rPr>
          <w:rFonts w:hint="default" w:ascii="宋体" w:hAnsi="宋体" w:eastAsia="宋体" w:cs="宋体"/>
          <w:bCs/>
          <w:color w:val="0000FF"/>
          <w:sz w:val="24"/>
          <w:szCs w:val="24"/>
          <w:highlight w:val="none"/>
          <w:lang w:val="en-US"/>
        </w:rPr>
        <w:sectPr>
          <w:pgSz w:w="11906" w:h="16838"/>
          <w:pgMar w:top="1440" w:right="1080" w:bottom="1440" w:left="1080" w:header="851" w:footer="907" w:gutter="0"/>
          <w:pgNumType w:fmt="decimal"/>
          <w:cols w:space="720" w:num="1"/>
          <w:titlePg/>
          <w:docGrid w:type="lines" w:linePitch="290" w:charSpace="0"/>
        </w:sect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bCs/>
          <w:color w:val="auto"/>
          <w:kern w:val="0"/>
          <w:sz w:val="24"/>
          <w:highlight w:val="none"/>
          <w:lang w:val="en-US" w:eastAsia="zh-CN" w:bidi="ar"/>
        </w:rPr>
        <w:t>养护单价限价</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23.4元/</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/年</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三标段（中心商务区夜景照明）：限价261.32652万元</w:t>
      </w:r>
      <w:r>
        <w:rPr>
          <w:rFonts w:hint="eastAsia" w:ascii="宋体" w:hAnsi="宋体" w:cs="宋体"/>
          <w:bCs/>
          <w:color w:val="auto"/>
          <w:kern w:val="0"/>
          <w:sz w:val="24"/>
          <w:highlight w:val="none"/>
          <w:lang w:val="en-US" w:eastAsia="zh-CN" w:bidi="ar"/>
        </w:rPr>
        <w:t>，</w:t>
      </w:r>
      <w:r>
        <w:rPr>
          <w:rFonts w:hint="eastAsia" w:ascii="宋体" w:hAnsi="宋体" w:eastAsia="宋体" w:cs="宋体"/>
          <w:bCs/>
          <w:color w:val="auto"/>
          <w:kern w:val="0"/>
          <w:sz w:val="24"/>
          <w:highlight w:val="none"/>
          <w:lang w:val="en-US" w:eastAsia="zh-CN" w:bidi="ar"/>
        </w:rPr>
        <w:t>三年</w:t>
      </w:r>
      <w:r>
        <w:rPr>
          <w:rFonts w:hint="eastAsia" w:ascii="宋体" w:hAnsi="宋体" w:cs="宋体"/>
          <w:bCs/>
          <w:color w:val="auto"/>
          <w:kern w:val="0"/>
          <w:sz w:val="24"/>
          <w:highlight w:val="none"/>
          <w:lang w:val="en-US" w:eastAsia="zh-CN" w:bidi="ar"/>
        </w:rPr>
        <w:t>设施量</w:t>
      </w:r>
      <w:r>
        <w:rPr>
          <w:rFonts w:hint="eastAsia" w:ascii="宋体" w:hAnsi="宋体" w:eastAsia="宋体" w:cs="宋体"/>
          <w:bCs/>
          <w:color w:val="auto"/>
          <w:kern w:val="0"/>
          <w:sz w:val="24"/>
          <w:highlight w:val="none"/>
          <w:lang w:val="en-US" w:eastAsia="zh-CN" w:bidi="ar"/>
        </w:rPr>
        <w:t>均为37226</w:t>
      </w:r>
      <w:r>
        <w:rPr>
          <w:rFonts w:hint="eastAsia" w:ascii="宋体" w:hAnsi="宋体" w:cs="宋体"/>
          <w:bCs/>
          <w:color w:val="auto"/>
          <w:kern w:val="0"/>
          <w:sz w:val="24"/>
          <w:highlight w:val="none"/>
          <w:lang w:val="en-US" w:eastAsia="zh-CN" w:bidi="ar"/>
        </w:rPr>
        <w:t>套</w:t>
      </w:r>
      <w:r>
        <w:rPr>
          <w:rFonts w:hint="eastAsia" w:ascii="宋体" w:hAnsi="宋体" w:eastAsia="宋体" w:cs="宋体"/>
          <w:bCs/>
          <w:color w:val="auto"/>
          <w:kern w:val="0"/>
          <w:sz w:val="24"/>
          <w:highlight w:val="none"/>
          <w:lang w:val="en-US" w:eastAsia="zh-CN" w:bidi="ar"/>
        </w:rPr>
        <w:t>，每年费用均</w:t>
      </w:r>
      <w:r>
        <w:rPr>
          <w:rFonts w:hint="eastAsia" w:ascii="宋体" w:hAnsi="宋体" w:cs="宋体"/>
          <w:bCs/>
          <w:color w:val="auto"/>
          <w:kern w:val="0"/>
          <w:sz w:val="24"/>
          <w:highlight w:val="none"/>
          <w:lang w:val="en-US" w:eastAsia="zh-CN" w:bidi="ar"/>
        </w:rPr>
        <w:t>为</w:t>
      </w:r>
      <w:r>
        <w:rPr>
          <w:rFonts w:hint="eastAsia" w:ascii="宋体" w:hAnsi="宋体" w:eastAsia="宋体" w:cs="宋体"/>
          <w:bCs/>
          <w:color w:val="auto"/>
          <w:kern w:val="0"/>
          <w:sz w:val="24"/>
          <w:highlight w:val="none"/>
          <w:lang w:val="en-US" w:eastAsia="zh-CN" w:bidi="ar"/>
        </w:rPr>
        <w:t>87.10884万元。</w:t>
      </w:r>
      <w:r>
        <w:rPr>
          <w:rFonts w:hint="eastAsia" w:ascii="宋体" w:hAnsi="宋体" w:eastAsia="宋体" w:cs="宋体"/>
          <w:bCs/>
          <w:color w:val="auto"/>
          <w:kern w:val="0"/>
          <w:sz w:val="24"/>
          <w:highlight w:val="none"/>
          <w:lang w:bidi="ar"/>
        </w:rPr>
        <w:t>投标人的报价不得超过最高限价</w:t>
      </w:r>
      <w:r>
        <w:rPr>
          <w:rFonts w:hint="eastAsia" w:ascii="宋体" w:hAnsi="宋体" w:eastAsia="宋体" w:cs="宋体"/>
          <w:bCs/>
          <w:color w:val="auto"/>
          <w:kern w:val="0"/>
          <w:sz w:val="24"/>
          <w:highlight w:val="none"/>
          <w:lang w:eastAsia="zh-CN" w:bidi="ar"/>
        </w:rPr>
        <w:t>、子项最高限价</w:t>
      </w:r>
      <w:r>
        <w:rPr>
          <w:rFonts w:hint="eastAsia" w:ascii="宋体" w:hAnsi="宋体" w:eastAsia="宋体" w:cs="宋体"/>
          <w:bCs/>
          <w:color w:val="auto"/>
          <w:kern w:val="0"/>
          <w:sz w:val="24"/>
          <w:highlight w:val="none"/>
          <w:lang w:bidi="ar"/>
        </w:rPr>
        <w:t>否则作无效投标处理</w:t>
      </w:r>
      <w:r>
        <w:rPr>
          <w:rFonts w:hint="eastAsia" w:ascii="宋体" w:hAnsi="宋体" w:eastAsia="宋体" w:cs="宋体"/>
          <w:bCs/>
          <w:color w:val="auto"/>
          <w:kern w:val="0"/>
          <w:sz w:val="24"/>
          <w:highlight w:val="none"/>
          <w:lang w:eastAsia="zh-CN" w:bidi="ar"/>
        </w:rPr>
        <w:t>。</w:t>
      </w:r>
      <w:r>
        <w:rPr>
          <w:rFonts w:hint="eastAsia" w:ascii="宋体" w:hAnsi="宋体" w:cs="宋体"/>
          <w:bCs/>
          <w:color w:val="auto"/>
          <w:kern w:val="0"/>
          <w:sz w:val="24"/>
          <w:highlight w:val="none"/>
          <w:lang w:val="en-US" w:eastAsia="zh-CN" w:bidi="ar"/>
        </w:rPr>
        <w:t>本次招标标段为三标段，一、二标段已中标的单位不可参与本标段投标</w:t>
      </w:r>
      <w:r>
        <w:rPr>
          <w:rFonts w:hint="eastAsia" w:ascii="宋体" w:hAnsi="宋体" w:eastAsia="宋体" w:cs="宋体"/>
          <w:bCs/>
          <w:color w:val="auto"/>
          <w:kern w:val="0"/>
          <w:sz w:val="24"/>
          <w:highlight w:val="none"/>
          <w:lang w:bidi="ar"/>
        </w:rPr>
        <w:t>；</w:t>
      </w:r>
      <w:r>
        <w:rPr>
          <w:rFonts w:hint="eastAsia" w:ascii="宋体" w:hAnsi="宋体" w:cs="宋体"/>
          <w:bCs/>
          <w:color w:val="auto"/>
          <w:kern w:val="0"/>
          <w:sz w:val="24"/>
          <w:highlight w:val="none"/>
          <w:lang w:val="en-US" w:eastAsia="zh-CN" w:bidi="ar"/>
        </w:rPr>
        <w:t xml:space="preserve">    </w:t>
      </w:r>
      <w:r>
        <w:rPr>
          <w:rFonts w:hint="eastAsia" w:ascii="宋体" w:hAnsi="宋体" w:cs="宋体"/>
          <w:bCs/>
          <w:color w:val="0000FF"/>
          <w:kern w:val="0"/>
          <w:sz w:val="24"/>
          <w:highlight w:val="none"/>
          <w:lang w:val="en-US" w:eastAsia="zh-CN" w:bidi="ar"/>
        </w:rPr>
        <w:t xml:space="preserve">     </w:t>
      </w:r>
    </w:p>
    <w:p w14:paraId="7C9711DA">
      <w:pPr>
        <w:pStyle w:val="5"/>
        <w:keepNext w:val="0"/>
        <w:pageBreakBefore w:val="0"/>
        <w:numPr>
          <w:ilvl w:val="-1"/>
          <w:numId w:val="0"/>
        </w:numPr>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t>九、</w:t>
      </w:r>
      <w:bookmarkEnd w:id="222"/>
      <w:bookmarkEnd w:id="223"/>
      <w:bookmarkEnd w:id="224"/>
      <w:bookmarkStart w:id="229" w:name="_Toc120614284"/>
      <w:r>
        <w:rPr>
          <w:rFonts w:hint="eastAsia" w:ascii="宋体" w:hAnsi="宋体" w:cs="宋体"/>
          <w:sz w:val="24"/>
          <w:szCs w:val="24"/>
          <w:highlight w:val="none"/>
          <w:lang w:val="en-US" w:eastAsia="zh-CN"/>
        </w:rPr>
        <w:t>投标人</w:t>
      </w:r>
      <w:r>
        <w:rPr>
          <w:rFonts w:hint="eastAsia" w:ascii="宋体" w:hAnsi="宋体" w:cs="宋体"/>
          <w:sz w:val="24"/>
          <w:szCs w:val="24"/>
          <w:highlight w:val="none"/>
        </w:rPr>
        <w:t>简介和经营情况说明（格式）</w:t>
      </w:r>
    </w:p>
    <w:p w14:paraId="76B26D53">
      <w:pPr>
        <w:pageBreakBefore w:val="0"/>
        <w:kinsoku/>
        <w:bidi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简介和经营情况说明</w:t>
      </w:r>
    </w:p>
    <w:p w14:paraId="39120DC9">
      <w:pPr>
        <w:pageBreakBefore w:val="0"/>
        <w:kinsoku/>
        <w:bidi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（内容写不完的栏目可相应扩展）</w:t>
      </w:r>
    </w:p>
    <w:p w14:paraId="422FD145">
      <w:pPr>
        <w:pStyle w:val="8"/>
        <w:pageBreakBefore w:val="0"/>
        <w:kinsoku/>
        <w:overflowPunct w:val="0"/>
        <w:bidi w:val="0"/>
        <w:spacing w:line="360" w:lineRule="auto"/>
        <w:ind w:firstLine="480"/>
        <w:jc w:val="center"/>
        <w:rPr>
          <w:rFonts w:hint="eastAsia" w:ascii="宋体" w:hAnsi="宋体" w:eastAsia="宋体" w:cs="宋体"/>
          <w:sz w:val="24"/>
          <w:highlight w:val="none"/>
        </w:rPr>
      </w:pPr>
      <w:r>
        <w:rPr>
          <w:rFonts w:hint="eastAsia" w:ascii="宋体" w:hAnsi="宋体" w:eastAsia="宋体" w:cs="宋体"/>
          <w:sz w:val="24"/>
          <w:highlight w:val="none"/>
        </w:rPr>
        <w:t>供应商情况表</w:t>
      </w:r>
    </w:p>
    <w:p w14:paraId="7E5FA3B3">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单位名称（盖章）</w:t>
      </w:r>
    </w:p>
    <w:tbl>
      <w:tblPr>
        <w:tblStyle w:val="4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1877"/>
        <w:gridCol w:w="2481"/>
      </w:tblGrid>
      <w:tr w14:paraId="2FDC0B6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5B7B7ED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54843652">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7FA989B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成立日期</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6B0C6CB9">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08DB4CA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4F6C3009">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企业地址</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2D5C9C2E">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2B2F0D33">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注册资本</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799AA8EB">
            <w:pPr>
              <w:pStyle w:val="8"/>
              <w:pageBreakBefore w:val="0"/>
              <w:kinsoku/>
              <w:overflowPunct w:val="0"/>
              <w:bidi w:val="0"/>
              <w:spacing w:line="360" w:lineRule="auto"/>
              <w:ind w:firstLine="840" w:firstLineChars="350"/>
              <w:rPr>
                <w:rFonts w:hint="eastAsia" w:ascii="宋体" w:hAnsi="宋体" w:eastAsia="宋体" w:cs="宋体"/>
                <w:sz w:val="24"/>
                <w:highlight w:val="none"/>
              </w:rPr>
            </w:pPr>
            <w:r>
              <w:rPr>
                <w:rFonts w:hint="eastAsia" w:ascii="宋体" w:hAnsi="宋体" w:eastAsia="宋体" w:cs="宋体"/>
                <w:sz w:val="24"/>
                <w:highlight w:val="none"/>
              </w:rPr>
              <w:t>万元</w:t>
            </w:r>
          </w:p>
        </w:tc>
      </w:tr>
      <w:tr w14:paraId="6734F5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32FF8648">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经营范围</w:t>
            </w:r>
          </w:p>
        </w:tc>
        <w:tc>
          <w:tcPr>
            <w:tcW w:w="6617" w:type="dxa"/>
            <w:gridSpan w:val="4"/>
            <w:tcBorders>
              <w:top w:val="single" w:color="auto" w:sz="6" w:space="0"/>
              <w:left w:val="single" w:color="auto" w:sz="6" w:space="0"/>
              <w:bottom w:val="single" w:color="auto" w:sz="6" w:space="0"/>
              <w:right w:val="single" w:color="auto" w:sz="6" w:space="0"/>
            </w:tcBorders>
            <w:noWrap w:val="0"/>
            <w:vAlign w:val="top"/>
          </w:tcPr>
          <w:p w14:paraId="0C886292">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4E4674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647B5EB5">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职工人数</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2A4C691E">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29C03644">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其中：</w:t>
            </w:r>
          </w:p>
          <w:p w14:paraId="6C185199">
            <w:pPr>
              <w:pStyle w:val="8"/>
              <w:pageBreakBefore w:val="0"/>
              <w:kinsoku/>
              <w:overflowPunct w:val="0"/>
              <w:bidi w:val="0"/>
              <w:spacing w:line="360" w:lineRule="auto"/>
              <w:ind w:left="959" w:leftChars="228" w:hanging="480" w:hangingChars="200"/>
              <w:rPr>
                <w:rFonts w:hint="eastAsia" w:ascii="宋体" w:hAnsi="宋体" w:eastAsia="宋体" w:cs="宋体"/>
                <w:sz w:val="24"/>
                <w:highlight w:val="none"/>
              </w:rPr>
            </w:pPr>
            <w:r>
              <w:rPr>
                <w:rFonts w:hint="eastAsia" w:ascii="宋体" w:hAnsi="宋体" w:eastAsia="宋体" w:cs="宋体"/>
                <w:sz w:val="24"/>
                <w:highlight w:val="none"/>
              </w:rPr>
              <w:t>中级职称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人数、</w:t>
            </w:r>
          </w:p>
          <w:p w14:paraId="2C9FAB8A">
            <w:pPr>
              <w:pStyle w:val="8"/>
              <w:pageBreakBefore w:val="0"/>
              <w:kinsoku/>
              <w:overflowPunct w:val="0"/>
              <w:bidi w:val="0"/>
              <w:spacing w:line="360" w:lineRule="auto"/>
              <w:ind w:left="959" w:leftChars="228" w:hanging="480" w:hangingChars="200"/>
              <w:rPr>
                <w:rFonts w:hint="eastAsia" w:ascii="宋体" w:hAnsi="宋体" w:eastAsia="宋体" w:cs="宋体"/>
                <w:sz w:val="24"/>
                <w:highlight w:val="none"/>
              </w:rPr>
            </w:pPr>
            <w:r>
              <w:rPr>
                <w:rFonts w:hint="eastAsia" w:ascii="宋体" w:hAnsi="宋体" w:eastAsia="宋体" w:cs="宋体"/>
                <w:sz w:val="24"/>
                <w:highlight w:val="none"/>
              </w:rPr>
              <w:t>高级职称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人数</w:t>
            </w:r>
          </w:p>
        </w:tc>
      </w:tr>
      <w:tr w14:paraId="106F833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noWrap w:val="0"/>
            <w:vAlign w:val="top"/>
          </w:tcPr>
          <w:p w14:paraId="5A915CEC">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年12月资产总额</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4B240545">
            <w:pPr>
              <w:pStyle w:val="8"/>
              <w:pageBreakBefore w:val="0"/>
              <w:kinsoku/>
              <w:overflow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4E088593">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净资产</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1457215A">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万元</w:t>
            </w:r>
          </w:p>
        </w:tc>
      </w:tr>
      <w:tr w14:paraId="729085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1812F45E">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年12月股东权益</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221D42B3">
            <w:pPr>
              <w:pStyle w:val="8"/>
              <w:pageBreakBefore w:val="0"/>
              <w:kinsoku/>
              <w:overflow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3B1F24C3">
            <w:pPr>
              <w:pStyle w:val="8"/>
              <w:pageBreakBefore w:val="0"/>
              <w:kinsoku/>
              <w:overflowPunct w:val="0"/>
              <w:bidi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年业务收入</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11408B5C">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万元</w:t>
            </w:r>
          </w:p>
        </w:tc>
      </w:tr>
      <w:tr w14:paraId="0EA081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2A46F263">
            <w:pPr>
              <w:pStyle w:val="8"/>
              <w:pageBreakBefore w:val="0"/>
              <w:kinsoku/>
              <w:overflowPunct w:val="0"/>
              <w:bidi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年实现利润</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582F4054">
            <w:pPr>
              <w:pStyle w:val="8"/>
              <w:pageBreakBefore w:val="0"/>
              <w:kinsoku/>
              <w:overflowPunct w:val="0"/>
              <w:bidi w:val="0"/>
              <w:spacing w:line="360" w:lineRule="auto"/>
              <w:ind w:firstLine="1320" w:firstLineChars="550"/>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118FC91C">
            <w:pPr>
              <w:pStyle w:val="8"/>
              <w:pageBreakBefore w:val="0"/>
              <w:kinsoku/>
              <w:overflowPunct w:val="0"/>
              <w:bidi w:val="0"/>
              <w:spacing w:line="360" w:lineRule="auto"/>
              <w:ind w:firstLine="480"/>
              <w:rPr>
                <w:rFonts w:hint="eastAsia" w:ascii="宋体" w:hAnsi="宋体" w:eastAsia="宋体" w:cs="宋体"/>
                <w:color w:val="auto"/>
                <w:sz w:val="24"/>
                <w:highlight w:val="none"/>
              </w:rPr>
            </w:pPr>
          </w:p>
        </w:tc>
        <w:tc>
          <w:tcPr>
            <w:tcW w:w="2481" w:type="dxa"/>
            <w:tcBorders>
              <w:top w:val="single" w:color="auto" w:sz="6" w:space="0"/>
              <w:left w:val="single" w:color="auto" w:sz="6" w:space="0"/>
              <w:bottom w:val="single" w:color="auto" w:sz="6" w:space="0"/>
              <w:right w:val="single" w:color="auto" w:sz="6" w:space="0"/>
            </w:tcBorders>
            <w:noWrap w:val="0"/>
            <w:vAlign w:val="top"/>
          </w:tcPr>
          <w:p w14:paraId="3E3B2C02">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020D1E4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noWrap w:val="0"/>
            <w:vAlign w:val="top"/>
          </w:tcPr>
          <w:p w14:paraId="32D2381C">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办公面积</w:t>
            </w:r>
          </w:p>
          <w:p w14:paraId="4F215152">
            <w:pPr>
              <w:pStyle w:val="8"/>
              <w:pageBreakBefore w:val="0"/>
              <w:kinsoku/>
              <w:overflowPunct w:val="0"/>
              <w:bidi w:val="0"/>
              <w:spacing w:line="360" w:lineRule="auto"/>
              <w:ind w:firstLine="480"/>
              <w:rPr>
                <w:rFonts w:hint="eastAsia" w:ascii="宋体" w:hAnsi="宋体" w:eastAsia="宋体" w:cs="宋体"/>
                <w:sz w:val="24"/>
                <w:highlight w:val="none"/>
              </w:rPr>
            </w:pPr>
          </w:p>
        </w:tc>
        <w:tc>
          <w:tcPr>
            <w:tcW w:w="2110" w:type="dxa"/>
            <w:tcBorders>
              <w:top w:val="single" w:color="auto" w:sz="6" w:space="0"/>
              <w:left w:val="single" w:color="auto" w:sz="6" w:space="0"/>
              <w:bottom w:val="single" w:color="auto" w:sz="6" w:space="0"/>
              <w:right w:val="single" w:color="auto" w:sz="6" w:space="0"/>
            </w:tcBorders>
            <w:noWrap w:val="0"/>
            <w:vAlign w:val="top"/>
          </w:tcPr>
          <w:p w14:paraId="100DBD5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     平方米</w:t>
            </w:r>
          </w:p>
        </w:tc>
        <w:tc>
          <w:tcPr>
            <w:tcW w:w="2026" w:type="dxa"/>
            <w:gridSpan w:val="2"/>
            <w:tcBorders>
              <w:top w:val="single" w:color="auto" w:sz="6" w:space="0"/>
              <w:left w:val="single" w:color="auto" w:sz="6" w:space="0"/>
              <w:bottom w:val="single" w:color="auto" w:sz="6" w:space="0"/>
              <w:right w:val="single" w:color="auto" w:sz="6" w:space="0"/>
            </w:tcBorders>
            <w:noWrap w:val="0"/>
            <w:vAlign w:val="top"/>
          </w:tcPr>
          <w:p w14:paraId="75342B40">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其中：</w:t>
            </w:r>
          </w:p>
        </w:tc>
        <w:tc>
          <w:tcPr>
            <w:tcW w:w="2481" w:type="dxa"/>
            <w:tcBorders>
              <w:top w:val="single" w:color="auto" w:sz="6" w:space="0"/>
              <w:left w:val="single" w:color="auto" w:sz="6" w:space="0"/>
              <w:bottom w:val="single" w:color="auto" w:sz="6" w:space="0"/>
              <w:right w:val="single" w:color="auto" w:sz="6" w:space="0"/>
            </w:tcBorders>
            <w:noWrap w:val="0"/>
            <w:vAlign w:val="top"/>
          </w:tcPr>
          <w:p w14:paraId="2394C514">
            <w:pPr>
              <w:pStyle w:val="8"/>
              <w:pageBreakBefore w:val="0"/>
              <w:kinsoku/>
              <w:overflowPunct w:val="0"/>
              <w:bidi w:val="0"/>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自有面积    平方米</w:t>
            </w:r>
          </w:p>
          <w:p w14:paraId="6A18B8A4">
            <w:pPr>
              <w:pStyle w:val="8"/>
              <w:pageBreakBefore w:val="0"/>
              <w:kinsoku/>
              <w:overflowPunct w:val="0"/>
              <w:bidi w:val="0"/>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承租面积    平方米</w:t>
            </w:r>
          </w:p>
        </w:tc>
      </w:tr>
      <w:tr w14:paraId="77F7526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612FDC7D">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单位简历及内设机构情况</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30593781">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51A1F5E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54416016">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单位优势及特长</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252D24CD">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41A5738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36B512F9">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近三年来完成或正在履行的重大合同情况</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7FA3660C">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4CB5A42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02846804">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bCs/>
                <w:sz w:val="24"/>
                <w:highlight w:val="none"/>
              </w:rPr>
              <w:t>近三年来受行业主管部门考核评价及业主评价意见</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5D6D8D7F">
            <w:pPr>
              <w:pStyle w:val="8"/>
              <w:pageBreakBefore w:val="0"/>
              <w:kinsoku/>
              <w:overflowPunct w:val="0"/>
              <w:bidi w:val="0"/>
              <w:spacing w:line="360" w:lineRule="auto"/>
              <w:ind w:firstLine="480"/>
              <w:rPr>
                <w:rFonts w:hint="eastAsia" w:ascii="宋体" w:hAnsi="宋体" w:eastAsia="宋体" w:cs="宋体"/>
                <w:sz w:val="24"/>
                <w:highlight w:val="none"/>
              </w:rPr>
            </w:pPr>
          </w:p>
        </w:tc>
      </w:tr>
      <w:tr w14:paraId="5A9606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2DDEAB31">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最近3年内有无因违纪</w:t>
            </w:r>
            <w:r>
              <w:rPr>
                <w:rFonts w:hint="eastAsia" w:ascii="宋体" w:hAnsi="宋体" w:eastAsia="宋体" w:cs="宋体"/>
                <w:sz w:val="24"/>
                <w:highlight w:val="none"/>
                <w:lang w:eastAsia="zh-CN"/>
              </w:rPr>
              <w:t>或</w:t>
            </w:r>
            <w:r>
              <w:rPr>
                <w:rFonts w:hint="eastAsia" w:ascii="宋体" w:hAnsi="宋体" w:eastAsia="宋体" w:cs="宋体"/>
                <w:sz w:val="24"/>
                <w:highlight w:val="none"/>
              </w:rPr>
              <w:t>其他原因被投诉或起诉的情况及说明</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3AE9FD43">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（包括解决方式和结果）</w:t>
            </w:r>
          </w:p>
        </w:tc>
      </w:tr>
      <w:tr w14:paraId="1E71A3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noWrap w:val="0"/>
            <w:vAlign w:val="top"/>
          </w:tcPr>
          <w:p w14:paraId="3BA8FB4F">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最近3年内主要负责人有无因经济犯罪被司法机关追究的情况及说明</w:t>
            </w:r>
          </w:p>
        </w:tc>
        <w:tc>
          <w:tcPr>
            <w:tcW w:w="4507" w:type="dxa"/>
            <w:gridSpan w:val="3"/>
            <w:tcBorders>
              <w:top w:val="single" w:color="auto" w:sz="6" w:space="0"/>
              <w:left w:val="single" w:color="auto" w:sz="6" w:space="0"/>
              <w:bottom w:val="single" w:color="auto" w:sz="6" w:space="0"/>
              <w:right w:val="single" w:color="auto" w:sz="6" w:space="0"/>
            </w:tcBorders>
            <w:noWrap w:val="0"/>
            <w:vAlign w:val="top"/>
          </w:tcPr>
          <w:p w14:paraId="11854478">
            <w:pPr>
              <w:pageBreakBefore w:val="0"/>
              <w:kinsoku/>
              <w:bidi w:val="0"/>
              <w:spacing w:line="360" w:lineRule="auto"/>
              <w:ind w:firstLine="480" w:firstLineChars="200"/>
              <w:rPr>
                <w:rFonts w:hint="eastAsia" w:ascii="宋体" w:hAnsi="宋体" w:eastAsia="宋体" w:cs="宋体"/>
                <w:sz w:val="24"/>
                <w:highlight w:val="none"/>
              </w:rPr>
            </w:pPr>
          </w:p>
        </w:tc>
      </w:tr>
      <w:tr w14:paraId="48F69BD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left w:val="single" w:color="auto" w:sz="6" w:space="0"/>
              <w:right w:val="single" w:color="auto" w:sz="6" w:space="0"/>
            </w:tcBorders>
            <w:noWrap w:val="0"/>
            <w:vAlign w:val="top"/>
          </w:tcPr>
          <w:p w14:paraId="24B02D39">
            <w:pPr>
              <w:pStyle w:val="8"/>
              <w:pageBreakBefore w:val="0"/>
              <w:kinsoku/>
              <w:overflowPunct w:val="0"/>
              <w:bidi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其他需要说明的情况</w:t>
            </w:r>
          </w:p>
        </w:tc>
        <w:tc>
          <w:tcPr>
            <w:tcW w:w="4507" w:type="dxa"/>
            <w:gridSpan w:val="3"/>
            <w:tcBorders>
              <w:top w:val="single" w:color="auto" w:sz="6" w:space="0"/>
              <w:left w:val="single" w:color="auto" w:sz="6" w:space="0"/>
              <w:right w:val="single" w:color="auto" w:sz="6" w:space="0"/>
            </w:tcBorders>
            <w:noWrap w:val="0"/>
            <w:vAlign w:val="top"/>
          </w:tcPr>
          <w:p w14:paraId="3CADBD29">
            <w:pPr>
              <w:pStyle w:val="8"/>
              <w:pageBreakBefore w:val="0"/>
              <w:kinsoku/>
              <w:overflowPunct w:val="0"/>
              <w:bidi w:val="0"/>
              <w:spacing w:line="360" w:lineRule="auto"/>
              <w:ind w:firstLine="480"/>
              <w:rPr>
                <w:rFonts w:hint="eastAsia" w:ascii="宋体" w:hAnsi="宋体" w:eastAsia="宋体" w:cs="宋体"/>
                <w:sz w:val="24"/>
                <w:highlight w:val="none"/>
              </w:rPr>
            </w:pPr>
          </w:p>
        </w:tc>
      </w:tr>
    </w:tbl>
    <w:p w14:paraId="1CE58DF4">
      <w:pPr>
        <w:pageBreakBefore w:val="0"/>
        <w:kinsoku/>
        <w:bidi w:val="0"/>
        <w:spacing w:line="360" w:lineRule="auto"/>
        <w:jc w:val="right"/>
        <w:rPr>
          <w:rFonts w:hint="eastAsia" w:ascii="宋体" w:hAnsi="宋体" w:eastAsia="宋体" w:cs="宋体"/>
          <w:highlight w:val="none"/>
        </w:rPr>
      </w:pPr>
    </w:p>
    <w:p w14:paraId="171763BF">
      <w:pPr>
        <w:pageBreakBefore w:val="0"/>
        <w:kinsoku/>
        <w:bidi w:val="0"/>
        <w:spacing w:line="360" w:lineRule="auto"/>
        <w:jc w:val="right"/>
        <w:rPr>
          <w:rFonts w:hint="eastAsia" w:ascii="宋体" w:hAnsi="宋体" w:eastAsia="宋体" w:cs="宋体"/>
          <w:highlight w:val="none"/>
        </w:rPr>
      </w:pPr>
    </w:p>
    <w:p w14:paraId="1C223688">
      <w:pPr>
        <w:pageBreakBefore w:val="0"/>
        <w:kinsoku/>
        <w:bidi w:val="0"/>
        <w:spacing w:line="360" w:lineRule="auto"/>
        <w:jc w:val="right"/>
        <w:rPr>
          <w:rFonts w:hint="eastAsia" w:ascii="宋体" w:hAnsi="宋体" w:eastAsia="宋体" w:cs="宋体"/>
          <w:b/>
          <w:color w:val="auto"/>
          <w:sz w:val="30"/>
          <w:szCs w:val="30"/>
          <w:highlight w:val="none"/>
        </w:rPr>
      </w:pPr>
      <w:r>
        <w:rPr>
          <w:rFonts w:hint="eastAsia" w:ascii="宋体" w:hAnsi="宋体" w:eastAsia="宋体" w:cs="宋体"/>
          <w:kern w:val="0"/>
          <w:sz w:val="24"/>
          <w:szCs w:val="20"/>
          <w:highlight w:val="none"/>
        </w:rPr>
        <w:t>法定代表人或授权代表签字：</w:t>
      </w:r>
    </w:p>
    <w:p w14:paraId="467056C5">
      <w:pPr>
        <w:pageBreakBefore w:val="0"/>
        <w:kinsoku/>
        <w:bidi w:val="0"/>
        <w:spacing w:line="360" w:lineRule="auto"/>
        <w:rPr>
          <w:rFonts w:hint="eastAsia" w:ascii="宋体" w:hAnsi="宋体" w:eastAsia="宋体" w:cs="宋体"/>
          <w:b/>
          <w:color w:val="auto"/>
          <w:sz w:val="30"/>
          <w:szCs w:val="30"/>
          <w:highlight w:val="none"/>
        </w:rPr>
      </w:pPr>
    </w:p>
    <w:p w14:paraId="02055E14">
      <w:pPr>
        <w:pageBreakBefore w:val="0"/>
        <w:kinsoku/>
        <w:bidi w:val="0"/>
        <w:spacing w:line="360" w:lineRule="auto"/>
        <w:rPr>
          <w:rFonts w:hint="eastAsia" w:ascii="宋体" w:hAnsi="宋体" w:eastAsia="宋体" w:cs="宋体"/>
          <w:b/>
          <w:color w:val="auto"/>
          <w:sz w:val="30"/>
          <w:szCs w:val="30"/>
          <w:highlight w:val="none"/>
        </w:rPr>
      </w:pPr>
    </w:p>
    <w:p w14:paraId="324F5344">
      <w:pPr>
        <w:pageBreakBefore w:val="0"/>
        <w:kinsoku/>
        <w:bidi w:val="0"/>
        <w:spacing w:line="360" w:lineRule="auto"/>
        <w:rPr>
          <w:rFonts w:hint="eastAsia" w:ascii="宋体" w:hAnsi="宋体" w:eastAsia="宋体" w:cs="宋体"/>
          <w:b/>
          <w:color w:val="auto"/>
          <w:sz w:val="30"/>
          <w:szCs w:val="30"/>
          <w:highlight w:val="none"/>
        </w:rPr>
      </w:pPr>
    </w:p>
    <w:p w14:paraId="154F34BB">
      <w:pPr>
        <w:pageBreakBefore w:val="0"/>
        <w:kinsoku/>
        <w:bidi w:val="0"/>
        <w:spacing w:line="360" w:lineRule="auto"/>
        <w:rPr>
          <w:rFonts w:hint="eastAsia" w:ascii="宋体" w:hAnsi="宋体" w:eastAsia="宋体" w:cs="宋体"/>
          <w:b/>
          <w:color w:val="auto"/>
          <w:sz w:val="30"/>
          <w:szCs w:val="30"/>
          <w:highlight w:val="none"/>
        </w:rPr>
      </w:pPr>
    </w:p>
    <w:p w14:paraId="17BDF8AF">
      <w:pPr>
        <w:pageBreakBefore w:val="0"/>
        <w:kinsoku/>
        <w:bidi w:val="0"/>
        <w:spacing w:line="360" w:lineRule="auto"/>
        <w:rPr>
          <w:rFonts w:hint="eastAsia" w:ascii="宋体" w:hAnsi="宋体" w:eastAsia="宋体" w:cs="宋体"/>
          <w:b/>
          <w:color w:val="auto"/>
          <w:sz w:val="30"/>
          <w:szCs w:val="30"/>
          <w:highlight w:val="none"/>
        </w:rPr>
      </w:pPr>
    </w:p>
    <w:p w14:paraId="2E619A3F">
      <w:pPr>
        <w:pageBreakBefore w:val="0"/>
        <w:kinsoku/>
        <w:bidi w:val="0"/>
        <w:spacing w:line="360" w:lineRule="auto"/>
        <w:rPr>
          <w:rFonts w:hint="eastAsia" w:ascii="宋体" w:hAnsi="宋体" w:eastAsia="宋体" w:cs="宋体"/>
          <w:b/>
          <w:color w:val="auto"/>
          <w:sz w:val="30"/>
          <w:szCs w:val="30"/>
          <w:highlight w:val="none"/>
        </w:rPr>
      </w:pPr>
    </w:p>
    <w:p w14:paraId="3842E0F5">
      <w:pPr>
        <w:pageBreakBefore w:val="0"/>
        <w:kinsoku/>
        <w:bidi w:val="0"/>
        <w:spacing w:line="360" w:lineRule="auto"/>
        <w:rPr>
          <w:rFonts w:hint="eastAsia" w:ascii="宋体" w:hAnsi="宋体" w:eastAsia="宋体" w:cs="宋体"/>
          <w:b/>
          <w:color w:val="auto"/>
          <w:sz w:val="30"/>
          <w:szCs w:val="30"/>
          <w:highlight w:val="none"/>
        </w:rPr>
      </w:pPr>
    </w:p>
    <w:p w14:paraId="54909194">
      <w:pPr>
        <w:pageBreakBefore w:val="0"/>
        <w:kinsoku/>
        <w:bidi w:val="0"/>
        <w:spacing w:line="360" w:lineRule="auto"/>
        <w:rPr>
          <w:rFonts w:hint="eastAsia" w:ascii="宋体" w:hAnsi="宋体" w:eastAsia="宋体" w:cs="宋体"/>
          <w:b/>
          <w:color w:val="auto"/>
          <w:sz w:val="30"/>
          <w:szCs w:val="30"/>
          <w:highlight w:val="none"/>
        </w:rPr>
      </w:pPr>
    </w:p>
    <w:p w14:paraId="4C9F2186">
      <w:pPr>
        <w:pageBreakBefore w:val="0"/>
        <w:kinsoku/>
        <w:bidi w:val="0"/>
        <w:spacing w:line="360" w:lineRule="auto"/>
        <w:rPr>
          <w:rFonts w:hint="eastAsia" w:ascii="宋体" w:hAnsi="宋体" w:eastAsia="宋体" w:cs="宋体"/>
          <w:b/>
          <w:color w:val="auto"/>
          <w:sz w:val="30"/>
          <w:szCs w:val="30"/>
          <w:highlight w:val="none"/>
        </w:rPr>
      </w:pPr>
    </w:p>
    <w:p w14:paraId="4BC63163">
      <w:pPr>
        <w:pageBreakBefore w:val="0"/>
        <w:kinsoku/>
        <w:bidi w:val="0"/>
        <w:spacing w:line="360" w:lineRule="auto"/>
        <w:rPr>
          <w:rFonts w:hint="eastAsia" w:ascii="宋体" w:hAnsi="宋体" w:eastAsia="宋体" w:cs="宋体"/>
          <w:b/>
          <w:color w:val="auto"/>
          <w:sz w:val="30"/>
          <w:szCs w:val="30"/>
          <w:highlight w:val="none"/>
        </w:rPr>
      </w:pPr>
    </w:p>
    <w:p w14:paraId="38268C46">
      <w:pPr>
        <w:pageBreakBefore w:val="0"/>
        <w:kinsoku/>
        <w:bidi w:val="0"/>
        <w:spacing w:line="360" w:lineRule="auto"/>
        <w:rPr>
          <w:rFonts w:hint="eastAsia" w:ascii="宋体" w:hAnsi="宋体" w:eastAsia="宋体" w:cs="宋体"/>
          <w:b/>
          <w:color w:val="auto"/>
          <w:sz w:val="30"/>
          <w:szCs w:val="30"/>
          <w:highlight w:val="none"/>
        </w:rPr>
      </w:pPr>
    </w:p>
    <w:p w14:paraId="0405267F">
      <w:pPr>
        <w:pageBreakBefore w:val="0"/>
        <w:kinsoku/>
        <w:bidi w:val="0"/>
        <w:spacing w:line="360" w:lineRule="auto"/>
        <w:rPr>
          <w:rFonts w:hint="eastAsia" w:ascii="宋体" w:hAnsi="宋体" w:eastAsia="宋体" w:cs="宋体"/>
          <w:b/>
          <w:color w:val="auto"/>
          <w:sz w:val="30"/>
          <w:szCs w:val="30"/>
          <w:highlight w:val="none"/>
        </w:rPr>
      </w:pPr>
    </w:p>
    <w:p w14:paraId="3F16A7FA">
      <w:pPr>
        <w:pageBreakBefore w:val="0"/>
        <w:kinsoku/>
        <w:bidi w:val="0"/>
        <w:spacing w:line="360" w:lineRule="auto"/>
        <w:rPr>
          <w:rFonts w:hint="eastAsia" w:ascii="宋体" w:hAnsi="宋体" w:eastAsia="宋体" w:cs="宋体"/>
          <w:b/>
          <w:color w:val="auto"/>
          <w:sz w:val="30"/>
          <w:szCs w:val="30"/>
          <w:highlight w:val="none"/>
        </w:rPr>
      </w:pPr>
    </w:p>
    <w:p w14:paraId="04B63A81">
      <w:pPr>
        <w:pageBreakBefore w:val="0"/>
        <w:kinsoku/>
        <w:bidi w:val="0"/>
        <w:spacing w:line="360" w:lineRule="auto"/>
        <w:rPr>
          <w:rFonts w:hint="eastAsia" w:ascii="宋体" w:hAnsi="宋体" w:eastAsia="宋体" w:cs="宋体"/>
          <w:b/>
          <w:color w:val="auto"/>
          <w:sz w:val="30"/>
          <w:szCs w:val="30"/>
          <w:highlight w:val="none"/>
        </w:rPr>
      </w:pPr>
    </w:p>
    <w:p w14:paraId="3BD0DEA7">
      <w:pPr>
        <w:pageBreakBefore w:val="0"/>
        <w:kinsoku/>
        <w:bidi w:val="0"/>
        <w:spacing w:line="360" w:lineRule="auto"/>
        <w:rPr>
          <w:rFonts w:hint="eastAsia" w:ascii="宋体" w:hAnsi="宋体" w:eastAsia="宋体" w:cs="宋体"/>
          <w:b/>
          <w:color w:val="auto"/>
          <w:sz w:val="30"/>
          <w:szCs w:val="30"/>
          <w:highlight w:val="none"/>
        </w:rPr>
      </w:pPr>
    </w:p>
    <w:p w14:paraId="571B31A3">
      <w:pPr>
        <w:pStyle w:val="2"/>
        <w:rPr>
          <w:rFonts w:hint="eastAsia"/>
          <w:highlight w:val="none"/>
        </w:rPr>
      </w:pPr>
    </w:p>
    <w:p w14:paraId="2F3DE180">
      <w:pPr>
        <w:pageBreakBefore w:val="0"/>
        <w:kinsoku/>
        <w:bidi w:val="0"/>
        <w:spacing w:line="360" w:lineRule="auto"/>
        <w:rPr>
          <w:rFonts w:hint="eastAsia" w:ascii="宋体" w:hAnsi="宋体" w:eastAsia="宋体" w:cs="宋体"/>
          <w:b/>
          <w:color w:val="auto"/>
          <w:sz w:val="30"/>
          <w:szCs w:val="30"/>
          <w:highlight w:val="none"/>
        </w:rPr>
      </w:pPr>
    </w:p>
    <w:p w14:paraId="7969626B">
      <w:pPr>
        <w:pageBreakBefore w:val="0"/>
        <w:kinsoku/>
        <w:bidi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十、投标偏离表（给定格式）：</w:t>
      </w:r>
    </w:p>
    <w:p w14:paraId="6B2C112B">
      <w:pPr>
        <w:pageBreakBefore w:val="0"/>
        <w:kinsoku/>
        <w:bidi w:val="0"/>
        <w:spacing w:line="360" w:lineRule="auto"/>
        <w:ind w:firstLine="490" w:firstLineChars="175"/>
        <w:jc w:val="center"/>
        <w:outlineLvl w:val="9"/>
        <w:rPr>
          <w:rFonts w:hint="eastAsia" w:ascii="宋体" w:hAnsi="宋体" w:eastAsia="宋体" w:cs="宋体"/>
          <w:bCs/>
          <w:color w:val="auto"/>
          <w:sz w:val="28"/>
          <w:szCs w:val="28"/>
          <w:highlight w:val="none"/>
        </w:rPr>
      </w:pPr>
    </w:p>
    <w:p w14:paraId="617FD6C8">
      <w:pPr>
        <w:pageBreakBefore w:val="0"/>
        <w:kinsoku/>
        <w:bidi w:val="0"/>
        <w:spacing w:line="360" w:lineRule="auto"/>
        <w:ind w:firstLine="490" w:firstLineChars="175"/>
        <w:jc w:val="center"/>
        <w:outlineLvl w:val="0"/>
        <w:rPr>
          <w:rFonts w:hint="eastAsia" w:ascii="宋体" w:hAnsi="宋体" w:eastAsia="宋体" w:cs="宋体"/>
          <w:bCs/>
          <w:color w:val="auto"/>
          <w:sz w:val="28"/>
          <w:szCs w:val="28"/>
          <w:highlight w:val="none"/>
        </w:rPr>
      </w:pPr>
      <w:bookmarkStart w:id="230" w:name="_Toc19104"/>
      <w:r>
        <w:rPr>
          <w:rFonts w:hint="eastAsia" w:ascii="宋体" w:hAnsi="宋体" w:eastAsia="宋体" w:cs="宋体"/>
          <w:bCs/>
          <w:color w:val="auto"/>
          <w:sz w:val="28"/>
          <w:szCs w:val="28"/>
          <w:highlight w:val="none"/>
        </w:rPr>
        <w:t>投标偏离表</w:t>
      </w:r>
      <w:bookmarkEnd w:id="230"/>
    </w:p>
    <w:p w14:paraId="34F223F0">
      <w:pPr>
        <w:pageBreakBefore w:val="0"/>
        <w:kinsoku/>
        <w:bidi w:val="0"/>
        <w:spacing w:line="360" w:lineRule="auto"/>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r>
        <w:rPr>
          <w:rFonts w:hint="eastAsia" w:ascii="宋体" w:hAnsi="宋体" w:cs="宋体"/>
          <w:color w:val="auto"/>
          <w:sz w:val="24"/>
          <w:szCs w:val="24"/>
          <w:highlight w:val="none"/>
          <w:shd w:val="clear" w:color="auto" w:fill="FFFFFF"/>
          <w:lang w:eastAsia="zh-CN"/>
        </w:rPr>
        <w:t>JSZC-320200-JXCG-G2026-0020</w:t>
      </w:r>
    </w:p>
    <w:p w14:paraId="73862D9E">
      <w:pPr>
        <w:pageBreakBefore w:val="0"/>
        <w:kinsoku/>
        <w:bidi w:val="0"/>
        <w:spacing w:line="360" w:lineRule="auto"/>
        <w:jc w:val="both"/>
        <w:outlineLvl w:val="9"/>
        <w:rPr>
          <w:rFonts w:hint="eastAsia" w:ascii="宋体" w:hAnsi="宋体" w:eastAsia="宋体" w:cs="宋体"/>
          <w:bCs/>
          <w:color w:val="auto"/>
          <w:sz w:val="28"/>
          <w:szCs w:val="28"/>
          <w:highlight w:val="none"/>
        </w:rPr>
      </w:pP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74EBE14A">
        <w:tblPrEx>
          <w:tblCellMar>
            <w:top w:w="0" w:type="dxa"/>
            <w:left w:w="0" w:type="dxa"/>
            <w:bottom w:w="0" w:type="dxa"/>
            <w:right w:w="0" w:type="dxa"/>
          </w:tblCellMar>
        </w:tblPrEx>
        <w:trPr>
          <w:cantSplit/>
          <w:trHeight w:val="555"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121B2AF">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F2C3942">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AD977A6">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7ABAF177">
            <w:pPr>
              <w:pageBreakBefore w:val="0"/>
              <w:kinsoku/>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0135C961">
        <w:tblPrEx>
          <w:tblCellMar>
            <w:top w:w="0" w:type="dxa"/>
            <w:left w:w="0" w:type="dxa"/>
            <w:bottom w:w="0" w:type="dxa"/>
            <w:right w:w="0" w:type="dxa"/>
          </w:tblCellMar>
        </w:tblPrEx>
        <w:trPr>
          <w:cantSplit/>
          <w:trHeight w:val="510" w:hRule="atLeast"/>
          <w:jc w:val="center"/>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01694D5">
            <w:pPr>
              <w:pageBreakBefore w:val="0"/>
              <w:kinsoku/>
              <w:bidi w:val="0"/>
              <w:spacing w:line="360" w:lineRule="auto"/>
              <w:jc w:val="center"/>
              <w:rPr>
                <w:rFonts w:hint="eastAsia" w:ascii="宋体" w:hAnsi="宋体" w:eastAsia="宋体" w:cs="宋体"/>
                <w:bCs/>
                <w:color w:val="auto"/>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62C65D5">
            <w:pPr>
              <w:pageBreakBefore w:val="0"/>
              <w:kinsoku/>
              <w:bidi w:val="0"/>
              <w:spacing w:line="360" w:lineRule="auto"/>
              <w:rPr>
                <w:rFonts w:hint="eastAsia" w:ascii="宋体" w:hAnsi="宋体" w:eastAsia="宋体" w:cs="宋体"/>
                <w:bCs/>
                <w:color w:val="auto"/>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8742F9C">
            <w:pPr>
              <w:pageBreakBefore w:val="0"/>
              <w:kinsoku/>
              <w:bidi w:val="0"/>
              <w:spacing w:line="360" w:lineRule="auto"/>
              <w:jc w:val="center"/>
              <w:rPr>
                <w:rFonts w:hint="eastAsia" w:ascii="宋体" w:hAnsi="宋体" w:eastAsia="宋体" w:cs="宋体"/>
                <w:bCs/>
                <w:color w:val="auto"/>
                <w:highlight w:val="none"/>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72BCBD1B">
            <w:pPr>
              <w:pageBreakBefore w:val="0"/>
              <w:kinsoku/>
              <w:bidi w:val="0"/>
              <w:spacing w:line="360" w:lineRule="auto"/>
              <w:jc w:val="center"/>
              <w:rPr>
                <w:rFonts w:hint="eastAsia" w:ascii="宋体" w:hAnsi="宋体" w:eastAsia="宋体" w:cs="宋体"/>
                <w:bCs/>
                <w:color w:val="auto"/>
                <w:highlight w:val="none"/>
              </w:rPr>
            </w:pPr>
          </w:p>
        </w:tc>
      </w:tr>
    </w:tbl>
    <w:p w14:paraId="02C36F77">
      <w:pPr>
        <w:pageBreakBefore w:val="0"/>
        <w:kinsoku/>
        <w:bidi w:val="0"/>
        <w:spacing w:line="360" w:lineRule="auto"/>
        <w:jc w:val="righ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投标人名称（盖章）：</w:t>
      </w:r>
    </w:p>
    <w:p w14:paraId="2F268EB8">
      <w:pPr>
        <w:pageBreakBefore w:val="0"/>
        <w:kinsoku/>
        <w:bidi w:val="0"/>
        <w:spacing w:line="360" w:lineRule="auto"/>
        <w:rPr>
          <w:rFonts w:hint="eastAsia" w:ascii="宋体" w:hAnsi="宋体" w:eastAsia="宋体" w:cs="宋体"/>
          <w:bCs/>
          <w:color w:val="auto"/>
          <w:sz w:val="30"/>
          <w:highlight w:val="none"/>
        </w:rPr>
      </w:pPr>
    </w:p>
    <w:p w14:paraId="753E5C80">
      <w:pPr>
        <w:pageBreakBefore w:val="0"/>
        <w:kinsoku/>
        <w:bidi w:val="0"/>
        <w:spacing w:line="360" w:lineRule="auto"/>
        <w:ind w:firstLine="420" w:firstLineChars="175"/>
        <w:outlineLvl w:val="0"/>
        <w:rPr>
          <w:rFonts w:hint="eastAsia" w:ascii="宋体" w:hAnsi="宋体" w:eastAsia="宋体" w:cs="宋体"/>
          <w:bCs/>
          <w:color w:val="auto"/>
          <w:sz w:val="24"/>
          <w:szCs w:val="24"/>
          <w:highlight w:val="none"/>
        </w:rPr>
      </w:pPr>
      <w:bookmarkStart w:id="231" w:name="_Toc20309"/>
      <w:r>
        <w:rPr>
          <w:rFonts w:hint="eastAsia" w:ascii="宋体" w:hAnsi="宋体" w:eastAsia="宋体" w:cs="宋体"/>
          <w:bCs/>
          <w:color w:val="auto"/>
          <w:sz w:val="24"/>
          <w:szCs w:val="24"/>
          <w:highlight w:val="none"/>
        </w:rPr>
        <w:t>注：（1）本表不得删除；</w:t>
      </w:r>
      <w:bookmarkEnd w:id="231"/>
    </w:p>
    <w:p w14:paraId="5B53F70B">
      <w:pPr>
        <w:pageBreakBefore w:val="0"/>
        <w:kinsoku/>
        <w:bidi w:val="0"/>
        <w:spacing w:line="360" w:lineRule="auto"/>
        <w:ind w:firstLine="420" w:firstLineChars="175"/>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bookmarkStart w:id="232" w:name="_Toc17406"/>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如无任何技术偏离，请于本表 “偏离说明”中注明“无偏离”；</w:t>
      </w:r>
      <w:bookmarkEnd w:id="232"/>
    </w:p>
    <w:p w14:paraId="62499573">
      <w:pPr>
        <w:pageBreakBefore w:val="0"/>
        <w:kinsoku/>
        <w:bidi w:val="0"/>
        <w:spacing w:line="360" w:lineRule="auto"/>
        <w:ind w:firstLine="420" w:firstLineChars="175"/>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bookmarkStart w:id="233" w:name="_Toc1430"/>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如有技术偏离项，请于本表中列明偏离内容，如需要可自行延长，其余无偏离内容</w:t>
      </w:r>
      <w:r>
        <w:rPr>
          <w:rFonts w:hint="eastAsia" w:ascii="宋体" w:hAnsi="宋体" w:eastAsia="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bookmarkEnd w:id="205"/>
      <w:bookmarkEnd w:id="206"/>
      <w:bookmarkEnd w:id="229"/>
      <w:bookmarkEnd w:id="233"/>
      <w:bookmarkStart w:id="234" w:name="_格式2__法定代表人授权书"/>
      <w:bookmarkEnd w:id="234"/>
      <w:bookmarkStart w:id="235" w:name="_Hlt26955066"/>
      <w:bookmarkEnd w:id="235"/>
      <w:bookmarkStart w:id="236" w:name="_Hlt26609389"/>
      <w:bookmarkEnd w:id="236"/>
      <w:bookmarkStart w:id="237" w:name="_Hlt26671374"/>
      <w:bookmarkEnd w:id="237"/>
    </w:p>
    <w:p w14:paraId="17093BFD">
      <w:pPr>
        <w:pageBreakBefore w:val="0"/>
        <w:kinsoku/>
        <w:bidi w:val="0"/>
        <w:spacing w:line="360" w:lineRule="auto"/>
        <w:ind w:firstLine="420" w:firstLineChars="175"/>
        <w:outlineLvl w:val="9"/>
        <w:rPr>
          <w:rFonts w:hint="eastAsia" w:ascii="宋体" w:hAnsi="宋体" w:eastAsia="宋体" w:cs="宋体"/>
          <w:bCs/>
          <w:color w:val="auto"/>
          <w:sz w:val="24"/>
          <w:szCs w:val="24"/>
          <w:highlight w:val="none"/>
        </w:rPr>
      </w:pPr>
    </w:p>
    <w:p w14:paraId="710D31E3">
      <w:pPr>
        <w:pageBreakBefore w:val="0"/>
        <w:kinsoku/>
        <w:bidi w:val="0"/>
        <w:spacing w:line="360" w:lineRule="auto"/>
        <w:ind w:firstLine="420" w:firstLineChars="175"/>
        <w:outlineLvl w:val="9"/>
        <w:rPr>
          <w:rFonts w:hint="eastAsia" w:ascii="宋体" w:hAnsi="宋体" w:eastAsia="宋体" w:cs="宋体"/>
          <w:bCs/>
          <w:color w:val="auto"/>
          <w:sz w:val="24"/>
          <w:szCs w:val="24"/>
          <w:highlight w:val="none"/>
        </w:rPr>
      </w:pPr>
    </w:p>
    <w:p w14:paraId="5E3D5E95">
      <w:pPr>
        <w:pageBreakBefore w:val="0"/>
        <w:kinsoku/>
        <w:bidi w:val="0"/>
        <w:spacing w:line="360" w:lineRule="auto"/>
        <w:rPr>
          <w:rFonts w:hint="eastAsia" w:ascii="宋体" w:hAnsi="宋体" w:eastAsia="宋体" w:cs="宋体"/>
          <w:b/>
          <w:color w:val="auto"/>
          <w:sz w:val="30"/>
          <w:szCs w:val="30"/>
          <w:highlight w:val="none"/>
        </w:rPr>
      </w:pPr>
    </w:p>
    <w:p w14:paraId="0D8F5464">
      <w:pPr>
        <w:pageBreakBefore w:val="0"/>
        <w:kinsoku/>
        <w:bidi w:val="0"/>
        <w:spacing w:line="360" w:lineRule="auto"/>
        <w:rPr>
          <w:rFonts w:hint="eastAsia" w:ascii="宋体" w:hAnsi="宋体" w:eastAsia="宋体" w:cs="宋体"/>
          <w:b/>
          <w:color w:val="auto"/>
          <w:sz w:val="30"/>
          <w:szCs w:val="30"/>
          <w:highlight w:val="none"/>
        </w:rPr>
      </w:pPr>
    </w:p>
    <w:p w14:paraId="5946EC75">
      <w:pPr>
        <w:pageBreakBefore w:val="0"/>
        <w:kinsoku/>
        <w:bidi w:val="0"/>
        <w:spacing w:line="360" w:lineRule="auto"/>
        <w:rPr>
          <w:rFonts w:hint="eastAsia" w:ascii="宋体" w:hAnsi="宋体" w:eastAsia="宋体" w:cs="宋体"/>
          <w:b/>
          <w:color w:val="auto"/>
          <w:sz w:val="30"/>
          <w:szCs w:val="30"/>
          <w:highlight w:val="none"/>
        </w:rPr>
      </w:pPr>
    </w:p>
    <w:p w14:paraId="73866776">
      <w:pPr>
        <w:pageBreakBefore w:val="0"/>
        <w:kinsoku/>
        <w:bidi w:val="0"/>
        <w:spacing w:line="360" w:lineRule="auto"/>
        <w:rPr>
          <w:rFonts w:hint="eastAsia" w:ascii="宋体" w:hAnsi="宋体" w:eastAsia="宋体" w:cs="宋体"/>
          <w:b/>
          <w:color w:val="auto"/>
          <w:sz w:val="30"/>
          <w:szCs w:val="30"/>
          <w:highlight w:val="none"/>
        </w:rPr>
      </w:pPr>
    </w:p>
    <w:p w14:paraId="6A49773A">
      <w:pPr>
        <w:pageBreakBefore w:val="0"/>
        <w:kinsoku/>
        <w:bidi w:val="0"/>
        <w:spacing w:line="360" w:lineRule="auto"/>
        <w:rPr>
          <w:rFonts w:hint="eastAsia" w:ascii="宋体" w:hAnsi="宋体" w:eastAsia="宋体" w:cs="宋体"/>
          <w:b/>
          <w:color w:val="auto"/>
          <w:sz w:val="30"/>
          <w:szCs w:val="30"/>
          <w:highlight w:val="none"/>
        </w:rPr>
      </w:pPr>
    </w:p>
    <w:p w14:paraId="3E5E8BE5">
      <w:pPr>
        <w:pageBreakBefore w:val="0"/>
        <w:kinsoku/>
        <w:bidi w:val="0"/>
        <w:spacing w:line="360" w:lineRule="auto"/>
        <w:rPr>
          <w:rFonts w:hint="eastAsia" w:ascii="宋体" w:hAnsi="宋体" w:eastAsia="宋体" w:cs="宋体"/>
          <w:b/>
          <w:color w:val="auto"/>
          <w:sz w:val="30"/>
          <w:szCs w:val="30"/>
          <w:highlight w:val="none"/>
        </w:rPr>
      </w:pPr>
    </w:p>
    <w:p w14:paraId="340981D7">
      <w:pPr>
        <w:pageBreakBefore w:val="0"/>
        <w:kinsoku/>
        <w:bidi w:val="0"/>
        <w:spacing w:line="360" w:lineRule="auto"/>
        <w:rPr>
          <w:rFonts w:hint="eastAsia" w:ascii="宋体" w:hAnsi="宋体" w:eastAsia="宋体" w:cs="宋体"/>
          <w:b/>
          <w:color w:val="auto"/>
          <w:sz w:val="30"/>
          <w:szCs w:val="30"/>
          <w:highlight w:val="none"/>
        </w:rPr>
      </w:pPr>
    </w:p>
    <w:p w14:paraId="35BF7376">
      <w:pPr>
        <w:pageBreakBefore w:val="0"/>
        <w:kinsoku/>
        <w:bidi w:val="0"/>
        <w:spacing w:line="360" w:lineRule="auto"/>
        <w:rPr>
          <w:rFonts w:hint="eastAsia" w:ascii="宋体" w:hAnsi="宋体" w:eastAsia="宋体" w:cs="宋体"/>
          <w:b/>
          <w:color w:val="auto"/>
          <w:sz w:val="30"/>
          <w:szCs w:val="30"/>
          <w:highlight w:val="none"/>
        </w:rPr>
      </w:pPr>
    </w:p>
    <w:p w14:paraId="4FA68DD7">
      <w:pPr>
        <w:pageBreakBefore w:val="0"/>
        <w:kinsoku/>
        <w:bidi w:val="0"/>
        <w:spacing w:line="360" w:lineRule="auto"/>
        <w:outlineLvl w:val="0"/>
        <w:rPr>
          <w:rFonts w:hint="eastAsia" w:ascii="宋体" w:hAnsi="宋体" w:eastAsia="宋体" w:cs="宋体"/>
          <w:b/>
          <w:color w:val="auto"/>
          <w:sz w:val="30"/>
          <w:szCs w:val="30"/>
          <w:highlight w:val="none"/>
        </w:rPr>
      </w:pPr>
      <w:bookmarkStart w:id="238" w:name="_Toc10817"/>
    </w:p>
    <w:p w14:paraId="3C565E51">
      <w:pPr>
        <w:pageBreakBefore w:val="0"/>
        <w:kinsoku/>
        <w:bidi w:val="0"/>
        <w:spacing w:line="360" w:lineRule="auto"/>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十一、项目人员配置清单（格式）</w:t>
      </w:r>
      <w:bookmarkEnd w:id="238"/>
    </w:p>
    <w:p w14:paraId="3DF7333E">
      <w:pPr>
        <w:pageBreakBefore w:val="0"/>
        <w:kinsoku/>
        <w:bidi w:val="0"/>
        <w:spacing w:line="360" w:lineRule="auto"/>
        <w:rPr>
          <w:rFonts w:hint="eastAsia" w:ascii="宋体" w:hAnsi="宋体" w:eastAsia="宋体" w:cs="宋体"/>
          <w:bCs/>
          <w:color w:val="auto"/>
          <w:sz w:val="28"/>
          <w:szCs w:val="28"/>
          <w:highlight w:val="none"/>
        </w:rPr>
      </w:pPr>
    </w:p>
    <w:p w14:paraId="3D02A05B">
      <w:pPr>
        <w:pageBreakBefore w:val="0"/>
        <w:kinsoku/>
        <w:bidi w:val="0"/>
        <w:spacing w:line="360" w:lineRule="auto"/>
        <w:jc w:val="center"/>
        <w:outlineLvl w:val="0"/>
        <w:rPr>
          <w:rFonts w:hint="eastAsia" w:ascii="宋体" w:hAnsi="宋体" w:eastAsia="宋体" w:cs="宋体"/>
          <w:bCs/>
          <w:color w:val="auto"/>
          <w:sz w:val="28"/>
          <w:szCs w:val="28"/>
          <w:highlight w:val="none"/>
        </w:rPr>
      </w:pPr>
      <w:bookmarkStart w:id="239" w:name="_Toc26456"/>
      <w:r>
        <w:rPr>
          <w:rFonts w:hint="eastAsia" w:ascii="宋体" w:hAnsi="宋体" w:eastAsia="宋体" w:cs="宋体"/>
          <w:bCs/>
          <w:color w:val="auto"/>
          <w:sz w:val="28"/>
          <w:szCs w:val="28"/>
          <w:highlight w:val="none"/>
        </w:rPr>
        <w:t>项目人员配置清单</w:t>
      </w:r>
      <w:bookmarkEnd w:id="239"/>
    </w:p>
    <w:p w14:paraId="003267C8">
      <w:pPr>
        <w:pageBreakBefore w:val="0"/>
        <w:kinsoku/>
        <w:bidi w:val="0"/>
        <w:spacing w:line="360" w:lineRule="auto"/>
        <w:jc w:val="center"/>
        <w:rPr>
          <w:rFonts w:hint="eastAsia" w:ascii="宋体" w:hAnsi="宋体" w:eastAsia="宋体" w:cs="宋体"/>
          <w:bCs/>
          <w:color w:val="auto"/>
          <w:sz w:val="28"/>
          <w:szCs w:val="28"/>
          <w:highlight w:val="none"/>
        </w:rPr>
      </w:pPr>
    </w:p>
    <w:p w14:paraId="4FA38810">
      <w:pPr>
        <w:pageBreakBefore w:val="0"/>
        <w:kinsoku/>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r>
        <w:rPr>
          <w:rFonts w:hint="eastAsia" w:ascii="宋体" w:hAnsi="宋体" w:cs="宋体"/>
          <w:color w:val="auto"/>
          <w:sz w:val="24"/>
          <w:szCs w:val="24"/>
          <w:highlight w:val="none"/>
          <w:shd w:val="clear" w:color="auto" w:fill="FFFFFF"/>
          <w:lang w:eastAsia="zh-CN"/>
        </w:rPr>
        <w:t>JSZC-320200-JXCG-G2026-0020</w:t>
      </w:r>
    </w:p>
    <w:tbl>
      <w:tblPr>
        <w:tblStyle w:val="21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553"/>
        <w:gridCol w:w="726"/>
        <w:gridCol w:w="1963"/>
        <w:gridCol w:w="1704"/>
        <w:gridCol w:w="860"/>
        <w:gridCol w:w="2139"/>
      </w:tblGrid>
      <w:tr w14:paraId="2AE901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127" w:type="dxa"/>
            <w:tcBorders>
              <w:top w:val="single" w:color="auto" w:sz="12" w:space="0"/>
            </w:tcBorders>
            <w:noWrap w:val="0"/>
            <w:vAlign w:val="center"/>
          </w:tcPr>
          <w:p w14:paraId="140F56DE">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553" w:type="dxa"/>
            <w:tcBorders>
              <w:top w:val="single" w:color="auto" w:sz="12" w:space="0"/>
            </w:tcBorders>
            <w:noWrap w:val="0"/>
            <w:vAlign w:val="center"/>
          </w:tcPr>
          <w:p w14:paraId="25A277DE">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726" w:type="dxa"/>
            <w:tcBorders>
              <w:top w:val="single" w:color="auto" w:sz="12" w:space="0"/>
            </w:tcBorders>
            <w:noWrap w:val="0"/>
            <w:vAlign w:val="center"/>
          </w:tcPr>
          <w:p w14:paraId="1180BBFD">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1963" w:type="dxa"/>
            <w:tcBorders>
              <w:top w:val="single" w:color="auto" w:sz="12" w:space="0"/>
            </w:tcBorders>
            <w:noWrap w:val="0"/>
            <w:vAlign w:val="center"/>
          </w:tcPr>
          <w:p w14:paraId="3022E9A3">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p w14:paraId="4243E70D">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岗位</w:t>
            </w:r>
          </w:p>
        </w:tc>
        <w:tc>
          <w:tcPr>
            <w:tcW w:w="1704" w:type="dxa"/>
            <w:tcBorders>
              <w:top w:val="single" w:color="auto" w:sz="12" w:space="0"/>
            </w:tcBorders>
            <w:noWrap w:val="0"/>
            <w:vAlign w:val="center"/>
          </w:tcPr>
          <w:p w14:paraId="753AA30C">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岗位证书</w:t>
            </w:r>
          </w:p>
        </w:tc>
        <w:tc>
          <w:tcPr>
            <w:tcW w:w="860" w:type="dxa"/>
            <w:tcBorders>
              <w:top w:val="single" w:color="auto" w:sz="12" w:space="0"/>
            </w:tcBorders>
            <w:noWrap w:val="0"/>
            <w:vAlign w:val="center"/>
          </w:tcPr>
          <w:p w14:paraId="32C782DD">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w:t>
            </w:r>
          </w:p>
          <w:p w14:paraId="2D7B9861">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级别</w:t>
            </w:r>
          </w:p>
        </w:tc>
        <w:tc>
          <w:tcPr>
            <w:tcW w:w="2139" w:type="dxa"/>
            <w:tcBorders>
              <w:top w:val="single" w:color="auto" w:sz="12" w:space="0"/>
            </w:tcBorders>
            <w:noWrap w:val="0"/>
            <w:vAlign w:val="center"/>
          </w:tcPr>
          <w:p w14:paraId="62C3E752">
            <w:pPr>
              <w:pageBreakBefore w:val="0"/>
              <w:kinsoku/>
              <w:bidi w:val="0"/>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主要经验及承担过的项目</w:t>
            </w:r>
          </w:p>
        </w:tc>
      </w:tr>
      <w:tr w14:paraId="33020E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27" w:type="dxa"/>
            <w:noWrap w:val="0"/>
            <w:vAlign w:val="center"/>
          </w:tcPr>
          <w:p w14:paraId="0CE3DD2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4E86352E">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3D0EB7A0">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3533EEDA">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25B991AD">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5D0D87A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3B304EB6">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48DCA8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27" w:type="dxa"/>
            <w:noWrap w:val="0"/>
            <w:vAlign w:val="center"/>
          </w:tcPr>
          <w:p w14:paraId="348633B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46B19D81">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75F9A521">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7D656E9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47254067">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6A230285">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6E9F4D12">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r>
      <w:tr w14:paraId="72AC49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27" w:type="dxa"/>
            <w:noWrap w:val="0"/>
            <w:vAlign w:val="center"/>
          </w:tcPr>
          <w:p w14:paraId="202C78D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25833695">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726" w:type="dxa"/>
            <w:noWrap w:val="0"/>
            <w:vAlign w:val="center"/>
          </w:tcPr>
          <w:p w14:paraId="173FABDB">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963" w:type="dxa"/>
            <w:noWrap w:val="0"/>
            <w:vAlign w:val="center"/>
          </w:tcPr>
          <w:p w14:paraId="593EBB7C">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145979BE">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860" w:type="dxa"/>
            <w:noWrap w:val="0"/>
            <w:vAlign w:val="center"/>
          </w:tcPr>
          <w:p w14:paraId="42EA5222">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4F64A9D1">
            <w:pPr>
              <w:pageBreakBefore w:val="0"/>
              <w:widowControl/>
              <w:kinsoku/>
              <w:bidi w:val="0"/>
              <w:adjustRightInd w:val="0"/>
              <w:snapToGrid w:val="0"/>
              <w:spacing w:line="360" w:lineRule="auto"/>
              <w:jc w:val="center"/>
              <w:rPr>
                <w:rFonts w:hint="eastAsia" w:ascii="宋体" w:hAnsi="宋体" w:eastAsia="宋体" w:cs="宋体"/>
                <w:color w:val="auto"/>
                <w:sz w:val="24"/>
                <w:highlight w:val="none"/>
              </w:rPr>
            </w:pPr>
          </w:p>
        </w:tc>
      </w:tr>
      <w:tr w14:paraId="1D5A14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36CCFFA7">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0C324207">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48E7909F">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460CB950">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5EDFD484">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0A8D7EF9">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40D6CC64">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2894B3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3B0341C2">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1C62B143">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726" w:type="dxa"/>
            <w:noWrap w:val="0"/>
            <w:vAlign w:val="center"/>
          </w:tcPr>
          <w:p w14:paraId="320A9E2F">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1963" w:type="dxa"/>
            <w:noWrap w:val="0"/>
            <w:vAlign w:val="center"/>
          </w:tcPr>
          <w:p w14:paraId="2C055B74">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4E19A92C">
            <w:pPr>
              <w:pageBreakBefore w:val="0"/>
              <w:kinsoku/>
              <w:bidi w:val="0"/>
              <w:adjustRightInd w:val="0"/>
              <w:snapToGrid w:val="0"/>
              <w:spacing w:line="360" w:lineRule="auto"/>
              <w:ind w:firstLine="117" w:firstLineChars="49"/>
              <w:jc w:val="center"/>
              <w:rPr>
                <w:rFonts w:hint="eastAsia" w:ascii="宋体" w:hAnsi="宋体" w:eastAsia="宋体" w:cs="宋体"/>
                <w:color w:val="auto"/>
                <w:sz w:val="24"/>
                <w:highlight w:val="none"/>
              </w:rPr>
            </w:pPr>
          </w:p>
        </w:tc>
        <w:tc>
          <w:tcPr>
            <w:tcW w:w="860" w:type="dxa"/>
            <w:noWrap w:val="0"/>
            <w:vAlign w:val="center"/>
          </w:tcPr>
          <w:p w14:paraId="280CE052">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1D25D110">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2F7993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2B41EA5E">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20B1C8B7">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726" w:type="dxa"/>
            <w:noWrap w:val="0"/>
            <w:vAlign w:val="center"/>
          </w:tcPr>
          <w:p w14:paraId="29ED4A65">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963" w:type="dxa"/>
            <w:noWrap w:val="0"/>
            <w:vAlign w:val="center"/>
          </w:tcPr>
          <w:p w14:paraId="66A90FEC">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15AF1EA7">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860" w:type="dxa"/>
            <w:noWrap w:val="0"/>
            <w:vAlign w:val="center"/>
          </w:tcPr>
          <w:p w14:paraId="4584AC1F">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1ED07FBB">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48805B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noWrap w:val="0"/>
            <w:vAlign w:val="center"/>
          </w:tcPr>
          <w:p w14:paraId="69445C06">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noWrap w:val="0"/>
            <w:vAlign w:val="center"/>
          </w:tcPr>
          <w:p w14:paraId="3DD75A42">
            <w:pPr>
              <w:pageBreakBefore w:val="0"/>
              <w:kinsoku/>
              <w:bidi w:val="0"/>
              <w:adjustRightInd w:val="0"/>
              <w:snapToGrid w:val="0"/>
              <w:spacing w:line="360" w:lineRule="auto"/>
              <w:ind w:firstLine="120" w:firstLineChars="50"/>
              <w:jc w:val="center"/>
              <w:rPr>
                <w:rFonts w:hint="eastAsia" w:ascii="宋体" w:hAnsi="宋体" w:eastAsia="宋体" w:cs="宋体"/>
                <w:color w:val="auto"/>
                <w:sz w:val="24"/>
                <w:highlight w:val="none"/>
              </w:rPr>
            </w:pPr>
          </w:p>
        </w:tc>
        <w:tc>
          <w:tcPr>
            <w:tcW w:w="726" w:type="dxa"/>
            <w:noWrap w:val="0"/>
            <w:vAlign w:val="center"/>
          </w:tcPr>
          <w:p w14:paraId="4A2BFB79">
            <w:pPr>
              <w:pageBreakBefore w:val="0"/>
              <w:kinsoku/>
              <w:bidi w:val="0"/>
              <w:adjustRightInd w:val="0"/>
              <w:snapToGrid w:val="0"/>
              <w:spacing w:line="360" w:lineRule="auto"/>
              <w:ind w:firstLine="120" w:firstLineChars="50"/>
              <w:jc w:val="center"/>
              <w:rPr>
                <w:rFonts w:hint="eastAsia" w:ascii="宋体" w:hAnsi="宋体" w:eastAsia="宋体" w:cs="宋体"/>
                <w:color w:val="auto"/>
                <w:sz w:val="24"/>
                <w:highlight w:val="none"/>
              </w:rPr>
            </w:pPr>
          </w:p>
        </w:tc>
        <w:tc>
          <w:tcPr>
            <w:tcW w:w="1963" w:type="dxa"/>
            <w:noWrap w:val="0"/>
            <w:vAlign w:val="center"/>
          </w:tcPr>
          <w:p w14:paraId="25168D70">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noWrap w:val="0"/>
            <w:vAlign w:val="center"/>
          </w:tcPr>
          <w:p w14:paraId="6A23DBF8">
            <w:pPr>
              <w:pageBreakBefore w:val="0"/>
              <w:kinsoku/>
              <w:bidi w:val="0"/>
              <w:adjustRightInd w:val="0"/>
              <w:snapToGrid w:val="0"/>
              <w:spacing w:line="360" w:lineRule="auto"/>
              <w:ind w:firstLine="120" w:firstLineChars="50"/>
              <w:jc w:val="center"/>
              <w:rPr>
                <w:rFonts w:hint="eastAsia" w:ascii="宋体" w:hAnsi="宋体" w:eastAsia="宋体" w:cs="宋体"/>
                <w:color w:val="auto"/>
                <w:sz w:val="24"/>
                <w:highlight w:val="none"/>
              </w:rPr>
            </w:pPr>
          </w:p>
        </w:tc>
        <w:tc>
          <w:tcPr>
            <w:tcW w:w="860" w:type="dxa"/>
            <w:noWrap w:val="0"/>
            <w:vAlign w:val="center"/>
          </w:tcPr>
          <w:p w14:paraId="418E4612">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noWrap w:val="0"/>
            <w:vAlign w:val="center"/>
          </w:tcPr>
          <w:p w14:paraId="0048F1BA">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r w14:paraId="5BE5FA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27" w:type="dxa"/>
            <w:tcBorders>
              <w:bottom w:val="single" w:color="auto" w:sz="12" w:space="0"/>
            </w:tcBorders>
            <w:noWrap w:val="0"/>
            <w:vAlign w:val="center"/>
          </w:tcPr>
          <w:p w14:paraId="2B263C9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553" w:type="dxa"/>
            <w:tcBorders>
              <w:bottom w:val="single" w:color="auto" w:sz="12" w:space="0"/>
            </w:tcBorders>
            <w:noWrap w:val="0"/>
            <w:vAlign w:val="center"/>
          </w:tcPr>
          <w:p w14:paraId="690892E1">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726" w:type="dxa"/>
            <w:tcBorders>
              <w:bottom w:val="single" w:color="auto" w:sz="12" w:space="0"/>
            </w:tcBorders>
            <w:noWrap w:val="0"/>
            <w:vAlign w:val="center"/>
          </w:tcPr>
          <w:p w14:paraId="5559341B">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963" w:type="dxa"/>
            <w:tcBorders>
              <w:bottom w:val="single" w:color="auto" w:sz="12" w:space="0"/>
            </w:tcBorders>
            <w:noWrap w:val="0"/>
            <w:vAlign w:val="center"/>
          </w:tcPr>
          <w:p w14:paraId="12BC6B05">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1704" w:type="dxa"/>
            <w:tcBorders>
              <w:bottom w:val="single" w:color="auto" w:sz="12" w:space="0"/>
            </w:tcBorders>
            <w:noWrap w:val="0"/>
            <w:vAlign w:val="center"/>
          </w:tcPr>
          <w:p w14:paraId="360DF821">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860" w:type="dxa"/>
            <w:tcBorders>
              <w:bottom w:val="single" w:color="auto" w:sz="12" w:space="0"/>
            </w:tcBorders>
            <w:noWrap w:val="0"/>
            <w:vAlign w:val="center"/>
          </w:tcPr>
          <w:p w14:paraId="420ED433">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c>
          <w:tcPr>
            <w:tcW w:w="2139" w:type="dxa"/>
            <w:tcBorders>
              <w:bottom w:val="single" w:color="auto" w:sz="12" w:space="0"/>
            </w:tcBorders>
            <w:noWrap w:val="0"/>
            <w:vAlign w:val="center"/>
          </w:tcPr>
          <w:p w14:paraId="588A6518">
            <w:pPr>
              <w:pageBreakBefore w:val="0"/>
              <w:kinsoku/>
              <w:bidi w:val="0"/>
              <w:adjustRightInd w:val="0"/>
              <w:snapToGrid w:val="0"/>
              <w:spacing w:line="360" w:lineRule="auto"/>
              <w:jc w:val="center"/>
              <w:rPr>
                <w:rFonts w:hint="eastAsia" w:ascii="宋体" w:hAnsi="宋体" w:eastAsia="宋体" w:cs="宋体"/>
                <w:color w:val="auto"/>
                <w:sz w:val="24"/>
                <w:highlight w:val="none"/>
              </w:rPr>
            </w:pPr>
          </w:p>
        </w:tc>
      </w:tr>
    </w:tbl>
    <w:p w14:paraId="7550D25C">
      <w:pPr>
        <w:pageBreakBefore w:val="0"/>
        <w:kinsoku/>
        <w:bidi w:val="0"/>
        <w:spacing w:line="360" w:lineRule="auto"/>
        <w:rPr>
          <w:rFonts w:hint="eastAsia" w:ascii="宋体" w:hAnsi="宋体" w:eastAsia="宋体" w:cs="宋体"/>
          <w:bCs/>
          <w:color w:val="auto"/>
          <w:sz w:val="24"/>
          <w:szCs w:val="24"/>
          <w:highlight w:val="none"/>
        </w:rPr>
      </w:pPr>
    </w:p>
    <w:p w14:paraId="54E0A418">
      <w:pPr>
        <w:pageBreakBefore w:val="0"/>
        <w:kinsoku/>
        <w:bidi w:val="0"/>
        <w:spacing w:line="360" w:lineRule="auto"/>
        <w:jc w:val="righ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投标人名称（盖章）</w:t>
      </w:r>
      <w:r>
        <w:rPr>
          <w:rFonts w:hint="eastAsia" w:ascii="宋体" w:hAnsi="宋体" w:eastAsia="宋体" w:cs="宋体"/>
          <w:bCs/>
          <w:color w:val="auto"/>
          <w:sz w:val="24"/>
          <w:szCs w:val="24"/>
          <w:highlight w:val="none"/>
          <w:lang w:eastAsia="zh-CN"/>
        </w:rPr>
        <w:t>：</w:t>
      </w:r>
    </w:p>
    <w:p w14:paraId="0B390F52">
      <w:pPr>
        <w:pageBreakBefore w:val="0"/>
        <w:kinsoku/>
        <w:bidi w:val="0"/>
        <w:spacing w:line="360" w:lineRule="auto"/>
        <w:rPr>
          <w:rFonts w:hint="eastAsia" w:ascii="宋体" w:hAnsi="宋体" w:eastAsia="宋体" w:cs="宋体"/>
          <w:bCs/>
          <w:color w:val="auto"/>
          <w:highlight w:val="none"/>
        </w:rPr>
      </w:pPr>
    </w:p>
    <w:p w14:paraId="5900410E">
      <w:pPr>
        <w:pageBreakBefore w:val="0"/>
        <w:kinsoku/>
        <w:bidi w:val="0"/>
        <w:spacing w:line="360" w:lineRule="auto"/>
        <w:rPr>
          <w:rFonts w:hint="eastAsia" w:ascii="宋体" w:hAnsi="宋体" w:eastAsia="宋体" w:cs="宋体"/>
          <w:bCs/>
          <w:color w:val="auto"/>
          <w:highlight w:val="none"/>
        </w:rPr>
      </w:pPr>
    </w:p>
    <w:p w14:paraId="2A04BB52">
      <w:pPr>
        <w:pageBreakBefore w:val="0"/>
        <w:kinsoku/>
        <w:bidi w:val="0"/>
        <w:spacing w:line="360" w:lineRule="auto"/>
        <w:rPr>
          <w:rFonts w:hint="eastAsia" w:ascii="宋体" w:hAnsi="宋体" w:eastAsia="宋体" w:cs="宋体"/>
          <w:bCs/>
          <w:color w:val="auto"/>
          <w:highlight w:val="none"/>
        </w:rPr>
      </w:pPr>
    </w:p>
    <w:p w14:paraId="736C555E">
      <w:pPr>
        <w:pageBreakBefore w:val="0"/>
        <w:kinsoku/>
        <w:bidi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注：1.表格不够可自行延长。</w:t>
      </w:r>
    </w:p>
    <w:p w14:paraId="7AFEAD8A">
      <w:pPr>
        <w:pageBreakBefore w:val="0"/>
        <w:numPr>
          <w:ilvl w:val="0"/>
          <w:numId w:val="11"/>
        </w:numPr>
        <w:kinsoku/>
        <w:bidi w:val="0"/>
        <w:spacing w:line="360" w:lineRule="auto"/>
        <w:ind w:firstLine="0"/>
        <w:rPr>
          <w:rFonts w:hint="eastAsia" w:ascii="宋体" w:hAnsi="宋体" w:eastAsia="宋体" w:cs="宋体"/>
          <w:bCs/>
          <w:color w:val="auto"/>
          <w:highlight w:val="none"/>
        </w:rPr>
      </w:pPr>
      <w:r>
        <w:rPr>
          <w:rFonts w:hint="eastAsia" w:ascii="宋体" w:hAnsi="宋体" w:eastAsia="宋体" w:cs="宋体"/>
          <w:bCs/>
          <w:color w:val="auto"/>
          <w:highlight w:val="none"/>
        </w:rPr>
        <w:t>提供人员证书原件</w:t>
      </w:r>
      <w:r>
        <w:rPr>
          <w:rFonts w:hint="eastAsia" w:ascii="宋体" w:hAnsi="宋体" w:eastAsia="宋体" w:cs="宋体"/>
          <w:bCs/>
          <w:color w:val="auto"/>
          <w:highlight w:val="none"/>
          <w:lang w:val="en-US" w:eastAsia="zh-CN"/>
        </w:rPr>
        <w:t>扫描件及</w:t>
      </w:r>
      <w:r>
        <w:rPr>
          <w:rFonts w:hint="eastAsia" w:ascii="宋体" w:hAnsi="宋体" w:cs="宋体"/>
          <w:bCs/>
          <w:color w:val="auto"/>
          <w:highlight w:val="none"/>
          <w:lang w:val="en-US" w:eastAsia="zh-CN"/>
        </w:rPr>
        <w:t>投标人</w:t>
      </w:r>
      <w:r>
        <w:rPr>
          <w:rFonts w:hint="eastAsia" w:ascii="宋体" w:hAnsi="宋体" w:eastAsia="宋体" w:cs="宋体"/>
          <w:bCs/>
          <w:color w:val="auto"/>
          <w:highlight w:val="none"/>
        </w:rPr>
        <w:t>为其缴纳的</w:t>
      </w:r>
      <w:r>
        <w:rPr>
          <w:rFonts w:hint="eastAsia" w:ascii="宋体" w:hAnsi="宋体" w:cs="宋体"/>
          <w:bCs/>
          <w:color w:val="auto"/>
          <w:highlight w:val="none"/>
          <w:lang w:val="zh-CN"/>
        </w:rPr>
        <w:t>2026年3月—2026年5月</w:t>
      </w:r>
      <w:r>
        <w:rPr>
          <w:rFonts w:hint="eastAsia" w:ascii="宋体" w:hAnsi="宋体" w:eastAsia="宋体" w:cs="宋体"/>
          <w:bCs/>
          <w:color w:val="auto"/>
          <w:highlight w:val="none"/>
          <w:lang w:val="zh-CN"/>
        </w:rPr>
        <w:t>中任意一个月份</w:t>
      </w:r>
      <w:r>
        <w:rPr>
          <w:rFonts w:hint="eastAsia" w:ascii="宋体" w:hAnsi="宋体" w:eastAsia="宋体" w:cs="宋体"/>
          <w:bCs/>
          <w:color w:val="auto"/>
          <w:highlight w:val="none"/>
        </w:rPr>
        <w:t>社保证明上传至投标文件中。</w:t>
      </w:r>
    </w:p>
    <w:p w14:paraId="06A55A42">
      <w:pPr>
        <w:pStyle w:val="2"/>
        <w:numPr>
          <w:ilvl w:val="0"/>
          <w:numId w:val="11"/>
        </w:numPr>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rPr>
        <w:t>上述人员必须与签订合同中的人员一致。</w:t>
      </w:r>
    </w:p>
    <w:p w14:paraId="7B617D91">
      <w:pPr>
        <w:pStyle w:val="57"/>
        <w:pageBreakBefore w:val="0"/>
        <w:kinsoku/>
        <w:bidi w:val="0"/>
        <w:spacing w:line="360" w:lineRule="auto"/>
        <w:ind w:left="0" w:leftChars="0" w:firstLine="0" w:firstLineChars="0"/>
        <w:rPr>
          <w:rFonts w:hint="eastAsia" w:ascii="宋体" w:hAnsi="宋体" w:eastAsia="宋体" w:cs="宋体"/>
          <w:bCs/>
          <w:color w:val="auto"/>
          <w:sz w:val="24"/>
          <w:szCs w:val="24"/>
          <w:highlight w:val="none"/>
        </w:rPr>
      </w:pPr>
    </w:p>
    <w:p w14:paraId="2830F2FA">
      <w:pPr>
        <w:pStyle w:val="57"/>
        <w:pageBreakBefore w:val="0"/>
        <w:kinsoku/>
        <w:bidi w:val="0"/>
        <w:spacing w:line="360" w:lineRule="auto"/>
        <w:ind w:left="0" w:leftChars="0" w:firstLine="0" w:firstLineChars="0"/>
        <w:rPr>
          <w:rFonts w:hint="eastAsia" w:ascii="宋体" w:hAnsi="宋体" w:eastAsia="宋体" w:cs="宋体"/>
          <w:bCs/>
          <w:color w:val="auto"/>
          <w:sz w:val="24"/>
          <w:szCs w:val="24"/>
          <w:highlight w:val="none"/>
        </w:rPr>
      </w:pPr>
    </w:p>
    <w:p w14:paraId="28D84BF6">
      <w:pPr>
        <w:pageBreakBefore w:val="0"/>
        <w:kinsoku/>
        <w:bidi w:val="0"/>
        <w:spacing w:line="360" w:lineRule="auto"/>
        <w:outlineLvl w:val="0"/>
        <w:rPr>
          <w:rFonts w:hint="eastAsia" w:ascii="宋体" w:hAnsi="宋体" w:eastAsia="宋体" w:cs="宋体"/>
          <w:b/>
          <w:color w:val="auto"/>
          <w:sz w:val="30"/>
          <w:szCs w:val="30"/>
          <w:highlight w:val="none"/>
          <w:lang w:val="en-US" w:eastAsia="zh-CN"/>
        </w:rPr>
      </w:pPr>
    </w:p>
    <w:p w14:paraId="7486712A">
      <w:pPr>
        <w:pageBreakBefore w:val="0"/>
        <w:kinsoku/>
        <w:bidi w:val="0"/>
        <w:spacing w:line="360" w:lineRule="auto"/>
        <w:outlineLvl w:val="0"/>
        <w:rPr>
          <w:rFonts w:hint="eastAsia" w:ascii="宋体" w:hAnsi="宋体" w:eastAsia="宋体" w:cs="宋体"/>
          <w:b/>
          <w:color w:val="auto"/>
          <w:sz w:val="30"/>
          <w:szCs w:val="30"/>
          <w:highlight w:val="none"/>
          <w:lang w:val="en-US" w:eastAsia="zh-CN"/>
        </w:rPr>
      </w:pPr>
    </w:p>
    <w:p w14:paraId="383A7914">
      <w:pPr>
        <w:pageBreakBefore w:val="0"/>
        <w:kinsoku/>
        <w:bidi w:val="0"/>
        <w:spacing w:line="360" w:lineRule="auto"/>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十二、主要机械设备表（格式）</w:t>
      </w:r>
    </w:p>
    <w:p w14:paraId="23B5A58E">
      <w:pPr>
        <w:pageBreakBefore w:val="0"/>
        <w:kinsoku/>
        <w:bidi w:val="0"/>
        <w:spacing w:before="156" w:beforeLines="50" w:after="156"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主要机械设备表</w:t>
      </w:r>
    </w:p>
    <w:tbl>
      <w:tblPr>
        <w:tblStyle w:val="219"/>
        <w:tblW w:w="498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551"/>
        <w:gridCol w:w="1057"/>
        <w:gridCol w:w="1160"/>
        <w:gridCol w:w="1393"/>
        <w:gridCol w:w="1515"/>
        <w:gridCol w:w="3053"/>
        <w:gridCol w:w="1049"/>
      </w:tblGrid>
      <w:tr w14:paraId="78310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282" w:type="pct"/>
            <w:tcBorders>
              <w:top w:val="single" w:color="auto" w:sz="12" w:space="0"/>
              <w:bottom w:val="double" w:color="auto" w:sz="6" w:space="0"/>
            </w:tcBorders>
            <w:noWrap w:val="0"/>
            <w:vAlign w:val="center"/>
          </w:tcPr>
          <w:p w14:paraId="7AF2480E">
            <w:pPr>
              <w:keepNext/>
              <w:keepLines w:val="0"/>
              <w:pageBreakBefore w:val="0"/>
              <w:widowControl w:val="0"/>
              <w:kinsoku/>
              <w:wordWrap/>
              <w:overflowPunct/>
              <w:topLinePunct w:val="0"/>
              <w:autoSpaceDE/>
              <w:autoSpaceDN/>
              <w:bidi w:val="0"/>
              <w:adjustRightInd/>
              <w:snapToGrid/>
              <w:spacing w:line="360" w:lineRule="auto"/>
              <w:ind w:left="62" w:right="62"/>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540" w:type="pct"/>
            <w:tcBorders>
              <w:top w:val="single" w:color="auto" w:sz="12" w:space="0"/>
              <w:bottom w:val="double" w:color="auto" w:sz="6" w:space="0"/>
            </w:tcBorders>
            <w:noWrap w:val="0"/>
            <w:vAlign w:val="center"/>
          </w:tcPr>
          <w:p w14:paraId="177A4B86">
            <w:pPr>
              <w:keepNext/>
              <w:keepLines w:val="0"/>
              <w:pageBreakBefore w:val="0"/>
              <w:widowControl w:val="0"/>
              <w:kinsoku/>
              <w:wordWrap/>
              <w:overflowPunct/>
              <w:topLinePunct w:val="0"/>
              <w:autoSpaceDE/>
              <w:autoSpaceDN/>
              <w:bidi w:val="0"/>
              <w:adjustRightInd/>
              <w:snapToGrid/>
              <w:spacing w:line="360" w:lineRule="auto"/>
              <w:ind w:left="62" w:right="62"/>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机械设备品种</w:t>
            </w:r>
          </w:p>
        </w:tc>
        <w:tc>
          <w:tcPr>
            <w:tcW w:w="593" w:type="pct"/>
            <w:tcBorders>
              <w:top w:val="single" w:color="auto" w:sz="12" w:space="0"/>
              <w:bottom w:val="double" w:color="auto" w:sz="6" w:space="0"/>
            </w:tcBorders>
            <w:noWrap w:val="0"/>
            <w:vAlign w:val="center"/>
          </w:tcPr>
          <w:p w14:paraId="2139AF2E">
            <w:pPr>
              <w:keepNext/>
              <w:pageBreakBefore w:val="0"/>
              <w:kinsoku/>
              <w:bidi w:val="0"/>
              <w:spacing w:line="360" w:lineRule="auto"/>
              <w:ind w:left="63" w:right="6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规格型号</w:t>
            </w:r>
          </w:p>
        </w:tc>
        <w:tc>
          <w:tcPr>
            <w:tcW w:w="712" w:type="pct"/>
            <w:tcBorders>
              <w:top w:val="single" w:color="auto" w:sz="12" w:space="0"/>
              <w:bottom w:val="double" w:color="auto" w:sz="6" w:space="0"/>
            </w:tcBorders>
            <w:noWrap w:val="0"/>
            <w:vAlign w:val="center"/>
          </w:tcPr>
          <w:p w14:paraId="30EBA70E">
            <w:pPr>
              <w:keepNext/>
              <w:pageBreakBefore w:val="0"/>
              <w:kinsoku/>
              <w:bidi w:val="0"/>
              <w:spacing w:line="360" w:lineRule="auto"/>
              <w:ind w:left="63" w:right="63"/>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车牌号码</w:t>
            </w:r>
          </w:p>
        </w:tc>
        <w:tc>
          <w:tcPr>
            <w:tcW w:w="774" w:type="pct"/>
            <w:tcBorders>
              <w:top w:val="single" w:color="auto" w:sz="12" w:space="0"/>
              <w:bottom w:val="double" w:color="auto" w:sz="6" w:space="0"/>
            </w:tcBorders>
            <w:noWrap w:val="0"/>
            <w:vAlign w:val="center"/>
          </w:tcPr>
          <w:p w14:paraId="56FFFAB2">
            <w:pPr>
              <w:keepNext/>
              <w:pageBreakBefore w:val="0"/>
              <w:kinsoku/>
              <w:bidi w:val="0"/>
              <w:spacing w:line="360" w:lineRule="auto"/>
              <w:ind w:left="63" w:right="6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560" w:type="pct"/>
            <w:tcBorders>
              <w:top w:val="single" w:color="auto" w:sz="12" w:space="0"/>
              <w:bottom w:val="double" w:color="auto" w:sz="6" w:space="0"/>
            </w:tcBorders>
            <w:noWrap w:val="0"/>
            <w:vAlign w:val="center"/>
          </w:tcPr>
          <w:p w14:paraId="029B69AC">
            <w:pPr>
              <w:keepNext/>
              <w:pageBreakBefore w:val="0"/>
              <w:kinsoku/>
              <w:bidi w:val="0"/>
              <w:spacing w:line="360" w:lineRule="auto"/>
              <w:ind w:left="63" w:right="63"/>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自有</w:t>
            </w:r>
            <w:r>
              <w:rPr>
                <w:rFonts w:hint="eastAsia" w:ascii="宋体" w:hAnsi="宋体" w:eastAsia="宋体" w:cs="宋体"/>
                <w:color w:val="auto"/>
                <w:sz w:val="24"/>
                <w:highlight w:val="none"/>
                <w:lang w:val="en-US" w:eastAsia="zh-CN"/>
              </w:rPr>
              <w:t>/租赁/承诺</w:t>
            </w:r>
          </w:p>
        </w:tc>
        <w:tc>
          <w:tcPr>
            <w:tcW w:w="536" w:type="pct"/>
            <w:tcBorders>
              <w:top w:val="single" w:color="auto" w:sz="12" w:space="0"/>
              <w:bottom w:val="double" w:color="auto" w:sz="6" w:space="0"/>
            </w:tcBorders>
            <w:noWrap w:val="0"/>
            <w:vAlign w:val="center"/>
          </w:tcPr>
          <w:p w14:paraId="742928A2">
            <w:pPr>
              <w:keepNext/>
              <w:pageBreakBefore w:val="0"/>
              <w:kinsoku/>
              <w:bidi w:val="0"/>
              <w:spacing w:line="360" w:lineRule="auto"/>
              <w:ind w:left="63" w:right="6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0E4D3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tcBorders>
              <w:top w:val="double" w:color="auto" w:sz="6" w:space="0"/>
              <w:bottom w:val="single" w:color="auto" w:sz="6" w:space="0"/>
            </w:tcBorders>
            <w:noWrap w:val="0"/>
            <w:vAlign w:val="center"/>
          </w:tcPr>
          <w:p w14:paraId="62A7B033">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tcBorders>
              <w:top w:val="double" w:color="auto" w:sz="6" w:space="0"/>
              <w:bottom w:val="single" w:color="auto" w:sz="6" w:space="0"/>
            </w:tcBorders>
            <w:noWrap w:val="0"/>
            <w:vAlign w:val="center"/>
          </w:tcPr>
          <w:p w14:paraId="3A97DAC4">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tcBorders>
              <w:top w:val="double" w:color="auto" w:sz="6" w:space="0"/>
              <w:bottom w:val="single" w:color="auto" w:sz="6" w:space="0"/>
            </w:tcBorders>
            <w:noWrap w:val="0"/>
            <w:vAlign w:val="center"/>
          </w:tcPr>
          <w:p w14:paraId="4AFB8E51">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tcBorders>
              <w:top w:val="double" w:color="auto" w:sz="6" w:space="0"/>
              <w:bottom w:val="single" w:color="auto" w:sz="6" w:space="0"/>
            </w:tcBorders>
            <w:noWrap w:val="0"/>
            <w:vAlign w:val="center"/>
          </w:tcPr>
          <w:p w14:paraId="7F8496D4">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tcBorders>
              <w:top w:val="double" w:color="auto" w:sz="6" w:space="0"/>
              <w:bottom w:val="single" w:color="auto" w:sz="6" w:space="0"/>
            </w:tcBorders>
            <w:noWrap w:val="0"/>
            <w:vAlign w:val="center"/>
          </w:tcPr>
          <w:p w14:paraId="3C4A3AAE">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tcBorders>
              <w:top w:val="double" w:color="auto" w:sz="6" w:space="0"/>
              <w:bottom w:val="single" w:color="auto" w:sz="6" w:space="0"/>
            </w:tcBorders>
            <w:noWrap w:val="0"/>
            <w:vAlign w:val="center"/>
          </w:tcPr>
          <w:p w14:paraId="3957BBD3">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tcBorders>
              <w:top w:val="double" w:color="auto" w:sz="6" w:space="0"/>
              <w:bottom w:val="single" w:color="auto" w:sz="6" w:space="0"/>
            </w:tcBorders>
            <w:noWrap w:val="0"/>
            <w:vAlign w:val="center"/>
          </w:tcPr>
          <w:p w14:paraId="5B331D10">
            <w:pPr>
              <w:keepNext/>
              <w:pageBreakBefore w:val="0"/>
              <w:kinsoku/>
              <w:bidi w:val="0"/>
              <w:spacing w:line="360" w:lineRule="auto"/>
              <w:ind w:left="63" w:right="63"/>
              <w:rPr>
                <w:rFonts w:hint="eastAsia" w:ascii="宋体" w:hAnsi="宋体" w:eastAsia="宋体" w:cs="宋体"/>
                <w:color w:val="auto"/>
                <w:sz w:val="24"/>
                <w:highlight w:val="none"/>
              </w:rPr>
            </w:pPr>
          </w:p>
        </w:tc>
      </w:tr>
      <w:tr w14:paraId="0CAD1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tcBorders>
              <w:top w:val="nil"/>
            </w:tcBorders>
            <w:noWrap w:val="0"/>
            <w:vAlign w:val="center"/>
          </w:tcPr>
          <w:p w14:paraId="2DDFE892">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tcBorders>
              <w:top w:val="nil"/>
            </w:tcBorders>
            <w:noWrap w:val="0"/>
            <w:vAlign w:val="center"/>
          </w:tcPr>
          <w:p w14:paraId="4BF1701E">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tcBorders>
              <w:top w:val="nil"/>
            </w:tcBorders>
            <w:noWrap w:val="0"/>
            <w:vAlign w:val="center"/>
          </w:tcPr>
          <w:p w14:paraId="10820CDF">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tcBorders>
              <w:top w:val="nil"/>
            </w:tcBorders>
            <w:noWrap w:val="0"/>
            <w:vAlign w:val="center"/>
          </w:tcPr>
          <w:p w14:paraId="3F5BC714">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tcBorders>
              <w:top w:val="nil"/>
            </w:tcBorders>
            <w:noWrap w:val="0"/>
            <w:vAlign w:val="center"/>
          </w:tcPr>
          <w:p w14:paraId="075300C5">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tcBorders>
              <w:top w:val="nil"/>
            </w:tcBorders>
            <w:noWrap w:val="0"/>
            <w:vAlign w:val="center"/>
          </w:tcPr>
          <w:p w14:paraId="15CC8E9C">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tcBorders>
              <w:top w:val="nil"/>
            </w:tcBorders>
            <w:noWrap w:val="0"/>
            <w:vAlign w:val="center"/>
          </w:tcPr>
          <w:p w14:paraId="25AC961D">
            <w:pPr>
              <w:keepNext/>
              <w:pageBreakBefore w:val="0"/>
              <w:kinsoku/>
              <w:bidi w:val="0"/>
              <w:spacing w:line="360" w:lineRule="auto"/>
              <w:ind w:left="63" w:right="63"/>
              <w:rPr>
                <w:rFonts w:hint="eastAsia" w:ascii="宋体" w:hAnsi="宋体" w:eastAsia="宋体" w:cs="宋体"/>
                <w:color w:val="auto"/>
                <w:sz w:val="24"/>
                <w:highlight w:val="none"/>
              </w:rPr>
            </w:pPr>
          </w:p>
        </w:tc>
      </w:tr>
      <w:tr w14:paraId="1E37C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5EDA209">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0661E7F6">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16554801">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48098EA1">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4230B8AC">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07285178">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480C7E6B">
            <w:pPr>
              <w:keepNext/>
              <w:pageBreakBefore w:val="0"/>
              <w:kinsoku/>
              <w:bidi w:val="0"/>
              <w:spacing w:line="360" w:lineRule="auto"/>
              <w:ind w:left="63" w:right="63"/>
              <w:rPr>
                <w:rFonts w:hint="eastAsia" w:ascii="宋体" w:hAnsi="宋体" w:eastAsia="宋体" w:cs="宋体"/>
                <w:color w:val="auto"/>
                <w:sz w:val="24"/>
                <w:highlight w:val="none"/>
              </w:rPr>
            </w:pPr>
          </w:p>
        </w:tc>
      </w:tr>
      <w:tr w14:paraId="0C654F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8D10779">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14BD6ABD">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05278CA3">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6FE4F251">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7DCD29CC">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56F12A86">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67339CF0">
            <w:pPr>
              <w:keepNext/>
              <w:pageBreakBefore w:val="0"/>
              <w:kinsoku/>
              <w:bidi w:val="0"/>
              <w:spacing w:line="360" w:lineRule="auto"/>
              <w:ind w:left="63" w:right="63"/>
              <w:rPr>
                <w:rFonts w:hint="eastAsia" w:ascii="宋体" w:hAnsi="宋体" w:eastAsia="宋体" w:cs="宋体"/>
                <w:color w:val="auto"/>
                <w:sz w:val="24"/>
                <w:highlight w:val="none"/>
              </w:rPr>
            </w:pPr>
          </w:p>
        </w:tc>
      </w:tr>
      <w:tr w14:paraId="29954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1C9D1E80">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09A81A8E">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0A40A5C9">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3A49B67C">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6BAC8A08">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3B44298B">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1A5773B8">
            <w:pPr>
              <w:keepNext/>
              <w:pageBreakBefore w:val="0"/>
              <w:kinsoku/>
              <w:bidi w:val="0"/>
              <w:spacing w:line="360" w:lineRule="auto"/>
              <w:ind w:left="63" w:right="63"/>
              <w:rPr>
                <w:rFonts w:hint="eastAsia" w:ascii="宋体" w:hAnsi="宋体" w:eastAsia="宋体" w:cs="宋体"/>
                <w:color w:val="auto"/>
                <w:sz w:val="24"/>
                <w:highlight w:val="none"/>
              </w:rPr>
            </w:pPr>
          </w:p>
        </w:tc>
      </w:tr>
      <w:tr w14:paraId="36A26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39A4DA17">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1E3777A7">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7BC24B36">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27414875">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51F02875">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1C0B0A00">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353A2869">
            <w:pPr>
              <w:keepNext/>
              <w:pageBreakBefore w:val="0"/>
              <w:kinsoku/>
              <w:bidi w:val="0"/>
              <w:spacing w:line="360" w:lineRule="auto"/>
              <w:ind w:left="63" w:right="63"/>
              <w:rPr>
                <w:rFonts w:hint="eastAsia" w:ascii="宋体" w:hAnsi="宋体" w:eastAsia="宋体" w:cs="宋体"/>
                <w:color w:val="auto"/>
                <w:sz w:val="24"/>
                <w:highlight w:val="none"/>
              </w:rPr>
            </w:pPr>
          </w:p>
        </w:tc>
      </w:tr>
      <w:tr w14:paraId="15888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41F96F7F">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5842FECD">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194959BB">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190E6C19">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1D27BC95">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29536EF5">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37EB12C6">
            <w:pPr>
              <w:keepNext/>
              <w:pageBreakBefore w:val="0"/>
              <w:kinsoku/>
              <w:bidi w:val="0"/>
              <w:spacing w:line="360" w:lineRule="auto"/>
              <w:ind w:left="63" w:right="63"/>
              <w:rPr>
                <w:rFonts w:hint="eastAsia" w:ascii="宋体" w:hAnsi="宋体" w:eastAsia="宋体" w:cs="宋体"/>
                <w:color w:val="auto"/>
                <w:sz w:val="24"/>
                <w:highlight w:val="none"/>
              </w:rPr>
            </w:pPr>
          </w:p>
        </w:tc>
      </w:tr>
      <w:tr w14:paraId="58A02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4924873E">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70B449A8">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794981B9">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2C2187F5">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362FD2DC">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7A90EECD">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30537748">
            <w:pPr>
              <w:keepNext/>
              <w:pageBreakBefore w:val="0"/>
              <w:kinsoku/>
              <w:bidi w:val="0"/>
              <w:spacing w:line="360" w:lineRule="auto"/>
              <w:ind w:left="63" w:right="63"/>
              <w:rPr>
                <w:rFonts w:hint="eastAsia" w:ascii="宋体" w:hAnsi="宋体" w:eastAsia="宋体" w:cs="宋体"/>
                <w:color w:val="auto"/>
                <w:sz w:val="24"/>
                <w:highlight w:val="none"/>
              </w:rPr>
            </w:pPr>
          </w:p>
        </w:tc>
      </w:tr>
      <w:tr w14:paraId="664BE2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DB8E3A4">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143F9447">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39E39A83">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6358DB22">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5AE1D7AD">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483009D1">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7F9BFAEE">
            <w:pPr>
              <w:pageBreakBefore w:val="0"/>
              <w:kinsoku/>
              <w:bidi w:val="0"/>
              <w:spacing w:line="360" w:lineRule="auto"/>
              <w:jc w:val="center"/>
              <w:rPr>
                <w:rFonts w:hint="eastAsia" w:ascii="宋体" w:hAnsi="宋体" w:eastAsia="宋体" w:cs="宋体"/>
                <w:color w:val="auto"/>
                <w:sz w:val="24"/>
                <w:highlight w:val="none"/>
              </w:rPr>
            </w:pPr>
          </w:p>
        </w:tc>
      </w:tr>
      <w:tr w14:paraId="3E9E81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2126BDED">
            <w:pPr>
              <w:keepNext/>
              <w:pageBreakBefore w:val="0"/>
              <w:kinsoku/>
              <w:bidi w:val="0"/>
              <w:spacing w:line="360" w:lineRule="auto"/>
              <w:ind w:left="63" w:right="63"/>
              <w:rPr>
                <w:rFonts w:hint="eastAsia" w:ascii="宋体" w:hAnsi="宋体" w:eastAsia="宋体" w:cs="宋体"/>
                <w:color w:val="auto"/>
                <w:sz w:val="24"/>
                <w:highlight w:val="none"/>
              </w:rPr>
            </w:pPr>
          </w:p>
        </w:tc>
        <w:tc>
          <w:tcPr>
            <w:tcW w:w="540" w:type="pct"/>
            <w:noWrap w:val="0"/>
            <w:vAlign w:val="center"/>
          </w:tcPr>
          <w:p w14:paraId="3A0A0733">
            <w:pPr>
              <w:keepNext/>
              <w:pageBreakBefore w:val="0"/>
              <w:kinsoku/>
              <w:bidi w:val="0"/>
              <w:spacing w:line="360" w:lineRule="auto"/>
              <w:ind w:left="63" w:right="63"/>
              <w:rPr>
                <w:rFonts w:hint="eastAsia" w:ascii="宋体" w:hAnsi="宋体" w:eastAsia="宋体" w:cs="宋体"/>
                <w:color w:val="auto"/>
                <w:sz w:val="24"/>
                <w:highlight w:val="none"/>
              </w:rPr>
            </w:pPr>
          </w:p>
        </w:tc>
        <w:tc>
          <w:tcPr>
            <w:tcW w:w="593" w:type="pct"/>
            <w:noWrap w:val="0"/>
            <w:vAlign w:val="center"/>
          </w:tcPr>
          <w:p w14:paraId="49FE214A">
            <w:pPr>
              <w:keepNext/>
              <w:pageBreakBefore w:val="0"/>
              <w:kinsoku/>
              <w:bidi w:val="0"/>
              <w:spacing w:line="360" w:lineRule="auto"/>
              <w:ind w:left="63" w:right="63"/>
              <w:rPr>
                <w:rFonts w:hint="eastAsia" w:ascii="宋体" w:hAnsi="宋体" w:eastAsia="宋体" w:cs="宋体"/>
                <w:color w:val="auto"/>
                <w:sz w:val="24"/>
                <w:highlight w:val="none"/>
              </w:rPr>
            </w:pPr>
          </w:p>
        </w:tc>
        <w:tc>
          <w:tcPr>
            <w:tcW w:w="712" w:type="pct"/>
            <w:noWrap w:val="0"/>
            <w:vAlign w:val="center"/>
          </w:tcPr>
          <w:p w14:paraId="47331AF9">
            <w:pPr>
              <w:keepNext/>
              <w:pageBreakBefore w:val="0"/>
              <w:kinsoku/>
              <w:bidi w:val="0"/>
              <w:spacing w:line="360" w:lineRule="auto"/>
              <w:ind w:left="63" w:right="63"/>
              <w:rPr>
                <w:rFonts w:hint="eastAsia" w:ascii="宋体" w:hAnsi="宋体" w:eastAsia="宋体" w:cs="宋体"/>
                <w:color w:val="auto"/>
                <w:sz w:val="24"/>
                <w:highlight w:val="none"/>
              </w:rPr>
            </w:pPr>
          </w:p>
        </w:tc>
        <w:tc>
          <w:tcPr>
            <w:tcW w:w="774" w:type="pct"/>
            <w:noWrap w:val="0"/>
            <w:vAlign w:val="center"/>
          </w:tcPr>
          <w:p w14:paraId="195536FE">
            <w:pPr>
              <w:keepNext/>
              <w:pageBreakBefore w:val="0"/>
              <w:kinsoku/>
              <w:bidi w:val="0"/>
              <w:spacing w:line="360" w:lineRule="auto"/>
              <w:ind w:left="63" w:right="63"/>
              <w:rPr>
                <w:rFonts w:hint="eastAsia" w:ascii="宋体" w:hAnsi="宋体" w:eastAsia="宋体" w:cs="宋体"/>
                <w:color w:val="auto"/>
                <w:sz w:val="24"/>
                <w:highlight w:val="none"/>
              </w:rPr>
            </w:pPr>
          </w:p>
        </w:tc>
        <w:tc>
          <w:tcPr>
            <w:tcW w:w="1560" w:type="pct"/>
            <w:noWrap w:val="0"/>
            <w:vAlign w:val="center"/>
          </w:tcPr>
          <w:p w14:paraId="05FCC604">
            <w:pPr>
              <w:keepNext/>
              <w:pageBreakBefore w:val="0"/>
              <w:kinsoku/>
              <w:bidi w:val="0"/>
              <w:spacing w:line="360" w:lineRule="auto"/>
              <w:ind w:left="63" w:right="63"/>
              <w:rPr>
                <w:rFonts w:hint="eastAsia" w:ascii="宋体" w:hAnsi="宋体" w:eastAsia="宋体" w:cs="宋体"/>
                <w:color w:val="auto"/>
                <w:sz w:val="24"/>
                <w:highlight w:val="none"/>
              </w:rPr>
            </w:pPr>
          </w:p>
        </w:tc>
        <w:tc>
          <w:tcPr>
            <w:tcW w:w="536" w:type="pct"/>
            <w:noWrap w:val="0"/>
            <w:vAlign w:val="center"/>
          </w:tcPr>
          <w:p w14:paraId="432E9089">
            <w:pPr>
              <w:keepNext/>
              <w:pageBreakBefore w:val="0"/>
              <w:kinsoku/>
              <w:bidi w:val="0"/>
              <w:spacing w:line="360" w:lineRule="auto"/>
              <w:ind w:left="63" w:right="63"/>
              <w:rPr>
                <w:rFonts w:hint="eastAsia" w:ascii="宋体" w:hAnsi="宋体" w:eastAsia="宋体" w:cs="宋体"/>
                <w:color w:val="auto"/>
                <w:sz w:val="24"/>
                <w:highlight w:val="none"/>
              </w:rPr>
            </w:pPr>
          </w:p>
        </w:tc>
      </w:tr>
      <w:tr w14:paraId="30D9A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22F4C7B7">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3E93BECD">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27170083">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4AFF4D9D">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7E5442BE">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4C965DDA">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18B84694">
            <w:pPr>
              <w:pageBreakBefore w:val="0"/>
              <w:kinsoku/>
              <w:bidi w:val="0"/>
              <w:spacing w:line="360" w:lineRule="auto"/>
              <w:jc w:val="center"/>
              <w:rPr>
                <w:rFonts w:hint="eastAsia" w:ascii="宋体" w:hAnsi="宋体" w:eastAsia="宋体" w:cs="宋体"/>
                <w:color w:val="auto"/>
                <w:sz w:val="24"/>
                <w:highlight w:val="none"/>
              </w:rPr>
            </w:pPr>
          </w:p>
        </w:tc>
      </w:tr>
      <w:tr w14:paraId="76BF1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34DAD913">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3183ABB3">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220496D7">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5FF861F5">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4C5FE008">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2F16D6EC">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178E3222">
            <w:pPr>
              <w:pageBreakBefore w:val="0"/>
              <w:kinsoku/>
              <w:bidi w:val="0"/>
              <w:spacing w:line="360" w:lineRule="auto"/>
              <w:jc w:val="center"/>
              <w:rPr>
                <w:rFonts w:hint="eastAsia" w:ascii="宋体" w:hAnsi="宋体" w:eastAsia="宋体" w:cs="宋体"/>
                <w:color w:val="auto"/>
                <w:sz w:val="24"/>
                <w:highlight w:val="none"/>
              </w:rPr>
            </w:pPr>
          </w:p>
        </w:tc>
      </w:tr>
      <w:tr w14:paraId="4B3CA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45D6C51A">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6AEF0671">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30E65BB3">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754FB881">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00981D76">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0F296ECE">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71E34FE5">
            <w:pPr>
              <w:pageBreakBefore w:val="0"/>
              <w:kinsoku/>
              <w:bidi w:val="0"/>
              <w:spacing w:line="360" w:lineRule="auto"/>
              <w:jc w:val="center"/>
              <w:rPr>
                <w:rFonts w:hint="eastAsia" w:ascii="宋体" w:hAnsi="宋体" w:eastAsia="宋体" w:cs="宋体"/>
                <w:color w:val="auto"/>
                <w:sz w:val="24"/>
                <w:highlight w:val="none"/>
              </w:rPr>
            </w:pPr>
          </w:p>
        </w:tc>
      </w:tr>
      <w:tr w14:paraId="504AF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3E1511FE">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6062F353">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31A4EEDC">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3B3DEE1D">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66E05943">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5465F513">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57433D5A">
            <w:pPr>
              <w:pageBreakBefore w:val="0"/>
              <w:kinsoku/>
              <w:bidi w:val="0"/>
              <w:spacing w:line="360" w:lineRule="auto"/>
              <w:jc w:val="center"/>
              <w:rPr>
                <w:rFonts w:hint="eastAsia" w:ascii="宋体" w:hAnsi="宋体" w:eastAsia="宋体" w:cs="宋体"/>
                <w:color w:val="auto"/>
                <w:sz w:val="24"/>
                <w:highlight w:val="none"/>
              </w:rPr>
            </w:pPr>
          </w:p>
        </w:tc>
      </w:tr>
      <w:tr w14:paraId="39C4A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82" w:type="pct"/>
            <w:noWrap w:val="0"/>
            <w:vAlign w:val="center"/>
          </w:tcPr>
          <w:p w14:paraId="7995D115">
            <w:pPr>
              <w:pageBreakBefore w:val="0"/>
              <w:kinsoku/>
              <w:bidi w:val="0"/>
              <w:spacing w:line="360" w:lineRule="auto"/>
              <w:jc w:val="center"/>
              <w:rPr>
                <w:rFonts w:hint="eastAsia" w:ascii="宋体" w:hAnsi="宋体" w:eastAsia="宋体" w:cs="宋体"/>
                <w:color w:val="auto"/>
                <w:sz w:val="24"/>
                <w:highlight w:val="none"/>
              </w:rPr>
            </w:pPr>
          </w:p>
        </w:tc>
        <w:tc>
          <w:tcPr>
            <w:tcW w:w="540" w:type="pct"/>
            <w:noWrap w:val="0"/>
            <w:vAlign w:val="center"/>
          </w:tcPr>
          <w:p w14:paraId="799408EE">
            <w:pPr>
              <w:pageBreakBefore w:val="0"/>
              <w:kinsoku/>
              <w:bidi w:val="0"/>
              <w:spacing w:line="360" w:lineRule="auto"/>
              <w:jc w:val="center"/>
              <w:rPr>
                <w:rFonts w:hint="eastAsia" w:ascii="宋体" w:hAnsi="宋体" w:eastAsia="宋体" w:cs="宋体"/>
                <w:color w:val="auto"/>
                <w:sz w:val="24"/>
                <w:highlight w:val="none"/>
              </w:rPr>
            </w:pPr>
          </w:p>
        </w:tc>
        <w:tc>
          <w:tcPr>
            <w:tcW w:w="593" w:type="pct"/>
            <w:noWrap w:val="0"/>
            <w:vAlign w:val="center"/>
          </w:tcPr>
          <w:p w14:paraId="14DCF2B8">
            <w:pPr>
              <w:pageBreakBefore w:val="0"/>
              <w:kinsoku/>
              <w:bidi w:val="0"/>
              <w:spacing w:line="360" w:lineRule="auto"/>
              <w:jc w:val="center"/>
              <w:rPr>
                <w:rFonts w:hint="eastAsia" w:ascii="宋体" w:hAnsi="宋体" w:eastAsia="宋体" w:cs="宋体"/>
                <w:color w:val="auto"/>
                <w:sz w:val="24"/>
                <w:highlight w:val="none"/>
              </w:rPr>
            </w:pPr>
          </w:p>
        </w:tc>
        <w:tc>
          <w:tcPr>
            <w:tcW w:w="712" w:type="pct"/>
            <w:noWrap w:val="0"/>
            <w:vAlign w:val="center"/>
          </w:tcPr>
          <w:p w14:paraId="7167C981">
            <w:pPr>
              <w:pageBreakBefore w:val="0"/>
              <w:kinsoku/>
              <w:bidi w:val="0"/>
              <w:spacing w:line="360" w:lineRule="auto"/>
              <w:jc w:val="center"/>
              <w:rPr>
                <w:rFonts w:hint="eastAsia" w:ascii="宋体" w:hAnsi="宋体" w:eastAsia="宋体" w:cs="宋体"/>
                <w:color w:val="auto"/>
                <w:sz w:val="24"/>
                <w:highlight w:val="none"/>
              </w:rPr>
            </w:pPr>
          </w:p>
        </w:tc>
        <w:tc>
          <w:tcPr>
            <w:tcW w:w="774" w:type="pct"/>
            <w:noWrap w:val="0"/>
            <w:vAlign w:val="center"/>
          </w:tcPr>
          <w:p w14:paraId="18D3690E">
            <w:pPr>
              <w:pageBreakBefore w:val="0"/>
              <w:kinsoku/>
              <w:bidi w:val="0"/>
              <w:spacing w:line="360" w:lineRule="auto"/>
              <w:jc w:val="center"/>
              <w:rPr>
                <w:rFonts w:hint="eastAsia" w:ascii="宋体" w:hAnsi="宋体" w:eastAsia="宋体" w:cs="宋体"/>
                <w:color w:val="auto"/>
                <w:sz w:val="24"/>
                <w:highlight w:val="none"/>
              </w:rPr>
            </w:pPr>
          </w:p>
        </w:tc>
        <w:tc>
          <w:tcPr>
            <w:tcW w:w="1560" w:type="pct"/>
            <w:noWrap w:val="0"/>
            <w:vAlign w:val="center"/>
          </w:tcPr>
          <w:p w14:paraId="1C6A098B">
            <w:pPr>
              <w:pageBreakBefore w:val="0"/>
              <w:kinsoku/>
              <w:bidi w:val="0"/>
              <w:spacing w:line="360" w:lineRule="auto"/>
              <w:jc w:val="center"/>
              <w:rPr>
                <w:rFonts w:hint="eastAsia" w:ascii="宋体" w:hAnsi="宋体" w:eastAsia="宋体" w:cs="宋体"/>
                <w:color w:val="auto"/>
                <w:sz w:val="24"/>
                <w:highlight w:val="none"/>
              </w:rPr>
            </w:pPr>
          </w:p>
        </w:tc>
        <w:tc>
          <w:tcPr>
            <w:tcW w:w="536" w:type="pct"/>
            <w:noWrap w:val="0"/>
            <w:vAlign w:val="center"/>
          </w:tcPr>
          <w:p w14:paraId="1A113090">
            <w:pPr>
              <w:pageBreakBefore w:val="0"/>
              <w:kinsoku/>
              <w:bidi w:val="0"/>
              <w:spacing w:line="360" w:lineRule="auto"/>
              <w:jc w:val="center"/>
              <w:rPr>
                <w:rFonts w:hint="eastAsia" w:ascii="宋体" w:hAnsi="宋体" w:eastAsia="宋体" w:cs="宋体"/>
                <w:color w:val="auto"/>
                <w:sz w:val="24"/>
                <w:highlight w:val="none"/>
              </w:rPr>
            </w:pPr>
          </w:p>
        </w:tc>
      </w:tr>
    </w:tbl>
    <w:p w14:paraId="43736003">
      <w:pPr>
        <w:pStyle w:val="6"/>
        <w:pageBreakBefore w:val="0"/>
        <w:kinsoku/>
        <w:bidi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注：请附相关证明</w:t>
      </w:r>
      <w:r>
        <w:rPr>
          <w:rFonts w:hint="eastAsia" w:ascii="宋体" w:hAnsi="宋体" w:eastAsia="宋体" w:cs="宋体"/>
          <w:b w:val="0"/>
          <w:bCs w:val="0"/>
          <w:color w:val="auto"/>
          <w:sz w:val="24"/>
          <w:szCs w:val="24"/>
          <w:highlight w:val="none"/>
          <w:lang w:val="en-US" w:eastAsia="zh-CN"/>
        </w:rPr>
        <w:t>扫描</w:t>
      </w:r>
      <w:r>
        <w:rPr>
          <w:rFonts w:hint="eastAsia" w:ascii="宋体" w:hAnsi="宋体" w:eastAsia="宋体" w:cs="宋体"/>
          <w:b w:val="0"/>
          <w:bCs w:val="0"/>
          <w:color w:val="auto"/>
          <w:sz w:val="24"/>
          <w:szCs w:val="24"/>
          <w:highlight w:val="none"/>
        </w:rPr>
        <w:t>件。</w:t>
      </w:r>
    </w:p>
    <w:p w14:paraId="4A2A7505">
      <w:pPr>
        <w:pageBreakBefore w:val="0"/>
        <w:kinsoku/>
        <w:bidi w:val="0"/>
        <w:spacing w:line="360" w:lineRule="auto"/>
        <w:jc w:val="righ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投标人名称（盖章）</w:t>
      </w:r>
      <w:r>
        <w:rPr>
          <w:rFonts w:hint="eastAsia" w:ascii="宋体" w:hAnsi="宋体" w:eastAsia="宋体" w:cs="宋体"/>
          <w:bCs/>
          <w:color w:val="auto"/>
          <w:sz w:val="24"/>
          <w:szCs w:val="24"/>
          <w:highlight w:val="none"/>
          <w:lang w:eastAsia="zh-CN"/>
        </w:rPr>
        <w:t>：</w:t>
      </w:r>
    </w:p>
    <w:p w14:paraId="70FD64C7">
      <w:pPr>
        <w:pageBreakBefore w:val="0"/>
        <w:kinsoku/>
        <w:bidi w:val="0"/>
        <w:spacing w:line="360" w:lineRule="auto"/>
        <w:rPr>
          <w:rFonts w:hint="eastAsia" w:ascii="宋体" w:hAnsi="宋体" w:eastAsia="宋体" w:cs="宋体"/>
          <w:highlight w:val="none"/>
        </w:rPr>
      </w:pPr>
    </w:p>
    <w:p w14:paraId="1DD420DC">
      <w:pPr>
        <w:pageBreakBefore w:val="0"/>
        <w:kinsoku/>
        <w:bidi w:val="0"/>
        <w:spacing w:line="360" w:lineRule="auto"/>
        <w:jc w:val="center"/>
        <w:outlineLvl w:val="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十</w:t>
      </w:r>
      <w:r>
        <w:rPr>
          <w:rFonts w:hint="eastAsia" w:ascii="宋体" w:hAnsi="宋体" w:cs="宋体"/>
          <w:b/>
          <w:bCs/>
          <w:kern w:val="0"/>
          <w:sz w:val="24"/>
          <w:szCs w:val="24"/>
          <w:highlight w:val="none"/>
          <w:lang w:val="en-US" w:eastAsia="zh-CN" w:bidi="ar-SA"/>
        </w:rPr>
        <w:t>三</w:t>
      </w:r>
      <w:r>
        <w:rPr>
          <w:rFonts w:hint="eastAsia" w:ascii="宋体" w:hAnsi="宋体" w:eastAsia="宋体" w:cs="宋体"/>
          <w:b/>
          <w:bCs/>
          <w:kern w:val="0"/>
          <w:sz w:val="24"/>
          <w:szCs w:val="24"/>
          <w:highlight w:val="none"/>
          <w:lang w:val="en-US" w:eastAsia="zh-CN" w:bidi="ar-SA"/>
        </w:rPr>
        <w:t>、其他</w:t>
      </w:r>
    </w:p>
    <w:p w14:paraId="3088EABB">
      <w:pPr>
        <w:pageBreakBefore w:val="0"/>
        <w:kinsoku/>
        <w:bidi w:val="0"/>
        <w:spacing w:line="360" w:lineRule="auto"/>
        <w:ind w:firstLine="480" w:firstLineChars="200"/>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投标人认为有必要提供的声明和文件，如有自拟并自行添加。</w:t>
      </w:r>
    </w:p>
    <w:p w14:paraId="0566A913">
      <w:pPr>
        <w:pageBreakBefore w:val="0"/>
        <w:kinsoku/>
        <w:bidi w:val="0"/>
        <w:spacing w:line="360" w:lineRule="auto"/>
        <w:rPr>
          <w:rFonts w:hint="eastAsia" w:ascii="宋体" w:hAnsi="宋体" w:eastAsia="宋体" w:cs="宋体"/>
          <w:highlight w:val="none"/>
        </w:rPr>
      </w:pPr>
    </w:p>
    <w:p w14:paraId="2F8FF37D">
      <w:pPr>
        <w:pageBreakBefore w:val="0"/>
        <w:kinsoku/>
        <w:bidi w:val="0"/>
        <w:spacing w:line="360" w:lineRule="auto"/>
        <w:rPr>
          <w:rFonts w:hint="eastAsia" w:ascii="宋体" w:hAnsi="宋体" w:eastAsia="宋体" w:cs="宋体"/>
          <w:highlight w:val="none"/>
        </w:rPr>
      </w:pPr>
    </w:p>
    <w:sectPr>
      <w:pgSz w:w="11906" w:h="16838"/>
      <w:pgMar w:top="1440" w:right="1080" w:bottom="1440" w:left="1080" w:header="851" w:footer="907" w:gutter="0"/>
      <w:pgNumType w:fmt="decimal"/>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62822">
    <w:pPr>
      <w:pStyle w:val="30"/>
      <w:jc w:val="center"/>
      <w:rPr>
        <w:rFonts w:hint="eastAsia"/>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1B9533">
                          <w:pPr>
                            <w:pStyle w:val="30"/>
                          </w:pPr>
                          <w:r>
                            <w:fldChar w:fldCharType="begin"/>
                          </w:r>
                          <w:r>
                            <w:instrText xml:space="preserve"> PAGE  \* MERGEFORMAT </w:instrText>
                          </w:r>
                          <w:r>
                            <w:fldChar w:fldCharType="separate"/>
                          </w:r>
                          <w:r>
                            <w:t>１</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691B9533">
                    <w:pPr>
                      <w:pStyle w:val="30"/>
                    </w:pPr>
                    <w:r>
                      <w:fldChar w:fldCharType="begin"/>
                    </w:r>
                    <w:r>
                      <w:instrText xml:space="preserve"> PAGE  \* MERGEFORMAT </w:instrText>
                    </w:r>
                    <w:r>
                      <w:fldChar w:fldCharType="separate"/>
                    </w:r>
                    <w:r>
                      <w:t>１</w:t>
                    </w:r>
                    <w:r>
                      <w:fldChar w:fldCharType="end"/>
                    </w:r>
                  </w:p>
                </w:txbxContent>
              </v:textbox>
            </v:shape>
          </w:pict>
        </mc:Fallback>
      </mc:AlternateContent>
    </w: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B5028">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0CAF2B">
                          <w:pPr>
                            <w:pStyle w:val="30"/>
                          </w:pPr>
                          <w:r>
                            <w:fldChar w:fldCharType="begin"/>
                          </w:r>
                          <w:r>
                            <w:instrText xml:space="preserve"> PAGE  \* MERGEFORMAT </w:instrText>
                          </w:r>
                          <w:r>
                            <w:fldChar w:fldCharType="separate"/>
                          </w:r>
                          <w:r>
                            <w:t>１</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0+Gd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rDT4Z3gEAAL4DAAAOAAAAAAAA&#10;AAEAIAAAAB4BAABkcnMvZTJvRG9jLnhtbFBLBQYAAAAABgAGAFkBAABuBQAAAAA=&#10;">
              <v:fill on="f" focussize="0,0"/>
              <v:stroke on="f"/>
              <v:imagedata o:title=""/>
              <o:lock v:ext="edit" aspectratio="f"/>
              <v:textbox inset="0mm,0mm,0mm,0mm" style="mso-fit-shape-to-text:t;">
                <w:txbxContent>
                  <w:p w14:paraId="530CAF2B">
                    <w:pPr>
                      <w:pStyle w:val="30"/>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699DF">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3A9E7">
    <w:pPr>
      <w:pStyle w:val="3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316B40"/>
    <w:multiLevelType w:val="singleLevel"/>
    <w:tmpl w:val="8D316B40"/>
    <w:lvl w:ilvl="0" w:tentative="0">
      <w:start w:val="1"/>
      <w:numFmt w:val="decimal"/>
      <w:suff w:val="nothing"/>
      <w:lvlText w:val="（%1）"/>
      <w:lvlJc w:val="left"/>
    </w:lvl>
  </w:abstractNum>
  <w:abstractNum w:abstractNumId="1">
    <w:nsid w:val="F35257AB"/>
    <w:multiLevelType w:val="multilevel"/>
    <w:tmpl w:val="F35257A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F6CF02D4"/>
    <w:multiLevelType w:val="multilevel"/>
    <w:tmpl w:val="F6CF02D4"/>
    <w:lvl w:ilvl="0" w:tentative="0">
      <w:start w:val="1"/>
      <w:numFmt w:val="chineseCountingThousand"/>
      <w:suff w:val="nothing"/>
      <w:lvlText w:val="第%1条 "/>
      <w:lvlJc w:val="left"/>
      <w:pPr>
        <w:ind w:left="0"/>
      </w:pPr>
      <w:rPr>
        <w:rFonts w:hint="eastAsia"/>
        <w:sz w:val="24"/>
        <w:szCs w:val="24"/>
      </w:rPr>
    </w:lvl>
    <w:lvl w:ilvl="1" w:tentative="0">
      <w:start w:val="1"/>
      <w:numFmt w:val="decimalHalfWidth"/>
      <w:suff w:val="nothing"/>
      <w:lvlText w:val="%2. "/>
      <w:lvlJc w:val="left"/>
      <w:pPr>
        <w:ind w:left="0"/>
      </w:pPr>
      <w:rPr>
        <w:rFonts w:hint="eastAsia"/>
      </w:rPr>
    </w:lvl>
    <w:lvl w:ilvl="2" w:tentative="0">
      <w:start w:val="1"/>
      <w:numFmt w:val="decimalHalfWidth"/>
      <w:suff w:val="nothing"/>
      <w:lvlText w:val="（%3）"/>
      <w:lvlJc w:val="left"/>
      <w:pPr>
        <w:ind w:left="0"/>
      </w:pPr>
      <w:rPr>
        <w:rFonts w:hint="eastAsia"/>
      </w:rPr>
    </w:lvl>
    <w:lvl w:ilvl="3" w:tentative="0">
      <w:start w:val="1"/>
      <w:numFmt w:val="lowerLetter"/>
      <w:lvlText w:val="%4. "/>
      <w:lvlJc w:val="left"/>
      <w:pPr>
        <w:ind w:left="0"/>
      </w:pPr>
      <w:rPr>
        <w:rFonts w:hint="eastAsia"/>
      </w:rPr>
    </w:lvl>
    <w:lvl w:ilvl="4" w:tentative="0">
      <w:start w:val="1"/>
      <w:numFmt w:val="lowerLetter"/>
      <w:lvlText w:val="（%5）"/>
      <w:lvlJc w:val="left"/>
      <w:pPr>
        <w:ind w:left="0"/>
      </w:pPr>
      <w:rPr>
        <w:rFonts w:hint="eastAsia"/>
      </w:rPr>
    </w:lvl>
    <w:lvl w:ilvl="5" w:tentative="0">
      <w:start w:val="1"/>
      <w:numFmt w:val="lowerRoman"/>
      <w:lvlText w:val="%6 "/>
      <w:lvlJc w:val="left"/>
      <w:pPr>
        <w:ind w:left="0"/>
      </w:pPr>
      <w:rPr>
        <w:rFonts w:hint="eastAsia"/>
      </w:rPr>
    </w:lvl>
    <w:lvl w:ilvl="6" w:tentative="0">
      <w:start w:val="1"/>
      <w:numFmt w:val="decimalHalfWidth"/>
      <w:lvlText w:val="%7. "/>
      <w:lvlJc w:val="left"/>
      <w:pPr>
        <w:ind w:left="0"/>
      </w:pPr>
      <w:rPr>
        <w:rFonts w:hint="eastAsia"/>
      </w:rPr>
    </w:lvl>
    <w:lvl w:ilvl="7" w:tentative="0">
      <w:start w:val="1"/>
      <w:numFmt w:val="decimalHalfWidth"/>
      <w:lvlText w:val="（%8）"/>
      <w:lvlJc w:val="left"/>
      <w:pPr>
        <w:ind w:left="0"/>
      </w:pPr>
      <w:rPr>
        <w:rFonts w:hint="eastAsia"/>
      </w:rPr>
    </w:lvl>
    <w:lvl w:ilvl="8" w:tentative="0">
      <w:start w:val="1"/>
      <w:numFmt w:val="lowerLetter"/>
      <w:lvlText w:val="%9. "/>
      <w:lvlJc w:val="left"/>
      <w:pPr>
        <w:ind w:left="0"/>
      </w:pPr>
      <w:rPr>
        <w:rFonts w:hint="eastAsia"/>
      </w:rPr>
    </w:lvl>
  </w:abstractNum>
  <w:abstractNum w:abstractNumId="3">
    <w:nsid w:val="FF5652B1"/>
    <w:multiLevelType w:val="singleLevel"/>
    <w:tmpl w:val="FF5652B1"/>
    <w:lvl w:ilvl="0" w:tentative="0">
      <w:start w:val="1"/>
      <w:numFmt w:val="decimal"/>
      <w:suff w:val="nothing"/>
      <w:lvlText w:val="（%1）"/>
      <w:lvlJc w:val="left"/>
    </w:lvl>
  </w:abstractNum>
  <w:abstractNum w:abstractNumId="4">
    <w:nsid w:val="06784D56"/>
    <w:multiLevelType w:val="singleLevel"/>
    <w:tmpl w:val="06784D56"/>
    <w:lvl w:ilvl="0" w:tentative="0">
      <w:start w:val="1"/>
      <w:numFmt w:val="upperLetter"/>
      <w:pStyle w:val="90"/>
      <w:lvlText w:val="附录%1."/>
      <w:lvlJc w:val="left"/>
      <w:pPr>
        <w:tabs>
          <w:tab w:val="left" w:pos="907"/>
        </w:tabs>
        <w:ind w:left="907" w:hanging="907"/>
      </w:pPr>
      <w:rPr>
        <w:rFonts w:hint="eastAsia"/>
      </w:rPr>
    </w:lvl>
  </w:abstractNum>
  <w:abstractNum w:abstractNumId="5">
    <w:nsid w:val="420C153B"/>
    <w:multiLevelType w:val="multilevel"/>
    <w:tmpl w:val="420C153B"/>
    <w:lvl w:ilvl="0" w:tentative="0">
      <w:start w:val="1"/>
      <w:numFmt w:val="decimal"/>
      <w:pStyle w:val="10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7">
    <w:nsid w:val="64607A38"/>
    <w:multiLevelType w:val="multilevel"/>
    <w:tmpl w:val="64607A3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668CB963"/>
    <w:multiLevelType w:val="singleLevel"/>
    <w:tmpl w:val="668CB963"/>
    <w:lvl w:ilvl="0" w:tentative="0">
      <w:start w:val="1"/>
      <w:numFmt w:val="bullet"/>
      <w:pStyle w:val="25"/>
      <w:lvlText w:val=""/>
      <w:lvlJc w:val="left"/>
      <w:pPr>
        <w:tabs>
          <w:tab w:val="left" w:pos="2040"/>
        </w:tabs>
        <w:ind w:left="2040" w:hanging="360"/>
      </w:pPr>
      <w:rPr>
        <w:rFonts w:hint="default" w:ascii="Wingdings" w:hAnsi="Wingdings"/>
      </w:rPr>
    </w:lvl>
  </w:abstractNum>
  <w:abstractNum w:abstractNumId="9">
    <w:nsid w:val="6DDEE655"/>
    <w:multiLevelType w:val="singleLevel"/>
    <w:tmpl w:val="6DDEE655"/>
    <w:lvl w:ilvl="0" w:tentative="0">
      <w:start w:val="1"/>
      <w:numFmt w:val="decimal"/>
      <w:suff w:val="nothing"/>
      <w:lvlText w:val="（%1）"/>
      <w:lvlJc w:val="left"/>
    </w:lvl>
  </w:abstractNum>
  <w:abstractNum w:abstractNumId="10">
    <w:nsid w:val="7E16B2F0"/>
    <w:multiLevelType w:val="singleLevel"/>
    <w:tmpl w:val="7E16B2F0"/>
    <w:lvl w:ilvl="0" w:tentative="0">
      <w:start w:val="1"/>
      <w:numFmt w:val="decimal"/>
      <w:lvlText w:val="%1."/>
      <w:lvlJc w:val="left"/>
      <w:pPr>
        <w:tabs>
          <w:tab w:val="left" w:pos="312"/>
        </w:tabs>
      </w:pPr>
    </w:lvl>
  </w:abstractNum>
  <w:num w:numId="1">
    <w:abstractNumId w:val="6"/>
  </w:num>
  <w:num w:numId="2">
    <w:abstractNumId w:val="8"/>
  </w:num>
  <w:num w:numId="3">
    <w:abstractNumId w:val="4"/>
  </w:num>
  <w:num w:numId="4">
    <w:abstractNumId w:val="5"/>
  </w:num>
  <w:num w:numId="5">
    <w:abstractNumId w:val="2"/>
  </w:num>
  <w:num w:numId="6">
    <w:abstractNumId w:val="1"/>
  </w:num>
  <w:num w:numId="7">
    <w:abstractNumId w:val="3"/>
  </w:num>
  <w:num w:numId="8">
    <w:abstractNumId w:val="9"/>
  </w:num>
  <w:num w:numId="9">
    <w:abstractNumId w:val="0"/>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3OWU1NzgxZGY0N2E5ODY4M2E5Njk0YTczNGM4MjEifQ=="/>
    <w:docVar w:name="KGWebUrl" w:val="https://www.ccgp-jiangsu.gov.cn:5009/zfcgzx/OfficeServer"/>
    <w:docVar w:name="KSO_WPS_MARK_KEY" w:val="8cabea9a-6ba4-40c9-a839-55c2e815d4a0"/>
  </w:docVars>
  <w:rsids>
    <w:rsidRoot w:val="00917B7E"/>
    <w:rsid w:val="00000983"/>
    <w:rsid w:val="00000B9D"/>
    <w:rsid w:val="0000159D"/>
    <w:rsid w:val="000027ED"/>
    <w:rsid w:val="000028E0"/>
    <w:rsid w:val="00003281"/>
    <w:rsid w:val="00003C36"/>
    <w:rsid w:val="00010211"/>
    <w:rsid w:val="0001108D"/>
    <w:rsid w:val="00012518"/>
    <w:rsid w:val="00013CC7"/>
    <w:rsid w:val="0001495F"/>
    <w:rsid w:val="00015146"/>
    <w:rsid w:val="000175F2"/>
    <w:rsid w:val="00017AB7"/>
    <w:rsid w:val="0002043E"/>
    <w:rsid w:val="00020CAC"/>
    <w:rsid w:val="0002163D"/>
    <w:rsid w:val="00024663"/>
    <w:rsid w:val="000257F4"/>
    <w:rsid w:val="00026B81"/>
    <w:rsid w:val="00032768"/>
    <w:rsid w:val="00033251"/>
    <w:rsid w:val="00033480"/>
    <w:rsid w:val="00037C9E"/>
    <w:rsid w:val="000416CA"/>
    <w:rsid w:val="00042610"/>
    <w:rsid w:val="0004500D"/>
    <w:rsid w:val="0004657B"/>
    <w:rsid w:val="0004703B"/>
    <w:rsid w:val="0004785E"/>
    <w:rsid w:val="00050BAC"/>
    <w:rsid w:val="00053923"/>
    <w:rsid w:val="000542F5"/>
    <w:rsid w:val="00055949"/>
    <w:rsid w:val="000564C2"/>
    <w:rsid w:val="00057472"/>
    <w:rsid w:val="000601F1"/>
    <w:rsid w:val="00060843"/>
    <w:rsid w:val="00063115"/>
    <w:rsid w:val="0006405F"/>
    <w:rsid w:val="000655CF"/>
    <w:rsid w:val="000657AD"/>
    <w:rsid w:val="0007016A"/>
    <w:rsid w:val="00070FF4"/>
    <w:rsid w:val="00071868"/>
    <w:rsid w:val="00071FDE"/>
    <w:rsid w:val="0007211C"/>
    <w:rsid w:val="000746C2"/>
    <w:rsid w:val="000759AD"/>
    <w:rsid w:val="00075EAD"/>
    <w:rsid w:val="0007667C"/>
    <w:rsid w:val="00076898"/>
    <w:rsid w:val="00077D9E"/>
    <w:rsid w:val="00083BEF"/>
    <w:rsid w:val="000863F7"/>
    <w:rsid w:val="00086CBE"/>
    <w:rsid w:val="000877DE"/>
    <w:rsid w:val="0009166D"/>
    <w:rsid w:val="000918F8"/>
    <w:rsid w:val="00094D49"/>
    <w:rsid w:val="00095FB7"/>
    <w:rsid w:val="00097DF4"/>
    <w:rsid w:val="000A201E"/>
    <w:rsid w:val="000A2C4B"/>
    <w:rsid w:val="000A3B83"/>
    <w:rsid w:val="000A6DA3"/>
    <w:rsid w:val="000A77F5"/>
    <w:rsid w:val="000B05CA"/>
    <w:rsid w:val="000B21DB"/>
    <w:rsid w:val="000B235C"/>
    <w:rsid w:val="000B42E7"/>
    <w:rsid w:val="000B4A00"/>
    <w:rsid w:val="000B4A31"/>
    <w:rsid w:val="000B4FAA"/>
    <w:rsid w:val="000B52F8"/>
    <w:rsid w:val="000B532B"/>
    <w:rsid w:val="000B56E7"/>
    <w:rsid w:val="000B5C4D"/>
    <w:rsid w:val="000B6483"/>
    <w:rsid w:val="000B6642"/>
    <w:rsid w:val="000B6F30"/>
    <w:rsid w:val="000B726B"/>
    <w:rsid w:val="000B7903"/>
    <w:rsid w:val="000B7990"/>
    <w:rsid w:val="000C1AE0"/>
    <w:rsid w:val="000C1F8D"/>
    <w:rsid w:val="000C2484"/>
    <w:rsid w:val="000C2489"/>
    <w:rsid w:val="000C3170"/>
    <w:rsid w:val="000C336E"/>
    <w:rsid w:val="000C390F"/>
    <w:rsid w:val="000C3DA9"/>
    <w:rsid w:val="000C5209"/>
    <w:rsid w:val="000C6078"/>
    <w:rsid w:val="000C6D80"/>
    <w:rsid w:val="000D287D"/>
    <w:rsid w:val="000D4092"/>
    <w:rsid w:val="000D49F1"/>
    <w:rsid w:val="000D5E8D"/>
    <w:rsid w:val="000D691E"/>
    <w:rsid w:val="000D6CB5"/>
    <w:rsid w:val="000E0AC3"/>
    <w:rsid w:val="000E12FF"/>
    <w:rsid w:val="000E1311"/>
    <w:rsid w:val="000E195E"/>
    <w:rsid w:val="000E49AC"/>
    <w:rsid w:val="000E5B8D"/>
    <w:rsid w:val="000E6700"/>
    <w:rsid w:val="000E7374"/>
    <w:rsid w:val="000E7AFA"/>
    <w:rsid w:val="000F1FF1"/>
    <w:rsid w:val="000F48AD"/>
    <w:rsid w:val="000F54F3"/>
    <w:rsid w:val="000F7D83"/>
    <w:rsid w:val="00103814"/>
    <w:rsid w:val="0010741F"/>
    <w:rsid w:val="00107871"/>
    <w:rsid w:val="00110E5B"/>
    <w:rsid w:val="001112AF"/>
    <w:rsid w:val="00112857"/>
    <w:rsid w:val="0011289D"/>
    <w:rsid w:val="00113FE0"/>
    <w:rsid w:val="00115627"/>
    <w:rsid w:val="0011698A"/>
    <w:rsid w:val="00116CEB"/>
    <w:rsid w:val="00120ED1"/>
    <w:rsid w:val="00122221"/>
    <w:rsid w:val="00122C41"/>
    <w:rsid w:val="00123B23"/>
    <w:rsid w:val="00124BC7"/>
    <w:rsid w:val="0012614D"/>
    <w:rsid w:val="001300A6"/>
    <w:rsid w:val="0013226C"/>
    <w:rsid w:val="00132409"/>
    <w:rsid w:val="001331ED"/>
    <w:rsid w:val="001348A2"/>
    <w:rsid w:val="00145893"/>
    <w:rsid w:val="0015189B"/>
    <w:rsid w:val="0015212D"/>
    <w:rsid w:val="00152930"/>
    <w:rsid w:val="00155BB4"/>
    <w:rsid w:val="001560EB"/>
    <w:rsid w:val="00157150"/>
    <w:rsid w:val="0016112A"/>
    <w:rsid w:val="001631CC"/>
    <w:rsid w:val="00163569"/>
    <w:rsid w:val="00163783"/>
    <w:rsid w:val="00165DE7"/>
    <w:rsid w:val="00165EED"/>
    <w:rsid w:val="00166905"/>
    <w:rsid w:val="00167450"/>
    <w:rsid w:val="00167F5D"/>
    <w:rsid w:val="0017136B"/>
    <w:rsid w:val="00172514"/>
    <w:rsid w:val="00173013"/>
    <w:rsid w:val="0017377E"/>
    <w:rsid w:val="0017381E"/>
    <w:rsid w:val="00173BBA"/>
    <w:rsid w:val="001752ED"/>
    <w:rsid w:val="00176957"/>
    <w:rsid w:val="00176E51"/>
    <w:rsid w:val="0018003B"/>
    <w:rsid w:val="0018099E"/>
    <w:rsid w:val="0018466E"/>
    <w:rsid w:val="001850DB"/>
    <w:rsid w:val="001850E9"/>
    <w:rsid w:val="00185B06"/>
    <w:rsid w:val="0018685F"/>
    <w:rsid w:val="0018787F"/>
    <w:rsid w:val="00187F31"/>
    <w:rsid w:val="00191DAE"/>
    <w:rsid w:val="0019250E"/>
    <w:rsid w:val="00193A88"/>
    <w:rsid w:val="00194F00"/>
    <w:rsid w:val="001969B3"/>
    <w:rsid w:val="001A26EE"/>
    <w:rsid w:val="001A2E81"/>
    <w:rsid w:val="001A3816"/>
    <w:rsid w:val="001A3ECF"/>
    <w:rsid w:val="001A4716"/>
    <w:rsid w:val="001A72D8"/>
    <w:rsid w:val="001A7D2E"/>
    <w:rsid w:val="001B12E4"/>
    <w:rsid w:val="001B208C"/>
    <w:rsid w:val="001B2C8D"/>
    <w:rsid w:val="001B2FD7"/>
    <w:rsid w:val="001C0864"/>
    <w:rsid w:val="001C6260"/>
    <w:rsid w:val="001C6D30"/>
    <w:rsid w:val="001D35BC"/>
    <w:rsid w:val="001D659F"/>
    <w:rsid w:val="001D66B5"/>
    <w:rsid w:val="001E0303"/>
    <w:rsid w:val="001F0777"/>
    <w:rsid w:val="001F08FF"/>
    <w:rsid w:val="001F092A"/>
    <w:rsid w:val="001F16B0"/>
    <w:rsid w:val="001F2A0C"/>
    <w:rsid w:val="001F4365"/>
    <w:rsid w:val="001F4374"/>
    <w:rsid w:val="001F51A5"/>
    <w:rsid w:val="001F64BB"/>
    <w:rsid w:val="00203D83"/>
    <w:rsid w:val="00206F84"/>
    <w:rsid w:val="00207FDC"/>
    <w:rsid w:val="00211E6E"/>
    <w:rsid w:val="002151AD"/>
    <w:rsid w:val="0021550F"/>
    <w:rsid w:val="00215C62"/>
    <w:rsid w:val="002168CC"/>
    <w:rsid w:val="00216A95"/>
    <w:rsid w:val="002258BB"/>
    <w:rsid w:val="00225AE1"/>
    <w:rsid w:val="00227C10"/>
    <w:rsid w:val="00231839"/>
    <w:rsid w:val="0023187B"/>
    <w:rsid w:val="002364CB"/>
    <w:rsid w:val="00236B95"/>
    <w:rsid w:val="00237191"/>
    <w:rsid w:val="002376C1"/>
    <w:rsid w:val="00237797"/>
    <w:rsid w:val="0024061B"/>
    <w:rsid w:val="00243743"/>
    <w:rsid w:val="002466E4"/>
    <w:rsid w:val="002468FC"/>
    <w:rsid w:val="00247C03"/>
    <w:rsid w:val="00250378"/>
    <w:rsid w:val="00251AD7"/>
    <w:rsid w:val="00252230"/>
    <w:rsid w:val="00255944"/>
    <w:rsid w:val="00255DA1"/>
    <w:rsid w:val="00255DF1"/>
    <w:rsid w:val="00257EF4"/>
    <w:rsid w:val="00261E3E"/>
    <w:rsid w:val="00262CC5"/>
    <w:rsid w:val="0026742C"/>
    <w:rsid w:val="00273DC5"/>
    <w:rsid w:val="00274BCA"/>
    <w:rsid w:val="00277802"/>
    <w:rsid w:val="00280704"/>
    <w:rsid w:val="00281600"/>
    <w:rsid w:val="00283DD0"/>
    <w:rsid w:val="00284852"/>
    <w:rsid w:val="00285036"/>
    <w:rsid w:val="002865FF"/>
    <w:rsid w:val="00287341"/>
    <w:rsid w:val="002877CC"/>
    <w:rsid w:val="002916AB"/>
    <w:rsid w:val="00291E21"/>
    <w:rsid w:val="00292ED0"/>
    <w:rsid w:val="00295FAB"/>
    <w:rsid w:val="002A0B52"/>
    <w:rsid w:val="002A11B2"/>
    <w:rsid w:val="002A2E2A"/>
    <w:rsid w:val="002A3302"/>
    <w:rsid w:val="002A4502"/>
    <w:rsid w:val="002A59DB"/>
    <w:rsid w:val="002B4F7A"/>
    <w:rsid w:val="002B6463"/>
    <w:rsid w:val="002B7713"/>
    <w:rsid w:val="002C0C04"/>
    <w:rsid w:val="002C1878"/>
    <w:rsid w:val="002C193F"/>
    <w:rsid w:val="002C2290"/>
    <w:rsid w:val="002C3A9E"/>
    <w:rsid w:val="002C4566"/>
    <w:rsid w:val="002D0075"/>
    <w:rsid w:val="002D2FE0"/>
    <w:rsid w:val="002D366C"/>
    <w:rsid w:val="002D52E7"/>
    <w:rsid w:val="002D77DE"/>
    <w:rsid w:val="002D796F"/>
    <w:rsid w:val="002D7A44"/>
    <w:rsid w:val="002E123F"/>
    <w:rsid w:val="002E2822"/>
    <w:rsid w:val="002E2CF6"/>
    <w:rsid w:val="002E3087"/>
    <w:rsid w:val="002E316A"/>
    <w:rsid w:val="002E37C3"/>
    <w:rsid w:val="002F28D8"/>
    <w:rsid w:val="002F2F7D"/>
    <w:rsid w:val="002F5275"/>
    <w:rsid w:val="002F75EF"/>
    <w:rsid w:val="002F7D33"/>
    <w:rsid w:val="002F7DD0"/>
    <w:rsid w:val="0030059B"/>
    <w:rsid w:val="00300697"/>
    <w:rsid w:val="00300E0F"/>
    <w:rsid w:val="0030171B"/>
    <w:rsid w:val="003026D6"/>
    <w:rsid w:val="00302849"/>
    <w:rsid w:val="00305421"/>
    <w:rsid w:val="003103AC"/>
    <w:rsid w:val="00310B75"/>
    <w:rsid w:val="003111C5"/>
    <w:rsid w:val="0031306F"/>
    <w:rsid w:val="003157F2"/>
    <w:rsid w:val="0031626A"/>
    <w:rsid w:val="00317EBA"/>
    <w:rsid w:val="00323667"/>
    <w:rsid w:val="00323CA7"/>
    <w:rsid w:val="003248BA"/>
    <w:rsid w:val="0032791D"/>
    <w:rsid w:val="0033084B"/>
    <w:rsid w:val="0033209C"/>
    <w:rsid w:val="003322D9"/>
    <w:rsid w:val="00333029"/>
    <w:rsid w:val="0033359D"/>
    <w:rsid w:val="0033479E"/>
    <w:rsid w:val="0033695A"/>
    <w:rsid w:val="00337EC9"/>
    <w:rsid w:val="003409CF"/>
    <w:rsid w:val="00340F7C"/>
    <w:rsid w:val="003411C5"/>
    <w:rsid w:val="00342660"/>
    <w:rsid w:val="0034354D"/>
    <w:rsid w:val="0034364E"/>
    <w:rsid w:val="003447BD"/>
    <w:rsid w:val="00350C53"/>
    <w:rsid w:val="003532F6"/>
    <w:rsid w:val="00353465"/>
    <w:rsid w:val="00353837"/>
    <w:rsid w:val="00354429"/>
    <w:rsid w:val="00354954"/>
    <w:rsid w:val="00363687"/>
    <w:rsid w:val="003673A5"/>
    <w:rsid w:val="003704EA"/>
    <w:rsid w:val="00370C00"/>
    <w:rsid w:val="003714AF"/>
    <w:rsid w:val="0037381E"/>
    <w:rsid w:val="00376175"/>
    <w:rsid w:val="003768A2"/>
    <w:rsid w:val="003769C1"/>
    <w:rsid w:val="0037704E"/>
    <w:rsid w:val="003813D1"/>
    <w:rsid w:val="00381DB6"/>
    <w:rsid w:val="00382875"/>
    <w:rsid w:val="003828EA"/>
    <w:rsid w:val="00384D5C"/>
    <w:rsid w:val="00384EF7"/>
    <w:rsid w:val="00386502"/>
    <w:rsid w:val="00386F32"/>
    <w:rsid w:val="00391A7F"/>
    <w:rsid w:val="00393037"/>
    <w:rsid w:val="0039405F"/>
    <w:rsid w:val="003A0ECB"/>
    <w:rsid w:val="003A0F48"/>
    <w:rsid w:val="003A210B"/>
    <w:rsid w:val="003A2532"/>
    <w:rsid w:val="003A3A05"/>
    <w:rsid w:val="003A3A7D"/>
    <w:rsid w:val="003A3E36"/>
    <w:rsid w:val="003A444E"/>
    <w:rsid w:val="003A6172"/>
    <w:rsid w:val="003A7B23"/>
    <w:rsid w:val="003B0520"/>
    <w:rsid w:val="003B145F"/>
    <w:rsid w:val="003B3FBD"/>
    <w:rsid w:val="003B4F98"/>
    <w:rsid w:val="003B6F34"/>
    <w:rsid w:val="003B717E"/>
    <w:rsid w:val="003B72B6"/>
    <w:rsid w:val="003C1AE6"/>
    <w:rsid w:val="003C38D1"/>
    <w:rsid w:val="003C48D1"/>
    <w:rsid w:val="003C67A7"/>
    <w:rsid w:val="003D07F3"/>
    <w:rsid w:val="003D0AC7"/>
    <w:rsid w:val="003D50FF"/>
    <w:rsid w:val="003D591A"/>
    <w:rsid w:val="003D6656"/>
    <w:rsid w:val="003D71F0"/>
    <w:rsid w:val="003E0E1B"/>
    <w:rsid w:val="003E46D0"/>
    <w:rsid w:val="003E5F70"/>
    <w:rsid w:val="003F24A7"/>
    <w:rsid w:val="003F2617"/>
    <w:rsid w:val="003F3CBB"/>
    <w:rsid w:val="003F3F88"/>
    <w:rsid w:val="003F4247"/>
    <w:rsid w:val="003F4431"/>
    <w:rsid w:val="003F585D"/>
    <w:rsid w:val="0040183D"/>
    <w:rsid w:val="004031F3"/>
    <w:rsid w:val="004057A5"/>
    <w:rsid w:val="004116B4"/>
    <w:rsid w:val="00411AA3"/>
    <w:rsid w:val="0041246A"/>
    <w:rsid w:val="004129E2"/>
    <w:rsid w:val="00413A01"/>
    <w:rsid w:val="00417103"/>
    <w:rsid w:val="0042262F"/>
    <w:rsid w:val="0042342D"/>
    <w:rsid w:val="004239FB"/>
    <w:rsid w:val="00423AD9"/>
    <w:rsid w:val="00424052"/>
    <w:rsid w:val="00425920"/>
    <w:rsid w:val="0042664A"/>
    <w:rsid w:val="00432A30"/>
    <w:rsid w:val="00437F1B"/>
    <w:rsid w:val="00440E31"/>
    <w:rsid w:val="00441B13"/>
    <w:rsid w:val="00443C95"/>
    <w:rsid w:val="004474DD"/>
    <w:rsid w:val="00451691"/>
    <w:rsid w:val="00451A25"/>
    <w:rsid w:val="0045281A"/>
    <w:rsid w:val="00452B3C"/>
    <w:rsid w:val="00454F94"/>
    <w:rsid w:val="004556C3"/>
    <w:rsid w:val="0046096B"/>
    <w:rsid w:val="00461328"/>
    <w:rsid w:val="00462005"/>
    <w:rsid w:val="00463AA3"/>
    <w:rsid w:val="00463B61"/>
    <w:rsid w:val="00464DEB"/>
    <w:rsid w:val="00465FAC"/>
    <w:rsid w:val="0046661F"/>
    <w:rsid w:val="004669BA"/>
    <w:rsid w:val="00470873"/>
    <w:rsid w:val="004715BC"/>
    <w:rsid w:val="00473E08"/>
    <w:rsid w:val="0047471A"/>
    <w:rsid w:val="004756D1"/>
    <w:rsid w:val="00477EBF"/>
    <w:rsid w:val="00477EF8"/>
    <w:rsid w:val="00481997"/>
    <w:rsid w:val="00485725"/>
    <w:rsid w:val="00486DE5"/>
    <w:rsid w:val="00487A22"/>
    <w:rsid w:val="00490163"/>
    <w:rsid w:val="004919C5"/>
    <w:rsid w:val="0049285D"/>
    <w:rsid w:val="004932CD"/>
    <w:rsid w:val="004A0D36"/>
    <w:rsid w:val="004A105C"/>
    <w:rsid w:val="004A19F2"/>
    <w:rsid w:val="004A1A5C"/>
    <w:rsid w:val="004A1B26"/>
    <w:rsid w:val="004A3990"/>
    <w:rsid w:val="004A3F53"/>
    <w:rsid w:val="004A4530"/>
    <w:rsid w:val="004A4536"/>
    <w:rsid w:val="004A453B"/>
    <w:rsid w:val="004A47A3"/>
    <w:rsid w:val="004A6386"/>
    <w:rsid w:val="004A6DCD"/>
    <w:rsid w:val="004A6EFF"/>
    <w:rsid w:val="004B0454"/>
    <w:rsid w:val="004B4354"/>
    <w:rsid w:val="004B61D5"/>
    <w:rsid w:val="004B6468"/>
    <w:rsid w:val="004B7634"/>
    <w:rsid w:val="004C0F7A"/>
    <w:rsid w:val="004C1233"/>
    <w:rsid w:val="004C2314"/>
    <w:rsid w:val="004C2540"/>
    <w:rsid w:val="004C53A1"/>
    <w:rsid w:val="004C6307"/>
    <w:rsid w:val="004C64D0"/>
    <w:rsid w:val="004C7C5F"/>
    <w:rsid w:val="004D0135"/>
    <w:rsid w:val="004D0B4F"/>
    <w:rsid w:val="004D0CB8"/>
    <w:rsid w:val="004D1A14"/>
    <w:rsid w:val="004D2A6B"/>
    <w:rsid w:val="004D2FEC"/>
    <w:rsid w:val="004D4A03"/>
    <w:rsid w:val="004D725C"/>
    <w:rsid w:val="004E01A7"/>
    <w:rsid w:val="004E12A2"/>
    <w:rsid w:val="004E1898"/>
    <w:rsid w:val="004E3124"/>
    <w:rsid w:val="004E3CAE"/>
    <w:rsid w:val="004E3F0C"/>
    <w:rsid w:val="004E7197"/>
    <w:rsid w:val="004F09FD"/>
    <w:rsid w:val="004F0D9B"/>
    <w:rsid w:val="004F125E"/>
    <w:rsid w:val="004F2D8E"/>
    <w:rsid w:val="004F3BF7"/>
    <w:rsid w:val="004F5834"/>
    <w:rsid w:val="004F5968"/>
    <w:rsid w:val="004F5CEE"/>
    <w:rsid w:val="00500945"/>
    <w:rsid w:val="00501CED"/>
    <w:rsid w:val="0050208D"/>
    <w:rsid w:val="00503435"/>
    <w:rsid w:val="005058D1"/>
    <w:rsid w:val="00505C4E"/>
    <w:rsid w:val="00507B9E"/>
    <w:rsid w:val="00510651"/>
    <w:rsid w:val="00513347"/>
    <w:rsid w:val="005150F5"/>
    <w:rsid w:val="00516C20"/>
    <w:rsid w:val="00521690"/>
    <w:rsid w:val="00521CFA"/>
    <w:rsid w:val="005222B0"/>
    <w:rsid w:val="0052287F"/>
    <w:rsid w:val="00522E15"/>
    <w:rsid w:val="00523C7B"/>
    <w:rsid w:val="00523DB8"/>
    <w:rsid w:val="005242AE"/>
    <w:rsid w:val="00525299"/>
    <w:rsid w:val="00526347"/>
    <w:rsid w:val="0052650D"/>
    <w:rsid w:val="005276B8"/>
    <w:rsid w:val="00534FBB"/>
    <w:rsid w:val="0053557E"/>
    <w:rsid w:val="00535D61"/>
    <w:rsid w:val="00537F38"/>
    <w:rsid w:val="00537F8C"/>
    <w:rsid w:val="005403E8"/>
    <w:rsid w:val="0054430D"/>
    <w:rsid w:val="00545EEA"/>
    <w:rsid w:val="00550F3B"/>
    <w:rsid w:val="00551C9C"/>
    <w:rsid w:val="00552723"/>
    <w:rsid w:val="00553B87"/>
    <w:rsid w:val="00554A45"/>
    <w:rsid w:val="00554F02"/>
    <w:rsid w:val="00555B3B"/>
    <w:rsid w:val="00555F14"/>
    <w:rsid w:val="0055730D"/>
    <w:rsid w:val="00557393"/>
    <w:rsid w:val="00557819"/>
    <w:rsid w:val="00557FAE"/>
    <w:rsid w:val="005608FC"/>
    <w:rsid w:val="00560B6B"/>
    <w:rsid w:val="005628C5"/>
    <w:rsid w:val="00562C65"/>
    <w:rsid w:val="00562E1A"/>
    <w:rsid w:val="00564932"/>
    <w:rsid w:val="00564ADB"/>
    <w:rsid w:val="00564B66"/>
    <w:rsid w:val="00565332"/>
    <w:rsid w:val="0056636F"/>
    <w:rsid w:val="005664D0"/>
    <w:rsid w:val="00566D64"/>
    <w:rsid w:val="00570885"/>
    <w:rsid w:val="00570888"/>
    <w:rsid w:val="005724DC"/>
    <w:rsid w:val="00573BC6"/>
    <w:rsid w:val="00575E00"/>
    <w:rsid w:val="00582D36"/>
    <w:rsid w:val="00582F5E"/>
    <w:rsid w:val="00585472"/>
    <w:rsid w:val="00590512"/>
    <w:rsid w:val="00591696"/>
    <w:rsid w:val="00592FFA"/>
    <w:rsid w:val="00593D5F"/>
    <w:rsid w:val="00594406"/>
    <w:rsid w:val="00594510"/>
    <w:rsid w:val="005959CE"/>
    <w:rsid w:val="0059643A"/>
    <w:rsid w:val="0059691F"/>
    <w:rsid w:val="00596947"/>
    <w:rsid w:val="00597A60"/>
    <w:rsid w:val="00597FD3"/>
    <w:rsid w:val="005A15E2"/>
    <w:rsid w:val="005A191A"/>
    <w:rsid w:val="005A3F7F"/>
    <w:rsid w:val="005A587B"/>
    <w:rsid w:val="005A6E47"/>
    <w:rsid w:val="005B195C"/>
    <w:rsid w:val="005B1DB1"/>
    <w:rsid w:val="005B2018"/>
    <w:rsid w:val="005B4A4B"/>
    <w:rsid w:val="005C04F2"/>
    <w:rsid w:val="005C14FD"/>
    <w:rsid w:val="005C1682"/>
    <w:rsid w:val="005C1C3E"/>
    <w:rsid w:val="005C236C"/>
    <w:rsid w:val="005C28E4"/>
    <w:rsid w:val="005C38B2"/>
    <w:rsid w:val="005C4996"/>
    <w:rsid w:val="005C5B2F"/>
    <w:rsid w:val="005C751D"/>
    <w:rsid w:val="005C7A69"/>
    <w:rsid w:val="005D5549"/>
    <w:rsid w:val="005D56C8"/>
    <w:rsid w:val="005D69D9"/>
    <w:rsid w:val="005E0F31"/>
    <w:rsid w:val="005E1CE7"/>
    <w:rsid w:val="005E2FE9"/>
    <w:rsid w:val="005E48B2"/>
    <w:rsid w:val="005F1119"/>
    <w:rsid w:val="005F201D"/>
    <w:rsid w:val="005F2F7C"/>
    <w:rsid w:val="005F3985"/>
    <w:rsid w:val="005F46AF"/>
    <w:rsid w:val="005F4ACE"/>
    <w:rsid w:val="005F67EA"/>
    <w:rsid w:val="005F6F09"/>
    <w:rsid w:val="005F7153"/>
    <w:rsid w:val="00601648"/>
    <w:rsid w:val="00601B5E"/>
    <w:rsid w:val="0060708F"/>
    <w:rsid w:val="00613782"/>
    <w:rsid w:val="00613B55"/>
    <w:rsid w:val="00614BD3"/>
    <w:rsid w:val="0062276F"/>
    <w:rsid w:val="00624995"/>
    <w:rsid w:val="006253E7"/>
    <w:rsid w:val="0062562C"/>
    <w:rsid w:val="006257DC"/>
    <w:rsid w:val="0062646D"/>
    <w:rsid w:val="0062786F"/>
    <w:rsid w:val="00627B3E"/>
    <w:rsid w:val="00627C24"/>
    <w:rsid w:val="00631CCE"/>
    <w:rsid w:val="0063266E"/>
    <w:rsid w:val="00632BBB"/>
    <w:rsid w:val="00634205"/>
    <w:rsid w:val="00637AF2"/>
    <w:rsid w:val="0064047A"/>
    <w:rsid w:val="00640713"/>
    <w:rsid w:val="0064164B"/>
    <w:rsid w:val="006447EB"/>
    <w:rsid w:val="00644E1A"/>
    <w:rsid w:val="006467F4"/>
    <w:rsid w:val="006477DE"/>
    <w:rsid w:val="00650EF5"/>
    <w:rsid w:val="00650FF6"/>
    <w:rsid w:val="006516A4"/>
    <w:rsid w:val="006516D6"/>
    <w:rsid w:val="00654230"/>
    <w:rsid w:val="0065507A"/>
    <w:rsid w:val="0065541B"/>
    <w:rsid w:val="00655879"/>
    <w:rsid w:val="00661EEE"/>
    <w:rsid w:val="006657D7"/>
    <w:rsid w:val="006701E7"/>
    <w:rsid w:val="0067150C"/>
    <w:rsid w:val="006734C0"/>
    <w:rsid w:val="0067385C"/>
    <w:rsid w:val="0067398C"/>
    <w:rsid w:val="0067531C"/>
    <w:rsid w:val="006756E5"/>
    <w:rsid w:val="00681117"/>
    <w:rsid w:val="00682E30"/>
    <w:rsid w:val="00683B48"/>
    <w:rsid w:val="0068449B"/>
    <w:rsid w:val="006855B6"/>
    <w:rsid w:val="00687306"/>
    <w:rsid w:val="00687C65"/>
    <w:rsid w:val="00690E5F"/>
    <w:rsid w:val="00691DB9"/>
    <w:rsid w:val="00692DAC"/>
    <w:rsid w:val="00694556"/>
    <w:rsid w:val="006949FE"/>
    <w:rsid w:val="00695F01"/>
    <w:rsid w:val="0069684B"/>
    <w:rsid w:val="006A11AE"/>
    <w:rsid w:val="006A24C7"/>
    <w:rsid w:val="006A388F"/>
    <w:rsid w:val="006A4072"/>
    <w:rsid w:val="006A4675"/>
    <w:rsid w:val="006A4CBD"/>
    <w:rsid w:val="006A6F07"/>
    <w:rsid w:val="006B0191"/>
    <w:rsid w:val="006B06AF"/>
    <w:rsid w:val="006B25E2"/>
    <w:rsid w:val="006B5B96"/>
    <w:rsid w:val="006B6914"/>
    <w:rsid w:val="006B6FF5"/>
    <w:rsid w:val="006C0797"/>
    <w:rsid w:val="006C2B33"/>
    <w:rsid w:val="006C435F"/>
    <w:rsid w:val="006C4D8C"/>
    <w:rsid w:val="006C627F"/>
    <w:rsid w:val="006C7A17"/>
    <w:rsid w:val="006C7DFF"/>
    <w:rsid w:val="006D2E39"/>
    <w:rsid w:val="006D4712"/>
    <w:rsid w:val="006D5733"/>
    <w:rsid w:val="006D6B42"/>
    <w:rsid w:val="006E172B"/>
    <w:rsid w:val="006E237C"/>
    <w:rsid w:val="006E25B6"/>
    <w:rsid w:val="006E351A"/>
    <w:rsid w:val="006E432D"/>
    <w:rsid w:val="006E5153"/>
    <w:rsid w:val="006E7149"/>
    <w:rsid w:val="006F0D3D"/>
    <w:rsid w:val="006F1931"/>
    <w:rsid w:val="006F2BE2"/>
    <w:rsid w:val="006F48BE"/>
    <w:rsid w:val="006F50F2"/>
    <w:rsid w:val="006F511A"/>
    <w:rsid w:val="006F776D"/>
    <w:rsid w:val="00700997"/>
    <w:rsid w:val="007040D0"/>
    <w:rsid w:val="00705915"/>
    <w:rsid w:val="00706350"/>
    <w:rsid w:val="00712177"/>
    <w:rsid w:val="00712430"/>
    <w:rsid w:val="00716379"/>
    <w:rsid w:val="0071681C"/>
    <w:rsid w:val="00721EE3"/>
    <w:rsid w:val="00723BE6"/>
    <w:rsid w:val="007303C8"/>
    <w:rsid w:val="00732078"/>
    <w:rsid w:val="00732175"/>
    <w:rsid w:val="007338A3"/>
    <w:rsid w:val="007360E7"/>
    <w:rsid w:val="00745406"/>
    <w:rsid w:val="00745DC0"/>
    <w:rsid w:val="00747A13"/>
    <w:rsid w:val="0075043C"/>
    <w:rsid w:val="00750B80"/>
    <w:rsid w:val="007528B5"/>
    <w:rsid w:val="0075304D"/>
    <w:rsid w:val="0075474B"/>
    <w:rsid w:val="00754BE8"/>
    <w:rsid w:val="00755D80"/>
    <w:rsid w:val="00755DF0"/>
    <w:rsid w:val="007605C7"/>
    <w:rsid w:val="00767A6B"/>
    <w:rsid w:val="00767D14"/>
    <w:rsid w:val="00771144"/>
    <w:rsid w:val="007724F8"/>
    <w:rsid w:val="007733B4"/>
    <w:rsid w:val="00773ADF"/>
    <w:rsid w:val="007743ED"/>
    <w:rsid w:val="007813DD"/>
    <w:rsid w:val="00782FAD"/>
    <w:rsid w:val="0078512A"/>
    <w:rsid w:val="00786A51"/>
    <w:rsid w:val="00787142"/>
    <w:rsid w:val="0079008B"/>
    <w:rsid w:val="00791DB0"/>
    <w:rsid w:val="0079408F"/>
    <w:rsid w:val="0079498E"/>
    <w:rsid w:val="00794F0D"/>
    <w:rsid w:val="00797F9C"/>
    <w:rsid w:val="007A00F0"/>
    <w:rsid w:val="007A1482"/>
    <w:rsid w:val="007A1DBE"/>
    <w:rsid w:val="007A563A"/>
    <w:rsid w:val="007A62F3"/>
    <w:rsid w:val="007B0655"/>
    <w:rsid w:val="007B0F6E"/>
    <w:rsid w:val="007B6DEE"/>
    <w:rsid w:val="007C2B99"/>
    <w:rsid w:val="007C33B7"/>
    <w:rsid w:val="007C625D"/>
    <w:rsid w:val="007D4374"/>
    <w:rsid w:val="007D606A"/>
    <w:rsid w:val="007E0C34"/>
    <w:rsid w:val="007E184E"/>
    <w:rsid w:val="007E2E15"/>
    <w:rsid w:val="007E350D"/>
    <w:rsid w:val="007E46B4"/>
    <w:rsid w:val="007E4893"/>
    <w:rsid w:val="007E5C10"/>
    <w:rsid w:val="007E62CA"/>
    <w:rsid w:val="007E7A94"/>
    <w:rsid w:val="007F01EB"/>
    <w:rsid w:val="007F29A3"/>
    <w:rsid w:val="007F2B55"/>
    <w:rsid w:val="007F393F"/>
    <w:rsid w:val="007F45BB"/>
    <w:rsid w:val="007F48DF"/>
    <w:rsid w:val="007F502B"/>
    <w:rsid w:val="007F5CF4"/>
    <w:rsid w:val="007F6AE5"/>
    <w:rsid w:val="008003BE"/>
    <w:rsid w:val="00802240"/>
    <w:rsid w:val="00807CA7"/>
    <w:rsid w:val="00811F02"/>
    <w:rsid w:val="0081286C"/>
    <w:rsid w:val="008136BB"/>
    <w:rsid w:val="00814B31"/>
    <w:rsid w:val="00816543"/>
    <w:rsid w:val="008173B5"/>
    <w:rsid w:val="00817424"/>
    <w:rsid w:val="00820009"/>
    <w:rsid w:val="00820B81"/>
    <w:rsid w:val="00822E9F"/>
    <w:rsid w:val="00823A03"/>
    <w:rsid w:val="008250FC"/>
    <w:rsid w:val="00827E5F"/>
    <w:rsid w:val="00831384"/>
    <w:rsid w:val="00831C36"/>
    <w:rsid w:val="00834B36"/>
    <w:rsid w:val="00836524"/>
    <w:rsid w:val="008370B7"/>
    <w:rsid w:val="00841905"/>
    <w:rsid w:val="00841E32"/>
    <w:rsid w:val="008425C6"/>
    <w:rsid w:val="008442C4"/>
    <w:rsid w:val="00844827"/>
    <w:rsid w:val="00845130"/>
    <w:rsid w:val="00845F66"/>
    <w:rsid w:val="00847709"/>
    <w:rsid w:val="00850092"/>
    <w:rsid w:val="008511A5"/>
    <w:rsid w:val="008561D2"/>
    <w:rsid w:val="0085740B"/>
    <w:rsid w:val="0086025B"/>
    <w:rsid w:val="008611F2"/>
    <w:rsid w:val="00861521"/>
    <w:rsid w:val="00861F89"/>
    <w:rsid w:val="0086335F"/>
    <w:rsid w:val="008654CE"/>
    <w:rsid w:val="00872274"/>
    <w:rsid w:val="00872582"/>
    <w:rsid w:val="00872612"/>
    <w:rsid w:val="00873A52"/>
    <w:rsid w:val="0087423A"/>
    <w:rsid w:val="008763F4"/>
    <w:rsid w:val="008820FB"/>
    <w:rsid w:val="00883F7A"/>
    <w:rsid w:val="008840A3"/>
    <w:rsid w:val="00885510"/>
    <w:rsid w:val="00886853"/>
    <w:rsid w:val="00887D51"/>
    <w:rsid w:val="0089011B"/>
    <w:rsid w:val="008901EE"/>
    <w:rsid w:val="008903E6"/>
    <w:rsid w:val="00892B33"/>
    <w:rsid w:val="00893FBA"/>
    <w:rsid w:val="00894544"/>
    <w:rsid w:val="008951C6"/>
    <w:rsid w:val="00896776"/>
    <w:rsid w:val="00897BAC"/>
    <w:rsid w:val="008A0740"/>
    <w:rsid w:val="008A19C0"/>
    <w:rsid w:val="008A1A5C"/>
    <w:rsid w:val="008A237F"/>
    <w:rsid w:val="008A4F56"/>
    <w:rsid w:val="008A5D0F"/>
    <w:rsid w:val="008A5EC7"/>
    <w:rsid w:val="008A7179"/>
    <w:rsid w:val="008B02FE"/>
    <w:rsid w:val="008B0381"/>
    <w:rsid w:val="008B17DD"/>
    <w:rsid w:val="008B1D99"/>
    <w:rsid w:val="008B21A4"/>
    <w:rsid w:val="008B256C"/>
    <w:rsid w:val="008B40C1"/>
    <w:rsid w:val="008B4309"/>
    <w:rsid w:val="008B5CEC"/>
    <w:rsid w:val="008B60AB"/>
    <w:rsid w:val="008B6BE4"/>
    <w:rsid w:val="008C1E8C"/>
    <w:rsid w:val="008C2FFC"/>
    <w:rsid w:val="008C3313"/>
    <w:rsid w:val="008C3468"/>
    <w:rsid w:val="008C4694"/>
    <w:rsid w:val="008C4965"/>
    <w:rsid w:val="008C55B3"/>
    <w:rsid w:val="008C7268"/>
    <w:rsid w:val="008D06AF"/>
    <w:rsid w:val="008D0EF3"/>
    <w:rsid w:val="008D16DA"/>
    <w:rsid w:val="008D2D20"/>
    <w:rsid w:val="008D4EE8"/>
    <w:rsid w:val="008D5A33"/>
    <w:rsid w:val="008D5FC1"/>
    <w:rsid w:val="008E02D9"/>
    <w:rsid w:val="008E1B0C"/>
    <w:rsid w:val="008E1BA0"/>
    <w:rsid w:val="008E1F4E"/>
    <w:rsid w:val="008E2FDA"/>
    <w:rsid w:val="008E3B0F"/>
    <w:rsid w:val="008E426B"/>
    <w:rsid w:val="008E4449"/>
    <w:rsid w:val="008E76F4"/>
    <w:rsid w:val="008E7EA0"/>
    <w:rsid w:val="008F3BAC"/>
    <w:rsid w:val="008F5E4F"/>
    <w:rsid w:val="008F660B"/>
    <w:rsid w:val="009041D7"/>
    <w:rsid w:val="00905C11"/>
    <w:rsid w:val="00907FE8"/>
    <w:rsid w:val="00910182"/>
    <w:rsid w:val="009110BC"/>
    <w:rsid w:val="00911177"/>
    <w:rsid w:val="00912EA5"/>
    <w:rsid w:val="009166F9"/>
    <w:rsid w:val="00917B7E"/>
    <w:rsid w:val="00917E65"/>
    <w:rsid w:val="00921D12"/>
    <w:rsid w:val="00922F8E"/>
    <w:rsid w:val="009245D7"/>
    <w:rsid w:val="00924A9D"/>
    <w:rsid w:val="00924F34"/>
    <w:rsid w:val="009250EC"/>
    <w:rsid w:val="009278F4"/>
    <w:rsid w:val="00930553"/>
    <w:rsid w:val="009320B5"/>
    <w:rsid w:val="009324E3"/>
    <w:rsid w:val="00932F0B"/>
    <w:rsid w:val="009333D8"/>
    <w:rsid w:val="00933AD9"/>
    <w:rsid w:val="00934291"/>
    <w:rsid w:val="00934BFE"/>
    <w:rsid w:val="0094280D"/>
    <w:rsid w:val="0094372D"/>
    <w:rsid w:val="00943FD7"/>
    <w:rsid w:val="00945F13"/>
    <w:rsid w:val="00951315"/>
    <w:rsid w:val="009555CC"/>
    <w:rsid w:val="00962BFF"/>
    <w:rsid w:val="0096318B"/>
    <w:rsid w:val="00965A62"/>
    <w:rsid w:val="00965A86"/>
    <w:rsid w:val="00965D2A"/>
    <w:rsid w:val="00966AC0"/>
    <w:rsid w:val="00970F76"/>
    <w:rsid w:val="009726BD"/>
    <w:rsid w:val="00974D36"/>
    <w:rsid w:val="0097685B"/>
    <w:rsid w:val="0097686D"/>
    <w:rsid w:val="00976B1D"/>
    <w:rsid w:val="009819F3"/>
    <w:rsid w:val="009826A6"/>
    <w:rsid w:val="009843D8"/>
    <w:rsid w:val="009845C4"/>
    <w:rsid w:val="00984B6F"/>
    <w:rsid w:val="00985B2E"/>
    <w:rsid w:val="00987B92"/>
    <w:rsid w:val="00987FF4"/>
    <w:rsid w:val="00990EAB"/>
    <w:rsid w:val="009924EC"/>
    <w:rsid w:val="009928B5"/>
    <w:rsid w:val="00994845"/>
    <w:rsid w:val="00995586"/>
    <w:rsid w:val="00995661"/>
    <w:rsid w:val="00996D7D"/>
    <w:rsid w:val="009A15F0"/>
    <w:rsid w:val="009A3890"/>
    <w:rsid w:val="009A3924"/>
    <w:rsid w:val="009A4235"/>
    <w:rsid w:val="009A4359"/>
    <w:rsid w:val="009A5C80"/>
    <w:rsid w:val="009A68BE"/>
    <w:rsid w:val="009B0C26"/>
    <w:rsid w:val="009B2663"/>
    <w:rsid w:val="009B377F"/>
    <w:rsid w:val="009B3C51"/>
    <w:rsid w:val="009B55C7"/>
    <w:rsid w:val="009C0B04"/>
    <w:rsid w:val="009C4C48"/>
    <w:rsid w:val="009C50D2"/>
    <w:rsid w:val="009D1A79"/>
    <w:rsid w:val="009D3E22"/>
    <w:rsid w:val="009D4FAE"/>
    <w:rsid w:val="009D78A9"/>
    <w:rsid w:val="009E1CCE"/>
    <w:rsid w:val="009E2D9E"/>
    <w:rsid w:val="009E324C"/>
    <w:rsid w:val="009E44F3"/>
    <w:rsid w:val="009E51BC"/>
    <w:rsid w:val="009E578D"/>
    <w:rsid w:val="009F055E"/>
    <w:rsid w:val="009F08CB"/>
    <w:rsid w:val="009F1CB4"/>
    <w:rsid w:val="009F3276"/>
    <w:rsid w:val="009F35F8"/>
    <w:rsid w:val="009F3B58"/>
    <w:rsid w:val="009F422B"/>
    <w:rsid w:val="009F6F10"/>
    <w:rsid w:val="009F7327"/>
    <w:rsid w:val="00A00EC7"/>
    <w:rsid w:val="00A01DF2"/>
    <w:rsid w:val="00A0448E"/>
    <w:rsid w:val="00A114F2"/>
    <w:rsid w:val="00A11FAC"/>
    <w:rsid w:val="00A12D35"/>
    <w:rsid w:val="00A14F43"/>
    <w:rsid w:val="00A1507E"/>
    <w:rsid w:val="00A169DE"/>
    <w:rsid w:val="00A20251"/>
    <w:rsid w:val="00A27CA0"/>
    <w:rsid w:val="00A31414"/>
    <w:rsid w:val="00A3372D"/>
    <w:rsid w:val="00A354B6"/>
    <w:rsid w:val="00A3710E"/>
    <w:rsid w:val="00A40087"/>
    <w:rsid w:val="00A40EC6"/>
    <w:rsid w:val="00A417D4"/>
    <w:rsid w:val="00A41A8E"/>
    <w:rsid w:val="00A42CE6"/>
    <w:rsid w:val="00A44262"/>
    <w:rsid w:val="00A4478D"/>
    <w:rsid w:val="00A46C31"/>
    <w:rsid w:val="00A511CB"/>
    <w:rsid w:val="00A516ED"/>
    <w:rsid w:val="00A5248F"/>
    <w:rsid w:val="00A532D2"/>
    <w:rsid w:val="00A566D5"/>
    <w:rsid w:val="00A56873"/>
    <w:rsid w:val="00A577CF"/>
    <w:rsid w:val="00A57C5E"/>
    <w:rsid w:val="00A60156"/>
    <w:rsid w:val="00A624E4"/>
    <w:rsid w:val="00A65972"/>
    <w:rsid w:val="00A65D0B"/>
    <w:rsid w:val="00A66227"/>
    <w:rsid w:val="00A66792"/>
    <w:rsid w:val="00A66D9C"/>
    <w:rsid w:val="00A70D0B"/>
    <w:rsid w:val="00A73272"/>
    <w:rsid w:val="00A7350F"/>
    <w:rsid w:val="00A74EF0"/>
    <w:rsid w:val="00A77719"/>
    <w:rsid w:val="00A77FC5"/>
    <w:rsid w:val="00A811F7"/>
    <w:rsid w:val="00A82F59"/>
    <w:rsid w:val="00A830C6"/>
    <w:rsid w:val="00A8401B"/>
    <w:rsid w:val="00A846BF"/>
    <w:rsid w:val="00A84E14"/>
    <w:rsid w:val="00A86A4D"/>
    <w:rsid w:val="00A86C98"/>
    <w:rsid w:val="00A871F6"/>
    <w:rsid w:val="00A90758"/>
    <w:rsid w:val="00A90B7F"/>
    <w:rsid w:val="00A90F2E"/>
    <w:rsid w:val="00A91102"/>
    <w:rsid w:val="00A912F1"/>
    <w:rsid w:val="00A92C6C"/>
    <w:rsid w:val="00A957E7"/>
    <w:rsid w:val="00AA0243"/>
    <w:rsid w:val="00AA198E"/>
    <w:rsid w:val="00AA22E4"/>
    <w:rsid w:val="00AA39E7"/>
    <w:rsid w:val="00AA4006"/>
    <w:rsid w:val="00AA6931"/>
    <w:rsid w:val="00AA7BCA"/>
    <w:rsid w:val="00AB008A"/>
    <w:rsid w:val="00AB36A0"/>
    <w:rsid w:val="00AB6620"/>
    <w:rsid w:val="00AB674C"/>
    <w:rsid w:val="00AB69DE"/>
    <w:rsid w:val="00AB749F"/>
    <w:rsid w:val="00AC05C9"/>
    <w:rsid w:val="00AC1240"/>
    <w:rsid w:val="00AC2950"/>
    <w:rsid w:val="00AC301D"/>
    <w:rsid w:val="00AC7142"/>
    <w:rsid w:val="00AD08DA"/>
    <w:rsid w:val="00AD3177"/>
    <w:rsid w:val="00AD4C66"/>
    <w:rsid w:val="00AD51F5"/>
    <w:rsid w:val="00AD5A6F"/>
    <w:rsid w:val="00AD5F41"/>
    <w:rsid w:val="00AE5F53"/>
    <w:rsid w:val="00AE683E"/>
    <w:rsid w:val="00AE6F7A"/>
    <w:rsid w:val="00AE7E9C"/>
    <w:rsid w:val="00AF0A7B"/>
    <w:rsid w:val="00AF1588"/>
    <w:rsid w:val="00AF178F"/>
    <w:rsid w:val="00AF23AA"/>
    <w:rsid w:val="00AF36E5"/>
    <w:rsid w:val="00AF378A"/>
    <w:rsid w:val="00AF5795"/>
    <w:rsid w:val="00AF71B5"/>
    <w:rsid w:val="00AF7452"/>
    <w:rsid w:val="00B028C1"/>
    <w:rsid w:val="00B03326"/>
    <w:rsid w:val="00B05CA0"/>
    <w:rsid w:val="00B05E82"/>
    <w:rsid w:val="00B06973"/>
    <w:rsid w:val="00B10667"/>
    <w:rsid w:val="00B10A1C"/>
    <w:rsid w:val="00B124E3"/>
    <w:rsid w:val="00B141B0"/>
    <w:rsid w:val="00B14A23"/>
    <w:rsid w:val="00B14DCF"/>
    <w:rsid w:val="00B17974"/>
    <w:rsid w:val="00B17FB3"/>
    <w:rsid w:val="00B20B69"/>
    <w:rsid w:val="00B21BE5"/>
    <w:rsid w:val="00B2248C"/>
    <w:rsid w:val="00B23845"/>
    <w:rsid w:val="00B24000"/>
    <w:rsid w:val="00B27ECA"/>
    <w:rsid w:val="00B30ABE"/>
    <w:rsid w:val="00B35844"/>
    <w:rsid w:val="00B35AA9"/>
    <w:rsid w:val="00B35AC8"/>
    <w:rsid w:val="00B35F2B"/>
    <w:rsid w:val="00B36FB6"/>
    <w:rsid w:val="00B37D84"/>
    <w:rsid w:val="00B42B44"/>
    <w:rsid w:val="00B42E18"/>
    <w:rsid w:val="00B43F56"/>
    <w:rsid w:val="00B4658D"/>
    <w:rsid w:val="00B46642"/>
    <w:rsid w:val="00B4693C"/>
    <w:rsid w:val="00B46F36"/>
    <w:rsid w:val="00B50120"/>
    <w:rsid w:val="00B50FC9"/>
    <w:rsid w:val="00B5404B"/>
    <w:rsid w:val="00B54FEA"/>
    <w:rsid w:val="00B5648E"/>
    <w:rsid w:val="00B565BD"/>
    <w:rsid w:val="00B56D3C"/>
    <w:rsid w:val="00B6096E"/>
    <w:rsid w:val="00B63D01"/>
    <w:rsid w:val="00B642A3"/>
    <w:rsid w:val="00B64FFA"/>
    <w:rsid w:val="00B67326"/>
    <w:rsid w:val="00B678E9"/>
    <w:rsid w:val="00B705F3"/>
    <w:rsid w:val="00B71C15"/>
    <w:rsid w:val="00B71E7D"/>
    <w:rsid w:val="00B726F0"/>
    <w:rsid w:val="00B72CD1"/>
    <w:rsid w:val="00B72F3A"/>
    <w:rsid w:val="00B73D16"/>
    <w:rsid w:val="00B740D8"/>
    <w:rsid w:val="00B77EA4"/>
    <w:rsid w:val="00B80A6B"/>
    <w:rsid w:val="00B81AA0"/>
    <w:rsid w:val="00B82172"/>
    <w:rsid w:val="00B83BED"/>
    <w:rsid w:val="00B83BEE"/>
    <w:rsid w:val="00B84A8B"/>
    <w:rsid w:val="00B8699F"/>
    <w:rsid w:val="00B86DB2"/>
    <w:rsid w:val="00B86F65"/>
    <w:rsid w:val="00B90177"/>
    <w:rsid w:val="00B90280"/>
    <w:rsid w:val="00B903FB"/>
    <w:rsid w:val="00B92DA5"/>
    <w:rsid w:val="00B944E0"/>
    <w:rsid w:val="00B949CA"/>
    <w:rsid w:val="00B9644A"/>
    <w:rsid w:val="00B96723"/>
    <w:rsid w:val="00BA0E1D"/>
    <w:rsid w:val="00BA117F"/>
    <w:rsid w:val="00BA4A62"/>
    <w:rsid w:val="00BB02A9"/>
    <w:rsid w:val="00BB2254"/>
    <w:rsid w:val="00BB3E73"/>
    <w:rsid w:val="00BB43CC"/>
    <w:rsid w:val="00BB557D"/>
    <w:rsid w:val="00BB5D98"/>
    <w:rsid w:val="00BC30A1"/>
    <w:rsid w:val="00BD0DE9"/>
    <w:rsid w:val="00BD23B7"/>
    <w:rsid w:val="00BD2C74"/>
    <w:rsid w:val="00BD2EEB"/>
    <w:rsid w:val="00BD371B"/>
    <w:rsid w:val="00BD54A6"/>
    <w:rsid w:val="00BD6306"/>
    <w:rsid w:val="00BD7328"/>
    <w:rsid w:val="00BD7A5B"/>
    <w:rsid w:val="00BE12B1"/>
    <w:rsid w:val="00BE258C"/>
    <w:rsid w:val="00BE27B0"/>
    <w:rsid w:val="00BE2ACF"/>
    <w:rsid w:val="00BE3F46"/>
    <w:rsid w:val="00BE561A"/>
    <w:rsid w:val="00BE70D6"/>
    <w:rsid w:val="00BE7201"/>
    <w:rsid w:val="00BE7E7A"/>
    <w:rsid w:val="00BF0173"/>
    <w:rsid w:val="00BF02DC"/>
    <w:rsid w:val="00BF1001"/>
    <w:rsid w:val="00BF2793"/>
    <w:rsid w:val="00BF3743"/>
    <w:rsid w:val="00BF3D19"/>
    <w:rsid w:val="00BF76EA"/>
    <w:rsid w:val="00BF7C5E"/>
    <w:rsid w:val="00C000D5"/>
    <w:rsid w:val="00C012CF"/>
    <w:rsid w:val="00C01FB5"/>
    <w:rsid w:val="00C0314B"/>
    <w:rsid w:val="00C033AA"/>
    <w:rsid w:val="00C0397A"/>
    <w:rsid w:val="00C04072"/>
    <w:rsid w:val="00C10700"/>
    <w:rsid w:val="00C11300"/>
    <w:rsid w:val="00C138C5"/>
    <w:rsid w:val="00C14AC9"/>
    <w:rsid w:val="00C14BBF"/>
    <w:rsid w:val="00C14DC5"/>
    <w:rsid w:val="00C15E9D"/>
    <w:rsid w:val="00C16648"/>
    <w:rsid w:val="00C16EE3"/>
    <w:rsid w:val="00C17D0C"/>
    <w:rsid w:val="00C21736"/>
    <w:rsid w:val="00C22DFB"/>
    <w:rsid w:val="00C25BD7"/>
    <w:rsid w:val="00C25C7E"/>
    <w:rsid w:val="00C27282"/>
    <w:rsid w:val="00C27645"/>
    <w:rsid w:val="00C278AB"/>
    <w:rsid w:val="00C3110F"/>
    <w:rsid w:val="00C31F96"/>
    <w:rsid w:val="00C3201C"/>
    <w:rsid w:val="00C33498"/>
    <w:rsid w:val="00C33568"/>
    <w:rsid w:val="00C34168"/>
    <w:rsid w:val="00C35E9A"/>
    <w:rsid w:val="00C36BE4"/>
    <w:rsid w:val="00C3768B"/>
    <w:rsid w:val="00C378B8"/>
    <w:rsid w:val="00C413BB"/>
    <w:rsid w:val="00C4303E"/>
    <w:rsid w:val="00C44213"/>
    <w:rsid w:val="00C46D7C"/>
    <w:rsid w:val="00C53498"/>
    <w:rsid w:val="00C54F27"/>
    <w:rsid w:val="00C552D6"/>
    <w:rsid w:val="00C614D4"/>
    <w:rsid w:val="00C624CB"/>
    <w:rsid w:val="00C625B1"/>
    <w:rsid w:val="00C6587E"/>
    <w:rsid w:val="00C65AE6"/>
    <w:rsid w:val="00C65C8B"/>
    <w:rsid w:val="00C67CD5"/>
    <w:rsid w:val="00C70655"/>
    <w:rsid w:val="00C734FF"/>
    <w:rsid w:val="00C73876"/>
    <w:rsid w:val="00C7438C"/>
    <w:rsid w:val="00C745BC"/>
    <w:rsid w:val="00C745F4"/>
    <w:rsid w:val="00C74C13"/>
    <w:rsid w:val="00C769E2"/>
    <w:rsid w:val="00C76EF9"/>
    <w:rsid w:val="00C82B6C"/>
    <w:rsid w:val="00C83AFD"/>
    <w:rsid w:val="00C845C2"/>
    <w:rsid w:val="00C86426"/>
    <w:rsid w:val="00C874D8"/>
    <w:rsid w:val="00C876F7"/>
    <w:rsid w:val="00C91B4E"/>
    <w:rsid w:val="00C924F1"/>
    <w:rsid w:val="00C97396"/>
    <w:rsid w:val="00CA0D10"/>
    <w:rsid w:val="00CA0D8E"/>
    <w:rsid w:val="00CA2A5A"/>
    <w:rsid w:val="00CA470C"/>
    <w:rsid w:val="00CA4912"/>
    <w:rsid w:val="00CA50EB"/>
    <w:rsid w:val="00CB2CC1"/>
    <w:rsid w:val="00CB31B4"/>
    <w:rsid w:val="00CB51A3"/>
    <w:rsid w:val="00CB5A10"/>
    <w:rsid w:val="00CB76E8"/>
    <w:rsid w:val="00CC022C"/>
    <w:rsid w:val="00CC0820"/>
    <w:rsid w:val="00CC2050"/>
    <w:rsid w:val="00CC3393"/>
    <w:rsid w:val="00CC3E70"/>
    <w:rsid w:val="00CC6606"/>
    <w:rsid w:val="00CD0FD9"/>
    <w:rsid w:val="00CD15C6"/>
    <w:rsid w:val="00CD2276"/>
    <w:rsid w:val="00CD2A90"/>
    <w:rsid w:val="00CD335B"/>
    <w:rsid w:val="00CD3B44"/>
    <w:rsid w:val="00CD4AE6"/>
    <w:rsid w:val="00CD513C"/>
    <w:rsid w:val="00CD549B"/>
    <w:rsid w:val="00CD7A80"/>
    <w:rsid w:val="00CE1E7A"/>
    <w:rsid w:val="00CE375F"/>
    <w:rsid w:val="00CE3E37"/>
    <w:rsid w:val="00CE7C35"/>
    <w:rsid w:val="00CF1C64"/>
    <w:rsid w:val="00CF4668"/>
    <w:rsid w:val="00CF5374"/>
    <w:rsid w:val="00CF6797"/>
    <w:rsid w:val="00CF7093"/>
    <w:rsid w:val="00D024D6"/>
    <w:rsid w:val="00D03747"/>
    <w:rsid w:val="00D04BB5"/>
    <w:rsid w:val="00D076D9"/>
    <w:rsid w:val="00D11FE7"/>
    <w:rsid w:val="00D120C6"/>
    <w:rsid w:val="00D1210B"/>
    <w:rsid w:val="00D13A0E"/>
    <w:rsid w:val="00D16863"/>
    <w:rsid w:val="00D169EC"/>
    <w:rsid w:val="00D21664"/>
    <w:rsid w:val="00D2195C"/>
    <w:rsid w:val="00D21FB0"/>
    <w:rsid w:val="00D22C74"/>
    <w:rsid w:val="00D22F91"/>
    <w:rsid w:val="00D2529F"/>
    <w:rsid w:val="00D261A9"/>
    <w:rsid w:val="00D26594"/>
    <w:rsid w:val="00D266B7"/>
    <w:rsid w:val="00D26721"/>
    <w:rsid w:val="00D26997"/>
    <w:rsid w:val="00D26BEB"/>
    <w:rsid w:val="00D26FCF"/>
    <w:rsid w:val="00D30664"/>
    <w:rsid w:val="00D30E9E"/>
    <w:rsid w:val="00D322E9"/>
    <w:rsid w:val="00D325D3"/>
    <w:rsid w:val="00D3542D"/>
    <w:rsid w:val="00D36448"/>
    <w:rsid w:val="00D37BA4"/>
    <w:rsid w:val="00D41F1E"/>
    <w:rsid w:val="00D4266C"/>
    <w:rsid w:val="00D428D0"/>
    <w:rsid w:val="00D434C1"/>
    <w:rsid w:val="00D450B4"/>
    <w:rsid w:val="00D46679"/>
    <w:rsid w:val="00D478F8"/>
    <w:rsid w:val="00D509A2"/>
    <w:rsid w:val="00D51B27"/>
    <w:rsid w:val="00D539F9"/>
    <w:rsid w:val="00D5406B"/>
    <w:rsid w:val="00D55B4F"/>
    <w:rsid w:val="00D55FBD"/>
    <w:rsid w:val="00D568DF"/>
    <w:rsid w:val="00D61448"/>
    <w:rsid w:val="00D61658"/>
    <w:rsid w:val="00D61B3F"/>
    <w:rsid w:val="00D63B49"/>
    <w:rsid w:val="00D63F79"/>
    <w:rsid w:val="00D67AB1"/>
    <w:rsid w:val="00D70810"/>
    <w:rsid w:val="00D73120"/>
    <w:rsid w:val="00D7466E"/>
    <w:rsid w:val="00D76B8A"/>
    <w:rsid w:val="00D80E3E"/>
    <w:rsid w:val="00D81486"/>
    <w:rsid w:val="00D8176D"/>
    <w:rsid w:val="00D81B50"/>
    <w:rsid w:val="00D82522"/>
    <w:rsid w:val="00D836A2"/>
    <w:rsid w:val="00D83CE9"/>
    <w:rsid w:val="00D86AC7"/>
    <w:rsid w:val="00D86F9F"/>
    <w:rsid w:val="00D87017"/>
    <w:rsid w:val="00D8786A"/>
    <w:rsid w:val="00D87E3B"/>
    <w:rsid w:val="00D90070"/>
    <w:rsid w:val="00D911B2"/>
    <w:rsid w:val="00D96011"/>
    <w:rsid w:val="00DA19DF"/>
    <w:rsid w:val="00DA2B38"/>
    <w:rsid w:val="00DA2CFB"/>
    <w:rsid w:val="00DA40E8"/>
    <w:rsid w:val="00DA49A4"/>
    <w:rsid w:val="00DA68B5"/>
    <w:rsid w:val="00DA7815"/>
    <w:rsid w:val="00DB271E"/>
    <w:rsid w:val="00DB37E9"/>
    <w:rsid w:val="00DB3C17"/>
    <w:rsid w:val="00DB4606"/>
    <w:rsid w:val="00DB53B2"/>
    <w:rsid w:val="00DB7092"/>
    <w:rsid w:val="00DC2015"/>
    <w:rsid w:val="00DC35F3"/>
    <w:rsid w:val="00DC3B17"/>
    <w:rsid w:val="00DC4AF9"/>
    <w:rsid w:val="00DC4B5A"/>
    <w:rsid w:val="00DC53DB"/>
    <w:rsid w:val="00DC5E80"/>
    <w:rsid w:val="00DC61CC"/>
    <w:rsid w:val="00DD06F5"/>
    <w:rsid w:val="00DD0DA1"/>
    <w:rsid w:val="00DD14D1"/>
    <w:rsid w:val="00DD4A23"/>
    <w:rsid w:val="00DD63F4"/>
    <w:rsid w:val="00DD6A14"/>
    <w:rsid w:val="00DD7A4E"/>
    <w:rsid w:val="00DE1133"/>
    <w:rsid w:val="00DE14F6"/>
    <w:rsid w:val="00DE2784"/>
    <w:rsid w:val="00DE5603"/>
    <w:rsid w:val="00DE5DF6"/>
    <w:rsid w:val="00DE619B"/>
    <w:rsid w:val="00DF4B24"/>
    <w:rsid w:val="00DF4CB9"/>
    <w:rsid w:val="00DF5FA9"/>
    <w:rsid w:val="00DF629C"/>
    <w:rsid w:val="00DF63C2"/>
    <w:rsid w:val="00DF7401"/>
    <w:rsid w:val="00DF777D"/>
    <w:rsid w:val="00E016FF"/>
    <w:rsid w:val="00E03774"/>
    <w:rsid w:val="00E053CB"/>
    <w:rsid w:val="00E05BCC"/>
    <w:rsid w:val="00E06C42"/>
    <w:rsid w:val="00E07838"/>
    <w:rsid w:val="00E07C6A"/>
    <w:rsid w:val="00E1014A"/>
    <w:rsid w:val="00E1281D"/>
    <w:rsid w:val="00E140A4"/>
    <w:rsid w:val="00E15051"/>
    <w:rsid w:val="00E1580C"/>
    <w:rsid w:val="00E16DE1"/>
    <w:rsid w:val="00E20485"/>
    <w:rsid w:val="00E21B78"/>
    <w:rsid w:val="00E2683A"/>
    <w:rsid w:val="00E26B67"/>
    <w:rsid w:val="00E277C6"/>
    <w:rsid w:val="00E30AE3"/>
    <w:rsid w:val="00E31148"/>
    <w:rsid w:val="00E3196B"/>
    <w:rsid w:val="00E35396"/>
    <w:rsid w:val="00E3561A"/>
    <w:rsid w:val="00E43737"/>
    <w:rsid w:val="00E43D40"/>
    <w:rsid w:val="00E43FC7"/>
    <w:rsid w:val="00E503CD"/>
    <w:rsid w:val="00E50904"/>
    <w:rsid w:val="00E50E20"/>
    <w:rsid w:val="00E53479"/>
    <w:rsid w:val="00E54F65"/>
    <w:rsid w:val="00E56107"/>
    <w:rsid w:val="00E561BE"/>
    <w:rsid w:val="00E57016"/>
    <w:rsid w:val="00E60795"/>
    <w:rsid w:val="00E63E2A"/>
    <w:rsid w:val="00E6464B"/>
    <w:rsid w:val="00E64EA4"/>
    <w:rsid w:val="00E70C72"/>
    <w:rsid w:val="00E7147D"/>
    <w:rsid w:val="00E71F03"/>
    <w:rsid w:val="00E74D7C"/>
    <w:rsid w:val="00E757BE"/>
    <w:rsid w:val="00E75ABC"/>
    <w:rsid w:val="00E76703"/>
    <w:rsid w:val="00E76808"/>
    <w:rsid w:val="00E820D1"/>
    <w:rsid w:val="00E84375"/>
    <w:rsid w:val="00E84839"/>
    <w:rsid w:val="00E930A4"/>
    <w:rsid w:val="00E93362"/>
    <w:rsid w:val="00E94043"/>
    <w:rsid w:val="00E95FEF"/>
    <w:rsid w:val="00E96E12"/>
    <w:rsid w:val="00E97288"/>
    <w:rsid w:val="00EA058C"/>
    <w:rsid w:val="00EA1685"/>
    <w:rsid w:val="00EA636A"/>
    <w:rsid w:val="00EA69C7"/>
    <w:rsid w:val="00EA6B90"/>
    <w:rsid w:val="00EA6CC8"/>
    <w:rsid w:val="00EA739F"/>
    <w:rsid w:val="00EA788E"/>
    <w:rsid w:val="00EB1E48"/>
    <w:rsid w:val="00EB3B49"/>
    <w:rsid w:val="00EB3E4E"/>
    <w:rsid w:val="00EB449A"/>
    <w:rsid w:val="00EB513F"/>
    <w:rsid w:val="00EB51B3"/>
    <w:rsid w:val="00EB6AD4"/>
    <w:rsid w:val="00EB6F08"/>
    <w:rsid w:val="00EB7639"/>
    <w:rsid w:val="00EC0126"/>
    <w:rsid w:val="00EC0BFD"/>
    <w:rsid w:val="00EC1C27"/>
    <w:rsid w:val="00EC54ED"/>
    <w:rsid w:val="00ED2820"/>
    <w:rsid w:val="00ED2D91"/>
    <w:rsid w:val="00ED3112"/>
    <w:rsid w:val="00ED47AA"/>
    <w:rsid w:val="00ED5B19"/>
    <w:rsid w:val="00EE0B0D"/>
    <w:rsid w:val="00EE200D"/>
    <w:rsid w:val="00EE41DC"/>
    <w:rsid w:val="00EE5A65"/>
    <w:rsid w:val="00EE6A4E"/>
    <w:rsid w:val="00EE77F2"/>
    <w:rsid w:val="00EF0793"/>
    <w:rsid w:val="00EF31A5"/>
    <w:rsid w:val="00EF5BA2"/>
    <w:rsid w:val="00EF6379"/>
    <w:rsid w:val="00EF6E24"/>
    <w:rsid w:val="00EF74B9"/>
    <w:rsid w:val="00F04D5F"/>
    <w:rsid w:val="00F05ADF"/>
    <w:rsid w:val="00F11699"/>
    <w:rsid w:val="00F13632"/>
    <w:rsid w:val="00F14154"/>
    <w:rsid w:val="00F1716C"/>
    <w:rsid w:val="00F17E05"/>
    <w:rsid w:val="00F2712D"/>
    <w:rsid w:val="00F31653"/>
    <w:rsid w:val="00F32107"/>
    <w:rsid w:val="00F328CF"/>
    <w:rsid w:val="00F3393D"/>
    <w:rsid w:val="00F359E3"/>
    <w:rsid w:val="00F35F00"/>
    <w:rsid w:val="00F3618E"/>
    <w:rsid w:val="00F36C18"/>
    <w:rsid w:val="00F4054E"/>
    <w:rsid w:val="00F41D61"/>
    <w:rsid w:val="00F44593"/>
    <w:rsid w:val="00F45D20"/>
    <w:rsid w:val="00F466C5"/>
    <w:rsid w:val="00F46CD8"/>
    <w:rsid w:val="00F472DE"/>
    <w:rsid w:val="00F51065"/>
    <w:rsid w:val="00F52A31"/>
    <w:rsid w:val="00F53476"/>
    <w:rsid w:val="00F548AD"/>
    <w:rsid w:val="00F5598C"/>
    <w:rsid w:val="00F57740"/>
    <w:rsid w:val="00F6064D"/>
    <w:rsid w:val="00F6146C"/>
    <w:rsid w:val="00F61810"/>
    <w:rsid w:val="00F632FE"/>
    <w:rsid w:val="00F63AA8"/>
    <w:rsid w:val="00F63ADE"/>
    <w:rsid w:val="00F651B6"/>
    <w:rsid w:val="00F655E5"/>
    <w:rsid w:val="00F65C9C"/>
    <w:rsid w:val="00F71A21"/>
    <w:rsid w:val="00F726AC"/>
    <w:rsid w:val="00F7284C"/>
    <w:rsid w:val="00F73D2C"/>
    <w:rsid w:val="00F74F8A"/>
    <w:rsid w:val="00F75CD3"/>
    <w:rsid w:val="00F824ED"/>
    <w:rsid w:val="00F839EE"/>
    <w:rsid w:val="00F85C4D"/>
    <w:rsid w:val="00F86A39"/>
    <w:rsid w:val="00F8798A"/>
    <w:rsid w:val="00F9027A"/>
    <w:rsid w:val="00F91116"/>
    <w:rsid w:val="00F92333"/>
    <w:rsid w:val="00F93221"/>
    <w:rsid w:val="00F96786"/>
    <w:rsid w:val="00FA2191"/>
    <w:rsid w:val="00FA34E8"/>
    <w:rsid w:val="00FA4872"/>
    <w:rsid w:val="00FA5ADC"/>
    <w:rsid w:val="00FA5FFA"/>
    <w:rsid w:val="00FA637C"/>
    <w:rsid w:val="00FA664E"/>
    <w:rsid w:val="00FA7E3F"/>
    <w:rsid w:val="00FA7F03"/>
    <w:rsid w:val="00FB1983"/>
    <w:rsid w:val="00FB4EE0"/>
    <w:rsid w:val="00FB5FF5"/>
    <w:rsid w:val="00FB7850"/>
    <w:rsid w:val="00FC37E3"/>
    <w:rsid w:val="00FC6AB3"/>
    <w:rsid w:val="00FC757D"/>
    <w:rsid w:val="00FC7C61"/>
    <w:rsid w:val="00FC7C84"/>
    <w:rsid w:val="00FD0ABF"/>
    <w:rsid w:val="00FD1636"/>
    <w:rsid w:val="00FD21E2"/>
    <w:rsid w:val="00FD3DF4"/>
    <w:rsid w:val="00FD49B0"/>
    <w:rsid w:val="00FD54F8"/>
    <w:rsid w:val="00FD66EE"/>
    <w:rsid w:val="00FD68EF"/>
    <w:rsid w:val="00FD7EA5"/>
    <w:rsid w:val="00FE0895"/>
    <w:rsid w:val="00FE0A4C"/>
    <w:rsid w:val="00FE2651"/>
    <w:rsid w:val="00FE2BC2"/>
    <w:rsid w:val="00FE346B"/>
    <w:rsid w:val="00FE59F2"/>
    <w:rsid w:val="00FE645A"/>
    <w:rsid w:val="00FE68B6"/>
    <w:rsid w:val="00FE6BB8"/>
    <w:rsid w:val="00FE7611"/>
    <w:rsid w:val="00FF1574"/>
    <w:rsid w:val="00FF177D"/>
    <w:rsid w:val="00FF1794"/>
    <w:rsid w:val="00FF2070"/>
    <w:rsid w:val="00FF2265"/>
    <w:rsid w:val="00FF3544"/>
    <w:rsid w:val="00FF597D"/>
    <w:rsid w:val="00FF6C98"/>
    <w:rsid w:val="01050F22"/>
    <w:rsid w:val="010702DE"/>
    <w:rsid w:val="011C648D"/>
    <w:rsid w:val="012E08D1"/>
    <w:rsid w:val="013E4434"/>
    <w:rsid w:val="014F4893"/>
    <w:rsid w:val="015974C0"/>
    <w:rsid w:val="016C2D4F"/>
    <w:rsid w:val="016D6AC7"/>
    <w:rsid w:val="01873A23"/>
    <w:rsid w:val="01A53D20"/>
    <w:rsid w:val="01A92C40"/>
    <w:rsid w:val="01C0309B"/>
    <w:rsid w:val="01CC5EE4"/>
    <w:rsid w:val="01CF32DE"/>
    <w:rsid w:val="01DF79C5"/>
    <w:rsid w:val="01E01104"/>
    <w:rsid w:val="01E90844"/>
    <w:rsid w:val="020058B7"/>
    <w:rsid w:val="020F0AD3"/>
    <w:rsid w:val="022E44A8"/>
    <w:rsid w:val="02313F99"/>
    <w:rsid w:val="02355837"/>
    <w:rsid w:val="023B4AF6"/>
    <w:rsid w:val="024E4B4B"/>
    <w:rsid w:val="0250441F"/>
    <w:rsid w:val="0256755B"/>
    <w:rsid w:val="025F28B4"/>
    <w:rsid w:val="026B0DFD"/>
    <w:rsid w:val="028A64BD"/>
    <w:rsid w:val="02A209F3"/>
    <w:rsid w:val="02B25A51"/>
    <w:rsid w:val="02BC1AB4"/>
    <w:rsid w:val="02CB763B"/>
    <w:rsid w:val="02D908B8"/>
    <w:rsid w:val="02E66B31"/>
    <w:rsid w:val="02F56D74"/>
    <w:rsid w:val="030516AD"/>
    <w:rsid w:val="030A5EB4"/>
    <w:rsid w:val="030E4BCA"/>
    <w:rsid w:val="032558AB"/>
    <w:rsid w:val="0341645D"/>
    <w:rsid w:val="03667C72"/>
    <w:rsid w:val="0374413D"/>
    <w:rsid w:val="03870314"/>
    <w:rsid w:val="03B723C8"/>
    <w:rsid w:val="03BE185C"/>
    <w:rsid w:val="03C30C20"/>
    <w:rsid w:val="03D96696"/>
    <w:rsid w:val="04115E30"/>
    <w:rsid w:val="0415409B"/>
    <w:rsid w:val="041871BE"/>
    <w:rsid w:val="041C0927"/>
    <w:rsid w:val="04212517"/>
    <w:rsid w:val="04367644"/>
    <w:rsid w:val="043D09D3"/>
    <w:rsid w:val="043F0BEF"/>
    <w:rsid w:val="0440480D"/>
    <w:rsid w:val="045A3408"/>
    <w:rsid w:val="045D72C7"/>
    <w:rsid w:val="046F010F"/>
    <w:rsid w:val="047168CE"/>
    <w:rsid w:val="04860FD8"/>
    <w:rsid w:val="04893C18"/>
    <w:rsid w:val="048E122E"/>
    <w:rsid w:val="04932CE9"/>
    <w:rsid w:val="049B394B"/>
    <w:rsid w:val="049C7DEF"/>
    <w:rsid w:val="04A9172B"/>
    <w:rsid w:val="04B9727A"/>
    <w:rsid w:val="04BD1B14"/>
    <w:rsid w:val="04C3537C"/>
    <w:rsid w:val="04C80BE4"/>
    <w:rsid w:val="04D12625"/>
    <w:rsid w:val="04E86B91"/>
    <w:rsid w:val="04EA6DAD"/>
    <w:rsid w:val="04EE3FCC"/>
    <w:rsid w:val="04F33787"/>
    <w:rsid w:val="04FD0162"/>
    <w:rsid w:val="04FD3B5A"/>
    <w:rsid w:val="05085485"/>
    <w:rsid w:val="051978D3"/>
    <w:rsid w:val="051B1B9F"/>
    <w:rsid w:val="053022E6"/>
    <w:rsid w:val="0532605E"/>
    <w:rsid w:val="05393890"/>
    <w:rsid w:val="053E2C54"/>
    <w:rsid w:val="05452235"/>
    <w:rsid w:val="05453FE3"/>
    <w:rsid w:val="054F4E62"/>
    <w:rsid w:val="05526700"/>
    <w:rsid w:val="05542478"/>
    <w:rsid w:val="05551D4C"/>
    <w:rsid w:val="05600E1D"/>
    <w:rsid w:val="05725E0B"/>
    <w:rsid w:val="05834B0B"/>
    <w:rsid w:val="058E1237"/>
    <w:rsid w:val="059565ED"/>
    <w:rsid w:val="059D4DD4"/>
    <w:rsid w:val="05A30D0A"/>
    <w:rsid w:val="05A351AD"/>
    <w:rsid w:val="05A56B0E"/>
    <w:rsid w:val="05A607FA"/>
    <w:rsid w:val="05B457C9"/>
    <w:rsid w:val="05E2428C"/>
    <w:rsid w:val="05E34EEB"/>
    <w:rsid w:val="05FA6163"/>
    <w:rsid w:val="06056884"/>
    <w:rsid w:val="0609042C"/>
    <w:rsid w:val="060C68AF"/>
    <w:rsid w:val="061A03F0"/>
    <w:rsid w:val="061E65E2"/>
    <w:rsid w:val="06257970"/>
    <w:rsid w:val="062A5B4A"/>
    <w:rsid w:val="062D2384"/>
    <w:rsid w:val="063D4CBA"/>
    <w:rsid w:val="06417592"/>
    <w:rsid w:val="064424ED"/>
    <w:rsid w:val="065F10D4"/>
    <w:rsid w:val="06745081"/>
    <w:rsid w:val="06BB1147"/>
    <w:rsid w:val="06C64E8E"/>
    <w:rsid w:val="06CE1DB6"/>
    <w:rsid w:val="06CF6275"/>
    <w:rsid w:val="06D7510F"/>
    <w:rsid w:val="06DD1E44"/>
    <w:rsid w:val="06E96054"/>
    <w:rsid w:val="06EB0BBA"/>
    <w:rsid w:val="06F26247"/>
    <w:rsid w:val="06F572ED"/>
    <w:rsid w:val="06FA0DFD"/>
    <w:rsid w:val="06FF4CA0"/>
    <w:rsid w:val="0700381E"/>
    <w:rsid w:val="070103DE"/>
    <w:rsid w:val="07057F15"/>
    <w:rsid w:val="070B125C"/>
    <w:rsid w:val="07131EBF"/>
    <w:rsid w:val="07287718"/>
    <w:rsid w:val="0733283A"/>
    <w:rsid w:val="07350087"/>
    <w:rsid w:val="073D04CC"/>
    <w:rsid w:val="07462294"/>
    <w:rsid w:val="075F5104"/>
    <w:rsid w:val="07707311"/>
    <w:rsid w:val="077A1300"/>
    <w:rsid w:val="077E558A"/>
    <w:rsid w:val="078D3A1F"/>
    <w:rsid w:val="07C531B9"/>
    <w:rsid w:val="07D4164E"/>
    <w:rsid w:val="07D841C2"/>
    <w:rsid w:val="07DC0503"/>
    <w:rsid w:val="07E6312F"/>
    <w:rsid w:val="07FA71D0"/>
    <w:rsid w:val="07FB0471"/>
    <w:rsid w:val="08065580"/>
    <w:rsid w:val="080A371B"/>
    <w:rsid w:val="08123F24"/>
    <w:rsid w:val="081E0B1B"/>
    <w:rsid w:val="083F69A5"/>
    <w:rsid w:val="08422A5C"/>
    <w:rsid w:val="084357B2"/>
    <w:rsid w:val="084542FA"/>
    <w:rsid w:val="08591B53"/>
    <w:rsid w:val="086200D7"/>
    <w:rsid w:val="087150EF"/>
    <w:rsid w:val="08752E31"/>
    <w:rsid w:val="087D5842"/>
    <w:rsid w:val="089332B7"/>
    <w:rsid w:val="08962DA7"/>
    <w:rsid w:val="08A234FA"/>
    <w:rsid w:val="08A2799E"/>
    <w:rsid w:val="08A73253"/>
    <w:rsid w:val="08AC0FDA"/>
    <w:rsid w:val="08CA47FF"/>
    <w:rsid w:val="08D04525"/>
    <w:rsid w:val="08D12A6B"/>
    <w:rsid w:val="08D436EC"/>
    <w:rsid w:val="08D833C0"/>
    <w:rsid w:val="08E32F35"/>
    <w:rsid w:val="08E81855"/>
    <w:rsid w:val="09104908"/>
    <w:rsid w:val="091A7913"/>
    <w:rsid w:val="09246605"/>
    <w:rsid w:val="09281478"/>
    <w:rsid w:val="093323A4"/>
    <w:rsid w:val="09363922"/>
    <w:rsid w:val="094075A5"/>
    <w:rsid w:val="094620D8"/>
    <w:rsid w:val="095962AF"/>
    <w:rsid w:val="095B171F"/>
    <w:rsid w:val="09775D6A"/>
    <w:rsid w:val="097A6225"/>
    <w:rsid w:val="09811362"/>
    <w:rsid w:val="098D7D07"/>
    <w:rsid w:val="0990755E"/>
    <w:rsid w:val="099077F7"/>
    <w:rsid w:val="09A00692"/>
    <w:rsid w:val="09A8127B"/>
    <w:rsid w:val="09B278CC"/>
    <w:rsid w:val="09B554AF"/>
    <w:rsid w:val="09BC05EC"/>
    <w:rsid w:val="09CF6571"/>
    <w:rsid w:val="09D122E9"/>
    <w:rsid w:val="09D26061"/>
    <w:rsid w:val="09E3201C"/>
    <w:rsid w:val="09FB1114"/>
    <w:rsid w:val="0A120878"/>
    <w:rsid w:val="0A171CC6"/>
    <w:rsid w:val="0A1E7D15"/>
    <w:rsid w:val="0A2543E3"/>
    <w:rsid w:val="0A4A209B"/>
    <w:rsid w:val="0A542920"/>
    <w:rsid w:val="0A570314"/>
    <w:rsid w:val="0A581BBB"/>
    <w:rsid w:val="0A621193"/>
    <w:rsid w:val="0A622F41"/>
    <w:rsid w:val="0A7C528C"/>
    <w:rsid w:val="0A803BB9"/>
    <w:rsid w:val="0A825391"/>
    <w:rsid w:val="0A84735B"/>
    <w:rsid w:val="0A906217"/>
    <w:rsid w:val="0A962560"/>
    <w:rsid w:val="0AA12FC8"/>
    <w:rsid w:val="0AA479FE"/>
    <w:rsid w:val="0AA74DF8"/>
    <w:rsid w:val="0AAE2230"/>
    <w:rsid w:val="0AB15C77"/>
    <w:rsid w:val="0ABF0394"/>
    <w:rsid w:val="0AC021DF"/>
    <w:rsid w:val="0AC110ED"/>
    <w:rsid w:val="0ACB31DC"/>
    <w:rsid w:val="0ACC1010"/>
    <w:rsid w:val="0AE07B30"/>
    <w:rsid w:val="0B0E30C9"/>
    <w:rsid w:val="0B1B1342"/>
    <w:rsid w:val="0B220922"/>
    <w:rsid w:val="0B420FC5"/>
    <w:rsid w:val="0B5C0E7F"/>
    <w:rsid w:val="0B6E3B68"/>
    <w:rsid w:val="0B8D5292"/>
    <w:rsid w:val="0B9A2BAF"/>
    <w:rsid w:val="0BA30580"/>
    <w:rsid w:val="0BB21CA6"/>
    <w:rsid w:val="0BD7795F"/>
    <w:rsid w:val="0BEB6F66"/>
    <w:rsid w:val="0C065F88"/>
    <w:rsid w:val="0C175FAD"/>
    <w:rsid w:val="0C2D57D1"/>
    <w:rsid w:val="0C34090D"/>
    <w:rsid w:val="0C434FF4"/>
    <w:rsid w:val="0C5C469C"/>
    <w:rsid w:val="0C607954"/>
    <w:rsid w:val="0C7156BE"/>
    <w:rsid w:val="0C85560D"/>
    <w:rsid w:val="0C871385"/>
    <w:rsid w:val="0C8B7F7D"/>
    <w:rsid w:val="0C923886"/>
    <w:rsid w:val="0C9B273A"/>
    <w:rsid w:val="0CA73655"/>
    <w:rsid w:val="0CA912FB"/>
    <w:rsid w:val="0CE916F8"/>
    <w:rsid w:val="0CF54541"/>
    <w:rsid w:val="0CF94BD7"/>
    <w:rsid w:val="0D140E7B"/>
    <w:rsid w:val="0D1B19A1"/>
    <w:rsid w:val="0D1E7195"/>
    <w:rsid w:val="0D2941EA"/>
    <w:rsid w:val="0D2B560E"/>
    <w:rsid w:val="0D3203B6"/>
    <w:rsid w:val="0D42705A"/>
    <w:rsid w:val="0D4829AA"/>
    <w:rsid w:val="0D4C15C1"/>
    <w:rsid w:val="0D676AC1"/>
    <w:rsid w:val="0D6E2369"/>
    <w:rsid w:val="0D755681"/>
    <w:rsid w:val="0D8C4BF5"/>
    <w:rsid w:val="0D944959"/>
    <w:rsid w:val="0DB22734"/>
    <w:rsid w:val="0DB81CAB"/>
    <w:rsid w:val="0DC83A03"/>
    <w:rsid w:val="0DD035CF"/>
    <w:rsid w:val="0DD66226"/>
    <w:rsid w:val="0DDF2AFB"/>
    <w:rsid w:val="0DE6032D"/>
    <w:rsid w:val="0E2844A2"/>
    <w:rsid w:val="0E2A1FC8"/>
    <w:rsid w:val="0E320E7D"/>
    <w:rsid w:val="0E6059EA"/>
    <w:rsid w:val="0E71409B"/>
    <w:rsid w:val="0E721BC1"/>
    <w:rsid w:val="0E7B2823"/>
    <w:rsid w:val="0EA72878"/>
    <w:rsid w:val="0EAB3DCA"/>
    <w:rsid w:val="0EAD49A7"/>
    <w:rsid w:val="0EB16245"/>
    <w:rsid w:val="0EB9159E"/>
    <w:rsid w:val="0EB92499"/>
    <w:rsid w:val="0EC86A0D"/>
    <w:rsid w:val="0EC95C85"/>
    <w:rsid w:val="0ECC7523"/>
    <w:rsid w:val="0ECD7164"/>
    <w:rsid w:val="0EF21EF0"/>
    <w:rsid w:val="0EF3685E"/>
    <w:rsid w:val="0EF6674C"/>
    <w:rsid w:val="0F0942D3"/>
    <w:rsid w:val="0F1114F2"/>
    <w:rsid w:val="0F130CAE"/>
    <w:rsid w:val="0F40581B"/>
    <w:rsid w:val="0F423341"/>
    <w:rsid w:val="0F4E7F38"/>
    <w:rsid w:val="0F5337A0"/>
    <w:rsid w:val="0F5B2655"/>
    <w:rsid w:val="0F6A2898"/>
    <w:rsid w:val="0F744C35"/>
    <w:rsid w:val="0F953DB9"/>
    <w:rsid w:val="0F99550D"/>
    <w:rsid w:val="0FA33263"/>
    <w:rsid w:val="0FA43FFC"/>
    <w:rsid w:val="0FAC7F39"/>
    <w:rsid w:val="0FB71F81"/>
    <w:rsid w:val="0FBA737B"/>
    <w:rsid w:val="0FC93A62"/>
    <w:rsid w:val="0FCE1079"/>
    <w:rsid w:val="0FE421B4"/>
    <w:rsid w:val="10066A65"/>
    <w:rsid w:val="10100E2A"/>
    <w:rsid w:val="1010343F"/>
    <w:rsid w:val="1021564D"/>
    <w:rsid w:val="10251684"/>
    <w:rsid w:val="10266F7A"/>
    <w:rsid w:val="10394744"/>
    <w:rsid w:val="10485B98"/>
    <w:rsid w:val="104B26C9"/>
    <w:rsid w:val="10501A8E"/>
    <w:rsid w:val="10875725"/>
    <w:rsid w:val="10896B30"/>
    <w:rsid w:val="108F0808"/>
    <w:rsid w:val="10953945"/>
    <w:rsid w:val="10BB15FD"/>
    <w:rsid w:val="10BE2E9B"/>
    <w:rsid w:val="10CD30DE"/>
    <w:rsid w:val="10D47DF8"/>
    <w:rsid w:val="10DD1337"/>
    <w:rsid w:val="10E22999"/>
    <w:rsid w:val="10ED3781"/>
    <w:rsid w:val="11295CD8"/>
    <w:rsid w:val="112C6057"/>
    <w:rsid w:val="113413B0"/>
    <w:rsid w:val="11447845"/>
    <w:rsid w:val="114744CD"/>
    <w:rsid w:val="114F14E4"/>
    <w:rsid w:val="11551A52"/>
    <w:rsid w:val="117619C8"/>
    <w:rsid w:val="117C2E73"/>
    <w:rsid w:val="118C291F"/>
    <w:rsid w:val="11943BFC"/>
    <w:rsid w:val="11A13C08"/>
    <w:rsid w:val="11BF07CF"/>
    <w:rsid w:val="11C75D80"/>
    <w:rsid w:val="11C90FBF"/>
    <w:rsid w:val="11DC5CCF"/>
    <w:rsid w:val="11E3705D"/>
    <w:rsid w:val="11F0177A"/>
    <w:rsid w:val="11F12DFD"/>
    <w:rsid w:val="121F045D"/>
    <w:rsid w:val="12307DC9"/>
    <w:rsid w:val="12506B45"/>
    <w:rsid w:val="12563740"/>
    <w:rsid w:val="126E269F"/>
    <w:rsid w:val="12797E16"/>
    <w:rsid w:val="12A762DD"/>
    <w:rsid w:val="12CF1390"/>
    <w:rsid w:val="12D118C8"/>
    <w:rsid w:val="12EB6CA7"/>
    <w:rsid w:val="133438E9"/>
    <w:rsid w:val="1334693B"/>
    <w:rsid w:val="13931596"/>
    <w:rsid w:val="139A356D"/>
    <w:rsid w:val="139A7BF0"/>
    <w:rsid w:val="13AB678F"/>
    <w:rsid w:val="13C0517C"/>
    <w:rsid w:val="13F13588"/>
    <w:rsid w:val="13F81DE4"/>
    <w:rsid w:val="13FA068E"/>
    <w:rsid w:val="13FC4407"/>
    <w:rsid w:val="14035054"/>
    <w:rsid w:val="140D6614"/>
    <w:rsid w:val="14151024"/>
    <w:rsid w:val="141A1428"/>
    <w:rsid w:val="141C6857"/>
    <w:rsid w:val="142D2812"/>
    <w:rsid w:val="142F71C0"/>
    <w:rsid w:val="1437543F"/>
    <w:rsid w:val="14411E19"/>
    <w:rsid w:val="14445DAD"/>
    <w:rsid w:val="1457163D"/>
    <w:rsid w:val="1461426A"/>
    <w:rsid w:val="146A5814"/>
    <w:rsid w:val="14755F67"/>
    <w:rsid w:val="14757415"/>
    <w:rsid w:val="148D68DF"/>
    <w:rsid w:val="148F7665"/>
    <w:rsid w:val="14AB1989"/>
    <w:rsid w:val="14B95E54"/>
    <w:rsid w:val="14C2077F"/>
    <w:rsid w:val="14DC7CD5"/>
    <w:rsid w:val="14E804E7"/>
    <w:rsid w:val="14E90674"/>
    <w:rsid w:val="14EC1BFA"/>
    <w:rsid w:val="15007F26"/>
    <w:rsid w:val="151439D2"/>
    <w:rsid w:val="15155054"/>
    <w:rsid w:val="153320AA"/>
    <w:rsid w:val="153808A0"/>
    <w:rsid w:val="15511B43"/>
    <w:rsid w:val="156A53A0"/>
    <w:rsid w:val="156F0C08"/>
    <w:rsid w:val="156F4137"/>
    <w:rsid w:val="156F4178"/>
    <w:rsid w:val="157224A6"/>
    <w:rsid w:val="157B6A9C"/>
    <w:rsid w:val="157C534F"/>
    <w:rsid w:val="15850AC0"/>
    <w:rsid w:val="15973CBB"/>
    <w:rsid w:val="159D5775"/>
    <w:rsid w:val="15A20FDE"/>
    <w:rsid w:val="15B61D16"/>
    <w:rsid w:val="15B8435D"/>
    <w:rsid w:val="15BB6688"/>
    <w:rsid w:val="15BE7A37"/>
    <w:rsid w:val="15BF393E"/>
    <w:rsid w:val="15C37EAB"/>
    <w:rsid w:val="15C52325"/>
    <w:rsid w:val="15C947BC"/>
    <w:rsid w:val="15CC0024"/>
    <w:rsid w:val="15CC5F21"/>
    <w:rsid w:val="15D54F0F"/>
    <w:rsid w:val="15E736F6"/>
    <w:rsid w:val="15E96C0C"/>
    <w:rsid w:val="15EA028F"/>
    <w:rsid w:val="15EC2259"/>
    <w:rsid w:val="15EF3AF7"/>
    <w:rsid w:val="15F80BFE"/>
    <w:rsid w:val="15F86E50"/>
    <w:rsid w:val="16225C7A"/>
    <w:rsid w:val="162D4D4B"/>
    <w:rsid w:val="163C402C"/>
    <w:rsid w:val="163D4862"/>
    <w:rsid w:val="16421E79"/>
    <w:rsid w:val="166242C9"/>
    <w:rsid w:val="166B772B"/>
    <w:rsid w:val="1683496B"/>
    <w:rsid w:val="168E3310"/>
    <w:rsid w:val="16903A10"/>
    <w:rsid w:val="169C6F07"/>
    <w:rsid w:val="16AF4EB2"/>
    <w:rsid w:val="16B40FC8"/>
    <w:rsid w:val="16B9038D"/>
    <w:rsid w:val="16CB66C2"/>
    <w:rsid w:val="16D056D6"/>
    <w:rsid w:val="16DE4297"/>
    <w:rsid w:val="16FA54BC"/>
    <w:rsid w:val="16FF7D6A"/>
    <w:rsid w:val="17103D25"/>
    <w:rsid w:val="17231CAA"/>
    <w:rsid w:val="17485BB5"/>
    <w:rsid w:val="17487963"/>
    <w:rsid w:val="17514FCE"/>
    <w:rsid w:val="175427FA"/>
    <w:rsid w:val="175473B5"/>
    <w:rsid w:val="175E3CFD"/>
    <w:rsid w:val="175E5EA3"/>
    <w:rsid w:val="175E7186"/>
    <w:rsid w:val="17614581"/>
    <w:rsid w:val="17771FF6"/>
    <w:rsid w:val="178E7A6B"/>
    <w:rsid w:val="17970870"/>
    <w:rsid w:val="17A252C5"/>
    <w:rsid w:val="17B62B1E"/>
    <w:rsid w:val="17B84AE8"/>
    <w:rsid w:val="17BB542F"/>
    <w:rsid w:val="17D9382E"/>
    <w:rsid w:val="17F96C70"/>
    <w:rsid w:val="180E6B76"/>
    <w:rsid w:val="181A38B2"/>
    <w:rsid w:val="181C0B66"/>
    <w:rsid w:val="18245CDA"/>
    <w:rsid w:val="18335F1D"/>
    <w:rsid w:val="183A09B0"/>
    <w:rsid w:val="18475E6C"/>
    <w:rsid w:val="1853036D"/>
    <w:rsid w:val="18574301"/>
    <w:rsid w:val="18814EDA"/>
    <w:rsid w:val="188457C5"/>
    <w:rsid w:val="188F55AE"/>
    <w:rsid w:val="18950BF3"/>
    <w:rsid w:val="18982224"/>
    <w:rsid w:val="189C1D14"/>
    <w:rsid w:val="189E49D8"/>
    <w:rsid w:val="18AE7C99"/>
    <w:rsid w:val="18B01795"/>
    <w:rsid w:val="18C13529"/>
    <w:rsid w:val="18DB3346"/>
    <w:rsid w:val="190F0738"/>
    <w:rsid w:val="190F698A"/>
    <w:rsid w:val="191C4C03"/>
    <w:rsid w:val="19256F64"/>
    <w:rsid w:val="19295F4A"/>
    <w:rsid w:val="192A5572"/>
    <w:rsid w:val="19483C4A"/>
    <w:rsid w:val="1954439D"/>
    <w:rsid w:val="195B559E"/>
    <w:rsid w:val="19602386"/>
    <w:rsid w:val="196A001E"/>
    <w:rsid w:val="19726F19"/>
    <w:rsid w:val="19770D9E"/>
    <w:rsid w:val="197D7D98"/>
    <w:rsid w:val="198D78AF"/>
    <w:rsid w:val="19A4163F"/>
    <w:rsid w:val="19A51F87"/>
    <w:rsid w:val="19A757BB"/>
    <w:rsid w:val="19AA220F"/>
    <w:rsid w:val="19C239FC"/>
    <w:rsid w:val="19C72DC1"/>
    <w:rsid w:val="19D76D7C"/>
    <w:rsid w:val="1A0849D9"/>
    <w:rsid w:val="1A0E6C42"/>
    <w:rsid w:val="1A174EC0"/>
    <w:rsid w:val="1A1917E0"/>
    <w:rsid w:val="1A1F77AF"/>
    <w:rsid w:val="1A27346F"/>
    <w:rsid w:val="1A424778"/>
    <w:rsid w:val="1A450189"/>
    <w:rsid w:val="1A4C59BC"/>
    <w:rsid w:val="1A670100"/>
    <w:rsid w:val="1A7840BB"/>
    <w:rsid w:val="1A7B1DFD"/>
    <w:rsid w:val="1A7F5449"/>
    <w:rsid w:val="1A8269ED"/>
    <w:rsid w:val="1A844F17"/>
    <w:rsid w:val="1A8A0F1E"/>
    <w:rsid w:val="1A903AFB"/>
    <w:rsid w:val="1A916CD3"/>
    <w:rsid w:val="1A974E89"/>
    <w:rsid w:val="1A9C4A27"/>
    <w:rsid w:val="1A9D1D74"/>
    <w:rsid w:val="1A9F3D3E"/>
    <w:rsid w:val="1AB23A71"/>
    <w:rsid w:val="1AB74381"/>
    <w:rsid w:val="1AC36416"/>
    <w:rsid w:val="1ACC1B1D"/>
    <w:rsid w:val="1AD11A1D"/>
    <w:rsid w:val="1ADB6BFE"/>
    <w:rsid w:val="1ADF413A"/>
    <w:rsid w:val="1AE14EC4"/>
    <w:rsid w:val="1AE6198B"/>
    <w:rsid w:val="1AEB2ADF"/>
    <w:rsid w:val="1AF8344E"/>
    <w:rsid w:val="1B0105E7"/>
    <w:rsid w:val="1B0E67CD"/>
    <w:rsid w:val="1B132036"/>
    <w:rsid w:val="1B1B211A"/>
    <w:rsid w:val="1B1E102C"/>
    <w:rsid w:val="1B291859"/>
    <w:rsid w:val="1B2B737F"/>
    <w:rsid w:val="1B326960"/>
    <w:rsid w:val="1B4072CF"/>
    <w:rsid w:val="1B4571ED"/>
    <w:rsid w:val="1B4B17D0"/>
    <w:rsid w:val="1B527002"/>
    <w:rsid w:val="1B636B19"/>
    <w:rsid w:val="1B79458F"/>
    <w:rsid w:val="1B7C5E2D"/>
    <w:rsid w:val="1B7F1479"/>
    <w:rsid w:val="1B9E0965"/>
    <w:rsid w:val="1BA3785E"/>
    <w:rsid w:val="1BAC09A8"/>
    <w:rsid w:val="1BAF4334"/>
    <w:rsid w:val="1BC42B10"/>
    <w:rsid w:val="1BC51582"/>
    <w:rsid w:val="1BC742A1"/>
    <w:rsid w:val="1BC752FA"/>
    <w:rsid w:val="1BF260EF"/>
    <w:rsid w:val="1C4D37F0"/>
    <w:rsid w:val="1C597F1C"/>
    <w:rsid w:val="1C7A05BE"/>
    <w:rsid w:val="1C7E6CED"/>
    <w:rsid w:val="1C8E406A"/>
    <w:rsid w:val="1C9553F8"/>
    <w:rsid w:val="1C964CCC"/>
    <w:rsid w:val="1C993BFA"/>
    <w:rsid w:val="1CBB1B1D"/>
    <w:rsid w:val="1CBB4733"/>
    <w:rsid w:val="1CC61A56"/>
    <w:rsid w:val="1CC7132A"/>
    <w:rsid w:val="1CF75960"/>
    <w:rsid w:val="1CF77E61"/>
    <w:rsid w:val="1CF87735"/>
    <w:rsid w:val="1CFB6C7B"/>
    <w:rsid w:val="1D100F23"/>
    <w:rsid w:val="1D17708C"/>
    <w:rsid w:val="1D1D719C"/>
    <w:rsid w:val="1D1F4CC2"/>
    <w:rsid w:val="1D3B7756"/>
    <w:rsid w:val="1D3C5390"/>
    <w:rsid w:val="1D4666F2"/>
    <w:rsid w:val="1D491D3F"/>
    <w:rsid w:val="1D4B0D47"/>
    <w:rsid w:val="1D5C1A72"/>
    <w:rsid w:val="1D622F67"/>
    <w:rsid w:val="1D666D95"/>
    <w:rsid w:val="1D733844"/>
    <w:rsid w:val="1D752B34"/>
    <w:rsid w:val="1D7768AC"/>
    <w:rsid w:val="1D8E4E75"/>
    <w:rsid w:val="1D9D4085"/>
    <w:rsid w:val="1D9E208B"/>
    <w:rsid w:val="1DA376A1"/>
    <w:rsid w:val="1DC41D93"/>
    <w:rsid w:val="1DD0420E"/>
    <w:rsid w:val="1E067C30"/>
    <w:rsid w:val="1E107DB8"/>
    <w:rsid w:val="1E236A34"/>
    <w:rsid w:val="1E2C1200"/>
    <w:rsid w:val="1E4470D6"/>
    <w:rsid w:val="1E4744D0"/>
    <w:rsid w:val="1E5135A1"/>
    <w:rsid w:val="1E595137"/>
    <w:rsid w:val="1E5D0198"/>
    <w:rsid w:val="1E696D5F"/>
    <w:rsid w:val="1E733517"/>
    <w:rsid w:val="1E7717D8"/>
    <w:rsid w:val="1E823D17"/>
    <w:rsid w:val="1E892D3B"/>
    <w:rsid w:val="1EB140F9"/>
    <w:rsid w:val="1EB853CE"/>
    <w:rsid w:val="1EC04283"/>
    <w:rsid w:val="1EC51899"/>
    <w:rsid w:val="1ECE4BF1"/>
    <w:rsid w:val="1ECE5F90"/>
    <w:rsid w:val="1ED0096A"/>
    <w:rsid w:val="1EED2489"/>
    <w:rsid w:val="1EF17FDE"/>
    <w:rsid w:val="1EFA1543"/>
    <w:rsid w:val="1F1177E5"/>
    <w:rsid w:val="1F29007A"/>
    <w:rsid w:val="1F33463C"/>
    <w:rsid w:val="1F3D3B25"/>
    <w:rsid w:val="1F420A72"/>
    <w:rsid w:val="1F50035E"/>
    <w:rsid w:val="1F561593"/>
    <w:rsid w:val="1F6115C2"/>
    <w:rsid w:val="1F6748AB"/>
    <w:rsid w:val="1F780DC2"/>
    <w:rsid w:val="1F7D07B7"/>
    <w:rsid w:val="1F8034E6"/>
    <w:rsid w:val="1F890B18"/>
    <w:rsid w:val="1F8E6CC4"/>
    <w:rsid w:val="1F974FE3"/>
    <w:rsid w:val="1FBE4E73"/>
    <w:rsid w:val="1FD77AD6"/>
    <w:rsid w:val="200A3A07"/>
    <w:rsid w:val="201E5705"/>
    <w:rsid w:val="2020322B"/>
    <w:rsid w:val="20216FA3"/>
    <w:rsid w:val="2024362B"/>
    <w:rsid w:val="207215AC"/>
    <w:rsid w:val="207C60A2"/>
    <w:rsid w:val="208F215E"/>
    <w:rsid w:val="2096173F"/>
    <w:rsid w:val="209B2C72"/>
    <w:rsid w:val="20B00A53"/>
    <w:rsid w:val="20B3409F"/>
    <w:rsid w:val="20C1476D"/>
    <w:rsid w:val="20C444FE"/>
    <w:rsid w:val="20CA7543"/>
    <w:rsid w:val="20E56608"/>
    <w:rsid w:val="20EE3329"/>
    <w:rsid w:val="20F16975"/>
    <w:rsid w:val="2107263D"/>
    <w:rsid w:val="210A1607"/>
    <w:rsid w:val="211937C1"/>
    <w:rsid w:val="215238B8"/>
    <w:rsid w:val="21617F9F"/>
    <w:rsid w:val="21680B92"/>
    <w:rsid w:val="217038B5"/>
    <w:rsid w:val="21744FAF"/>
    <w:rsid w:val="21814378"/>
    <w:rsid w:val="21823A71"/>
    <w:rsid w:val="218B6DCA"/>
    <w:rsid w:val="2190618E"/>
    <w:rsid w:val="21AD4817"/>
    <w:rsid w:val="21B54478"/>
    <w:rsid w:val="21C66F9D"/>
    <w:rsid w:val="21C978F2"/>
    <w:rsid w:val="21CB5418"/>
    <w:rsid w:val="21D73DBD"/>
    <w:rsid w:val="21DA565B"/>
    <w:rsid w:val="21EE5BE9"/>
    <w:rsid w:val="21F31950"/>
    <w:rsid w:val="21F77D3C"/>
    <w:rsid w:val="21FC6C72"/>
    <w:rsid w:val="220A3D94"/>
    <w:rsid w:val="220B4104"/>
    <w:rsid w:val="2217065D"/>
    <w:rsid w:val="2221328A"/>
    <w:rsid w:val="22382B76"/>
    <w:rsid w:val="223C6316"/>
    <w:rsid w:val="224376A4"/>
    <w:rsid w:val="22456F24"/>
    <w:rsid w:val="22462793"/>
    <w:rsid w:val="224D0523"/>
    <w:rsid w:val="22544B91"/>
    <w:rsid w:val="22590C76"/>
    <w:rsid w:val="226A3875"/>
    <w:rsid w:val="2277734E"/>
    <w:rsid w:val="228A3FC6"/>
    <w:rsid w:val="2292671F"/>
    <w:rsid w:val="22927690"/>
    <w:rsid w:val="22940EF8"/>
    <w:rsid w:val="2295268E"/>
    <w:rsid w:val="22973DAC"/>
    <w:rsid w:val="2298179E"/>
    <w:rsid w:val="2298615E"/>
    <w:rsid w:val="229D6DB5"/>
    <w:rsid w:val="229E4AB4"/>
    <w:rsid w:val="22A01D00"/>
    <w:rsid w:val="22A450AF"/>
    <w:rsid w:val="22A55C69"/>
    <w:rsid w:val="22C95DFC"/>
    <w:rsid w:val="22DE4CE7"/>
    <w:rsid w:val="233D692C"/>
    <w:rsid w:val="234C2589"/>
    <w:rsid w:val="2351194D"/>
    <w:rsid w:val="235356C5"/>
    <w:rsid w:val="23712C4B"/>
    <w:rsid w:val="237A3175"/>
    <w:rsid w:val="237A4221"/>
    <w:rsid w:val="23923F2E"/>
    <w:rsid w:val="23BB515A"/>
    <w:rsid w:val="23C860B3"/>
    <w:rsid w:val="23CB5BA3"/>
    <w:rsid w:val="23D762F6"/>
    <w:rsid w:val="23DC7DC4"/>
    <w:rsid w:val="23EE53EE"/>
    <w:rsid w:val="24030E99"/>
    <w:rsid w:val="24047742"/>
    <w:rsid w:val="240B41F2"/>
    <w:rsid w:val="240D7F6A"/>
    <w:rsid w:val="2412732E"/>
    <w:rsid w:val="241412F8"/>
    <w:rsid w:val="24213A15"/>
    <w:rsid w:val="244112E0"/>
    <w:rsid w:val="24463799"/>
    <w:rsid w:val="24521E21"/>
    <w:rsid w:val="245C6909"/>
    <w:rsid w:val="246062EC"/>
    <w:rsid w:val="24612064"/>
    <w:rsid w:val="24741D97"/>
    <w:rsid w:val="24746139"/>
    <w:rsid w:val="249146F7"/>
    <w:rsid w:val="24B146FC"/>
    <w:rsid w:val="24B2466D"/>
    <w:rsid w:val="24BA4F50"/>
    <w:rsid w:val="24BC24A7"/>
    <w:rsid w:val="24C07D85"/>
    <w:rsid w:val="24C3687B"/>
    <w:rsid w:val="24C50845"/>
    <w:rsid w:val="24CA5E5B"/>
    <w:rsid w:val="24CF521F"/>
    <w:rsid w:val="24D57081"/>
    <w:rsid w:val="24E30784"/>
    <w:rsid w:val="24FB7DC2"/>
    <w:rsid w:val="25067563"/>
    <w:rsid w:val="25072C0B"/>
    <w:rsid w:val="2508611C"/>
    <w:rsid w:val="251C69AD"/>
    <w:rsid w:val="25207829"/>
    <w:rsid w:val="253432D4"/>
    <w:rsid w:val="25832249"/>
    <w:rsid w:val="25862478"/>
    <w:rsid w:val="258778A8"/>
    <w:rsid w:val="258E04F1"/>
    <w:rsid w:val="2593624D"/>
    <w:rsid w:val="25A16BBC"/>
    <w:rsid w:val="25A77F4A"/>
    <w:rsid w:val="25AB3597"/>
    <w:rsid w:val="25AE3087"/>
    <w:rsid w:val="25BC39F6"/>
    <w:rsid w:val="25BD0469"/>
    <w:rsid w:val="25BD4269"/>
    <w:rsid w:val="25CF587B"/>
    <w:rsid w:val="25E21D36"/>
    <w:rsid w:val="261E6BA2"/>
    <w:rsid w:val="26211AAB"/>
    <w:rsid w:val="26263A75"/>
    <w:rsid w:val="26301CEE"/>
    <w:rsid w:val="26321F0A"/>
    <w:rsid w:val="26597496"/>
    <w:rsid w:val="2666151B"/>
    <w:rsid w:val="26864004"/>
    <w:rsid w:val="26882E12"/>
    <w:rsid w:val="26914E82"/>
    <w:rsid w:val="2694227D"/>
    <w:rsid w:val="26955FF5"/>
    <w:rsid w:val="26A76454"/>
    <w:rsid w:val="26C07516"/>
    <w:rsid w:val="26C30DB4"/>
    <w:rsid w:val="26D41552"/>
    <w:rsid w:val="26E1123A"/>
    <w:rsid w:val="26E33204"/>
    <w:rsid w:val="26F3215E"/>
    <w:rsid w:val="26FD42C6"/>
    <w:rsid w:val="27005B64"/>
    <w:rsid w:val="27054F28"/>
    <w:rsid w:val="27190A70"/>
    <w:rsid w:val="27270A10"/>
    <w:rsid w:val="274243CE"/>
    <w:rsid w:val="274C4E88"/>
    <w:rsid w:val="274E68CF"/>
    <w:rsid w:val="276205CD"/>
    <w:rsid w:val="27693709"/>
    <w:rsid w:val="277420AE"/>
    <w:rsid w:val="277B07E3"/>
    <w:rsid w:val="27822A1D"/>
    <w:rsid w:val="27840543"/>
    <w:rsid w:val="27A04C51"/>
    <w:rsid w:val="27A42993"/>
    <w:rsid w:val="27A91D58"/>
    <w:rsid w:val="27B71CA5"/>
    <w:rsid w:val="27BB1438"/>
    <w:rsid w:val="27E761F2"/>
    <w:rsid w:val="27EB6814"/>
    <w:rsid w:val="280276BA"/>
    <w:rsid w:val="28046D65"/>
    <w:rsid w:val="280E013E"/>
    <w:rsid w:val="28174199"/>
    <w:rsid w:val="281F64BE"/>
    <w:rsid w:val="28221B0A"/>
    <w:rsid w:val="28235FAE"/>
    <w:rsid w:val="283F3197"/>
    <w:rsid w:val="284657F9"/>
    <w:rsid w:val="28500425"/>
    <w:rsid w:val="285919D0"/>
    <w:rsid w:val="28744262"/>
    <w:rsid w:val="28793E20"/>
    <w:rsid w:val="28814A83"/>
    <w:rsid w:val="288C7990"/>
    <w:rsid w:val="288D1681"/>
    <w:rsid w:val="288F53F1"/>
    <w:rsid w:val="28A864B3"/>
    <w:rsid w:val="28AD3ACA"/>
    <w:rsid w:val="28B46C06"/>
    <w:rsid w:val="28CF1C92"/>
    <w:rsid w:val="28D043D2"/>
    <w:rsid w:val="28D252DE"/>
    <w:rsid w:val="28E05C4D"/>
    <w:rsid w:val="28E71C4F"/>
    <w:rsid w:val="291C47AB"/>
    <w:rsid w:val="292A336C"/>
    <w:rsid w:val="292D0766"/>
    <w:rsid w:val="29451F54"/>
    <w:rsid w:val="29510F4E"/>
    <w:rsid w:val="29581C87"/>
    <w:rsid w:val="29593124"/>
    <w:rsid w:val="296C128F"/>
    <w:rsid w:val="297E0FC2"/>
    <w:rsid w:val="29852351"/>
    <w:rsid w:val="298C36DF"/>
    <w:rsid w:val="29B13146"/>
    <w:rsid w:val="29BF683D"/>
    <w:rsid w:val="29C64FDC"/>
    <w:rsid w:val="29C72969"/>
    <w:rsid w:val="29CE019B"/>
    <w:rsid w:val="29DB4666"/>
    <w:rsid w:val="29DB5483"/>
    <w:rsid w:val="29E11C7D"/>
    <w:rsid w:val="29F23E8A"/>
    <w:rsid w:val="29F357BE"/>
    <w:rsid w:val="29FA689B"/>
    <w:rsid w:val="2A0616E3"/>
    <w:rsid w:val="2A135BAE"/>
    <w:rsid w:val="2A181417"/>
    <w:rsid w:val="2A261D85"/>
    <w:rsid w:val="2A3049B2"/>
    <w:rsid w:val="2A36189D"/>
    <w:rsid w:val="2A44644C"/>
    <w:rsid w:val="2A4F50A1"/>
    <w:rsid w:val="2A5B4287"/>
    <w:rsid w:val="2A5E32CD"/>
    <w:rsid w:val="2A612DBE"/>
    <w:rsid w:val="2A6D3510"/>
    <w:rsid w:val="2A704DAF"/>
    <w:rsid w:val="2A7C3754"/>
    <w:rsid w:val="2A832D34"/>
    <w:rsid w:val="2A952A67"/>
    <w:rsid w:val="2A9F7442"/>
    <w:rsid w:val="2AA70638"/>
    <w:rsid w:val="2AA8152A"/>
    <w:rsid w:val="2AB476C4"/>
    <w:rsid w:val="2AC60E73"/>
    <w:rsid w:val="2ACD2201"/>
    <w:rsid w:val="2AE31231"/>
    <w:rsid w:val="2AE80DE9"/>
    <w:rsid w:val="2B0A6FB1"/>
    <w:rsid w:val="2B0F281A"/>
    <w:rsid w:val="2B114D48"/>
    <w:rsid w:val="2B1C6CE5"/>
    <w:rsid w:val="2B361B54"/>
    <w:rsid w:val="2B5621F6"/>
    <w:rsid w:val="2B593A95"/>
    <w:rsid w:val="2B5D17D7"/>
    <w:rsid w:val="2B5D3585"/>
    <w:rsid w:val="2B5E10AB"/>
    <w:rsid w:val="2B617484"/>
    <w:rsid w:val="2B6D4ACC"/>
    <w:rsid w:val="2B77216D"/>
    <w:rsid w:val="2B7D56C4"/>
    <w:rsid w:val="2B960845"/>
    <w:rsid w:val="2BA03472"/>
    <w:rsid w:val="2BA967CA"/>
    <w:rsid w:val="2BAA42F0"/>
    <w:rsid w:val="2BB313F7"/>
    <w:rsid w:val="2BBA09D7"/>
    <w:rsid w:val="2BBE7D9C"/>
    <w:rsid w:val="2BBF5FEE"/>
    <w:rsid w:val="2BC453B2"/>
    <w:rsid w:val="2BD3716A"/>
    <w:rsid w:val="2BD650E5"/>
    <w:rsid w:val="2BD80E5D"/>
    <w:rsid w:val="2BE271C7"/>
    <w:rsid w:val="2BF13CCD"/>
    <w:rsid w:val="2C0F4592"/>
    <w:rsid w:val="2C106849"/>
    <w:rsid w:val="2C1856FE"/>
    <w:rsid w:val="2C2E6764"/>
    <w:rsid w:val="2C365B84"/>
    <w:rsid w:val="2C416A03"/>
    <w:rsid w:val="2C4E4B30"/>
    <w:rsid w:val="2C626979"/>
    <w:rsid w:val="2C66290D"/>
    <w:rsid w:val="2C675EE1"/>
    <w:rsid w:val="2C867F83"/>
    <w:rsid w:val="2C915F2E"/>
    <w:rsid w:val="2C925A68"/>
    <w:rsid w:val="2C9B25AE"/>
    <w:rsid w:val="2CBB49CC"/>
    <w:rsid w:val="2CC204B9"/>
    <w:rsid w:val="2CC974EE"/>
    <w:rsid w:val="2CCB451E"/>
    <w:rsid w:val="2CD21D51"/>
    <w:rsid w:val="2CFC020B"/>
    <w:rsid w:val="2D1722BC"/>
    <w:rsid w:val="2D1E6D44"/>
    <w:rsid w:val="2D34475F"/>
    <w:rsid w:val="2D35408E"/>
    <w:rsid w:val="2D357A64"/>
    <w:rsid w:val="2D412A32"/>
    <w:rsid w:val="2D48063B"/>
    <w:rsid w:val="2D55028C"/>
    <w:rsid w:val="2D597D7C"/>
    <w:rsid w:val="2D5B3AF4"/>
    <w:rsid w:val="2D662499"/>
    <w:rsid w:val="2D684463"/>
    <w:rsid w:val="2D6C5D01"/>
    <w:rsid w:val="2D9B2143"/>
    <w:rsid w:val="2DA408D1"/>
    <w:rsid w:val="2DA74F8B"/>
    <w:rsid w:val="2DAD6C15"/>
    <w:rsid w:val="2DB631E5"/>
    <w:rsid w:val="2DBB4593"/>
    <w:rsid w:val="2DC00011"/>
    <w:rsid w:val="2DC25921"/>
    <w:rsid w:val="2DCE28FC"/>
    <w:rsid w:val="2DEC6E42"/>
    <w:rsid w:val="2DFA155F"/>
    <w:rsid w:val="2E0917A2"/>
    <w:rsid w:val="2E0B376C"/>
    <w:rsid w:val="2E0E500A"/>
    <w:rsid w:val="2E1020BD"/>
    <w:rsid w:val="2E1343CF"/>
    <w:rsid w:val="2E1E4B22"/>
    <w:rsid w:val="2E2F6D2F"/>
    <w:rsid w:val="2E3A7BAD"/>
    <w:rsid w:val="2E3D769E"/>
    <w:rsid w:val="2E4B5138"/>
    <w:rsid w:val="2E4F2F2D"/>
    <w:rsid w:val="2E5073D1"/>
    <w:rsid w:val="2E542FDB"/>
    <w:rsid w:val="2E5D477B"/>
    <w:rsid w:val="2E6D45D8"/>
    <w:rsid w:val="2E870919"/>
    <w:rsid w:val="2E91366A"/>
    <w:rsid w:val="2EA72D69"/>
    <w:rsid w:val="2EA80FBB"/>
    <w:rsid w:val="2EAB4607"/>
    <w:rsid w:val="2EC13E2B"/>
    <w:rsid w:val="2EC8340B"/>
    <w:rsid w:val="2EC92585"/>
    <w:rsid w:val="2EF20488"/>
    <w:rsid w:val="2F0977FE"/>
    <w:rsid w:val="2F316182"/>
    <w:rsid w:val="2F3A598B"/>
    <w:rsid w:val="2F560A17"/>
    <w:rsid w:val="2F642A08"/>
    <w:rsid w:val="2F6711C6"/>
    <w:rsid w:val="2F68074A"/>
    <w:rsid w:val="2F7610B9"/>
    <w:rsid w:val="2F7A5841"/>
    <w:rsid w:val="2F801620"/>
    <w:rsid w:val="2F827A5E"/>
    <w:rsid w:val="2F950E14"/>
    <w:rsid w:val="2FA8421F"/>
    <w:rsid w:val="2FB614B6"/>
    <w:rsid w:val="2FC148CD"/>
    <w:rsid w:val="2FCD4A51"/>
    <w:rsid w:val="2FCE2CA3"/>
    <w:rsid w:val="2FDC7166"/>
    <w:rsid w:val="2FFD70E5"/>
    <w:rsid w:val="300A1801"/>
    <w:rsid w:val="300E30A0"/>
    <w:rsid w:val="301B2D20"/>
    <w:rsid w:val="302C1778"/>
    <w:rsid w:val="302E3DBF"/>
    <w:rsid w:val="30403475"/>
    <w:rsid w:val="30494536"/>
    <w:rsid w:val="304E7940"/>
    <w:rsid w:val="30556F21"/>
    <w:rsid w:val="30605B1E"/>
    <w:rsid w:val="30607673"/>
    <w:rsid w:val="306A5BE8"/>
    <w:rsid w:val="307B58DB"/>
    <w:rsid w:val="30865897"/>
    <w:rsid w:val="308E7498"/>
    <w:rsid w:val="309612E7"/>
    <w:rsid w:val="30BC32BD"/>
    <w:rsid w:val="30C2376F"/>
    <w:rsid w:val="30E20088"/>
    <w:rsid w:val="30E65649"/>
    <w:rsid w:val="30EA318F"/>
    <w:rsid w:val="30F878AC"/>
    <w:rsid w:val="30FE3D33"/>
    <w:rsid w:val="30FF0C3A"/>
    <w:rsid w:val="312263F2"/>
    <w:rsid w:val="312B7C81"/>
    <w:rsid w:val="31350B00"/>
    <w:rsid w:val="31532D34"/>
    <w:rsid w:val="315947EF"/>
    <w:rsid w:val="316F5DC0"/>
    <w:rsid w:val="31723B02"/>
    <w:rsid w:val="31A6555A"/>
    <w:rsid w:val="31B54829"/>
    <w:rsid w:val="31B639EF"/>
    <w:rsid w:val="31BB7257"/>
    <w:rsid w:val="31D16A7B"/>
    <w:rsid w:val="31D430C6"/>
    <w:rsid w:val="31FE7144"/>
    <w:rsid w:val="3218353A"/>
    <w:rsid w:val="32406D31"/>
    <w:rsid w:val="325379FB"/>
    <w:rsid w:val="325D506D"/>
    <w:rsid w:val="32680310"/>
    <w:rsid w:val="326A6587"/>
    <w:rsid w:val="32884359"/>
    <w:rsid w:val="3293788C"/>
    <w:rsid w:val="32950EC6"/>
    <w:rsid w:val="32AF693E"/>
    <w:rsid w:val="32B82E26"/>
    <w:rsid w:val="32CE61B4"/>
    <w:rsid w:val="32D3237F"/>
    <w:rsid w:val="32D656FD"/>
    <w:rsid w:val="32E4458C"/>
    <w:rsid w:val="32E473FC"/>
    <w:rsid w:val="32F30451"/>
    <w:rsid w:val="32FA5B5D"/>
    <w:rsid w:val="331309CD"/>
    <w:rsid w:val="33163DF2"/>
    <w:rsid w:val="3317670F"/>
    <w:rsid w:val="331E5EF0"/>
    <w:rsid w:val="332130EA"/>
    <w:rsid w:val="33260700"/>
    <w:rsid w:val="332901F1"/>
    <w:rsid w:val="33290D9C"/>
    <w:rsid w:val="332A25F0"/>
    <w:rsid w:val="332E5AD3"/>
    <w:rsid w:val="332F1373"/>
    <w:rsid w:val="33356B95"/>
    <w:rsid w:val="334868C9"/>
    <w:rsid w:val="33525D90"/>
    <w:rsid w:val="33557238"/>
    <w:rsid w:val="336B0809"/>
    <w:rsid w:val="337E179F"/>
    <w:rsid w:val="33953AD8"/>
    <w:rsid w:val="33997124"/>
    <w:rsid w:val="339C09C3"/>
    <w:rsid w:val="33A67A93"/>
    <w:rsid w:val="33AB6E58"/>
    <w:rsid w:val="33AE1873"/>
    <w:rsid w:val="33B26438"/>
    <w:rsid w:val="33B43F5E"/>
    <w:rsid w:val="33B977C6"/>
    <w:rsid w:val="33D24C23"/>
    <w:rsid w:val="33DB598F"/>
    <w:rsid w:val="33F83062"/>
    <w:rsid w:val="33F94067"/>
    <w:rsid w:val="33FB7DDF"/>
    <w:rsid w:val="33FC0937"/>
    <w:rsid w:val="340053F5"/>
    <w:rsid w:val="34030A42"/>
    <w:rsid w:val="34160775"/>
    <w:rsid w:val="34164C19"/>
    <w:rsid w:val="34230879"/>
    <w:rsid w:val="3431735D"/>
    <w:rsid w:val="343313EF"/>
    <w:rsid w:val="34360E17"/>
    <w:rsid w:val="345C0152"/>
    <w:rsid w:val="346C157F"/>
    <w:rsid w:val="346C65E7"/>
    <w:rsid w:val="34735BC7"/>
    <w:rsid w:val="34B306BA"/>
    <w:rsid w:val="34C53F49"/>
    <w:rsid w:val="34C91C8B"/>
    <w:rsid w:val="34C93A39"/>
    <w:rsid w:val="34D41117"/>
    <w:rsid w:val="34DE40C3"/>
    <w:rsid w:val="34EF0FC6"/>
    <w:rsid w:val="34F04FA0"/>
    <w:rsid w:val="34F860CC"/>
    <w:rsid w:val="35075A3D"/>
    <w:rsid w:val="35131158"/>
    <w:rsid w:val="35134CB4"/>
    <w:rsid w:val="35154ED0"/>
    <w:rsid w:val="35184367"/>
    <w:rsid w:val="351C000D"/>
    <w:rsid w:val="353C420B"/>
    <w:rsid w:val="35531555"/>
    <w:rsid w:val="355E0625"/>
    <w:rsid w:val="35611EC4"/>
    <w:rsid w:val="356279EA"/>
    <w:rsid w:val="35777939"/>
    <w:rsid w:val="357C6CFE"/>
    <w:rsid w:val="35971107"/>
    <w:rsid w:val="3598340C"/>
    <w:rsid w:val="359D3FB1"/>
    <w:rsid w:val="35A3072E"/>
    <w:rsid w:val="35A41DB0"/>
    <w:rsid w:val="35A93698"/>
    <w:rsid w:val="35B41300"/>
    <w:rsid w:val="35BA7D46"/>
    <w:rsid w:val="35C6441D"/>
    <w:rsid w:val="35D6212C"/>
    <w:rsid w:val="35E13004"/>
    <w:rsid w:val="35F44AE6"/>
    <w:rsid w:val="36056CF3"/>
    <w:rsid w:val="36080DFB"/>
    <w:rsid w:val="36201D7F"/>
    <w:rsid w:val="362058DB"/>
    <w:rsid w:val="36287CF1"/>
    <w:rsid w:val="36317AE8"/>
    <w:rsid w:val="363B0967"/>
    <w:rsid w:val="363D550A"/>
    <w:rsid w:val="364F191D"/>
    <w:rsid w:val="365756F5"/>
    <w:rsid w:val="3661762F"/>
    <w:rsid w:val="36745C27"/>
    <w:rsid w:val="3679148F"/>
    <w:rsid w:val="36817CD2"/>
    <w:rsid w:val="369342FF"/>
    <w:rsid w:val="36940077"/>
    <w:rsid w:val="369826BD"/>
    <w:rsid w:val="36987B67"/>
    <w:rsid w:val="36A22534"/>
    <w:rsid w:val="36B9188B"/>
    <w:rsid w:val="36BB3856"/>
    <w:rsid w:val="36C3270A"/>
    <w:rsid w:val="36C86B89"/>
    <w:rsid w:val="36DD0E49"/>
    <w:rsid w:val="36F141D6"/>
    <w:rsid w:val="3712057A"/>
    <w:rsid w:val="3719377B"/>
    <w:rsid w:val="37225683"/>
    <w:rsid w:val="372641ED"/>
    <w:rsid w:val="37280F03"/>
    <w:rsid w:val="3729607A"/>
    <w:rsid w:val="372E5DD5"/>
    <w:rsid w:val="37353608"/>
    <w:rsid w:val="37357164"/>
    <w:rsid w:val="3741681C"/>
    <w:rsid w:val="37423544"/>
    <w:rsid w:val="37465815"/>
    <w:rsid w:val="37517D16"/>
    <w:rsid w:val="376161AB"/>
    <w:rsid w:val="376B60C5"/>
    <w:rsid w:val="376D2DA2"/>
    <w:rsid w:val="37906A90"/>
    <w:rsid w:val="379F6CD3"/>
    <w:rsid w:val="37AE5168"/>
    <w:rsid w:val="37B3277F"/>
    <w:rsid w:val="37CC3488"/>
    <w:rsid w:val="37CD1A92"/>
    <w:rsid w:val="37CD55EE"/>
    <w:rsid w:val="37DF5322"/>
    <w:rsid w:val="37E52231"/>
    <w:rsid w:val="37F505D8"/>
    <w:rsid w:val="37F64CE1"/>
    <w:rsid w:val="37FF7772"/>
    <w:rsid w:val="38144FF1"/>
    <w:rsid w:val="381462FC"/>
    <w:rsid w:val="381B0A50"/>
    <w:rsid w:val="382229ED"/>
    <w:rsid w:val="38237904"/>
    <w:rsid w:val="382C5E49"/>
    <w:rsid w:val="38455ACD"/>
    <w:rsid w:val="384B18C4"/>
    <w:rsid w:val="38613F89"/>
    <w:rsid w:val="38783335"/>
    <w:rsid w:val="387A58E0"/>
    <w:rsid w:val="388A1731"/>
    <w:rsid w:val="388D1833"/>
    <w:rsid w:val="38934A8A"/>
    <w:rsid w:val="38966328"/>
    <w:rsid w:val="38A45FAF"/>
    <w:rsid w:val="38A72D01"/>
    <w:rsid w:val="38A73A87"/>
    <w:rsid w:val="38B62526"/>
    <w:rsid w:val="38B80787"/>
    <w:rsid w:val="38BF587F"/>
    <w:rsid w:val="38C904AC"/>
    <w:rsid w:val="38E76B84"/>
    <w:rsid w:val="38E928FC"/>
    <w:rsid w:val="38EA0422"/>
    <w:rsid w:val="38EE1CC0"/>
    <w:rsid w:val="3902576C"/>
    <w:rsid w:val="390C77BE"/>
    <w:rsid w:val="39140DAC"/>
    <w:rsid w:val="39201BC4"/>
    <w:rsid w:val="39241B86"/>
    <w:rsid w:val="39253208"/>
    <w:rsid w:val="394255B6"/>
    <w:rsid w:val="39565AB7"/>
    <w:rsid w:val="395D6E46"/>
    <w:rsid w:val="395F496C"/>
    <w:rsid w:val="396A7EC3"/>
    <w:rsid w:val="397A5F4E"/>
    <w:rsid w:val="397F6966"/>
    <w:rsid w:val="39897C3B"/>
    <w:rsid w:val="39930ABA"/>
    <w:rsid w:val="399F1D77"/>
    <w:rsid w:val="39A873AB"/>
    <w:rsid w:val="39B55BFC"/>
    <w:rsid w:val="39BF344F"/>
    <w:rsid w:val="39CD28CD"/>
    <w:rsid w:val="39CE1AF2"/>
    <w:rsid w:val="39D50940"/>
    <w:rsid w:val="39ED01CA"/>
    <w:rsid w:val="39F57F23"/>
    <w:rsid w:val="39F8091D"/>
    <w:rsid w:val="39F87C73"/>
    <w:rsid w:val="3A0177D1"/>
    <w:rsid w:val="3A0379ED"/>
    <w:rsid w:val="3A1E4827"/>
    <w:rsid w:val="3A241712"/>
    <w:rsid w:val="3A242699"/>
    <w:rsid w:val="3A296D28"/>
    <w:rsid w:val="3A3457D2"/>
    <w:rsid w:val="3A352615"/>
    <w:rsid w:val="3A4D2A17"/>
    <w:rsid w:val="3A555D6F"/>
    <w:rsid w:val="3A663AD8"/>
    <w:rsid w:val="3A8E59AB"/>
    <w:rsid w:val="3AA0523C"/>
    <w:rsid w:val="3AA765CB"/>
    <w:rsid w:val="3AAF547F"/>
    <w:rsid w:val="3AB369E9"/>
    <w:rsid w:val="3AB50B0C"/>
    <w:rsid w:val="3ABC2B89"/>
    <w:rsid w:val="3AEC4B81"/>
    <w:rsid w:val="3AED7D0E"/>
    <w:rsid w:val="3AF56F1F"/>
    <w:rsid w:val="3AFA0DF0"/>
    <w:rsid w:val="3B037BEE"/>
    <w:rsid w:val="3B117EE8"/>
    <w:rsid w:val="3B196D9D"/>
    <w:rsid w:val="3B3F2CA7"/>
    <w:rsid w:val="3B4413D5"/>
    <w:rsid w:val="3B52400F"/>
    <w:rsid w:val="3B6E70E8"/>
    <w:rsid w:val="3B737EDE"/>
    <w:rsid w:val="3B751A78"/>
    <w:rsid w:val="3B7F12F6"/>
    <w:rsid w:val="3B892174"/>
    <w:rsid w:val="3B936B4F"/>
    <w:rsid w:val="3BB32C9A"/>
    <w:rsid w:val="3BBA40DC"/>
    <w:rsid w:val="3BBF5B96"/>
    <w:rsid w:val="3BD553B9"/>
    <w:rsid w:val="3BD57167"/>
    <w:rsid w:val="3BF9665A"/>
    <w:rsid w:val="3BFD442F"/>
    <w:rsid w:val="3C021DE4"/>
    <w:rsid w:val="3C12216A"/>
    <w:rsid w:val="3C2F5840"/>
    <w:rsid w:val="3C366730"/>
    <w:rsid w:val="3C3A521C"/>
    <w:rsid w:val="3C5C1637"/>
    <w:rsid w:val="3C5C33E5"/>
    <w:rsid w:val="3C722C08"/>
    <w:rsid w:val="3C7B3022"/>
    <w:rsid w:val="3C7E335B"/>
    <w:rsid w:val="3C9A5CBB"/>
    <w:rsid w:val="3CA64660"/>
    <w:rsid w:val="3CB62EF8"/>
    <w:rsid w:val="3CBA0087"/>
    <w:rsid w:val="3CBE7BFC"/>
    <w:rsid w:val="3CD1792F"/>
    <w:rsid w:val="3CD967E3"/>
    <w:rsid w:val="3CDB18C9"/>
    <w:rsid w:val="3CDB255C"/>
    <w:rsid w:val="3CF4186F"/>
    <w:rsid w:val="3CF67395"/>
    <w:rsid w:val="3D031AB2"/>
    <w:rsid w:val="3D063202"/>
    <w:rsid w:val="3D2739F3"/>
    <w:rsid w:val="3D2A5291"/>
    <w:rsid w:val="3D2C1009"/>
    <w:rsid w:val="3D483969"/>
    <w:rsid w:val="3D4E5423"/>
    <w:rsid w:val="3D5F318D"/>
    <w:rsid w:val="3D793B23"/>
    <w:rsid w:val="3D7D1865"/>
    <w:rsid w:val="3D850719"/>
    <w:rsid w:val="3D884F7B"/>
    <w:rsid w:val="3D8E75CE"/>
    <w:rsid w:val="3D9A363D"/>
    <w:rsid w:val="3D9F17DB"/>
    <w:rsid w:val="3DAF5796"/>
    <w:rsid w:val="3DBC5812"/>
    <w:rsid w:val="3DBF59D9"/>
    <w:rsid w:val="3DD11BB1"/>
    <w:rsid w:val="3DDD67A7"/>
    <w:rsid w:val="3DE9514C"/>
    <w:rsid w:val="3DF244A5"/>
    <w:rsid w:val="3DF71617"/>
    <w:rsid w:val="3DFF0731"/>
    <w:rsid w:val="3E014244"/>
    <w:rsid w:val="3E015FF2"/>
    <w:rsid w:val="3E0604EE"/>
    <w:rsid w:val="3E2171FA"/>
    <w:rsid w:val="3E2C64D5"/>
    <w:rsid w:val="3E345147"/>
    <w:rsid w:val="3E375EB7"/>
    <w:rsid w:val="3E3C527C"/>
    <w:rsid w:val="3E481E73"/>
    <w:rsid w:val="3E4A5393"/>
    <w:rsid w:val="3E595E2E"/>
    <w:rsid w:val="3E703177"/>
    <w:rsid w:val="3E704F26"/>
    <w:rsid w:val="3E80785E"/>
    <w:rsid w:val="3E8F7AA2"/>
    <w:rsid w:val="3E9E05F6"/>
    <w:rsid w:val="3EA846BF"/>
    <w:rsid w:val="3EAD43CC"/>
    <w:rsid w:val="3EAD617A"/>
    <w:rsid w:val="3EC71EA0"/>
    <w:rsid w:val="3ED2798E"/>
    <w:rsid w:val="3ED92EFE"/>
    <w:rsid w:val="3EDC080D"/>
    <w:rsid w:val="3EDE5448"/>
    <w:rsid w:val="3EE14075"/>
    <w:rsid w:val="3EE576C2"/>
    <w:rsid w:val="3EEA4CD8"/>
    <w:rsid w:val="3F040D84"/>
    <w:rsid w:val="3F0833B0"/>
    <w:rsid w:val="3F0A35CC"/>
    <w:rsid w:val="3F0D6C18"/>
    <w:rsid w:val="3F32042D"/>
    <w:rsid w:val="3F346B36"/>
    <w:rsid w:val="3F43263A"/>
    <w:rsid w:val="3F546C30"/>
    <w:rsid w:val="3F583BD9"/>
    <w:rsid w:val="3F710F55"/>
    <w:rsid w:val="3F820FEF"/>
    <w:rsid w:val="3F836EDA"/>
    <w:rsid w:val="3F877ADF"/>
    <w:rsid w:val="3FAB6C69"/>
    <w:rsid w:val="3FBA7F84"/>
    <w:rsid w:val="3FE614C0"/>
    <w:rsid w:val="3FF102E8"/>
    <w:rsid w:val="3FF22A5A"/>
    <w:rsid w:val="3FF658FE"/>
    <w:rsid w:val="40012A60"/>
    <w:rsid w:val="401028E4"/>
    <w:rsid w:val="40195A39"/>
    <w:rsid w:val="401C4AEF"/>
    <w:rsid w:val="401D5FC7"/>
    <w:rsid w:val="401F30A7"/>
    <w:rsid w:val="40261A08"/>
    <w:rsid w:val="40324B88"/>
    <w:rsid w:val="40400959"/>
    <w:rsid w:val="40483C3B"/>
    <w:rsid w:val="40491ED2"/>
    <w:rsid w:val="404D1D57"/>
    <w:rsid w:val="40774C91"/>
    <w:rsid w:val="407A208B"/>
    <w:rsid w:val="407C5E04"/>
    <w:rsid w:val="407F58F4"/>
    <w:rsid w:val="40842F0A"/>
    <w:rsid w:val="408D1DBF"/>
    <w:rsid w:val="409C00BD"/>
    <w:rsid w:val="40A37834"/>
    <w:rsid w:val="40A610D2"/>
    <w:rsid w:val="40AF61D9"/>
    <w:rsid w:val="40BE641C"/>
    <w:rsid w:val="40C03914"/>
    <w:rsid w:val="40C41559"/>
    <w:rsid w:val="40CD1523"/>
    <w:rsid w:val="40D065EB"/>
    <w:rsid w:val="40D43EC7"/>
    <w:rsid w:val="40DB6170"/>
    <w:rsid w:val="40F55BB6"/>
    <w:rsid w:val="40F736DC"/>
    <w:rsid w:val="40F97454"/>
    <w:rsid w:val="40FB141E"/>
    <w:rsid w:val="410127AD"/>
    <w:rsid w:val="410F0A26"/>
    <w:rsid w:val="41313F5D"/>
    <w:rsid w:val="41354204"/>
    <w:rsid w:val="413E1809"/>
    <w:rsid w:val="41456493"/>
    <w:rsid w:val="415C79E3"/>
    <w:rsid w:val="415E7BFF"/>
    <w:rsid w:val="41717932"/>
    <w:rsid w:val="417E5BAB"/>
    <w:rsid w:val="4189609D"/>
    <w:rsid w:val="41953F75"/>
    <w:rsid w:val="41AF52F5"/>
    <w:rsid w:val="41B132F0"/>
    <w:rsid w:val="41B57D84"/>
    <w:rsid w:val="41CC0438"/>
    <w:rsid w:val="41E22FF8"/>
    <w:rsid w:val="41F46CC4"/>
    <w:rsid w:val="41FA042E"/>
    <w:rsid w:val="420B2AA6"/>
    <w:rsid w:val="42220C2D"/>
    <w:rsid w:val="422B5D33"/>
    <w:rsid w:val="4230318E"/>
    <w:rsid w:val="42304113"/>
    <w:rsid w:val="423568B7"/>
    <w:rsid w:val="4236566E"/>
    <w:rsid w:val="424D3EFC"/>
    <w:rsid w:val="42782B53"/>
    <w:rsid w:val="427D40B5"/>
    <w:rsid w:val="427F44AC"/>
    <w:rsid w:val="429C5115"/>
    <w:rsid w:val="42A0247C"/>
    <w:rsid w:val="42A47894"/>
    <w:rsid w:val="42AB0C22"/>
    <w:rsid w:val="42CE66BF"/>
    <w:rsid w:val="42D77C69"/>
    <w:rsid w:val="42F205FF"/>
    <w:rsid w:val="43014CE6"/>
    <w:rsid w:val="43111B0F"/>
    <w:rsid w:val="43420882"/>
    <w:rsid w:val="43483E86"/>
    <w:rsid w:val="434B7D0F"/>
    <w:rsid w:val="434E7CF8"/>
    <w:rsid w:val="43762FDE"/>
    <w:rsid w:val="43911BC6"/>
    <w:rsid w:val="43951125"/>
    <w:rsid w:val="43A833B4"/>
    <w:rsid w:val="43B35FE0"/>
    <w:rsid w:val="43CD4BC8"/>
    <w:rsid w:val="43D16466"/>
    <w:rsid w:val="43DE2931"/>
    <w:rsid w:val="43E9584D"/>
    <w:rsid w:val="43EF0FE2"/>
    <w:rsid w:val="440920A4"/>
    <w:rsid w:val="442962A2"/>
    <w:rsid w:val="443864E5"/>
    <w:rsid w:val="44510CF4"/>
    <w:rsid w:val="445175A7"/>
    <w:rsid w:val="445C2F51"/>
    <w:rsid w:val="44623562"/>
    <w:rsid w:val="44661ADD"/>
    <w:rsid w:val="44760DBC"/>
    <w:rsid w:val="44911190"/>
    <w:rsid w:val="4493196E"/>
    <w:rsid w:val="44B26298"/>
    <w:rsid w:val="44B506F8"/>
    <w:rsid w:val="44C9538F"/>
    <w:rsid w:val="44CE6128"/>
    <w:rsid w:val="44D0671E"/>
    <w:rsid w:val="44D501D8"/>
    <w:rsid w:val="44E91672"/>
    <w:rsid w:val="4517259F"/>
    <w:rsid w:val="451C5E07"/>
    <w:rsid w:val="45521FA0"/>
    <w:rsid w:val="4568104C"/>
    <w:rsid w:val="45703A5D"/>
    <w:rsid w:val="45717F01"/>
    <w:rsid w:val="457A68E2"/>
    <w:rsid w:val="45910516"/>
    <w:rsid w:val="45B61DB8"/>
    <w:rsid w:val="45BB117C"/>
    <w:rsid w:val="45D466E2"/>
    <w:rsid w:val="45D87F80"/>
    <w:rsid w:val="45E306D3"/>
    <w:rsid w:val="45F34FE3"/>
    <w:rsid w:val="46020B59"/>
    <w:rsid w:val="46072613"/>
    <w:rsid w:val="461E02FB"/>
    <w:rsid w:val="462A00B0"/>
    <w:rsid w:val="4631143E"/>
    <w:rsid w:val="465313B5"/>
    <w:rsid w:val="46585B8B"/>
    <w:rsid w:val="46625A9C"/>
    <w:rsid w:val="467852BF"/>
    <w:rsid w:val="46821FB8"/>
    <w:rsid w:val="46845837"/>
    <w:rsid w:val="468A6DA0"/>
    <w:rsid w:val="46A2058E"/>
    <w:rsid w:val="46B53706"/>
    <w:rsid w:val="46B85E67"/>
    <w:rsid w:val="46DC3AA0"/>
    <w:rsid w:val="46E92037"/>
    <w:rsid w:val="46EE732F"/>
    <w:rsid w:val="46FD71B5"/>
    <w:rsid w:val="4703102D"/>
    <w:rsid w:val="470348DF"/>
    <w:rsid w:val="4705530C"/>
    <w:rsid w:val="473478B2"/>
    <w:rsid w:val="47394A4E"/>
    <w:rsid w:val="473F7B8B"/>
    <w:rsid w:val="47431429"/>
    <w:rsid w:val="4755115C"/>
    <w:rsid w:val="47631ACB"/>
    <w:rsid w:val="47733563"/>
    <w:rsid w:val="47756C45"/>
    <w:rsid w:val="47953C4F"/>
    <w:rsid w:val="479E6FA7"/>
    <w:rsid w:val="47AB6FCE"/>
    <w:rsid w:val="47B16CDB"/>
    <w:rsid w:val="47D74E86"/>
    <w:rsid w:val="47DC5461"/>
    <w:rsid w:val="480F0756"/>
    <w:rsid w:val="480F1C53"/>
    <w:rsid w:val="48105029"/>
    <w:rsid w:val="481D51B8"/>
    <w:rsid w:val="481E3C44"/>
    <w:rsid w:val="48254FD3"/>
    <w:rsid w:val="482B7710"/>
    <w:rsid w:val="483E7E42"/>
    <w:rsid w:val="48495422"/>
    <w:rsid w:val="485E04E5"/>
    <w:rsid w:val="4880045B"/>
    <w:rsid w:val="488C6E00"/>
    <w:rsid w:val="489A1ED0"/>
    <w:rsid w:val="489E7916"/>
    <w:rsid w:val="48BB1493"/>
    <w:rsid w:val="48BF2D31"/>
    <w:rsid w:val="48C91E02"/>
    <w:rsid w:val="48D160F6"/>
    <w:rsid w:val="48EE7ABB"/>
    <w:rsid w:val="48F50E49"/>
    <w:rsid w:val="48FB15BA"/>
    <w:rsid w:val="49013843"/>
    <w:rsid w:val="49080B7C"/>
    <w:rsid w:val="490D6193"/>
    <w:rsid w:val="49125EA8"/>
    <w:rsid w:val="491C63D6"/>
    <w:rsid w:val="491F212B"/>
    <w:rsid w:val="493059DD"/>
    <w:rsid w:val="49325BF9"/>
    <w:rsid w:val="493279A7"/>
    <w:rsid w:val="493F3E72"/>
    <w:rsid w:val="49413E94"/>
    <w:rsid w:val="49423962"/>
    <w:rsid w:val="4951041B"/>
    <w:rsid w:val="495A5150"/>
    <w:rsid w:val="495C2C76"/>
    <w:rsid w:val="495C45BC"/>
    <w:rsid w:val="4961203A"/>
    <w:rsid w:val="496438D9"/>
    <w:rsid w:val="497A134E"/>
    <w:rsid w:val="49813EF8"/>
    <w:rsid w:val="498428EE"/>
    <w:rsid w:val="49887A01"/>
    <w:rsid w:val="498A0EE5"/>
    <w:rsid w:val="499C12C5"/>
    <w:rsid w:val="499E6DEB"/>
    <w:rsid w:val="49A07007"/>
    <w:rsid w:val="49A753FA"/>
    <w:rsid w:val="49D24CE6"/>
    <w:rsid w:val="49D97E23"/>
    <w:rsid w:val="49E24520"/>
    <w:rsid w:val="4A050C18"/>
    <w:rsid w:val="4A143551"/>
    <w:rsid w:val="4A2005BA"/>
    <w:rsid w:val="4A2512BA"/>
    <w:rsid w:val="4A365275"/>
    <w:rsid w:val="4A370CCC"/>
    <w:rsid w:val="4A7A7858"/>
    <w:rsid w:val="4A7D4C52"/>
    <w:rsid w:val="4A8561FD"/>
    <w:rsid w:val="4A8A736F"/>
    <w:rsid w:val="4A8C758B"/>
    <w:rsid w:val="4A946440"/>
    <w:rsid w:val="4A9D3546"/>
    <w:rsid w:val="4A9E2E1A"/>
    <w:rsid w:val="4A9F106C"/>
    <w:rsid w:val="4AB83EDC"/>
    <w:rsid w:val="4ACF1226"/>
    <w:rsid w:val="4AD51C60"/>
    <w:rsid w:val="4AE271AB"/>
    <w:rsid w:val="4AED76C1"/>
    <w:rsid w:val="4AEE3DA2"/>
    <w:rsid w:val="4AFA2747"/>
    <w:rsid w:val="4B054C48"/>
    <w:rsid w:val="4B076C12"/>
    <w:rsid w:val="4B111A14"/>
    <w:rsid w:val="4B1732F9"/>
    <w:rsid w:val="4B1C090F"/>
    <w:rsid w:val="4B2E419E"/>
    <w:rsid w:val="4B306168"/>
    <w:rsid w:val="4B324B5C"/>
    <w:rsid w:val="4B3519D1"/>
    <w:rsid w:val="4B3F45FD"/>
    <w:rsid w:val="4B427C4A"/>
    <w:rsid w:val="4B5E0F27"/>
    <w:rsid w:val="4B63653E"/>
    <w:rsid w:val="4B7047B7"/>
    <w:rsid w:val="4B771FE9"/>
    <w:rsid w:val="4B83098E"/>
    <w:rsid w:val="4B8464B4"/>
    <w:rsid w:val="4B8B7843"/>
    <w:rsid w:val="4BAB13D0"/>
    <w:rsid w:val="4BAD77B9"/>
    <w:rsid w:val="4BB12ADF"/>
    <w:rsid w:val="4BB70638"/>
    <w:rsid w:val="4BBC5C4E"/>
    <w:rsid w:val="4BBC6B25"/>
    <w:rsid w:val="4BBE19C6"/>
    <w:rsid w:val="4BDC08EC"/>
    <w:rsid w:val="4BE67CAA"/>
    <w:rsid w:val="4BF130B6"/>
    <w:rsid w:val="4C0A4C0B"/>
    <w:rsid w:val="4C0D0258"/>
    <w:rsid w:val="4C137A41"/>
    <w:rsid w:val="4C2171D7"/>
    <w:rsid w:val="4C30647E"/>
    <w:rsid w:val="4C325F10"/>
    <w:rsid w:val="4C561BFF"/>
    <w:rsid w:val="4C59524B"/>
    <w:rsid w:val="4C602AB7"/>
    <w:rsid w:val="4C894245"/>
    <w:rsid w:val="4C8E75EA"/>
    <w:rsid w:val="4C910E89"/>
    <w:rsid w:val="4C912B97"/>
    <w:rsid w:val="4C9E0CAE"/>
    <w:rsid w:val="4C9F0765"/>
    <w:rsid w:val="4CA26BF2"/>
    <w:rsid w:val="4CBD57DA"/>
    <w:rsid w:val="4CBE1552"/>
    <w:rsid w:val="4CE0596C"/>
    <w:rsid w:val="4CE33A94"/>
    <w:rsid w:val="4CE865CF"/>
    <w:rsid w:val="4CFC7581"/>
    <w:rsid w:val="4CFE4014"/>
    <w:rsid w:val="4D07739D"/>
    <w:rsid w:val="4D0C6761"/>
    <w:rsid w:val="4D155616"/>
    <w:rsid w:val="4D441EBE"/>
    <w:rsid w:val="4D461C73"/>
    <w:rsid w:val="4D5A3970"/>
    <w:rsid w:val="4D5F1C02"/>
    <w:rsid w:val="4D6B16DA"/>
    <w:rsid w:val="4D8C494F"/>
    <w:rsid w:val="4D950505"/>
    <w:rsid w:val="4D96383E"/>
    <w:rsid w:val="4D9A3D6D"/>
    <w:rsid w:val="4DAE03C1"/>
    <w:rsid w:val="4DAE5A6A"/>
    <w:rsid w:val="4DAF41D1"/>
    <w:rsid w:val="4DC86B2C"/>
    <w:rsid w:val="4DCD5EF0"/>
    <w:rsid w:val="4DD21759"/>
    <w:rsid w:val="4DD51249"/>
    <w:rsid w:val="4DD54DA5"/>
    <w:rsid w:val="4DE476BB"/>
    <w:rsid w:val="4DE65204"/>
    <w:rsid w:val="4DE83B09"/>
    <w:rsid w:val="4E1405BD"/>
    <w:rsid w:val="4E212E6E"/>
    <w:rsid w:val="4E2875CB"/>
    <w:rsid w:val="4E29345E"/>
    <w:rsid w:val="4E386F08"/>
    <w:rsid w:val="4E394B11"/>
    <w:rsid w:val="4E395334"/>
    <w:rsid w:val="4E7740AE"/>
    <w:rsid w:val="4E8C7B5A"/>
    <w:rsid w:val="4EAA72A2"/>
    <w:rsid w:val="4EAF55F6"/>
    <w:rsid w:val="4EB70C79"/>
    <w:rsid w:val="4EBC4380"/>
    <w:rsid w:val="4EC01701"/>
    <w:rsid w:val="4EE74D90"/>
    <w:rsid w:val="4EF43951"/>
    <w:rsid w:val="4F0B013B"/>
    <w:rsid w:val="4F1D2EA8"/>
    <w:rsid w:val="4F2C1AA8"/>
    <w:rsid w:val="4F334479"/>
    <w:rsid w:val="4F552641"/>
    <w:rsid w:val="4F5616DF"/>
    <w:rsid w:val="4F6050C6"/>
    <w:rsid w:val="4F754A92"/>
    <w:rsid w:val="4F7D56F4"/>
    <w:rsid w:val="4F8627FB"/>
    <w:rsid w:val="4F895E47"/>
    <w:rsid w:val="4FA709C3"/>
    <w:rsid w:val="4FB1539E"/>
    <w:rsid w:val="4FBD1F95"/>
    <w:rsid w:val="4FCB2904"/>
    <w:rsid w:val="500B67D4"/>
    <w:rsid w:val="50106568"/>
    <w:rsid w:val="501E04F9"/>
    <w:rsid w:val="50212524"/>
    <w:rsid w:val="502D0EC8"/>
    <w:rsid w:val="502E69EF"/>
    <w:rsid w:val="50333B52"/>
    <w:rsid w:val="50466CB3"/>
    <w:rsid w:val="50551061"/>
    <w:rsid w:val="505F4DFA"/>
    <w:rsid w:val="5060304C"/>
    <w:rsid w:val="50632B3C"/>
    <w:rsid w:val="50632ECA"/>
    <w:rsid w:val="507410E7"/>
    <w:rsid w:val="50795EBC"/>
    <w:rsid w:val="50996D51"/>
    <w:rsid w:val="50BB4726"/>
    <w:rsid w:val="50BD049E"/>
    <w:rsid w:val="50CF01D2"/>
    <w:rsid w:val="50D47596"/>
    <w:rsid w:val="50DD469C"/>
    <w:rsid w:val="50E33C7D"/>
    <w:rsid w:val="50EE5828"/>
    <w:rsid w:val="50F70BD7"/>
    <w:rsid w:val="510D2AA8"/>
    <w:rsid w:val="512E314A"/>
    <w:rsid w:val="51322CE6"/>
    <w:rsid w:val="513C10BA"/>
    <w:rsid w:val="51406AC2"/>
    <w:rsid w:val="517B2107"/>
    <w:rsid w:val="51890380"/>
    <w:rsid w:val="518B5E73"/>
    <w:rsid w:val="51AC421C"/>
    <w:rsid w:val="51B745D7"/>
    <w:rsid w:val="51CB05F1"/>
    <w:rsid w:val="51D75E8C"/>
    <w:rsid w:val="51E952C3"/>
    <w:rsid w:val="51FB7581"/>
    <w:rsid w:val="5209326F"/>
    <w:rsid w:val="520C1CDD"/>
    <w:rsid w:val="52293911"/>
    <w:rsid w:val="52522E68"/>
    <w:rsid w:val="525C7843"/>
    <w:rsid w:val="52742DDF"/>
    <w:rsid w:val="527F1783"/>
    <w:rsid w:val="528943B0"/>
    <w:rsid w:val="529E1C09"/>
    <w:rsid w:val="52A40059"/>
    <w:rsid w:val="52BD6DD9"/>
    <w:rsid w:val="52C927B5"/>
    <w:rsid w:val="52D10231"/>
    <w:rsid w:val="52D7511B"/>
    <w:rsid w:val="52E635B0"/>
    <w:rsid w:val="52E71802"/>
    <w:rsid w:val="52EA30A1"/>
    <w:rsid w:val="52ED5DB2"/>
    <w:rsid w:val="52F201A7"/>
    <w:rsid w:val="52F54559"/>
    <w:rsid w:val="52F972DC"/>
    <w:rsid w:val="53083527"/>
    <w:rsid w:val="530A729F"/>
    <w:rsid w:val="53353435"/>
    <w:rsid w:val="5362532D"/>
    <w:rsid w:val="53626BDE"/>
    <w:rsid w:val="53672943"/>
    <w:rsid w:val="537E1A3B"/>
    <w:rsid w:val="538A646D"/>
    <w:rsid w:val="53A56FC8"/>
    <w:rsid w:val="53B611D5"/>
    <w:rsid w:val="53BF62DB"/>
    <w:rsid w:val="53C64F8C"/>
    <w:rsid w:val="53E8649A"/>
    <w:rsid w:val="53F00B8B"/>
    <w:rsid w:val="53FA37B7"/>
    <w:rsid w:val="54197A02"/>
    <w:rsid w:val="541A1764"/>
    <w:rsid w:val="541D1254"/>
    <w:rsid w:val="543100CE"/>
    <w:rsid w:val="54316AAD"/>
    <w:rsid w:val="546E385E"/>
    <w:rsid w:val="546E7D01"/>
    <w:rsid w:val="54751090"/>
    <w:rsid w:val="547A66A6"/>
    <w:rsid w:val="54871A27"/>
    <w:rsid w:val="5495528E"/>
    <w:rsid w:val="54A159E1"/>
    <w:rsid w:val="54AE00FE"/>
    <w:rsid w:val="54B167A5"/>
    <w:rsid w:val="54B43966"/>
    <w:rsid w:val="54C87412"/>
    <w:rsid w:val="54D062C6"/>
    <w:rsid w:val="54D343B2"/>
    <w:rsid w:val="54D933CD"/>
    <w:rsid w:val="54DC2EBD"/>
    <w:rsid w:val="54DE6C35"/>
    <w:rsid w:val="54E12281"/>
    <w:rsid w:val="54E641B4"/>
    <w:rsid w:val="54F32F7F"/>
    <w:rsid w:val="54F66FEF"/>
    <w:rsid w:val="550541C2"/>
    <w:rsid w:val="550B72FE"/>
    <w:rsid w:val="550D12C8"/>
    <w:rsid w:val="550E0FA1"/>
    <w:rsid w:val="5510343E"/>
    <w:rsid w:val="55124B31"/>
    <w:rsid w:val="5516017D"/>
    <w:rsid w:val="55180399"/>
    <w:rsid w:val="551E34D6"/>
    <w:rsid w:val="55275081"/>
    <w:rsid w:val="55314FB7"/>
    <w:rsid w:val="55377E6B"/>
    <w:rsid w:val="553D7E00"/>
    <w:rsid w:val="5543118E"/>
    <w:rsid w:val="55436A98"/>
    <w:rsid w:val="55515659"/>
    <w:rsid w:val="5563538C"/>
    <w:rsid w:val="5563618E"/>
    <w:rsid w:val="55676C2B"/>
    <w:rsid w:val="558477DD"/>
    <w:rsid w:val="55985036"/>
    <w:rsid w:val="55DB7F34"/>
    <w:rsid w:val="55E02539"/>
    <w:rsid w:val="56040A07"/>
    <w:rsid w:val="561A1EEF"/>
    <w:rsid w:val="563A5C76"/>
    <w:rsid w:val="56470DDC"/>
    <w:rsid w:val="5649247E"/>
    <w:rsid w:val="565005FD"/>
    <w:rsid w:val="565076BF"/>
    <w:rsid w:val="56584CC4"/>
    <w:rsid w:val="566413BC"/>
    <w:rsid w:val="56680EAC"/>
    <w:rsid w:val="56705FB3"/>
    <w:rsid w:val="56775382"/>
    <w:rsid w:val="567E247E"/>
    <w:rsid w:val="56811F6E"/>
    <w:rsid w:val="56824C54"/>
    <w:rsid w:val="56A63783"/>
    <w:rsid w:val="56C63E25"/>
    <w:rsid w:val="56CA0275"/>
    <w:rsid w:val="56D81EF5"/>
    <w:rsid w:val="56D95906"/>
    <w:rsid w:val="56E147BB"/>
    <w:rsid w:val="56EB5639"/>
    <w:rsid w:val="56F75D8C"/>
    <w:rsid w:val="56FE711B"/>
    <w:rsid w:val="57095589"/>
    <w:rsid w:val="570F1328"/>
    <w:rsid w:val="5714693E"/>
    <w:rsid w:val="57164EB8"/>
    <w:rsid w:val="571A3540"/>
    <w:rsid w:val="571D6CEF"/>
    <w:rsid w:val="571E156B"/>
    <w:rsid w:val="57405985"/>
    <w:rsid w:val="57407733"/>
    <w:rsid w:val="574D00A2"/>
    <w:rsid w:val="5753785B"/>
    <w:rsid w:val="57541431"/>
    <w:rsid w:val="575431DF"/>
    <w:rsid w:val="575C02E5"/>
    <w:rsid w:val="5765363E"/>
    <w:rsid w:val="576F0018"/>
    <w:rsid w:val="57750CCB"/>
    <w:rsid w:val="57886EE7"/>
    <w:rsid w:val="578C0303"/>
    <w:rsid w:val="578C0BCA"/>
    <w:rsid w:val="579B3F7E"/>
    <w:rsid w:val="57A8352A"/>
    <w:rsid w:val="57AF2B0B"/>
    <w:rsid w:val="57B51D71"/>
    <w:rsid w:val="57C83143"/>
    <w:rsid w:val="57CC0FC7"/>
    <w:rsid w:val="57D32355"/>
    <w:rsid w:val="57D40F71"/>
    <w:rsid w:val="57D63BF4"/>
    <w:rsid w:val="57E54811"/>
    <w:rsid w:val="58022C3B"/>
    <w:rsid w:val="58076959"/>
    <w:rsid w:val="581035A9"/>
    <w:rsid w:val="582B2191"/>
    <w:rsid w:val="583A23D4"/>
    <w:rsid w:val="583D3C73"/>
    <w:rsid w:val="58421289"/>
    <w:rsid w:val="584A7C2B"/>
    <w:rsid w:val="584E5E80"/>
    <w:rsid w:val="58533496"/>
    <w:rsid w:val="58550FBC"/>
    <w:rsid w:val="586B7496"/>
    <w:rsid w:val="587A4EC7"/>
    <w:rsid w:val="58801DB1"/>
    <w:rsid w:val="58875047"/>
    <w:rsid w:val="589C4E3D"/>
    <w:rsid w:val="58A25F92"/>
    <w:rsid w:val="58AB38D5"/>
    <w:rsid w:val="58B008E9"/>
    <w:rsid w:val="58BF6D7E"/>
    <w:rsid w:val="58C46142"/>
    <w:rsid w:val="58D26AB1"/>
    <w:rsid w:val="58E823E0"/>
    <w:rsid w:val="58E862D4"/>
    <w:rsid w:val="58EF1411"/>
    <w:rsid w:val="58F95DA2"/>
    <w:rsid w:val="58FA1B64"/>
    <w:rsid w:val="590B3D71"/>
    <w:rsid w:val="590D5D3B"/>
    <w:rsid w:val="59101387"/>
    <w:rsid w:val="59170968"/>
    <w:rsid w:val="5967369D"/>
    <w:rsid w:val="59704971"/>
    <w:rsid w:val="59B83EF9"/>
    <w:rsid w:val="59D90AAB"/>
    <w:rsid w:val="59E24AD2"/>
    <w:rsid w:val="59EC5950"/>
    <w:rsid w:val="59F34F31"/>
    <w:rsid w:val="59FB5B93"/>
    <w:rsid w:val="5A1739B6"/>
    <w:rsid w:val="5A1B36F3"/>
    <w:rsid w:val="5A3419FA"/>
    <w:rsid w:val="5A364E1D"/>
    <w:rsid w:val="5A387B5A"/>
    <w:rsid w:val="5A4C02AD"/>
    <w:rsid w:val="5A584D94"/>
    <w:rsid w:val="5A5868B8"/>
    <w:rsid w:val="5A656FEE"/>
    <w:rsid w:val="5A74434C"/>
    <w:rsid w:val="5A753B98"/>
    <w:rsid w:val="5A755946"/>
    <w:rsid w:val="5A963411"/>
    <w:rsid w:val="5ABB2F43"/>
    <w:rsid w:val="5AE64A95"/>
    <w:rsid w:val="5AF745AD"/>
    <w:rsid w:val="5AF820D3"/>
    <w:rsid w:val="5B044F1C"/>
    <w:rsid w:val="5B252ECE"/>
    <w:rsid w:val="5B303F63"/>
    <w:rsid w:val="5B353327"/>
    <w:rsid w:val="5B413A7A"/>
    <w:rsid w:val="5B444FE9"/>
    <w:rsid w:val="5B5639C9"/>
    <w:rsid w:val="5B674040"/>
    <w:rsid w:val="5B6A1223"/>
    <w:rsid w:val="5B7B3430"/>
    <w:rsid w:val="5B834092"/>
    <w:rsid w:val="5B857E0A"/>
    <w:rsid w:val="5B865931"/>
    <w:rsid w:val="5B8C73EB"/>
    <w:rsid w:val="5B9462A0"/>
    <w:rsid w:val="5B981120"/>
    <w:rsid w:val="5BAD69DF"/>
    <w:rsid w:val="5BB05D82"/>
    <w:rsid w:val="5BC528FD"/>
    <w:rsid w:val="5BC8419B"/>
    <w:rsid w:val="5BCD355F"/>
    <w:rsid w:val="5BE07737"/>
    <w:rsid w:val="5BE82147"/>
    <w:rsid w:val="5BEF34D6"/>
    <w:rsid w:val="5BF04A74"/>
    <w:rsid w:val="5BF705DC"/>
    <w:rsid w:val="5BF842F7"/>
    <w:rsid w:val="5BFB00CD"/>
    <w:rsid w:val="5C060EA5"/>
    <w:rsid w:val="5C084598"/>
    <w:rsid w:val="5C115B42"/>
    <w:rsid w:val="5C1178F0"/>
    <w:rsid w:val="5C164F06"/>
    <w:rsid w:val="5C1D44E7"/>
    <w:rsid w:val="5C29540E"/>
    <w:rsid w:val="5C36109E"/>
    <w:rsid w:val="5C3E620B"/>
    <w:rsid w:val="5C4D35FF"/>
    <w:rsid w:val="5C545A2F"/>
    <w:rsid w:val="5C582C75"/>
    <w:rsid w:val="5C5B5280"/>
    <w:rsid w:val="5C643EC4"/>
    <w:rsid w:val="5C695D58"/>
    <w:rsid w:val="5C91458D"/>
    <w:rsid w:val="5C930305"/>
    <w:rsid w:val="5CA61E20"/>
    <w:rsid w:val="5CB27795"/>
    <w:rsid w:val="5CBC3D00"/>
    <w:rsid w:val="5CCE3A33"/>
    <w:rsid w:val="5CDF6772"/>
    <w:rsid w:val="5CE172C2"/>
    <w:rsid w:val="5CE40196"/>
    <w:rsid w:val="5CEB1EEF"/>
    <w:rsid w:val="5D0E2082"/>
    <w:rsid w:val="5D170F36"/>
    <w:rsid w:val="5D2B49E2"/>
    <w:rsid w:val="5D2E6280"/>
    <w:rsid w:val="5D3A69D3"/>
    <w:rsid w:val="5D3D64C3"/>
    <w:rsid w:val="5D485594"/>
    <w:rsid w:val="5D4930BA"/>
    <w:rsid w:val="5D4D4958"/>
    <w:rsid w:val="5D663C6C"/>
    <w:rsid w:val="5D6C78A8"/>
    <w:rsid w:val="5D6E48CE"/>
    <w:rsid w:val="5D8660BC"/>
    <w:rsid w:val="5D883BE2"/>
    <w:rsid w:val="5D8D198F"/>
    <w:rsid w:val="5D9B72D3"/>
    <w:rsid w:val="5DA103A7"/>
    <w:rsid w:val="5DA14CA4"/>
    <w:rsid w:val="5DA30A1C"/>
    <w:rsid w:val="5DA80ADE"/>
    <w:rsid w:val="5DA86032"/>
    <w:rsid w:val="5DAB167E"/>
    <w:rsid w:val="5DBC388C"/>
    <w:rsid w:val="5DCD4D0E"/>
    <w:rsid w:val="5DDD2180"/>
    <w:rsid w:val="5DE057CC"/>
    <w:rsid w:val="5DF9688E"/>
    <w:rsid w:val="5E055BEF"/>
    <w:rsid w:val="5E06084D"/>
    <w:rsid w:val="5E08087F"/>
    <w:rsid w:val="5E251431"/>
    <w:rsid w:val="5E254B6A"/>
    <w:rsid w:val="5E2C27BF"/>
    <w:rsid w:val="5E3478C6"/>
    <w:rsid w:val="5E391380"/>
    <w:rsid w:val="5E526684"/>
    <w:rsid w:val="5E5D506F"/>
    <w:rsid w:val="5E662B47"/>
    <w:rsid w:val="5E6F03E6"/>
    <w:rsid w:val="5E734892"/>
    <w:rsid w:val="5E83582A"/>
    <w:rsid w:val="5E8A398A"/>
    <w:rsid w:val="5E8A5738"/>
    <w:rsid w:val="5E9842F9"/>
    <w:rsid w:val="5EA47734"/>
    <w:rsid w:val="5EA70098"/>
    <w:rsid w:val="5EAE7678"/>
    <w:rsid w:val="5EB36A3D"/>
    <w:rsid w:val="5EB86749"/>
    <w:rsid w:val="5EC17591"/>
    <w:rsid w:val="5ECC3FA2"/>
    <w:rsid w:val="5ED6097D"/>
    <w:rsid w:val="5ED6530C"/>
    <w:rsid w:val="5EE96902"/>
    <w:rsid w:val="5EEB267A"/>
    <w:rsid w:val="5EF01530"/>
    <w:rsid w:val="5F047298"/>
    <w:rsid w:val="5F0B64BC"/>
    <w:rsid w:val="5F351B48"/>
    <w:rsid w:val="5F3712A7"/>
    <w:rsid w:val="5F37492A"/>
    <w:rsid w:val="5F3C6B9F"/>
    <w:rsid w:val="5F3D3531"/>
    <w:rsid w:val="5F3F6522"/>
    <w:rsid w:val="5F4E2C09"/>
    <w:rsid w:val="5F57386C"/>
    <w:rsid w:val="5F61293D"/>
    <w:rsid w:val="5F6661A5"/>
    <w:rsid w:val="5F7206A6"/>
    <w:rsid w:val="5F727B9F"/>
    <w:rsid w:val="5F812FDF"/>
    <w:rsid w:val="5F830B05"/>
    <w:rsid w:val="5F8B79B9"/>
    <w:rsid w:val="5FAA42E4"/>
    <w:rsid w:val="5FE07D05"/>
    <w:rsid w:val="5FE86BBA"/>
    <w:rsid w:val="5FEB2206"/>
    <w:rsid w:val="5FEB66AA"/>
    <w:rsid w:val="5FEC48FC"/>
    <w:rsid w:val="5FEC5230"/>
    <w:rsid w:val="600E3FF6"/>
    <w:rsid w:val="60164D85"/>
    <w:rsid w:val="6024173B"/>
    <w:rsid w:val="602A5424"/>
    <w:rsid w:val="603B38D2"/>
    <w:rsid w:val="603E2C7E"/>
    <w:rsid w:val="604007A4"/>
    <w:rsid w:val="60427649"/>
    <w:rsid w:val="60583D40"/>
    <w:rsid w:val="60634492"/>
    <w:rsid w:val="60714E01"/>
    <w:rsid w:val="607C63F3"/>
    <w:rsid w:val="60822B6A"/>
    <w:rsid w:val="608508AD"/>
    <w:rsid w:val="60851256"/>
    <w:rsid w:val="608A7377"/>
    <w:rsid w:val="608F34D9"/>
    <w:rsid w:val="60956D42"/>
    <w:rsid w:val="60997EB4"/>
    <w:rsid w:val="609E36A1"/>
    <w:rsid w:val="60AD570E"/>
    <w:rsid w:val="60B60A66"/>
    <w:rsid w:val="60BB607C"/>
    <w:rsid w:val="60D333C6"/>
    <w:rsid w:val="60DB227B"/>
    <w:rsid w:val="60DB666F"/>
    <w:rsid w:val="60E43825"/>
    <w:rsid w:val="60E76E71"/>
    <w:rsid w:val="60ED0EC2"/>
    <w:rsid w:val="60F33A68"/>
    <w:rsid w:val="6109503A"/>
    <w:rsid w:val="610B7004"/>
    <w:rsid w:val="614B11AE"/>
    <w:rsid w:val="61554209"/>
    <w:rsid w:val="61565DA5"/>
    <w:rsid w:val="61587D6F"/>
    <w:rsid w:val="6166423A"/>
    <w:rsid w:val="61683090"/>
    <w:rsid w:val="616B1851"/>
    <w:rsid w:val="61720E31"/>
    <w:rsid w:val="61775CEE"/>
    <w:rsid w:val="6192502F"/>
    <w:rsid w:val="61A30FEA"/>
    <w:rsid w:val="61C533C0"/>
    <w:rsid w:val="61CA7CDB"/>
    <w:rsid w:val="61D05B58"/>
    <w:rsid w:val="61D07906"/>
    <w:rsid w:val="61D218D0"/>
    <w:rsid w:val="61D2367E"/>
    <w:rsid w:val="61D27B22"/>
    <w:rsid w:val="61DF11D2"/>
    <w:rsid w:val="61E67129"/>
    <w:rsid w:val="61F335F4"/>
    <w:rsid w:val="61FC3833"/>
    <w:rsid w:val="62031A89"/>
    <w:rsid w:val="621041A6"/>
    <w:rsid w:val="621F43E9"/>
    <w:rsid w:val="62326812"/>
    <w:rsid w:val="62360C81"/>
    <w:rsid w:val="624327CD"/>
    <w:rsid w:val="624A76B8"/>
    <w:rsid w:val="624B1D15"/>
    <w:rsid w:val="62543C1D"/>
    <w:rsid w:val="627562FB"/>
    <w:rsid w:val="627806C9"/>
    <w:rsid w:val="628A3F58"/>
    <w:rsid w:val="628C5F22"/>
    <w:rsid w:val="629D1EDE"/>
    <w:rsid w:val="629E07A7"/>
    <w:rsid w:val="62A214B5"/>
    <w:rsid w:val="62AE6CD2"/>
    <w:rsid w:val="62AF599B"/>
    <w:rsid w:val="62C67E7B"/>
    <w:rsid w:val="62CE02E9"/>
    <w:rsid w:val="62D17DD9"/>
    <w:rsid w:val="62D376AD"/>
    <w:rsid w:val="62D93C4B"/>
    <w:rsid w:val="62DC6813"/>
    <w:rsid w:val="62E278F0"/>
    <w:rsid w:val="62EF200D"/>
    <w:rsid w:val="63100901"/>
    <w:rsid w:val="632443AD"/>
    <w:rsid w:val="63323F74"/>
    <w:rsid w:val="634405AB"/>
    <w:rsid w:val="6356208C"/>
    <w:rsid w:val="636649C5"/>
    <w:rsid w:val="63787C76"/>
    <w:rsid w:val="637F15E3"/>
    <w:rsid w:val="6388493C"/>
    <w:rsid w:val="63892462"/>
    <w:rsid w:val="63894210"/>
    <w:rsid w:val="639C02CA"/>
    <w:rsid w:val="639D7CBB"/>
    <w:rsid w:val="63A4729C"/>
    <w:rsid w:val="63BE66CD"/>
    <w:rsid w:val="63D31FB3"/>
    <w:rsid w:val="63DC29E0"/>
    <w:rsid w:val="63E61662"/>
    <w:rsid w:val="63EB4ECB"/>
    <w:rsid w:val="63ED1575"/>
    <w:rsid w:val="64195594"/>
    <w:rsid w:val="641A106C"/>
    <w:rsid w:val="641F1048"/>
    <w:rsid w:val="642C4066"/>
    <w:rsid w:val="64405216"/>
    <w:rsid w:val="64410F8F"/>
    <w:rsid w:val="645B2050"/>
    <w:rsid w:val="64616F3B"/>
    <w:rsid w:val="646F78AA"/>
    <w:rsid w:val="64874365"/>
    <w:rsid w:val="64897A59"/>
    <w:rsid w:val="64A01811"/>
    <w:rsid w:val="64AF7CA6"/>
    <w:rsid w:val="64B67287"/>
    <w:rsid w:val="64BF6B8F"/>
    <w:rsid w:val="64C23E7D"/>
    <w:rsid w:val="64C9644F"/>
    <w:rsid w:val="64D911C7"/>
    <w:rsid w:val="64DE0BC9"/>
    <w:rsid w:val="64E42046"/>
    <w:rsid w:val="64F41B5D"/>
    <w:rsid w:val="64F67FA2"/>
    <w:rsid w:val="64FB29EE"/>
    <w:rsid w:val="6522491C"/>
    <w:rsid w:val="65256B53"/>
    <w:rsid w:val="652A37D1"/>
    <w:rsid w:val="654313F3"/>
    <w:rsid w:val="654523B9"/>
    <w:rsid w:val="657D7DA4"/>
    <w:rsid w:val="65825C2B"/>
    <w:rsid w:val="65880B86"/>
    <w:rsid w:val="65886E35"/>
    <w:rsid w:val="658E5B0E"/>
    <w:rsid w:val="65911E9F"/>
    <w:rsid w:val="65A137E2"/>
    <w:rsid w:val="65A57A70"/>
    <w:rsid w:val="65B03CD6"/>
    <w:rsid w:val="65CE0600"/>
    <w:rsid w:val="65EB0F7E"/>
    <w:rsid w:val="65F55B8D"/>
    <w:rsid w:val="65F870D7"/>
    <w:rsid w:val="65FF6A0B"/>
    <w:rsid w:val="660116E4"/>
    <w:rsid w:val="66102786"/>
    <w:rsid w:val="661701F9"/>
    <w:rsid w:val="6630076D"/>
    <w:rsid w:val="66300B06"/>
    <w:rsid w:val="663366B5"/>
    <w:rsid w:val="66410DD2"/>
    <w:rsid w:val="66432D9C"/>
    <w:rsid w:val="6659611C"/>
    <w:rsid w:val="6673304D"/>
    <w:rsid w:val="66742F55"/>
    <w:rsid w:val="668D04BB"/>
    <w:rsid w:val="66901922"/>
    <w:rsid w:val="669058B5"/>
    <w:rsid w:val="6692162D"/>
    <w:rsid w:val="66B6404D"/>
    <w:rsid w:val="66B94F27"/>
    <w:rsid w:val="66CF4630"/>
    <w:rsid w:val="66DC6D4D"/>
    <w:rsid w:val="66DE4873"/>
    <w:rsid w:val="66E31E89"/>
    <w:rsid w:val="66EC6F90"/>
    <w:rsid w:val="66ED2D08"/>
    <w:rsid w:val="670818F0"/>
    <w:rsid w:val="67157141"/>
    <w:rsid w:val="6727446C"/>
    <w:rsid w:val="672C1A82"/>
    <w:rsid w:val="672F645A"/>
    <w:rsid w:val="673D69D3"/>
    <w:rsid w:val="674D37A6"/>
    <w:rsid w:val="67550B06"/>
    <w:rsid w:val="675C6D69"/>
    <w:rsid w:val="676254A4"/>
    <w:rsid w:val="676B07FC"/>
    <w:rsid w:val="676D5A10"/>
    <w:rsid w:val="6773145F"/>
    <w:rsid w:val="67896ED4"/>
    <w:rsid w:val="67A6786D"/>
    <w:rsid w:val="67D0065F"/>
    <w:rsid w:val="67D13E6E"/>
    <w:rsid w:val="67D606BD"/>
    <w:rsid w:val="67DD1BB0"/>
    <w:rsid w:val="67EB7247"/>
    <w:rsid w:val="67FA2F82"/>
    <w:rsid w:val="681D761D"/>
    <w:rsid w:val="68381B18"/>
    <w:rsid w:val="68476448"/>
    <w:rsid w:val="6861446E"/>
    <w:rsid w:val="68672DBB"/>
    <w:rsid w:val="68792AA5"/>
    <w:rsid w:val="68923B67"/>
    <w:rsid w:val="689E53B5"/>
    <w:rsid w:val="68A737F6"/>
    <w:rsid w:val="68BB5E0A"/>
    <w:rsid w:val="68C15CC8"/>
    <w:rsid w:val="68C62F62"/>
    <w:rsid w:val="68C83A2C"/>
    <w:rsid w:val="68DC1286"/>
    <w:rsid w:val="68EA39A3"/>
    <w:rsid w:val="69006D22"/>
    <w:rsid w:val="69026F3E"/>
    <w:rsid w:val="690C0CC9"/>
    <w:rsid w:val="69224EEB"/>
    <w:rsid w:val="69270753"/>
    <w:rsid w:val="693D7F76"/>
    <w:rsid w:val="69425D22"/>
    <w:rsid w:val="6945507D"/>
    <w:rsid w:val="695232F6"/>
    <w:rsid w:val="69531548"/>
    <w:rsid w:val="6958090C"/>
    <w:rsid w:val="695D1034"/>
    <w:rsid w:val="69675274"/>
    <w:rsid w:val="696A4AE4"/>
    <w:rsid w:val="696C260A"/>
    <w:rsid w:val="69981651"/>
    <w:rsid w:val="69B30239"/>
    <w:rsid w:val="69B45116"/>
    <w:rsid w:val="69B55D5F"/>
    <w:rsid w:val="69C80CD9"/>
    <w:rsid w:val="69D65CD5"/>
    <w:rsid w:val="69E30726"/>
    <w:rsid w:val="6A0A7A75"/>
    <w:rsid w:val="6A0C16F7"/>
    <w:rsid w:val="6A0D7750"/>
    <w:rsid w:val="6A0E1913"/>
    <w:rsid w:val="6A102F95"/>
    <w:rsid w:val="6A274B82"/>
    <w:rsid w:val="6A2922A9"/>
    <w:rsid w:val="6A4F6E29"/>
    <w:rsid w:val="6A6257BB"/>
    <w:rsid w:val="6A7A2B04"/>
    <w:rsid w:val="6A845731"/>
    <w:rsid w:val="6A8674D8"/>
    <w:rsid w:val="6A873331"/>
    <w:rsid w:val="6A9C7FC8"/>
    <w:rsid w:val="6A9E67F3"/>
    <w:rsid w:val="6AB73D58"/>
    <w:rsid w:val="6ABE6E95"/>
    <w:rsid w:val="6AC42FD7"/>
    <w:rsid w:val="6AEB1597"/>
    <w:rsid w:val="6AF40B09"/>
    <w:rsid w:val="6B050AB7"/>
    <w:rsid w:val="6B0625EA"/>
    <w:rsid w:val="6B080110"/>
    <w:rsid w:val="6B0D108B"/>
    <w:rsid w:val="6B1E7934"/>
    <w:rsid w:val="6B4725E4"/>
    <w:rsid w:val="6B4C44A1"/>
    <w:rsid w:val="6B623CC4"/>
    <w:rsid w:val="6B6712DB"/>
    <w:rsid w:val="6B6932A5"/>
    <w:rsid w:val="6B6F018F"/>
    <w:rsid w:val="6B8725AB"/>
    <w:rsid w:val="6B8C0D41"/>
    <w:rsid w:val="6B8F6571"/>
    <w:rsid w:val="6BA22313"/>
    <w:rsid w:val="6BC95AF1"/>
    <w:rsid w:val="6BCF0C2E"/>
    <w:rsid w:val="6BD149A6"/>
    <w:rsid w:val="6BED6C25"/>
    <w:rsid w:val="6BF32B6E"/>
    <w:rsid w:val="6BF40694"/>
    <w:rsid w:val="6BF568E6"/>
    <w:rsid w:val="6C027255"/>
    <w:rsid w:val="6C0E4FD7"/>
    <w:rsid w:val="6C0E79A8"/>
    <w:rsid w:val="6C1175BA"/>
    <w:rsid w:val="6C180827"/>
    <w:rsid w:val="6C225864"/>
    <w:rsid w:val="6C2C0EF0"/>
    <w:rsid w:val="6C2C42D2"/>
    <w:rsid w:val="6C375151"/>
    <w:rsid w:val="6C375767"/>
    <w:rsid w:val="6C5C0714"/>
    <w:rsid w:val="6C615D2A"/>
    <w:rsid w:val="6C635F46"/>
    <w:rsid w:val="6C726B3F"/>
    <w:rsid w:val="6C732CE8"/>
    <w:rsid w:val="6C7A6DEC"/>
    <w:rsid w:val="6C7B609C"/>
    <w:rsid w:val="6C8B2DA7"/>
    <w:rsid w:val="6CA71F11"/>
    <w:rsid w:val="6CAA4822"/>
    <w:rsid w:val="6CAF56BF"/>
    <w:rsid w:val="6CB45CCA"/>
    <w:rsid w:val="6CBA18DE"/>
    <w:rsid w:val="6CBA7B30"/>
    <w:rsid w:val="6CBE10EF"/>
    <w:rsid w:val="6CC72C28"/>
    <w:rsid w:val="6CE30E35"/>
    <w:rsid w:val="6CE95D1F"/>
    <w:rsid w:val="6CF16CAD"/>
    <w:rsid w:val="6CFA7294"/>
    <w:rsid w:val="6CFD7CAA"/>
    <w:rsid w:val="6CFE5C6F"/>
    <w:rsid w:val="6D0019E7"/>
    <w:rsid w:val="6D042B59"/>
    <w:rsid w:val="6D0D1D19"/>
    <w:rsid w:val="6D0D5EB2"/>
    <w:rsid w:val="6D1056EB"/>
    <w:rsid w:val="6D196605"/>
    <w:rsid w:val="6D1E00BF"/>
    <w:rsid w:val="6D2F05B5"/>
    <w:rsid w:val="6D3C0545"/>
    <w:rsid w:val="6D4318D3"/>
    <w:rsid w:val="6D4F64CA"/>
    <w:rsid w:val="6D877A12"/>
    <w:rsid w:val="6D9B526C"/>
    <w:rsid w:val="6DA32372"/>
    <w:rsid w:val="6DA560EA"/>
    <w:rsid w:val="6DA87988"/>
    <w:rsid w:val="6DBE53FE"/>
    <w:rsid w:val="6DC42A14"/>
    <w:rsid w:val="6DD24A05"/>
    <w:rsid w:val="6DD662A4"/>
    <w:rsid w:val="6DE02D11"/>
    <w:rsid w:val="6DE2733E"/>
    <w:rsid w:val="6DE44E65"/>
    <w:rsid w:val="6DEA7FA1"/>
    <w:rsid w:val="6DFC3B86"/>
    <w:rsid w:val="6E0472B5"/>
    <w:rsid w:val="6E143397"/>
    <w:rsid w:val="6E1D7C8A"/>
    <w:rsid w:val="6E672A38"/>
    <w:rsid w:val="6E677844"/>
    <w:rsid w:val="6E6E5191"/>
    <w:rsid w:val="6E753D0F"/>
    <w:rsid w:val="6EC062B2"/>
    <w:rsid w:val="6EC407F2"/>
    <w:rsid w:val="6EC66318"/>
    <w:rsid w:val="6ED722D3"/>
    <w:rsid w:val="6EE13B87"/>
    <w:rsid w:val="6EE92007"/>
    <w:rsid w:val="6EFD1AEA"/>
    <w:rsid w:val="6F03756C"/>
    <w:rsid w:val="6F045092"/>
    <w:rsid w:val="6F137EEE"/>
    <w:rsid w:val="6F260569"/>
    <w:rsid w:val="6F2B26CC"/>
    <w:rsid w:val="6F2D283B"/>
    <w:rsid w:val="6F3257D9"/>
    <w:rsid w:val="6F40256E"/>
    <w:rsid w:val="6F4C511F"/>
    <w:rsid w:val="6F5B588D"/>
    <w:rsid w:val="6F6049BF"/>
    <w:rsid w:val="6F655B31"/>
    <w:rsid w:val="6F6C5EBE"/>
    <w:rsid w:val="6F6F075E"/>
    <w:rsid w:val="6F854425"/>
    <w:rsid w:val="6F887A72"/>
    <w:rsid w:val="6F8A5598"/>
    <w:rsid w:val="6FC50CC6"/>
    <w:rsid w:val="6FC62348"/>
    <w:rsid w:val="6FC84312"/>
    <w:rsid w:val="6FED5C73"/>
    <w:rsid w:val="6FEE2012"/>
    <w:rsid w:val="70090BB2"/>
    <w:rsid w:val="70333E81"/>
    <w:rsid w:val="703B7EBA"/>
    <w:rsid w:val="703E0D75"/>
    <w:rsid w:val="70447E3C"/>
    <w:rsid w:val="704A5E9F"/>
    <w:rsid w:val="70501F38"/>
    <w:rsid w:val="70546C91"/>
    <w:rsid w:val="70573A64"/>
    <w:rsid w:val="705A140E"/>
    <w:rsid w:val="706E4102"/>
    <w:rsid w:val="707A385E"/>
    <w:rsid w:val="70904E30"/>
    <w:rsid w:val="709B6A60"/>
    <w:rsid w:val="709F5073"/>
    <w:rsid w:val="70A60867"/>
    <w:rsid w:val="70A703CB"/>
    <w:rsid w:val="70A95EF1"/>
    <w:rsid w:val="70AE5C04"/>
    <w:rsid w:val="70B054D2"/>
    <w:rsid w:val="70B40AA3"/>
    <w:rsid w:val="70BE31DF"/>
    <w:rsid w:val="70C5527F"/>
    <w:rsid w:val="70C96589"/>
    <w:rsid w:val="70D016D0"/>
    <w:rsid w:val="70E433CD"/>
    <w:rsid w:val="70E766E5"/>
    <w:rsid w:val="7104581E"/>
    <w:rsid w:val="710C022E"/>
    <w:rsid w:val="71306340"/>
    <w:rsid w:val="713E488C"/>
    <w:rsid w:val="71493231"/>
    <w:rsid w:val="7149693F"/>
    <w:rsid w:val="71573B9F"/>
    <w:rsid w:val="71662034"/>
    <w:rsid w:val="717B0617"/>
    <w:rsid w:val="717E737E"/>
    <w:rsid w:val="71804EA4"/>
    <w:rsid w:val="718F6E95"/>
    <w:rsid w:val="7194265C"/>
    <w:rsid w:val="71B25D27"/>
    <w:rsid w:val="71D23226"/>
    <w:rsid w:val="71D76A8E"/>
    <w:rsid w:val="71D90A58"/>
    <w:rsid w:val="71E05943"/>
    <w:rsid w:val="71ED62B2"/>
    <w:rsid w:val="720535FB"/>
    <w:rsid w:val="720553A9"/>
    <w:rsid w:val="721C1F46"/>
    <w:rsid w:val="72225F5B"/>
    <w:rsid w:val="72266E1E"/>
    <w:rsid w:val="722723F9"/>
    <w:rsid w:val="722A0B3E"/>
    <w:rsid w:val="723637B5"/>
    <w:rsid w:val="723E08BB"/>
    <w:rsid w:val="72536D9C"/>
    <w:rsid w:val="72587BCF"/>
    <w:rsid w:val="72646574"/>
    <w:rsid w:val="726B7022"/>
    <w:rsid w:val="7271123C"/>
    <w:rsid w:val="727367B7"/>
    <w:rsid w:val="727442DD"/>
    <w:rsid w:val="727A7B45"/>
    <w:rsid w:val="727E1D88"/>
    <w:rsid w:val="72892962"/>
    <w:rsid w:val="72916C3D"/>
    <w:rsid w:val="72930C07"/>
    <w:rsid w:val="72987FCC"/>
    <w:rsid w:val="729A7784"/>
    <w:rsid w:val="72A20E4A"/>
    <w:rsid w:val="72A42E14"/>
    <w:rsid w:val="72A71C3F"/>
    <w:rsid w:val="72A93F87"/>
    <w:rsid w:val="72AA7CFF"/>
    <w:rsid w:val="72B50B7E"/>
    <w:rsid w:val="72E41463"/>
    <w:rsid w:val="72F712BE"/>
    <w:rsid w:val="72FB055A"/>
    <w:rsid w:val="731A5A1C"/>
    <w:rsid w:val="731C2B22"/>
    <w:rsid w:val="73206620"/>
    <w:rsid w:val="73266593"/>
    <w:rsid w:val="7327134F"/>
    <w:rsid w:val="73287BAC"/>
    <w:rsid w:val="7338355D"/>
    <w:rsid w:val="733B7698"/>
    <w:rsid w:val="733E5017"/>
    <w:rsid w:val="73406B89"/>
    <w:rsid w:val="734F0FD2"/>
    <w:rsid w:val="73522870"/>
    <w:rsid w:val="735417BE"/>
    <w:rsid w:val="735F6D3B"/>
    <w:rsid w:val="73612AB3"/>
    <w:rsid w:val="73661E78"/>
    <w:rsid w:val="736B3932"/>
    <w:rsid w:val="737E18B7"/>
    <w:rsid w:val="73A66718"/>
    <w:rsid w:val="73AD3F4B"/>
    <w:rsid w:val="73B01EFA"/>
    <w:rsid w:val="73B70925"/>
    <w:rsid w:val="73B847C4"/>
    <w:rsid w:val="73C13552"/>
    <w:rsid w:val="73C179F6"/>
    <w:rsid w:val="73D414D7"/>
    <w:rsid w:val="73D9089C"/>
    <w:rsid w:val="73E334C8"/>
    <w:rsid w:val="73E3796C"/>
    <w:rsid w:val="73F41B79"/>
    <w:rsid w:val="74033B6B"/>
    <w:rsid w:val="74085625"/>
    <w:rsid w:val="740A4EF9"/>
    <w:rsid w:val="740A6CA7"/>
    <w:rsid w:val="74277859"/>
    <w:rsid w:val="743540AC"/>
    <w:rsid w:val="745A6920"/>
    <w:rsid w:val="745D771F"/>
    <w:rsid w:val="74604CCB"/>
    <w:rsid w:val="74675EA7"/>
    <w:rsid w:val="746A1E3C"/>
    <w:rsid w:val="746C7962"/>
    <w:rsid w:val="74701E30"/>
    <w:rsid w:val="748C590E"/>
    <w:rsid w:val="74942A15"/>
    <w:rsid w:val="74A76BEC"/>
    <w:rsid w:val="74AF5AA0"/>
    <w:rsid w:val="74B0379C"/>
    <w:rsid w:val="74C002E8"/>
    <w:rsid w:val="74E30D39"/>
    <w:rsid w:val="74ED7E9A"/>
    <w:rsid w:val="74F3598D"/>
    <w:rsid w:val="74F900F2"/>
    <w:rsid w:val="75041948"/>
    <w:rsid w:val="75045DEC"/>
    <w:rsid w:val="75157FF9"/>
    <w:rsid w:val="751678CE"/>
    <w:rsid w:val="75234119"/>
    <w:rsid w:val="75297557"/>
    <w:rsid w:val="752C70F1"/>
    <w:rsid w:val="752E4C17"/>
    <w:rsid w:val="75357D54"/>
    <w:rsid w:val="7536001A"/>
    <w:rsid w:val="754B7577"/>
    <w:rsid w:val="756845CD"/>
    <w:rsid w:val="75705230"/>
    <w:rsid w:val="75712D6F"/>
    <w:rsid w:val="757F4D6E"/>
    <w:rsid w:val="7581743D"/>
    <w:rsid w:val="75856371"/>
    <w:rsid w:val="758D4034"/>
    <w:rsid w:val="75950DC6"/>
    <w:rsid w:val="75A0395A"/>
    <w:rsid w:val="75A924F0"/>
    <w:rsid w:val="75AB5A4B"/>
    <w:rsid w:val="75C630A2"/>
    <w:rsid w:val="75CB4B5C"/>
    <w:rsid w:val="75E35A02"/>
    <w:rsid w:val="75E423A3"/>
    <w:rsid w:val="75E672A0"/>
    <w:rsid w:val="75EA4FE2"/>
    <w:rsid w:val="75F53987"/>
    <w:rsid w:val="75F61D2B"/>
    <w:rsid w:val="76086D93"/>
    <w:rsid w:val="760B4F58"/>
    <w:rsid w:val="760F521D"/>
    <w:rsid w:val="761E4C8C"/>
    <w:rsid w:val="76263B40"/>
    <w:rsid w:val="762752DC"/>
    <w:rsid w:val="76337491"/>
    <w:rsid w:val="7637602B"/>
    <w:rsid w:val="76472434"/>
    <w:rsid w:val="764A2D61"/>
    <w:rsid w:val="76505678"/>
    <w:rsid w:val="7671300D"/>
    <w:rsid w:val="768B78D0"/>
    <w:rsid w:val="76942021"/>
    <w:rsid w:val="769515F9"/>
    <w:rsid w:val="76B25FF6"/>
    <w:rsid w:val="76BA3EC1"/>
    <w:rsid w:val="76C176A8"/>
    <w:rsid w:val="76C24EA2"/>
    <w:rsid w:val="76CA658E"/>
    <w:rsid w:val="76D57A40"/>
    <w:rsid w:val="76DD5153"/>
    <w:rsid w:val="76E73992"/>
    <w:rsid w:val="76F1414E"/>
    <w:rsid w:val="77040325"/>
    <w:rsid w:val="77041622"/>
    <w:rsid w:val="77075E08"/>
    <w:rsid w:val="770B16B4"/>
    <w:rsid w:val="770F16FC"/>
    <w:rsid w:val="7726029C"/>
    <w:rsid w:val="773C4E4D"/>
    <w:rsid w:val="773F135E"/>
    <w:rsid w:val="774234DA"/>
    <w:rsid w:val="774263A4"/>
    <w:rsid w:val="774921DC"/>
    <w:rsid w:val="774B1AB0"/>
    <w:rsid w:val="774C75D7"/>
    <w:rsid w:val="774F301E"/>
    <w:rsid w:val="775E5799"/>
    <w:rsid w:val="77617526"/>
    <w:rsid w:val="7771703D"/>
    <w:rsid w:val="77770AF7"/>
    <w:rsid w:val="7789082B"/>
    <w:rsid w:val="77933457"/>
    <w:rsid w:val="7794726C"/>
    <w:rsid w:val="77976AA4"/>
    <w:rsid w:val="779D7E32"/>
    <w:rsid w:val="77CD6969"/>
    <w:rsid w:val="77D575CC"/>
    <w:rsid w:val="77DC362C"/>
    <w:rsid w:val="77E837A3"/>
    <w:rsid w:val="77F008AA"/>
    <w:rsid w:val="77F35CA4"/>
    <w:rsid w:val="77FA5285"/>
    <w:rsid w:val="77FD5AF4"/>
    <w:rsid w:val="780C7DF2"/>
    <w:rsid w:val="78133ABE"/>
    <w:rsid w:val="781C51FB"/>
    <w:rsid w:val="781E2CD5"/>
    <w:rsid w:val="781F7B2C"/>
    <w:rsid w:val="784B5AE0"/>
    <w:rsid w:val="785250C1"/>
    <w:rsid w:val="785F787D"/>
    <w:rsid w:val="786B5A7F"/>
    <w:rsid w:val="78727511"/>
    <w:rsid w:val="78730F7A"/>
    <w:rsid w:val="78746DE5"/>
    <w:rsid w:val="78782D79"/>
    <w:rsid w:val="78866B18"/>
    <w:rsid w:val="78BD69DE"/>
    <w:rsid w:val="78C00DD2"/>
    <w:rsid w:val="78CA28B1"/>
    <w:rsid w:val="78DD498A"/>
    <w:rsid w:val="78EC2E1F"/>
    <w:rsid w:val="78EF0B61"/>
    <w:rsid w:val="79017606"/>
    <w:rsid w:val="79020895"/>
    <w:rsid w:val="79053EE1"/>
    <w:rsid w:val="790C314B"/>
    <w:rsid w:val="7914060D"/>
    <w:rsid w:val="791505C8"/>
    <w:rsid w:val="791F528E"/>
    <w:rsid w:val="7947274B"/>
    <w:rsid w:val="794E5888"/>
    <w:rsid w:val="7956473D"/>
    <w:rsid w:val="79584959"/>
    <w:rsid w:val="795A710D"/>
    <w:rsid w:val="795C61F7"/>
    <w:rsid w:val="796B468C"/>
    <w:rsid w:val="796C3F60"/>
    <w:rsid w:val="797D7DDD"/>
    <w:rsid w:val="798E037A"/>
    <w:rsid w:val="79992F3A"/>
    <w:rsid w:val="799D236B"/>
    <w:rsid w:val="799E767F"/>
    <w:rsid w:val="79AA6B0C"/>
    <w:rsid w:val="79AD6A52"/>
    <w:rsid w:val="79B3393D"/>
    <w:rsid w:val="79C124FE"/>
    <w:rsid w:val="79C773E8"/>
    <w:rsid w:val="79EA61EA"/>
    <w:rsid w:val="79EB10E0"/>
    <w:rsid w:val="79EE0E19"/>
    <w:rsid w:val="79F226B7"/>
    <w:rsid w:val="7A0F14BB"/>
    <w:rsid w:val="7A116E46"/>
    <w:rsid w:val="7A122D59"/>
    <w:rsid w:val="7A195E96"/>
    <w:rsid w:val="7A340F22"/>
    <w:rsid w:val="7A347061"/>
    <w:rsid w:val="7A4456B4"/>
    <w:rsid w:val="7A47390C"/>
    <w:rsid w:val="7A6F2DA6"/>
    <w:rsid w:val="7A7C01D3"/>
    <w:rsid w:val="7A831561"/>
    <w:rsid w:val="7A8A0B42"/>
    <w:rsid w:val="7AA0215D"/>
    <w:rsid w:val="7AAA017E"/>
    <w:rsid w:val="7AB636E5"/>
    <w:rsid w:val="7AB64546"/>
    <w:rsid w:val="7AB71B55"/>
    <w:rsid w:val="7AB8745A"/>
    <w:rsid w:val="7AC7331E"/>
    <w:rsid w:val="7ACB4CB6"/>
    <w:rsid w:val="7AD718AD"/>
    <w:rsid w:val="7AD926AB"/>
    <w:rsid w:val="7AE85868"/>
    <w:rsid w:val="7AE91395"/>
    <w:rsid w:val="7AEF6BF7"/>
    <w:rsid w:val="7B05466C"/>
    <w:rsid w:val="7B095FE9"/>
    <w:rsid w:val="7B206E3D"/>
    <w:rsid w:val="7B220713"/>
    <w:rsid w:val="7B244A56"/>
    <w:rsid w:val="7B252618"/>
    <w:rsid w:val="7B310FBD"/>
    <w:rsid w:val="7B4B59D4"/>
    <w:rsid w:val="7B854D36"/>
    <w:rsid w:val="7B904B39"/>
    <w:rsid w:val="7B950D17"/>
    <w:rsid w:val="7BAB415F"/>
    <w:rsid w:val="7BE14743"/>
    <w:rsid w:val="7BE6624C"/>
    <w:rsid w:val="7BFF730D"/>
    <w:rsid w:val="7C023E51"/>
    <w:rsid w:val="7C2808E1"/>
    <w:rsid w:val="7C445994"/>
    <w:rsid w:val="7C464F3C"/>
    <w:rsid w:val="7C613B24"/>
    <w:rsid w:val="7C6A0C2B"/>
    <w:rsid w:val="7C6B3F82"/>
    <w:rsid w:val="7C75013E"/>
    <w:rsid w:val="7C7A6994"/>
    <w:rsid w:val="7C855A65"/>
    <w:rsid w:val="7C965F62"/>
    <w:rsid w:val="7C9B5288"/>
    <w:rsid w:val="7CAA1027"/>
    <w:rsid w:val="7CB83C1B"/>
    <w:rsid w:val="7CC16371"/>
    <w:rsid w:val="7CD22FA8"/>
    <w:rsid w:val="7CD45CD6"/>
    <w:rsid w:val="7CD460A4"/>
    <w:rsid w:val="7CD73DE6"/>
    <w:rsid w:val="7CED360A"/>
    <w:rsid w:val="7D1943FF"/>
    <w:rsid w:val="7D1A2C13"/>
    <w:rsid w:val="7D1E37C3"/>
    <w:rsid w:val="7D2B70C2"/>
    <w:rsid w:val="7D3248F7"/>
    <w:rsid w:val="7D344D95"/>
    <w:rsid w:val="7D380D29"/>
    <w:rsid w:val="7D3B05A7"/>
    <w:rsid w:val="7D52740D"/>
    <w:rsid w:val="7D580A83"/>
    <w:rsid w:val="7D586CD5"/>
    <w:rsid w:val="7D5B67C5"/>
    <w:rsid w:val="7D5D253D"/>
    <w:rsid w:val="7D667BB3"/>
    <w:rsid w:val="7D6C2781"/>
    <w:rsid w:val="7D6E02A7"/>
    <w:rsid w:val="7D7D04EA"/>
    <w:rsid w:val="7D847D77"/>
    <w:rsid w:val="7D8E26F7"/>
    <w:rsid w:val="7D957F29"/>
    <w:rsid w:val="7D9B25B6"/>
    <w:rsid w:val="7DAC7021"/>
    <w:rsid w:val="7DB87774"/>
    <w:rsid w:val="7DCC1C46"/>
    <w:rsid w:val="7DDC7906"/>
    <w:rsid w:val="7DDD38D3"/>
    <w:rsid w:val="7DEE3196"/>
    <w:rsid w:val="7E0E55E6"/>
    <w:rsid w:val="7E1B65C4"/>
    <w:rsid w:val="7E1F77F3"/>
    <w:rsid w:val="7E2766A8"/>
    <w:rsid w:val="7E3A287F"/>
    <w:rsid w:val="7E413C0D"/>
    <w:rsid w:val="7E505BFE"/>
    <w:rsid w:val="7E685E14"/>
    <w:rsid w:val="7E6D7639"/>
    <w:rsid w:val="7E6E2528"/>
    <w:rsid w:val="7E764B59"/>
    <w:rsid w:val="7E857F9E"/>
    <w:rsid w:val="7E8A55B4"/>
    <w:rsid w:val="7E925DD3"/>
    <w:rsid w:val="7E9C7095"/>
    <w:rsid w:val="7EA83C8C"/>
    <w:rsid w:val="7EBF4B32"/>
    <w:rsid w:val="7EC00FD6"/>
    <w:rsid w:val="7EE52CF2"/>
    <w:rsid w:val="7EE7398F"/>
    <w:rsid w:val="7EFE565A"/>
    <w:rsid w:val="7F005876"/>
    <w:rsid w:val="7F054C3B"/>
    <w:rsid w:val="7F117A8A"/>
    <w:rsid w:val="7F141291"/>
    <w:rsid w:val="7F1906E6"/>
    <w:rsid w:val="7F207CC7"/>
    <w:rsid w:val="7F2F7F0A"/>
    <w:rsid w:val="7F3E7F00"/>
    <w:rsid w:val="7F435763"/>
    <w:rsid w:val="7F437511"/>
    <w:rsid w:val="7F46106F"/>
    <w:rsid w:val="7F4734A5"/>
    <w:rsid w:val="7F4A4D43"/>
    <w:rsid w:val="7F4C1F87"/>
    <w:rsid w:val="7F516EB2"/>
    <w:rsid w:val="7F5D2460"/>
    <w:rsid w:val="7F606315"/>
    <w:rsid w:val="7F65392B"/>
    <w:rsid w:val="7F8E2BA0"/>
    <w:rsid w:val="7F9164CE"/>
    <w:rsid w:val="7F945FBF"/>
    <w:rsid w:val="7F9E3FF6"/>
    <w:rsid w:val="7FBD418D"/>
    <w:rsid w:val="7FBF303C"/>
    <w:rsid w:val="7FC05006"/>
    <w:rsid w:val="7FC17EE0"/>
    <w:rsid w:val="7FE60557"/>
    <w:rsid w:val="7FE72592"/>
    <w:rsid w:val="7FED74AC"/>
    <w:rsid w:val="7FF37189"/>
    <w:rsid w:val="7FFA407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0"/>
    <w:qFormat/>
    <w:uiPriority w:val="9"/>
    <w:pPr>
      <w:keepNext/>
      <w:jc w:val="center"/>
      <w:outlineLvl w:val="0"/>
    </w:pPr>
    <w:rPr>
      <w:rFonts w:ascii="楷体_GB2312" w:eastAsia="楷体_GB2312"/>
      <w:kern w:val="0"/>
      <w:sz w:val="28"/>
      <w:szCs w:val="28"/>
    </w:rPr>
  </w:style>
  <w:style w:type="paragraph" w:styleId="4">
    <w:name w:val="heading 2"/>
    <w:basedOn w:val="1"/>
    <w:next w:val="1"/>
    <w:link w:val="61"/>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1"/>
    <w:link w:val="63"/>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59"/>
    <w:qFormat/>
    <w:uiPriority w:val="9"/>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8"/>
    <w:link w:val="64"/>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65"/>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10">
    <w:name w:val="heading 7"/>
    <w:basedOn w:val="1"/>
    <w:next w:val="1"/>
    <w:link w:val="66"/>
    <w:qFormat/>
    <w:uiPriority w:val="0"/>
    <w:pPr>
      <w:keepNext/>
      <w:keepLines/>
      <w:numPr>
        <w:ilvl w:val="6"/>
        <w:numId w:val="1"/>
      </w:numPr>
      <w:spacing w:before="240" w:after="64" w:line="320" w:lineRule="auto"/>
      <w:outlineLvl w:val="6"/>
    </w:pPr>
    <w:rPr>
      <w:b/>
      <w:bCs/>
      <w:kern w:val="0"/>
      <w:sz w:val="24"/>
      <w:szCs w:val="24"/>
    </w:rPr>
  </w:style>
  <w:style w:type="paragraph" w:styleId="11">
    <w:name w:val="heading 8"/>
    <w:basedOn w:val="1"/>
    <w:next w:val="1"/>
    <w:link w:val="67"/>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2">
    <w:name w:val="heading 9"/>
    <w:basedOn w:val="1"/>
    <w:next w:val="1"/>
    <w:link w:val="68"/>
    <w:qFormat/>
    <w:uiPriority w:val="0"/>
    <w:pPr>
      <w:keepNext/>
      <w:keepLines/>
      <w:numPr>
        <w:ilvl w:val="8"/>
        <w:numId w:val="1"/>
      </w:numPr>
      <w:spacing w:before="240" w:after="64" w:line="320" w:lineRule="auto"/>
      <w:outlineLvl w:val="8"/>
    </w:pPr>
    <w:rPr>
      <w:rFonts w:ascii="Arial" w:hAnsi="Arial" w:eastAsia="黑体"/>
      <w:kern w:val="0"/>
      <w:sz w:val="20"/>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72"/>
    <w:qFormat/>
    <w:uiPriority w:val="99"/>
    <w:rPr>
      <w:rFonts w:ascii="楷体_GB2312" w:hAnsi="Arial" w:eastAsia="楷体_GB2312"/>
      <w:kern w:val="0"/>
      <w:sz w:val="28"/>
      <w:szCs w:val="28"/>
    </w:rPr>
  </w:style>
  <w:style w:type="paragraph" w:styleId="8">
    <w:name w:val="Normal Indent"/>
    <w:basedOn w:val="1"/>
    <w:link w:val="62"/>
    <w:qFormat/>
    <w:uiPriority w:val="0"/>
    <w:pPr>
      <w:ind w:firstLine="420"/>
    </w:pPr>
    <w:rPr>
      <w:kern w:val="0"/>
      <w:sz w:val="20"/>
    </w:rPr>
  </w:style>
  <w:style w:type="paragraph" w:styleId="13">
    <w:name w:val="List 3"/>
    <w:basedOn w:val="1"/>
    <w:qFormat/>
    <w:uiPriority w:val="0"/>
    <w:pPr>
      <w:ind w:left="100" w:leftChars="400" w:hanging="200" w:hangingChars="200"/>
    </w:pPr>
  </w:style>
  <w:style w:type="paragraph" w:styleId="14">
    <w:name w:val="toc 7"/>
    <w:basedOn w:val="1"/>
    <w:next w:val="1"/>
    <w:semiHidden/>
    <w:qFormat/>
    <w:uiPriority w:val="0"/>
    <w:pPr>
      <w:ind w:left="1260"/>
      <w:jc w:val="left"/>
    </w:pPr>
  </w:style>
  <w:style w:type="paragraph" w:styleId="15">
    <w:name w:val="Document Map"/>
    <w:basedOn w:val="1"/>
    <w:link w:val="69"/>
    <w:semiHidden/>
    <w:qFormat/>
    <w:uiPriority w:val="0"/>
    <w:pPr>
      <w:shd w:val="clear" w:color="auto" w:fill="000080"/>
    </w:pPr>
    <w:rPr>
      <w:kern w:val="0"/>
      <w:sz w:val="20"/>
    </w:rPr>
  </w:style>
  <w:style w:type="paragraph" w:styleId="16">
    <w:name w:val="annotation text"/>
    <w:basedOn w:val="1"/>
    <w:link w:val="70"/>
    <w:semiHidden/>
    <w:qFormat/>
    <w:uiPriority w:val="99"/>
    <w:pPr>
      <w:jc w:val="left"/>
    </w:pPr>
    <w:rPr>
      <w:kern w:val="0"/>
      <w:sz w:val="20"/>
    </w:rPr>
  </w:style>
  <w:style w:type="paragraph" w:styleId="17">
    <w:name w:val="Body Text 3"/>
    <w:basedOn w:val="1"/>
    <w:link w:val="71"/>
    <w:qFormat/>
    <w:uiPriority w:val="0"/>
    <w:rPr>
      <w:rFonts w:ascii="仿宋_GB2312" w:hAnsi="Arial" w:eastAsia="仿宋_GB2312"/>
      <w:kern w:val="0"/>
      <w:sz w:val="32"/>
      <w:szCs w:val="32"/>
    </w:rPr>
  </w:style>
  <w:style w:type="paragraph" w:styleId="18">
    <w:name w:val="Body Text Indent"/>
    <w:basedOn w:val="1"/>
    <w:link w:val="73"/>
    <w:qFormat/>
    <w:uiPriority w:val="99"/>
    <w:pPr>
      <w:ind w:firstLine="645"/>
    </w:pPr>
    <w:rPr>
      <w:rFonts w:ascii="楷体_GB2312" w:eastAsia="楷体_GB2312"/>
      <w:kern w:val="0"/>
      <w:sz w:val="32"/>
      <w:szCs w:val="32"/>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adjustRightInd w:val="0"/>
      <w:ind w:left="420" w:right="33"/>
      <w:jc w:val="left"/>
      <w:textAlignment w:val="baseline"/>
    </w:pPr>
    <w:rPr>
      <w:kern w:val="0"/>
      <w:sz w:val="24"/>
      <w:szCs w:val="20"/>
    </w:rPr>
  </w:style>
  <w:style w:type="paragraph" w:styleId="21">
    <w:name w:val="index 4"/>
    <w:basedOn w:val="1"/>
    <w:next w:val="1"/>
    <w:qFormat/>
    <w:uiPriority w:val="99"/>
    <w:pPr>
      <w:ind w:left="600" w:leftChars="600"/>
    </w:pPr>
    <w:rPr>
      <w:rFonts w:ascii="Calibri" w:hAnsi="Calibri" w:eastAsia="宋体" w:cs="Times New Roman"/>
      <w:szCs w:val="24"/>
    </w:rPr>
  </w:style>
  <w:style w:type="paragraph" w:styleId="22">
    <w:name w:val="toc 5"/>
    <w:basedOn w:val="1"/>
    <w:next w:val="1"/>
    <w:semiHidden/>
    <w:qFormat/>
    <w:uiPriority w:val="0"/>
    <w:pPr>
      <w:ind w:left="840"/>
      <w:jc w:val="left"/>
    </w:pPr>
  </w:style>
  <w:style w:type="paragraph" w:styleId="23">
    <w:name w:val="toc 3"/>
    <w:basedOn w:val="1"/>
    <w:next w:val="1"/>
    <w:semiHidden/>
    <w:qFormat/>
    <w:uiPriority w:val="0"/>
    <w:pPr>
      <w:ind w:left="420"/>
      <w:jc w:val="left"/>
    </w:pPr>
    <w:rPr>
      <w:i/>
      <w:iCs/>
      <w:szCs w:val="24"/>
    </w:rPr>
  </w:style>
  <w:style w:type="paragraph" w:styleId="24">
    <w:name w:val="Plain Text"/>
    <w:basedOn w:val="1"/>
    <w:link w:val="74"/>
    <w:qFormat/>
    <w:uiPriority w:val="0"/>
    <w:rPr>
      <w:rFonts w:ascii="宋体" w:hAnsi="Courier New"/>
      <w:kern w:val="0"/>
      <w:sz w:val="20"/>
    </w:rPr>
  </w:style>
  <w:style w:type="paragraph" w:styleId="25">
    <w:name w:val="List Bullet 5"/>
    <w:basedOn w:val="1"/>
    <w:semiHidden/>
    <w:unhideWhenUsed/>
    <w:qFormat/>
    <w:uiPriority w:val="99"/>
    <w:pPr>
      <w:numPr>
        <w:ilvl w:val="0"/>
        <w:numId w:val="2"/>
      </w:numPr>
    </w:pPr>
  </w:style>
  <w:style w:type="paragraph" w:styleId="26">
    <w:name w:val="toc 8"/>
    <w:basedOn w:val="1"/>
    <w:next w:val="1"/>
    <w:semiHidden/>
    <w:qFormat/>
    <w:uiPriority w:val="0"/>
    <w:pPr>
      <w:ind w:left="1470"/>
      <w:jc w:val="left"/>
    </w:pPr>
  </w:style>
  <w:style w:type="paragraph" w:styleId="27">
    <w:name w:val="Date"/>
    <w:basedOn w:val="1"/>
    <w:next w:val="1"/>
    <w:link w:val="75"/>
    <w:qFormat/>
    <w:uiPriority w:val="0"/>
    <w:rPr>
      <w:kern w:val="0"/>
      <w:sz w:val="24"/>
      <w:szCs w:val="24"/>
    </w:rPr>
  </w:style>
  <w:style w:type="paragraph" w:styleId="28">
    <w:name w:val="Body Text Indent 2"/>
    <w:basedOn w:val="1"/>
    <w:link w:val="76"/>
    <w:qFormat/>
    <w:uiPriority w:val="0"/>
    <w:pPr>
      <w:ind w:left="630" w:firstLine="645"/>
    </w:pPr>
    <w:rPr>
      <w:rFonts w:ascii="Arial" w:hAnsi="Arial" w:eastAsia="仿宋_GB2312"/>
      <w:kern w:val="0"/>
      <w:sz w:val="32"/>
      <w:szCs w:val="32"/>
    </w:rPr>
  </w:style>
  <w:style w:type="paragraph" w:styleId="29">
    <w:name w:val="Balloon Text"/>
    <w:basedOn w:val="1"/>
    <w:link w:val="77"/>
    <w:qFormat/>
    <w:uiPriority w:val="0"/>
    <w:rPr>
      <w:kern w:val="0"/>
      <w:sz w:val="18"/>
      <w:szCs w:val="18"/>
    </w:rPr>
  </w:style>
  <w:style w:type="paragraph" w:styleId="30">
    <w:name w:val="footer"/>
    <w:basedOn w:val="1"/>
    <w:link w:val="78"/>
    <w:qFormat/>
    <w:uiPriority w:val="0"/>
    <w:pPr>
      <w:tabs>
        <w:tab w:val="center" w:pos="4153"/>
        <w:tab w:val="right" w:pos="8306"/>
      </w:tabs>
      <w:snapToGrid w:val="0"/>
      <w:jc w:val="left"/>
    </w:pPr>
    <w:rPr>
      <w:kern w:val="0"/>
      <w:sz w:val="18"/>
      <w:szCs w:val="18"/>
    </w:rPr>
  </w:style>
  <w:style w:type="paragraph" w:styleId="31">
    <w:name w:val="envelope return"/>
    <w:basedOn w:val="1"/>
    <w:unhideWhenUsed/>
    <w:qFormat/>
    <w:uiPriority w:val="99"/>
    <w:pPr>
      <w:snapToGrid w:val="0"/>
    </w:pPr>
    <w:rPr>
      <w:rFonts w:hint="eastAsia" w:ascii="Arial" w:hAnsi="Arial" w:eastAsia="宋体" w:cs="Times New Roman"/>
      <w:sz w:val="24"/>
      <w:szCs w:val="24"/>
    </w:rPr>
  </w:style>
  <w:style w:type="paragraph" w:styleId="32">
    <w:name w:val="header"/>
    <w:basedOn w:val="1"/>
    <w:link w:val="79"/>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style>
  <w:style w:type="paragraph" w:styleId="35">
    <w:name w:val="List"/>
    <w:basedOn w:val="1"/>
    <w:qFormat/>
    <w:uiPriority w:val="0"/>
    <w:pPr>
      <w:ind w:left="200" w:hanging="200" w:hangingChars="200"/>
    </w:pPr>
  </w:style>
  <w:style w:type="paragraph" w:styleId="36">
    <w:name w:val="toc 6"/>
    <w:basedOn w:val="1"/>
    <w:next w:val="1"/>
    <w:semiHidden/>
    <w:qFormat/>
    <w:uiPriority w:val="0"/>
    <w:pPr>
      <w:ind w:left="1050"/>
      <w:jc w:val="left"/>
    </w:pPr>
  </w:style>
  <w:style w:type="paragraph" w:styleId="37">
    <w:name w:val="Body Text Indent 3"/>
    <w:basedOn w:val="1"/>
    <w:link w:val="80"/>
    <w:qFormat/>
    <w:uiPriority w:val="0"/>
    <w:pPr>
      <w:ind w:left="645" w:firstLine="645"/>
    </w:pPr>
    <w:rPr>
      <w:rFonts w:ascii="Arial" w:hAnsi="Arial" w:eastAsia="仿宋_GB2312"/>
      <w:color w:val="FFFF00"/>
      <w:kern w:val="0"/>
      <w:sz w:val="32"/>
      <w:szCs w:val="32"/>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link w:val="81"/>
    <w:qFormat/>
    <w:uiPriority w:val="0"/>
    <w:pPr>
      <w:widowControl/>
      <w:jc w:val="center"/>
    </w:pPr>
    <w:rPr>
      <w:rFonts w:ascii="楷体_GB2312" w:eastAsia="楷体_GB2312"/>
      <w:kern w:val="0"/>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3">
    <w:name w:val="index 1"/>
    <w:basedOn w:val="1"/>
    <w:next w:val="1"/>
    <w:semiHidden/>
    <w:qFormat/>
    <w:uiPriority w:val="0"/>
    <w:pPr>
      <w:spacing w:line="240" w:lineRule="atLeast"/>
    </w:pPr>
    <w:rPr>
      <w:b/>
      <w:bCs/>
    </w:rPr>
  </w:style>
  <w:style w:type="paragraph" w:styleId="44">
    <w:name w:val="annotation subject"/>
    <w:basedOn w:val="16"/>
    <w:next w:val="16"/>
    <w:link w:val="82"/>
    <w:qFormat/>
    <w:uiPriority w:val="0"/>
    <w:rPr>
      <w:b/>
      <w:bCs/>
    </w:rPr>
  </w:style>
  <w:style w:type="paragraph" w:styleId="45">
    <w:name w:val="Body Text First Indent"/>
    <w:basedOn w:val="2"/>
    <w:link w:val="83"/>
    <w:qFormat/>
    <w:uiPriority w:val="99"/>
    <w:pPr>
      <w:spacing w:line="360" w:lineRule="auto"/>
      <w:ind w:firstLine="200" w:firstLineChars="200"/>
    </w:pPr>
    <w:rPr>
      <w:rFonts w:ascii="仿宋_GB2312" w:eastAsia="仿宋_GB2312"/>
      <w:kern w:val="0"/>
      <w:sz w:val="30"/>
      <w:szCs w:val="30"/>
    </w:rPr>
  </w:style>
  <w:style w:type="paragraph" w:styleId="46">
    <w:name w:val="Body Text First Indent 2"/>
    <w:basedOn w:val="18"/>
    <w:next w:val="45"/>
    <w:link w:val="84"/>
    <w:qFormat/>
    <w:uiPriority w:val="99"/>
    <w:pPr>
      <w:spacing w:line="360" w:lineRule="auto"/>
      <w:ind w:firstLine="420" w:firstLineChars="200"/>
    </w:pPr>
    <w:rPr>
      <w:rFonts w:ascii="宋体" w:hAnsi="宋体" w:eastAsia="宋体"/>
      <w:szCs w:val="20"/>
    </w:rPr>
  </w:style>
  <w:style w:type="table" w:styleId="48">
    <w:name w:val="Table Grid"/>
    <w:basedOn w:val="4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b/>
      <w:bCs/>
    </w:rPr>
  </w:style>
  <w:style w:type="character" w:styleId="51">
    <w:name w:val="page number"/>
    <w:qFormat/>
    <w:uiPriority w:val="0"/>
  </w:style>
  <w:style w:type="character" w:styleId="52">
    <w:name w:val="FollowedHyperlink"/>
    <w:qFormat/>
    <w:uiPriority w:val="99"/>
    <w:rPr>
      <w:color w:val="800080"/>
      <w:u w:val="single"/>
    </w:rPr>
  </w:style>
  <w:style w:type="character" w:styleId="53">
    <w:name w:val="HTML Typewriter"/>
    <w:qFormat/>
    <w:uiPriority w:val="99"/>
    <w:rPr>
      <w:rFonts w:ascii="宋体" w:hAnsi="宋体" w:eastAsia="宋体" w:cs="宋体"/>
      <w:sz w:val="24"/>
      <w:szCs w:val="24"/>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paragraph" w:customStyle="1" w:styleId="56">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正文缩进11"/>
    <w:basedOn w:val="1"/>
    <w:unhideWhenUsed/>
    <w:qFormat/>
    <w:uiPriority w:val="0"/>
    <w:pPr>
      <w:ind w:firstLine="420"/>
    </w:pPr>
    <w:rPr>
      <w:szCs w:val="24"/>
    </w:rPr>
  </w:style>
  <w:style w:type="paragraph" w:customStyle="1" w:styleId="58">
    <w:name w:val="TOC Heading1"/>
    <w:next w:val="1"/>
    <w:qFormat/>
    <w:uiPriority w:val="0"/>
    <w:pPr>
      <w:wordWrap w:val="0"/>
    </w:pPr>
    <w:rPr>
      <w:rFonts w:ascii="Times New Roman" w:hAnsi="Times New Roman" w:eastAsia="宋体" w:cs="Times New Roman"/>
      <w:sz w:val="32"/>
      <w:lang w:val="en-US" w:eastAsia="zh-CN" w:bidi="ar-SA"/>
    </w:rPr>
  </w:style>
  <w:style w:type="character" w:customStyle="1" w:styleId="59">
    <w:name w:val="标题 4 Char"/>
    <w:link w:val="6"/>
    <w:qFormat/>
    <w:uiPriority w:val="9"/>
    <w:rPr>
      <w:rFonts w:ascii="Arial" w:hAnsi="Arial" w:eastAsia="黑体" w:cs="Arial"/>
      <w:b/>
      <w:bCs/>
      <w:sz w:val="28"/>
      <w:szCs w:val="28"/>
    </w:rPr>
  </w:style>
  <w:style w:type="character" w:customStyle="1" w:styleId="60">
    <w:name w:val="标题 1 Char"/>
    <w:link w:val="3"/>
    <w:qFormat/>
    <w:uiPriority w:val="9"/>
    <w:rPr>
      <w:rFonts w:ascii="楷体_GB2312" w:hAnsi="Times New Roman" w:eastAsia="楷体_GB2312" w:cs="Times New Roman"/>
      <w:sz w:val="28"/>
      <w:szCs w:val="28"/>
    </w:rPr>
  </w:style>
  <w:style w:type="character" w:customStyle="1" w:styleId="61">
    <w:name w:val="标题 2 Char"/>
    <w:link w:val="4"/>
    <w:qFormat/>
    <w:uiPriority w:val="0"/>
    <w:rPr>
      <w:rFonts w:ascii="Arial" w:hAnsi="Arial" w:eastAsia="幼圆" w:cs="Arial"/>
      <w:b/>
      <w:bCs/>
      <w:sz w:val="44"/>
      <w:szCs w:val="44"/>
    </w:rPr>
  </w:style>
  <w:style w:type="character" w:customStyle="1" w:styleId="62">
    <w:name w:val="正文缩进 Char"/>
    <w:link w:val="8"/>
    <w:qFormat/>
    <w:uiPriority w:val="0"/>
    <w:rPr>
      <w:rFonts w:ascii="Times New Roman" w:hAnsi="Times New Roman" w:eastAsia="宋体" w:cs="Times New Roman"/>
      <w:szCs w:val="21"/>
    </w:rPr>
  </w:style>
  <w:style w:type="character" w:customStyle="1" w:styleId="63">
    <w:name w:val="标题 3 Char"/>
    <w:link w:val="5"/>
    <w:qFormat/>
    <w:uiPriority w:val="0"/>
    <w:rPr>
      <w:rFonts w:ascii="Times New Roman" w:hAnsi="Times New Roman" w:eastAsia="宋体" w:cs="Times New Roman"/>
      <w:b/>
      <w:bCs/>
      <w:sz w:val="32"/>
      <w:szCs w:val="32"/>
    </w:rPr>
  </w:style>
  <w:style w:type="character" w:customStyle="1" w:styleId="64">
    <w:name w:val="标题 5 Char"/>
    <w:link w:val="7"/>
    <w:qFormat/>
    <w:uiPriority w:val="0"/>
    <w:rPr>
      <w:rFonts w:ascii="宋体" w:hAnsi="Times New Roman" w:eastAsia="宋体" w:cs="Times New Roman"/>
      <w:color w:val="000000"/>
      <w:kern w:val="0"/>
      <w:sz w:val="28"/>
      <w:szCs w:val="28"/>
    </w:rPr>
  </w:style>
  <w:style w:type="character" w:customStyle="1" w:styleId="65">
    <w:name w:val="标题 6 Char"/>
    <w:link w:val="9"/>
    <w:qFormat/>
    <w:uiPriority w:val="0"/>
    <w:rPr>
      <w:rFonts w:ascii="Arial" w:hAnsi="Arial" w:eastAsia="黑体" w:cs="Times New Roman"/>
      <w:b/>
      <w:bCs/>
      <w:sz w:val="24"/>
      <w:szCs w:val="24"/>
    </w:rPr>
  </w:style>
  <w:style w:type="character" w:customStyle="1" w:styleId="66">
    <w:name w:val="标题 7 Char"/>
    <w:link w:val="10"/>
    <w:qFormat/>
    <w:uiPriority w:val="0"/>
    <w:rPr>
      <w:rFonts w:ascii="Times New Roman" w:hAnsi="Times New Roman" w:eastAsia="宋体" w:cs="Times New Roman"/>
      <w:b/>
      <w:bCs/>
      <w:sz w:val="24"/>
      <w:szCs w:val="24"/>
    </w:rPr>
  </w:style>
  <w:style w:type="character" w:customStyle="1" w:styleId="67">
    <w:name w:val="标题 8 Char"/>
    <w:link w:val="11"/>
    <w:qFormat/>
    <w:uiPriority w:val="0"/>
    <w:rPr>
      <w:rFonts w:ascii="Arial" w:hAnsi="Arial" w:eastAsia="黑体" w:cs="Times New Roman"/>
      <w:sz w:val="24"/>
      <w:szCs w:val="24"/>
    </w:rPr>
  </w:style>
  <w:style w:type="character" w:customStyle="1" w:styleId="68">
    <w:name w:val="标题 9 Char"/>
    <w:link w:val="12"/>
    <w:qFormat/>
    <w:uiPriority w:val="0"/>
    <w:rPr>
      <w:rFonts w:ascii="Arial" w:hAnsi="Arial" w:eastAsia="黑体" w:cs="Times New Roman"/>
      <w:szCs w:val="21"/>
    </w:rPr>
  </w:style>
  <w:style w:type="character" w:customStyle="1" w:styleId="69">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70">
    <w:name w:val="批注文字 Char"/>
    <w:link w:val="16"/>
    <w:semiHidden/>
    <w:qFormat/>
    <w:uiPriority w:val="99"/>
    <w:rPr>
      <w:rFonts w:ascii="Times New Roman" w:hAnsi="Times New Roman" w:eastAsia="宋体" w:cs="Times New Roman"/>
      <w:szCs w:val="21"/>
    </w:rPr>
  </w:style>
  <w:style w:type="character" w:customStyle="1" w:styleId="71">
    <w:name w:val="正文文本 3 Char"/>
    <w:link w:val="17"/>
    <w:qFormat/>
    <w:uiPriority w:val="0"/>
    <w:rPr>
      <w:rFonts w:ascii="仿宋_GB2312" w:hAnsi="Arial" w:eastAsia="仿宋_GB2312" w:cs="Times New Roman"/>
      <w:sz w:val="32"/>
      <w:szCs w:val="32"/>
    </w:rPr>
  </w:style>
  <w:style w:type="character" w:customStyle="1" w:styleId="72">
    <w:name w:val="正文文本 Char"/>
    <w:link w:val="2"/>
    <w:qFormat/>
    <w:uiPriority w:val="0"/>
    <w:rPr>
      <w:rFonts w:ascii="楷体_GB2312" w:hAnsi="Arial" w:eastAsia="楷体_GB2312" w:cs="Times New Roman"/>
      <w:sz w:val="28"/>
      <w:szCs w:val="28"/>
    </w:rPr>
  </w:style>
  <w:style w:type="character" w:customStyle="1" w:styleId="73">
    <w:name w:val="正文文本缩进 Char"/>
    <w:link w:val="18"/>
    <w:qFormat/>
    <w:uiPriority w:val="0"/>
    <w:rPr>
      <w:rFonts w:ascii="楷体_GB2312" w:hAnsi="Times New Roman" w:eastAsia="楷体_GB2312" w:cs="Times New Roman"/>
      <w:sz w:val="32"/>
      <w:szCs w:val="32"/>
    </w:rPr>
  </w:style>
  <w:style w:type="character" w:customStyle="1" w:styleId="74">
    <w:name w:val="纯文本 Char"/>
    <w:link w:val="24"/>
    <w:qFormat/>
    <w:uiPriority w:val="0"/>
    <w:rPr>
      <w:rFonts w:ascii="宋体" w:hAnsi="Courier New" w:eastAsia="宋体" w:cs="Courier New"/>
      <w:szCs w:val="21"/>
    </w:rPr>
  </w:style>
  <w:style w:type="character" w:customStyle="1" w:styleId="75">
    <w:name w:val="日期 Char"/>
    <w:link w:val="27"/>
    <w:qFormat/>
    <w:uiPriority w:val="0"/>
    <w:rPr>
      <w:rFonts w:ascii="Times New Roman" w:hAnsi="Times New Roman" w:eastAsia="宋体" w:cs="Times New Roman"/>
      <w:sz w:val="24"/>
      <w:szCs w:val="24"/>
    </w:rPr>
  </w:style>
  <w:style w:type="character" w:customStyle="1" w:styleId="76">
    <w:name w:val="正文文本缩进 2 Char"/>
    <w:link w:val="28"/>
    <w:qFormat/>
    <w:uiPriority w:val="0"/>
    <w:rPr>
      <w:rFonts w:ascii="Arial" w:hAnsi="Arial" w:eastAsia="仿宋_GB2312" w:cs="Arial"/>
      <w:sz w:val="32"/>
      <w:szCs w:val="32"/>
    </w:rPr>
  </w:style>
  <w:style w:type="character" w:customStyle="1" w:styleId="77">
    <w:name w:val="批注框文本 Char"/>
    <w:link w:val="29"/>
    <w:qFormat/>
    <w:uiPriority w:val="0"/>
    <w:rPr>
      <w:rFonts w:ascii="Times New Roman" w:hAnsi="Times New Roman" w:eastAsia="宋体" w:cs="Times New Roman"/>
      <w:sz w:val="18"/>
      <w:szCs w:val="18"/>
    </w:rPr>
  </w:style>
  <w:style w:type="character" w:customStyle="1" w:styleId="78">
    <w:name w:val="页脚 Char"/>
    <w:link w:val="30"/>
    <w:qFormat/>
    <w:uiPriority w:val="0"/>
    <w:rPr>
      <w:rFonts w:ascii="Times New Roman" w:hAnsi="Times New Roman" w:eastAsia="宋体" w:cs="Times New Roman"/>
      <w:sz w:val="18"/>
      <w:szCs w:val="18"/>
    </w:rPr>
  </w:style>
  <w:style w:type="character" w:customStyle="1" w:styleId="79">
    <w:name w:val="页眉 Char"/>
    <w:link w:val="32"/>
    <w:qFormat/>
    <w:uiPriority w:val="0"/>
    <w:rPr>
      <w:rFonts w:ascii="Times New Roman" w:hAnsi="Times New Roman" w:eastAsia="宋体" w:cs="Times New Roman"/>
      <w:sz w:val="18"/>
      <w:szCs w:val="18"/>
    </w:rPr>
  </w:style>
  <w:style w:type="character" w:customStyle="1" w:styleId="80">
    <w:name w:val="正文文本缩进 3 Char"/>
    <w:link w:val="37"/>
    <w:qFormat/>
    <w:uiPriority w:val="0"/>
    <w:rPr>
      <w:rFonts w:ascii="Arial" w:hAnsi="Arial" w:eastAsia="仿宋_GB2312" w:cs="Arial"/>
      <w:color w:val="FFFF00"/>
      <w:sz w:val="32"/>
      <w:szCs w:val="32"/>
    </w:rPr>
  </w:style>
  <w:style w:type="character" w:customStyle="1" w:styleId="81">
    <w:name w:val="正文文本 2 Char"/>
    <w:link w:val="41"/>
    <w:qFormat/>
    <w:uiPriority w:val="0"/>
    <w:rPr>
      <w:rFonts w:ascii="楷体_GB2312" w:hAnsi="Times New Roman" w:eastAsia="楷体_GB2312" w:cs="Times New Roman"/>
      <w:sz w:val="28"/>
      <w:szCs w:val="28"/>
    </w:rPr>
  </w:style>
  <w:style w:type="character" w:customStyle="1" w:styleId="82">
    <w:name w:val="批注主题 Char"/>
    <w:link w:val="44"/>
    <w:qFormat/>
    <w:uiPriority w:val="0"/>
    <w:rPr>
      <w:rFonts w:ascii="Times New Roman" w:hAnsi="Times New Roman" w:eastAsia="宋体" w:cs="Times New Roman"/>
      <w:b/>
      <w:bCs/>
      <w:szCs w:val="21"/>
    </w:rPr>
  </w:style>
  <w:style w:type="character" w:customStyle="1" w:styleId="83">
    <w:name w:val="正文首行缩进 Char"/>
    <w:link w:val="45"/>
    <w:qFormat/>
    <w:uiPriority w:val="0"/>
    <w:rPr>
      <w:rFonts w:ascii="仿宋_GB2312" w:hAnsi="Times New Roman" w:eastAsia="仿宋_GB2312" w:cs="Times New Roman"/>
      <w:sz w:val="30"/>
      <w:szCs w:val="30"/>
    </w:rPr>
  </w:style>
  <w:style w:type="character" w:customStyle="1" w:styleId="84">
    <w:name w:val="正文首行缩进 2 Char"/>
    <w:link w:val="46"/>
    <w:qFormat/>
    <w:uiPriority w:val="0"/>
    <w:rPr>
      <w:rFonts w:ascii="宋体" w:hAnsi="宋体" w:eastAsia="宋体" w:cs="Times New Roman"/>
      <w:sz w:val="32"/>
      <w:szCs w:val="20"/>
    </w:rPr>
  </w:style>
  <w:style w:type="paragraph" w:customStyle="1" w:styleId="85">
    <w:name w:val="toc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7">
    <w:name w:val="页码1"/>
    <w:qFormat/>
    <w:uiPriority w:val="0"/>
    <w:rPr>
      <w:kern w:val="2"/>
      <w:sz w:val="21"/>
      <w:szCs w:val="21"/>
      <w:lang w:val="en-US" w:eastAsia="zh-CN" w:bidi="ar-SA"/>
    </w:rPr>
  </w:style>
  <w:style w:type="character" w:customStyle="1" w:styleId="88">
    <w:name w:val="font5 Char"/>
    <w:qFormat/>
    <w:uiPriority w:val="0"/>
    <w:rPr>
      <w:rFonts w:ascii="宋体" w:hAnsi="宋体" w:eastAsia="宋体"/>
      <w:sz w:val="28"/>
      <w:szCs w:val="28"/>
      <w:lang w:val="en-US" w:eastAsia="zh-CN" w:bidi="ar-SA"/>
    </w:rPr>
  </w:style>
  <w:style w:type="character" w:customStyle="1" w:styleId="89">
    <w:name w:val="二级目录 Char"/>
    <w:link w:val="90"/>
    <w:qFormat/>
    <w:uiPriority w:val="0"/>
    <w:rPr>
      <w:b/>
      <w:kern w:val="2"/>
      <w:sz w:val="30"/>
      <w:szCs w:val="28"/>
      <w:lang w:val="en-US" w:eastAsia="zh-CN" w:bidi="ar-SA"/>
    </w:rPr>
  </w:style>
  <w:style w:type="paragraph" w:customStyle="1" w:styleId="90">
    <w:name w:val="二级目录"/>
    <w:next w:val="1"/>
    <w:link w:val="89"/>
    <w:qFormat/>
    <w:uiPriority w:val="0"/>
    <w:pPr>
      <w:numPr>
        <w:ilvl w:val="0"/>
        <w:numId w:val="3"/>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91">
    <w:name w:val="列出段落 Char"/>
    <w:link w:val="92"/>
    <w:qFormat/>
    <w:locked/>
    <w:uiPriority w:val="0"/>
    <w:rPr>
      <w:rFonts w:ascii="Calibri" w:hAnsi="Calibri"/>
      <w:sz w:val="24"/>
      <w:szCs w:val="24"/>
      <w:lang w:eastAsia="en-US" w:bidi="en-US"/>
    </w:rPr>
  </w:style>
  <w:style w:type="paragraph" w:customStyle="1" w:styleId="92">
    <w:name w:val="列出段落1"/>
    <w:basedOn w:val="1"/>
    <w:link w:val="91"/>
    <w:qFormat/>
    <w:uiPriority w:val="0"/>
    <w:pPr>
      <w:widowControl/>
      <w:ind w:left="720"/>
      <w:contextualSpacing/>
      <w:jc w:val="left"/>
    </w:pPr>
    <w:rPr>
      <w:rFonts w:ascii="Calibri" w:hAnsi="Calibri"/>
      <w:kern w:val="0"/>
      <w:sz w:val="24"/>
      <w:szCs w:val="24"/>
      <w:lang w:eastAsia="en-US" w:bidi="en-US"/>
    </w:rPr>
  </w:style>
  <w:style w:type="paragraph" w:customStyle="1" w:styleId="93">
    <w:name w:val="Body Text(ch)"/>
    <w:basedOn w:val="1"/>
    <w:next w:val="2"/>
    <w:qFormat/>
    <w:uiPriority w:val="0"/>
    <w:pPr>
      <w:spacing w:after="120"/>
    </w:pPr>
    <w:rPr>
      <w:rFonts w:ascii="宋体" w:hAnsi="Arial"/>
      <w:bCs/>
      <w:iCs/>
      <w:szCs w:val="24"/>
    </w:rPr>
  </w:style>
  <w:style w:type="paragraph" w:customStyle="1" w:styleId="9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6">
    <w:name w:val="Char"/>
    <w:basedOn w:val="1"/>
    <w:qFormat/>
    <w:uiPriority w:val="0"/>
    <w:pPr>
      <w:tabs>
        <w:tab w:val="left" w:pos="360"/>
      </w:tabs>
      <w:ind w:firstLine="200" w:firstLineChars="200"/>
    </w:pPr>
    <w:rPr>
      <w:sz w:val="28"/>
      <w:szCs w:val="30"/>
    </w:rPr>
  </w:style>
  <w:style w:type="paragraph" w:customStyle="1" w:styleId="97">
    <w:name w:val=" Char"/>
    <w:basedOn w:val="15"/>
    <w:qFormat/>
    <w:uiPriority w:val="0"/>
    <w:rPr>
      <w:rFonts w:ascii="Tahoma" w:hAnsi="Tahoma"/>
      <w:sz w:val="24"/>
      <w:szCs w:val="24"/>
    </w:rPr>
  </w:style>
  <w:style w:type="paragraph" w:customStyle="1" w:styleId="9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9">
    <w:name w:val="table_lines"/>
    <w:basedOn w:val="1"/>
    <w:qFormat/>
    <w:uiPriority w:val="0"/>
    <w:pPr>
      <w:widowControl/>
      <w:jc w:val="left"/>
    </w:pPr>
    <w:rPr>
      <w:kern w:val="0"/>
      <w:sz w:val="20"/>
      <w:szCs w:val="20"/>
      <w:lang w:val="de-DE" w:eastAsia="de-DE"/>
    </w:rPr>
  </w:style>
  <w:style w:type="paragraph" w:customStyle="1" w:styleId="100">
    <w:name w:val="附录1"/>
    <w:qFormat/>
    <w:uiPriority w:val="0"/>
    <w:pPr>
      <w:numPr>
        <w:ilvl w:val="0"/>
        <w:numId w:val="3"/>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101">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 Char Char Char Char"/>
    <w:basedOn w:val="15"/>
    <w:qFormat/>
    <w:uiPriority w:val="0"/>
    <w:pPr>
      <w:adjustRightInd w:val="0"/>
      <w:snapToGrid w:val="0"/>
      <w:spacing w:line="360" w:lineRule="auto"/>
    </w:pPr>
    <w:rPr>
      <w:rFonts w:ascii="Tahoma" w:hAnsi="Tahoma"/>
      <w:sz w:val="24"/>
      <w:szCs w:val="24"/>
    </w:rPr>
  </w:style>
  <w:style w:type="paragraph" w:styleId="103">
    <w:name w:val="List Paragraph"/>
    <w:basedOn w:val="1"/>
    <w:qFormat/>
    <w:uiPriority w:val="99"/>
    <w:pPr>
      <w:widowControl/>
      <w:ind w:left="720"/>
      <w:contextualSpacing/>
      <w:jc w:val="left"/>
    </w:pPr>
    <w:rPr>
      <w:rFonts w:ascii="Calibri" w:hAnsi="Calibri"/>
      <w:kern w:val="0"/>
      <w:sz w:val="24"/>
      <w:szCs w:val="24"/>
      <w:lang w:eastAsia="en-US" w:bidi="en-US"/>
    </w:rPr>
  </w:style>
  <w:style w:type="paragraph" w:customStyle="1" w:styleId="104">
    <w:name w:val="4"/>
    <w:basedOn w:val="1"/>
    <w:next w:val="37"/>
    <w:qFormat/>
    <w:uiPriority w:val="0"/>
    <w:pPr>
      <w:spacing w:line="360" w:lineRule="auto"/>
      <w:ind w:firstLine="420"/>
    </w:pPr>
    <w:rPr>
      <w:color w:val="FF0000"/>
      <w:sz w:val="24"/>
      <w:szCs w:val="24"/>
    </w:rPr>
  </w:style>
  <w:style w:type="paragraph" w:customStyle="1" w:styleId="105">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6">
    <w:name w:val=" Char Char Char Char Char Char Char Char Char Char"/>
    <w:basedOn w:val="1"/>
    <w:qFormat/>
    <w:uiPriority w:val="0"/>
    <w:pPr>
      <w:adjustRightInd w:val="0"/>
      <w:spacing w:line="360" w:lineRule="auto"/>
    </w:pPr>
    <w:rPr>
      <w:kern w:val="0"/>
      <w:sz w:val="24"/>
      <w:szCs w:val="20"/>
    </w:rPr>
  </w:style>
  <w:style w:type="paragraph" w:customStyle="1" w:styleId="107">
    <w:name w:val="样式1"/>
    <w:basedOn w:val="1"/>
    <w:qFormat/>
    <w:uiPriority w:val="0"/>
    <w:pPr>
      <w:numPr>
        <w:ilvl w:val="0"/>
        <w:numId w:val="4"/>
      </w:numPr>
      <w:adjustRightInd w:val="0"/>
      <w:textAlignment w:val="baseline"/>
    </w:pPr>
    <w:rPr>
      <w:rFonts w:ascii="宋体" w:hAnsi="宋体"/>
      <w:kern w:val="0"/>
    </w:rPr>
  </w:style>
  <w:style w:type="paragraph" w:customStyle="1" w:styleId="108">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0">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1">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1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4">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5">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6">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8">
    <w:name w:val="Char Char Char Char"/>
    <w:basedOn w:val="15"/>
    <w:qFormat/>
    <w:uiPriority w:val="0"/>
    <w:pPr>
      <w:adjustRightInd w:val="0"/>
      <w:snapToGrid w:val="0"/>
      <w:spacing w:line="360" w:lineRule="auto"/>
    </w:pPr>
    <w:rPr>
      <w:rFonts w:ascii="Tahoma" w:hAnsi="Tahoma"/>
      <w:sz w:val="24"/>
      <w:szCs w:val="24"/>
    </w:rPr>
  </w:style>
  <w:style w:type="paragraph" w:customStyle="1" w:styleId="119">
    <w:name w:val="table_1stline"/>
    <w:basedOn w:val="1"/>
    <w:qFormat/>
    <w:uiPriority w:val="0"/>
    <w:pPr>
      <w:widowControl/>
      <w:spacing w:before="120"/>
      <w:jc w:val="left"/>
    </w:pPr>
    <w:rPr>
      <w:bCs/>
      <w:kern w:val="0"/>
      <w:sz w:val="20"/>
      <w:szCs w:val="20"/>
      <w:lang w:val="de-DE" w:eastAsia="de-DE"/>
    </w:rPr>
  </w:style>
  <w:style w:type="paragraph" w:customStyle="1" w:styleId="120">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21">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2">
    <w:name w:val="_Style 117"/>
    <w:semiHidden/>
    <w:qFormat/>
    <w:uiPriority w:val="99"/>
    <w:rPr>
      <w:rFonts w:ascii="Times New Roman" w:hAnsi="Times New Roman" w:eastAsia="宋体" w:cs="Times New Roman"/>
      <w:kern w:val="2"/>
      <w:sz w:val="21"/>
      <w:szCs w:val="21"/>
      <w:lang w:val="en-US" w:eastAsia="zh-CN" w:bidi="ar-SA"/>
    </w:rPr>
  </w:style>
  <w:style w:type="paragraph" w:styleId="123">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24">
    <w:name w:val="普通文字"/>
    <w:basedOn w:val="1"/>
    <w:next w:val="1"/>
    <w:qFormat/>
    <w:uiPriority w:val="99"/>
    <w:rPr>
      <w:rFonts w:ascii="宋体" w:hAnsi="Times New Roman" w:eastAsia="宋体" w:cs="Times New Roman"/>
      <w:kern w:val="0"/>
      <w:sz w:val="24"/>
      <w:szCs w:val="20"/>
      <w:u w:val="none" w:color="000000"/>
    </w:rPr>
  </w:style>
  <w:style w:type="paragraph" w:customStyle="1" w:styleId="125">
    <w:name w:val="目录 111"/>
    <w:basedOn w:val="1"/>
    <w:next w:val="1"/>
    <w:unhideWhenUsed/>
    <w:qFormat/>
    <w:uiPriority w:val="39"/>
    <w:pPr>
      <w:widowControl/>
      <w:spacing w:after="100" w:line="259" w:lineRule="auto"/>
      <w:jc w:val="left"/>
    </w:pPr>
    <w:rPr>
      <w:rFonts w:ascii="Calibri" w:hAnsi="Calibri" w:eastAsia="宋体"/>
      <w:sz w:val="22"/>
      <w:szCs w:val="22"/>
    </w:rPr>
  </w:style>
  <w:style w:type="character" w:customStyle="1" w:styleId="126">
    <w:name w:val="font11"/>
    <w:qFormat/>
    <w:uiPriority w:val="0"/>
    <w:rPr>
      <w:rFonts w:hint="eastAsia" w:ascii="宋体" w:hAnsi="宋体" w:eastAsia="宋体" w:cs="宋体"/>
      <w:color w:val="000000"/>
      <w:sz w:val="20"/>
      <w:szCs w:val="20"/>
      <w:u w:val="none"/>
    </w:rPr>
  </w:style>
  <w:style w:type="paragraph" w:customStyle="1" w:styleId="127">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8">
    <w:name w:val="xl66"/>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129">
    <w:name w:val="xl67"/>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30">
    <w:name w:val="xl68"/>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31">
    <w:name w:val="xl69"/>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32">
    <w:name w:val="xl70"/>
    <w:basedOn w:val="1"/>
    <w:qFormat/>
    <w:uiPriority w:val="0"/>
    <w:pPr>
      <w:widowControl/>
      <w:spacing w:before="100" w:beforeAutospacing="1" w:after="100" w:afterAutospacing="1"/>
      <w:jc w:val="center"/>
    </w:pPr>
    <w:rPr>
      <w:rFonts w:ascii="宋体" w:hAnsi="宋体" w:cs="宋体"/>
      <w:color w:val="000000"/>
      <w:kern w:val="0"/>
      <w:sz w:val="22"/>
      <w:szCs w:val="22"/>
    </w:rPr>
  </w:style>
  <w:style w:type="paragraph" w:customStyle="1" w:styleId="13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13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b/>
      <w:bCs/>
      <w:kern w:val="0"/>
      <w:sz w:val="18"/>
      <w:szCs w:val="18"/>
    </w:rPr>
  </w:style>
  <w:style w:type="paragraph" w:customStyle="1" w:styleId="13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38">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18"/>
      <w:szCs w:val="18"/>
    </w:rPr>
  </w:style>
  <w:style w:type="paragraph" w:customStyle="1" w:styleId="13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2">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14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4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20"/>
      <w:szCs w:val="20"/>
    </w:rPr>
  </w:style>
  <w:style w:type="paragraph" w:customStyle="1" w:styleId="14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4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4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4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4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5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1">
    <w:name w:val="xl89"/>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152">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22"/>
      <w:szCs w:val="22"/>
    </w:rPr>
  </w:style>
  <w:style w:type="paragraph" w:customStyle="1" w:styleId="15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7">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8">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5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6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61">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6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63">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6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65">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66">
    <w:name w:val="xl104"/>
    <w:basedOn w:val="1"/>
    <w:qFormat/>
    <w:uiPriority w:val="0"/>
    <w:pPr>
      <w:widowControl/>
      <w:pBdr>
        <w:top w:val="single" w:color="auto" w:sz="4" w:space="0"/>
      </w:pBdr>
      <w:spacing w:before="100" w:beforeAutospacing="1" w:after="100" w:afterAutospacing="1"/>
      <w:jc w:val="center"/>
    </w:pPr>
    <w:rPr>
      <w:rFonts w:ascii="宋体" w:hAnsi="宋体" w:cs="宋体"/>
      <w:kern w:val="0"/>
      <w:sz w:val="18"/>
      <w:szCs w:val="18"/>
    </w:rPr>
  </w:style>
  <w:style w:type="paragraph" w:customStyle="1" w:styleId="16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kern w:val="0"/>
      <w:sz w:val="18"/>
      <w:szCs w:val="18"/>
    </w:rPr>
  </w:style>
  <w:style w:type="paragraph" w:customStyle="1" w:styleId="16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16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2"/>
      <w:szCs w:val="22"/>
    </w:rPr>
  </w:style>
  <w:style w:type="paragraph" w:customStyle="1" w:styleId="17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A9D08E"/>
      <w:spacing w:before="100" w:beforeAutospacing="1" w:after="100" w:afterAutospacing="1"/>
      <w:jc w:val="left"/>
    </w:pPr>
    <w:rPr>
      <w:rFonts w:ascii="宋体" w:hAnsi="宋体" w:cs="宋体"/>
      <w:b/>
      <w:bCs/>
      <w:kern w:val="0"/>
      <w:sz w:val="18"/>
      <w:szCs w:val="18"/>
    </w:rPr>
  </w:style>
  <w:style w:type="paragraph" w:customStyle="1" w:styleId="17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18"/>
      <w:szCs w:val="18"/>
    </w:rPr>
  </w:style>
  <w:style w:type="paragraph" w:customStyle="1" w:styleId="172">
    <w:name w:val="xl110"/>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22"/>
      <w:szCs w:val="22"/>
    </w:rPr>
  </w:style>
  <w:style w:type="paragraph" w:customStyle="1" w:styleId="17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b/>
      <w:bCs/>
      <w:kern w:val="0"/>
      <w:sz w:val="20"/>
      <w:szCs w:val="20"/>
    </w:rPr>
  </w:style>
  <w:style w:type="paragraph" w:customStyle="1" w:styleId="174">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5">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7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22"/>
      <w:szCs w:val="22"/>
    </w:rPr>
  </w:style>
  <w:style w:type="paragraph" w:customStyle="1" w:styleId="17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18"/>
      <w:szCs w:val="18"/>
    </w:rPr>
  </w:style>
  <w:style w:type="paragraph" w:customStyle="1" w:styleId="17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left"/>
    </w:pPr>
    <w:rPr>
      <w:rFonts w:ascii="宋体" w:hAnsi="宋体" w:cs="宋体"/>
      <w:kern w:val="0"/>
      <w:sz w:val="18"/>
      <w:szCs w:val="18"/>
    </w:rPr>
  </w:style>
  <w:style w:type="paragraph" w:customStyle="1" w:styleId="17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180">
    <w:name w:val="xl118"/>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81">
    <w:name w:val="xl119"/>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4"/>
      <w:szCs w:val="24"/>
    </w:rPr>
  </w:style>
  <w:style w:type="paragraph" w:customStyle="1" w:styleId="182">
    <w:name w:val="xl120"/>
    <w:basedOn w:val="1"/>
    <w:qFormat/>
    <w:uiPriority w:val="0"/>
    <w:pPr>
      <w:widowControl/>
      <w:pBdr>
        <w:top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4"/>
      <w:szCs w:val="24"/>
    </w:rPr>
  </w:style>
  <w:style w:type="paragraph" w:customStyle="1" w:styleId="183">
    <w:name w:val="xl121"/>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4"/>
      <w:szCs w:val="24"/>
    </w:rPr>
  </w:style>
  <w:style w:type="paragraph" w:customStyle="1" w:styleId="184">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85">
    <w:name w:val="xl12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86">
    <w:name w:val="xl12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87">
    <w:name w:val="xl12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88">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89">
    <w:name w:val="xl1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90">
    <w:name w:val="xl12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91">
    <w:name w:val="xl129"/>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18"/>
      <w:szCs w:val="18"/>
    </w:rPr>
  </w:style>
  <w:style w:type="paragraph" w:customStyle="1" w:styleId="192">
    <w:name w:val="xl130"/>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18"/>
      <w:szCs w:val="18"/>
    </w:rPr>
  </w:style>
  <w:style w:type="paragraph" w:customStyle="1" w:styleId="193">
    <w:name w:val="xl131"/>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4">
    <w:name w:val="xl132"/>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5">
    <w:name w:val="xl133"/>
    <w:basedOn w:val="1"/>
    <w:qFormat/>
    <w:uiPriority w:val="0"/>
    <w:pPr>
      <w:widowControl/>
      <w:pBdr>
        <w:top w:val="single" w:color="auto" w:sz="4" w:space="0"/>
        <w:left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6">
    <w:name w:val="xl134"/>
    <w:basedOn w:val="1"/>
    <w:qFormat/>
    <w:uiPriority w:val="0"/>
    <w:pPr>
      <w:widowControl/>
      <w:pBdr>
        <w:top w:val="single" w:color="auto" w:sz="4" w:space="0"/>
        <w:bottom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7">
    <w:name w:val="xl135"/>
    <w:basedOn w:val="1"/>
    <w:qFormat/>
    <w:uiPriority w:val="0"/>
    <w:pPr>
      <w:widowControl/>
      <w:pBdr>
        <w:top w:val="single" w:color="auto" w:sz="4" w:space="0"/>
        <w:bottom w:val="single" w:color="auto" w:sz="4" w:space="0"/>
        <w:right w:val="single" w:color="auto" w:sz="4" w:space="0"/>
      </w:pBdr>
      <w:shd w:val="clear" w:color="000000" w:fill="EF949F"/>
      <w:spacing w:before="100" w:beforeAutospacing="1" w:after="100" w:afterAutospacing="1"/>
      <w:jc w:val="center"/>
    </w:pPr>
    <w:rPr>
      <w:rFonts w:ascii="宋体" w:hAnsi="宋体" w:cs="宋体"/>
      <w:b/>
      <w:bCs/>
      <w:kern w:val="0"/>
      <w:sz w:val="22"/>
      <w:szCs w:val="22"/>
    </w:rPr>
  </w:style>
  <w:style w:type="paragraph" w:customStyle="1" w:styleId="198">
    <w:name w:val="xl136"/>
    <w:basedOn w:val="1"/>
    <w:qFormat/>
    <w:uiPriority w:val="0"/>
    <w:pPr>
      <w:widowControl/>
      <w:pBdr>
        <w:top w:val="single" w:color="auto" w:sz="4" w:space="0"/>
        <w:left w:val="single" w:color="auto" w:sz="4" w:space="0"/>
        <w:bottom w:val="single" w:color="auto" w:sz="4" w:space="0"/>
      </w:pBdr>
      <w:shd w:val="clear" w:color="000000" w:fill="A9D08E"/>
      <w:spacing w:before="100" w:beforeAutospacing="1" w:after="100" w:afterAutospacing="1"/>
      <w:jc w:val="center"/>
    </w:pPr>
    <w:rPr>
      <w:rFonts w:ascii="宋体" w:hAnsi="宋体" w:cs="宋体"/>
      <w:b/>
      <w:bCs/>
      <w:kern w:val="0"/>
      <w:sz w:val="24"/>
      <w:szCs w:val="24"/>
    </w:rPr>
  </w:style>
  <w:style w:type="paragraph" w:customStyle="1" w:styleId="199">
    <w:name w:val="xl137"/>
    <w:basedOn w:val="1"/>
    <w:qFormat/>
    <w:uiPriority w:val="0"/>
    <w:pPr>
      <w:widowControl/>
      <w:pBdr>
        <w:top w:val="single" w:color="auto" w:sz="4" w:space="0"/>
        <w:bottom w:val="single" w:color="auto" w:sz="4" w:space="0"/>
        <w:right w:val="single" w:color="auto" w:sz="4" w:space="0"/>
      </w:pBdr>
      <w:shd w:val="clear" w:color="000000" w:fill="A9D08E"/>
      <w:spacing w:before="100" w:beforeAutospacing="1" w:after="100" w:afterAutospacing="1"/>
      <w:jc w:val="center"/>
    </w:pPr>
    <w:rPr>
      <w:rFonts w:ascii="宋体" w:hAnsi="宋体" w:cs="宋体"/>
      <w:b/>
      <w:bCs/>
      <w:kern w:val="0"/>
      <w:sz w:val="24"/>
      <w:szCs w:val="24"/>
    </w:rPr>
  </w:style>
  <w:style w:type="character" w:customStyle="1" w:styleId="200">
    <w:name w:val="font101"/>
    <w:qFormat/>
    <w:uiPriority w:val="0"/>
    <w:rPr>
      <w:rFonts w:hint="default" w:ascii="Times New Roman" w:hAnsi="Times New Roman" w:cs="Times New Roman"/>
      <w:color w:val="000000"/>
      <w:sz w:val="22"/>
      <w:szCs w:val="22"/>
      <w:u w:val="none"/>
    </w:rPr>
  </w:style>
  <w:style w:type="character" w:customStyle="1" w:styleId="201">
    <w:name w:val="font71"/>
    <w:qFormat/>
    <w:uiPriority w:val="0"/>
    <w:rPr>
      <w:rFonts w:hint="eastAsia" w:ascii="宋体" w:hAnsi="宋体" w:eastAsia="宋体" w:cs="宋体"/>
      <w:color w:val="000000"/>
      <w:sz w:val="20"/>
      <w:szCs w:val="20"/>
      <w:u w:val="none"/>
    </w:rPr>
  </w:style>
  <w:style w:type="character" w:customStyle="1" w:styleId="202">
    <w:name w:val="font31"/>
    <w:qFormat/>
    <w:uiPriority w:val="0"/>
    <w:rPr>
      <w:rFonts w:hint="eastAsia" w:ascii="宋体" w:hAnsi="宋体" w:eastAsia="宋体" w:cs="宋体"/>
      <w:b/>
      <w:bCs/>
      <w:color w:val="000000"/>
      <w:sz w:val="22"/>
      <w:szCs w:val="22"/>
      <w:u w:val="none"/>
    </w:rPr>
  </w:style>
  <w:style w:type="character" w:customStyle="1" w:styleId="203">
    <w:name w:val="font01"/>
    <w:qFormat/>
    <w:uiPriority w:val="0"/>
    <w:rPr>
      <w:rFonts w:hint="eastAsia" w:ascii="宋体" w:hAnsi="宋体" w:eastAsia="宋体" w:cs="宋体"/>
      <w:color w:val="000000"/>
      <w:sz w:val="24"/>
      <w:szCs w:val="24"/>
      <w:u w:val="none"/>
    </w:rPr>
  </w:style>
  <w:style w:type="paragraph" w:customStyle="1" w:styleId="204">
    <w:name w:val="正文文本首行缩进 21"/>
    <w:basedOn w:val="18"/>
    <w:qFormat/>
    <w:uiPriority w:val="0"/>
    <w:pPr>
      <w:spacing w:after="120"/>
      <w:ind w:left="420" w:leftChars="200" w:firstLine="420" w:firstLineChars="200"/>
    </w:pPr>
    <w:rPr>
      <w:rFonts w:ascii="Calibri" w:hAnsi="Calibri" w:eastAsia="宋体" w:cs="Times New Roman"/>
      <w:sz w:val="21"/>
      <w:szCs w:val="24"/>
      <w:lang w:val="en-US" w:eastAsia="zh-CN"/>
    </w:rPr>
  </w:style>
  <w:style w:type="paragraph" w:customStyle="1" w:styleId="20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6">
    <w:name w:val="页脚1"/>
    <w:basedOn w:val="1"/>
    <w:next w:val="207"/>
    <w:qFormat/>
    <w:uiPriority w:val="0"/>
    <w:pPr>
      <w:tabs>
        <w:tab w:val="center" w:pos="4153"/>
        <w:tab w:val="right" w:pos="8306"/>
      </w:tabs>
      <w:jc w:val="left"/>
    </w:pPr>
    <w:rPr>
      <w:sz w:val="18"/>
      <w:szCs w:val="18"/>
    </w:rPr>
  </w:style>
  <w:style w:type="paragraph" w:styleId="20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8">
    <w:name w:val="font121"/>
    <w:basedOn w:val="49"/>
    <w:qFormat/>
    <w:uiPriority w:val="0"/>
    <w:rPr>
      <w:rFonts w:hint="eastAsia" w:ascii="宋体" w:hAnsi="宋体" w:eastAsia="宋体" w:cs="宋体"/>
      <w:color w:val="000000"/>
      <w:sz w:val="18"/>
      <w:szCs w:val="18"/>
      <w:u w:val="none"/>
    </w:rPr>
  </w:style>
  <w:style w:type="character" w:customStyle="1" w:styleId="209">
    <w:name w:val="font281"/>
    <w:basedOn w:val="49"/>
    <w:qFormat/>
    <w:uiPriority w:val="0"/>
    <w:rPr>
      <w:rFonts w:hint="eastAsia" w:ascii="宋体" w:hAnsi="宋体" w:eastAsia="宋体" w:cs="宋体"/>
      <w:b/>
      <w:bCs/>
      <w:color w:val="000000"/>
      <w:sz w:val="18"/>
      <w:szCs w:val="18"/>
      <w:u w:val="none"/>
    </w:rPr>
  </w:style>
  <w:style w:type="character" w:customStyle="1" w:styleId="210">
    <w:name w:val="font61"/>
    <w:basedOn w:val="49"/>
    <w:qFormat/>
    <w:uiPriority w:val="0"/>
    <w:rPr>
      <w:rFonts w:hint="eastAsia" w:ascii="宋体" w:hAnsi="宋体" w:eastAsia="宋体" w:cs="宋体"/>
      <w:b/>
      <w:bCs/>
      <w:color w:val="000000"/>
      <w:sz w:val="22"/>
      <w:szCs w:val="22"/>
      <w:u w:val="none"/>
    </w:rPr>
  </w:style>
  <w:style w:type="paragraph" w:customStyle="1" w:styleId="211">
    <w:name w:val="首行缩进"/>
    <w:qFormat/>
    <w:uiPriority w:val="0"/>
    <w:pPr>
      <w:widowControl w:val="0"/>
      <w:ind w:firstLine="480" w:firstLineChars="200"/>
      <w:jc w:val="both"/>
    </w:pPr>
    <w:rPr>
      <w:rFonts w:ascii="Times New Roman" w:hAnsi="Times New Roman" w:eastAsia="宋体" w:cs="Times New Roman"/>
      <w:kern w:val="2"/>
      <w:sz w:val="21"/>
      <w:lang w:val="zh-CN" w:eastAsia="zh-CN" w:bidi="ar-SA"/>
    </w:rPr>
  </w:style>
  <w:style w:type="paragraph" w:customStyle="1" w:styleId="212">
    <w:name w:val="WPSOffice手动目录 1"/>
    <w:qFormat/>
    <w:uiPriority w:val="0"/>
    <w:pPr>
      <w:ind w:leftChars="0"/>
    </w:pPr>
    <w:rPr>
      <w:rFonts w:ascii="Times New Roman" w:hAnsi="Times New Roman" w:eastAsia="宋体" w:cs="Times New Roman"/>
      <w:sz w:val="20"/>
      <w:szCs w:val="20"/>
    </w:rPr>
  </w:style>
  <w:style w:type="paragraph" w:customStyle="1" w:styleId="213">
    <w:name w:val="_Style 1"/>
    <w:basedOn w:val="1"/>
    <w:qFormat/>
    <w:uiPriority w:val="99"/>
    <w:pPr>
      <w:ind w:firstLine="420" w:firstLineChars="200"/>
    </w:pPr>
    <w:rPr>
      <w:rFonts w:ascii="Calibri" w:hAnsi="Calibri"/>
      <w:szCs w:val="22"/>
    </w:rPr>
  </w:style>
  <w:style w:type="paragraph" w:customStyle="1" w:styleId="214">
    <w:name w:val="标题 41"/>
    <w:basedOn w:val="1"/>
    <w:next w:val="215"/>
    <w:qFormat/>
    <w:uiPriority w:val="0"/>
    <w:pPr>
      <w:keepNext/>
      <w:keepLines/>
      <w:spacing w:before="280" w:after="290" w:line="376" w:lineRule="auto"/>
      <w:outlineLvl w:val="3"/>
    </w:pPr>
    <w:rPr>
      <w:rFonts w:ascii="Arial" w:hAnsi="Arial" w:eastAsia="黑体"/>
      <w:b/>
      <w:bCs/>
      <w:sz w:val="28"/>
      <w:szCs w:val="28"/>
    </w:rPr>
  </w:style>
  <w:style w:type="paragraph" w:customStyle="1" w:styleId="215">
    <w:name w:val="正文缩进1"/>
    <w:basedOn w:val="1"/>
    <w:qFormat/>
    <w:uiPriority w:val="0"/>
    <w:pPr>
      <w:ind w:firstLine="420"/>
    </w:pPr>
    <w:rPr>
      <w:sz w:val="20"/>
    </w:rPr>
  </w:style>
  <w:style w:type="character" w:customStyle="1" w:styleId="216">
    <w:name w:val="NormalCharacter"/>
    <w:link w:val="217"/>
    <w:qFormat/>
    <w:locked/>
    <w:uiPriority w:val="99"/>
    <w:rPr>
      <w:kern w:val="0"/>
      <w:sz w:val="20"/>
    </w:rPr>
  </w:style>
  <w:style w:type="paragraph" w:customStyle="1" w:styleId="217">
    <w:name w:val="UserStyle_4"/>
    <w:basedOn w:val="1"/>
    <w:link w:val="216"/>
    <w:qFormat/>
    <w:uiPriority w:val="99"/>
    <w:rPr>
      <w:kern w:val="0"/>
      <w:sz w:val="20"/>
    </w:rPr>
  </w:style>
  <w:style w:type="paragraph" w:customStyle="1" w:styleId="218">
    <w:name w:val="列出段落2"/>
    <w:basedOn w:val="1"/>
    <w:qFormat/>
    <w:uiPriority w:val="99"/>
    <w:pPr>
      <w:ind w:firstLine="420" w:firstLineChars="200"/>
    </w:pPr>
  </w:style>
  <w:style w:type="table" w:customStyle="1" w:styleId="219">
    <w:name w:val="普通表格1"/>
    <w:unhideWhenUsed/>
    <w:qFormat/>
    <w:uiPriority w:val="99"/>
    <w:tblPr>
      <w:tblCellMar>
        <w:top w:w="0" w:type="dxa"/>
        <w:left w:w="108" w:type="dxa"/>
        <w:bottom w:w="0" w:type="dxa"/>
        <w:right w:w="108" w:type="dxa"/>
      </w:tblCellMar>
    </w:tblPr>
  </w:style>
  <w:style w:type="paragraph" w:customStyle="1" w:styleId="220">
    <w:name w:val="标题 31"/>
    <w:basedOn w:val="1"/>
    <w:next w:val="1"/>
    <w:qFormat/>
    <w:uiPriority w:val="0"/>
    <w:pPr>
      <w:keepNext/>
      <w:keepLines/>
      <w:spacing w:before="260" w:after="260" w:line="416" w:lineRule="auto"/>
      <w:outlineLvl w:val="2"/>
    </w:pPr>
    <w:rPr>
      <w:rFonts w:ascii="黑体" w:eastAsia="黑体"/>
      <w:b/>
      <w:bCs/>
      <w:sz w:val="32"/>
      <w:szCs w:val="32"/>
    </w:rPr>
  </w:style>
  <w:style w:type="paragraph" w:customStyle="1" w:styleId="221">
    <w:name w:val="*正文"/>
    <w:basedOn w:val="1"/>
    <w:qFormat/>
    <w:uiPriority w:val="0"/>
    <w:pPr>
      <w:adjustRightInd w:val="0"/>
      <w:snapToGrid w:val="0"/>
    </w:pPr>
    <w:rPr>
      <w:rFonts w:ascii="宋体" w:hAnsi="宋体"/>
      <w:sz w:val="24"/>
      <w:lang w:val="zh-CN"/>
    </w:rPr>
  </w:style>
  <w:style w:type="table" w:customStyle="1" w:styleId="22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f9aef6e4-9bf8-474f-a02c-421cd980cd85</errorID>
      <errorWord>“.</errorWord>
      <group>L1_Punc</group>
      <groupName>标点问题</groupName>
      <ability>L2_Punc_CN</ability>
      <abilityName>标点符号问题</abilityName>
      <candidateList>
        <item>“</item>
      </candidateList>
      <explain/>
      <paraID>3E1256D3</paraID>
      <start>145</start>
      <end>147</end>
      <status>unmodified</status>
      <modifiedWord/>
      <trackRevisions>false</trackRevisions>
    </reviewItem>
    <reviewItem>
      <errorID>e3afd754-91bd-4be7-9a84-95f3d26de1a7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434D048</paraID>
      <start>100</start>
      <end>104</end>
      <status>unmodified</status>
      <modifiedWord/>
      <trackRevisions>false</trackRevisions>
    </reviewItem>
    <reviewItem>
      <errorID>2cd87c28-6535-4783-8ef1-055eab604b96</errorID>
      <errorWord>万</errorWord>
      <group>L1_Word</group>
      <groupName>字词问题</groupName>
      <ability>L2_Typo</ability>
      <abilityName>字词错误</abilityName>
      <candidateList>
        <item>万元</item>
      </candidateList>
      <explain/>
      <paraID>4C355D27</paraID>
      <start>92</start>
      <end>94</end>
      <status>modified</status>
      <modifiedWord>万元</modifiedWord>
      <trackRevisions>false</trackRevisions>
    </reviewItem>
    <reviewItem>
      <errorID>d9c5205d-c635-40b7-ace5-a99b5113206d</errorID>
      <errorWord>法治观念</errorWord>
      <group>L1_Word</group>
      <groupName>字词问题</groupName>
      <ability>L2_Typo</ability>
      <abilityName>字词错误</abilityName>
      <candidateList>
        <item>法制观念</item>
      </candidateList>
      <explain>存在发音相同字词的误用。</explain>
      <paraID>76D6A1CA</paraID>
      <start>38</start>
      <end>42</end>
      <status>modified</status>
      <modifiedWord>法制观念</modifiedWord>
      <trackRevisions>false</trackRevisions>
    </reviewItem>
    <reviewItem>
      <errorID>2ae4b23a-c421-433f-a397-7aabc5ef7d45</errorID>
      <errorWord>依</errorWord>
      <group>L1_Word</group>
      <groupName>字词问题</groupName>
      <ability>L2_Typo</ability>
      <abilityName>字词错误</abilityName>
      <candidateList>
        <item>依据</item>
      </candidateList>
      <explain/>
      <paraID>15C57738</paraID>
      <start>152</start>
      <end>154</end>
      <status>modified</status>
      <modifiedWord>依据</modifiedWord>
      <trackRevisions>false</trackRevisions>
    </reviewItem>
    <reviewItem>
      <errorID>3d2085ca-6183-4cbd-a6d1-92accc1b4b69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60C5D7B8</paraID>
      <start>91</start>
      <end>92</end>
      <status>unmodified</status>
      <modifiedWord/>
      <trackRevisions>false</trackRevisions>
    </reviewItem>
    <reviewItem>
      <errorID>521762e3-6d79-42ae-9653-83349f34d5d2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60C5D7B8</paraID>
      <start>170</start>
      <end>171</end>
      <status>unmodified</status>
      <modifiedWord/>
      <trackRevisions>false</trackRevisions>
    </reviewItem>
    <reviewItem>
      <errorID>1f554407-6fa1-4908-b285-9e42924fe667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60C5D7B8</paraID>
      <start>234</start>
      <end>235</end>
      <status>unmodified</status>
      <modifiedWord/>
      <trackRevisions>false</trackRevisions>
    </reviewItem>
    <reviewItem>
      <errorID>35bce30f-1d12-4645-bb47-0c2465d4b000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3DE5F58D</paraID>
      <start>48</start>
      <end>49</end>
      <status>unmodified</status>
      <modifiedWord/>
      <trackRevisions>false</trackRevisions>
    </reviewItem>
    <reviewItem>
      <errorID>98e4a7af-ff8a-41f0-b702-f65ea440a4ac</errorID>
      <errorWord>KW</errorWord>
      <group>L1_Word</group>
      <groupName>字词问题</groupName>
      <ability>L2_Typo</ability>
      <abilityName>字词错误</abilityName>
      <candidateList>
        <item>kW</item>
      </candidateList>
      <explain/>
      <paraID>3EE36426</paraID>
      <start>72</start>
      <end>74</end>
      <status>unmodified</status>
      <modifiedWord/>
      <trackRevisions>false</trackRevisions>
    </reviewItem>
    <reviewItem>
      <errorID>e691bb0f-dcaa-4b31-8c73-3f96ceba5ac2</errorID>
      <errorWord>KW</errorWord>
      <group>L1_Word</group>
      <groupName>字词问题</groupName>
      <ability>L2_Typo</ability>
      <abilityName>字词错误</abilityName>
      <candidateList>
        <item>kW</item>
      </candidateList>
      <explain/>
      <paraID>3EE36426</paraID>
      <start>86</start>
      <end>88</end>
      <status>unmodified</status>
      <modifiedWord/>
      <trackRevisions>false</trackRevisions>
    </reviewItem>
    <reviewItem>
      <errorID>f22a6d9e-f222-488a-9bd9-ced8bf54ea51</errorID>
      <errorWord>KW</errorWord>
      <group>L1_Word</group>
      <groupName>字词问题</groupName>
      <ability>L2_Typo</ability>
      <abilityName>字词错误</abilityName>
      <candidateList>
        <item>kW</item>
      </candidateList>
      <explain/>
      <paraID>3EE36426</paraID>
      <start>208</start>
      <end>210</end>
      <status>unmodified</status>
      <modifiedWord/>
      <trackRevisions>false</trackRevisions>
    </reviewItem>
    <reviewItem>
      <errorID>d2e28bc2-68c7-4c9b-947d-fa921254e677</errorID>
      <errorWord>）</errorWord>
      <group>L1_Word</group>
      <groupName>字词问题</groupName>
      <ability>L2_Typo</ability>
      <abilityName>字词错误</abilityName>
      <candidateList>
        <item>）在</item>
      </candidateList>
      <explain/>
      <paraID>441E849C</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3a75ed-87c5-484e-a0a3-90223540469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85</Pages>
  <Words>5339</Words>
  <Characters>5881</Characters>
  <Lines>295</Lines>
  <Paragraphs>83</Paragraphs>
  <TotalTime>2</TotalTime>
  <ScaleCrop>false</ScaleCrop>
  <LinksUpToDate>false</LinksUpToDate>
  <CharactersWithSpaces>5923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2024-05-13T05:55:00Z</dcterms:created>
  <dc:creator>黄烽荣</dc:creator>
  <cp:lastModifiedBy>小黑哥哥啊</cp:lastModifiedBy>
  <cp:lastPrinted>2025-04-24T01:36:00Z</cp:lastPrinted>
  <dcterms:modified xsi:type="dcterms:W3CDTF">2026-06-29T07:41:01Z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B541B734741446B1BBEBBFBE97B11C82_13</vt:lpwstr>
  </property>
  <property fmtid="{D5CDD505-2E9C-101B-9397-08002B2CF9AE}" pid="3" name="KSOProductBuildVer">
    <vt:lpwstr>2052-12.1.0.26895</vt:lpwstr>
  </property>
  <property fmtid="{D5CDD505-2E9C-101B-9397-08002B2CF9AE}" pid="4" name="KSOTemplateDocerSaveRecord">
    <vt:lpwstr>eyJoZGlkIjoiOGJhYmIyMzgwODQ4MDA4ZGFiMDRlZGI4ZGM5ZDY3NTYiLCJ1c2VySWQiOiIxNDE2ODUzMDYxIn0=</vt:lpwstr>
  </property>
</Properties>
</file>