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年滨开区新材料产业园智慧监管平台保障服务</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JSZC-320411001-CZWC-G2026-0015</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人：江苏常州滨江经济开发区管理委员会</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6</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0" w:history="1">
        <w:r>
          <w:rPr>
            <w:rStyle w:val="804"/>
            <w:rFonts w:ascii="SimSun" w:hAnsi="SimSun" w:eastAsia="SimSun" w:cs="SimSun"/>
            <w:color w:val="0000ee"/>
            <w:sz w:val="24"/>
            <w:u w:val="single"/>
          </w:rPr>
          <w:t xml:space="preserve">目      录</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1" w:history="1">
        <w:r>
          <w:rPr>
            <w:rStyle w:val="804"/>
            <w:rFonts w:ascii="SimSun" w:hAnsi="SimSun" w:eastAsia="SimSun" w:cs="SimSun"/>
            <w:color w:val="0000ee"/>
            <w:sz w:val="24"/>
            <w:u w:val="single"/>
          </w:rPr>
          <w:t xml:space="preserve">第一章   投标邀请</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2" w:history="1">
        <w:r>
          <w:rPr>
            <w:rStyle w:val="804"/>
            <w:rFonts w:ascii="SimSun" w:hAnsi="SimSun" w:eastAsia="SimSun" w:cs="SimSun"/>
            <w:color w:val="0000ee"/>
            <w:sz w:val="24"/>
            <w:u w:val="single"/>
          </w:rPr>
          <w:t xml:space="preserve">第二章   投标人须知</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3" w:history="1">
        <w:r>
          <w:rPr>
            <w:rStyle w:val="804"/>
            <w:rFonts w:ascii="SimSun" w:hAnsi="SimSun" w:eastAsia="SimSun" w:cs="SimSun"/>
            <w:color w:val="0000ee"/>
            <w:sz w:val="24"/>
            <w:u w:val="single"/>
          </w:rPr>
          <w:t xml:space="preserve">第三章   资格审查</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4" w:history="1">
        <w:r>
          <w:rPr>
            <w:rStyle w:val="804"/>
            <w:rFonts w:ascii="SimSun" w:hAnsi="SimSun" w:eastAsia="SimSun" w:cs="SimSun"/>
            <w:color w:val="0000ee"/>
            <w:sz w:val="24"/>
            <w:u w:val="single"/>
          </w:rPr>
          <w:t xml:space="preserve">第四章   评标程序、评标方法和评标标准</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5" w:history="1">
        <w:r>
          <w:rPr>
            <w:rStyle w:val="804"/>
            <w:rFonts w:ascii="SimSun" w:hAnsi="SimSun" w:eastAsia="SimSun" w:cs="SimSun"/>
            <w:color w:val="0000ee"/>
            <w:sz w:val="24"/>
            <w:u w:val="single"/>
          </w:rPr>
          <w:t xml:space="preserve">第五章   采购需求</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6" w:history="1">
        <w:r>
          <w:rPr>
            <w:rStyle w:val="804"/>
            <w:rFonts w:ascii="SimSun" w:hAnsi="SimSun" w:eastAsia="SimSun" w:cs="SimSun"/>
            <w:color w:val="0000ee"/>
            <w:sz w:val="24"/>
            <w:u w:val="single"/>
          </w:rPr>
          <w:t xml:space="preserve">第六章   拟签订的合同文本</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4304827" w:history="1">
        <w:r>
          <w:rPr>
            <w:rStyle w:val="804"/>
            <w:rFonts w:ascii="SimSun" w:hAnsi="SimSun" w:eastAsia="SimSun" w:cs="SimSun"/>
            <w:color w:val="0000ee"/>
            <w:sz w:val="24"/>
            <w:u w:val="single"/>
          </w:rPr>
          <w:t xml:space="preserve">第七章   投标文件格式</w:t>
        </w:r>
        <w:r>
          <w:rPr>
            <w:rStyle w:val="804"/>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pStyle w:val="644"/>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u w:val="none"/>
        </w:rPr>
        <w:t xml:space="preserve">2026年滨开区新材料产业园智慧监管平台保障服务</w:t>
      </w:r>
      <w:r>
        <w:rPr>
          <w:rFonts w:ascii="STZhongsong" w:hAnsi="STZhongsong" w:eastAsia="STZhongsong" w:cs="STZhongsong"/>
          <w:b/>
          <w:color w:val="000000"/>
          <w:sz w:val="32"/>
        </w:rPr>
        <w:t xml:space="preserve">公开招标公告</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2026年滨开区新材料产业园智慧监管平台保障服务JSZC-320411001-CZWC-G2026-0015招标项目的潜在投标人应在“苏采云”政府采购一体化平台获取招标文件，并于2026年7月14日14:00（北京时间）前递交投标文件。</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JSZC-320411001-CZWC-G2026-0015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年滨开区新材料产业园智慧监管平台保障服务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316</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Times New Roman" w:hAnsi="Times New Roman" w:eastAsia="Times New Roman" w:cs="Times New Roman"/>
          <w:color w:val="000000"/>
          <w:sz w:val="24"/>
        </w:rPr>
        <w:t xml:space="preserve">316</w:t>
      </w:r>
      <w:r>
        <w:rPr>
          <w:rFonts w:ascii="SimSun" w:hAnsi="SimSun" w:eastAsia="SimSun" w:cs="SimSun"/>
          <w:color w:val="000000"/>
          <w:sz w:val="24"/>
        </w:rPr>
        <w:t xml:space="preserve">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pacing w:val="2"/>
          <w:sz w:val="24"/>
        </w:rPr>
        <w:t xml:space="preserve">为确保平台能够长期、稳定、高效运行，需要进一步健全完善加强一体化平台的网络通讯资源及平台配套服务，根据国家、省市对化工园区的建设与管理标准及要求，进一步对园区监管平台必要的功能及服务进行优化提升，更好发挥平台监管作用，提升园区数理化管理效能和精细化管理水平，提升常州滨江经济开发区网络承载能力，切实解决园区监管平台中安全、环保、应急系统存在的问题。以达到建立对园区事前、事中和事后管控，全过程、全覆盖的安全环保风险监管和预警体系，同时为了进一步深化开展“智慧园区综合监管平台”服务工作，实现多业态数据共享和多部门</w:t>
      </w:r>
      <w:r>
        <w:rPr>
          <w:rFonts w:ascii="SimSun" w:hAnsi="SimSun" w:eastAsia="SimSun" w:cs="SimSun"/>
          <w:color w:val="000000"/>
          <w:spacing w:val="2"/>
          <w:sz w:val="24"/>
        </w:rPr>
        <w:t xml:space="preserve">应急联动的目的</w:t>
      </w:r>
      <w:r>
        <w:rPr>
          <w:rFonts w:ascii="SimSun" w:hAnsi="SimSun" w:eastAsia="SimSun" w:cs="SimSun"/>
          <w:color w:val="000000"/>
          <w:sz w:val="24"/>
        </w:rPr>
        <w:t xml:space="preserve">，实施本项目。具体内容详见采购需求。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合同履行期限：1年，具体开始时间以采购人通知为准。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未被“信用中国”网站或“中国政府采购网”网站列入失信被执行人、重大税收违法案件当事人名单、政府采购严重失信行为记录名单；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中小企业政策（说明：中小企业包含中型、小型、微型企业，小微企业包含小型、微型企业）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本项目专门面向中小企业预留采购份额。即：提供的服务全部由符合政策要求的中小企业承接。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其他特定资格要求：无。</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政府采购一体化平台。</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pacing w:val="2"/>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4.本项目采用远程“不见面”交易方式，无需到现场提交，请投标供应商在提交时间截止前提前登入“苏采云”，通过系统在线提交电子投标文件。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6.本项目不收取投标保证金。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10.如潜在投标供应商未按上述要求操作，将自行承担所产生的风险。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12.关于深入开展常州市政府采购线上合同信用融资：</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ascii="SimSun" w:hAnsi="SimSun" w:eastAsia="SimSun" w:cs="SimSun"/>
          <w:color w:val="000000"/>
          <w:spacing w:val="2"/>
          <w:sz w:val="24"/>
        </w:rPr>
        <w:t xml:space="preserve">。</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名称:江苏常州滨江经济开发区管理委员会</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地址:常州市新北区东海路常州滨江国际企业港1号楼</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联系方式:许先生、0519-81591056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2.</w:t>
      </w:r>
      <w:r>
        <w:rPr>
          <w:rFonts w:ascii="SimSun" w:hAnsi="SimSun" w:eastAsia="SimSun" w:cs="SimSun"/>
          <w:b/>
          <w:color w:val="000000"/>
          <w:sz w:val="24"/>
          <w:u w:val="none"/>
        </w:rPr>
        <w:t xml:space="preserve">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项目联系人：郭工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46"/>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255"/>
        <w:gridCol w:w="853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工程</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关于核心产品本项目不适用。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软件和信息技术服务业。</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2026年7月1日17:00（北京时间）前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3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采购人支付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收费标准：收费标准：</w:t>
            </w:r>
            <w:r>
              <w:rPr>
                <w:rFonts w:ascii="SimSun" w:hAnsi="SimSun" w:eastAsia="SimSun" w:cs="SimSun"/>
                <w:color w:val="000000"/>
                <w:sz w:val="24"/>
                <w:u w:val="single"/>
              </w:rPr>
              <w:t xml:space="preserve"> 收费比例按差额定率分档累进法计算，收费差额费率：中标金额在100万元(含)以下的为1.5%，中标金额在100万元（不含）至500万元（含）的为0.8%，中标金额在500万元（不含）至1000万元（含）的为0.45%，中标服务收费按上述计算方法不足人民币3000元的，按人民币3000元收取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pacing w:val="2"/>
                <w:sz w:val="24"/>
              </w:rPr>
              <w:t xml:space="preserve">在领取《中标通知书》时，一次性向采购代理机构交纳招标代理服务费</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46"/>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w:t>
      </w:r>
      <w:r>
        <w:rPr>
          <w:rFonts w:ascii="SimSun" w:hAnsi="SimSun" w:eastAsia="SimSun" w:cs="SimSun"/>
          <w:color w:val="000000"/>
          <w:sz w:val="24"/>
        </w:rPr>
        <w:t xml:space="preserve">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投标人可在投标截止时间之前，对其电子投标文件进行修改，具体操作方法见《操作手册》。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接到评审小组澄清、说明和更正要求的供应商如未按规定作出澄清、说明和 更正，其风险由供应商自行承担。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投标人在开、评标全过程中应保持通信畅通，及时登录苏采云系统查阅、答复相关信息，并安排专人与采购代理机构及评标委员会联系。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1.投标（响应）报价低于全部通过符合性审查供应商投标（响应）报价平均值50%的，即投标（响应）报价&lt;全部通过符合性审查供应商投标（响应）报价平均值×50%；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3.投标（响应）报价低于采购项目最高限价45%的，即投标（响应）报价&lt;采购项目最高限价×45%；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1"/>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383838"/>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04"/>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025"/>
        <w:gridCol w:w="4643"/>
        <w:gridCol w:w="170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18"/>
        <w:gridCol w:w="679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10"/>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494"/>
        <w:gridCol w:w="860"/>
        <w:gridCol w:w="6313"/>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分）</w:t>
            </w:r>
            <w:r/>
          </w:p>
        </w:tc>
      </w:tr>
      <w:tr>
        <w:trPr>
          <w:trHeight w:val="1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分值。</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异常低价审查：见采购文件22.14异常低价审查。</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w:t>
            </w: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投标供应商提供自2023年1月1日以来（以合同签订时间为准）承接过类似业绩的，有一个得2分，最高得6分。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注：投标文件中提供合同的原件扫描形成的电子文档，加盖投标供应商公章，否则不得分。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投标供应商具有有效的质量管理体系认证证书、环境管理体系认证证书、职业健康安全管理体系认证证书、信息技术服务管理体系认证证书的，有1个得1分，最高得4分。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注：投标文件中提供证书的原件扫描形成的电子文档，并加盖投标供应商公章，否则不得分。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拟投入项目组成员素质及专业配备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①具有高级信息系统项目管理师证书得0.5分，否则不得分。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②具备高级系统规划与管理师证书的得0.5分，否则不得分。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①具有网络工程师证书的得0.5分，否则不得分。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②具有信息系统项目管理师证书的得0.5分，否则不得分。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（3）项目组其他成员：</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具有人力资源和社会保障部门或工业和信息化部门或应急管理部门颁发的注册安全工程师证书的得0.5分，最多的2分，不提供不得分。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注：上述项目负责人、项目技术负责人、项目组其他成员不得为同一人，以上提供证书人员需提供相关证书扫描件加盖单位公章及投标单位为持证人员其缴纳的近3个月中任意一个月的社保证明材料。</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投标人具有信息安全服务资质认证(CCRC)-安全运维资质三级以上资质(CCRC)得2分，否则不得分。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投标人具有信息系统建设和服务能力等级证书-CS2及以上资质得2分，否则不得分。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投标人具有ITSS信息技术服务运行维护标准三级及以上资质得2分，否则不得分。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注：投标文件中提供证书的原件扫描形成的电子文档，并加盖投标供应商公章，否则不得分。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三、主观分（50分）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平台运行配套云资源租赁服务方案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评标委员会根据投标供应商针对本项目拟定的平台运行配套云资源租赁服务方案进行综合评审。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日常运营管理服务方案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评标委员会根据投标供应商针对本项目拟定的日常运营管理服务方案进行综合评审。需包括团队人员组建、日常运营制度管理、工作要求标准等方案内容。</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安全专项运营方案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评标委员会根据投标供应商针对本项目拟定的安全专项运营方案进行综合评审。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1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环保专项运营方案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评标委员会根据投标供应商针对本项目拟定的环保专项运营方案进行综合评审。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平台系统运营管理服务方案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评标委员会根据投标供应商针对本项目拟定的平台系统运营管理服务方案进行综合评审。需包括软件维护、底层应用、视频管理等方案内容。</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应急专项运营服务方案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评标委员会根据投标供应商针对本项目拟定的应急专项运营服务方案进行综合评审。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公共区域管理服务方案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评标委员会根据投标供应商针对本项目拟定的应急专项运营服务方案进行综合评审。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园区业务专业管理服务方案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评标委员会根据投标供应商针对本项目拟定的园区业务专业管理服务方案进行综合评审。需包括特殊作业巡检AI智能算力服务、危险品车辆停车场监管调度系统服务、报警信息推送短信服务方案内容。</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方案完整，能完全满足项目实施要求，得10分。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方案较具体，能基本满足项目实施要求，得8分。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方案能部分满足项目实施要求，得6分。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bl>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本项目为2026年滨开区新材料产业园智慧监管平台保障服务，</w:t>
      </w:r>
      <w:r>
        <w:rPr>
          <w:rFonts w:ascii="SimSun" w:hAnsi="SimSun" w:eastAsia="SimSun" w:cs="SimSun"/>
          <w:color w:val="000000"/>
          <w:spacing w:val="2"/>
          <w:sz w:val="24"/>
        </w:rPr>
        <w:t xml:space="preserve">服务内容包括为确保平台能够长期、稳定、高效运行，需要进一步健全完善加强一体化平台的网络通讯资源及平台配套提升服务，根据国家、省市对化工园区的建设与管理标准及要求，进一步对园区监管平台必要的功能及服务进行优化提升，更好发挥平台监管作用，提升园区数理化管理效能和精细化管理水平，提升常州滨江经济开发区网络承载能力，切实解决园区监管平台中安全、环保、应急系统存在的问题。以达到建立对园区事前、事中和事后管控，全过程、全覆盖的安全环保风险监管和预警体系，同时为了进一步深化开展“智慧园区综合监管平台”服务工作，实现多业态</w:t>
      </w:r>
      <w:r>
        <w:rPr>
          <w:rFonts w:ascii="SimSun" w:hAnsi="SimSun" w:eastAsia="SimSun" w:cs="SimSun"/>
          <w:color w:val="000000"/>
          <w:spacing w:val="2"/>
          <w:sz w:val="24"/>
        </w:rPr>
        <w:t xml:space="preserve">数据共享和多部门应急联动。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自合同签订之日起一年。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内采购人按季度根据中标供应商运维服务质量考核情况付款，每季度支付金额为总合同额25%（中标供应商应在每季度服务后向采购人书面提出付款申请，采购人在收到中标供应商付款申请后14个工作日内根据上一季度考核情况向中标供应商付款，采购人付款前中标供应商应开具相应金额的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（一）平台运行配套云资源租赁服务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结合安全环保监控预警一体化平台现状，中标服务商需要提供网络资源或者利用网络技术整合网络资源、云平台主机服务、视频存储服务等内容，满足采购人的要求。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063"/>
        <w:gridCol w:w="1767"/>
        <w:gridCol w:w="5696"/>
      </w:tblGrid>
      <w:tr>
        <w:trPr>
          <w:trHeight w:val="648"/>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2"/>
              </w:rPr>
              <w:t xml:space="preserve">序号</w:t>
            </w:r>
            <w:r/>
          </w:p>
        </w:tc>
        <w:tc>
          <w:tcPr>
            <w:gridSpan w:val="2"/>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2"/>
              </w:rPr>
              <w:t xml:space="preserve">类别</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2"/>
              </w:rPr>
              <w:t xml:space="preserve">服务内容</w:t>
            </w:r>
            <w:r/>
          </w:p>
        </w:tc>
      </w:tr>
      <w:tr>
        <w:trPr>
          <w:trHeight w:val="2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平台运行配套云资源租赁服务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网络通讯配套资源服务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不低于下列要求：提供融合通信应急电话通讯费1年，服务器机柜1个，云服务器11台（安全应用服务器1台、视频监控运管中心平台服务器1台、视频监控管理服务器1台、数据库服务器2台、应用服务器2台、数据备份服务器1台、抽帧服务器1台、边缘一体机运维管理应用服务器2台），视频存储云服务租赁60路。</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平台配套通信网络服务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不低于下列要求：提供互联网专线2条（500M 1条、400M 1条），VPN专线3条（600M 1条、400M 2条），MSTP电路16条（30M 16条），裸光纤7条。</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（二）平台运营值守监管服务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1、服务团队配套需求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配备9人团队，常驻常州滨江经开区开展智慧监管平台保障服务，平台团队人员应至少具备安全、环保、计算机、化工等相关专科专业及以上学历，包括运营常白岗和值守岗，运营常白岗执行5×8小时标准工作制；运营值守岗执行“四班三运转”轮岗制，满足7×24小时全天候在岗制度，确保岗位持续覆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2、运营值守工作服务内容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（1）安全专项运营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安全监管方面，利用线上+线下相结合的服务模式，打造多样的信息化与安全监管体系，来强化园区安全保障能力。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①促进园区良性可持续发展。对园区企业及时有效的开展安全隐患排查工作，并及时督促企业完成隐患整改和验收。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②对园区内监管企业的危险化学品储存设施、生产装置的工艺安全实时数据，可燃有毒气体监测数据，企业现场监控视频等信息进行监测预警。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③结合企业工艺特点和报警规则，制定相应报警阈值，确保园区企业各类安全数据的精准全覆盖，数据信息准确。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④对园区内监管企业的各类安全监管数据报警事件进行处置，包括报警事件的接警、分发、跟踪、反馈工作，形成数据报警事件的闭环管理。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（2）环保专项运营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信息技术为手段通过构建全要素生态环境监测网，结合线上+线下的服务模式，达到对水、大气以及固危废的全覆盖监管，做到“摸清底数、科学防范”“动态监控、及时预警”，指导企业提升污染治理水平，减少污染物排放，降低园区企业对周边环境质量的影响，实现园区的绿色可持续发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①对产生的环保报警信息分析报警原因和具体风险，必要时进入企业现场进行线下调研，核查异常原因，对存在高环境风险的问题提出整改建议，形成闭环。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②定期对园区整体环保报警情况进行统计分析，总结园区阶段性环保监管状况。针对园区存在的高环境风险问题分析其具体原因，提出合理化整改建议，并及时进行整改跟踪，督促整改落实。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每天对接入的环保废气、废水、工况等数据的监测情况进行一次核查比对，每天抽查园区企业雨水阀门状态，对违规排水企业及时完成上报，形成巡查记录；不定期通过高空瞭望巡查园区河道污染、停产企业违规排放等情况，对异常问题形成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④排查园区企业污染源数量、分布状况,掌握不同行业污染物产生、排放和处理情况,建立健全重点污染源排放档案及污染源信息数据库,全面提升园区生态环境管理精细化、高效化和智慧化水平。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每周、每月出具运维工作报告，完成环保监管工作总结，对各类环保数据完成统计分析，整理各类环保问题，根据数据统计分析及各类问题整理，提出完善建议，每月出具1份园区环保监管专项报告，报送园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⑥根据废气、废水、户外监测站、工况监控数据实际情况，进行报警阈值、报警级别、点位风险等级等标准的修订完善，确保环保监管合理性和精准性。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⑦对国家及地方最新环保政策进行收集和解读，及时完成运营平台宣贯。对平台环保监管方式进行提升和优化建议的梳理汇总，形成最终改进方案。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（3）应急专项运营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管理中心运营值守人员实行四班三运转工作制，7*24小时应急值守，利用视频监控系统对重点监控企业进行日常巡视检查和历史视频调阅，处理日常运营运维事务和突发事件的预警、线上应急处置等工作。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①对企业各类应急信息（包括应急物资、应急预案）核查，进行动态管理，对企业应急物资检查和维护到期及时预警和跟踪保证系统中企业各类应急信息的实时有效。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②协助园区做好事故应急处置，给予建议，保证平台应急效率，并在处置完成之后协助运营经理出具事故处置报告。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③安全工程师进行应急标准规范的修订优化，提高应急处置效率。按照平台培训计划进行应急专业培训，提高运营人员应急能力。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（4）公共区域的管理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公共区域管理主要包括园区公共安全设施、协助园区做好车辆入园、行人入园管理，公共安全事件管理。对园区内公共区域的安全设施进行日常管理，针对高空监控及摄像头利用智能AI识别技术，配置相应的智能分析模型，实现公共区域的智能分析预警，及时发现相关安全隐患。对于进入园区的危化品车辆执行入园审批制度，对园区内的危化品车辆及运单信息进行统计分析，为园区危化品车辆的监管提供支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（5）日常运营管理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安排运营值守岗位人员对平台提供7天×24小时的值守服务，精准划分人员相关职责及工作标准，建立明确的管理制度，当园区出现突发事件时能及时反馈甲方及企业相关人员，并对应急响应提供必要的通讯保障和技术支持。</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（三）园区业务专业管理服务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1、特殊作业AI智能算力服务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需提供特殊作业运营助手智能体、特殊作业制度审查智能体、特殊作业票证核查智能体、特殊作业视频巡查智能体算力应用服务。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2、危险品车辆停车场监管调度系统服务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需提供车辆预约、车位调度、动态监控，实现车辆入场、停放、离场全流程智能管控与高效调度服务，优化车辆分区授权通行、跨区管控服务。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3、报警信息推送短信服务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需提供10万条短信通知服务用于系统预警推送、应急通知等。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1.最终提交成果资料：提交完整的相关报告材料，具体要求按照采购人要求为准。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2.验收要求及标准：符合现行国家及地方相关法律、法规及规范性文件的规定，并满足采购的要求。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3.知识产权：中标供应商必须保证投标文件、中标后提供的文件及资料均未侵犯他人的知识产权，否则必须承担由此引起的全部法律责任和经济责任。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中标供应商提交的所有响应文件及成果，其所有权均归采购人和中标供应商共同所有，采购人可使用其全部成果。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 、平台运营考核要求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（一）考核方法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根据招标文件及合同约定，对中标供应商的日常团队管理、基础设施运维、平台运营、应急管理、企业服务等内容进行考核。考核主要分为月度考核、季度考核和年度考核。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1、月度考核。每月对运营工作情况依据附表2《考核评价明细表》对中标方的各项服务内容进行评价打分，满分为100分（不包含加分项）。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季度考核。每季度为一个考核付款周期，将本季度内月度考核平均分作为季度考核最终得分，考核评价满分为100分。根据得分情况将考核结果划分为三个级别：优秀、合格、不合格，考核结果将决定当季度的费用支付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度考核。将本项目服务周期内四个季度考核平均分作为年度考核最终得分，考核得分超过80（含）分时，判定年度考核结果为合格；考核得分低于80分或连续两次季度考核低于80分时，判定年度考核结果为不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（二）考核结果的应用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季度考核结果作为每季度付款的依据，采购人根据考核结果，按照合同约定支付季度款，具体付款比例依据附表1《季度考核等级划分及费用支付比例表》执行；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附表1：    季度考核等级划分及费用支付比例表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1"/>
        <w:gridCol w:w="2442"/>
        <w:gridCol w:w="325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季度考核分数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季度费用支付比例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90（含）以上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80（含）至90分（不含）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80分（不含）以下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附表2：       考核评价明细表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814"/>
        <w:gridCol w:w="947"/>
        <w:gridCol w:w="1223"/>
        <w:gridCol w:w="497"/>
        <w:gridCol w:w="4566"/>
        <w:gridCol w:w="832"/>
      </w:tblGrid>
      <w:tr>
        <w:trPr>
          <w:trHeight w:val="405"/>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2026年滨开区新材料产业园智慧监管平台保障服务考核评价表</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评价项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得分</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系统运营保障服务</w:t>
              <w:b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平台系统及应急装备</w:t>
              <w:br/>
              <w:t xml:space="preserve">巡检与维护</w:t>
              <w:b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应急装备巡检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1.每周对LED大屏、应急广播系统、智慧屏、布控球、应急卡口伸缩门、指挥箱、卫星电话硬件设备完成巡检并留档。</w:t>
              <w:br/>
              <w:t xml:space="preserve">2.每月对新北区机房、新阳机房服务器设备完成巡检并留档。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系统巡检维护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每日对系统数据展示大屏功能完成巡检并留档。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系统故障处置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日常运行过程中系统软件问题及时发现，及时修复。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数据管理维护</w:t>
              <w:b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数据在线率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平台已接入传感器点位在线率≥95%、视频监控在线率≥95%。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数据信息维护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1.静态数据每月进行企业信息核对，保障信息变更后园区平台及时同步。</w:t>
              <w:br/>
              <w:t xml:space="preserve">2.动态数据安全重大危险源每半年全覆盖、环保每年全覆盖生产企业线下核对并出具核对清单完成园区平台数据变更。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业务管理服务</w:t>
              <w:br/>
              <w:t xml:space="preserve">（65分）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安全服务</w:t>
              <w:br/>
              <w:t xml:space="preserve">（25分）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报警闭环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1.视频分析报警要求3分钟内核验并按照标准流程核实闭环。</w:t>
              <w:br/>
              <w:t xml:space="preserve">2.安全点位报警要求3分钟内与企业反馈并按照标准流程核实闭环。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特殊作业监管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1.每月≥4次特殊作业线下布控或线上巡查。</w:t>
              <w:br/>
              <w:t xml:space="preserve">2.每月特殊作业线上监管发现的隐患问题闭环归档。</w:t>
              <w:br/>
              <w:t xml:space="preserve">3.每月出具1份特殊作业专项报告。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应急演练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每月开展1次平台桌面级应急事故演练，并出具演练记录资料。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工作记录台账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每日、每周、每月出具周期性报告。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企业值班点调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每周点调≥1家企业夜间值班人员值班值守情况。</w:t>
              <w:br/>
              <w:t xml:space="preserve">节假期期间每天点调≥1家企业夜间值班人员值班值守情况。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重大危险源企业抽查检查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每天抽查检查≥6家重大危险源企业数据报警、传感器在线情况。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环保服务</w:t>
              <w:b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报警闭环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1.环保报警信息研判准确率100%。</w:t>
              <w:br/>
              <w:t xml:space="preserve">2.环保报警信息闭环率100%。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线上诊断与数据分析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1.每月≥4家企业环保信息化诊断评价并出具诊断报告。</w:t>
              <w:br/>
              <w:t xml:space="preserve">2.每月出具1份环保数据分析报告。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工作记录台账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每日、每周、每月出具周期性报告。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VOCs监测预警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实时记录园区VOCs数据，数据异常及时反馈环保条线。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LDAR审核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每月完成至少12家企业LDAR上报数据与报告审核。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封闭服务</w:t>
              <w:b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危化品车辆监管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利用园区视频监控系统远程管控园区公共区域内危化品车辆违停行为，并联动保安片区巡检员驱离管控。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车辆入园自动抬杆率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除应急、特种、保障车外，园区卡口依托车牌自动识别、白名单比对、预约审批结果等实现自动抬杆方行，自动抬杆率≥95%。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白名单及访客入园审批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每日审核白名单申请或访客预约（园区），确保审核数据准确无误，60分钟内完成审核。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工作记录台账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每日、每周、每月出具周期性报告。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团队管理服务</w:t>
              <w:b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值班值守服务</w:t>
              <w:b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平台运营人员按照值班值守要求开展7*24小时坐席值守工作。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平台运营人员发现应急时间第一时间汇报园区领导及值班人员。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人员管理服务</w:t>
              <w:b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每月平台开展1次针对与园区业务管理相关知识课件培训，并出具培训记录相关资料。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驻场人员数量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提供满足合同要求驻场9人，常白岗5人、倒班岗4人。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参观接待服务</w:t>
              <w:b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讲解接待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提供符合园区智慧监管平台业务功能专业讲解服务。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本项目投标报价为</w:t>
      </w:r>
      <w:r>
        <w:rPr>
          <w:rFonts w:ascii="SimSun" w:hAnsi="SimSun" w:eastAsia="SimSun" w:cs="SimSun"/>
          <w:b/>
          <w:color w:val="000000"/>
          <w:sz w:val="24"/>
        </w:rPr>
        <w:t xml:space="preserve">固定总价</w:t>
      </w:r>
      <w:r>
        <w:rPr>
          <w:rFonts w:ascii="SimSun" w:hAnsi="SimSun" w:eastAsia="SimSun" w:cs="SimSun"/>
          <w:color w:val="000000"/>
          <w:sz w:val="24"/>
        </w:rPr>
        <w:t xml:space="preserve">，投标报价应包括招标文件所确定的招标范围相应货物和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left="0" w:right="0" w:firstLine="48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报价货币为人民币，评标时以人民币为准。</w:t>
      </w:r>
      <w:r/>
    </w:p>
    <w:p>
      <w:pPr>
        <w:ind w:left="0" w:right="0" w:firstLine="48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中标供应商（以下称乙方）:                 </w:t>
      </w:r>
      <w:r>
        <w:rPr>
          <w:rFonts w:ascii="SimSun" w:hAnsi="SimSun" w:eastAsia="SimSun" w:cs="SimSun"/>
          <w:color w:val="000000"/>
          <w:sz w:val="24"/>
        </w:rPr>
        <w:t xml:space="preserve">签订地点：</w:t>
      </w:r>
      <w:r/>
    </w:p>
    <w:p>
      <w:pPr>
        <w:ind w:left="0" w:right="0" w:firstLine="50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乙方根据甲方需求提供下列服务：，系指根据合同规定乙方须承担与服务有关的所有辅助服务。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签约合同总价（人民币，下同）：</w:t>
      </w:r>
      <w:r>
        <w:rPr>
          <w:rFonts w:ascii="SimSun" w:hAnsi="SimSun" w:eastAsia="SimSun" w:cs="SimSun"/>
          <w:b/>
          <w:color w:val="000000"/>
          <w:sz w:val="24"/>
          <w:u w:val="single"/>
        </w:rPr>
        <w:t xml:space="preserve">             元</w:t>
      </w:r>
      <w:r>
        <w:rPr>
          <w:rFonts w:ascii="SimSun" w:hAnsi="SimSun" w:eastAsia="SimSun" w:cs="SimSun"/>
          <w:b/>
          <w:color w:val="000000"/>
          <w:sz w:val="24"/>
        </w:rPr>
        <w:t xml:space="preserve">（小写）。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（1）招标文件（编号：   ）              （2）乙方提供的投标文件；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                        （4）甲乙双方商定的其他文件等。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项目服务期限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合同款结算及支付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3.结算方式：固定总价。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运维期限内甲方按季度根据乙方运维服务质量考核情况付款，每季度支付金额为总合同额25%（乙方应在每季度服务后向甲方书面提出付款申请，甲方在收到乙方付款申请后14个工作日内根据上一季度考核情况向乙方付款，甲方付款前乙方应开具相应金额的发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1.如乙方不能按约定进行服务的，甲方有权解除合同，同时有权要求乙方按照合同总价5%的标准支付违约金，解除合同的通知自发出之日生效。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2.甲方未按合同规定的期限向乙方支付款项的，每逾期1天甲方向乙方偿付欠款总额的5‰滞纳金，但累计滞纳金总额不超过欠款总额的5%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3.乙方未按本合同的规定和“服务承诺”提供伴随服务的，甲方有权提前解除本合同，同时乙方应按合同总价款的5 %向甲方承担违约责任。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5.乙方投标属虚假承诺，或是由于乙方的过错造成合同无法继续履行的，应向甲方支付不少于合同总价30%的违约金，若该违约金不足以弥补甲方损失，则应当赔偿甲方所有损失。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6.其他未尽事宜，以《中华人民共和国民法典》等有关法律法规规定为准，无相关规定的，双方协商解决。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w:t>
      </w:r>
      <w:r>
        <w:rPr>
          <w:rFonts w:ascii="SimSun" w:hAnsi="SimSun" w:eastAsia="SimSun" w:cs="SimSun"/>
          <w:color w:val="000000"/>
          <w:sz w:val="24"/>
          <w:u w:val="single"/>
        </w:rPr>
        <w:t xml:space="preserve">   个</w:t>
      </w:r>
      <w:r>
        <w:rPr>
          <w:rFonts w:ascii="SimSun" w:hAnsi="SimSun" w:eastAsia="SimSun" w:cs="SimSun"/>
          <w:color w:val="000000"/>
          <w:sz w:val="24"/>
        </w:rPr>
        <w:t xml:space="preserve">工作日内提供相应证明。未履行完合同部分是否继续履行、如何履行等问题，可由双方初步协商，并向主管部门报告。确定为不可抗力原因造成的损失，免予承担责任。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2.在法院审理和仲裁期间，除有争议部分外，本合同其他部分应继续履行。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3.守约方于争议解决过程发生的费用（包括但不限于诉讼费、仲裁费、公证费、律师费、鉴定费、差旅费、保全费、担保费等），应由违约方承担。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诚实信用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2.本合同一式肆份，甲乙双方各执贰份。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单位名称（章）：单位名称（章）：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法定代表人：委托代理人：法定代表人：委托代理人：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电话：电话：传真：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传真：开户银行：账号：</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48"/>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）如本项目（包）不专门面向中小企业预留采购份额，资格证明文件部分无需提供《中小企业声明函》。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）供应商应规范填写《中小企业声明函》，详情请仔细阅读“常州市政府采购中心关于规范填写《中小企业声明函》的温馨提示”，网址：</w:t>
      </w:r>
      <w:r>
        <w:rPr>
          <w:rFonts w:ascii="Times New Roman" w:hAnsi="Times New Roman" w:eastAsia="Times New Roman" w:cs="Times New Roman"/>
          <w:color w:val="000000"/>
          <w:sz w:val="24"/>
        </w:rPr>
        <w:t xml:space="preserve">https://zfcg.changzhou.gov.cn/html/ns/tzgg/980332060316367.html</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中小微企业声明函（服务类项目）（采购包号：</w:t>
      </w:r>
      <w:r>
        <w:rPr>
          <w:rFonts w:ascii="Times New Roman" w:hAnsi="Times New Roman" w:eastAsia="Times New Roman" w:cs="Times New Roman"/>
          <w:b/>
          <w:color w:val="000000"/>
          <w:sz w:val="36"/>
        </w:rPr>
        <w:t xml:space="preserve">**</w:t>
      </w:r>
      <w:r>
        <w:rPr>
          <w:rFonts w:ascii="SimSun" w:hAnsi="SimSun" w:eastAsia="SimSun" w:cs="SimSun"/>
          <w:b/>
          <w:color w:val="000000"/>
          <w:sz w:val="36"/>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18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rPr>
          <w:rFonts w:ascii="Times New Roman" w:hAnsi="Times New Roman" w:eastAsia="Times New Roman" w:cs="Times New Roma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政府采购供应商信用承诺书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开标一览表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3709"/>
        <w:gridCol w:w="1989"/>
        <w:gridCol w:w="199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8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注：此表中的投标报价应和《投标分项报价表》中的总价相一致。</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投标分项报价表（非实质性格式）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年滨开区新材料产业园智慧监管平台保障服务 </w:t>
      </w:r>
      <w:r>
        <w:rPr>
          <w:rFonts w:ascii="Times New Roman" w:hAnsi="Times New Roman" w:eastAsia="Times New Roman" w:cs="Times New Roma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58"/>
        <w:gridCol w:w="2417"/>
        <w:gridCol w:w="994"/>
        <w:gridCol w:w="947"/>
        <w:gridCol w:w="877"/>
        <w:gridCol w:w="1243"/>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433"/>
        <w:gridCol w:w="1479"/>
        <w:gridCol w:w="1480"/>
        <w:gridCol w:w="1791"/>
        <w:gridCol w:w="24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69"/>
        <w:gridCol w:w="1993"/>
        <w:gridCol w:w="1782"/>
        <w:gridCol w:w="1577"/>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699"/>
        <w:gridCol w:w="699"/>
        <w:gridCol w:w="699"/>
        <w:gridCol w:w="742"/>
        <w:gridCol w:w="699"/>
        <w:gridCol w:w="699"/>
        <w:gridCol w:w="787"/>
        <w:gridCol w:w="761"/>
        <w:gridCol w:w="1150"/>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Microsoft YaHei">
    <w:panose1 w:val="020B0503020204020204"/>
  </w:font>
  <w:font w:name="Wingdings 2">
    <w:panose1 w:val="05020102010507070707"/>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7">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7"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4</cp:revision>
  <dcterms:created xsi:type="dcterms:W3CDTF">2026-06-22T02:24:59Z</dcterms:created>
  <dcterms:modified xsi:type="dcterms:W3CDTF">2026-06-23T01:25:28Z</dcterms:modified>
</cp:coreProperties>
</file>