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976"/>
        <w:ind w:left="1446"/>
        <w:rPr>
          <w:rFonts w:hint="eastAsia" w:hAnsi="宋体" w:cs="宋体"/>
        </w:rPr>
      </w:pPr>
      <w:r>
        <w:rPr>
          <w:rFonts w:hint="eastAsia" w:hAnsi="宋体" w:cs="宋体"/>
        </w:rPr>
      </w:r>
      <w:r/>
    </w:p>
    <w:p>
      <w:pPr>
        <w:pStyle w:val="976"/>
        <w:ind w:left="1446"/>
        <w:rPr>
          <w:rFonts w:hint="eastAsia" w:hAnsi="宋体" w:cs="宋体"/>
        </w:rPr>
      </w:pPr>
      <w:r>
        <w:rPr>
          <w:rFonts w:hint="eastAsia" w:hAnsi="宋体" w:cs="宋体"/>
        </w:rPr>
      </w:r>
      <w:r/>
    </w:p>
    <w:p>
      <w:pPr>
        <w:pStyle w:val="1114"/>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14"/>
        <w:ind w:firstLine="0"/>
        <w:jc w:val="center"/>
        <w:rPr>
          <w:rFonts w:hint="eastAsia" w:ascii="宋体" w:hAnsi="宋体" w:cs="宋体"/>
          <w:bCs/>
          <w:sz w:val="32"/>
        </w:rPr>
      </w:pPr>
      <w:r>
        <w:rPr>
          <w:rFonts w:hint="eastAsia" w:ascii="宋体" w:hAnsi="宋体" w:cs="宋体"/>
          <w:bCs/>
          <w:sz w:val="32"/>
        </w:rPr>
      </w:r>
      <w:r/>
    </w:p>
    <w:p>
      <w:pPr>
        <w:pStyle w:val="1114"/>
        <w:ind w:firstLine="0"/>
        <w:jc w:val="center"/>
        <w:rPr>
          <w:rFonts w:hint="eastAsia" w:ascii="宋体" w:hAnsi="宋体" w:cs="宋体"/>
          <w:bCs/>
          <w:sz w:val="32"/>
        </w:rPr>
      </w:pPr>
      <w:r>
        <w:rPr>
          <w:rFonts w:hint="eastAsia" w:ascii="宋体" w:hAnsi="宋体" w:cs="宋体"/>
          <w:bCs/>
          <w:sz w:val="32"/>
        </w:rPr>
      </w:r>
      <w:r/>
    </w:p>
    <w:p>
      <w:pPr>
        <w:pStyle w:val="1114"/>
        <w:ind w:firstLine="0"/>
        <w:jc w:val="center"/>
        <w:rPr>
          <w:rFonts w:hint="eastAsia" w:ascii="宋体" w:hAnsi="宋体" w:cs="宋体"/>
          <w:bCs/>
          <w:sz w:val="28"/>
        </w:rPr>
      </w:pPr>
      <w:r>
        <w:rPr>
          <w:rFonts w:hint="eastAsia" w:ascii="宋体" w:hAnsi="宋体" w:cs="宋体"/>
          <w:bCs/>
          <w:sz w:val="32"/>
        </w:rPr>
        <w:t xml:space="preserve">项目名称：网络及信息安全设备</w:t>
      </w:r>
      <w:r/>
    </w:p>
    <w:p>
      <w:pPr>
        <w:pStyle w:val="1114"/>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JSZC-320623-HWZX-G2026-0337</w:t>
      </w:r>
      <w:r/>
    </w:p>
    <w:p>
      <w:pPr>
        <w:pStyle w:val="1114"/>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0675-266JOC003559</w:t>
      </w:r>
      <w:r/>
    </w:p>
    <w:p>
      <w:pPr>
        <w:pStyle w:val="1114"/>
        <w:ind w:firstLine="0"/>
        <w:spacing w:before="0" w:after="0"/>
        <w:rPr>
          <w:rFonts w:hint="eastAsia" w:ascii="宋体" w:hAnsi="宋体" w:cs="宋体"/>
          <w:bCs/>
        </w:rPr>
      </w:pPr>
      <w:r>
        <w:rPr>
          <w:rFonts w:hint="eastAsia" w:ascii="宋体" w:hAnsi="宋体" w:cs="宋体"/>
          <w:bCs/>
        </w:rPr>
      </w:r>
      <w:r/>
    </w:p>
    <w:p>
      <w:pPr>
        <w:pStyle w:val="1114"/>
        <w:ind w:firstLine="0"/>
        <w:spacing w:before="0" w:after="0"/>
        <w:rPr>
          <w:rFonts w:hint="eastAsia" w:ascii="宋体" w:hAnsi="宋体" w:cs="宋体"/>
          <w:bCs/>
        </w:rPr>
      </w:pPr>
      <w:r>
        <w:rPr>
          <w:rFonts w:hint="eastAsia" w:ascii="宋体" w:hAnsi="宋体" w:cs="宋体"/>
          <w:bCs/>
        </w:rPr>
      </w:r>
      <w:r/>
    </w:p>
    <w:p>
      <w:pPr>
        <w:pStyle w:val="1114"/>
        <w:ind w:firstLine="0"/>
        <w:spacing w:before="0" w:after="0"/>
        <w:rPr>
          <w:rFonts w:hint="eastAsia" w:ascii="宋体" w:hAnsi="宋体" w:cs="宋体"/>
          <w:bCs/>
        </w:rPr>
      </w:pPr>
      <w:r>
        <w:rPr>
          <w:rFonts w:hint="eastAsia" w:ascii="宋体" w:hAnsi="宋体" w:cs="宋体"/>
          <w:bCs/>
        </w:rPr>
      </w:r>
      <w:r/>
    </w:p>
    <w:p>
      <w:pPr>
        <w:pStyle w:val="1114"/>
        <w:ind w:firstLine="0"/>
        <w:spacing w:before="0" w:after="0"/>
        <w:rPr>
          <w:rFonts w:hint="eastAsia" w:ascii="宋体" w:hAnsi="宋体" w:cs="宋体"/>
          <w:bCs/>
        </w:rPr>
      </w:pPr>
      <w:r>
        <w:rPr>
          <w:rFonts w:hint="eastAsia" w:ascii="宋体" w:hAnsi="宋体" w:cs="宋体"/>
          <w:bCs/>
        </w:rPr>
      </w:r>
      <w:r/>
    </w:p>
    <w:p>
      <w:pPr>
        <w:pStyle w:val="1114"/>
        <w:ind w:firstLine="0"/>
        <w:spacing w:before="0" w:after="0"/>
        <w:rPr>
          <w:rFonts w:hint="eastAsia" w:ascii="宋体" w:hAnsi="宋体" w:cs="宋体"/>
          <w:bCs/>
        </w:rPr>
      </w:pPr>
      <w:r>
        <w:rPr>
          <w:rFonts w:hint="eastAsia" w:ascii="宋体" w:hAnsi="宋体" w:cs="宋体"/>
          <w:bCs/>
        </w:rPr>
      </w:r>
      <w:r/>
    </w:p>
    <w:p>
      <w:pPr>
        <w:pStyle w:val="1114"/>
        <w:ind w:firstLine="0"/>
        <w:spacing w:before="0" w:after="0"/>
        <w:rPr>
          <w:rFonts w:hint="eastAsia" w:ascii="宋体" w:hAnsi="宋体" w:cs="宋体"/>
          <w:bCs/>
        </w:rPr>
      </w:pPr>
      <w:r>
        <w:rPr>
          <w:rFonts w:hint="eastAsia" w:ascii="宋体" w:hAnsi="宋体" w:cs="宋体"/>
          <w:bCs/>
        </w:rPr>
      </w:r>
      <w:r/>
    </w:p>
    <w:p>
      <w:pPr>
        <w:pStyle w:val="1114"/>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如东县人民医院</w:t>
      </w:r>
      <w:r/>
    </w:p>
    <w:p>
      <w:pPr>
        <w:pStyle w:val="1114"/>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14"/>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7月</w:t>
      </w:r>
      <w:r/>
    </w:p>
    <w:p>
      <w:pPr>
        <w:pStyle w:val="1211"/>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523127445"/>
      <w:r/>
      <w:bookmarkStart w:id="5" w:name="_Toc513029200"/>
      <w:r/>
      <w:bookmarkStart w:id="6" w:name="_Toc20823272"/>
      <w:r/>
      <w:bookmarkStart w:id="7" w:name="_Toc16938516"/>
      <w:r/>
      <w:bookmarkStart w:id="8" w:name="_Toc479757206"/>
      <w:r/>
      <w:r/>
    </w:p>
    <w:p>
      <w:pPr>
        <w:pStyle w:val="1211"/>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989"/>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1018"/>
            <w:rFonts w:ascii="宋体" w:hAnsi="宋体" w:cs="宋体"/>
            <w:b w:val="0"/>
            <w:bCs/>
            <w:color w:val="auto"/>
          </w:rPr>
          <w:t xml:space="preserve">第一章</w:t>
        </w:r>
        <w:r>
          <w:rPr>
            <w:rStyle w:val="1018"/>
            <w:rFonts w:hint="eastAsia" w:ascii="宋体" w:hAnsi="宋体" w:cs="宋体"/>
            <w:b w:val="0"/>
            <w:bCs/>
            <w:color w:val="auto"/>
          </w:rPr>
          <w:t xml:space="preserve">  </w:t>
        </w:r>
        <w:r>
          <w:rPr>
            <w:rStyle w:val="1018"/>
            <w:rFonts w:ascii="宋体" w:hAnsi="宋体" w:cs="宋体"/>
            <w:b w:val="0"/>
            <w:bCs/>
            <w:color w:val="auto"/>
          </w:rPr>
          <w:t xml:space="preserve">招标公告</w:t>
        </w:r>
      </w:hyperlink>
      <w:r/>
      <w:r/>
    </w:p>
    <w:p>
      <w:pPr>
        <w:pStyle w:val="98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1018"/>
            <w:rFonts w:ascii="宋体" w:hAnsi="宋体" w:cs="宋体"/>
            <w:b w:val="0"/>
            <w:bCs/>
            <w:color w:val="auto"/>
          </w:rPr>
          <w:t xml:space="preserve">第二章</w:t>
        </w:r>
        <w:r>
          <w:rPr>
            <w:rStyle w:val="1018"/>
            <w:rFonts w:hint="eastAsia" w:ascii="宋体" w:hAnsi="宋体" w:cs="宋体"/>
            <w:b w:val="0"/>
            <w:bCs/>
            <w:color w:val="auto"/>
          </w:rPr>
          <w:t xml:space="preserve">  </w:t>
        </w:r>
        <w:r>
          <w:rPr>
            <w:rStyle w:val="1018"/>
            <w:rFonts w:ascii="宋体" w:hAnsi="宋体" w:cs="宋体"/>
            <w:b w:val="0"/>
            <w:bCs/>
            <w:color w:val="auto"/>
          </w:rPr>
          <w:t xml:space="preserve">投标人须知</w:t>
        </w:r>
      </w:hyperlink>
      <w:r/>
      <w:r/>
    </w:p>
    <w:p>
      <w:pPr>
        <w:pStyle w:val="98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1018"/>
            <w:rFonts w:ascii="宋体" w:hAnsi="宋体" w:cs="宋体"/>
            <w:b w:val="0"/>
            <w:bCs/>
            <w:color w:val="auto"/>
          </w:rPr>
          <w:t xml:space="preserve">第三章</w:t>
        </w:r>
        <w:r>
          <w:rPr>
            <w:rStyle w:val="1018"/>
            <w:rFonts w:hint="eastAsia" w:ascii="宋体" w:hAnsi="宋体" w:cs="宋体"/>
            <w:b w:val="0"/>
            <w:bCs/>
            <w:color w:val="auto"/>
          </w:rPr>
          <w:t xml:space="preserve">  </w:t>
        </w:r>
        <w:r>
          <w:rPr>
            <w:rStyle w:val="1018"/>
            <w:rFonts w:ascii="宋体" w:hAnsi="宋体" w:cs="宋体"/>
            <w:b w:val="0"/>
            <w:bCs/>
            <w:color w:val="auto"/>
          </w:rPr>
          <w:t xml:space="preserve">合同文本</w:t>
        </w:r>
      </w:hyperlink>
      <w:r/>
      <w:r/>
    </w:p>
    <w:p>
      <w:pPr>
        <w:pStyle w:val="98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1018"/>
            <w:rFonts w:ascii="宋体" w:hAnsi="宋体" w:cs="宋体"/>
            <w:b w:val="0"/>
            <w:bCs/>
            <w:color w:val="auto"/>
          </w:rPr>
          <w:t xml:space="preserve">第四章</w:t>
        </w:r>
        <w:r>
          <w:rPr>
            <w:rStyle w:val="1018"/>
            <w:rFonts w:hint="eastAsia" w:ascii="宋体" w:hAnsi="宋体" w:cs="宋体"/>
            <w:b w:val="0"/>
            <w:bCs/>
            <w:color w:val="auto"/>
          </w:rPr>
          <w:t xml:space="preserve">  </w:t>
        </w:r>
        <w:r>
          <w:rPr>
            <w:rStyle w:val="1018"/>
            <w:rFonts w:ascii="宋体" w:hAnsi="宋体" w:cs="宋体"/>
            <w:b w:val="0"/>
            <w:bCs/>
            <w:color w:val="auto"/>
          </w:rPr>
          <w:t xml:space="preserve">项目需求</w:t>
        </w:r>
      </w:hyperlink>
      <w:r/>
      <w:r/>
    </w:p>
    <w:p>
      <w:pPr>
        <w:pStyle w:val="98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1018"/>
            <w:rFonts w:ascii="宋体" w:hAnsi="宋体" w:cs="宋体"/>
            <w:b w:val="0"/>
            <w:bCs/>
            <w:color w:val="auto"/>
          </w:rPr>
          <w:t xml:space="preserve">第五章</w:t>
        </w:r>
        <w:r>
          <w:rPr>
            <w:rStyle w:val="1018"/>
            <w:rFonts w:hint="eastAsia" w:ascii="宋体" w:hAnsi="宋体" w:cs="宋体"/>
            <w:b w:val="0"/>
            <w:bCs/>
            <w:color w:val="auto"/>
          </w:rPr>
          <w:t xml:space="preserve">  </w:t>
        </w:r>
        <w:r>
          <w:rPr>
            <w:rStyle w:val="1018"/>
            <w:rFonts w:ascii="宋体" w:hAnsi="宋体" w:cs="宋体"/>
            <w:b w:val="0"/>
            <w:bCs/>
            <w:color w:val="auto"/>
          </w:rPr>
          <w:t xml:space="preserve">评标方法与评标标准</w:t>
        </w:r>
      </w:hyperlink>
      <w:r/>
      <w:r/>
    </w:p>
    <w:p>
      <w:pPr>
        <w:pStyle w:val="98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1018"/>
            <w:rFonts w:ascii="宋体" w:hAnsi="宋体" w:cs="宋体"/>
            <w:b w:val="0"/>
            <w:bCs/>
            <w:color w:val="auto"/>
          </w:rPr>
          <w:t xml:space="preserve">第六章</w:t>
        </w:r>
        <w:r>
          <w:rPr>
            <w:rStyle w:val="1018"/>
            <w:rFonts w:hint="eastAsia" w:ascii="宋体" w:hAnsi="宋体" w:cs="宋体"/>
            <w:b w:val="0"/>
            <w:bCs/>
            <w:color w:val="auto"/>
          </w:rPr>
          <w:t xml:space="preserve">  </w:t>
        </w:r>
        <w:r>
          <w:rPr>
            <w:rStyle w:val="1018"/>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946"/>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如东县人民医院</w:t>
      </w:r>
      <w:r>
        <w:rPr>
          <w:rFonts w:hint="eastAsia" w:hAnsi="宋体" w:cs="宋体"/>
          <w:bCs/>
          <w:position w:val="0"/>
          <w:szCs w:val="24"/>
        </w:rPr>
        <w:t xml:space="preserve">网络及信息安全</w:t>
      </w:r>
      <w:r>
        <w:rPr>
          <w:rFonts w:hint="eastAsia" w:hAnsi="宋体" w:cs="宋体"/>
          <w:bCs/>
          <w:position w:val="0"/>
          <w:szCs w:val="24"/>
        </w:rPr>
        <w:t xml:space="preserve">设备</w:t>
      </w:r>
      <w:r>
        <w:rPr>
          <w:rFonts w:hint="eastAsia" w:hAnsi="宋体" w:cs="宋体"/>
          <w:b w:val="0"/>
          <w:position w:val="0"/>
          <w:szCs w:val="24"/>
        </w:rPr>
        <w:t xml:space="preserve">项目</w:t>
      </w:r>
      <w:r>
        <w:rPr>
          <w:rFonts w:hint="eastAsia" w:hAnsi="宋体" w:cs="宋体"/>
          <w:b w:val="0"/>
          <w:position w:val="0"/>
          <w:szCs w:val="24"/>
        </w:rPr>
        <w:t xml:space="preserve">JSZC-320623-HWZX-G2026-0337</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年7月24日14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1329"/>
      <w:r/>
      <w:bookmarkStart w:id="12" w:name="_Toc28359002"/>
      <w:r/>
      <w:bookmarkStart w:id="13" w:name="_Toc35393790"/>
      <w:r/>
      <w:bookmarkStart w:id="14" w:name="_Toc174468320"/>
      <w:r/>
      <w:bookmarkStart w:id="15" w:name="_Toc35393621"/>
      <w:r/>
      <w:bookmarkStart w:id="16" w:name="_Toc174468363"/>
      <w:r/>
      <w:bookmarkStart w:id="17" w:name="_Toc2835907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JSZC-320623-HWZX-G2026-0337</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网络及信息安全设备</w:t>
      </w:r>
      <w:bookmarkEnd w:id="18"/>
      <w:r/>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人民币135.00万元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同预算金额（投标人的投标报价不得超过最高限价金额，否则将作无效投标处理）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具体详见招标文件第四章 项目需求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3401"/>
        <w:gridCol w:w="2411"/>
        <w:gridCol w:w="1638"/>
      </w:tblGrid>
      <w:tr>
        <w:trPr>
          <w:trHeight w:val="90"/>
        </w:trPr>
        <w:tc>
          <w:tcPr>
            <w:tcW w:w="51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W w:w="205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W w:w="145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W w:w="987"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W w:w="510"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W w:w="2050" w:type="pct"/>
            <w:vAlign w:val="center"/>
            <w:textDirection w:val="lrTb"/>
            <w:noWrap w:val="false"/>
          </w:tcPr>
          <w:p>
            <w:pPr>
              <w:jc w:val="center"/>
              <w:rPr>
                <w:rFonts w:hint="eastAsia" w:hAnsi="宋体" w:cs="宋体"/>
                <w:b w:val="0"/>
                <w:position w:val="0"/>
                <w:szCs w:val="24"/>
              </w:rPr>
            </w:pPr>
            <w:r>
              <w:rPr>
                <w:rFonts w:hAnsi="宋体" w:cs="宋体"/>
                <w:b w:val="0"/>
                <w:position w:val="0"/>
                <w:szCs w:val="24"/>
              </w:rPr>
              <w:t xml:space="preserve">网络及信息安全设备</w:t>
            </w:r>
            <w:r/>
          </w:p>
        </w:tc>
        <w:tc>
          <w:tcPr>
            <w:tcW w:w="1453"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1批（具体设备清单详见项目需求）</w:t>
            </w:r>
            <w:r/>
          </w:p>
        </w:tc>
        <w:tc>
          <w:tcPr>
            <w:tcW w:w="987"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不接受</w:t>
            </w:r>
            <w:r/>
          </w:p>
        </w:tc>
      </w:tr>
    </w:tbl>
    <w:p>
      <w:pPr>
        <w:ind w:firstLine="480"/>
        <w:spacing w:before="156"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（2025年度）</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6</w:t>
      </w:r>
      <w:r>
        <w:rPr>
          <w:rFonts w:hAnsi="宋体" w:cs="宋体"/>
          <w:position w:val="0"/>
          <w:szCs w:val="24"/>
        </w:rPr>
        <w:t xml:space="preserve">年</w:t>
      </w:r>
      <w:r>
        <w:rPr>
          <w:rFonts w:hint="eastAsia" w:hAnsi="宋体" w:cs="宋体"/>
          <w:position w:val="0"/>
          <w:szCs w:val="24"/>
        </w:rPr>
        <w:t xml:space="preserve">1月</w:t>
      </w:r>
      <w:r>
        <w:rPr>
          <w:rFonts w:hAnsi="宋体" w:cs="宋体"/>
          <w:position w:val="0"/>
          <w:szCs w:val="24"/>
        </w:rPr>
        <w:t xml:space="preserve">-202</w:t>
      </w:r>
      <w:r>
        <w:rPr>
          <w:rFonts w:hint="eastAsia" w:hAnsi="宋体" w:cs="宋体"/>
          <w:position w:val="0"/>
          <w:szCs w:val="24"/>
        </w:rPr>
        <w:t xml:space="preserve">6年6月期间）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hAnsi="宋体"/>
          <w:b w:val="0"/>
          <w:position w:val="0"/>
          <w:szCs w:val="24"/>
        </w:rPr>
        <w:t xml:space="preserve">；</w:t>
      </w:r>
      <w:r>
        <w:rPr>
          <w:rFonts w:hAnsi="宋体"/>
          <w:b w:val="0"/>
          <w:position w:val="0"/>
          <w:szCs w:val="24"/>
        </w:rPr>
        <w:t xml:space="preserve">（投标文件中无需提供证明材料）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w:t>
      </w:r>
      <w:r>
        <w:rPr>
          <w:rFonts w:hint="eastAsia" w:hAnsi="宋体"/>
          <w:bCs/>
          <w:position w:val="0"/>
          <w:szCs w:val="24"/>
        </w:rPr>
        <w:t xml:space="preserve">本项目为非专门面向中小微企业项目</w:t>
      </w:r>
      <w:r>
        <w:rPr>
          <w:rFonts w:hint="eastAsia" w:hAnsi="宋体"/>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w:t>
      </w:r>
      <w:r>
        <w:rPr>
          <w:rFonts w:hint="eastAsia" w:hAnsi="宋体"/>
          <w:b w:val="0"/>
          <w:bCs/>
          <w:position w:val="0"/>
          <w:szCs w:val="24"/>
        </w:rPr>
        <w:t xml:space="preserve">项目</w:t>
      </w:r>
      <w:r>
        <w:rPr>
          <w:rFonts w:hAnsi="宋体"/>
          <w:b w:val="0"/>
          <w:bCs/>
          <w:position w:val="0"/>
          <w:szCs w:val="24"/>
        </w:rPr>
        <w:t xml:space="preserve">属于</w:t>
      </w:r>
      <w:r>
        <w:rPr>
          <w:rFonts w:hint="eastAsia" w:hAnsi="宋体"/>
          <w:b w:val="0"/>
          <w:bCs/>
          <w:position w:val="0"/>
          <w:szCs w:val="24"/>
          <w:u w:val="single"/>
        </w:rPr>
        <w:t xml:space="preserve"> </w:t>
      </w:r>
      <w:r>
        <w:rPr>
          <w:rFonts w:hAnsi="宋体"/>
          <w:position w:val="0"/>
          <w:szCs w:val="24"/>
          <w:u w:val="single"/>
        </w:rPr>
        <w:t xml:space="preserve">货物类</w:t>
      </w:r>
      <w:r>
        <w:rPr>
          <w:rFonts w:hint="eastAsia" w:hAnsi="宋体"/>
          <w:b w:val="0"/>
          <w:bCs/>
          <w:position w:val="0"/>
          <w:szCs w:val="24"/>
          <w:u w:val="single"/>
        </w:rPr>
        <w:t xml:space="preserve"> </w:t>
      </w:r>
      <w:r>
        <w:rPr>
          <w:rFonts w:hAnsi="宋体"/>
          <w:b w:val="0"/>
          <w:bCs/>
          <w:position w:val="0"/>
          <w:szCs w:val="24"/>
        </w:rPr>
        <w:t xml:space="preserve">采购。根据《政府采购促进中小企业发展管理办法》（财库〔2020〕46号）、《关于做好政府采购支持企业发展有关事项的通知》(苏财购(2020)52号)的要求，</w:t>
      </w:r>
      <w:r>
        <w:rPr>
          <w:rFonts w:hint="eastAsia" w:hAnsi="宋体"/>
          <w:position w:val="0"/>
          <w:szCs w:val="24"/>
        </w:rPr>
        <w:t xml:space="preserve">本项目的小型、微型企业享受扶持政策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w:t>
      </w:r>
      <w:r>
        <w:rPr>
          <w:rFonts w:hint="eastAsia" w:hAnsi="宋体"/>
          <w:b w:val="0"/>
          <w:bCs/>
          <w:position w:val="0"/>
          <w:szCs w:val="24"/>
        </w:rPr>
        <w:t xml:space="preserve">采购包</w:t>
      </w:r>
      <w:r>
        <w:rPr>
          <w:rFonts w:hAnsi="宋体"/>
          <w:b w:val="0"/>
          <w:bCs/>
          <w:position w:val="0"/>
          <w:szCs w:val="24"/>
        </w:rPr>
        <w:t xml:space="preserve">采购标的对应的行业主要为</w:t>
      </w:r>
      <w:r>
        <w:rPr>
          <w:rFonts w:hint="eastAsia" w:hAnsi="宋体"/>
          <w:b w:val="0"/>
          <w:bCs/>
          <w:position w:val="0"/>
          <w:szCs w:val="24"/>
          <w:u w:val="single"/>
        </w:rPr>
        <w:t xml:space="preserve"> </w:t>
      </w:r>
      <w:r>
        <w:rPr>
          <w:rFonts w:hint="eastAsia" w:hAnsi="宋体"/>
          <w:position w:val="0"/>
          <w:szCs w:val="24"/>
          <w:u w:val="single"/>
        </w:rPr>
        <w:t xml:space="preserve">工业</w:t>
      </w:r>
      <w:r>
        <w:rPr>
          <w:rFonts w:hint="eastAsia" w:hAnsi="宋体"/>
          <w:position w:val="0"/>
          <w:szCs w:val="24"/>
          <w:u w:val="single"/>
        </w:rPr>
        <w:t xml:space="preserve"> </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 w:val="0"/>
          <w:position w:val="0"/>
          <w:szCs w:val="24"/>
        </w:rPr>
      </w:pPr>
      <w:r>
        <w:rPr>
          <w:rFonts w:hint="eastAsia" w:hAnsi="宋体"/>
          <w:b w:val="0"/>
          <w:bCs/>
          <w:position w:val="0"/>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hAnsi="宋体"/>
          <w:b w:val="0"/>
          <w:bCs/>
          <w:position w:val="0"/>
          <w:szCs w:val="24"/>
        </w:rPr>
        <w:t xml:space="preserve">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（三）本项目的特定资格要求：无。</w:t>
      </w:r>
      <w:r/>
    </w:p>
    <w:p>
      <w:pPr>
        <w:spacing w:line="360" w:lineRule="auto"/>
        <w:rPr>
          <w:rFonts w:hint="eastAsia" w:hAnsi="宋体" w:cs="宋体"/>
          <w:position w:val="0"/>
          <w:szCs w:val="24"/>
        </w:rPr>
        <w:outlineLvl w:val="1"/>
      </w:pPr>
      <w:r/>
      <w:bookmarkStart w:id="23" w:name="_Toc174468322"/>
      <w:r/>
      <w:bookmarkStart w:id="24" w:name="_Toc174468365"/>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05"/>
      <w:r/>
      <w:bookmarkStart w:id="26" w:name="_Toc28359082"/>
      <w:r/>
      <w:bookmarkStart w:id="27" w:name="_Toc174468366"/>
      <w:r/>
      <w:bookmarkStart w:id="28" w:name="_Toc35393793"/>
      <w:r/>
      <w:bookmarkStart w:id="29" w:name="_Toc35393624"/>
      <w:r/>
      <w:bookmarkStart w:id="30" w:name="_Toc17446832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年7月24日14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w:t>
      </w:r>
      <w:r>
        <w:rPr>
          <w:rFonts w:hint="eastAsia" w:hAnsi="宋体"/>
          <w:position w:val="0"/>
          <w:szCs w:val="21"/>
        </w:rPr>
        <w:t xml:space="preserve">sczt.cn/）“开标大厅”</w:t>
      </w:r>
      <w:r/>
    </w:p>
    <w:p>
      <w:pPr>
        <w:keepLines/>
        <w:keepNext/>
        <w:spacing w:line="360" w:lineRule="auto"/>
        <w:rPr>
          <w:rFonts w:hint="eastAsia" w:hAnsi="宋体" w:cs="宋体"/>
          <w:position w:val="0"/>
          <w:szCs w:val="24"/>
        </w:rPr>
        <w:outlineLvl w:val="1"/>
      </w:pPr>
      <w:r/>
      <w:bookmarkStart w:id="31" w:name="_Toc28359007"/>
      <w:r/>
      <w:bookmarkStart w:id="32" w:name="_Toc35393794"/>
      <w:r/>
      <w:bookmarkStart w:id="33" w:name="_Toc28359084"/>
      <w:r/>
      <w:bookmarkStart w:id="34" w:name="_Toc35393625"/>
      <w:r/>
      <w:bookmarkStart w:id="35" w:name="_Toc174468324"/>
      <w:r/>
      <w:bookmarkStart w:id="36" w:name="_Toc174468367"/>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68"/>
      <w:r/>
      <w:bookmarkStart w:id="38" w:name="_Toc35393795"/>
      <w:r/>
      <w:bookmarkStart w:id="39" w:name="_Toc35393626"/>
      <w:r/>
      <w:bookmarkStart w:id="40" w:name="_Toc17446832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w:t>
      </w:r>
      <w:r>
        <w:rPr>
          <w:rFonts w:hint="eastAsia" w:hAnsi="宋体" w:cs="宋体"/>
          <w:b w:val="0"/>
          <w:position w:val="0"/>
          <w:szCs w:val="24"/>
        </w:rPr>
        <w:t xml:space="preserve">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w:t>
      </w:r>
      <w:r>
        <w:rPr>
          <w:rFonts w:hint="eastAsia" w:hAnsi="宋体"/>
          <w:b w:val="0"/>
          <w:bCs/>
          <w:position w:val="0"/>
          <w:szCs w:val="24"/>
        </w:rPr>
        <w:t xml:space="preserve">本项目获取招标文件时间明确为：</w:t>
      </w:r>
      <w:r>
        <w:rPr>
          <w:rFonts w:hint="eastAsia" w:hAnsi="宋体"/>
          <w:b w:val="0"/>
          <w:bCs/>
          <w:position w:val="0"/>
          <w:szCs w:val="24"/>
        </w:rPr>
        <w:t xml:space="preserve">2026年7月</w:t>
      </w:r>
      <w:r>
        <w:rPr>
          <w:rFonts w:hint="eastAsia" w:hAnsi="宋体"/>
          <w:b w:val="0"/>
          <w:bCs/>
          <w:position w:val="0"/>
          <w:szCs w:val="24"/>
        </w:rPr>
        <w:t xml:space="preserve">3</w:t>
      </w:r>
      <w:r>
        <w:rPr>
          <w:rFonts w:hint="eastAsia" w:hAnsi="宋体"/>
          <w:b w:val="0"/>
          <w:bCs/>
          <w:position w:val="0"/>
          <w:szCs w:val="24"/>
        </w:rPr>
        <w:t xml:space="preserve">日9:00至2026年7月</w:t>
      </w:r>
      <w:r>
        <w:rPr>
          <w:rFonts w:hint="eastAsia" w:hAnsi="宋体"/>
          <w:b w:val="0"/>
          <w:bCs/>
          <w:position w:val="0"/>
          <w:szCs w:val="24"/>
        </w:rPr>
        <w:t xml:space="preserve">10</w:t>
      </w:r>
      <w:r>
        <w:rPr>
          <w:rFonts w:hint="eastAsia" w:hAnsi="宋体"/>
          <w:b w:val="0"/>
          <w:bCs/>
          <w:position w:val="0"/>
          <w:szCs w:val="24"/>
        </w:rPr>
        <w:t xml:space="preserve">日17:00</w:t>
      </w:r>
      <w:r>
        <w:rPr>
          <w:rFonts w:hint="eastAsia" w:hAnsi="宋体"/>
          <w:b w:val="0"/>
          <w:bCs/>
          <w:position w:val="0"/>
          <w:szCs w:val="24"/>
        </w:rPr>
        <w:t xml:space="preserve">（北京时间）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0675-266JOC003559</w:t>
      </w:r>
      <w:r/>
    </w:p>
    <w:p>
      <w:pPr>
        <w:keepLines/>
        <w:keepNext/>
        <w:spacing w:line="360" w:lineRule="auto"/>
        <w:rPr>
          <w:rFonts w:hint="eastAsia" w:hAnsi="宋体" w:cs="宋体"/>
          <w:position w:val="0"/>
          <w:szCs w:val="24"/>
        </w:rPr>
        <w:outlineLvl w:val="1"/>
      </w:pPr>
      <w:r/>
      <w:bookmarkStart w:id="43" w:name="_Toc174468369"/>
      <w:r/>
      <w:bookmarkStart w:id="44" w:name="_Toc28359008"/>
      <w:r/>
      <w:bookmarkStart w:id="45" w:name="_Toc35393627"/>
      <w:r/>
      <w:bookmarkStart w:id="46" w:name="_Toc174468326"/>
      <w:r/>
      <w:bookmarkStart w:id="47" w:name="_Toc35393796"/>
      <w:r/>
      <w:bookmarkStart w:id="48" w:name="_Toc28359085"/>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Ansi="宋体" w:cs="宋体"/>
          <w:b w:val="0"/>
          <w:position w:val="0"/>
          <w:szCs w:val="24"/>
          <w:u w:val="single"/>
        </w:rPr>
        <w:t xml:space="preserve">江苏省南通市如东县城中街道江海西路2号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w:t>
      </w:r>
      <w:r>
        <w:rPr>
          <w:rFonts w:hAnsi="宋体" w:cs="宋体"/>
          <w:b w:val="0"/>
          <w:position w:val="0"/>
          <w:szCs w:val="24"/>
          <w:u w:val="single"/>
        </w:rPr>
        <w:t xml:space="preserve">徐科</w:t>
      </w:r>
      <w:r>
        <w:rPr>
          <w:rFonts w:hint="eastAsia" w:hAnsi="宋体" w:cs="宋体"/>
          <w:b w:val="0"/>
          <w:position w:val="0"/>
          <w:szCs w:val="24"/>
          <w:u w:val="single"/>
        </w:rPr>
        <w:t xml:space="preserve"> </w:t>
      </w:r>
      <w:r>
        <w:rPr>
          <w:rFonts w:hAnsi="宋体" w:cs="宋体"/>
          <w:b w:val="0"/>
          <w:position w:val="0"/>
          <w:szCs w:val="24"/>
          <w:u w:val="single"/>
        </w:rPr>
        <w:t xml:space="preserve">0513-84118336</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int="eastAsia" w:hAnsi="宋体" w:cs="宋体"/>
          <w:b w:val="0"/>
          <w:position w:val="0"/>
          <w:szCs w:val="24"/>
          <w:u w:val="single"/>
        </w:rPr>
        <w:t xml:space="preserve">58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u w:val="single"/>
        </w:rPr>
      </w:r>
      <w:r/>
    </w:p>
    <w:p>
      <w:pPr>
        <w:ind w:firstLine="480"/>
        <w:jc w:val="right"/>
        <w:spacing w:line="360" w:lineRule="auto"/>
        <w:rPr>
          <w:rFonts w:hint="eastAsia" w:hAnsi="宋体" w:cs="宋体"/>
          <w:b w:val="0"/>
          <w:position w:val="0"/>
          <w:szCs w:val="24"/>
        </w:rPr>
      </w:pPr>
      <w:r>
        <w:rPr>
          <w:rFonts w:hint="eastAsia" w:hAnsi="宋体" w:cs="宋体"/>
          <w:b w:val="0"/>
          <w:position w:val="0"/>
          <w:szCs w:val="24"/>
        </w:rPr>
        <w:t xml:space="preserve">江苏海外集团国际工程咨询有限公司</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946"/>
        <w:spacing w:line="360" w:lineRule="auto"/>
        <w:rPr>
          <w:rFonts w:hint="eastAsia" w:ascii="宋体" w:hAnsi="宋体" w:eastAsia="宋体" w:cs="宋体"/>
          <w:b/>
          <w:bCs/>
          <w:sz w:val="44"/>
        </w:rPr>
      </w:pPr>
      <w:r/>
      <w:bookmarkStart w:id="53" w:name="_Toc174468370"/>
      <w:r/>
      <w:bookmarkStart w:id="54" w:name="_Toc20823314"/>
      <w:r/>
      <w:bookmarkStart w:id="55" w:name="_Toc16938558"/>
      <w:r/>
      <w:bookmarkStart w:id="56" w:name="_Toc513029242"/>
      <w:r/>
      <w:bookmarkStart w:id="57" w:name="_Toc120614221"/>
      <w:r/>
      <w:bookmarkStart w:id="58" w:name="_Toc479757207"/>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6938518"/>
      <w:r/>
      <w:bookmarkStart w:id="60" w:name="_Toc20823274"/>
      <w:r/>
      <w:bookmarkStart w:id="61" w:name="_Toc120614213"/>
      <w:r/>
      <w:bookmarkStart w:id="62" w:name="_Toc513029202"/>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948"/>
        <w:ind w:firstLine="436"/>
        <w:spacing w:before="156" w:after="156" w:line="360" w:lineRule="auto"/>
        <w:rPr>
          <w:rStyle w:val="1052"/>
          <w:rFonts w:hint="eastAsia" w:ascii="宋体" w:hAnsi="宋体" w:cs="宋体"/>
        </w:rPr>
      </w:pPr>
      <w:r/>
      <w:bookmarkStart w:id="63" w:name="_Toc12175"/>
      <w:r/>
      <w:bookmarkStart w:id="64" w:name="_Toc174468328"/>
      <w:r/>
      <w:bookmarkStart w:id="65" w:name="_Toc174468371"/>
      <w:r/>
      <w:bookmarkStart w:id="66" w:name="_Toc16938519"/>
      <w:r/>
      <w:bookmarkStart w:id="67" w:name="_Toc120614214"/>
      <w:r/>
      <w:bookmarkStart w:id="68" w:name="_Toc20823275"/>
      <w:r/>
      <w:bookmarkStart w:id="69" w:name="_Toc513029203"/>
      <w:r>
        <w:rPr>
          <w:rStyle w:val="1052"/>
          <w:rFonts w:hint="eastAsia" w:ascii="宋体" w:hAnsi="宋体" w:cs="宋体"/>
        </w:rPr>
        <w:t xml:space="preserve">一、总则</w:t>
      </w:r>
      <w:bookmarkEnd w:id="63"/>
      <w:r/>
      <w:bookmarkEnd w:id="64"/>
      <w:r/>
      <w:bookmarkEnd w:id="65"/>
      <w:r/>
      <w:bookmarkEnd w:id="66"/>
      <w:r/>
      <w:bookmarkEnd w:id="67"/>
      <w:r/>
      <w:bookmarkEnd w:id="68"/>
      <w:r/>
      <w:bookmarkEnd w:id="69"/>
      <w:r/>
      <w:r/>
    </w:p>
    <w:p>
      <w:pPr>
        <w:pStyle w:val="949"/>
        <w:ind w:firstLine="479"/>
        <w:spacing w:before="0" w:after="0" w:line="360" w:lineRule="auto"/>
        <w:rPr>
          <w:rFonts w:hint="eastAsia" w:ascii="宋体" w:hAnsi="宋体" w:eastAsia="宋体" w:cs="宋体"/>
        </w:rPr>
      </w:pPr>
      <w:r/>
      <w:bookmarkStart w:id="70" w:name="_Hlt16619475"/>
      <w:r/>
      <w:bookmarkStart w:id="71" w:name="_Toc458694821"/>
      <w:r/>
      <w:bookmarkStart w:id="72" w:name="_Toc16938520"/>
      <w:r/>
      <w:bookmarkStart w:id="73" w:name="_Toc20823276"/>
      <w:r/>
      <w:bookmarkStart w:id="74" w:name="_Toc513029204"/>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49"/>
        <w:ind w:firstLine="479"/>
        <w:spacing w:before="0" w:after="0" w:line="360" w:lineRule="auto"/>
        <w:rPr>
          <w:rFonts w:hint="eastAsia" w:ascii="宋体" w:hAnsi="宋体" w:eastAsia="宋体" w:cs="宋体"/>
        </w:rPr>
      </w:pPr>
      <w:r/>
      <w:bookmarkStart w:id="75" w:name="_Toc20823277"/>
      <w:r/>
      <w:bookmarkStart w:id="76" w:name="_Toc16938521"/>
      <w:r/>
      <w:bookmarkStart w:id="77" w:name="_Toc513029205"/>
      <w:r/>
      <w:bookmarkStart w:id="78" w:name="_Toc20823279"/>
      <w:r/>
      <w:bookmarkStart w:id="79" w:name="_Toc462564067"/>
      <w:r/>
      <w:bookmarkStart w:id="80" w:name="_Toc16938523"/>
      <w:r/>
      <w:bookmarkStart w:id="81" w:name="_Toc513029207"/>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949"/>
        <w:ind w:firstLine="479"/>
        <w:spacing w:before="0" w:after="0" w:line="360" w:lineRule="auto"/>
        <w:rPr>
          <w:rFonts w:hint="eastAsia" w:ascii="宋体" w:hAnsi="宋体" w:eastAsia="宋体" w:cs="宋体"/>
        </w:rPr>
      </w:pPr>
      <w:r/>
      <w:bookmarkStart w:id="82" w:name="_Toc513029206"/>
      <w:r/>
      <w:bookmarkStart w:id="83" w:name="_Toc20823278"/>
      <w:r/>
      <w:bookmarkStart w:id="84" w:name="_Toc16938522"/>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949"/>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49"/>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48"/>
        <w:ind w:firstLine="436"/>
        <w:spacing w:before="156" w:after="156" w:line="360" w:lineRule="auto"/>
        <w:rPr>
          <w:rStyle w:val="1052"/>
          <w:rFonts w:hint="eastAsia" w:ascii="宋体" w:hAnsi="宋体" w:cs="宋体"/>
        </w:rPr>
      </w:pPr>
      <w:r/>
      <w:bookmarkStart w:id="85" w:name="_Toc27798"/>
      <w:r/>
      <w:bookmarkStart w:id="86" w:name="_Toc20823281"/>
      <w:r/>
      <w:bookmarkStart w:id="87" w:name="_Toc16938525"/>
      <w:r/>
      <w:bookmarkStart w:id="88" w:name="_Toc120614215"/>
      <w:r/>
      <w:bookmarkStart w:id="89" w:name="_Toc513029209"/>
      <w:r/>
      <w:bookmarkStart w:id="90" w:name="_Toc174468372"/>
      <w:r/>
      <w:bookmarkStart w:id="91" w:name="_Toc174468329"/>
      <w:r>
        <w:rPr>
          <w:rStyle w:val="1052"/>
          <w:rFonts w:hint="eastAsia" w:ascii="宋体" w:hAnsi="宋体" w:cs="宋体"/>
        </w:rPr>
        <w:t xml:space="preserve">二、</w:t>
      </w:r>
      <w:bookmarkEnd w:id="85"/>
      <w:r/>
      <w:bookmarkEnd w:id="86"/>
      <w:r/>
      <w:bookmarkEnd w:id="87"/>
      <w:r/>
      <w:bookmarkEnd w:id="88"/>
      <w:r/>
      <w:bookmarkEnd w:id="89"/>
      <w:r>
        <w:rPr>
          <w:rStyle w:val="1052"/>
          <w:rFonts w:hint="eastAsia" w:ascii="宋体" w:hAnsi="宋体" w:cs="宋体"/>
        </w:rPr>
        <w:t xml:space="preserve">招标文件</w:t>
      </w:r>
      <w:bookmarkEnd w:id="90"/>
      <w:r/>
      <w:bookmarkEnd w:id="91"/>
      <w:r/>
      <w:r/>
    </w:p>
    <w:p>
      <w:pPr>
        <w:pStyle w:val="949"/>
        <w:ind w:firstLine="479"/>
        <w:spacing w:before="0" w:after="0" w:line="360" w:lineRule="auto"/>
        <w:rPr>
          <w:rFonts w:hint="eastAsia" w:ascii="宋体" w:hAnsi="宋体" w:eastAsia="宋体" w:cs="宋体"/>
        </w:rPr>
      </w:pPr>
      <w:r/>
      <w:bookmarkStart w:id="92" w:name="_Toc513029210"/>
      <w:r/>
      <w:bookmarkStart w:id="93" w:name="_Toc20823282"/>
      <w:r/>
      <w:bookmarkStart w:id="94" w:name="_Toc16938526"/>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949"/>
        <w:ind w:firstLine="479"/>
        <w:spacing w:before="0" w:after="0" w:line="360" w:lineRule="auto"/>
        <w:rPr>
          <w:rFonts w:hint="eastAsia" w:ascii="宋体" w:hAnsi="宋体" w:eastAsia="宋体" w:cs="宋体"/>
        </w:rPr>
      </w:pPr>
      <w:r/>
      <w:bookmarkStart w:id="95" w:name="_Toc513029211"/>
      <w:r/>
      <w:bookmarkStart w:id="96" w:name="_Toc20823283"/>
      <w:r/>
      <w:bookmarkStart w:id="97" w:name="_Toc462564070"/>
      <w:r/>
      <w:bookmarkStart w:id="98" w:name="_Toc16938527"/>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49"/>
        <w:ind w:firstLine="479"/>
        <w:spacing w:before="0" w:after="0" w:line="360" w:lineRule="auto"/>
        <w:rPr>
          <w:rFonts w:hint="eastAsia" w:ascii="宋体" w:hAnsi="宋体" w:eastAsia="宋体" w:cs="宋体"/>
        </w:rPr>
      </w:pPr>
      <w:r/>
      <w:bookmarkStart w:id="99" w:name="_Toc513029212"/>
      <w:r/>
      <w:bookmarkStart w:id="100" w:name="_Toc20823284"/>
      <w:r/>
      <w:bookmarkStart w:id="101" w:name="_Toc462564071"/>
      <w:r/>
      <w:bookmarkStart w:id="102" w:name="_Toc16938528"/>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w:t>
      </w:r>
      <w:r>
        <w:rPr>
          <w:rFonts w:hint="eastAsia" w:hAnsi="宋体" w:cs="宋体"/>
          <w:b w:val="0"/>
          <w:bCs/>
          <w:szCs w:val="24"/>
        </w:rPr>
        <w:t xml:space="preserve">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48"/>
        <w:ind w:firstLine="481"/>
        <w:spacing w:before="156" w:after="156" w:line="360" w:lineRule="auto"/>
        <w:rPr>
          <w:rStyle w:val="1052"/>
          <w:rFonts w:hint="eastAsia" w:ascii="宋体" w:hAnsi="宋体" w:cs="宋体"/>
        </w:rPr>
      </w:pPr>
      <w:r/>
      <w:bookmarkStart w:id="103" w:name="_Toc20823285"/>
      <w:r/>
      <w:bookmarkStart w:id="104" w:name="_Toc174468373"/>
      <w:r/>
      <w:bookmarkStart w:id="105" w:name="_Toc120614216"/>
      <w:r/>
      <w:bookmarkStart w:id="106" w:name="_Toc174468330"/>
      <w:r/>
      <w:bookmarkStart w:id="107" w:name="_Toc462564072"/>
      <w:r/>
      <w:bookmarkStart w:id="108" w:name="_Toc513029213"/>
      <w:r/>
      <w:bookmarkStart w:id="109" w:name="_Toc22457"/>
      <w:r/>
      <w:bookmarkStart w:id="110" w:name="_Toc16938529"/>
      <w:r>
        <w:rPr>
          <w:rStyle w:val="1052"/>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949"/>
        <w:ind w:firstLine="479"/>
        <w:spacing w:before="0" w:after="0" w:line="360" w:lineRule="auto"/>
        <w:rPr>
          <w:rFonts w:hint="eastAsia" w:ascii="宋体" w:hAnsi="宋体" w:eastAsia="宋体" w:cs="宋体"/>
        </w:rPr>
      </w:pPr>
      <w:r/>
      <w:bookmarkStart w:id="111" w:name="_Toc462564073"/>
      <w:r/>
      <w:bookmarkStart w:id="112" w:name="_Toc20823286"/>
      <w:r/>
      <w:bookmarkStart w:id="113" w:name="_Toc16938530"/>
      <w:r/>
      <w:bookmarkStart w:id="114" w:name="_Toc513029214"/>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49"/>
        <w:ind w:firstLine="479"/>
        <w:spacing w:before="0" w:after="0" w:line="360" w:lineRule="auto"/>
        <w:rPr>
          <w:rFonts w:hint="eastAsia" w:ascii="宋体" w:hAnsi="宋体" w:eastAsia="宋体" w:cs="宋体"/>
        </w:rPr>
      </w:pPr>
      <w:r/>
      <w:bookmarkStart w:id="115" w:name="_Toc20823287"/>
      <w:r/>
      <w:bookmarkStart w:id="116" w:name="_Toc16938531"/>
      <w:r/>
      <w:bookmarkStart w:id="117" w:name="_Toc462564074"/>
      <w:r/>
      <w:bookmarkStart w:id="118" w:name="_Toc513029215"/>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949"/>
        <w:ind w:firstLine="479"/>
        <w:spacing w:before="0" w:after="0" w:line="360" w:lineRule="auto"/>
        <w:rPr>
          <w:rFonts w:hint="eastAsia" w:ascii="宋体" w:hAnsi="宋体" w:eastAsia="宋体" w:cs="宋体"/>
        </w:rPr>
      </w:pPr>
      <w:r/>
      <w:bookmarkStart w:id="119" w:name="_Hlt26954838"/>
      <w:r/>
      <w:bookmarkStart w:id="120" w:name="_Hlt26668975"/>
      <w:r/>
      <w:bookmarkStart w:id="121" w:name="_Hlt26670360"/>
      <w:r/>
      <w:bookmarkStart w:id="122" w:name="_Toc49090509"/>
      <w:r/>
      <w:bookmarkStart w:id="123" w:name="_Toc513029219"/>
      <w:r/>
      <w:bookmarkStart w:id="124" w:name="_Toc14577357"/>
      <w:r/>
      <w:bookmarkStart w:id="125" w:name="_Toc14577354"/>
      <w:r/>
      <w:bookmarkStart w:id="126" w:name="_Toc513029216"/>
      <w:r/>
      <w:bookmarkStart w:id="127" w:name="_Toc49090507"/>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49"/>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w:t>
      </w:r>
      <w:r>
        <w:rPr>
          <w:rFonts w:hint="eastAsia" w:hAnsi="宋体" w:cs="宋体"/>
          <w:b w:val="0"/>
          <w:szCs w:val="22"/>
        </w:rPr>
        <w:t xml:space="preserve">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846"/>
      <w:r/>
      <w:bookmarkStart w:id="134" w:name="_Hlt26670486"/>
      <w:r/>
      <w:bookmarkStart w:id="135" w:name="_Hlt26954848"/>
      <w:r/>
      <w:bookmarkStart w:id="136" w:name="_Hlt26954731"/>
      <w:r/>
      <w:bookmarkStart w:id="137" w:name="_Hlt26670482"/>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949"/>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949"/>
        <w:ind w:firstLine="479"/>
        <w:spacing w:before="0" w:after="0" w:line="360" w:lineRule="auto"/>
        <w:rPr>
          <w:rFonts w:hint="eastAsia" w:ascii="宋体" w:hAnsi="宋体" w:eastAsia="宋体" w:cs="宋体"/>
        </w:rPr>
      </w:pPr>
      <w:r/>
      <w:bookmarkStart w:id="138" w:name="_Toc14577359"/>
      <w:r/>
      <w:bookmarkStart w:id="139" w:name="_Toc49090510"/>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949"/>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850"/>
      <w:r/>
      <w:bookmarkStart w:id="142" w:name="_Hlt26954734"/>
      <w:r/>
      <w:bookmarkStart w:id="143" w:name="_Toc49090511"/>
      <w:r/>
      <w:bookmarkStart w:id="144" w:name="_Toc14577360"/>
      <w:r/>
      <w:bookmarkEnd w:id="140"/>
      <w:r/>
      <w:bookmarkEnd w:id="141"/>
      <w:r/>
      <w:bookmarkEnd w:id="142"/>
      <w:r>
        <w:rPr>
          <w:rFonts w:hint="eastAsia" w:hAnsi="宋体" w:cs="宋体"/>
          <w:b w:val="0"/>
          <w:bCs/>
        </w:rPr>
        <w:t xml:space="preserve">本项目无需递交投标保证金。</w:t>
      </w:r>
      <w:r/>
    </w:p>
    <w:p>
      <w:pPr>
        <w:pStyle w:val="949"/>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49"/>
        <w:ind w:firstLine="479"/>
        <w:spacing w:before="0" w:after="0" w:line="360" w:lineRule="auto"/>
        <w:rPr>
          <w:rFonts w:hint="eastAsia" w:ascii="宋体" w:hAnsi="宋体" w:eastAsia="宋体" w:cs="宋体"/>
        </w:rPr>
      </w:pPr>
      <w:r/>
      <w:bookmarkStart w:id="145" w:name="_Hlt26954852"/>
      <w:r/>
      <w:bookmarkStart w:id="146" w:name="_Hlt26954739"/>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948"/>
        <w:ind w:firstLine="436"/>
        <w:spacing w:before="156" w:after="156" w:line="360" w:lineRule="auto"/>
        <w:rPr>
          <w:rStyle w:val="1052"/>
          <w:rFonts w:hint="eastAsia" w:ascii="宋体" w:hAnsi="宋体" w:cs="宋体"/>
        </w:rPr>
      </w:pPr>
      <w:r/>
      <w:bookmarkStart w:id="149" w:name="_Toc20823296"/>
      <w:r/>
      <w:bookmarkStart w:id="150" w:name="_Toc174468331"/>
      <w:r/>
      <w:bookmarkStart w:id="151" w:name="_Toc16938540"/>
      <w:r/>
      <w:bookmarkStart w:id="152" w:name="_Toc513029224"/>
      <w:r/>
      <w:bookmarkStart w:id="153" w:name="_Toc174468374"/>
      <w:r/>
      <w:bookmarkStart w:id="154" w:name="_Toc120614217"/>
      <w:r/>
      <w:bookmarkStart w:id="155" w:name="_Toc22743"/>
      <w:r>
        <w:rPr>
          <w:rStyle w:val="1052"/>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949"/>
        <w:ind w:firstLine="479"/>
        <w:spacing w:before="0" w:after="0" w:line="360" w:lineRule="auto"/>
        <w:rPr>
          <w:rFonts w:hint="eastAsia" w:ascii="宋体" w:hAnsi="宋体" w:eastAsia="宋体" w:cs="宋体"/>
        </w:rPr>
      </w:pPr>
      <w:r/>
      <w:bookmarkStart w:id="156" w:name="_Toc20823298"/>
      <w:r/>
      <w:bookmarkStart w:id="157" w:name="_Toc513029226"/>
      <w:r/>
      <w:bookmarkStart w:id="158" w:name="_Toc16938542"/>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w:t>
      </w:r>
      <w:r>
        <w:rPr>
          <w:rFonts w:hint="eastAsia" w:hAnsi="宋体" w:cs="宋体"/>
          <w:b w:val="0"/>
          <w:bCs/>
        </w:rPr>
        <w:t xml:space="preserve">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949"/>
        <w:ind w:firstLine="479"/>
        <w:spacing w:before="0" w:after="0" w:line="360" w:lineRule="auto"/>
        <w:rPr>
          <w:rFonts w:hint="eastAsia" w:ascii="宋体" w:hAnsi="宋体" w:eastAsia="宋体" w:cs="宋体"/>
        </w:rPr>
      </w:pPr>
      <w:r/>
      <w:bookmarkStart w:id="162" w:name="_Toc513029228"/>
      <w:r/>
      <w:bookmarkStart w:id="163" w:name="_Toc16938544"/>
      <w:r/>
      <w:bookmarkStart w:id="164" w:name="_Toc20823300"/>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948"/>
        <w:ind w:firstLine="436"/>
        <w:spacing w:before="156" w:after="156" w:line="360" w:lineRule="auto"/>
        <w:rPr>
          <w:rStyle w:val="1052"/>
          <w:rFonts w:hint="eastAsia" w:ascii="宋体" w:hAnsi="宋体" w:cs="宋体"/>
        </w:rPr>
      </w:pPr>
      <w:r/>
      <w:bookmarkStart w:id="165" w:name="_Toc513029229"/>
      <w:r/>
      <w:bookmarkStart w:id="166" w:name="_Toc174468332"/>
      <w:r/>
      <w:bookmarkStart w:id="167" w:name="_Toc16938545"/>
      <w:r/>
      <w:bookmarkStart w:id="168" w:name="_Toc21082"/>
      <w:r/>
      <w:bookmarkStart w:id="169" w:name="_Toc174468375"/>
      <w:r/>
      <w:bookmarkStart w:id="170" w:name="_Toc120614218"/>
      <w:r/>
      <w:bookmarkStart w:id="171" w:name="_Toc20823301"/>
      <w:r>
        <w:rPr>
          <w:rStyle w:val="1052"/>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949"/>
        <w:ind w:firstLine="479"/>
        <w:spacing w:before="0" w:after="0" w:line="360" w:lineRule="auto"/>
        <w:rPr>
          <w:rFonts w:hint="eastAsia" w:ascii="宋体" w:hAnsi="宋体" w:eastAsia="宋体" w:cs="宋体"/>
        </w:rPr>
      </w:pPr>
      <w:r/>
      <w:bookmarkStart w:id="172" w:name="_Toc20823302"/>
      <w:r/>
      <w:bookmarkStart w:id="173" w:name="_Toc16938546"/>
      <w:r/>
      <w:bookmarkStart w:id="174" w:name="_Toc513029230"/>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513029231"/>
      <w:r/>
      <w:bookmarkStart w:id="176" w:name="_Toc16938547"/>
      <w:r/>
      <w:bookmarkStart w:id="177" w:name="_Toc20823303"/>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49"/>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949"/>
        <w:ind w:firstLine="479"/>
        <w:spacing w:before="0" w:after="0" w:line="360" w:lineRule="auto"/>
        <w:rPr>
          <w:rFonts w:hint="eastAsia" w:ascii="宋体" w:hAnsi="宋体" w:eastAsia="宋体" w:cs="宋体"/>
        </w:rPr>
      </w:pPr>
      <w:r/>
      <w:bookmarkStart w:id="178" w:name="_Toc16938548"/>
      <w:r/>
      <w:bookmarkStart w:id="179" w:name="_Toc20823304"/>
      <w:r/>
      <w:bookmarkStart w:id="180" w:name="_Toc513029232"/>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49"/>
        <w:ind w:firstLine="479"/>
        <w:spacing w:before="0" w:after="0" w:line="360" w:lineRule="auto"/>
        <w:rPr>
          <w:rFonts w:hint="eastAsia" w:ascii="宋体" w:hAnsi="宋体" w:eastAsia="宋体" w:cs="宋体"/>
        </w:rPr>
      </w:pPr>
      <w:r/>
      <w:bookmarkStart w:id="181" w:name="_Toc20823305"/>
      <w:r/>
      <w:bookmarkStart w:id="182" w:name="_Toc513029233"/>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int="eastAsia" w:hAnsi="宋体" w:cs="宋体"/>
          <w:b w:val="0"/>
          <w:bCs/>
        </w:rPr>
        <w:t xml:space="preserve">，</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7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w:t>
            </w:r>
            <w:r>
              <w:rPr>
                <w:rFonts w:hint="eastAsia" w:ascii="宋体" w:hAnsi="Times New Roman" w:eastAsia="宋体"/>
                <w:b w:val="0"/>
                <w:position w:val="0"/>
                <w:sz w:val="24"/>
                <w:szCs w:val="24"/>
              </w:rPr>
              <w:t xml:space="preserve">权人近三个月内</w:t>
            </w:r>
            <w:r>
              <w:rPr>
                <w:rFonts w:hint="eastAsia" w:ascii="宋体" w:hAnsi="Times New Roman" w:eastAsia="宋体"/>
                <w:bCs/>
                <w:position w:val="0"/>
                <w:sz w:val="24"/>
                <w:szCs w:val="24"/>
              </w:rPr>
              <w:t xml:space="preserve">（即2026年4月-2026年6月期间）</w:t>
            </w:r>
            <w:r>
              <w:rPr>
                <w:rFonts w:hint="eastAsia" w:ascii="宋体" w:hAnsi="Times New Roman" w:eastAsia="宋体"/>
                <w:b w:val="0"/>
                <w:position w:val="0"/>
                <w:sz w:val="24"/>
                <w:szCs w:val="24"/>
              </w:rPr>
              <w:t xml:space="preserve">任意</w:t>
            </w:r>
            <w:r>
              <w:rPr>
                <w:rFonts w:hint="eastAsia" w:ascii="宋体" w:hAnsi="Times New Roman" w:eastAsia="宋体"/>
                <w:b w:val="0"/>
                <w:position w:val="0"/>
                <w:sz w:val="24"/>
                <w:szCs w:val="24"/>
              </w:rPr>
              <w:t xml:space="preserve">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b w:val="0"/>
          <w:bCs/>
          <w:szCs w:val="24"/>
        </w:rPr>
        <w:t xml:space="preserve">。</w:t>
      </w:r>
      <w:r>
        <w:rPr>
          <w:rFonts w:hint="eastAsia" w:hAnsi="宋体" w:cs="宋体"/>
          <w:szCs w:val="24"/>
        </w:rPr>
        <w:t xml:space="preserve">（本项目核心产品为：</w:t>
      </w:r>
      <w:r>
        <w:rPr>
          <w:rFonts w:hint="eastAsia" w:hAnsi="宋体" w:cs="宋体"/>
          <w:szCs w:val="24"/>
        </w:rPr>
        <w:t xml:space="preserve">终端准入设备</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rPr>
          <w:rFonts w:hint="eastAsia" w:hAnsi="宋体" w:cs="宋体"/>
          <w:b w:val="0"/>
          <w:bCs/>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w:t>
      </w:r>
      <w:r>
        <w:rPr>
          <w:rFonts w:hint="eastAsia" w:hAnsi="宋体" w:cs="宋体"/>
          <w:b w:val="0"/>
          <w:bCs/>
          <w:szCs w:val="24"/>
        </w:rPr>
        <w:t xml:space="preserve">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（二）启动异常低价投标（响应）审查后，属于前述第1项至第4项情形的，评审委员会将要求相关供应商在评标现场合理的时间内（</w:t>
      </w:r>
      <w:r>
        <w:rPr>
          <w:rFonts w:hint="eastAsia" w:hAnsi="宋体" w:cs="宋体"/>
          <w:szCs w:val="24"/>
        </w:rPr>
        <w:t xml:space="preserve">自澄清发布后30分钟，投标人应关注苏采云系统，及时在规定时间内作出回复。回复超出时间视为未提供有效书面说明、证明材料</w:t>
      </w:r>
      <w:r>
        <w:rPr>
          <w:rFonts w:hint="eastAsia" w:hAnsi="宋体" w:cs="宋体"/>
          <w:b w:val="0"/>
          <w:bCs/>
          <w:szCs w:val="24"/>
        </w:rPr>
        <w:t xml:space="preserve">），在政府采购管理交易系统（苏采云）中提供项目</w:t>
      </w:r>
      <w:r>
        <w:rPr>
          <w:rFonts w:hint="eastAsia" w:hAnsi="宋体" w:cs="宋体"/>
          <w:b w:val="0"/>
          <w:bCs/>
          <w:szCs w:val="24"/>
        </w:rPr>
        <w:t xml:space="preserve">具体成本测算、项目相关货物、服务业绩案例等与报价合理性相关的书面说明及相关证明材料，对投标（响应</w:t>
      </w:r>
      <w:r>
        <w:rPr>
          <w:rFonts w:hint="eastAsia" w:hAnsi="宋体" w:cs="宋体"/>
          <w:b w:val="0"/>
          <w:bCs/>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949"/>
        <w:ind w:firstLine="481"/>
        <w:spacing w:before="0" w:after="0" w:line="360" w:lineRule="auto"/>
        <w:rPr>
          <w:rFonts w:hint="eastAsia" w:ascii="宋体" w:hAnsi="宋体" w:eastAsia="宋体" w:cs="宋体"/>
          <w:b/>
          <w:bCs w:val="0"/>
          <w:u w:val="single"/>
        </w:rPr>
      </w:pPr>
      <w:r/>
      <w:bookmarkStart w:id="184" w:name="_Toc20823306"/>
      <w:r/>
      <w:bookmarkStart w:id="185" w:name="_Toc16938550"/>
      <w:r/>
      <w:bookmarkStart w:id="186" w:name="_Toc513029234"/>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513029235"/>
      <w:r/>
      <w:bookmarkStart w:id="188" w:name="_Toc20823307"/>
      <w:r/>
      <w:bookmarkStart w:id="189" w:name="_Toc16938551"/>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w:t>
      </w:r>
      <w:r>
        <w:rPr>
          <w:rFonts w:hint="eastAsia" w:hAnsi="宋体" w:cs="宋体"/>
          <w:u w:val="single"/>
        </w:rPr>
        <w:t xml:space="preserve">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948"/>
        <w:ind w:firstLine="436"/>
        <w:spacing w:before="156" w:after="156" w:line="360" w:lineRule="auto"/>
        <w:rPr>
          <w:rStyle w:val="1052"/>
          <w:rFonts w:hint="eastAsia" w:ascii="宋体" w:hAnsi="宋体" w:cs="宋体"/>
          <w:b w:val="0"/>
          <w:bCs/>
        </w:rPr>
      </w:pPr>
      <w:r/>
      <w:bookmarkStart w:id="190" w:name="_Toc25066"/>
      <w:r/>
      <w:bookmarkStart w:id="191" w:name="_Toc174468333"/>
      <w:r/>
      <w:bookmarkStart w:id="192" w:name="_Toc120614219"/>
      <w:r/>
      <w:bookmarkStart w:id="193" w:name="_Toc174468376"/>
      <w:r>
        <w:rPr>
          <w:rStyle w:val="1052"/>
          <w:rFonts w:hint="eastAsia" w:ascii="宋体" w:hAnsi="宋体" w:cs="宋体"/>
        </w:rPr>
        <w:t xml:space="preserve">六、</w:t>
      </w:r>
      <w:bookmarkEnd w:id="187"/>
      <w:r/>
      <w:bookmarkEnd w:id="188"/>
      <w:r/>
      <w:bookmarkEnd w:id="189"/>
      <w:r>
        <w:rPr>
          <w:rStyle w:val="1052"/>
          <w:rFonts w:hint="eastAsia" w:ascii="宋体" w:hAnsi="宋体" w:cs="宋体"/>
        </w:rPr>
        <w:t xml:space="preserve">定标</w:t>
      </w:r>
      <w:bookmarkEnd w:id="190"/>
      <w:r/>
      <w:bookmarkEnd w:id="191"/>
      <w:r/>
      <w:bookmarkEnd w:id="192"/>
      <w:r/>
      <w:bookmarkEnd w:id="193"/>
      <w:r/>
      <w:r/>
    </w:p>
    <w:p>
      <w:pPr>
        <w:pStyle w:val="949"/>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w:t>
      </w:r>
      <w:r>
        <w:rPr>
          <w:rFonts w:hAnsi="宋体" w:cs="宋体"/>
          <w:b w:val="0"/>
          <w:bCs/>
          <w:szCs w:val="24"/>
          <w:u w:val="single"/>
        </w:rPr>
        <w:t xml:space="preserve">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48"/>
        <w:ind w:firstLine="481"/>
        <w:spacing w:before="156" w:after="156" w:line="348" w:lineRule="auto"/>
        <w:rPr>
          <w:rStyle w:val="1052"/>
          <w:rFonts w:hint="eastAsia" w:ascii="宋体" w:hAnsi="宋体" w:cs="宋体"/>
        </w:rPr>
      </w:pPr>
      <w:r/>
      <w:bookmarkStart w:id="198" w:name="_Toc9952"/>
      <w:r/>
      <w:bookmarkStart w:id="199" w:name="_Toc174468334"/>
      <w:r/>
      <w:bookmarkStart w:id="200" w:name="_Toc120614220"/>
      <w:r/>
      <w:bookmarkStart w:id="201" w:name="_Toc174468377"/>
      <w:r/>
      <w:bookmarkStart w:id="202" w:name="_Toc513029236"/>
      <w:r/>
      <w:bookmarkStart w:id="203" w:name="_Toc16938552"/>
      <w:r/>
      <w:bookmarkStart w:id="204" w:name="_Toc20823308"/>
      <w:r>
        <w:rPr>
          <w:rStyle w:val="1052"/>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16938553"/>
      <w:r/>
      <w:bookmarkStart w:id="207" w:name="_Toc20823309"/>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971"/>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，中标人按照江苏省招标投标协会（苏招协[2022]002）《江苏省招标代理服务收费的指导意见》</w:t>
      </w:r>
      <w:r>
        <w:rPr>
          <w:rFonts w:hint="eastAsia" w:ascii="宋体" w:hAnsi="宋体" w:eastAsia="宋体" w:cs="宋体"/>
          <w:b w:val="0"/>
          <w:bCs/>
          <w:sz w:val="24"/>
          <w:szCs w:val="24"/>
        </w:rPr>
        <w:t xml:space="preserve">货物</w:t>
      </w:r>
      <w:r>
        <w:rPr>
          <w:rFonts w:hint="eastAsia" w:ascii="宋体" w:hAnsi="宋体" w:eastAsia="宋体" w:cs="宋体"/>
          <w:b w:val="0"/>
          <w:bCs/>
          <w:sz w:val="24"/>
          <w:szCs w:val="24"/>
        </w:rPr>
        <w:t xml:space="preserve">收费指导价标准的65%，向采购代理机构一次性缴纳中标服务费，汇款时需备注本次项目编号。</w:t>
      </w:r>
      <w:r/>
    </w:p>
    <w:p>
      <w:pPr>
        <w:pStyle w:val="971"/>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971"/>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971"/>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971"/>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946"/>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513029243"/>
      <w:r/>
      <w:bookmarkStart w:id="211" w:name="_Toc16938559"/>
      <w:r/>
      <w:bookmarkStart w:id="212" w:name="_Toc20823315"/>
      <w:r/>
      <w:bookmarkStart w:id="213" w:name="_Hlt16619350"/>
      <w:r/>
      <w:bookmarkStart w:id="214" w:name="_Toc120614244"/>
      <w:r/>
      <w:bookmarkStart w:id="215" w:name="_Toc20823346"/>
      <w:r/>
      <w:bookmarkStart w:id="216" w:name="_Toc16938590"/>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pStyle w:val="972"/>
        <w:ind w:left="0" w:firstLine="480"/>
        <w:jc w:val="left"/>
        <w:spacing w:after="0" w:line="360" w:lineRule="auto"/>
        <w:rPr>
          <w:rFonts w:hint="eastAsia" w:ascii="宋体" w:hAnsi="宋体" w:cs="宋体"/>
          <w:b w:val="0"/>
          <w:bCs/>
          <w:color w:val="000000" w:themeColor="text1"/>
          <w:position w:val="0"/>
          <w:u w:val="single"/>
        </w:rPr>
      </w:pPr>
      <w:r>
        <w:rPr>
          <w:rFonts w:hint="eastAsia" w:ascii="宋体" w:hAnsi="宋体" w:cs="宋体"/>
          <w:b w:val="0"/>
          <w:bCs/>
          <w:color w:val="000000" w:themeColor="text1"/>
          <w:position w:val="0"/>
        </w:rPr>
        <w:t xml:space="preserve">甲方（全称）：</w:t>
      </w:r>
      <w:r>
        <w:rPr>
          <w:rFonts w:hint="eastAsia" w:ascii="宋体" w:hAnsi="宋体" w:cs="宋体"/>
          <w:b w:val="0"/>
          <w:bCs/>
          <w:color w:val="000000" w:themeColor="text1"/>
          <w:position w:val="0"/>
          <w:u w:val="single"/>
        </w:rPr>
        <w:t xml:space="preserve">                         </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乙方（全称）：</w:t>
      </w:r>
      <w:r>
        <w:rPr>
          <w:rFonts w:hint="eastAsia" w:hAnsi="宋体" w:cs="宋体"/>
          <w:b w:val="0"/>
          <w:bCs/>
          <w:color w:val="000000" w:themeColor="text1"/>
          <w:position w:val="0"/>
          <w:u w:val="single"/>
        </w:rPr>
        <w:t xml:space="preserve">                         </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根据《中华人民共和国民法典》及其他有关法律法规，甲、乙双方经过友好协商，本着诚实守信、互惠互利的原则，就</w:t>
      </w:r>
      <w:r>
        <w:rPr>
          <w:rFonts w:hint="eastAsia" w:hAnsi="宋体" w:cs="宋体"/>
          <w:b w:val="0"/>
          <w:bCs/>
          <w:color w:val="000000" w:themeColor="text1"/>
          <w:position w:val="0"/>
          <w:u w:val="single"/>
        </w:rPr>
        <w:t xml:space="preserve">                         </w:t>
      </w:r>
      <w:r>
        <w:rPr>
          <w:rFonts w:hint="eastAsia" w:hAnsi="宋体" w:cs="宋体"/>
          <w:b w:val="0"/>
          <w:bCs/>
          <w:color w:val="000000" w:themeColor="text1"/>
          <w:position w:val="0"/>
        </w:rPr>
        <w:t xml:space="preserve">项目服务事宜签订本合同条款，共同达成如下协议：</w:t>
      </w:r>
      <w:r/>
    </w:p>
    <w:p>
      <w:pPr>
        <w:ind w:firstLine="353"/>
        <w:spacing w:line="500" w:lineRule="exact"/>
        <w:rPr>
          <w:rFonts w:hint="eastAsia" w:ascii="Calibri" w:hAnsi="宋体"/>
          <w:b w:val="0"/>
          <w:position w:val="0"/>
          <w:szCs w:val="24"/>
        </w:rPr>
      </w:pPr>
      <w:r>
        <w:rPr>
          <w:rFonts w:ascii="Calibri" w:hAnsi="宋体"/>
          <w:b w:val="0"/>
          <w:position w:val="0"/>
          <w:szCs w:val="24"/>
        </w:rPr>
        <w:t xml:space="preserve">一、采购标的</w:t>
      </w:r>
      <w:r/>
    </w:p>
    <w:p>
      <w:pPr>
        <w:ind w:firstLine="480"/>
        <w:spacing w:line="360" w:lineRule="auto"/>
        <w:rPr>
          <w:rFonts w:hint="eastAsia" w:hAnsi="宋体"/>
          <w:position w:val="0"/>
          <w:szCs w:val="24"/>
          <w:u w:val="single"/>
        </w:rPr>
      </w:pPr>
      <w:r>
        <w:rPr>
          <w:rFonts w:hAnsi="宋体"/>
          <w:b w:val="0"/>
          <w:position w:val="0"/>
          <w:szCs w:val="24"/>
        </w:rPr>
        <w:t xml:space="preserve">1.1 产品/服务内容：</w:t>
      </w:r>
      <w:r>
        <w:rPr>
          <w:rFonts w:hAnsi="宋体"/>
          <w:b w:val="0"/>
          <w:position w:val="0"/>
          <w:szCs w:val="24"/>
          <w:u w:val="single"/>
        </w:rPr>
        <w:t xml:space="preserve">                                         </w:t>
      </w:r>
      <w:r>
        <w:rPr>
          <w:rFonts w:hAnsi="宋体"/>
          <w:b w:val="0"/>
          <w:position w:val="0"/>
          <w:szCs w:val="24"/>
        </w:rPr>
        <w:t xml:space="preserve">。</w:t>
      </w:r>
      <w:r/>
    </w:p>
    <w:p>
      <w:pPr>
        <w:ind w:firstLine="480"/>
        <w:spacing w:line="360" w:lineRule="auto"/>
        <w:rPr>
          <w:rFonts w:hint="eastAsia" w:hAnsi="宋体"/>
          <w:position w:val="0"/>
          <w:szCs w:val="24"/>
          <w:u w:val="single"/>
        </w:rPr>
      </w:pPr>
      <w:r>
        <w:rPr>
          <w:rFonts w:hAnsi="宋体"/>
          <w:b w:val="0"/>
          <w:position w:val="0"/>
          <w:szCs w:val="24"/>
        </w:rPr>
        <w:t xml:space="preserve">1.2 服务期限：</w:t>
      </w:r>
      <w:r>
        <w:rPr>
          <w:rFonts w:hAnsi="宋体"/>
          <w:b w:val="0"/>
          <w:position w:val="0"/>
          <w:szCs w:val="24"/>
          <w:u w:val="single"/>
        </w:rPr>
        <w:t xml:space="preserve">                                              </w:t>
      </w:r>
      <w:r>
        <w:rPr>
          <w:rFonts w:hAnsi="宋体"/>
          <w:b w:val="0"/>
          <w:position w:val="0"/>
          <w:szCs w:val="24"/>
        </w:rPr>
        <w:t xml:space="preserve">。</w:t>
      </w:r>
      <w:r/>
    </w:p>
    <w:p>
      <w:pPr>
        <w:ind w:firstLine="480"/>
        <w:spacing w:line="360" w:lineRule="auto"/>
        <w:rPr>
          <w:rFonts w:hint="eastAsia" w:ascii="Calibri" w:hAnsi="宋体"/>
          <w:position w:val="0"/>
          <w:szCs w:val="24"/>
          <w:u w:val="single"/>
        </w:rPr>
      </w:pPr>
      <w:r>
        <w:rPr>
          <w:rFonts w:hAnsi="宋体"/>
          <w:b w:val="0"/>
          <w:position w:val="0"/>
          <w:szCs w:val="24"/>
        </w:rPr>
        <w:t xml:space="preserve">1.3 补充条款</w:t>
      </w:r>
      <w:r>
        <w:rPr>
          <w:rFonts w:ascii="Calibri" w:hAnsi="宋体"/>
          <w:b w:val="0"/>
          <w:position w:val="0"/>
          <w:szCs w:val="24"/>
        </w:rPr>
        <w:t xml:space="preserve">：</w:t>
      </w:r>
      <w:r>
        <w:rPr>
          <w:rFonts w:ascii="Calibri" w:hAnsi="宋体"/>
          <w:b w:val="0"/>
          <w:position w:val="0"/>
          <w:szCs w:val="24"/>
          <w:u w:val="single"/>
        </w:rPr>
        <w:t xml:space="preserve">                                              </w:t>
      </w:r>
      <w:r>
        <w:rPr>
          <w:rFonts w:ascii="Calibri" w:hAnsi="宋体"/>
          <w:b w:val="0"/>
          <w:position w:val="0"/>
          <w:szCs w:val="24"/>
        </w:rPr>
        <w:t xml:space="preserve">。</w:t>
      </w:r>
      <w:r/>
    </w:p>
    <w:p>
      <w:pPr>
        <w:ind w:firstLine="480"/>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二、合同价格</w:t>
      </w:r>
      <w:r>
        <w:rPr>
          <w:rFonts w:hint="eastAsia" w:hAnsi="宋体" w:cs="宋体"/>
          <w:b w:val="0"/>
          <w:bCs/>
          <w:color w:val="000000" w:themeColor="text1"/>
          <w:position w:val="0"/>
        </w:rPr>
        <w:tab/>
      </w:r>
      <w:r/>
    </w:p>
    <w:p>
      <w:pPr>
        <w:ind w:firstLine="480"/>
        <w:spacing w:line="360" w:lineRule="auto"/>
        <w:rPr>
          <w:rFonts w:hint="eastAsia" w:hAnsi="宋体" w:cs="宋体"/>
          <w:b w:val="0"/>
          <w:bCs/>
          <w:color w:val="000000" w:themeColor="text1"/>
          <w:position w:val="0"/>
        </w:rPr>
      </w:pPr>
      <w:r>
        <w:rPr>
          <w:rFonts w:hAnsi="宋体" w:cs="宋体"/>
          <w:b w:val="0"/>
          <w:bCs/>
          <w:color w:val="000000" w:themeColor="text1"/>
          <w:position w:val="0"/>
        </w:rPr>
        <w:t xml:space="preserve">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rPr>
          <w:rFonts w:hint="eastAsia" w:hAnsi="宋体" w:cs="宋体"/>
          <w:b w:val="0"/>
          <w:bCs/>
          <w:color w:val="000000" w:themeColor="text1"/>
          <w:position w:val="0"/>
        </w:rPr>
        <w:t xml:space="preserve">；</w:t>
      </w:r>
      <w:r/>
    </w:p>
    <w:p>
      <w:pPr>
        <w:ind w:firstLine="480"/>
        <w:spacing w:line="360" w:lineRule="auto"/>
        <w:rPr>
          <w:rFonts w:hint="eastAsia" w:hAnsi="宋体"/>
          <w:b w:val="0"/>
          <w:position w:val="0"/>
          <w:szCs w:val="24"/>
        </w:rPr>
      </w:pPr>
      <w:r>
        <w:rPr>
          <w:rFonts w:hAnsi="宋体"/>
          <w:b w:val="0"/>
          <w:position w:val="0"/>
          <w:szCs w:val="24"/>
        </w:rPr>
        <w:t xml:space="preserve">三、技术资料</w:t>
      </w:r>
      <w:r/>
    </w:p>
    <w:p>
      <w:pPr>
        <w:ind w:firstLine="480"/>
        <w:spacing w:line="360" w:lineRule="auto"/>
        <w:rPr>
          <w:rFonts w:hint="eastAsia" w:hAnsi="宋体"/>
          <w:position w:val="0"/>
          <w:szCs w:val="24"/>
        </w:rPr>
      </w:pPr>
      <w:r>
        <w:rPr>
          <w:rFonts w:hAnsi="宋体"/>
          <w:b w:val="0"/>
          <w:position w:val="0"/>
          <w:szCs w:val="24"/>
        </w:rPr>
        <w:t xml:space="preserve">3.1乙方应按</w:t>
      </w:r>
      <w:r>
        <w:rPr>
          <w:rFonts w:hint="eastAsia" w:hAnsi="宋体"/>
          <w:b w:val="0"/>
          <w:position w:val="0"/>
          <w:szCs w:val="24"/>
        </w:rPr>
        <w:t xml:space="preserve">招标</w:t>
      </w:r>
      <w:r>
        <w:rPr>
          <w:rFonts w:hAnsi="宋体"/>
          <w:b w:val="0"/>
          <w:position w:val="0"/>
          <w:szCs w:val="24"/>
        </w:rPr>
        <w:t xml:space="preserve">文件规定的时间向甲方提供有关技术资料。</w:t>
      </w:r>
      <w:r/>
    </w:p>
    <w:p>
      <w:pPr>
        <w:ind w:firstLine="480"/>
        <w:spacing w:line="360" w:lineRule="auto"/>
        <w:rPr>
          <w:rFonts w:hint="eastAsia" w:hAnsi="宋体"/>
          <w:position w:val="0"/>
          <w:szCs w:val="24"/>
        </w:rPr>
      </w:pPr>
      <w:r>
        <w:rPr>
          <w:rFonts w:hAnsi="宋体"/>
          <w:b w:val="0"/>
          <w:position w:val="0"/>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360" w:lineRule="auto"/>
        <w:rPr>
          <w:rFonts w:hint="eastAsia" w:hAnsi="宋体"/>
          <w:b w:val="0"/>
          <w:position w:val="0"/>
          <w:szCs w:val="24"/>
        </w:rPr>
      </w:pPr>
      <w:r>
        <w:rPr>
          <w:rFonts w:hAnsi="宋体"/>
          <w:b w:val="0"/>
          <w:position w:val="0"/>
          <w:szCs w:val="24"/>
        </w:rPr>
        <w:t xml:space="preserve">四、知识产权</w:t>
      </w:r>
      <w:r/>
    </w:p>
    <w:p>
      <w:pPr>
        <w:ind w:firstLine="480"/>
        <w:spacing w:line="360" w:lineRule="auto"/>
        <w:rPr>
          <w:rFonts w:hint="eastAsia" w:hAnsi="宋体"/>
          <w:position w:val="0"/>
          <w:szCs w:val="24"/>
        </w:rPr>
      </w:pPr>
      <w:r>
        <w:rPr>
          <w:rFonts w:hAnsi="宋体"/>
          <w:b w:val="0"/>
          <w:position w:val="0"/>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80"/>
        <w:spacing w:line="360" w:lineRule="auto"/>
        <w:rPr>
          <w:rFonts w:hint="eastAsia" w:hAnsi="宋体"/>
          <w:position w:val="0"/>
          <w:szCs w:val="24"/>
          <w:u w:val="single"/>
        </w:rPr>
      </w:pPr>
      <w:r>
        <w:rPr>
          <w:rFonts w:hAnsi="宋体"/>
          <w:b w:val="0"/>
          <w:position w:val="0"/>
          <w:szCs w:val="24"/>
        </w:rPr>
        <w:t xml:space="preserve">五、产权担保</w:t>
      </w:r>
      <w:r/>
    </w:p>
    <w:p>
      <w:pPr>
        <w:ind w:firstLine="480"/>
        <w:spacing w:line="360" w:lineRule="auto"/>
        <w:rPr>
          <w:rFonts w:hint="eastAsia" w:hAnsi="宋体"/>
          <w:position w:val="0"/>
          <w:szCs w:val="24"/>
          <w:u w:val="single"/>
        </w:rPr>
      </w:pPr>
      <w:r>
        <w:rPr>
          <w:rFonts w:hAnsi="宋体"/>
          <w:b w:val="0"/>
          <w:position w:val="0"/>
          <w:szCs w:val="24"/>
        </w:rPr>
        <w:t xml:space="preserve">乙方保证所交付标的的所有权完全属于乙方且无任何抵押、查封等产权瑕疵。</w:t>
      </w:r>
      <w:r/>
    </w:p>
    <w:p>
      <w:pPr>
        <w:ind w:firstLine="480"/>
        <w:spacing w:line="360" w:lineRule="auto"/>
        <w:rPr>
          <w:rFonts w:hint="eastAsia" w:hAnsi="宋体"/>
          <w:b w:val="0"/>
          <w:position w:val="0"/>
          <w:szCs w:val="24"/>
        </w:rPr>
      </w:pPr>
      <w:r>
        <w:rPr>
          <w:rFonts w:hAnsi="宋体"/>
          <w:b w:val="0"/>
          <w:position w:val="0"/>
          <w:szCs w:val="24"/>
        </w:rPr>
        <w:t xml:space="preserve">六、履约保证金</w:t>
      </w:r>
      <w:r/>
    </w:p>
    <w:p>
      <w:pPr>
        <w:ind w:firstLine="480"/>
        <w:spacing w:line="360" w:lineRule="auto"/>
        <w:rPr>
          <w:rFonts w:hint="eastAsia" w:hAnsi="宋体"/>
          <w:position w:val="0"/>
          <w:szCs w:val="24"/>
        </w:rPr>
      </w:pPr>
      <w:r>
        <w:rPr>
          <w:rFonts w:hAnsi="宋体"/>
          <w:b w:val="0"/>
          <w:position w:val="0"/>
          <w:szCs w:val="24"/>
        </w:rPr>
        <w:t xml:space="preserve">     本项目不收取履约保证金</w:t>
      </w:r>
      <w:r/>
    </w:p>
    <w:p>
      <w:pPr>
        <w:ind w:firstLine="480"/>
        <w:spacing w:line="360" w:lineRule="auto"/>
        <w:rPr>
          <w:rFonts w:hint="eastAsia" w:hAnsi="宋体"/>
          <w:b w:val="0"/>
          <w:position w:val="0"/>
          <w:szCs w:val="24"/>
        </w:rPr>
      </w:pPr>
      <w:r>
        <w:rPr>
          <w:rFonts w:hAnsi="宋体"/>
          <w:b w:val="0"/>
          <w:position w:val="0"/>
          <w:szCs w:val="24"/>
        </w:rPr>
        <w:t xml:space="preserve">七、转包或分包</w:t>
      </w:r>
      <w:r/>
    </w:p>
    <w:p>
      <w:pPr>
        <w:ind w:firstLine="480"/>
        <w:spacing w:line="360" w:lineRule="auto"/>
        <w:rPr>
          <w:rFonts w:hint="eastAsia" w:hAnsi="宋体"/>
          <w:position w:val="0"/>
          <w:szCs w:val="24"/>
        </w:rPr>
      </w:pPr>
      <w:r>
        <w:rPr>
          <w:rFonts w:hAnsi="宋体"/>
          <w:b w:val="0"/>
          <w:position w:val="0"/>
          <w:szCs w:val="24"/>
        </w:rPr>
        <w:t xml:space="preserve">7.1本合同范围内产品或服务，应由乙方直接供应，不得转让他人供应；</w:t>
      </w:r>
      <w:r/>
    </w:p>
    <w:p>
      <w:pPr>
        <w:ind w:firstLine="480"/>
        <w:spacing w:line="360" w:lineRule="auto"/>
        <w:rPr>
          <w:rFonts w:hint="eastAsia" w:hAnsi="宋体"/>
          <w:position w:val="0"/>
          <w:szCs w:val="24"/>
        </w:rPr>
      </w:pPr>
      <w:r>
        <w:rPr>
          <w:rFonts w:hAnsi="宋体"/>
          <w:b w:val="0"/>
          <w:position w:val="0"/>
          <w:szCs w:val="24"/>
        </w:rPr>
        <w:t xml:space="preserve">7.2 除非得到甲方的书面同意，乙方不得部分分包给他人供应。</w:t>
      </w:r>
      <w:r/>
    </w:p>
    <w:p>
      <w:pPr>
        <w:ind w:firstLine="480"/>
        <w:spacing w:line="360" w:lineRule="auto"/>
        <w:rPr>
          <w:rFonts w:hint="eastAsia" w:hAnsi="宋体"/>
          <w:position w:val="0"/>
          <w:szCs w:val="24"/>
        </w:rPr>
      </w:pPr>
      <w:r>
        <w:rPr>
          <w:rFonts w:hAnsi="宋体"/>
          <w:b w:val="0"/>
          <w:position w:val="0"/>
          <w:szCs w:val="24"/>
        </w:rPr>
        <w:t xml:space="preserve">7.3如有转让和未经甲方同意的分包行为，甲方有权给予终止合同。 </w:t>
      </w:r>
      <w:r/>
    </w:p>
    <w:p>
      <w:pPr>
        <w:ind w:firstLine="480"/>
        <w:spacing w:line="360" w:lineRule="auto"/>
        <w:rPr>
          <w:rFonts w:hint="eastAsia" w:hAnsi="宋体"/>
          <w:position w:val="0"/>
          <w:szCs w:val="24"/>
        </w:rPr>
      </w:pPr>
      <w:r>
        <w:rPr>
          <w:rFonts w:hAnsi="宋体"/>
          <w:b w:val="0"/>
          <w:position w:val="0"/>
          <w:szCs w:val="24"/>
        </w:rPr>
        <w:t xml:space="preserve">八、质保期</w:t>
      </w:r>
      <w:r/>
    </w:p>
    <w:p>
      <w:pPr>
        <w:ind w:firstLine="480"/>
        <w:spacing w:line="360" w:lineRule="auto"/>
        <w:rPr>
          <w:rFonts w:hint="eastAsia" w:hAnsi="宋体"/>
          <w:position w:val="0"/>
          <w:szCs w:val="24"/>
        </w:rPr>
      </w:pPr>
      <w:r>
        <w:rPr>
          <w:rFonts w:hAnsi="宋体"/>
          <w:b w:val="0"/>
          <w:position w:val="0"/>
          <w:szCs w:val="24"/>
        </w:rPr>
        <w:t xml:space="preserve"> 质保期</w:t>
      </w:r>
      <w:r>
        <w:rPr>
          <w:rFonts w:hAnsi="宋体"/>
          <w:b w:val="0"/>
          <w:position w:val="0"/>
          <w:szCs w:val="24"/>
          <w:u w:val="single"/>
        </w:rPr>
        <w:t xml:space="preserve">      </w:t>
      </w:r>
      <w:r>
        <w:rPr>
          <w:rFonts w:hAnsi="宋体"/>
          <w:b w:val="0"/>
          <w:position w:val="0"/>
          <w:szCs w:val="24"/>
        </w:rPr>
        <w:t xml:space="preserve">年。（自项目验收合格之日起计）</w:t>
      </w:r>
      <w:r/>
    </w:p>
    <w:p>
      <w:pPr>
        <w:ind w:firstLine="480"/>
        <w:spacing w:line="360" w:lineRule="auto"/>
        <w:rPr>
          <w:rFonts w:hint="eastAsia" w:hAnsi="宋体"/>
          <w:b w:val="0"/>
          <w:position w:val="0"/>
          <w:szCs w:val="24"/>
        </w:rPr>
      </w:pPr>
      <w:r>
        <w:rPr>
          <w:rFonts w:hAnsi="宋体"/>
          <w:b w:val="0"/>
          <w:position w:val="0"/>
          <w:szCs w:val="24"/>
        </w:rPr>
        <w:t xml:space="preserve">九、交付期、交付方式及交付地点</w:t>
      </w:r>
      <w:r/>
    </w:p>
    <w:p>
      <w:pPr>
        <w:ind w:firstLine="480"/>
        <w:spacing w:line="360" w:lineRule="auto"/>
        <w:rPr>
          <w:rFonts w:hint="eastAsia" w:hAnsi="宋体"/>
          <w:b w:val="0"/>
          <w:position w:val="0"/>
          <w:szCs w:val="24"/>
        </w:rPr>
      </w:pPr>
      <w:r>
        <w:rPr>
          <w:rFonts w:hAnsi="宋体"/>
          <w:b w:val="0"/>
          <w:bCs/>
          <w:position w:val="0"/>
          <w:szCs w:val="24"/>
        </w:rPr>
        <w:t xml:space="preserve">9.1交付期：</w:t>
      </w:r>
      <w:r>
        <w:rPr>
          <w:rFonts w:hAnsi="宋体"/>
          <w:b w:val="0"/>
          <w:position w:val="0"/>
          <w:szCs w:val="24"/>
        </w:rPr>
        <w:t xml:space="preserve">_________。   </w:t>
      </w:r>
      <w:r/>
    </w:p>
    <w:p>
      <w:pPr>
        <w:ind w:firstLine="480"/>
        <w:spacing w:line="360" w:lineRule="auto"/>
        <w:rPr>
          <w:rFonts w:hint="eastAsia" w:hAnsi="宋体"/>
          <w:b w:val="0"/>
          <w:position w:val="0"/>
          <w:szCs w:val="24"/>
        </w:rPr>
      </w:pPr>
      <w:r>
        <w:rPr>
          <w:rFonts w:hAnsi="宋体"/>
          <w:b w:val="0"/>
          <w:bCs/>
          <w:position w:val="0"/>
          <w:szCs w:val="24"/>
        </w:rPr>
        <w:t xml:space="preserve">9.2交付方式：</w:t>
      </w:r>
      <w:r>
        <w:rPr>
          <w:rFonts w:hAnsi="宋体"/>
          <w:b w:val="0"/>
          <w:position w:val="0"/>
          <w:szCs w:val="24"/>
        </w:rPr>
        <w:t xml:space="preserve">_________。</w:t>
      </w:r>
      <w:r/>
    </w:p>
    <w:p>
      <w:pPr>
        <w:ind w:firstLine="480"/>
        <w:spacing w:line="360" w:lineRule="auto"/>
        <w:rPr>
          <w:rFonts w:hint="eastAsia" w:hAnsi="宋体"/>
          <w:b w:val="0"/>
          <w:position w:val="0"/>
          <w:szCs w:val="24"/>
        </w:rPr>
      </w:pPr>
      <w:r>
        <w:rPr>
          <w:rFonts w:hAnsi="宋体"/>
          <w:b w:val="0"/>
          <w:bCs/>
          <w:position w:val="0"/>
          <w:szCs w:val="24"/>
        </w:rPr>
        <w:t xml:space="preserve">9.3交付地点：</w:t>
      </w:r>
      <w:r>
        <w:rPr>
          <w:rFonts w:hAnsi="宋体"/>
          <w:b w:val="0"/>
          <w:position w:val="0"/>
          <w:szCs w:val="24"/>
        </w:rPr>
        <w:t xml:space="preserve">_________。</w:t>
      </w:r>
      <w:r/>
    </w:p>
    <w:p>
      <w:pPr>
        <w:ind w:firstLine="480"/>
        <w:spacing w:line="360" w:lineRule="auto"/>
        <w:rPr>
          <w:rFonts w:hint="eastAsia" w:hAnsi="宋体"/>
          <w:b w:val="0"/>
          <w:position w:val="0"/>
          <w:szCs w:val="24"/>
        </w:rPr>
      </w:pPr>
      <w:r>
        <w:rPr>
          <w:rFonts w:hAnsi="宋体"/>
          <w:b w:val="0"/>
          <w:position w:val="0"/>
          <w:szCs w:val="24"/>
        </w:rPr>
        <w:t xml:space="preserve">十、合同款支付</w:t>
      </w:r>
      <w:r/>
    </w:p>
    <w:p>
      <w:pPr>
        <w:ind w:firstLine="480"/>
        <w:spacing w:line="360" w:lineRule="auto"/>
        <w:rPr>
          <w:rFonts w:hint="eastAsia" w:hAnsi="宋体"/>
          <w:position w:val="0"/>
          <w:szCs w:val="24"/>
        </w:rPr>
      </w:pPr>
      <w:r>
        <w:rPr>
          <w:rFonts w:hAnsi="宋体"/>
          <w:b w:val="0"/>
          <w:bCs/>
          <w:position w:val="0"/>
          <w:szCs w:val="24"/>
        </w:rPr>
        <w:t xml:space="preserve"> 10.1付款方式：</w:t>
      </w:r>
      <w:r>
        <w:rPr>
          <w:rFonts w:hAnsi="宋体"/>
          <w:b w:val="0"/>
          <w:position w:val="0"/>
          <w:szCs w:val="24"/>
          <w:u w:val="single"/>
        </w:rPr>
        <w:t xml:space="preserve"> </w:t>
      </w:r>
      <w:r>
        <w:rPr>
          <w:rFonts w:hAnsi="宋体"/>
          <w:b w:val="0"/>
          <w:position w:val="0"/>
          <w:szCs w:val="24"/>
          <w:u w:val="single"/>
        </w:rPr>
        <w:t xml:space="preserve">货到安装调试完成并验收合格收到中标人全额发票后1个月内支付合同总额的70%，验收合格三个月后支付合同总额的20%，验收合格满一年后付清剩余10%。</w:t>
      </w:r>
      <w:r>
        <w:rPr>
          <w:rFonts w:hAnsi="宋体"/>
          <w:b w:val="0"/>
          <w:position w:val="0"/>
          <w:szCs w:val="24"/>
          <w:u w:val="single"/>
        </w:rPr>
        <w:t xml:space="preserve">  </w:t>
      </w:r>
      <w:r>
        <w:rPr>
          <w:rFonts w:hAnsi="宋体"/>
          <w:b w:val="0"/>
          <w:position w:val="0"/>
          <w:szCs w:val="24"/>
        </w:rPr>
        <w:t xml:space="preserve"> 。</w:t>
      </w:r>
      <w:r/>
    </w:p>
    <w:p>
      <w:pPr>
        <w:ind w:firstLine="480"/>
        <w:spacing w:line="360" w:lineRule="auto"/>
        <w:rPr>
          <w:rFonts w:hint="eastAsia" w:hAnsi="宋体"/>
          <w:b w:val="0"/>
          <w:position w:val="0"/>
          <w:szCs w:val="24"/>
        </w:rPr>
      </w:pPr>
      <w:r>
        <w:rPr>
          <w:rFonts w:hAnsi="宋体"/>
          <w:b w:val="0"/>
          <w:position w:val="0"/>
          <w:szCs w:val="24"/>
        </w:rPr>
        <w:t xml:space="preserve">十一、税费</w:t>
      </w:r>
      <w:r/>
    </w:p>
    <w:p>
      <w:pPr>
        <w:ind w:firstLine="480"/>
        <w:spacing w:line="360" w:lineRule="auto"/>
        <w:rPr>
          <w:rFonts w:hint="eastAsia" w:hAnsi="宋体"/>
          <w:position w:val="0"/>
          <w:szCs w:val="24"/>
        </w:rPr>
      </w:pPr>
      <w:r>
        <w:rPr>
          <w:rFonts w:hAnsi="宋体"/>
          <w:b w:val="0"/>
          <w:position w:val="0"/>
          <w:szCs w:val="24"/>
        </w:rPr>
        <w:t xml:space="preserve">本合同执行中相关的一切税费均由乙方负担。</w:t>
      </w:r>
      <w:r/>
    </w:p>
    <w:p>
      <w:pPr>
        <w:ind w:firstLine="480"/>
        <w:spacing w:line="360" w:lineRule="auto"/>
        <w:rPr>
          <w:rFonts w:hint="eastAsia" w:hAnsi="宋体"/>
          <w:position w:val="0"/>
          <w:szCs w:val="24"/>
        </w:rPr>
      </w:pPr>
      <w:r>
        <w:rPr>
          <w:rFonts w:hAnsi="宋体"/>
          <w:b w:val="0"/>
          <w:position w:val="0"/>
          <w:szCs w:val="24"/>
        </w:rPr>
        <w:t xml:space="preserve">十二、质量保证及售后服务</w:t>
      </w:r>
      <w:r/>
    </w:p>
    <w:p>
      <w:pPr>
        <w:ind w:firstLine="480"/>
        <w:spacing w:line="360" w:lineRule="auto"/>
        <w:rPr>
          <w:rFonts w:hint="eastAsia" w:hAnsi="宋体"/>
          <w:position w:val="0"/>
          <w:szCs w:val="24"/>
        </w:rPr>
      </w:pPr>
      <w:r>
        <w:rPr>
          <w:rFonts w:hAnsi="宋体"/>
          <w:b w:val="0"/>
          <w:position w:val="0"/>
          <w:szCs w:val="24"/>
        </w:rPr>
        <w:t xml:space="preserve">12.1乙方应按</w:t>
      </w:r>
      <w:r>
        <w:rPr>
          <w:rFonts w:hint="eastAsia" w:hAnsi="宋体"/>
          <w:b w:val="0"/>
          <w:position w:val="0"/>
          <w:szCs w:val="24"/>
        </w:rPr>
        <w:t xml:space="preserve">招标</w:t>
      </w:r>
      <w:r>
        <w:rPr>
          <w:rFonts w:hAnsi="宋体"/>
          <w:b w:val="0"/>
          <w:position w:val="0"/>
          <w:szCs w:val="24"/>
        </w:rPr>
        <w:t xml:space="preserve">文件规定和响应文件承诺的性能、技术要求、质量标准向甲方提供产品或服务。</w:t>
      </w:r>
      <w:r/>
    </w:p>
    <w:p>
      <w:pPr>
        <w:ind w:firstLine="480"/>
        <w:spacing w:line="360" w:lineRule="auto"/>
        <w:rPr>
          <w:rFonts w:hint="eastAsia" w:hAnsi="宋体"/>
          <w:position w:val="0"/>
          <w:szCs w:val="24"/>
        </w:rPr>
      </w:pPr>
      <w:r>
        <w:rPr>
          <w:rFonts w:hAnsi="宋体"/>
          <w:b w:val="0"/>
          <w:position w:val="0"/>
          <w:szCs w:val="24"/>
        </w:rPr>
        <w:t xml:space="preserve">12.2乙方提供的产品或服务在质保期内因其本身出现质量问题，根据实际情况，经双方协商，可按以下办法处理：</w:t>
      </w:r>
      <w:r/>
    </w:p>
    <w:p>
      <w:pPr>
        <w:ind w:firstLine="480"/>
        <w:spacing w:line="360" w:lineRule="auto"/>
        <w:rPr>
          <w:rFonts w:hint="eastAsia" w:hAnsi="宋体"/>
          <w:position w:val="0"/>
          <w:szCs w:val="24"/>
        </w:rPr>
      </w:pPr>
      <w:r>
        <w:rPr>
          <w:rFonts w:hAnsi="宋体"/>
          <w:b w:val="0"/>
          <w:position w:val="0"/>
          <w:szCs w:val="24"/>
        </w:rPr>
        <w:t xml:space="preserve">（1）更换：由乙方承担所发生的全部费用。</w:t>
      </w:r>
      <w:r/>
    </w:p>
    <w:p>
      <w:pPr>
        <w:ind w:firstLine="480"/>
        <w:spacing w:line="360" w:lineRule="auto"/>
        <w:rPr>
          <w:rFonts w:hint="eastAsia" w:hAnsi="宋体"/>
          <w:position w:val="0"/>
          <w:szCs w:val="24"/>
        </w:rPr>
      </w:pPr>
      <w:r>
        <w:rPr>
          <w:rFonts w:hAnsi="宋体"/>
          <w:b w:val="0"/>
          <w:position w:val="0"/>
          <w:szCs w:val="24"/>
        </w:rPr>
        <w:t xml:space="preserve">（2）合同终止处理：合同终止，并退还甲方支付的合同款，同时应承担由此产生的所有费用，甲方不承担发生任何费用。</w:t>
      </w:r>
      <w:r/>
    </w:p>
    <w:p>
      <w:pPr>
        <w:ind w:firstLine="480"/>
        <w:spacing w:line="360" w:lineRule="auto"/>
        <w:rPr>
          <w:rFonts w:hint="eastAsia" w:hAnsi="宋体"/>
          <w:position w:val="0"/>
          <w:szCs w:val="24"/>
        </w:rPr>
      </w:pPr>
      <w:r>
        <w:rPr>
          <w:rFonts w:hAnsi="宋体"/>
          <w:b w:val="0"/>
          <w:position w:val="0"/>
          <w:szCs w:val="24"/>
        </w:rPr>
        <w:t xml:space="preserve">12.3如在使用过程中发生质量问题，乙方在接到甲方通知后在</w:t>
      </w:r>
      <w:r>
        <w:rPr>
          <w:rFonts w:hAnsi="宋体"/>
          <w:b w:val="0"/>
          <w:position w:val="0"/>
          <w:szCs w:val="24"/>
          <w:u w:val="single"/>
        </w:rPr>
        <w:t xml:space="preserve">     </w:t>
      </w:r>
      <w:r>
        <w:rPr>
          <w:rFonts w:hAnsi="宋体"/>
          <w:b w:val="0"/>
          <w:position w:val="0"/>
          <w:szCs w:val="24"/>
        </w:rPr>
        <w:t xml:space="preserve">小时内到达甲方现场。</w:t>
      </w:r>
      <w:r/>
    </w:p>
    <w:p>
      <w:pPr>
        <w:ind w:firstLine="480"/>
        <w:spacing w:line="360" w:lineRule="auto"/>
        <w:rPr>
          <w:rFonts w:hint="eastAsia" w:hAnsi="宋体"/>
          <w:position w:val="0"/>
          <w:szCs w:val="24"/>
        </w:rPr>
      </w:pPr>
      <w:r>
        <w:rPr>
          <w:rFonts w:hAnsi="宋体"/>
          <w:b w:val="0"/>
          <w:position w:val="0"/>
          <w:szCs w:val="24"/>
        </w:rPr>
        <w:t xml:space="preserve">12.4在质保期内，乙方应对产品或服务出现的质量及安全问题负责处理解决并承担一切费用。</w:t>
      </w:r>
      <w:r/>
    </w:p>
    <w:p>
      <w:pPr>
        <w:ind w:firstLine="480"/>
        <w:spacing w:line="360" w:lineRule="auto"/>
        <w:rPr>
          <w:rFonts w:hint="eastAsia" w:hAnsi="宋体"/>
          <w:position w:val="0"/>
          <w:szCs w:val="24"/>
        </w:rPr>
      </w:pPr>
      <w:r>
        <w:rPr>
          <w:rFonts w:hAnsi="宋体"/>
          <w:b w:val="0"/>
          <w:position w:val="0"/>
          <w:szCs w:val="24"/>
        </w:rPr>
        <w:t xml:space="preserve">12.5合同标的对质量保证和售后服务另有要求的，按</w:t>
      </w:r>
      <w:r>
        <w:rPr>
          <w:rFonts w:hint="eastAsia" w:hAnsi="宋体"/>
          <w:b w:val="0"/>
          <w:position w:val="0"/>
          <w:szCs w:val="24"/>
        </w:rPr>
        <w:t xml:space="preserve">招标</w:t>
      </w:r>
      <w:r>
        <w:rPr>
          <w:rFonts w:hAnsi="宋体"/>
          <w:b w:val="0"/>
          <w:position w:val="0"/>
          <w:szCs w:val="24"/>
        </w:rPr>
        <w:t xml:space="preserve">文件中的相关要求处理。</w:t>
      </w:r>
      <w:r/>
    </w:p>
    <w:p>
      <w:pPr>
        <w:ind w:firstLine="480"/>
        <w:spacing w:line="360" w:lineRule="auto"/>
        <w:rPr>
          <w:rFonts w:hint="eastAsia" w:hAnsi="宋体"/>
          <w:b w:val="0"/>
          <w:position w:val="0"/>
          <w:szCs w:val="24"/>
        </w:rPr>
      </w:pPr>
      <w:r>
        <w:rPr>
          <w:rFonts w:hAnsi="宋体"/>
          <w:b w:val="0"/>
          <w:position w:val="0"/>
          <w:szCs w:val="24"/>
        </w:rPr>
        <w:t xml:space="preserve">十三、验收</w:t>
      </w:r>
      <w:r/>
    </w:p>
    <w:p>
      <w:pPr>
        <w:ind w:firstLine="480"/>
        <w:spacing w:line="360" w:lineRule="auto"/>
        <w:rPr>
          <w:rFonts w:hint="eastAsia" w:hAnsi="宋体"/>
          <w:position w:val="0"/>
          <w:szCs w:val="24"/>
        </w:rPr>
      </w:pPr>
      <w:r>
        <w:rPr>
          <w:rFonts w:hAnsi="宋体"/>
          <w:b w:val="0"/>
          <w:position w:val="0"/>
          <w:szCs w:val="24"/>
        </w:rPr>
        <w:t xml:space="preserve">13.1甲方对乙方提交的产品或服务依据</w:t>
      </w:r>
      <w:r>
        <w:rPr>
          <w:rFonts w:hint="eastAsia" w:hAnsi="宋体"/>
          <w:b w:val="0"/>
          <w:position w:val="0"/>
          <w:szCs w:val="24"/>
        </w:rPr>
        <w:t xml:space="preserve">招标</w:t>
      </w:r>
      <w:r>
        <w:rPr>
          <w:rFonts w:hAnsi="宋体"/>
          <w:b w:val="0"/>
          <w:position w:val="0"/>
          <w:szCs w:val="24"/>
        </w:rPr>
        <w:t xml:space="preserve">文件上的项目需求要求、乙方响应文件及国家有关质量标准进行验收。</w:t>
      </w:r>
      <w:r/>
    </w:p>
    <w:p>
      <w:pPr>
        <w:ind w:firstLine="480"/>
        <w:spacing w:line="360" w:lineRule="auto"/>
        <w:rPr>
          <w:rFonts w:hint="eastAsia" w:hAnsi="宋体"/>
          <w:position w:val="0"/>
          <w:szCs w:val="24"/>
        </w:rPr>
      </w:pPr>
      <w:r>
        <w:rPr>
          <w:rFonts w:hAnsi="宋体"/>
          <w:b w:val="0"/>
          <w:position w:val="0"/>
          <w:szCs w:val="24"/>
        </w:rPr>
        <w:t xml:space="preserve">13.2乙方交货前应对产品或服务作出全面检查和对验收文件进行整理，并列出清单，作为甲方验收和使用的技术条件依据，检验的结果应随服务一起提交甲方。</w:t>
      </w:r>
      <w:r/>
    </w:p>
    <w:p>
      <w:pPr>
        <w:ind w:firstLine="480"/>
        <w:spacing w:line="360" w:lineRule="auto"/>
        <w:rPr>
          <w:rFonts w:hint="eastAsia" w:hAnsi="宋体"/>
          <w:position w:val="0"/>
          <w:szCs w:val="24"/>
        </w:rPr>
      </w:pPr>
      <w:r>
        <w:rPr>
          <w:rFonts w:hAnsi="宋体"/>
          <w:b w:val="0"/>
          <w:position w:val="0"/>
          <w:szCs w:val="24"/>
        </w:rPr>
        <w:t xml:space="preserve">13.3甲方对乙方提供的产品或服务在使用前，乙方需负责培训甲方的使用操作人员，并协助甲方一起试用，直到符合技术要求，甲方才做最终验收。</w:t>
      </w:r>
      <w:r/>
    </w:p>
    <w:p>
      <w:pPr>
        <w:ind w:firstLine="480"/>
        <w:spacing w:line="360" w:lineRule="auto"/>
        <w:rPr>
          <w:rFonts w:hint="eastAsia" w:hAnsi="宋体"/>
          <w:position w:val="0"/>
          <w:szCs w:val="24"/>
        </w:rPr>
      </w:pPr>
      <w:r>
        <w:rPr>
          <w:rFonts w:hAnsi="宋体"/>
          <w:b w:val="0"/>
          <w:position w:val="0"/>
          <w:szCs w:val="24"/>
        </w:rPr>
        <w:t xml:space="preserve">13.4对技术复杂的产品或服务，甲方可请国家认可的专业检测机构参与初步验收及最终验收，并由其出具质量检测报告。</w:t>
      </w:r>
      <w:r/>
    </w:p>
    <w:p>
      <w:pPr>
        <w:ind w:firstLine="480"/>
        <w:spacing w:line="360" w:lineRule="auto"/>
        <w:rPr>
          <w:rFonts w:hint="eastAsia" w:hAnsi="宋体"/>
          <w:position w:val="0"/>
          <w:szCs w:val="24"/>
        </w:rPr>
      </w:pPr>
      <w:r>
        <w:rPr>
          <w:rFonts w:hAnsi="宋体"/>
          <w:b w:val="0"/>
          <w:position w:val="0"/>
          <w:szCs w:val="24"/>
        </w:rPr>
        <w:t xml:space="preserve">13.5验收时乙方必须在现场，验收完毕后作出验收结果报告；</w:t>
      </w:r>
      <w:r>
        <w:rPr>
          <w:rFonts w:hint="eastAsia" w:hAnsi="宋体"/>
          <w:b w:val="0"/>
          <w:position w:val="0"/>
          <w:szCs w:val="24"/>
        </w:rPr>
        <w:t xml:space="preserve">招标</w:t>
      </w:r>
      <w:r>
        <w:rPr>
          <w:rFonts w:hAnsi="宋体"/>
          <w:b w:val="0"/>
          <w:position w:val="0"/>
          <w:szCs w:val="24"/>
        </w:rPr>
        <w:t xml:space="preserve">文件规定以外的验收费用由甲乙双方协商解决。</w:t>
      </w:r>
      <w:r/>
    </w:p>
    <w:p>
      <w:pPr>
        <w:ind w:firstLine="480"/>
        <w:spacing w:line="360" w:lineRule="auto"/>
        <w:rPr>
          <w:rFonts w:hint="eastAsia" w:hAnsi="宋体"/>
          <w:position w:val="0"/>
          <w:szCs w:val="24"/>
        </w:rPr>
      </w:pPr>
      <w:r>
        <w:rPr>
          <w:rFonts w:hAnsi="宋体"/>
          <w:b w:val="0"/>
          <w:position w:val="0"/>
          <w:szCs w:val="24"/>
        </w:rPr>
        <w:t xml:space="preserve">13.6合同标的对验收另有要求的，按</w:t>
      </w:r>
      <w:r>
        <w:rPr>
          <w:rFonts w:hint="eastAsia" w:hAnsi="宋体"/>
          <w:b w:val="0"/>
          <w:position w:val="0"/>
          <w:szCs w:val="24"/>
        </w:rPr>
        <w:t xml:space="preserve">招标</w:t>
      </w:r>
      <w:r>
        <w:rPr>
          <w:rFonts w:hAnsi="宋体"/>
          <w:b w:val="0"/>
          <w:position w:val="0"/>
          <w:szCs w:val="24"/>
        </w:rPr>
        <w:t xml:space="preserve">文件中的相关要求执行。</w:t>
      </w:r>
      <w:r/>
    </w:p>
    <w:p>
      <w:pPr>
        <w:ind w:firstLine="480"/>
        <w:spacing w:line="360" w:lineRule="auto"/>
        <w:rPr>
          <w:rFonts w:hint="eastAsia" w:hAnsi="宋体"/>
          <w:b w:val="0"/>
          <w:position w:val="0"/>
          <w:szCs w:val="24"/>
        </w:rPr>
      </w:pPr>
      <w:r>
        <w:rPr>
          <w:rFonts w:hAnsi="宋体"/>
          <w:b w:val="0"/>
          <w:position w:val="0"/>
          <w:szCs w:val="24"/>
        </w:rPr>
        <w:t xml:space="preserve">十四、合同内容的交付</w:t>
      </w:r>
      <w:r/>
    </w:p>
    <w:p>
      <w:pPr>
        <w:ind w:firstLine="480"/>
        <w:spacing w:line="360" w:lineRule="auto"/>
        <w:rPr>
          <w:rFonts w:hint="eastAsia" w:hAnsi="宋体"/>
          <w:position w:val="0"/>
          <w:szCs w:val="24"/>
        </w:rPr>
      </w:pPr>
      <w:r>
        <w:rPr>
          <w:rFonts w:hAnsi="宋体"/>
          <w:b w:val="0"/>
          <w:position w:val="0"/>
          <w:szCs w:val="24"/>
        </w:rPr>
        <w:t xml:space="preserve">14.1乙方应保证合同标的安全运达甲方指定地点。</w:t>
      </w:r>
      <w:r/>
    </w:p>
    <w:p>
      <w:pPr>
        <w:ind w:firstLine="480"/>
        <w:spacing w:line="360" w:lineRule="auto"/>
        <w:rPr>
          <w:rFonts w:hint="eastAsia" w:hAnsi="宋体"/>
          <w:position w:val="0"/>
          <w:szCs w:val="24"/>
        </w:rPr>
      </w:pPr>
      <w:r>
        <w:rPr>
          <w:rFonts w:hAnsi="宋体"/>
          <w:b w:val="0"/>
          <w:position w:val="0"/>
          <w:szCs w:val="24"/>
        </w:rPr>
        <w:t xml:space="preserve">14.2 使用说明书、质量检验证明书一并提交甲方。</w:t>
      </w:r>
      <w:r/>
    </w:p>
    <w:p>
      <w:pPr>
        <w:ind w:firstLine="480"/>
        <w:spacing w:line="360" w:lineRule="auto"/>
        <w:rPr>
          <w:rFonts w:hint="eastAsia" w:hAnsi="宋体"/>
          <w:position w:val="0"/>
          <w:szCs w:val="24"/>
        </w:rPr>
      </w:pPr>
      <w:r>
        <w:rPr>
          <w:rFonts w:hAnsi="宋体"/>
          <w:b w:val="0"/>
          <w:position w:val="0"/>
          <w:szCs w:val="24"/>
        </w:rPr>
        <w:t xml:space="preserve">14.3 乙方在合同标的交付甲方48小时前通知甲方准备接收。</w:t>
      </w:r>
      <w:r/>
    </w:p>
    <w:p>
      <w:pPr>
        <w:ind w:firstLine="480"/>
        <w:spacing w:line="360" w:lineRule="auto"/>
        <w:rPr>
          <w:rFonts w:hint="eastAsia" w:hAnsi="宋体"/>
          <w:position w:val="0"/>
          <w:szCs w:val="24"/>
        </w:rPr>
      </w:pPr>
      <w:r>
        <w:rPr>
          <w:rFonts w:hAnsi="宋体"/>
          <w:b w:val="0"/>
          <w:position w:val="0"/>
          <w:szCs w:val="24"/>
        </w:rPr>
        <w:t xml:space="preserve">14.4 合同标的在交付甲方前发生的风险均由乙方负责。</w:t>
      </w:r>
      <w:r/>
    </w:p>
    <w:p>
      <w:pPr>
        <w:ind w:firstLine="480"/>
        <w:spacing w:line="360" w:lineRule="auto"/>
        <w:rPr>
          <w:rFonts w:hint="eastAsia" w:hAnsi="宋体"/>
          <w:position w:val="0"/>
          <w:szCs w:val="24"/>
        </w:rPr>
      </w:pPr>
      <w:r>
        <w:rPr>
          <w:rFonts w:hAnsi="宋体"/>
          <w:b w:val="0"/>
          <w:position w:val="0"/>
          <w:szCs w:val="24"/>
        </w:rPr>
        <w:t xml:space="preserve">14.5 合同标的在规定的交付期限内由乙方送达甲方指定的地点视为交付，乙方同时需通知甲方已送达；</w:t>
      </w:r>
      <w:r/>
    </w:p>
    <w:p>
      <w:pPr>
        <w:ind w:firstLine="480"/>
        <w:spacing w:line="360" w:lineRule="auto"/>
        <w:rPr>
          <w:rFonts w:hint="eastAsia" w:hAnsi="宋体"/>
          <w:position w:val="0"/>
          <w:szCs w:val="24"/>
        </w:rPr>
      </w:pPr>
      <w:r>
        <w:rPr>
          <w:rFonts w:hAnsi="宋体"/>
          <w:b w:val="0"/>
          <w:position w:val="0"/>
          <w:szCs w:val="24"/>
        </w:rPr>
        <w:t xml:space="preserve">14.6合同标的对交付另有要求的，按</w:t>
      </w:r>
      <w:r>
        <w:rPr>
          <w:rFonts w:hint="eastAsia" w:hAnsi="宋体"/>
          <w:b w:val="0"/>
          <w:position w:val="0"/>
          <w:szCs w:val="24"/>
        </w:rPr>
        <w:t xml:space="preserve">招标</w:t>
      </w:r>
      <w:r>
        <w:rPr>
          <w:rFonts w:hAnsi="宋体"/>
          <w:b w:val="0"/>
          <w:position w:val="0"/>
          <w:szCs w:val="24"/>
        </w:rPr>
        <w:t xml:space="preserve">文件中的相关要求执行。</w:t>
      </w:r>
      <w:r/>
    </w:p>
    <w:p>
      <w:pPr>
        <w:ind w:firstLine="480"/>
        <w:spacing w:line="360" w:lineRule="auto"/>
        <w:rPr>
          <w:rFonts w:hint="eastAsia" w:hAnsi="宋体"/>
          <w:b w:val="0"/>
          <w:position w:val="0"/>
          <w:szCs w:val="24"/>
        </w:rPr>
      </w:pPr>
      <w:r>
        <w:rPr>
          <w:rFonts w:hAnsi="宋体"/>
          <w:b w:val="0"/>
          <w:position w:val="0"/>
          <w:szCs w:val="24"/>
        </w:rPr>
        <w:t xml:space="preserve">十五、违约责任</w:t>
      </w:r>
      <w:r/>
    </w:p>
    <w:p>
      <w:pPr>
        <w:ind w:firstLine="480"/>
        <w:spacing w:line="360" w:lineRule="auto"/>
        <w:rPr>
          <w:rFonts w:hint="eastAsia" w:hAnsi="宋体"/>
          <w:position w:val="0"/>
          <w:szCs w:val="24"/>
        </w:rPr>
      </w:pPr>
      <w:r>
        <w:rPr>
          <w:rFonts w:hAnsi="宋体"/>
          <w:b w:val="0"/>
          <w:position w:val="0"/>
          <w:szCs w:val="24"/>
        </w:rPr>
        <w:t xml:space="preserve">15.1 甲方无正当理由拒收的，甲方向乙方偿付拒收货款总值的百分之五违约金。</w:t>
      </w:r>
      <w:r/>
    </w:p>
    <w:p>
      <w:pPr>
        <w:ind w:firstLine="480"/>
        <w:spacing w:line="360" w:lineRule="auto"/>
        <w:rPr>
          <w:rFonts w:hint="eastAsia" w:hAnsi="宋体"/>
          <w:position w:val="0"/>
          <w:szCs w:val="24"/>
        </w:rPr>
      </w:pPr>
      <w:r>
        <w:rPr>
          <w:rFonts w:hAnsi="宋体"/>
          <w:b w:val="0"/>
          <w:position w:val="0"/>
          <w:szCs w:val="24"/>
        </w:rPr>
        <w:t xml:space="preserve">15.2 甲方无故逾期验收和办理合同款支付手续的,甲方应按逾期付款总额每日万分之五向乙方支付违约金。</w:t>
      </w:r>
      <w:r/>
    </w:p>
    <w:p>
      <w:pPr>
        <w:ind w:firstLine="480"/>
        <w:spacing w:line="360" w:lineRule="auto"/>
        <w:rPr>
          <w:rFonts w:hint="eastAsia" w:hAnsi="宋体"/>
          <w:position w:val="0"/>
          <w:szCs w:val="24"/>
        </w:rPr>
      </w:pPr>
      <w:r>
        <w:rPr>
          <w:rFonts w:hAnsi="宋体"/>
          <w:b w:val="0"/>
          <w:position w:val="0"/>
          <w:szCs w:val="24"/>
        </w:rPr>
        <w:t xml:space="preserve">15.3 乙方逾期交付合同标的的，乙方应按逾期交货总额每日千分之六向甲方支付违约金，由甲方从待付合同款中扣除。逾期超过约定日期10个工作日不</w:t>
      </w:r>
      <w:r>
        <w:rPr>
          <w:rFonts w:hAnsi="宋体"/>
          <w:b w:val="0"/>
          <w:position w:val="0"/>
          <w:szCs w:val="24"/>
        </w:rPr>
        <w:t xml:space="preserve">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hAnsi="宋体"/>
          <w:position w:val="0"/>
          <w:szCs w:val="24"/>
        </w:rPr>
      </w:pPr>
      <w:r>
        <w:rPr>
          <w:rFonts w:hAnsi="宋体"/>
          <w:b w:val="0"/>
          <w:position w:val="0"/>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0"/>
        <w:spacing w:line="360" w:lineRule="auto"/>
        <w:rPr>
          <w:rFonts w:hint="eastAsia" w:hAnsi="宋体"/>
          <w:b w:val="0"/>
          <w:position w:val="0"/>
          <w:szCs w:val="24"/>
        </w:rPr>
      </w:pPr>
      <w:r>
        <w:rPr>
          <w:rFonts w:hAnsi="宋体"/>
          <w:b w:val="0"/>
          <w:position w:val="0"/>
          <w:szCs w:val="24"/>
        </w:rPr>
        <w:t xml:space="preserve">十六、不可抗力事件处理</w:t>
      </w:r>
      <w:r/>
    </w:p>
    <w:p>
      <w:pPr>
        <w:ind w:firstLine="480"/>
        <w:spacing w:line="360" w:lineRule="auto"/>
        <w:rPr>
          <w:rFonts w:hint="eastAsia" w:hAnsi="宋体"/>
          <w:position w:val="0"/>
          <w:szCs w:val="24"/>
        </w:rPr>
      </w:pPr>
      <w:r>
        <w:rPr>
          <w:rFonts w:hAnsi="宋体"/>
          <w:b w:val="0"/>
          <w:position w:val="0"/>
          <w:szCs w:val="24"/>
        </w:rPr>
        <w:t xml:space="preserve">16.1 在合同有效期内，任何一方因不可抗力事件导致不能履行合同，则合同履行期延长，其延长期与不可抗力影响期相同。</w:t>
      </w:r>
      <w:r/>
    </w:p>
    <w:p>
      <w:pPr>
        <w:ind w:firstLine="480"/>
        <w:spacing w:line="360" w:lineRule="auto"/>
        <w:rPr>
          <w:rFonts w:hint="eastAsia" w:hAnsi="宋体"/>
          <w:position w:val="0"/>
          <w:szCs w:val="24"/>
        </w:rPr>
      </w:pPr>
      <w:r>
        <w:rPr>
          <w:rFonts w:hAnsi="宋体"/>
          <w:b w:val="0"/>
          <w:position w:val="0"/>
          <w:szCs w:val="24"/>
        </w:rPr>
        <w:t xml:space="preserve">16.2 不可抗力事件发生后，应立即通知对方，并寄送有关权威机构出具的证明。</w:t>
      </w:r>
      <w:r/>
    </w:p>
    <w:p>
      <w:pPr>
        <w:ind w:firstLine="480"/>
        <w:spacing w:line="360" w:lineRule="auto"/>
        <w:rPr>
          <w:rFonts w:hint="eastAsia" w:hAnsi="宋体"/>
          <w:position w:val="0"/>
          <w:szCs w:val="24"/>
        </w:rPr>
      </w:pPr>
      <w:r>
        <w:rPr>
          <w:rFonts w:hAnsi="宋体"/>
          <w:b w:val="0"/>
          <w:position w:val="0"/>
          <w:szCs w:val="24"/>
        </w:rPr>
        <w:t xml:space="preserve">16.3 不可抗力事件延续120天以上，双方应通过友好协商，确定是否继续履行合同。</w:t>
      </w:r>
      <w:r/>
    </w:p>
    <w:p>
      <w:pPr>
        <w:ind w:firstLine="480"/>
        <w:spacing w:line="360" w:lineRule="auto"/>
        <w:rPr>
          <w:rFonts w:hint="eastAsia" w:hAnsi="宋体"/>
          <w:b w:val="0"/>
          <w:position w:val="0"/>
          <w:szCs w:val="24"/>
        </w:rPr>
      </w:pPr>
      <w:r>
        <w:rPr>
          <w:rFonts w:hAnsi="宋体"/>
          <w:b w:val="0"/>
          <w:position w:val="0"/>
          <w:szCs w:val="24"/>
        </w:rPr>
        <w:t xml:space="preserve">  十七、诉讼</w:t>
      </w:r>
      <w:r/>
    </w:p>
    <w:p>
      <w:pPr>
        <w:ind w:firstLine="480"/>
        <w:spacing w:line="360" w:lineRule="auto"/>
        <w:rPr>
          <w:rFonts w:hint="eastAsia" w:hAnsi="宋体"/>
          <w:position w:val="0"/>
          <w:szCs w:val="24"/>
        </w:rPr>
      </w:pPr>
      <w:r>
        <w:rPr>
          <w:rFonts w:hAnsi="宋体"/>
          <w:b w:val="0"/>
          <w:position w:val="0"/>
          <w:szCs w:val="24"/>
        </w:rPr>
        <w:t xml:space="preserve">17.1 双方在执行合同中所发生的一切争议，应通过协商解决。如协商不成，可向合同签订地法院起诉，合同签订地在此约定为南京市。</w:t>
      </w:r>
      <w:r/>
    </w:p>
    <w:p>
      <w:pPr>
        <w:ind w:firstLine="480"/>
        <w:spacing w:line="360" w:lineRule="auto"/>
        <w:rPr>
          <w:rFonts w:hint="eastAsia" w:hAnsi="宋体"/>
          <w:b w:val="0"/>
          <w:position w:val="0"/>
          <w:szCs w:val="24"/>
        </w:rPr>
      </w:pPr>
      <w:r>
        <w:rPr>
          <w:rFonts w:hAnsi="宋体"/>
          <w:b w:val="0"/>
          <w:position w:val="0"/>
          <w:szCs w:val="24"/>
        </w:rPr>
        <w:t xml:space="preserve">  十八、合同生效及其它</w:t>
      </w:r>
      <w:r/>
    </w:p>
    <w:p>
      <w:pPr>
        <w:ind w:firstLine="480"/>
        <w:spacing w:line="360" w:lineRule="auto"/>
        <w:rPr>
          <w:rFonts w:hint="eastAsia" w:hAnsi="宋体"/>
          <w:position w:val="0"/>
          <w:szCs w:val="24"/>
        </w:rPr>
      </w:pPr>
      <w:r>
        <w:rPr>
          <w:rFonts w:hAnsi="宋体"/>
          <w:b w:val="0"/>
          <w:position w:val="0"/>
          <w:szCs w:val="24"/>
        </w:rPr>
        <w:t xml:space="preserve">18.1 合同经双方法定代表人或授权委托代表人签字并加盖单位公章后生效。</w:t>
      </w:r>
      <w:r/>
    </w:p>
    <w:p>
      <w:pPr>
        <w:ind w:firstLine="480"/>
        <w:spacing w:line="360" w:lineRule="auto"/>
        <w:rPr>
          <w:rFonts w:hint="eastAsia" w:hAnsi="宋体"/>
          <w:position w:val="0"/>
          <w:szCs w:val="24"/>
        </w:rPr>
      </w:pPr>
      <w:r>
        <w:rPr>
          <w:rFonts w:hAnsi="宋体"/>
          <w:b w:val="0"/>
          <w:position w:val="0"/>
          <w:szCs w:val="24"/>
        </w:rPr>
        <w:t xml:space="preserve">18.2本合同未尽事宜，遵照《民法典》有关条文执行。</w:t>
      </w:r>
      <w:r/>
    </w:p>
    <w:p>
      <w:pPr>
        <w:ind w:firstLine="480"/>
        <w:spacing w:line="360" w:lineRule="auto"/>
        <w:rPr>
          <w:rFonts w:hint="eastAsia" w:hAnsi="宋体" w:cs="宋体"/>
          <w:b w:val="0"/>
          <w:bCs/>
          <w:szCs w:val="24"/>
        </w:rPr>
      </w:pPr>
      <w:r>
        <w:rPr>
          <w:rFonts w:hAnsi="宋体"/>
          <w:b w:val="0"/>
          <w:position w:val="0"/>
          <w:szCs w:val="24"/>
        </w:rPr>
        <w:t xml:space="preserve">18.3 本合同正本一式三份，具有同等法律效力，甲方、乙方、及财政监管部门各执一份。</w:t>
      </w:r>
      <w:r/>
    </w:p>
    <w:p>
      <w:pPr>
        <w:jc w:val="left"/>
        <w:rPr>
          <w:rFonts w:hint="eastAsia" w:hAnsi="宋体" w:cs="宋体"/>
          <w:b w:val="0"/>
          <w:bCs/>
          <w:szCs w:val="24"/>
        </w:rPr>
      </w:pPr>
      <w:r>
        <w:rPr>
          <w:rFonts w:hint="eastAsia" w:hAnsi="宋体" w:cs="宋体"/>
          <w:b w:val="0"/>
          <w:bCs/>
          <w:szCs w:val="24"/>
        </w:rPr>
        <w:t xml:space="preserve">甲方（采购人）：   （盖章）       乙方（供应商）：    （盖章）</w:t>
      </w:r>
      <w:r/>
    </w:p>
    <w:p>
      <w:pPr>
        <w:jc w:val="left"/>
        <w:tabs>
          <w:tab w:val="left" w:pos="1260" w:leader="none"/>
        </w:tabs>
        <w:rPr>
          <w:rFonts w:hint="eastAsia" w:hAnsi="宋体" w:cs="宋体"/>
          <w:b w:val="0"/>
          <w:bCs/>
          <w:szCs w:val="24"/>
        </w:rPr>
      </w:pPr>
      <w:r>
        <w:rPr>
          <w:rFonts w:hint="eastAsia" w:hAnsi="宋体" w:cs="宋体"/>
          <w:b w:val="0"/>
          <w:bCs/>
          <w:szCs w:val="24"/>
        </w:rPr>
        <w:t xml:space="preserve">法定代表人：                      法定代表人：       </w:t>
      </w:r>
      <w:r/>
    </w:p>
    <w:p>
      <w:pPr>
        <w:jc w:val="left"/>
        <w:tabs>
          <w:tab w:val="left" w:pos="1260" w:leader="none"/>
        </w:tabs>
        <w:rPr>
          <w:rFonts w:hint="eastAsia" w:hAnsi="宋体" w:cs="宋体"/>
          <w:b w:val="0"/>
          <w:bCs/>
          <w:szCs w:val="24"/>
        </w:rPr>
      </w:pPr>
      <w:r>
        <w:rPr>
          <w:rFonts w:hint="eastAsia" w:hAnsi="宋体" w:cs="宋体"/>
          <w:b w:val="0"/>
          <w:bCs/>
          <w:szCs w:val="24"/>
        </w:rPr>
        <w:t xml:space="preserve">委托代理人：                      委托代理人：</w:t>
      </w:r>
      <w:r/>
    </w:p>
    <w:p>
      <w:pPr>
        <w:jc w:val="left"/>
        <w:tabs>
          <w:tab w:val="left" w:pos="1260" w:leader="none"/>
        </w:tabs>
        <w:rPr>
          <w:rFonts w:hint="eastAsia" w:hAnsi="宋体" w:cs="宋体"/>
          <w:b w:val="0"/>
          <w:bCs/>
          <w:szCs w:val="24"/>
        </w:rPr>
      </w:pPr>
      <w:r>
        <w:rPr>
          <w:rFonts w:hint="eastAsia" w:hAnsi="宋体" w:cs="宋体"/>
          <w:b w:val="0"/>
          <w:bCs/>
          <w:szCs w:val="24"/>
        </w:rPr>
        <w:t xml:space="preserve">电话：                            电话：</w:t>
      </w:r>
      <w:r/>
    </w:p>
    <w:p>
      <w:pPr>
        <w:jc w:val="left"/>
        <w:tabs>
          <w:tab w:val="left" w:pos="1260" w:leader="none"/>
        </w:tabs>
        <w:rPr>
          <w:rFonts w:hint="eastAsia" w:hAnsi="宋体" w:cs="宋体"/>
          <w:b w:val="0"/>
          <w:bCs/>
          <w:szCs w:val="24"/>
        </w:rPr>
      </w:pPr>
      <w:r>
        <w:rPr>
          <w:rFonts w:hint="eastAsia" w:hAnsi="宋体" w:cs="宋体"/>
          <w:b w:val="0"/>
          <w:bCs/>
          <w:szCs w:val="24"/>
        </w:rPr>
        <w:t xml:space="preserve">开户银行：                        开户银行：</w:t>
      </w:r>
      <w:r/>
    </w:p>
    <w:p>
      <w:pPr>
        <w:jc w:val="left"/>
        <w:rPr>
          <w:rFonts w:hint="eastAsia" w:hAnsi="宋体" w:cs="宋体"/>
          <w:b w:val="0"/>
          <w:bCs/>
          <w:szCs w:val="24"/>
        </w:rPr>
      </w:pPr>
      <w:r>
        <w:rPr>
          <w:rFonts w:hint="eastAsia" w:hAnsi="宋体" w:cs="宋体"/>
          <w:b w:val="0"/>
          <w:bCs/>
          <w:szCs w:val="24"/>
        </w:rPr>
        <w:t xml:space="preserve">帐号：                            帐号：</w:t>
      </w:r>
      <w:r/>
    </w:p>
    <w:p>
      <w:pPr>
        <w:jc w:val="left"/>
        <w:rPr>
          <w:rFonts w:hint="eastAsia" w:hAnsi="宋体" w:cs="宋体"/>
          <w:b w:val="0"/>
          <w:bCs/>
          <w:szCs w:val="24"/>
        </w:rPr>
      </w:pPr>
      <w:r>
        <w:rPr>
          <w:rFonts w:hint="eastAsia" w:hAnsi="宋体" w:cs="宋体"/>
          <w:b w:val="0"/>
          <w:bCs/>
          <w:szCs w:val="24"/>
        </w:rPr>
        <w:t xml:space="preserve">单位地址：                        单位地址： </w:t>
      </w:r>
      <w:r/>
    </w:p>
    <w:p>
      <w:pPr>
        <w:rPr>
          <w:rFonts w:hint="eastAsia" w:hAnsi="宋体" w:cs="宋体"/>
          <w:b w:val="0"/>
          <w:bCs/>
          <w:szCs w:val="24"/>
        </w:rPr>
      </w:pPr>
      <w:r>
        <w:rPr>
          <w:rFonts w:hint="eastAsia" w:hAnsi="宋体" w:cs="宋体"/>
          <w:b w:val="0"/>
          <w:bCs/>
          <w:szCs w:val="24"/>
        </w:rPr>
        <w:t xml:space="preserve">日期：年  月   日                 日期：年  月  日</w:t>
      </w:r>
      <w:r/>
    </w:p>
    <w:p>
      <w:pPr>
        <w:pStyle w:val="972"/>
        <w:ind w:left="279" w:firstLine="480"/>
      </w:pPr>
      <w:r/>
      <w:r/>
    </w:p>
    <w:p>
      <w:pPr>
        <w:ind w:firstLine="420"/>
        <w:jc w:val="left"/>
        <w:widowControl/>
        <w:rPr>
          <w:b w:val="0"/>
          <w:position w:val="0"/>
          <w:sz w:val="21"/>
          <w:szCs w:val="21"/>
        </w:rPr>
      </w:pPr>
      <w:r>
        <w:rPr>
          <w:b w:val="0"/>
          <w:position w:val="0"/>
          <w:sz w:val="21"/>
          <w:szCs w:val="21"/>
        </w:rPr>
        <w:br w:type="page" w:clear="all"/>
      </w:r>
      <w:r/>
    </w:p>
    <w:p>
      <w:pPr>
        <w:pStyle w:val="946"/>
        <w:spacing w:line="360" w:lineRule="auto"/>
        <w:rPr>
          <w:rFonts w:hint="eastAsia" w:hAnsi="宋体" w:cs="宋体"/>
          <w:bCs/>
          <w:sz w:val="44"/>
        </w:rPr>
      </w:pPr>
      <w:r/>
      <w:bookmarkStart w:id="219"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19"/>
      <w:r/>
      <w:r/>
    </w:p>
    <w:p>
      <w:pPr>
        <w:spacing w:line="360" w:lineRule="auto"/>
      </w:pPr>
      <w:r>
        <w:rPr>
          <w:rFonts w:hint="eastAsia" w:hAnsi="宋体"/>
        </w:rPr>
        <w:t xml:space="preserve">★</w:t>
      </w:r>
      <w:r>
        <w:rPr>
          <w:rFonts w:hint="eastAsia"/>
        </w:rPr>
        <w:t xml:space="preserve">一、技术需求</w:t>
      </w:r>
      <w:r/>
    </w:p>
    <w:p>
      <w:pPr>
        <w:pStyle w:val="1009"/>
        <w:rPr>
          <w:rFonts w:hint="eastAsia"/>
          <w:b w:val="0"/>
          <w:bCs/>
        </w:rPr>
      </w:pPr>
      <w:r/>
      <w:bookmarkStart w:id="220" w:name="_Toc5953"/>
      <w:r/>
      <w:bookmarkStart w:id="221" w:name="_Toc26554093"/>
      <w:r/>
      <w:bookmarkStart w:id="222" w:name="_Toc49090575"/>
      <w:r>
        <w:rPr>
          <w:rFonts w:hint="eastAsia"/>
        </w:rPr>
        <w:t xml:space="preserve">（一）采购清单</w:t>
      </w:r>
      <w:r/>
    </w:p>
    <w:tbl>
      <w:tblPr>
        <w:tblW w:w="4998" w:type="pct"/>
        <w:tblLook w:val="04A0" w:firstRow="1" w:lastRow="0" w:firstColumn="1" w:lastColumn="0" w:noHBand="0" w:noVBand="1"/>
      </w:tblPr>
      <w:tblGrid>
        <w:gridCol w:w="892"/>
        <w:gridCol w:w="3214"/>
        <w:gridCol w:w="1047"/>
        <w:gridCol w:w="1211"/>
        <w:gridCol w:w="1929"/>
      </w:tblGrid>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Cs/>
                <w:position w:val="0"/>
                <w:szCs w:val="24"/>
                <w:lang w:eastAsia="en-US"/>
              </w:rPr>
            </w:pPr>
            <w:r>
              <w:rPr>
                <w:rFonts w:hAnsi="宋体"/>
                <w:bCs/>
                <w:position w:val="0"/>
                <w:szCs w:val="24"/>
              </w:rPr>
              <w:t xml:space="preserve">序号</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Cs/>
                <w:position w:val="0"/>
                <w:szCs w:val="24"/>
                <w:lang w:eastAsia="en-US"/>
              </w:rPr>
            </w:pPr>
            <w:r>
              <w:rPr>
                <w:rFonts w:hAnsi="宋体"/>
                <w:bCs/>
                <w:position w:val="0"/>
                <w:szCs w:val="24"/>
              </w:rPr>
              <w:t xml:space="preserve">设备名称</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Cs/>
                <w:position w:val="0"/>
                <w:szCs w:val="24"/>
                <w:lang w:eastAsia="en-US"/>
              </w:rPr>
            </w:pPr>
            <w:r>
              <w:rPr>
                <w:rFonts w:hAnsi="宋体"/>
                <w:bCs/>
                <w:position w:val="0"/>
                <w:szCs w:val="24"/>
              </w:rPr>
              <w:t xml:space="preserve">数量</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Cs/>
                <w:position w:val="0"/>
                <w:szCs w:val="24"/>
                <w:lang w:eastAsia="en-US"/>
              </w:rPr>
            </w:pPr>
            <w:r>
              <w:rPr>
                <w:rFonts w:hAnsi="宋体"/>
                <w:bCs/>
                <w:position w:val="0"/>
                <w:szCs w:val="24"/>
              </w:rPr>
              <w:t xml:space="preserve">单位</w:t>
            </w:r>
            <w:r/>
          </w:p>
        </w:tc>
        <w:tc>
          <w:tcPr>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center"/>
              <w:spacing w:line="360" w:lineRule="auto"/>
              <w:widowControl/>
              <w:rPr>
                <w:rFonts w:hint="eastAsia" w:hAnsi="宋体"/>
                <w:bCs/>
                <w:position w:val="0"/>
                <w:szCs w:val="24"/>
                <w:lang w:eastAsia="en-US"/>
              </w:rPr>
            </w:pPr>
            <w:r>
              <w:rPr>
                <w:rFonts w:hAnsi="宋体"/>
                <w:bCs/>
                <w:position w:val="0"/>
                <w:szCs w:val="24"/>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交换机1</w:t>
            </w:r>
            <w:r/>
          </w:p>
        </w:tc>
        <w:tc>
          <w:tcPr>
            <w:shd w:val="clear" w:color="auto" w:fill="ffffff"/>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台</w:t>
            </w:r>
            <w:r/>
          </w:p>
        </w:tc>
        <w:tc>
          <w:tcPr>
            <w:shd w:val="clear" w:color="auto" w:fill="ffffff"/>
            <w:tcBorders>
              <w:top w:val="single" w:color="000000" w:sz="4" w:space="0"/>
              <w:left w:val="single" w:color="000000" w:sz="4" w:space="0"/>
              <w:right w:val="single" w:color="000000" w:sz="4" w:space="0"/>
            </w:tcBorders>
            <w:tcW w:w="1163" w:type="pct"/>
            <w:vAlign w:val="center"/>
            <w:vMerge w:val="restart"/>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功能需求详见“技术要求”</w:t>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2</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交换机2</w:t>
            </w:r>
            <w:r/>
          </w:p>
        </w:tc>
        <w:tc>
          <w:tcPr>
            <w:shd w:val="clear" w:color="auto" w:fill="ffffff"/>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4</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台</w:t>
            </w:r>
            <w:r/>
          </w:p>
        </w:tc>
        <w:tc>
          <w:tcPr>
            <w:shd w:val="clear" w:color="auto" w:fill="ffffff"/>
            <w:tcBorders>
              <w:left w:val="single" w:color="000000" w:sz="4" w:space="0"/>
              <w:right w:val="single" w:color="000000" w:sz="4" w:space="0"/>
            </w:tcBorders>
            <w:tcW w:w="1163" w:type="pct"/>
            <w:vAlign w:val="center"/>
            <w:vMerge w:val="continue"/>
            <w:textDirection w:val="lrTb"/>
            <w:noWrap w:val="false"/>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3</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交换机3</w:t>
            </w:r>
            <w:r/>
          </w:p>
        </w:tc>
        <w:tc>
          <w:tcPr>
            <w:shd w:val="clear" w:color="auto" w:fill="ffffff"/>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2</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台</w:t>
            </w:r>
            <w:r/>
          </w:p>
        </w:tc>
        <w:tc>
          <w:tcPr>
            <w:shd w:val="clear" w:color="auto" w:fill="ffffff"/>
            <w:tcBorders>
              <w:left w:val="single" w:color="000000" w:sz="4" w:space="0"/>
              <w:right w:val="single" w:color="000000" w:sz="4" w:space="0"/>
            </w:tcBorders>
            <w:tcW w:w="1163" w:type="pct"/>
            <w:vAlign w:val="center"/>
            <w:vMerge w:val="continue"/>
            <w:textDirection w:val="lrTb"/>
            <w:noWrap w:val="false"/>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4</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tcPr>
          <w:p>
            <w:pPr>
              <w:jc w:val="center"/>
              <w:spacing w:line="360" w:lineRule="auto"/>
              <w:widowControl/>
              <w:rPr>
                <w:rFonts w:hint="eastAsia" w:hAnsi="宋体"/>
                <w:b w:val="0"/>
                <w:position w:val="0"/>
                <w:szCs w:val="24"/>
                <w:lang w:eastAsia="en-US"/>
              </w:rPr>
            </w:pPr>
            <w:r>
              <w:rPr>
                <w:rFonts w:hAnsi="宋体"/>
                <w:b w:val="0"/>
                <w:position w:val="0"/>
                <w:szCs w:val="24"/>
              </w:rPr>
              <w:t xml:space="preserve">WEB应用防火墙</w:t>
            </w:r>
            <w:r/>
          </w:p>
        </w:tc>
        <w:tc>
          <w:tcPr>
            <w:shd w:val="clear" w:color="auto" w:fill="ffffff"/>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台</w:t>
            </w:r>
            <w:r/>
          </w:p>
        </w:tc>
        <w:tc>
          <w:tcPr>
            <w:tcBorders>
              <w:left w:val="single" w:color="000000" w:sz="4" w:space="0"/>
              <w:right w:val="single" w:color="000000" w:sz="4" w:space="0"/>
            </w:tcBorders>
            <w:tcW w:w="1163" w:type="pct"/>
            <w:vAlign w:val="center"/>
            <w:vMerge w:val="continue"/>
            <w:textDirection w:val="lrTb"/>
            <w:noWrap/>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5</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互联网边界防火墙</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2</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台</w:t>
            </w:r>
            <w:r/>
          </w:p>
        </w:tc>
        <w:tc>
          <w:tcPr>
            <w:tcBorders>
              <w:left w:val="single" w:color="000000" w:sz="4" w:space="0"/>
              <w:right w:val="single" w:color="000000" w:sz="4" w:space="0"/>
            </w:tcBorders>
            <w:tcW w:w="1163" w:type="pct"/>
            <w:vAlign w:val="center"/>
            <w:vMerge w:val="continue"/>
            <w:textDirection w:val="lrTb"/>
            <w:noWrap w:val="false"/>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6</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外网端点安全防护设备</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套</w:t>
            </w:r>
            <w:r/>
          </w:p>
        </w:tc>
        <w:tc>
          <w:tcPr>
            <w:tcBorders>
              <w:left w:val="single" w:color="000000" w:sz="4" w:space="0"/>
              <w:right w:val="single" w:color="000000" w:sz="4" w:space="0"/>
            </w:tcBorders>
            <w:tcW w:w="1163" w:type="pct"/>
            <w:vAlign w:val="center"/>
            <w:vMerge w:val="continue"/>
            <w:textDirection w:val="lrTb"/>
            <w:noWrap w:val="false"/>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7</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上网行为管理设备</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台</w:t>
            </w:r>
            <w:r/>
          </w:p>
        </w:tc>
        <w:tc>
          <w:tcPr>
            <w:tcBorders>
              <w:left w:val="single" w:color="000000" w:sz="4" w:space="0"/>
              <w:right w:val="single" w:color="000000" w:sz="4" w:space="0"/>
            </w:tcBorders>
            <w:tcW w:w="1163" w:type="pct"/>
            <w:vAlign w:val="center"/>
            <w:vMerge w:val="continue"/>
            <w:textDirection w:val="lrTb"/>
            <w:noWrap w:val="false"/>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8</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零信任安全接入设备</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套</w:t>
            </w:r>
            <w:r/>
          </w:p>
        </w:tc>
        <w:tc>
          <w:tcPr>
            <w:tcBorders>
              <w:left w:val="single" w:color="000000" w:sz="4" w:space="0"/>
              <w:right w:val="single" w:color="000000" w:sz="4" w:space="0"/>
            </w:tcBorders>
            <w:tcW w:w="1163" w:type="pct"/>
            <w:vAlign w:val="center"/>
            <w:vMerge w:val="continue"/>
            <w:textDirection w:val="lrTb"/>
            <w:noWrap w:val="false"/>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9</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运维管理设备</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台</w:t>
            </w:r>
            <w:r/>
          </w:p>
        </w:tc>
        <w:tc>
          <w:tcPr>
            <w:tcBorders>
              <w:left w:val="single" w:color="000000" w:sz="4" w:space="0"/>
              <w:right w:val="single" w:color="000000" w:sz="4" w:space="0"/>
            </w:tcBorders>
            <w:tcW w:w="1163" w:type="pct"/>
            <w:vAlign w:val="center"/>
            <w:vMerge w:val="continue"/>
            <w:textDirection w:val="lrTb"/>
            <w:noWrap w:val="false"/>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10</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tcPr>
          <w:p>
            <w:pPr>
              <w:jc w:val="center"/>
              <w:spacing w:line="360" w:lineRule="auto"/>
              <w:widowControl/>
              <w:rPr>
                <w:rFonts w:hint="eastAsia" w:hAnsi="宋体"/>
                <w:b w:val="0"/>
                <w:position w:val="0"/>
                <w:szCs w:val="24"/>
                <w:lang w:eastAsia="en-US"/>
              </w:rPr>
            </w:pPr>
            <w:r>
              <w:rPr>
                <w:rFonts w:hAnsi="宋体"/>
                <w:b w:val="0"/>
                <w:position w:val="0"/>
                <w:szCs w:val="24"/>
              </w:rPr>
              <w:t xml:space="preserve">网闸</w:t>
            </w:r>
            <w:r/>
          </w:p>
        </w:tc>
        <w:tc>
          <w:tcPr>
            <w:shd w:val="clear" w:color="auto" w:fill="ffffff"/>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2</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台</w:t>
            </w:r>
            <w:r/>
          </w:p>
        </w:tc>
        <w:tc>
          <w:tcPr>
            <w:tcBorders>
              <w:left w:val="single" w:color="000000" w:sz="4" w:space="0"/>
              <w:right w:val="single" w:color="000000" w:sz="4" w:space="0"/>
            </w:tcBorders>
            <w:tcW w:w="1163" w:type="pct"/>
            <w:vAlign w:val="center"/>
            <w:vMerge w:val="continue"/>
            <w:textDirection w:val="lrTb"/>
            <w:noWrap/>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11</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tcPr>
          <w:p>
            <w:pPr>
              <w:jc w:val="center"/>
              <w:spacing w:line="360" w:lineRule="auto"/>
              <w:widowControl/>
              <w:rPr>
                <w:rFonts w:hint="eastAsia" w:hAnsi="宋体"/>
                <w:b w:val="0"/>
                <w:position w:val="0"/>
                <w:szCs w:val="24"/>
              </w:rPr>
            </w:pPr>
            <w:r>
              <w:rPr>
                <w:rFonts w:hAnsi="宋体"/>
                <w:b w:val="0"/>
                <w:position w:val="0"/>
                <w:szCs w:val="24"/>
              </w:rPr>
              <w:t xml:space="preserve">终端准入设备</w:t>
            </w:r>
            <w:r>
              <w:rPr>
                <w:rFonts w:hint="eastAsia" w:hAnsi="宋体"/>
                <w:bCs/>
                <w:position w:val="0"/>
                <w:szCs w:val="24"/>
              </w:rPr>
              <w:t xml:space="preserve">（核心产品）</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套</w:t>
            </w:r>
            <w:r/>
          </w:p>
        </w:tc>
        <w:tc>
          <w:tcPr>
            <w:tcBorders>
              <w:left w:val="single" w:color="000000" w:sz="4" w:space="0"/>
              <w:right w:val="single" w:color="000000" w:sz="4" w:space="0"/>
            </w:tcBorders>
            <w:tcW w:w="1163" w:type="pct"/>
            <w:vAlign w:val="center"/>
            <w:vMerge w:val="continue"/>
            <w:textDirection w:val="lrTb"/>
            <w:noWrap/>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12</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 w:val="0"/>
                <w:position w:val="0"/>
                <w:szCs w:val="24"/>
              </w:rPr>
            </w:pPr>
            <w:r>
              <w:rPr>
                <w:rFonts w:hAnsi="宋体"/>
                <w:b w:val="0"/>
                <w:position w:val="0"/>
                <w:szCs w:val="24"/>
              </w:rPr>
              <w:t xml:space="preserve">内网端点安全防护设备</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套</w:t>
            </w:r>
            <w:r/>
          </w:p>
        </w:tc>
        <w:tc>
          <w:tcPr>
            <w:tcBorders>
              <w:left w:val="single" w:color="000000" w:sz="4" w:space="0"/>
              <w:right w:val="single" w:color="000000" w:sz="4" w:space="0"/>
            </w:tcBorders>
            <w:tcW w:w="1163" w:type="pct"/>
            <w:vAlign w:val="bottom"/>
            <w:vMerge w:val="continue"/>
            <w:textDirection w:val="lrTb"/>
            <w:noWrap/>
          </w:tcPr>
          <w:p>
            <w:pPr>
              <w:jc w:val="left"/>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13</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安全运营服务</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套</w:t>
            </w:r>
            <w:r/>
          </w:p>
        </w:tc>
        <w:tc>
          <w:tcPr>
            <w:tcBorders>
              <w:left w:val="single" w:color="000000" w:sz="4" w:space="0"/>
              <w:right w:val="single" w:color="000000" w:sz="4" w:space="0"/>
            </w:tcBorders>
            <w:tcW w:w="1163" w:type="pct"/>
            <w:vAlign w:val="center"/>
            <w:vMerge w:val="continue"/>
            <w:textDirection w:val="lrTb"/>
            <w:noWrap w:val="false"/>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r>
        <w:trPr>
          <w:trHeight w:val="400"/>
        </w:trPr>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14</w:t>
            </w:r>
            <w:r/>
          </w:p>
        </w:tc>
        <w:tc>
          <w:tcPr>
            <w:tcBorders>
              <w:top w:val="single" w:color="000000" w:sz="4" w:space="0"/>
              <w:left w:val="single" w:color="000000" w:sz="4" w:space="0"/>
              <w:bottom w:val="single" w:color="000000" w:sz="4" w:space="0"/>
              <w:right w:val="single" w:color="000000" w:sz="4" w:space="0"/>
            </w:tcBorders>
            <w:tcW w:w="1938" w:type="pct"/>
            <w:vAlign w:val="center"/>
            <w:textDirection w:val="lrTb"/>
            <w:noWrap/>
          </w:tcPr>
          <w:p>
            <w:pPr>
              <w:jc w:val="center"/>
              <w:spacing w:line="360" w:lineRule="auto"/>
              <w:widowControl/>
              <w:rPr>
                <w:rFonts w:hint="eastAsia" w:hAnsi="宋体"/>
                <w:b w:val="0"/>
                <w:position w:val="0"/>
                <w:szCs w:val="24"/>
                <w:lang w:eastAsia="en-US"/>
              </w:rPr>
            </w:pPr>
            <w:r>
              <w:rPr>
                <w:rFonts w:hAnsi="宋体"/>
                <w:b w:val="0"/>
                <w:position w:val="0"/>
                <w:szCs w:val="24"/>
              </w:rPr>
              <w:t xml:space="preserve">集成服务</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360" w:lineRule="auto"/>
              <w:widowControl/>
              <w:rPr>
                <w:rFonts w:hint="eastAsia" w:hAnsi="宋体"/>
                <w:b w:val="0"/>
                <w:position w:val="0"/>
                <w:szCs w:val="24"/>
                <w:lang w:eastAsia="en-US"/>
              </w:rPr>
            </w:pPr>
            <w:r>
              <w:rPr>
                <w:rFonts w:hAnsi="宋体"/>
                <w:b w:val="0"/>
                <w:position w:val="0"/>
                <w:szCs w:val="24"/>
              </w:rPr>
              <w:t xml:space="preserve">套</w:t>
            </w:r>
            <w:r/>
          </w:p>
        </w:tc>
        <w:tc>
          <w:tcPr>
            <w:tcBorders>
              <w:left w:val="single" w:color="000000" w:sz="4" w:space="0"/>
              <w:bottom w:val="single" w:color="000000" w:sz="4" w:space="0"/>
              <w:right w:val="single" w:color="000000" w:sz="4" w:space="0"/>
            </w:tcBorders>
            <w:tcW w:w="1163" w:type="pct"/>
            <w:vAlign w:val="center"/>
            <w:vMerge w:val="continue"/>
            <w:textDirection w:val="lrTb"/>
            <w:noWrap/>
          </w:tcPr>
          <w:p>
            <w:pPr>
              <w:jc w:val="center"/>
              <w:spacing w:line="360" w:lineRule="auto"/>
              <w:widowControl/>
              <w:rPr>
                <w:rFonts w:hint="eastAsia" w:hAnsi="宋体"/>
                <w:b w:val="0"/>
                <w:position w:val="0"/>
                <w:szCs w:val="24"/>
                <w:lang w:eastAsia="en-US"/>
              </w:rPr>
            </w:pPr>
            <w:r>
              <w:rPr>
                <w:rFonts w:hint="eastAsia" w:hAnsi="宋体"/>
                <w:b w:val="0"/>
                <w:position w:val="0"/>
                <w:szCs w:val="24"/>
                <w:lang w:eastAsia="en-US"/>
              </w:rPr>
            </w:r>
            <w:r/>
          </w:p>
        </w:tc>
      </w:tr>
    </w:tbl>
    <w:p>
      <w:pPr>
        <w:pStyle w:val="1009"/>
        <w:ind w:firstLine="480"/>
        <w:rPr>
          <w:rFonts w:hint="eastAsia"/>
          <w:b w:val="0"/>
          <w:bCs/>
        </w:rPr>
      </w:pPr>
      <w:r>
        <w:rPr>
          <w:rFonts w:hint="eastAsia"/>
          <w:b w:val="0"/>
          <w:bCs/>
        </w:rPr>
      </w:r>
      <w:r/>
    </w:p>
    <w:p>
      <w:pPr>
        <w:spacing w:line="360" w:lineRule="auto"/>
      </w:pPr>
      <w:r>
        <w:rPr>
          <w:rFonts w:hint="eastAsia"/>
        </w:rPr>
        <w:t xml:space="preserve">（二）技术要求</w:t>
      </w:r>
      <w:r/>
    </w:p>
    <w:p>
      <w:pPr>
        <w:spacing w:line="360" w:lineRule="auto"/>
        <w:rPr>
          <w:b w:val="0"/>
          <w:bCs/>
          <w:szCs w:val="24"/>
        </w:rPr>
      </w:pPr>
      <w:r>
        <w:rPr>
          <w:rFonts w:hint="eastAsia"/>
          <w:szCs w:val="24"/>
        </w:rPr>
        <w:t xml:space="preserve">2.1</w:t>
      </w:r>
      <w:r>
        <w:rPr>
          <w:szCs w:val="24"/>
        </w:rPr>
        <w:t xml:space="preserve">交换机1</w:t>
      </w:r>
      <w:r/>
    </w:p>
    <w:tbl>
      <w:tblPr>
        <w:tblW w:w="4998" w:type="pct"/>
        <w:tblLook w:val="04A0" w:firstRow="1" w:lastRow="0" w:firstColumn="1" w:lastColumn="0" w:noHBand="0" w:noVBand="1"/>
      </w:tblPr>
      <w:tblGrid>
        <w:gridCol w:w="629"/>
        <w:gridCol w:w="904"/>
        <w:gridCol w:w="6760"/>
      </w:tblGrid>
      <w:tr>
        <w:trPr>
          <w:trHeight w:val="340"/>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hint="eastAsia" w:hAnsi="宋体" w:cs="宋体"/>
                <w:szCs w:val="24"/>
              </w:rPr>
            </w:pPr>
            <w:r>
              <w:rPr>
                <w:rFonts w:hint="eastAsia" w:hAnsi="宋体" w:cs="宋体"/>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rPr>
                <w:rFonts w:hint="eastAsia" w:hAnsi="宋体" w:cs="宋体"/>
                <w:szCs w:val="24"/>
              </w:rPr>
            </w:pPr>
            <w:r>
              <w:rPr>
                <w:rFonts w:hint="eastAsia" w:hAnsi="宋体" w:cs="宋体"/>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75" w:type="pct"/>
            <w:vAlign w:val="center"/>
            <w:textDirection w:val="lrTb"/>
            <w:noWrap w:val="false"/>
          </w:tcPr>
          <w:p>
            <w:pPr>
              <w:jc w:val="center"/>
              <w:rPr>
                <w:rFonts w:hint="eastAsia" w:hAnsi="宋体" w:cs="宋体"/>
                <w:szCs w:val="24"/>
              </w:rPr>
            </w:pPr>
            <w:r>
              <w:rPr>
                <w:rFonts w:hint="eastAsia" w:hAnsi="宋体" w:cs="宋体"/>
                <w:szCs w:val="24"/>
                <w:lang w:bidi="ar"/>
              </w:rPr>
              <w:t xml:space="preserve">技术要求</w:t>
            </w:r>
            <w:r/>
          </w:p>
        </w:tc>
      </w:tr>
      <w:tr>
        <w:trPr>
          <w:trHeight w:val="680"/>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产品要求</w:t>
            </w:r>
            <w:r/>
          </w:p>
        </w:tc>
        <w:tc>
          <w:tcPr>
            <w:tcBorders>
              <w:top w:val="single" w:color="000000" w:sz="4" w:space="0"/>
              <w:left w:val="single" w:color="000000" w:sz="4" w:space="0"/>
              <w:bottom w:val="single" w:color="000000" w:sz="4" w:space="0"/>
              <w:right w:val="single" w:color="000000" w:sz="4" w:space="0"/>
            </w:tcBorders>
            <w:tcW w:w="4075" w:type="pct"/>
            <w:vAlign w:val="center"/>
            <w:textDirection w:val="lrTb"/>
            <w:noWrap w:val="false"/>
          </w:tcPr>
          <w:p>
            <w:pPr>
              <w:spacing w:line="360" w:lineRule="auto"/>
              <w:rPr>
                <w:rFonts w:hint="eastAsia" w:hAnsi="宋体" w:cs="宋体"/>
                <w:b w:val="0"/>
                <w:bCs/>
                <w:szCs w:val="24"/>
              </w:rPr>
            </w:pPr>
            <w:r>
              <w:rPr>
                <w:rFonts w:hint="eastAsia"/>
                <w:b w:val="0"/>
                <w:bCs/>
                <w:szCs w:val="24"/>
              </w:rPr>
              <w:t xml:space="preserve">★</w:t>
            </w:r>
            <w:r>
              <w:rPr>
                <w:rFonts w:hint="eastAsia" w:hAnsi="宋体" w:cs="宋体"/>
                <w:b w:val="0"/>
                <w:bCs/>
                <w:szCs w:val="24"/>
                <w:lang w:bidi="ar"/>
              </w:rPr>
              <w:t xml:space="preserve">交换容量≥2.4Tbps，包转发率≥660Mpps，千兆以太网光口≥28个，千兆光电复用口≥4个，万兆以太网光口≥8个（含4个万兆多模模块）；提供年三年质保服务。</w:t>
            </w:r>
            <w:r/>
          </w:p>
        </w:tc>
      </w:tr>
    </w:tbl>
    <w:p>
      <w:pPr>
        <w:jc w:val="left"/>
        <w:widowControl/>
        <w:rPr>
          <w:szCs w:val="24"/>
        </w:rPr>
      </w:pPr>
      <w:r>
        <w:rPr>
          <w:szCs w:val="24"/>
        </w:rPr>
        <w:br w:type="page" w:clear="all"/>
      </w:r>
      <w:r/>
    </w:p>
    <w:p>
      <w:pPr>
        <w:spacing w:line="360" w:lineRule="auto"/>
        <w:rPr>
          <w:szCs w:val="24"/>
        </w:rPr>
      </w:pPr>
      <w:r>
        <w:rPr>
          <w:rFonts w:hint="eastAsia"/>
          <w:szCs w:val="24"/>
        </w:rPr>
        <w:t xml:space="preserve">2.2</w:t>
      </w:r>
      <w:r>
        <w:rPr>
          <w:szCs w:val="24"/>
        </w:rPr>
        <w:t xml:space="preserve">交换机2</w:t>
      </w:r>
      <w:r/>
    </w:p>
    <w:tbl>
      <w:tblPr>
        <w:tblW w:w="4998" w:type="pct"/>
        <w:tblLook w:val="04A0" w:firstRow="1" w:lastRow="0" w:firstColumn="1" w:lastColumn="0" w:noHBand="0" w:noVBand="1"/>
      </w:tblPr>
      <w:tblGrid>
        <w:gridCol w:w="676"/>
        <w:gridCol w:w="857"/>
        <w:gridCol w:w="6760"/>
      </w:tblGrid>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szCs w:val="24"/>
              </w:rPr>
            </w:pPr>
            <w:r>
              <w:rPr>
                <w:rFonts w:hint="eastAsia" w:hAnsi="宋体" w:cs="宋体"/>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hAnsi="宋体" w:cs="宋体"/>
                <w:szCs w:val="24"/>
              </w:rPr>
            </w:pPr>
            <w:r>
              <w:rPr>
                <w:rFonts w:hint="eastAsia" w:hAnsi="宋体" w:cs="宋体"/>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75" w:type="pct"/>
            <w:vAlign w:val="center"/>
            <w:textDirection w:val="lrTb"/>
            <w:noWrap w:val="false"/>
          </w:tcPr>
          <w:p>
            <w:pPr>
              <w:jc w:val="center"/>
              <w:rPr>
                <w:rFonts w:hint="eastAsia" w:hAnsi="宋体" w:cs="宋体"/>
                <w:szCs w:val="24"/>
              </w:rPr>
            </w:pPr>
            <w:r>
              <w:rPr>
                <w:rFonts w:hint="eastAsia" w:hAnsi="宋体" w:cs="宋体"/>
                <w:szCs w:val="24"/>
                <w:lang w:bidi="ar"/>
              </w:rPr>
              <w:t xml:space="preserve">技术要求</w:t>
            </w:r>
            <w:r/>
          </w:p>
        </w:tc>
      </w:tr>
      <w:tr>
        <w:trPr>
          <w:trHeight w:val="68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产品要求</w:t>
            </w:r>
            <w:r/>
          </w:p>
        </w:tc>
        <w:tc>
          <w:tcPr>
            <w:shd w:val="clear" w:color="auto" w:fill="ffffff"/>
            <w:tcBorders>
              <w:top w:val="single" w:color="000000" w:sz="4" w:space="0"/>
              <w:left w:val="single" w:color="000000" w:sz="4" w:space="0"/>
              <w:bottom w:val="single" w:color="000000" w:sz="4" w:space="0"/>
              <w:right w:val="single" w:color="000000" w:sz="4" w:space="0"/>
            </w:tcBorders>
            <w:tcW w:w="4075" w:type="pct"/>
            <w:vAlign w:val="center"/>
            <w:textDirection w:val="lrTb"/>
            <w:noWrap w:val="false"/>
          </w:tcPr>
          <w:p>
            <w:pPr>
              <w:spacing w:line="360" w:lineRule="auto"/>
              <w:rPr>
                <w:rFonts w:hint="eastAsia" w:hAnsi="宋体" w:cs="宋体"/>
                <w:b w:val="0"/>
                <w:bCs/>
                <w:szCs w:val="24"/>
              </w:rPr>
            </w:pPr>
            <w:r>
              <w:rPr>
                <w:rFonts w:hint="eastAsia"/>
                <w:b w:val="0"/>
                <w:bCs/>
                <w:szCs w:val="24"/>
              </w:rPr>
              <w:t xml:space="preserve">★</w:t>
            </w:r>
            <w:r>
              <w:rPr>
                <w:rFonts w:hint="eastAsia" w:hAnsi="宋体" w:cs="宋体"/>
                <w:b w:val="0"/>
                <w:bCs/>
                <w:szCs w:val="24"/>
                <w:lang w:bidi="ar"/>
              </w:rPr>
              <w:t xml:space="preserve">交换容量≥672Gbps，包转发率≥207Mpps，整机提供≥48个千兆以太网电口，提供≥4个万兆以太网光口；提供年三年质保服务。</w:t>
            </w:r>
            <w:r/>
          </w:p>
        </w:tc>
      </w:tr>
    </w:tbl>
    <w:p>
      <w:pPr>
        <w:spacing w:line="360" w:lineRule="auto"/>
        <w:rPr>
          <w:szCs w:val="24"/>
        </w:rPr>
      </w:pPr>
      <w:r>
        <w:rPr>
          <w:szCs w:val="24"/>
        </w:rPr>
      </w:r>
      <w:r/>
    </w:p>
    <w:p>
      <w:pPr>
        <w:spacing w:line="360" w:lineRule="auto"/>
        <w:rPr>
          <w:szCs w:val="24"/>
        </w:rPr>
      </w:pPr>
      <w:r>
        <w:rPr>
          <w:rFonts w:hint="eastAsia"/>
          <w:szCs w:val="24"/>
        </w:rPr>
        <w:t xml:space="preserve">2.3</w:t>
      </w:r>
      <w:r>
        <w:rPr>
          <w:szCs w:val="24"/>
        </w:rPr>
        <w:t xml:space="preserve">交换机3</w:t>
      </w:r>
      <w:r/>
    </w:p>
    <w:tbl>
      <w:tblPr>
        <w:tblW w:w="4998" w:type="pct"/>
        <w:tblLook w:val="04A0" w:firstRow="1" w:lastRow="0" w:firstColumn="1" w:lastColumn="0" w:noHBand="0" w:noVBand="1"/>
      </w:tblPr>
      <w:tblGrid>
        <w:gridCol w:w="660"/>
        <w:gridCol w:w="902"/>
        <w:gridCol w:w="6731"/>
      </w:tblGrid>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szCs w:val="24"/>
              </w:rPr>
            </w:pPr>
            <w:r>
              <w:rPr>
                <w:rFonts w:hint="eastAsia" w:hAnsi="宋体" w:cs="宋体"/>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hAnsi="宋体" w:cs="宋体"/>
                <w:szCs w:val="24"/>
              </w:rPr>
            </w:pPr>
            <w:r>
              <w:rPr>
                <w:rFonts w:hint="eastAsia" w:hAnsi="宋体" w:cs="宋体"/>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center"/>
              <w:rPr>
                <w:rFonts w:hint="eastAsia" w:hAnsi="宋体" w:cs="宋体"/>
                <w:szCs w:val="24"/>
              </w:rPr>
            </w:pPr>
            <w:r>
              <w:rPr>
                <w:rFonts w:hint="eastAsia" w:hAnsi="宋体" w:cs="宋体"/>
                <w:szCs w:val="24"/>
                <w:lang w:bidi="ar"/>
              </w:rPr>
              <w:t xml:space="preserve">技术要求</w:t>
            </w:r>
            <w:r/>
          </w:p>
        </w:tc>
      </w:tr>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产品要求</w:t>
            </w:r>
            <w:r/>
          </w:p>
        </w:tc>
        <w:tc>
          <w:tcPr>
            <w:shd w:val="clear" w:color="auto" w:fill="ffffff"/>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b w:val="0"/>
                <w:bCs/>
                <w:szCs w:val="24"/>
              </w:rPr>
              <w:t xml:space="preserve">★</w:t>
            </w:r>
            <w:r>
              <w:rPr>
                <w:rFonts w:hint="eastAsia" w:hAnsi="宋体" w:cs="宋体"/>
                <w:b w:val="0"/>
                <w:bCs/>
                <w:szCs w:val="24"/>
                <w:lang w:bidi="ar"/>
              </w:rPr>
              <w:t xml:space="preserve">交换容量≥2.56Tbps</w:t>
            </w:r>
            <w:r>
              <w:rPr>
                <w:rFonts w:hint="eastAsia" w:hAnsi="宋体" w:cs="宋体"/>
                <w:b w:val="0"/>
                <w:bCs/>
                <w:szCs w:val="24"/>
                <w:lang w:bidi="ar"/>
              </w:rPr>
              <w:t xml:space="preserve">，</w:t>
            </w:r>
            <w:r>
              <w:rPr>
                <w:rFonts w:hint="eastAsia" w:hAnsi="宋体" w:cs="宋体"/>
                <w:b w:val="0"/>
                <w:bCs/>
                <w:szCs w:val="24"/>
                <w:lang w:bidi="ar"/>
              </w:rPr>
              <w:t xml:space="preserve">包转发率≥1080Mpps</w:t>
            </w:r>
            <w:r>
              <w:rPr>
                <w:rFonts w:hint="eastAsia" w:hAnsi="宋体" w:cs="宋体"/>
                <w:b w:val="0"/>
                <w:bCs/>
                <w:szCs w:val="24"/>
                <w:lang w:bidi="ar"/>
              </w:rPr>
              <w:t xml:space="preserve">，</w:t>
            </w:r>
            <w:r>
              <w:rPr>
                <w:rFonts w:hint="eastAsia" w:hAnsi="宋体" w:cs="宋体"/>
                <w:b w:val="0"/>
                <w:bCs/>
                <w:szCs w:val="24"/>
                <w:lang w:bidi="ar"/>
              </w:rPr>
              <w:t xml:space="preserve">48个万兆以太网光口（含24个万兆单模模块），2个40GE QSFP+；提供年三年质保服务。</w:t>
            </w:r>
            <w:r/>
          </w:p>
        </w:tc>
      </w:tr>
    </w:tbl>
    <w:p>
      <w:pPr>
        <w:spacing w:line="360" w:lineRule="auto"/>
        <w:rPr>
          <w:szCs w:val="24"/>
        </w:rPr>
      </w:pPr>
      <w:r>
        <w:rPr>
          <w:szCs w:val="24"/>
        </w:rPr>
      </w:r>
      <w:r/>
    </w:p>
    <w:p>
      <w:pPr>
        <w:spacing w:line="360" w:lineRule="auto"/>
        <w:rPr>
          <w:szCs w:val="24"/>
        </w:rPr>
      </w:pPr>
      <w:r>
        <w:rPr>
          <w:rFonts w:hint="eastAsia"/>
          <w:szCs w:val="24"/>
        </w:rPr>
        <w:t xml:space="preserve">2.4</w:t>
      </w:r>
      <w:r>
        <w:rPr>
          <w:rFonts w:hint="eastAsia"/>
          <w:szCs w:val="24"/>
        </w:rPr>
        <w:t xml:space="preserve"> </w:t>
      </w:r>
      <w:r>
        <w:rPr>
          <w:szCs w:val="24"/>
        </w:rPr>
        <w:t xml:space="preserve">WEB应用防火墙</w:t>
      </w:r>
      <w:r/>
    </w:p>
    <w:tbl>
      <w:tblPr>
        <w:tblW w:w="4998" w:type="pct"/>
        <w:tblLook w:val="04A0" w:firstRow="1" w:lastRow="0" w:firstColumn="1" w:lastColumn="0" w:noHBand="0" w:noVBand="1"/>
      </w:tblPr>
      <w:tblGrid>
        <w:gridCol w:w="660"/>
        <w:gridCol w:w="887"/>
        <w:gridCol w:w="6746"/>
      </w:tblGrid>
      <w:tr>
        <w:trPr>
          <w:cantSplit/>
          <w:trHeight w:val="340"/>
          <w:tblHeade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szCs w:val="24"/>
              </w:rPr>
            </w:pPr>
            <w:r>
              <w:rPr>
                <w:rFonts w:hint="eastAsia" w:hAnsi="宋体" w:cs="宋体"/>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rPr>
                <w:rFonts w:hint="eastAsia" w:hAnsi="宋体" w:cs="宋体"/>
                <w:szCs w:val="24"/>
              </w:rPr>
            </w:pPr>
            <w:r>
              <w:rPr>
                <w:rFonts w:hint="eastAsia" w:hAnsi="宋体" w:cs="宋体"/>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jc w:val="center"/>
              <w:rPr>
                <w:rFonts w:hint="eastAsia" w:hAnsi="宋体" w:cs="宋体"/>
                <w:szCs w:val="24"/>
              </w:rPr>
            </w:pPr>
            <w:r>
              <w:rPr>
                <w:rFonts w:hint="eastAsia" w:hAnsi="宋体" w:cs="宋体"/>
                <w:szCs w:val="24"/>
                <w:lang w:bidi="ar"/>
              </w:rPr>
              <w:t xml:space="preserve">指标要求</w:t>
            </w:r>
            <w:r/>
          </w:p>
        </w:tc>
      </w:tr>
      <w:tr>
        <w:trPr>
          <w:cantSplit/>
          <w:trHeight w:val="68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硬件要求</w:t>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b w:val="0"/>
                <w:bCs/>
                <w:szCs w:val="24"/>
              </w:rPr>
              <w:t xml:space="preserve">★</w:t>
            </w:r>
            <w:r>
              <w:rPr>
                <w:rFonts w:hint="eastAsia" w:hAnsi="宋体" w:cs="宋体"/>
                <w:b w:val="0"/>
                <w:bCs/>
                <w:szCs w:val="24"/>
                <w:lang w:bidi="ar"/>
              </w:rPr>
              <w:t xml:space="preserve">网络层吞吐量≥20Gbps，IPS吞吐量≥2.5Gbps；内存≥8G，≥8*千兆电口 ，≥2*万兆光口，硬盘 ≥128G SSD；冗余电源。含三年规则库升级，提供三年原厂软硬件质保服务</w:t>
            </w:r>
            <w:r>
              <w:rPr>
                <w:rFonts w:hint="eastAsia" w:hAnsi="宋体" w:cs="宋体"/>
                <w:b w:val="0"/>
                <w:bCs/>
                <w:szCs w:val="24"/>
                <w:lang w:bidi="ar"/>
              </w:rPr>
              <w:t xml:space="preserve">。</w:t>
            </w:r>
            <w:r/>
          </w:p>
        </w:tc>
      </w:tr>
      <w:tr>
        <w:trPr>
          <w:cantSplit/>
          <w:trHeight w:val="68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rPr>
                <w:rFonts w:hint="eastAsia" w:hAnsi="宋体" w:cs="宋体"/>
                <w:b w:val="0"/>
                <w:bCs/>
                <w:szCs w:val="24"/>
              </w:rPr>
            </w:pPr>
            <w:r>
              <w:rPr>
                <w:rFonts w:hint="eastAsia" w:hAnsi="宋体" w:cs="宋体"/>
                <w:b w:val="0"/>
                <w:bCs/>
                <w:szCs w:val="24"/>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为避免业务请求包含完整SQL语言从而导致WAF大量误报，要求货物检测引擎支持自动区分注入型/非注入型攻击，可自动放行非注入型SQL、XSS等。</w:t>
            </w:r>
            <w:r/>
          </w:p>
        </w:tc>
      </w:tr>
      <w:tr>
        <w:trPr>
          <w:cantSplit/>
          <w:trHeight w:val="68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支持自定义规则检测前对请求进行解码，解码类型包括：Base64解码、十六进制解码等不少于5种，可根据业务系统编码类型进行配置，快速实现新爆发漏洞的防护。</w:t>
            </w:r>
            <w:r/>
          </w:p>
        </w:tc>
      </w:tr>
      <w:tr>
        <w:trPr>
          <w:cantSplit/>
          <w:trHeight w:val="34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支持针对一些可疑的攻击或大规模攻击，当超过命中自定义规则设置阈值时，可基于用户、IP、Session限频或拦截。</w:t>
            </w:r>
            <w:r/>
          </w:p>
        </w:tc>
      </w:tr>
      <w:tr>
        <w:trPr>
          <w:cantSplit/>
          <w:trHeight w:val="34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支持访问控制功能，可按照国家、省进行地址访问限制，防止区域性攻击对Web网站造成影响。</w:t>
            </w:r>
            <w:r/>
          </w:p>
        </w:tc>
      </w:tr>
      <w:tr>
        <w:trPr>
          <w:cantSplit/>
          <w:trHeight w:val="55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▲支持SQL注入、XSS跨站攻击防御策略，支持特征检测与语义分析算法检测</w:t>
            </w:r>
            <w:r>
              <w:rPr>
                <w:rFonts w:hint="eastAsia" w:hAnsi="宋体" w:cs="宋体"/>
                <w:szCs w:val="24"/>
                <w:lang w:bidi="ar"/>
              </w:rPr>
              <w:t xml:space="preserve">（需提供产品功能截图并加盖公章）</w:t>
            </w:r>
            <w:r/>
          </w:p>
        </w:tc>
      </w:tr>
      <w:tr>
        <w:trPr>
          <w:cantSplit/>
          <w:trHeight w:val="68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攻击检测日志拥有丰富的筛选条件，并支持筛选规则保存为筛选历史，下次查询可直接选择已保存的筛选规则或在筛选历史中点击历史筛选条件进行日志查询，便于安全人员快速筛选关注日志信息。</w:t>
            </w:r>
            <w:r/>
          </w:p>
        </w:tc>
      </w:tr>
      <w:tr>
        <w:trPr>
          <w:cantSplit/>
          <w:trHeight w:val="68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支持自动汇聚相关攻击事件，将同一来源、相同类型攻击自动汇聚成一条告警数据，并显示攻击次数。便于安全人员快速锁定大范围攻击发生的时间节点及攻击源。</w:t>
            </w:r>
            <w:r/>
          </w:p>
        </w:tc>
      </w:tr>
      <w:tr>
        <w:trPr>
          <w:cantSplit/>
          <w:trHeight w:val="34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拥有多种源IP获取方式，可从Socket、X-Forwarded-For的任意层中或自定义配置HTTP头任意值获取源IP，包括IPV6。</w:t>
            </w:r>
            <w:r/>
          </w:p>
        </w:tc>
      </w:tr>
      <w:tr>
        <w:trPr>
          <w:cantSplit/>
          <w:trHeight w:val="68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支持实时防护状态监控，实时上报检测节点每秒检测数、平均检测耗时，转发节点每秒新建连接数、平均处理延迟和并发连接数，并可图形化展示。</w:t>
            </w:r>
            <w:r/>
          </w:p>
        </w:tc>
      </w:tr>
      <w:tr>
        <w:trPr>
          <w:cantSplit/>
          <w:trHeight w:val="68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lang w:bidi="ar"/>
              </w:rPr>
            </w:pPr>
            <w:r>
              <w:rPr>
                <w:rFonts w:hint="eastAsia" w:hAnsi="宋体" w:cs="宋体"/>
                <w:b w:val="0"/>
                <w:bCs/>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lang w:bidi="ar"/>
              </w:rPr>
            </w:pPr>
            <w:r>
              <w:rPr>
                <w:rFonts w:hint="eastAsia" w:hAnsi="宋体" w:cs="宋体"/>
                <w:b w:val="0"/>
                <w:bCs/>
                <w:szCs w:val="24"/>
                <w:lang w:bidi="ar"/>
              </w:rPr>
              <w:t xml:space="preserve">▲我院对勒索防护重视程度较高，产</w:t>
            </w:r>
            <w:r>
              <w:rPr>
                <w:rFonts w:hAnsi="宋体" w:cs="宋体"/>
                <w:b w:val="0"/>
                <w:bCs/>
                <w:szCs w:val="24"/>
                <w:lang w:bidi="ar"/>
              </w:rPr>
              <w:t xml:space="preserve">品应具备独立的勒索病毒防护模块，</w:t>
            </w:r>
            <w:r>
              <w:rPr>
                <w:rFonts w:hint="eastAsia" w:hAnsi="宋体" w:cs="宋体"/>
                <w:b w:val="0"/>
                <w:bCs/>
                <w:szCs w:val="24"/>
                <w:lang w:bidi="ar"/>
              </w:rPr>
              <w:t xml:space="preserve">非</w:t>
            </w:r>
            <w:r>
              <w:rPr>
                <w:rFonts w:hAnsi="宋体" w:cs="宋体"/>
                <w:b w:val="0"/>
                <w:bCs/>
                <w:szCs w:val="24"/>
                <w:lang w:bidi="ar"/>
              </w:rPr>
              <w:t xml:space="preserve">普通防病毒功能，支持对特定的业务进行勒索风险自动化评估，并依据评估结果自动生成防护策略。</w:t>
            </w:r>
            <w:r>
              <w:rPr>
                <w:rFonts w:hAnsi="宋体" w:cs="宋体"/>
                <w:szCs w:val="24"/>
                <w:lang w:bidi="ar"/>
              </w:rPr>
              <w:t xml:space="preserve">（需提供产品功能截图证明并出具关于“勒索病毒”的软件著作</w:t>
            </w:r>
            <w:r>
              <w:rPr>
                <w:rFonts w:hint="eastAsia" w:hAnsi="宋体" w:cs="宋体"/>
                <w:szCs w:val="24"/>
                <w:lang w:bidi="ar"/>
              </w:rPr>
              <w:t xml:space="preserve">权证书复印件并加盖公章</w:t>
            </w:r>
            <w:r>
              <w:rPr>
                <w:rFonts w:hAnsi="宋体" w:cs="宋体"/>
                <w:szCs w:val="24"/>
                <w:lang w:bidi="ar"/>
              </w:rPr>
              <w:t xml:space="preserve">）</w:t>
            </w:r>
            <w:r>
              <w:rPr>
                <w:rFonts w:hAnsi="宋体" w:cs="宋体"/>
                <w:b w:val="0"/>
                <w:bCs/>
                <w:szCs w:val="24"/>
                <w:lang w:bidi="ar"/>
              </w:rPr>
              <w:t xml:space="preserve">。</w:t>
            </w:r>
            <w:r/>
          </w:p>
        </w:tc>
      </w:tr>
      <w:tr>
        <w:trPr>
          <w:cantSplit/>
          <w:trHeight w:val="680"/>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支持一键生成并可导出WAF管理平台安全基线检查报告，动态检查WAF管理平台的安全合规性，检查内容至少应包含：密码强度、会话超时、账号锁定、口令存储方式等，保证WAF管理平台自身满足合规要求。</w:t>
            </w:r>
            <w:r/>
          </w:p>
        </w:tc>
      </w:tr>
    </w:tbl>
    <w:p>
      <w:pPr>
        <w:rPr>
          <w:b w:val="0"/>
          <w:bCs/>
          <w:szCs w:val="24"/>
        </w:rPr>
      </w:pPr>
      <w:r>
        <w:rPr>
          <w:b w:val="0"/>
          <w:bCs/>
          <w:szCs w:val="24"/>
        </w:rPr>
      </w:r>
      <w:r/>
    </w:p>
    <w:p>
      <w:pPr>
        <w:spacing w:line="360" w:lineRule="auto"/>
        <w:rPr>
          <w:szCs w:val="24"/>
        </w:rPr>
      </w:pPr>
      <w:r>
        <w:rPr>
          <w:rFonts w:hint="eastAsia"/>
          <w:szCs w:val="24"/>
        </w:rPr>
        <w:t xml:space="preserve">2.5</w:t>
      </w:r>
      <w:r>
        <w:rPr>
          <w:szCs w:val="24"/>
        </w:rPr>
        <w:t xml:space="preserve">互联网边界防火墙</w:t>
      </w:r>
      <w:r/>
    </w:p>
    <w:tbl>
      <w:tblPr>
        <w:tblW w:w="4998" w:type="pct"/>
        <w:tblLayout w:type="fixed"/>
        <w:tblLook w:val="04A0" w:firstRow="1" w:lastRow="0" w:firstColumn="1" w:lastColumn="0" w:noHBand="0" w:noVBand="1"/>
      </w:tblPr>
      <w:tblGrid>
        <w:gridCol w:w="675"/>
        <w:gridCol w:w="871"/>
        <w:gridCol w:w="6747"/>
      </w:tblGrid>
      <w:tr>
        <w:trPr>
          <w:cantSplit/>
          <w:trHeight w:val="340"/>
          <w:tblHeader/>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szCs w:val="24"/>
              </w:rPr>
            </w:pPr>
            <w:r>
              <w:rPr>
                <w:rFonts w:hint="eastAsia" w:hAnsi="宋体" w:cs="宋体"/>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hAnsi="宋体" w:cs="宋体"/>
                <w:szCs w:val="24"/>
              </w:rPr>
            </w:pPr>
            <w:r>
              <w:rPr>
                <w:rFonts w:hint="eastAsia" w:hAnsi="宋体" w:cs="宋体"/>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jc w:val="center"/>
              <w:rPr>
                <w:rFonts w:hint="eastAsia" w:hAnsi="宋体" w:cs="宋体"/>
                <w:szCs w:val="24"/>
              </w:rPr>
            </w:pPr>
            <w:r>
              <w:rPr>
                <w:rFonts w:hint="eastAsia" w:hAnsi="宋体" w:cs="宋体"/>
                <w:szCs w:val="24"/>
                <w:lang w:bidi="ar"/>
              </w:rPr>
              <w:t xml:space="preserve">技术要求</w:t>
            </w:r>
            <w:r/>
          </w:p>
        </w:tc>
      </w:tr>
      <w:tr>
        <w:trPr>
          <w:trHeight w:val="68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产品要求</w:t>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★网络层吞吐量≥10G，IPS吞吐量≥1G，并发连接数≥200万，每秒新建连接数≥6万，内存≥8G，硬盘≥128G SSD，单电源，</w:t>
            </w:r>
            <w:r>
              <w:rPr>
                <w:rFonts w:hint="eastAsia" w:hAnsi="宋体" w:cs="宋体"/>
                <w:b w:val="0"/>
                <w:bCs/>
                <w:szCs w:val="24"/>
                <w:lang w:bidi="ar"/>
              </w:rPr>
              <w:t xml:space="preserve">1U，接口≥8千兆电口+2万兆光口SFP+；含IPS、防病毒模块和三年规则库升级，提供三年原厂软硬件质保服务。</w:t>
            </w:r>
            <w:r/>
          </w:p>
        </w:tc>
      </w:tr>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2</w:t>
            </w:r>
            <w:r/>
          </w:p>
        </w:tc>
        <w:tc>
          <w:tcPr>
            <w:tcBorders>
              <w:top w:val="single" w:color="000000" w:sz="4" w:space="0"/>
              <w:left w:val="single" w:color="000000" w:sz="4" w:space="0"/>
              <w:right w:val="single" w:color="000000" w:sz="4" w:space="0"/>
            </w:tcBorders>
            <w:tcW w:w="525" w:type="pct"/>
            <w:vAlign w:val="center"/>
            <w:vMerge w:val="restart"/>
            <w:textDirection w:val="lrTb"/>
            <w:noWrap/>
          </w:tcPr>
          <w:p>
            <w:pPr>
              <w:jc w:val="center"/>
              <w:rPr>
                <w:rFonts w:hint="eastAsia" w:hAnsi="宋体" w:cs="宋体"/>
                <w:b w:val="0"/>
                <w:bCs/>
                <w:szCs w:val="24"/>
              </w:rPr>
            </w:pPr>
            <w:r>
              <w:rPr>
                <w:rFonts w:hint="eastAsia" w:hAnsi="宋体" w:cs="宋体"/>
                <w:b w:val="0"/>
                <w:bCs/>
                <w:szCs w:val="24"/>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产品支持路由模式、透明模式、虚拟网线模式、旁路镜像模式等多种部署方式。</w:t>
            </w:r>
            <w:r/>
          </w:p>
        </w:tc>
      </w:tr>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3</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产品支持静态路由、策略路由、多播路由等常见路由类型，并支持BGP、RIP、OSPF等常见动态路由协议。</w:t>
            </w:r>
            <w:r/>
          </w:p>
        </w:tc>
      </w:tr>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4</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产品支持3种以上的用户认证方式,包含但不限于单点登录、本地账号密码、外部账号密码认证。</w:t>
            </w:r>
            <w:r/>
          </w:p>
        </w:tc>
      </w:tr>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5</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产品支持多维度流量控制功能，支持基于IP地址、用户、应用、时间设置流量控制策略，保证关键业务带宽日常需求。</w:t>
            </w:r>
            <w:r/>
          </w:p>
        </w:tc>
      </w:tr>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6</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产品支持对SMTP、HTTP、FTP、SMB、POP3、HTTPS、IMAP等协议进行病毒防御。</w:t>
            </w:r>
            <w:r/>
          </w:p>
        </w:tc>
      </w:tr>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7</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产品支持对压缩病毒文件进行检测和拦截，压缩层数支持15层及以上。</w:t>
            </w:r>
            <w:r/>
          </w:p>
        </w:tc>
      </w:tr>
      <w:tr>
        <w:trPr>
          <w:trHeight w:val="68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8</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▲支持对接本次采购的“安全运营服务”中的服务平台，支持实时上传检测到的安全事件信息、安全日志数据。</w:t>
            </w:r>
            <w:r>
              <w:rPr>
                <w:rFonts w:hint="eastAsia" w:hAnsi="宋体" w:cs="宋体"/>
                <w:szCs w:val="24"/>
                <w:lang w:bidi="ar"/>
              </w:rPr>
              <w:t xml:space="preserve">（需提供产品功能截图并加盖公章）</w:t>
            </w:r>
            <w:r>
              <w:rPr>
                <w:rFonts w:hint="eastAsia" w:hAnsi="宋体" w:cs="宋体"/>
                <w:b w:val="0"/>
                <w:bCs/>
                <w:szCs w:val="24"/>
                <w:lang w:bidi="ar"/>
              </w:rPr>
              <w:t xml:space="preserve">。</w:t>
            </w:r>
            <w:r/>
          </w:p>
        </w:tc>
      </w:tr>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9</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产品支持僵尸主机检测功能，产品内置僵尸网络特征库超过128万种，可识别主机的异常外联行为。</w:t>
            </w:r>
            <w:r/>
          </w:p>
        </w:tc>
      </w:tr>
      <w:tr>
        <w:trPr>
          <w:trHeight w:val="68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10</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产品支持用户账号安全保护功能，包括用户账号多余入口检测、用户账号弱口令检测、用户账号暴力破解检测、失陷账号检测，防止因账号被暴力破解导致的非法提权情况发生。</w:t>
            </w:r>
            <w:r/>
          </w:p>
        </w:tc>
      </w:tr>
      <w:tr>
        <w:trPr>
          <w:trHeight w:val="68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lang w:bidi="ar"/>
              </w:rPr>
            </w:pPr>
            <w:r>
              <w:rPr>
                <w:rFonts w:hint="eastAsia" w:hAnsi="宋体" w:cs="宋体"/>
                <w:b w:val="0"/>
                <w:bCs/>
                <w:szCs w:val="24"/>
                <w:lang w:bidi="ar"/>
              </w:rPr>
              <w:t xml:space="preserve">11</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ascii="Calibri" w:hAnsi="Calibri"/>
                <w:b w:val="0"/>
                <w:bCs/>
                <w:szCs w:val="24"/>
              </w:rPr>
            </w:pPr>
            <w:r>
              <w:rPr>
                <w:rFonts w:hint="eastAsia" w:hAnsi="宋体" w:cs="宋体"/>
                <w:b w:val="0"/>
                <w:bCs/>
                <w:szCs w:val="24"/>
                <w:lang w:bidi="ar"/>
              </w:rPr>
              <w:t xml:space="preserve">▲产品支持云威胁情报技术，实现对威胁流量就近进行实时检测&amp;拦截，实现失陷外联实时阻断，保护资产安全。</w:t>
            </w:r>
            <w:r>
              <w:rPr>
                <w:rFonts w:hint="eastAsia" w:hAnsi="宋体" w:cs="宋体"/>
                <w:szCs w:val="24"/>
                <w:lang w:bidi="ar"/>
              </w:rPr>
              <w:t xml:space="preserve">（需提供产品功能截图证明并提供具备CNAS/CMA标识的第三方检测报告并加盖公章）</w:t>
            </w:r>
            <w:r>
              <w:rPr>
                <w:rFonts w:hint="eastAsia" w:hAnsi="宋体" w:cs="宋体"/>
                <w:b w:val="0"/>
                <w:bCs/>
                <w:szCs w:val="24"/>
                <w:lang w:bidi="ar"/>
              </w:rPr>
              <w:t xml:space="preserve">。</w:t>
            </w:r>
            <w:r/>
          </w:p>
        </w:tc>
      </w:tr>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12</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产品支持策略生命周期管理功能，支持对安全策略修改的时间、原因、变更类型进行统一管理，便于策略的运维与管理。</w:t>
            </w:r>
            <w:r/>
          </w:p>
        </w:tc>
      </w:tr>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13</w:t>
            </w:r>
            <w:r/>
          </w:p>
        </w:tc>
        <w:tc>
          <w:tcPr>
            <w:tcBorders>
              <w:left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产品支持管理员三权分立功能，根据管理员权限分为安全管理员、安全审计员、系统管理员三种角色。</w:t>
            </w:r>
            <w:r/>
          </w:p>
        </w:tc>
      </w:tr>
      <w:tr>
        <w:trPr>
          <w:trHeight w:val="34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hAnsi="宋体" w:cs="宋体"/>
                <w:b w:val="0"/>
                <w:bCs/>
                <w:szCs w:val="24"/>
                <w:lang w:bidi="ar"/>
              </w:rPr>
            </w:pPr>
            <w:r>
              <w:rPr>
                <w:rFonts w:hint="eastAsia" w:hAnsi="宋体" w:cs="宋体"/>
                <w:b w:val="0"/>
                <w:bCs/>
                <w:szCs w:val="24"/>
                <w:lang w:bidi="ar"/>
              </w:rPr>
              <w:t xml:space="preserve">14</w:t>
            </w:r>
            <w:r/>
          </w:p>
        </w:tc>
        <w:tc>
          <w:tcPr>
            <w:tcBorders>
              <w:left w:val="single" w:color="000000" w:sz="4" w:space="0"/>
              <w:bottom w:val="single" w:color="000000" w:sz="4" w:space="0"/>
              <w:right w:val="single" w:color="000000" w:sz="4" w:space="0"/>
            </w:tcBorders>
            <w:tcW w:w="52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68" w:type="pct"/>
            <w:vAlign w:val="center"/>
            <w:textDirection w:val="lrTb"/>
            <w:noWrap w:val="false"/>
          </w:tcPr>
          <w:p>
            <w:pPr>
              <w:spacing w:line="360" w:lineRule="auto"/>
              <w:rPr>
                <w:rFonts w:hint="eastAsia" w:hAnsi="宋体" w:cs="宋体"/>
                <w:b w:val="0"/>
                <w:bCs/>
                <w:szCs w:val="24"/>
                <w:lang w:bidi="ar"/>
              </w:rPr>
            </w:pPr>
            <w:r>
              <w:rPr>
                <w:rFonts w:hint="eastAsia" w:hAnsi="宋体" w:cs="宋体"/>
                <w:b w:val="0"/>
                <w:bCs/>
                <w:szCs w:val="24"/>
                <w:lang w:bidi="ar"/>
              </w:rPr>
              <w:t xml:space="preserve">▲我院对网络稳定性要求较高，</w:t>
            </w:r>
            <w:r>
              <w:rPr>
                <w:rFonts w:hAnsi="宋体" w:cs="宋体"/>
                <w:b w:val="0"/>
                <w:bCs/>
                <w:szCs w:val="24"/>
                <w:lang w:bidi="ar"/>
              </w:rPr>
              <w:t xml:space="preserve">当主机故障时，双机切换时不丢包，并可实现双机部署下升级不断网</w:t>
            </w:r>
            <w:r>
              <w:rPr>
                <w:rFonts w:hint="eastAsia" w:hAnsi="宋体" w:cs="宋体"/>
                <w:szCs w:val="24"/>
                <w:lang w:bidi="ar"/>
              </w:rPr>
              <w:t xml:space="preserve">（需提供产品功能截图证明并提供具备</w:t>
            </w:r>
            <w:r>
              <w:rPr>
                <w:rFonts w:hAnsi="宋体" w:cs="宋体"/>
                <w:szCs w:val="24"/>
                <w:lang w:bidi="ar"/>
              </w:rPr>
              <w:t xml:space="preserve">CNAS/CMA</w:t>
            </w:r>
            <w:r>
              <w:rPr>
                <w:rFonts w:hint="eastAsia" w:hAnsi="宋体" w:cs="宋体"/>
                <w:szCs w:val="24"/>
                <w:lang w:bidi="ar"/>
              </w:rPr>
              <w:t xml:space="preserve">标识的第三方检测报告并加盖公章）</w:t>
            </w:r>
            <w:r/>
          </w:p>
        </w:tc>
      </w:tr>
    </w:tbl>
    <w:p>
      <w:pPr>
        <w:spacing w:line="360" w:lineRule="auto"/>
        <w:rPr>
          <w:szCs w:val="24"/>
        </w:rPr>
      </w:pPr>
      <w:r>
        <w:rPr>
          <w:szCs w:val="24"/>
        </w:rPr>
      </w:r>
      <w:r/>
    </w:p>
    <w:p>
      <w:pPr>
        <w:spacing w:line="360" w:lineRule="auto"/>
        <w:rPr>
          <w:szCs w:val="24"/>
        </w:rPr>
      </w:pPr>
      <w:r>
        <w:rPr>
          <w:rFonts w:hint="eastAsia"/>
          <w:szCs w:val="24"/>
        </w:rPr>
        <w:t xml:space="preserve">2.6</w:t>
      </w:r>
      <w:r>
        <w:rPr>
          <w:szCs w:val="24"/>
        </w:rPr>
        <w:t xml:space="preserve">外网端点</w:t>
      </w:r>
      <w:r>
        <w:rPr>
          <w:rFonts w:hint="eastAsia"/>
          <w:szCs w:val="24"/>
        </w:rPr>
        <w:t xml:space="preserve">安全防护设备</w:t>
      </w:r>
      <w:r/>
    </w:p>
    <w:tbl>
      <w:tblPr>
        <w:tblW w:w="4998" w:type="pct"/>
        <w:tblLayout w:type="fixed"/>
        <w:tblLook w:val="04A0" w:firstRow="1" w:lastRow="0" w:firstColumn="1" w:lastColumn="0" w:noHBand="0" w:noVBand="1"/>
      </w:tblPr>
      <w:tblGrid>
        <w:gridCol w:w="659"/>
        <w:gridCol w:w="902"/>
        <w:gridCol w:w="6732"/>
      </w:tblGrid>
      <w:tr>
        <w:trPr>
          <w:trHeight w:val="340"/>
          <w:tblHeader/>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szCs w:val="24"/>
              </w:rPr>
            </w:pPr>
            <w:r>
              <w:rPr>
                <w:rFonts w:hint="eastAsia" w:hAnsi="宋体" w:cs="宋体"/>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hAnsi="宋体" w:cs="宋体"/>
                <w:szCs w:val="24"/>
              </w:rPr>
            </w:pPr>
            <w:r>
              <w:rPr>
                <w:rFonts w:hint="eastAsia" w:hAnsi="宋体" w:cs="宋体"/>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center"/>
              <w:rPr>
                <w:rFonts w:hint="eastAsia" w:hAnsi="宋体" w:cs="宋体"/>
                <w:szCs w:val="24"/>
              </w:rPr>
            </w:pPr>
            <w:r>
              <w:rPr>
                <w:rFonts w:hint="eastAsia" w:hAnsi="宋体" w:cs="宋体"/>
                <w:szCs w:val="24"/>
                <w:lang w:bidi="ar"/>
              </w:rPr>
              <w:t xml:space="preserve">技术要求</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产品要求</w:t>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b w:val="0"/>
                <w:bCs/>
                <w:szCs w:val="24"/>
              </w:rPr>
              <w:t xml:space="preserve">★</w:t>
            </w:r>
            <w:r>
              <w:rPr>
                <w:rFonts w:hint="eastAsia" w:hAnsi="宋体" w:cs="宋体"/>
                <w:b w:val="0"/>
                <w:bCs/>
                <w:szCs w:val="24"/>
                <w:lang w:bidi="ar"/>
              </w:rPr>
              <w:t xml:space="preserve">纯软件交付，包含管理控制中心软件及终端客户端软件，本次配置≥200PC软件授权 ，≥30服务器端点软件授权（授权包含Windows、Linux、国产化操等作系统的虚拟机和物理机）；提供三年原厂服务。</w:t>
            </w:r>
            <w:r/>
          </w:p>
        </w:tc>
      </w:tr>
      <w:tr>
        <w:trPr>
          <w:trHeight w:val="3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tcPr>
          <w:p>
            <w:pPr>
              <w:jc w:val="center"/>
              <w:rPr>
                <w:rFonts w:hint="eastAsia" w:hAnsi="宋体" w:cs="宋体"/>
                <w:b w:val="0"/>
                <w:bCs/>
                <w:szCs w:val="24"/>
              </w:rPr>
            </w:pPr>
            <w:r>
              <w:rPr>
                <w:rFonts w:hint="eastAsia" w:hAnsi="宋体" w:cs="宋体"/>
                <w:b w:val="0"/>
                <w:bCs/>
                <w:szCs w:val="24"/>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支持全网风险展示，包括但不限于未处理的勒索病毒数量、暴力破解数量、WebShell后门数量、高危漏洞及其各自影响的终端数量</w:t>
            </w:r>
            <w:r>
              <w:rPr>
                <w:rFonts w:hint="eastAsia" w:hAnsi="宋体" w:cs="宋体"/>
                <w:b w:val="0"/>
                <w:bCs/>
                <w:szCs w:val="24"/>
                <w:lang w:bidi="ar"/>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支持全网视角的终端资产统一清点，清点信息包括操作系统、应用软件、监听端口和主机账户，其中操作系统、应用软件和监听端口支持从资产和终端两个视角进行统计和展示</w:t>
            </w:r>
            <w:r>
              <w:rPr>
                <w:rFonts w:hint="eastAsia" w:hAnsi="宋体" w:cs="宋体"/>
                <w:b w:val="0"/>
                <w:bCs/>
                <w:szCs w:val="24"/>
                <w:lang w:bidi="ar"/>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lang w:bidi="ar"/>
              </w:rPr>
            </w:pPr>
            <w:r>
              <w:rPr>
                <w:rFonts w:hint="eastAsia" w:hAnsi="宋体" w:cs="宋体"/>
                <w:b w:val="0"/>
                <w:bCs/>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lang w:bidi="ar"/>
              </w:rPr>
            </w:pPr>
            <w:r>
              <w:rPr>
                <w:rFonts w:hint="eastAsia" w:hAnsi="宋体" w:cs="宋体"/>
                <w:b w:val="0"/>
                <w:bCs/>
                <w:szCs w:val="24"/>
                <w:lang w:bidi="ar"/>
              </w:rPr>
              <w:t xml:space="preserve">▲支持对压缩包内的病毒扫描，支持多层压缩包的扫描，可自定义配置压缩包的扫描层数，至少大约10层模式下的扫描。</w:t>
            </w:r>
            <w:r>
              <w:rPr>
                <w:rFonts w:hint="eastAsia" w:hAnsi="宋体" w:cs="宋体"/>
                <w:szCs w:val="24"/>
                <w:lang w:bidi="ar"/>
              </w:rPr>
              <w:t xml:space="preserve">（需提供产品功能截图并加盖公章）</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lang w:bidi="ar"/>
              </w:rPr>
            </w:pPr>
            <w:r>
              <w:rPr>
                <w:rFonts w:hint="eastAsia" w:hAnsi="宋体" w:cs="宋体"/>
                <w:b w:val="0"/>
                <w:bCs/>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lang w:bidi="ar"/>
              </w:rPr>
            </w:pPr>
            <w:r>
              <w:rPr>
                <w:rFonts w:hint="eastAsia" w:hAnsi="宋体" w:cs="宋体"/>
                <w:b w:val="0"/>
                <w:bCs/>
                <w:szCs w:val="24"/>
                <w:lang w:bidi="ar"/>
              </w:rPr>
              <w:t xml:space="preserve">▲支持扫描资源占用设置，可设置不限制、均衡型、低资源三种模式。</w:t>
            </w:r>
            <w:r>
              <w:rPr>
                <w:rFonts w:hint="eastAsia" w:hAnsi="宋体" w:cs="宋体"/>
                <w:szCs w:val="24"/>
                <w:lang w:bidi="ar"/>
              </w:rPr>
              <w:t xml:space="preserve">（需提供产品功能截图并加盖公章）</w:t>
            </w:r>
            <w:r/>
          </w:p>
        </w:tc>
      </w:tr>
      <w:tr>
        <w:trPr>
          <w:trHeight w:val="3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支持windows服务器RDP远程登录保护，可开启RDP远程登录二次认证，以防止黑客对服务器的入侵。</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支持Linux服务器SSH远程登录保护，可开启SSH远程登录二次认证，以防止黑客利用弱密码脆弱性对服务器的入侵；支持</w:t>
            </w:r>
            <w:r>
              <w:rPr>
                <w:rFonts w:hint="eastAsia" w:hAnsi="宋体" w:cs="宋体"/>
                <w:b w:val="0"/>
                <w:bCs/>
                <w:szCs w:val="24"/>
                <w:lang w:bidi="ar"/>
              </w:rPr>
              <w:t xml:space="preserve">设置验证码验证或自定义密码验证，支持设置登录认证提示、生效时间段和免二次认证白名单。</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可支持基于终端侧采集记录的行为数据，对文件变更、进程变更、网络连接、DNS查询等多种行为，在全网中搜索命中指定条件的端点和行为，进行高级威胁的狩猎对全网终端发起威胁狩猎，挖掘潜伏攻击。</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构建全网文件信誉库，当一台终端发现某一病毒文件，全网可进行感知并进行针对性查杀，支持处置病毒时选择是否在其它终端上同步处置</w:t>
            </w:r>
            <w:r>
              <w:rPr>
                <w:rFonts w:hint="eastAsia" w:hAnsi="宋体" w:cs="宋体"/>
                <w:b w:val="0"/>
                <w:bCs/>
                <w:szCs w:val="24"/>
                <w:lang w:bidi="ar"/>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▲可支持与本次招标的“互联网边界防火墙”进行安全联动，管理员可以在“互联网边界防火墙”管理界面下发快速查杀任务，并查看任务状态、结果并进行处置，支持在管理平台查询和统计联动信息</w:t>
            </w:r>
            <w:r>
              <w:rPr>
                <w:rFonts w:hint="eastAsia" w:hAnsi="宋体" w:cs="宋体"/>
                <w:szCs w:val="24"/>
                <w:lang w:bidi="ar"/>
              </w:rPr>
              <w:t xml:space="preserve">（需分别提供投标产品和“互联网边界防火墙”功能截图并加盖公章）</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▲支持将检测出来的威胁事件上报到本次招标的“安全运营服务”中的服务平台，进行联合分析溯源终端威胁事件。</w:t>
            </w:r>
            <w:r>
              <w:rPr>
                <w:rFonts w:hint="eastAsia" w:hAnsi="宋体" w:cs="宋体"/>
                <w:szCs w:val="24"/>
                <w:lang w:bidi="ar"/>
              </w:rPr>
              <w:t xml:space="preserve">（需分别提供投标产品和“安全运营服务”中的服务平台功能截图并加盖公章）</w:t>
            </w:r>
            <w:r/>
          </w:p>
        </w:tc>
      </w:tr>
    </w:tbl>
    <w:p>
      <w:pPr>
        <w:spacing w:line="360" w:lineRule="auto"/>
        <w:rPr>
          <w:szCs w:val="24"/>
        </w:rPr>
      </w:pPr>
      <w:r>
        <w:rPr>
          <w:szCs w:val="24"/>
        </w:rPr>
      </w:r>
      <w:r/>
    </w:p>
    <w:p>
      <w:pPr>
        <w:spacing w:line="360" w:lineRule="auto"/>
        <w:rPr>
          <w:szCs w:val="24"/>
        </w:rPr>
      </w:pPr>
      <w:r>
        <w:rPr>
          <w:rFonts w:hint="eastAsia"/>
          <w:szCs w:val="24"/>
        </w:rPr>
        <w:t xml:space="preserve">2.7</w:t>
      </w:r>
      <w:r>
        <w:rPr>
          <w:szCs w:val="24"/>
        </w:rPr>
        <w:t xml:space="preserve">上网行为管理</w:t>
      </w:r>
      <w:r>
        <w:rPr>
          <w:rFonts w:hint="eastAsia"/>
          <w:szCs w:val="24"/>
        </w:rPr>
        <w:t xml:space="preserve">设备</w:t>
      </w:r>
      <w:r/>
    </w:p>
    <w:tbl>
      <w:tblPr>
        <w:tblW w:w="4998" w:type="pct"/>
        <w:tblLayout w:type="fixed"/>
        <w:tblLook w:val="04A0" w:firstRow="1" w:lastRow="0" w:firstColumn="1" w:lastColumn="0" w:noHBand="0" w:noVBand="1"/>
      </w:tblPr>
      <w:tblGrid>
        <w:gridCol w:w="659"/>
        <w:gridCol w:w="902"/>
        <w:gridCol w:w="6732"/>
      </w:tblGrid>
      <w:tr>
        <w:trPr>
          <w:trHeight w:val="340"/>
          <w:tblHeader/>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szCs w:val="24"/>
              </w:rPr>
            </w:pPr>
            <w:r>
              <w:rPr>
                <w:rFonts w:hint="eastAsia" w:hAnsi="宋体" w:cs="宋体"/>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hAnsi="宋体" w:cs="宋体"/>
                <w:szCs w:val="24"/>
              </w:rPr>
            </w:pPr>
            <w:r>
              <w:rPr>
                <w:rFonts w:hint="eastAsia" w:hAnsi="宋体" w:cs="宋体"/>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center"/>
              <w:rPr>
                <w:rFonts w:hint="eastAsia" w:hAnsi="宋体" w:cs="宋体"/>
                <w:szCs w:val="24"/>
              </w:rPr>
            </w:pPr>
            <w:r>
              <w:rPr>
                <w:rFonts w:hint="eastAsia" w:hAnsi="宋体" w:cs="宋体"/>
                <w:szCs w:val="24"/>
                <w:lang w:bidi="ar"/>
              </w:rPr>
              <w:t xml:space="preserve">技术要求</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产品要求</w:t>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b w:val="0"/>
                <w:bCs/>
                <w:szCs w:val="24"/>
              </w:rPr>
              <w:t xml:space="preserve">★</w:t>
            </w:r>
            <w:r>
              <w:rPr>
                <w:rFonts w:hint="eastAsia" w:hAnsi="宋体" w:cs="宋体"/>
                <w:b w:val="0"/>
                <w:bCs/>
                <w:szCs w:val="24"/>
                <w:lang w:bidi="ar"/>
              </w:rPr>
              <w:t xml:space="preserve">网络层吞吐量≥3.6G，应用层吞吐量≥450Mb，带宽性能≥300Mb，最大并发连接数≥150000，每秒新建连接数≥4000；1U硬件</w:t>
            </w:r>
            <w:r>
              <w:rPr>
                <w:rFonts w:hint="eastAsia" w:hAnsi="宋体" w:cs="宋体"/>
                <w:b w:val="0"/>
                <w:bCs/>
                <w:szCs w:val="24"/>
                <w:lang w:bidi="ar"/>
              </w:rPr>
              <w:t xml:space="preserve">；</w:t>
            </w:r>
            <w:r>
              <w:rPr>
                <w:rFonts w:hint="eastAsia" w:hAnsi="宋体" w:cs="宋体"/>
                <w:b w:val="0"/>
                <w:bCs/>
                <w:szCs w:val="24"/>
                <w:lang w:bidi="ar"/>
              </w:rPr>
              <w:t xml:space="preserve">标配≥6千兆电口，≥2千兆光口SFP。单电源，内存≥4G，硬盘≥1</w:t>
            </w:r>
            <w:r>
              <w:rPr>
                <w:rFonts w:hint="eastAsia" w:hAnsi="宋体" w:cs="宋体"/>
                <w:b w:val="0"/>
                <w:bCs/>
                <w:szCs w:val="24"/>
                <w:lang w:bidi="ar"/>
              </w:rPr>
              <w:t xml:space="preserve">×</w:t>
            </w:r>
            <w:r>
              <w:rPr>
                <w:rFonts w:hint="eastAsia" w:hAnsi="宋体" w:cs="宋体"/>
                <w:b w:val="0"/>
                <w:bCs/>
                <w:szCs w:val="24"/>
                <w:lang w:bidi="ar"/>
              </w:rPr>
              <w:t xml:space="preserve">128G SSD，≥1</w:t>
            </w:r>
            <w:r>
              <w:rPr>
                <w:rFonts w:hint="eastAsia" w:hAnsi="宋体" w:cs="宋体"/>
                <w:b w:val="0"/>
                <w:bCs/>
                <w:szCs w:val="24"/>
                <w:lang w:bidi="ar"/>
              </w:rPr>
              <w:t xml:space="preserve">×</w:t>
            </w:r>
            <w:r>
              <w:rPr>
                <w:rFonts w:hint="eastAsia" w:hAnsi="宋体" w:cs="宋体"/>
                <w:b w:val="0"/>
                <w:bCs/>
                <w:szCs w:val="24"/>
                <w:lang w:bidi="ar"/>
              </w:rPr>
              <w:t xml:space="preserve">960G SSD；含三年URL规则库升级，提供三年原厂软硬件质保服务。</w:t>
            </w:r>
            <w:r/>
          </w:p>
        </w:tc>
      </w:tr>
      <w:tr>
        <w:trPr>
          <w:trHeight w:val="3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tcPr>
          <w:p>
            <w:pPr>
              <w:jc w:val="center"/>
              <w:rPr>
                <w:rFonts w:hint="eastAsia" w:hAnsi="宋体" w:cs="宋体"/>
                <w:b w:val="0"/>
                <w:bCs/>
                <w:szCs w:val="24"/>
              </w:rPr>
            </w:pPr>
            <w:r>
              <w:rPr>
                <w:rFonts w:hint="eastAsia" w:hAnsi="宋体" w:cs="宋体"/>
                <w:b w:val="0"/>
                <w:bCs/>
                <w:szCs w:val="24"/>
                <w:lang w:bidi="ar"/>
              </w:rPr>
              <w:t xml:space="preserve">功能</w:t>
            </w:r>
            <w:r>
              <w:rPr>
                <w:rFonts w:hint="eastAsia" w:hAnsi="宋体" w:cs="宋体"/>
                <w:b w:val="0"/>
                <w:bCs/>
                <w:szCs w:val="24"/>
                <w:lang w:bidi="ar"/>
              </w:rPr>
              <w:t xml:space="preserve">要求</w:t>
            </w:r>
            <w:r/>
          </w:p>
        </w:tc>
        <w:tc>
          <w:tcPr>
            <w:tcBorders>
              <w:top w:val="single" w:color="000000" w:sz="4" w:space="0"/>
              <w:left w:val="single" w:color="000000" w:sz="4" w:space="0"/>
              <w:bottom w:val="single" w:color="000000" w:sz="4" w:space="0"/>
              <w:right w:val="single" w:color="000000" w:sz="4" w:space="0"/>
            </w:tcBorders>
            <w:tcW w:w="4057"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支持网关模式，网桥模式，旁路模式等多种部署模式。</w:t>
            </w:r>
            <w:r/>
          </w:p>
        </w:tc>
      </w:tr>
      <w:tr>
        <w:trPr>
          <w:trHeight w:val="6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可以对下载工具、视频播放、网络游戏、金融理财、即时消息、移动应用有独立的分类进行识别控制；为覆盖工作无关应用，移动应用不少于5000种，即时消息应不低于200种，虚拟货币交易平台不低于40种；为规避外发类风险，论坛发帖应不低于3000种，代理隧道不低于100种。</w:t>
            </w:r>
            <w:r/>
          </w:p>
        </w:tc>
      </w:tr>
      <w:tr>
        <w:trPr>
          <w:trHeight w:val="3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支持攻击告警、移动终端管理告警、风险终端发现告警、web关键字过滤告警、杀毒告警、设备流量超限告警、磁盘/CPU/内存异常告警等。</w:t>
            </w:r>
            <w:r/>
          </w:p>
        </w:tc>
      </w:tr>
      <w:tr>
        <w:trPr>
          <w:trHeight w:val="3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支持首页分析显示接入用户人数、终端类型。带宽质量分析、实时流量排名。泄密风险、违规访问、共享上网等行为风险情况。</w:t>
            </w:r>
            <w:r/>
          </w:p>
        </w:tc>
      </w:tr>
      <w:tr>
        <w:trPr>
          <w:trHeight w:val="3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支持查看当前设备的线路状态，线路带宽利用率以及当前策略的引流流量分布和实时的引流策略，支持设置线路流控策略。</w:t>
            </w:r>
            <w:r/>
          </w:p>
        </w:tc>
      </w:tr>
      <w:tr>
        <w:trPr>
          <w:trHeight w:val="3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支持客户端SSL解密，客户端会自动推送根证书安装。</w:t>
            </w:r>
            <w:r/>
          </w:p>
        </w:tc>
      </w:tr>
      <w:tr>
        <w:trPr>
          <w:trHeight w:val="3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能够实时提供产品CPU、内存、磁盘使用率、网口状态、授权状态、系统情况等信息。</w:t>
            </w:r>
            <w:r/>
          </w:p>
        </w:tc>
      </w:tr>
      <w:tr>
        <w:trPr>
          <w:trHeight w:val="3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能够支持IPv6环境下的网址访问审计、生成分析报表等功能；能够在IPv6环境下，正确审计显示用户的IPv6地址。</w:t>
            </w:r>
            <w:r/>
          </w:p>
        </w:tc>
      </w:tr>
    </w:tbl>
    <w:p>
      <w:pPr>
        <w:spacing w:line="360" w:lineRule="auto"/>
        <w:rPr>
          <w:szCs w:val="24"/>
        </w:rPr>
      </w:pPr>
      <w:r>
        <w:rPr>
          <w:szCs w:val="24"/>
        </w:rPr>
      </w:r>
      <w:r/>
    </w:p>
    <w:p>
      <w:pPr>
        <w:spacing w:line="360" w:lineRule="auto"/>
        <w:rPr>
          <w:szCs w:val="24"/>
        </w:rPr>
      </w:pPr>
      <w:r>
        <w:rPr>
          <w:rFonts w:hint="eastAsia"/>
          <w:szCs w:val="24"/>
        </w:rPr>
        <w:t xml:space="preserve">2.8</w:t>
      </w:r>
      <w:r>
        <w:rPr>
          <w:szCs w:val="24"/>
        </w:rPr>
        <w:t xml:space="preserve">零信任</w:t>
      </w:r>
      <w:r>
        <w:rPr>
          <w:rFonts w:hint="eastAsia"/>
          <w:szCs w:val="24"/>
        </w:rPr>
        <w:t xml:space="preserve">安全接入设备</w:t>
      </w:r>
      <w:r/>
    </w:p>
    <w:tbl>
      <w:tblPr>
        <w:tblW w:w="4998" w:type="pct"/>
        <w:tblLayout w:type="fixed"/>
        <w:tblLook w:val="04A0" w:firstRow="1" w:lastRow="0" w:firstColumn="1" w:lastColumn="0" w:noHBand="0" w:noVBand="1"/>
      </w:tblPr>
      <w:tblGrid>
        <w:gridCol w:w="660"/>
        <w:gridCol w:w="902"/>
        <w:gridCol w:w="6731"/>
      </w:tblGrid>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技术要求</w:t>
            </w:r>
            <w:r/>
          </w:p>
        </w:tc>
      </w:tr>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产品要求</w:t>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rPr>
                <w:rFonts w:hint="eastAsia" w:hAnsi="宋体" w:cs="宋体"/>
                <w:b w:val="0"/>
                <w:bCs/>
                <w:color w:val="000000"/>
                <w:szCs w:val="24"/>
              </w:rPr>
            </w:pPr>
            <w:r>
              <w:rPr>
                <w:rFonts w:hint="eastAsia"/>
                <w:b w:val="0"/>
                <w:bCs/>
                <w:szCs w:val="24"/>
              </w:rPr>
              <w:t xml:space="preserve">★</w:t>
            </w:r>
            <w:r>
              <w:rPr>
                <w:rFonts w:hint="eastAsia" w:hAnsi="宋体" w:cs="宋体"/>
                <w:b w:val="0"/>
                <w:bCs/>
                <w:color w:val="000000"/>
                <w:szCs w:val="24"/>
                <w:lang w:bidi="ar"/>
              </w:rPr>
              <w:t xml:space="preserve">提供零信任系统≥100用户接入授权；提供三年原厂服务。</w:t>
            </w:r>
            <w:r/>
          </w:p>
        </w:tc>
      </w:tr>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tcPr>
          <w:p>
            <w:pPr>
              <w:jc w:val="center"/>
              <w:rPr>
                <w:rFonts w:hint="eastAsia" w:hAnsi="宋体" w:cs="宋体"/>
                <w:b w:val="0"/>
                <w:bCs/>
                <w:color w:val="000000"/>
                <w:szCs w:val="24"/>
              </w:rPr>
            </w:pPr>
            <w:r>
              <w:rPr>
                <w:rFonts w:hint="eastAsia" w:hAnsi="宋体" w:cs="宋体"/>
                <w:b w:val="0"/>
                <w:bCs/>
                <w:color w:val="000000"/>
                <w:szCs w:val="24"/>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spacing w:line="360" w:lineRule="auto"/>
              <w:rPr>
                <w:rFonts w:hint="eastAsia" w:hAnsi="宋体" w:cs="宋体"/>
                <w:b w:val="0"/>
                <w:bCs/>
                <w:color w:val="000000"/>
                <w:szCs w:val="24"/>
              </w:rPr>
            </w:pPr>
            <w:r>
              <w:rPr>
                <w:rFonts w:hint="eastAsia" w:hAnsi="宋体" w:cs="宋体"/>
                <w:b w:val="0"/>
                <w:bCs/>
                <w:color w:val="000000"/>
                <w:szCs w:val="24"/>
                <w:lang w:bidi="ar"/>
              </w:rPr>
              <w:t xml:space="preserve">支持本地用户管理、第三方用户源，允许同步来自第三方用户源的组织结构，包括：AD 、OpenLDAP、企业微信、钉钉、飞书和 Azure Active Directory（Microsoft Entra ID）。本地用户使用的内置认证源：本地账号密码、短信。</w:t>
            </w:r>
            <w:r/>
          </w:p>
        </w:tc>
      </w:tr>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color w:val="000000"/>
                <w:szCs w:val="24"/>
              </w:rPr>
            </w:pPr>
            <w:r>
              <w:rPr>
                <w:rFonts w:hint="eastAsia" w:hAnsi="宋体" w:cs="宋体"/>
                <w:b w:val="0"/>
                <w:bCs/>
                <w:color w:val="000000"/>
                <w:szCs w:val="24"/>
              </w:rPr>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spacing w:line="360" w:lineRule="auto"/>
              <w:rPr>
                <w:rFonts w:hint="eastAsia" w:hAnsi="宋体" w:cs="宋体"/>
                <w:b w:val="0"/>
                <w:bCs/>
                <w:color w:val="000000"/>
                <w:szCs w:val="24"/>
              </w:rPr>
            </w:pPr>
            <w:r>
              <w:rPr>
                <w:rFonts w:hint="eastAsia" w:hAnsi="宋体" w:cs="宋体"/>
                <w:b w:val="0"/>
                <w:bCs/>
                <w:color w:val="000000"/>
                <w:szCs w:val="24"/>
                <w:lang w:bidi="ar"/>
              </w:rPr>
              <w:t xml:space="preserve">支持发布 TCP/UDP/ICMP 协议隧道模式的应用。</w:t>
            </w:r>
            <w:r/>
          </w:p>
        </w:tc>
      </w:tr>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color w:val="000000"/>
                <w:szCs w:val="24"/>
              </w:rPr>
            </w:pPr>
            <w:r>
              <w:rPr>
                <w:rFonts w:hint="eastAsia" w:hAnsi="宋体" w:cs="宋体"/>
                <w:b w:val="0"/>
                <w:bCs/>
                <w:color w:val="000000"/>
                <w:szCs w:val="24"/>
              </w:rPr>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spacing w:line="360" w:lineRule="auto"/>
              <w:rPr>
                <w:rFonts w:hint="eastAsia" w:hAnsi="宋体" w:cs="宋体"/>
                <w:b w:val="0"/>
                <w:bCs/>
                <w:color w:val="000000"/>
                <w:szCs w:val="24"/>
              </w:rPr>
            </w:pPr>
            <w:r>
              <w:rPr>
                <w:rFonts w:hint="eastAsia" w:hAnsi="宋体" w:cs="宋体"/>
                <w:b w:val="0"/>
                <w:bCs/>
                <w:color w:val="000000"/>
                <w:szCs w:val="24"/>
                <w:lang w:bidi="ar"/>
              </w:rPr>
              <w:t xml:space="preserve">支持发布IP、IP范围、IP段、具体域名及通配符域名等形式的服务器地址，满足常见办公业务的代理，收缩业务暴露面。</w:t>
            </w:r>
            <w:r/>
          </w:p>
        </w:tc>
      </w:tr>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color w:val="000000"/>
                <w:szCs w:val="24"/>
              </w:rPr>
            </w:pPr>
            <w:r>
              <w:rPr>
                <w:rFonts w:hint="eastAsia" w:hAnsi="宋体" w:cs="宋体"/>
                <w:b w:val="0"/>
                <w:bCs/>
                <w:color w:val="000000"/>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color w:val="000000"/>
                <w:szCs w:val="24"/>
              </w:rPr>
            </w:pPr>
            <w:r>
              <w:rPr>
                <w:rFonts w:hint="eastAsia" w:hAnsi="宋体" w:cs="宋体"/>
                <w:b w:val="0"/>
                <w:bCs/>
                <w:color w:val="000000"/>
                <w:szCs w:val="24"/>
                <w:lang w:bidi="ar"/>
              </w:rPr>
              <w:t xml:space="preserve">支持对终端上U盘和移动硬盘接入设置可读写、拒绝、可读、告警；支持存储设备、网络设备、蓝牙设备、摄像头、打印机的使用管控。支持允许特定的外设（包括U盘/存储设备）在终端上使用，并提供批量获取硬件ID的工具。</w:t>
            </w:r>
            <w:r/>
          </w:p>
        </w:tc>
      </w:tr>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color w:val="000000"/>
                <w:szCs w:val="24"/>
              </w:rPr>
            </w:pPr>
            <w:r>
              <w:rPr>
                <w:rFonts w:hint="eastAsia" w:hAnsi="宋体" w:cs="宋体"/>
                <w:b w:val="0"/>
                <w:bCs/>
                <w:color w:val="000000"/>
                <w:szCs w:val="24"/>
              </w:rPr>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spacing w:line="360" w:lineRule="auto"/>
              <w:rPr>
                <w:rFonts w:hint="eastAsia" w:hAnsi="宋体" w:cs="宋体"/>
                <w:b w:val="0"/>
                <w:bCs/>
                <w:color w:val="000000"/>
                <w:szCs w:val="24"/>
              </w:rPr>
            </w:pPr>
            <w:r>
              <w:rPr>
                <w:rFonts w:hint="eastAsia" w:hAnsi="宋体" w:cs="宋体"/>
                <w:b w:val="0"/>
                <w:bCs/>
                <w:color w:val="000000"/>
                <w:szCs w:val="24"/>
                <w:lang w:bidi="ar"/>
              </w:rPr>
              <w:t xml:space="preserve">支持发布 HTTP/HTTPs 协议的隧道资源，可支持日志审计粒度到URL级别，支持Web水印、单点登录等功能。</w:t>
            </w:r>
            <w:r/>
          </w:p>
        </w:tc>
      </w:tr>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color w:val="000000"/>
                <w:szCs w:val="24"/>
              </w:rPr>
            </w:pPr>
            <w:r>
              <w:rPr>
                <w:rFonts w:hint="eastAsia" w:hAnsi="宋体" w:cs="宋体"/>
                <w:b w:val="0"/>
                <w:bCs/>
                <w:color w:val="000000"/>
                <w:szCs w:val="24"/>
              </w:rPr>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spacing w:line="360" w:lineRule="auto"/>
              <w:rPr>
                <w:rFonts w:hint="eastAsia" w:hAnsi="宋体" w:cs="宋体"/>
                <w:b w:val="0"/>
                <w:bCs/>
                <w:color w:val="000000"/>
                <w:szCs w:val="24"/>
              </w:rPr>
            </w:pPr>
            <w:r>
              <w:rPr>
                <w:rFonts w:hint="eastAsia" w:hAnsi="宋体" w:cs="宋体"/>
                <w:b w:val="0"/>
                <w:bCs/>
                <w:color w:val="000000"/>
                <w:szCs w:val="24"/>
                <w:lang w:bidi="ar"/>
              </w:rPr>
              <w:t xml:space="preserve">支持基于应用资源的风险点而配置一系列准入防护策略，对用户访问应用过程全生命周期进行实时检测测，当触发策略条件时，执行对应的防护动作。</w:t>
            </w:r>
            <w:r>
              <w:rPr>
                <w:rFonts w:hint="eastAsia" w:hAnsi="宋体" w:cs="宋体"/>
                <w:b w:val="0"/>
                <w:bCs/>
                <w:color w:val="000000"/>
                <w:szCs w:val="24"/>
                <w:lang w:bidi="ar"/>
              </w:rPr>
              <w:br/>
              <w:t xml:space="preserve">1. 选择策略适用的用户及应用</w:t>
            </w:r>
            <w:r>
              <w:rPr>
                <w:rFonts w:hint="eastAsia" w:hAnsi="宋体" w:cs="宋体"/>
                <w:b w:val="0"/>
                <w:bCs/>
                <w:color w:val="000000"/>
                <w:szCs w:val="24"/>
                <w:lang w:bidi="ar"/>
              </w:rPr>
              <w:br/>
              <w:t xml:space="preserve">2. 配置策略判定条件</w:t>
            </w:r>
            <w:r>
              <w:rPr>
                <w:rFonts w:hint="eastAsia" w:hAnsi="宋体" w:cs="宋体"/>
                <w:b w:val="0"/>
                <w:bCs/>
                <w:color w:val="000000"/>
                <w:szCs w:val="24"/>
                <w:lang w:bidi="ar"/>
              </w:rPr>
              <w:br/>
              <w:t xml:space="preserve">3. 自定义用户提示</w:t>
            </w:r>
            <w:r>
              <w:rPr>
                <w:rFonts w:hint="eastAsia" w:hAnsi="宋体" w:cs="宋体"/>
                <w:b w:val="0"/>
                <w:bCs/>
                <w:color w:val="000000"/>
                <w:szCs w:val="24"/>
                <w:lang w:bidi="ar"/>
              </w:rPr>
              <w:br/>
              <w:t xml:space="preserve">4. 配置策略基本信息，便于管理员管理</w:t>
            </w:r>
            <w:r>
              <w:rPr>
                <w:rFonts w:hint="eastAsia" w:hAnsi="宋体" w:cs="宋体"/>
                <w:b w:val="0"/>
                <w:bCs/>
                <w:color w:val="000000"/>
                <w:szCs w:val="24"/>
                <w:lang w:bidi="ar"/>
              </w:rPr>
              <w:br/>
              <w:t xml:space="preserve">5. 配置策略状态，启用或禁用</w:t>
            </w:r>
            <w:r/>
          </w:p>
        </w:tc>
      </w:tr>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color w:val="000000"/>
                <w:szCs w:val="24"/>
              </w:rPr>
            </w:pPr>
            <w:r>
              <w:rPr>
                <w:rFonts w:hint="eastAsia" w:hAnsi="宋体" w:cs="宋体"/>
                <w:b w:val="0"/>
                <w:bCs/>
                <w:color w:val="000000"/>
                <w:szCs w:val="24"/>
              </w:rPr>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spacing w:line="360" w:lineRule="auto"/>
              <w:rPr>
                <w:rFonts w:hint="eastAsia" w:hAnsi="宋体" w:cs="宋体"/>
                <w:b w:val="0"/>
                <w:bCs/>
                <w:color w:val="000000"/>
                <w:szCs w:val="24"/>
              </w:rPr>
            </w:pPr>
            <w:r>
              <w:rPr>
                <w:rFonts w:hint="eastAsia" w:hAnsi="宋体" w:cs="宋体"/>
                <w:b w:val="0"/>
                <w:bCs/>
                <w:color w:val="000000"/>
                <w:szCs w:val="24"/>
                <w:lang w:bidi="ar"/>
              </w:rPr>
              <w:t xml:space="preserve">用户通过零信任访问内部应用，访问时需进行身份认证，认证成功后即可进入工作台，在工作台内，用户可以查看并点击应用图标快速访问其有权限的应用。</w:t>
            </w:r>
            <w:r/>
          </w:p>
        </w:tc>
      </w:tr>
      <w:tr>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tcPr>
          <w:p>
            <w:pPr>
              <w:jc w:val="center"/>
              <w:rPr>
                <w:rFonts w:hint="eastAsia" w:hAnsi="宋体" w:cs="宋体"/>
                <w:b w:val="0"/>
                <w:bCs/>
                <w:color w:val="000000"/>
                <w:szCs w:val="24"/>
              </w:rPr>
            </w:pPr>
            <w:r>
              <w:rPr>
                <w:rFonts w:hint="eastAsia" w:hAnsi="宋体" w:cs="宋体"/>
                <w:b w:val="0"/>
                <w:bCs/>
                <w:color w:val="000000"/>
                <w:szCs w:val="24"/>
              </w:rPr>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spacing w:line="360" w:lineRule="auto"/>
              <w:rPr>
                <w:rFonts w:hint="eastAsia" w:hAnsi="宋体" w:cs="宋体"/>
                <w:b w:val="0"/>
                <w:bCs/>
                <w:color w:val="000000"/>
                <w:szCs w:val="24"/>
              </w:rPr>
            </w:pPr>
            <w:r>
              <w:rPr>
                <w:rFonts w:hint="eastAsia" w:hAnsi="宋体" w:cs="宋体"/>
                <w:b w:val="0"/>
                <w:bCs/>
                <w:color w:val="000000"/>
                <w:szCs w:val="24"/>
                <w:lang w:bidi="ar"/>
              </w:rPr>
              <w:t xml:space="preserve">可基于应用资源的风险点而配置一系列准入防护策略，对用户访问应用过程全生命周期进行实时检测测，当触发策略条件时，执行对应的防护动作。</w:t>
            </w:r>
            <w:r/>
          </w:p>
        </w:tc>
      </w:tr>
    </w:tbl>
    <w:p>
      <w:pPr>
        <w:spacing w:line="360" w:lineRule="auto"/>
        <w:rPr>
          <w:szCs w:val="24"/>
        </w:rPr>
      </w:pPr>
      <w:r>
        <w:rPr>
          <w:szCs w:val="24"/>
        </w:rPr>
      </w:r>
      <w:r/>
    </w:p>
    <w:p>
      <w:pPr>
        <w:spacing w:line="360" w:lineRule="auto"/>
        <w:rPr>
          <w:szCs w:val="24"/>
        </w:rPr>
      </w:pPr>
      <w:r>
        <w:rPr>
          <w:rFonts w:hint="eastAsia"/>
          <w:szCs w:val="24"/>
        </w:rPr>
        <w:t xml:space="preserve">2.9</w:t>
      </w:r>
      <w:r>
        <w:rPr>
          <w:szCs w:val="24"/>
        </w:rPr>
        <w:t xml:space="preserve">运维管理</w:t>
      </w:r>
      <w:r>
        <w:rPr>
          <w:rFonts w:hint="eastAsia"/>
          <w:szCs w:val="24"/>
        </w:rPr>
        <w:t xml:space="preserve">设备</w:t>
      </w:r>
      <w:r/>
    </w:p>
    <w:tbl>
      <w:tblPr>
        <w:tblW w:w="4998" w:type="pct"/>
        <w:tblLayout w:type="fixed"/>
        <w:tblLook w:val="04A0" w:firstRow="1" w:lastRow="0" w:firstColumn="1" w:lastColumn="0" w:noHBand="0" w:noVBand="1"/>
      </w:tblPr>
      <w:tblGrid>
        <w:gridCol w:w="645"/>
        <w:gridCol w:w="919"/>
        <w:gridCol w:w="6729"/>
      </w:tblGrid>
      <w:tr>
        <w:trPr>
          <w:trHeight w:val="340"/>
          <w:tblHeader/>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hAnsi="宋体" w:cs="宋体"/>
                <w:szCs w:val="24"/>
              </w:rPr>
            </w:pPr>
            <w:r>
              <w:rPr>
                <w:rFonts w:hint="eastAsia" w:hAnsi="宋体" w:cs="宋体"/>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hint="eastAsia" w:hAnsi="宋体" w:cs="宋体"/>
                <w:szCs w:val="24"/>
              </w:rPr>
            </w:pPr>
            <w:r>
              <w:rPr>
                <w:rFonts w:hint="eastAsia" w:hAnsi="宋体" w:cs="宋体"/>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jc w:val="center"/>
              <w:rPr>
                <w:rFonts w:hint="eastAsia" w:hAnsi="宋体" w:cs="宋体"/>
                <w:szCs w:val="24"/>
              </w:rPr>
            </w:pPr>
            <w:r>
              <w:rPr>
                <w:rFonts w:hint="eastAsia" w:hAnsi="宋体" w:cs="宋体"/>
                <w:szCs w:val="24"/>
                <w:lang w:bidi="ar"/>
              </w:rPr>
              <w:t xml:space="preserve">技术要求</w:t>
            </w:r>
            <w:r/>
          </w:p>
        </w:tc>
      </w:tr>
      <w:tr>
        <w:trPr>
          <w:trHeight w:val="680"/>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产品要求</w:t>
            </w:r>
            <w:r/>
          </w:p>
        </w:tc>
        <w:tc>
          <w:tcPr>
            <w:tcBorders>
              <w:top w:val="single" w:color="000000" w:sz="4" w:space="0"/>
              <w:left w:val="single" w:color="000000" w:sz="4" w:space="0"/>
              <w:bottom w:val="single" w:color="000000" w:sz="4" w:space="0"/>
              <w:right w:val="single" w:color="000000" w:sz="4" w:space="0"/>
            </w:tcBorders>
            <w:tcW w:w="4056" w:type="pct"/>
            <w:vAlign w:val="center"/>
            <w:textDirection w:val="lrTb"/>
            <w:noWrap w:val="false"/>
          </w:tcPr>
          <w:p>
            <w:pPr>
              <w:spacing w:line="360" w:lineRule="auto"/>
              <w:rPr>
                <w:rFonts w:hint="eastAsia" w:hAnsi="宋体" w:cs="宋体"/>
                <w:b w:val="0"/>
                <w:bCs/>
                <w:szCs w:val="24"/>
              </w:rPr>
            </w:pPr>
            <w:r>
              <w:rPr>
                <w:rFonts w:hint="eastAsia"/>
                <w:b w:val="0"/>
                <w:bCs/>
                <w:szCs w:val="24"/>
              </w:rPr>
              <w:t xml:space="preserve">★</w:t>
            </w:r>
            <w:r>
              <w:rPr>
                <w:rFonts w:hint="eastAsia" w:hAnsi="宋体" w:cs="宋体"/>
                <w:b w:val="0"/>
                <w:bCs/>
                <w:szCs w:val="24"/>
                <w:lang w:bidi="ar"/>
              </w:rPr>
              <w:t xml:space="preserve">性能要求：运维授权数≥150，图形运维最大并发数≥100，字符运维最大并发数≥200；硬件要求：内存≥8G，硬盘≥4T SATA,单电源，1U，接口≥6千兆电口；提供三年原厂软硬件质保。</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54" w:type="pct"/>
            <w:vAlign w:val="center"/>
            <w:vMerge w:val="restart"/>
            <w:textDirection w:val="lrTb"/>
            <w:noWrap/>
          </w:tcPr>
          <w:p>
            <w:pPr>
              <w:jc w:val="center"/>
              <w:rPr>
                <w:rFonts w:hint="eastAsia" w:hAnsi="宋体" w:cs="宋体"/>
                <w:b w:val="0"/>
                <w:bCs/>
                <w:szCs w:val="24"/>
              </w:rPr>
            </w:pPr>
            <w:r>
              <w:rPr>
                <w:rFonts w:hint="eastAsia" w:hAnsi="宋体" w:cs="宋体"/>
                <w:b w:val="0"/>
                <w:bCs/>
                <w:szCs w:val="24"/>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可以通过动作流配置提供广泛的应用接入支持，被接入的资源如何设计登录动作，通过动作流配置可以实现单点登陆。</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支持批量导入、导出用户信息；支持用户手动添加、删除、编辑、设定角色、单独指定登陆认证方式、设定用户有效期</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支持从windows AD域抽取用户账号作为主账号，支持一次性抽取和周期性抽取两种方式</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内置三种角色的同时支持角色灵活自定义，可根据用户实际的管理特性安全管理组织架构，划分管理角色的管理范畴。</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支持以图形方式查看用户占比、在线用户数量、以及活跃用户</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支持unix资源、windows资源、网络设备资源、数据库资源、C/S资源、B/S资源</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支持RDP安全模式设置，以适应RDP-Tcp属性中的所有功能配置，包括加密级别为客户端兼容、低、高、符合FIPS标准等加密级别。</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支持以柱形图方式查看系统中不同资源所占比例</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支持一对一、一对多、多对多授权，如将单个资产授权多个用户，一个用户授予多个资产，用户组向资产组授权</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支持跨部门的交叉授权操作，部门资源管理员可将本部门资源授权给其他部门用户，实现资源临时/长期跨部门访问</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支持命令黑命单，对字符型设备（如linux/unix/网络设备）的高危命令执行进行阻断，如rm、shutdown、reboot等</w:t>
            </w:r>
            <w:r/>
          </w:p>
        </w:tc>
      </w:tr>
      <w:tr>
        <w:trPr>
          <w:trHeight w:val="377"/>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支持多因子认证，方式包括手机令牌、手机短信、动态令牌、USBKey、指纹识别等多因子认证方式。</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支持配置资源访问时间规则，即使授权范围内的资源，需在指定时间范围内才可发起访问，确保运维在可信时间范围。</w:t>
            </w:r>
            <w:r/>
          </w:p>
        </w:tc>
      </w:tr>
      <w:tr>
        <w:trPr>
          <w:trHeight w:val="640"/>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支持web页面直接发起运维，无需安装任何控件，并同时支持调用SecureCRT、Xshell、Putty、WinSCP、FileZilla、RDP等客户端工具实现单点登陆，不改变运维人员操作习惯。</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支持监控正在运维的会话，信息包括运维用户、运维客户端地址、资源地址、协议、开始时间等，并可以实时阻断</w:t>
            </w:r>
            <w:r/>
          </w:p>
        </w:tc>
      </w:tr>
      <w:tr>
        <w:trPr>
          <w:trHeight w:val="336"/>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554"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图形资源访问时，支持键盘、剪切板，并且对图形资源的审计回放时，可以从某个键盘、剪切板的指定位置开始回放。</w:t>
            </w:r>
            <w:r/>
          </w:p>
        </w:tc>
      </w:tr>
    </w:tbl>
    <w:p>
      <w:pPr>
        <w:rPr>
          <w:b w:val="0"/>
          <w:bCs/>
          <w:szCs w:val="24"/>
        </w:rPr>
      </w:pPr>
      <w:r>
        <w:rPr>
          <w:b w:val="0"/>
          <w:bCs/>
          <w:szCs w:val="24"/>
        </w:rPr>
      </w:r>
      <w:r/>
    </w:p>
    <w:p>
      <w:pPr>
        <w:spacing w:line="360" w:lineRule="auto"/>
        <w:rPr>
          <w:szCs w:val="24"/>
        </w:rPr>
      </w:pPr>
      <w:r>
        <w:rPr>
          <w:rFonts w:hint="eastAsia"/>
          <w:szCs w:val="24"/>
        </w:rPr>
        <w:t xml:space="preserve">2.10</w:t>
      </w:r>
      <w:r>
        <w:rPr>
          <w:szCs w:val="24"/>
        </w:rPr>
        <w:t xml:space="preserve">网闸</w:t>
      </w:r>
      <w:r/>
    </w:p>
    <w:tbl>
      <w:tblPr>
        <w:tblW w:w="0" w:type="auto"/>
        <w:tblInd w:w="91" w:type="dxa"/>
        <w:tblLook w:val="04A0" w:firstRow="1" w:lastRow="0" w:firstColumn="1" w:lastColumn="0" w:noHBand="0" w:noVBand="1"/>
      </w:tblPr>
      <w:tblGrid>
        <w:gridCol w:w="670"/>
        <w:gridCol w:w="879"/>
        <w:gridCol w:w="6656"/>
      </w:tblGrid>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6864" w:type="dxa"/>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技术要求</w:t>
            </w:r>
            <w:r/>
          </w:p>
        </w:tc>
      </w:tr>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产品要求</w:t>
            </w:r>
            <w:r/>
          </w:p>
        </w:tc>
        <w:tc>
          <w:tcPr>
            <w:tcBorders>
              <w:top w:val="single" w:color="000000" w:sz="4" w:space="0"/>
              <w:left w:val="single" w:color="000000" w:sz="4" w:space="0"/>
              <w:bottom w:val="single" w:color="000000" w:sz="4" w:space="0"/>
              <w:right w:val="single" w:color="000000" w:sz="4" w:space="0"/>
            </w:tcBorders>
            <w:tcW w:w="6864" w:type="dxa"/>
            <w:vAlign w:val="center"/>
            <w:textDirection w:val="lrTb"/>
            <w:noWrap w:val="false"/>
          </w:tcPr>
          <w:p>
            <w:pPr>
              <w:spacing w:line="360" w:lineRule="auto"/>
              <w:rPr>
                <w:rFonts w:hint="eastAsia" w:hAnsi="宋体" w:cs="宋体"/>
                <w:b w:val="0"/>
                <w:bCs/>
                <w:szCs w:val="24"/>
              </w:rPr>
            </w:pPr>
            <w:r>
              <w:rPr>
                <w:rFonts w:hint="eastAsia"/>
                <w:b w:val="0"/>
                <w:bCs/>
                <w:szCs w:val="24"/>
              </w:rPr>
              <w:t xml:space="preserve">★</w:t>
            </w:r>
            <w:r>
              <w:rPr>
                <w:rFonts w:hint="eastAsia" w:hAnsi="宋体" w:cs="宋体"/>
                <w:b w:val="0"/>
                <w:bCs/>
                <w:szCs w:val="24"/>
                <w:lang w:bidi="ar"/>
              </w:rPr>
              <w:t xml:space="preserve">性能要求：采用双主机架构：吞吐量≥1Gbps，并发连接数≥10W；单主机硬件要求：内存≥16G，硬盘≥960G SSD，冗余电源，2U，接口≥6千兆电口+4千兆光口+2万兆光口；提供三年原厂软硬件质保服务。</w:t>
            </w:r>
            <w:r/>
          </w:p>
        </w:tc>
      </w:tr>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97" w:type="dxa"/>
            <w:vAlign w:val="center"/>
            <w:vMerge w:val="restart"/>
            <w:textDirection w:val="lrTb"/>
            <w:noWrap w:val="false"/>
          </w:tcPr>
          <w:p>
            <w:pPr>
              <w:jc w:val="center"/>
              <w:rPr>
                <w:rFonts w:hint="eastAsia" w:hAnsi="宋体" w:cs="宋体"/>
                <w:b w:val="0"/>
                <w:bCs/>
                <w:szCs w:val="24"/>
              </w:rPr>
            </w:pPr>
            <w:r>
              <w:rPr>
                <w:rFonts w:hint="eastAsia" w:hAnsi="宋体" w:cs="宋体"/>
                <w:b w:val="0"/>
                <w:bCs/>
                <w:szCs w:val="24"/>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6864" w:type="dxa"/>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系统基于加固安全操作平台，为主机提供深度防御；能够对两个主机系统提供多层次、高强度的安全防护，保护其重要进程、文件、数据不受黑客侵袭；采用对象互斥和线程守护技术，保护主要进程的安全性和稳定性；</w:t>
            </w:r>
            <w:r/>
          </w:p>
        </w:tc>
      </w:tr>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6864" w:type="dxa"/>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支持与FTP服务器联动，定时自动备份网闸配置；</w:t>
            </w:r>
            <w:r/>
          </w:p>
        </w:tc>
      </w:tr>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6864" w:type="dxa"/>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自带数据分析和网络诊断工具，包含traceroute、抓包等多种诊断手段；</w:t>
            </w:r>
            <w:r/>
          </w:p>
        </w:tc>
      </w:tr>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6864" w:type="dxa"/>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可通过专用客户端和网闸主动获取两种方式提供安全的文件同步功能；</w:t>
            </w:r>
            <w:r/>
          </w:p>
        </w:tc>
      </w:tr>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6864" w:type="dxa"/>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提供双机热备部署，支持主机向备机单次同步或自动同步配置；</w:t>
            </w:r>
            <w:r/>
          </w:p>
        </w:tc>
      </w:tr>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6864" w:type="dxa"/>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支持UDP、HTTP、OPC、ICMP等协议在ACL访问控制策略下传输。</w:t>
            </w:r>
            <w:r/>
          </w:p>
        </w:tc>
      </w:tr>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6864" w:type="dxa"/>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支持HTTP策略过滤包含HTTP_URL、HTTP响应内容类型、HTTP响应内容敏感词、HTTP请求方法、HTTP请求内容正则过滤、HTTP请求Content-Length最大值限制、HTTP响应Content-Length最大值限制、HTTP自定义头部域检查、HTTP方法/URL</w:t>
            </w:r>
            <w:r>
              <w:rPr>
                <w:rFonts w:hint="eastAsia" w:hAnsi="宋体" w:cs="宋体"/>
                <w:b w:val="0"/>
                <w:bCs/>
                <w:szCs w:val="24"/>
                <w:lang w:bidi="ar"/>
              </w:rPr>
              <w:t xml:space="preserve">正则和请求体过滤等。</w:t>
            </w:r>
            <w:r/>
          </w:p>
        </w:tc>
      </w:tr>
      <w:t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6864" w:type="dxa"/>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支持对格式类型进行特征过滤，并允许用户通过样本文件自定义格式类型；</w:t>
            </w:r>
            <w:r/>
          </w:p>
        </w:tc>
      </w:tr>
    </w:tbl>
    <w:p>
      <w:pPr>
        <w:spacing w:line="360" w:lineRule="auto"/>
        <w:rPr>
          <w:szCs w:val="24"/>
        </w:rPr>
      </w:pPr>
      <w:r>
        <w:rPr>
          <w:szCs w:val="24"/>
        </w:rPr>
      </w:r>
      <w:r/>
    </w:p>
    <w:p>
      <w:pPr>
        <w:spacing w:line="360" w:lineRule="auto"/>
        <w:rPr>
          <w:szCs w:val="24"/>
        </w:rPr>
      </w:pPr>
      <w:r>
        <w:rPr>
          <w:rFonts w:hint="eastAsia"/>
          <w:szCs w:val="24"/>
        </w:rPr>
        <w:t xml:space="preserve">2.11</w:t>
      </w:r>
      <w:r>
        <w:rPr>
          <w:szCs w:val="24"/>
        </w:rPr>
        <w:t xml:space="preserve">终端准入</w:t>
      </w:r>
      <w:r>
        <w:rPr>
          <w:rFonts w:hint="eastAsia"/>
          <w:szCs w:val="24"/>
        </w:rPr>
        <w:t xml:space="preserve">设备</w:t>
      </w:r>
      <w:r>
        <w:rPr>
          <w:rFonts w:hint="eastAsia"/>
          <w:szCs w:val="24"/>
        </w:rPr>
        <w:t xml:space="preserve">（核心产品）</w:t>
      </w:r>
      <w:r/>
    </w:p>
    <w:tbl>
      <w:tblPr>
        <w:tblW w:w="5000" w:type="pct"/>
        <w:tblLook w:val="04A0" w:firstRow="1" w:lastRow="0" w:firstColumn="1" w:lastColumn="0" w:noHBand="0" w:noVBand="1"/>
      </w:tblPr>
      <w:tblGrid>
        <w:gridCol w:w="704"/>
        <w:gridCol w:w="992"/>
        <w:gridCol w:w="6600"/>
      </w:tblGrid>
      <w:tr>
        <w:trPr>
          <w:cantSplit/>
          <w:trHeight w:val="527"/>
          <w:tblHeader/>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hAnsi="宋体" w:cs="宋体"/>
                <w:bCs/>
                <w:szCs w:val="24"/>
              </w:rPr>
            </w:pPr>
            <w:r>
              <w:rPr>
                <w:rFonts w:hint="eastAsia"/>
                <w:bCs/>
              </w:rPr>
              <w:t xml:space="preserve">序号</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rPr>
                <w:rFonts w:hint="eastAsia" w:hAnsi="宋体" w:cs="宋体"/>
                <w:bCs/>
                <w:szCs w:val="24"/>
              </w:rPr>
            </w:pPr>
            <w:r>
              <w:rPr>
                <w:rFonts w:hint="eastAsia"/>
                <w:bCs/>
              </w:rPr>
              <w:t xml:space="preserve">指标项</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jc w:val="center"/>
              <w:rPr>
                <w:rFonts w:hint="eastAsia" w:hAnsi="宋体" w:cs="宋体"/>
                <w:bCs/>
                <w:szCs w:val="24"/>
              </w:rPr>
            </w:pPr>
            <w:r>
              <w:rPr>
                <w:rFonts w:hint="eastAsia"/>
                <w:bCs/>
              </w:rPr>
              <w:t xml:space="preserve">指标要求</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1</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spacing w:line="360" w:lineRule="auto"/>
              <w:rPr>
                <w:rFonts w:hint="eastAsia" w:hAnsi="宋体" w:cs="宋体"/>
                <w:b w:val="0"/>
                <w:szCs w:val="24"/>
              </w:rPr>
            </w:pPr>
            <w:r>
              <w:rPr>
                <w:rFonts w:hint="eastAsia"/>
                <w:b w:val="0"/>
              </w:rPr>
              <w:t xml:space="preserve">基础架构</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rPr>
              <w:t xml:space="preserve">拥有自主知识产权，标准机架式硬件产品，无需额外购买操作系统及数据库。</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2</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spacing w:line="360" w:lineRule="auto"/>
              <w:rPr>
                <w:rFonts w:hint="eastAsia" w:hAnsi="宋体" w:cs="宋体"/>
                <w:b w:val="0"/>
                <w:szCs w:val="24"/>
              </w:rPr>
            </w:pPr>
            <w:r>
              <w:rPr>
                <w:rFonts w:hint="eastAsia"/>
                <w:b w:val="0"/>
              </w:rPr>
              <w:t xml:space="preserve">性能参数</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bCs/>
                <w:szCs w:val="24"/>
              </w:rPr>
              <w:t xml:space="preserve">★</w:t>
            </w:r>
            <w:r>
              <w:rPr>
                <w:rFonts w:hint="eastAsia"/>
                <w:b w:val="0"/>
              </w:rPr>
              <w:t xml:space="preserve">提供1500点授权，标准机架式结构；单电源；标准配置6个千兆电口，每秒事务数（TPS)：3000（次/秒），最大吞吐量：≥1.5Gbps，最大并发连接数：3000（条）；</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3</w:t>
            </w:r>
            <w:r/>
          </w:p>
        </w:tc>
        <w:tc>
          <w:tcPr>
            <w:tcBorders>
              <w:top w:val="single" w:color="000000" w:sz="4" w:space="0"/>
              <w:left w:val="single" w:color="000000" w:sz="4" w:space="0"/>
              <w:bottom w:val="single" w:color="000000" w:sz="4" w:space="0"/>
              <w:right w:val="single" w:color="000000" w:sz="4" w:space="0"/>
            </w:tcBorders>
            <w:tcW w:w="598" w:type="pct"/>
            <w:vAlign w:val="center"/>
            <w:vMerge w:val="restart"/>
            <w:textDirection w:val="lrTb"/>
            <w:noWrap w:val="false"/>
          </w:tcPr>
          <w:p>
            <w:pPr>
              <w:jc w:val="center"/>
              <w:spacing w:line="360" w:lineRule="auto"/>
              <w:rPr>
                <w:rFonts w:hint="eastAsia" w:hAnsi="宋体" w:cs="宋体"/>
                <w:b w:val="0"/>
                <w:szCs w:val="24"/>
              </w:rPr>
            </w:pPr>
            <w:r>
              <w:rPr>
                <w:rFonts w:hint="eastAsia"/>
                <w:b w:val="0"/>
              </w:rPr>
              <w:t xml:space="preserve">准入技术</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rPr>
              <w:t xml:space="preserve">支持策略路由、端口镜像、透明网桥、8</w:t>
            </w:r>
            <w:r>
              <w:rPr>
                <w:b w:val="0"/>
              </w:rPr>
              <w:t xml:space="preserve">02.1X</w:t>
            </w:r>
            <w:r>
              <w:rPr>
                <w:rFonts w:hint="eastAsia"/>
                <w:b w:val="0"/>
              </w:rPr>
              <w:t xml:space="preserve">、A</w:t>
            </w:r>
            <w:r>
              <w:rPr>
                <w:b w:val="0"/>
              </w:rPr>
              <w:t xml:space="preserve">RP</w:t>
            </w:r>
            <w:r>
              <w:rPr>
                <w:rFonts w:hint="eastAsia"/>
                <w:b w:val="0"/>
              </w:rPr>
              <w:t xml:space="preserve">、D</w:t>
            </w:r>
            <w:r>
              <w:rPr>
                <w:b w:val="0"/>
              </w:rPr>
              <w:t xml:space="preserve">HCP</w:t>
            </w:r>
            <w:r>
              <w:rPr>
                <w:rFonts w:hint="eastAsia"/>
                <w:b w:val="0"/>
              </w:rPr>
              <w:t xml:space="preserve">、V</w:t>
            </w:r>
            <w:r>
              <w:rPr>
                <w:b w:val="0"/>
              </w:rPr>
              <w:t xml:space="preserve">LAN</w:t>
            </w:r>
            <w:r>
              <w:rPr>
                <w:rFonts w:hint="eastAsia"/>
                <w:b w:val="0"/>
              </w:rPr>
              <w:t xml:space="preserve">隔离、</w:t>
            </w:r>
            <w:r>
              <w:rPr>
                <w:b w:val="0"/>
              </w:rPr>
              <w:t xml:space="preserve">Portal</w:t>
            </w:r>
            <w:r>
              <w:rPr>
                <w:rFonts w:hint="eastAsia"/>
                <w:b w:val="0"/>
              </w:rPr>
              <w:t xml:space="preserve">等准入技术，满足各种复杂网络环境。</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4</w:t>
            </w:r>
            <w:r/>
          </w:p>
        </w:tc>
        <w:tc>
          <w:tcPr>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spacing w:line="360" w:lineRule="auto"/>
              <w:rPr>
                <w:rFonts w:hint="eastAsia" w:hAnsi="宋体" w:cs="宋体"/>
                <w:b w:val="0"/>
                <w:szCs w:val="24"/>
              </w:rPr>
            </w:pPr>
            <w:r>
              <w:rPr>
                <w:rFonts w:hint="eastAsia" w:hAnsi="宋体" w:cs="宋体"/>
                <w:b w:val="0"/>
                <w:szCs w:val="24"/>
              </w:rPr>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rPr>
              <w:t xml:space="preserve">终端通过有线或无线申请接入，可无需用户操作，自动引导终端设备至认证入网页面。</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5</w:t>
            </w:r>
            <w:r/>
          </w:p>
        </w:tc>
        <w:tc>
          <w:tcPr>
            <w:tcBorders>
              <w:top w:val="single" w:color="000000" w:sz="4" w:space="0"/>
              <w:left w:val="single" w:color="000000" w:sz="4" w:space="0"/>
              <w:bottom w:val="single" w:color="000000" w:sz="4" w:space="0"/>
              <w:right w:val="single" w:color="000000" w:sz="4" w:space="0"/>
            </w:tcBorders>
            <w:tcW w:w="598" w:type="pct"/>
            <w:vAlign w:val="center"/>
            <w:vMerge w:val="restart"/>
            <w:textDirection w:val="lrTb"/>
            <w:noWrap w:val="false"/>
          </w:tcPr>
          <w:p>
            <w:pPr>
              <w:jc w:val="center"/>
              <w:spacing w:line="360" w:lineRule="auto"/>
              <w:rPr>
                <w:rFonts w:hint="eastAsia" w:hAnsi="宋体" w:cs="宋体"/>
                <w:b w:val="0"/>
                <w:szCs w:val="24"/>
              </w:rPr>
            </w:pPr>
            <w:r>
              <w:rPr>
                <w:rFonts w:hint="eastAsia"/>
                <w:b w:val="0"/>
              </w:rPr>
              <w:t xml:space="preserve">客户端</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rPr>
              <w:t xml:space="preserve">支持安全客户端（Agent）、安全控件、无客户端等多种模式；提供Windows、</w:t>
            </w:r>
            <w:r>
              <w:rPr>
                <w:b w:val="0"/>
              </w:rPr>
              <w:t xml:space="preserve">linux</w:t>
            </w:r>
            <w:r>
              <w:rPr>
                <w:rFonts w:hint="eastAsia"/>
                <w:b w:val="0"/>
              </w:rPr>
              <w:t xml:space="preserve">、M</w:t>
            </w:r>
            <w:r>
              <w:rPr>
                <w:b w:val="0"/>
              </w:rPr>
              <w:t xml:space="preserve">AC</w:t>
            </w:r>
            <w:r>
              <w:rPr>
                <w:rFonts w:hint="eastAsia"/>
                <w:b w:val="0"/>
              </w:rPr>
              <w:t xml:space="preserve"> </w:t>
            </w:r>
            <w:r>
              <w:rPr>
                <w:b w:val="0"/>
              </w:rPr>
              <w:t xml:space="preserve">OS</w:t>
            </w:r>
            <w:r>
              <w:rPr>
                <w:rFonts w:hint="eastAsia"/>
                <w:b w:val="0"/>
              </w:rPr>
              <w:t xml:space="preserve">、安卓、I</w:t>
            </w:r>
            <w:r>
              <w:rPr>
                <w:b w:val="0"/>
              </w:rPr>
              <w:t xml:space="preserve">OS</w:t>
            </w:r>
            <w:r>
              <w:rPr>
                <w:rFonts w:hint="eastAsia"/>
                <w:b w:val="0"/>
              </w:rPr>
              <w:t xml:space="preserve">专属客户端及APP。</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6</w:t>
            </w:r>
            <w:r/>
          </w:p>
        </w:tc>
        <w:tc>
          <w:tcPr>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spacing w:line="360" w:lineRule="auto"/>
              <w:rPr>
                <w:rFonts w:hint="eastAsia" w:hAnsi="宋体" w:cs="宋体"/>
                <w:b w:val="0"/>
                <w:szCs w:val="24"/>
              </w:rPr>
            </w:pPr>
            <w:r>
              <w:rPr>
                <w:rFonts w:hint="eastAsia" w:hAnsi="宋体" w:cs="宋体"/>
                <w:b w:val="0"/>
                <w:szCs w:val="24"/>
              </w:rPr>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bCs/>
                <w:szCs w:val="24"/>
              </w:rPr>
              <w:t xml:space="preserve">★</w:t>
            </w:r>
            <w:r>
              <w:rPr>
                <w:rFonts w:hint="eastAsia"/>
                <w:b w:val="0"/>
              </w:rPr>
              <w:t xml:space="preserve">支持灵活的客户端卸载策略，包括但不限于万能卸载码，一对一卸载码，无需卸载码等多种模式。</w:t>
            </w:r>
            <w:r>
              <w:rPr>
                <w:rFonts w:hint="eastAsia" w:hAnsi="宋体" w:cs="宋体"/>
                <w:szCs w:val="24"/>
                <w:lang w:bidi="ar"/>
              </w:rPr>
              <w:t xml:space="preserve">（需提供产品功能截图并加盖公章）</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7</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spacing w:line="360" w:lineRule="auto"/>
              <w:rPr>
                <w:rFonts w:hint="eastAsia" w:hAnsi="宋体" w:cs="宋体"/>
                <w:b w:val="0"/>
                <w:szCs w:val="24"/>
              </w:rPr>
            </w:pPr>
            <w:r>
              <w:rPr>
                <w:rFonts w:hint="eastAsia"/>
                <w:b w:val="0"/>
              </w:rPr>
              <w:t xml:space="preserve">身份认证</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rPr>
              <w:t xml:space="preserve">支持用户名密码、U</w:t>
            </w:r>
            <w:r>
              <w:rPr>
                <w:b w:val="0"/>
              </w:rPr>
              <w:t xml:space="preserve">key</w:t>
            </w:r>
            <w:r>
              <w:rPr>
                <w:rFonts w:hint="eastAsia"/>
                <w:b w:val="0"/>
              </w:rPr>
              <w:t xml:space="preserve">等认证方式，终端认证自动跳转认证服务，无需打开相关</w:t>
            </w:r>
            <w:r>
              <w:rPr>
                <w:b w:val="0"/>
              </w:rPr>
              <w:t xml:space="preserve">a</w:t>
            </w:r>
            <w:r>
              <w:rPr>
                <w:rFonts w:hint="eastAsia"/>
                <w:b w:val="0"/>
              </w:rPr>
              <w:t xml:space="preserve">p</w:t>
            </w:r>
            <w:r>
              <w:rPr>
                <w:b w:val="0"/>
              </w:rPr>
              <w:t xml:space="preserve">p</w:t>
            </w:r>
            <w:r>
              <w:rPr>
                <w:rFonts w:hint="eastAsia"/>
                <w:b w:val="0"/>
              </w:rPr>
              <w:t xml:space="preserve">。</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8</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spacing w:line="360" w:lineRule="auto"/>
              <w:rPr>
                <w:rFonts w:hint="eastAsia" w:hAnsi="宋体" w:cs="宋体"/>
                <w:b w:val="0"/>
                <w:szCs w:val="24"/>
              </w:rPr>
            </w:pPr>
            <w:r>
              <w:rPr>
                <w:rFonts w:hint="eastAsia"/>
                <w:b w:val="0"/>
              </w:rPr>
              <w:t xml:space="preserve">基线安全检查</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bCs/>
                <w:szCs w:val="24"/>
              </w:rPr>
              <w:t xml:space="preserve">★</w:t>
            </w:r>
            <w:r>
              <w:rPr>
                <w:rFonts w:hint="eastAsia"/>
                <w:b w:val="0"/>
              </w:rPr>
              <w:t xml:space="preserve">支持主流的杀毒软件版本、病毒库和运行情况的检查，支持自动下发软件功能。</w:t>
            </w:r>
            <w:r>
              <w:rPr>
                <w:rFonts w:hint="eastAsia" w:hAnsi="宋体" w:cs="宋体"/>
                <w:szCs w:val="24"/>
                <w:lang w:bidi="ar"/>
              </w:rPr>
              <w:t xml:space="preserve">（需提供产品功能截图并加盖公章）</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9</w:t>
            </w:r>
            <w:r/>
          </w:p>
        </w:tc>
        <w:tc>
          <w:tcPr>
            <w:tcBorders>
              <w:top w:val="single" w:color="000000" w:sz="4" w:space="0"/>
              <w:left w:val="single" w:color="000000" w:sz="4" w:space="0"/>
              <w:bottom w:val="single" w:color="000000" w:sz="4" w:space="0"/>
              <w:right w:val="single" w:color="000000" w:sz="4" w:space="0"/>
            </w:tcBorders>
            <w:tcW w:w="598" w:type="pct"/>
            <w:vAlign w:val="center"/>
            <w:vMerge w:val="restart"/>
            <w:textDirection w:val="lrTb"/>
            <w:noWrap w:val="false"/>
          </w:tcPr>
          <w:p>
            <w:pPr>
              <w:jc w:val="center"/>
              <w:spacing w:line="360" w:lineRule="auto"/>
              <w:rPr>
                <w:rFonts w:hint="eastAsia" w:hAnsi="宋体" w:cs="宋体"/>
                <w:b w:val="0"/>
                <w:szCs w:val="24"/>
              </w:rPr>
            </w:pPr>
            <w:r>
              <w:rPr>
                <w:rFonts w:hint="eastAsia"/>
                <w:b w:val="0"/>
              </w:rPr>
              <w:t xml:space="preserve">运维管理</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rPr>
              <w:t xml:space="preserve">▲远程协助：支持管理员或终端用户双向发起远程协助。</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10</w:t>
            </w:r>
            <w:r/>
          </w:p>
        </w:tc>
        <w:tc>
          <w:tcPr>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spacing w:line="360" w:lineRule="auto"/>
              <w:rPr>
                <w:rFonts w:hint="eastAsia" w:hAnsi="宋体" w:cs="宋体"/>
                <w:b w:val="0"/>
                <w:szCs w:val="24"/>
              </w:rPr>
            </w:pPr>
            <w:r>
              <w:rPr>
                <w:rFonts w:hint="eastAsia" w:hAnsi="宋体" w:cs="宋体"/>
                <w:b w:val="0"/>
                <w:szCs w:val="24"/>
              </w:rPr>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b w:val="0"/>
              </w:rPr>
              <w:t xml:space="preserve">IP</w:t>
            </w:r>
            <w:r>
              <w:rPr>
                <w:rFonts w:hint="eastAsia"/>
                <w:b w:val="0"/>
              </w:rPr>
              <w:t xml:space="preserve">资源管理：支持提供图形化的i</w:t>
            </w:r>
            <w:r>
              <w:rPr>
                <w:b w:val="0"/>
              </w:rPr>
              <w:t xml:space="preserve">p</w:t>
            </w:r>
            <w:r>
              <w:rPr>
                <w:rFonts w:hint="eastAsia"/>
                <w:b w:val="0"/>
              </w:rPr>
              <w:t xml:space="preserve">地址台账；支持一键绑定全网</w:t>
            </w:r>
            <w:r>
              <w:rPr>
                <w:b w:val="0"/>
              </w:rPr>
              <w:t xml:space="preserve">ip/mac</w:t>
            </w:r>
            <w:r>
              <w:rPr>
                <w:rFonts w:hint="eastAsia"/>
                <w:b w:val="0"/>
              </w:rPr>
              <w:t xml:space="preserve">；支持检查i</w:t>
            </w:r>
            <w:r>
              <w:rPr>
                <w:b w:val="0"/>
              </w:rPr>
              <w:t xml:space="preserve">p</w:t>
            </w:r>
            <w:r>
              <w:rPr>
                <w:rFonts w:hint="eastAsia"/>
                <w:b w:val="0"/>
              </w:rPr>
              <w:t xml:space="preserve">/组织架构绑定。</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11</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spacing w:line="360" w:lineRule="auto"/>
              <w:rPr>
                <w:rFonts w:hint="eastAsia" w:hAnsi="宋体" w:cs="宋体"/>
                <w:b w:val="0"/>
                <w:szCs w:val="24"/>
              </w:rPr>
            </w:pPr>
            <w:r>
              <w:rPr>
                <w:rFonts w:hint="eastAsia"/>
                <w:b w:val="0"/>
              </w:rPr>
              <w:t xml:space="preserve">报警信息</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rPr>
              <w:t xml:space="preserve">支持系统报警、网络报警、终端报警等报警类型，支持报警信息通过Syslog、邮件进行输出。</w:t>
            </w:r>
            <w:r/>
          </w:p>
        </w:tc>
      </w:tr>
      <w:tr>
        <w:trPr>
          <w:cantSplit/>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1053"/>
              <w:ind w:left="0"/>
              <w:jc w:val="both"/>
              <w:spacing w:line="360" w:lineRule="auto"/>
              <w:rPr>
                <w:rFonts w:hint="eastAsia" w:ascii="宋体" w:hAnsi="宋体" w:cs="宋体"/>
                <w:b w:val="0"/>
                <w:lang w:eastAsia="zh-CN"/>
              </w:rPr>
            </w:pPr>
            <w:r>
              <w:rPr>
                <w:rFonts w:hint="eastAsia" w:ascii="宋体" w:hAnsi="宋体" w:cs="宋体"/>
                <w:b w:val="0"/>
                <w:lang w:eastAsia="zh-CN"/>
              </w:rPr>
              <w:t xml:space="preserve"> 12</w:t>
            </w:r>
            <w:r/>
          </w:p>
        </w:tc>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spacing w:line="360" w:lineRule="auto"/>
              <w:rPr>
                <w:rFonts w:hint="eastAsia" w:hAnsi="宋体" w:cs="宋体"/>
                <w:b w:val="0"/>
                <w:szCs w:val="24"/>
              </w:rPr>
            </w:pPr>
            <w:r>
              <w:rPr>
                <w:rFonts w:hint="eastAsia"/>
                <w:b w:val="0"/>
              </w:rPr>
              <w:t xml:space="preserve">报表</w:t>
            </w:r>
            <w:r/>
          </w:p>
        </w:tc>
        <w:tc>
          <w:tcPr>
            <w:tcBorders>
              <w:top w:val="single" w:color="000000" w:sz="4" w:space="0"/>
              <w:left w:val="single" w:color="000000" w:sz="4" w:space="0"/>
              <w:bottom w:val="single" w:color="000000" w:sz="4" w:space="0"/>
              <w:right w:val="single" w:color="000000" w:sz="4" w:space="0"/>
            </w:tcBorders>
            <w:tcW w:w="3978" w:type="pct"/>
            <w:vAlign w:val="center"/>
            <w:textDirection w:val="lrTb"/>
            <w:noWrap w:val="false"/>
          </w:tcPr>
          <w:p>
            <w:pPr>
              <w:spacing w:line="360" w:lineRule="auto"/>
              <w:rPr>
                <w:rFonts w:hint="eastAsia" w:hAnsi="宋体" w:cs="宋体"/>
                <w:b w:val="0"/>
                <w:szCs w:val="24"/>
              </w:rPr>
            </w:pPr>
            <w:r>
              <w:rPr>
                <w:rFonts w:hint="eastAsia"/>
                <w:b w:val="0"/>
              </w:rPr>
              <w:t xml:space="preserve">支持提供每日/周/月入网报告及终端安全评估报告。</w:t>
            </w:r>
            <w:r/>
          </w:p>
        </w:tc>
      </w:tr>
    </w:tbl>
    <w:p>
      <w:pPr>
        <w:spacing w:line="360" w:lineRule="auto"/>
        <w:rPr>
          <w:szCs w:val="24"/>
        </w:rPr>
      </w:pPr>
      <w:r>
        <w:rPr>
          <w:szCs w:val="24"/>
        </w:rPr>
      </w:r>
      <w:r/>
    </w:p>
    <w:p>
      <w:pPr>
        <w:spacing w:line="360" w:lineRule="auto"/>
        <w:rPr>
          <w:szCs w:val="24"/>
        </w:rPr>
      </w:pPr>
      <w:r>
        <w:rPr>
          <w:rFonts w:hint="eastAsia"/>
          <w:szCs w:val="24"/>
        </w:rPr>
        <w:t xml:space="preserve">2.12</w:t>
      </w:r>
      <w:r>
        <w:rPr>
          <w:szCs w:val="24"/>
        </w:rPr>
        <w:t xml:space="preserve">内网端点</w:t>
      </w:r>
      <w:r>
        <w:rPr>
          <w:rFonts w:hint="eastAsia"/>
          <w:szCs w:val="24"/>
        </w:rPr>
        <w:t xml:space="preserve">安全防护设备</w:t>
      </w:r>
      <w:r/>
    </w:p>
    <w:tbl>
      <w:tblPr>
        <w:tblW w:w="5000" w:type="pct"/>
        <w:tblLayout w:type="fixed"/>
        <w:tblLook w:val="04A0" w:firstRow="1" w:lastRow="0" w:firstColumn="1" w:lastColumn="0" w:noHBand="0" w:noVBand="1"/>
      </w:tblPr>
      <w:tblGrid>
        <w:gridCol w:w="721"/>
        <w:gridCol w:w="888"/>
        <w:gridCol w:w="6687"/>
      </w:tblGrid>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技术要求</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产品要求</w:t>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spacing w:line="360" w:lineRule="auto"/>
              <w:rPr>
                <w:rFonts w:hint="eastAsia" w:hAnsi="宋体" w:cs="宋体"/>
                <w:b w:val="0"/>
                <w:bCs/>
                <w:szCs w:val="24"/>
              </w:rPr>
            </w:pPr>
            <w:r>
              <w:rPr>
                <w:rFonts w:hint="eastAsia"/>
                <w:b w:val="0"/>
                <w:bCs/>
                <w:szCs w:val="24"/>
              </w:rPr>
              <w:t xml:space="preserve">★</w:t>
            </w:r>
            <w:r>
              <w:rPr>
                <w:rFonts w:hint="eastAsia" w:hAnsi="宋体" w:cs="宋体"/>
                <w:b w:val="0"/>
                <w:bCs/>
                <w:szCs w:val="24"/>
                <w:lang w:bidi="ar"/>
              </w:rPr>
              <w:t xml:space="preserve">纯软件交付，包含管理控制中心软件及终端客户端软件，本次配置≥800PC软件授权 ，≥200服务器端点软件授权（授权包含Windows、Linux、国产化操等作系统的虚拟机和物理机）；提供三年软件质保服务。</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tcPr>
          <w:p>
            <w:pPr>
              <w:jc w:val="center"/>
              <w:rPr>
                <w:rFonts w:hint="eastAsia" w:hAnsi="宋体" w:cs="宋体"/>
                <w:b w:val="0"/>
                <w:bCs/>
                <w:szCs w:val="24"/>
              </w:rPr>
            </w:pPr>
            <w:r>
              <w:rPr>
                <w:rFonts w:hint="eastAsia" w:hAnsi="宋体" w:cs="宋体"/>
                <w:b w:val="0"/>
                <w:bCs/>
                <w:szCs w:val="24"/>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支持全网风险展示，包括但不限于未处理的勒索病毒数量、暴力破解数量、WebShell后门数量、高危漏洞及其各自影响的终端数量；</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▲支持人工智能引擎。</w:t>
            </w:r>
            <w:r>
              <w:rPr>
                <w:rFonts w:hint="eastAsia" w:hAnsi="宋体" w:cs="宋体"/>
                <w:szCs w:val="24"/>
                <w:lang w:bidi="ar"/>
              </w:rPr>
              <w:t xml:space="preserve">（投标文件需要提供能够体现上述证明文件加盖原厂公章）</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▲支持扫描资源占用设置，可设置不限制、均衡型、低资源三种模式。</w:t>
            </w:r>
            <w:r>
              <w:rPr>
                <w:rFonts w:hint="eastAsia" w:hAnsi="宋体" w:cs="宋体"/>
                <w:szCs w:val="24"/>
                <w:lang w:bidi="ar"/>
              </w:rPr>
              <w:t xml:space="preserve">（需提供产品功能截图并加盖公章）</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支持全网视角的终端资产统一清点，清点信息包括操作系统、应用软件、监听端口和主机账户，其中操作系统、应用软件和监听端口支持从资产和终端两个视角进行统计和展示；</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tcPr>
          <w:p>
            <w:pPr>
              <w:spacing w:line="360" w:lineRule="auto"/>
              <w:rPr>
                <w:rFonts w:hint="eastAsia" w:hAnsi="宋体" w:cs="宋体"/>
                <w:b w:val="0"/>
                <w:bCs/>
                <w:szCs w:val="24"/>
              </w:rPr>
            </w:pPr>
            <w:r>
              <w:rPr>
                <w:rFonts w:hint="eastAsia" w:hAnsi="宋体" w:cs="宋体"/>
                <w:b w:val="0"/>
                <w:bCs/>
                <w:szCs w:val="24"/>
                <w:lang w:bidi="ar"/>
              </w:rPr>
              <w:t xml:space="preserve">支持windows服务器RDP远程登录保护，可开启RDP远程登录二次认证，以防止黑客对服务器的入侵。</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支持Linux服务器SSH远程登录保护，可开启SSH远程登录二次认证，以防止黑客利用弱密码脆弱性对服务器的入侵；支持设置验证码验证或自定义密码验证，支持设置登录认证提示、生效时间段和免二次认证白名单。</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可支持基于终端侧采集记录的行为数据，对文件变更、进程变更、网络连接、DNS查询等多种行为，在全网中搜索命中指定条件的端点和行为，进行高级威胁的狩猎对全网终端发起威胁狩猎，挖掘潜伏攻击。</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构建全网文件信誉库，当一台终端发现某一病毒文件，全网可进行感知并进行针对性查杀，支持处置病毒时选择是否在其它终端上同步处置；</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▲可支持与本次招标的</w:t>
            </w:r>
            <w:r>
              <w:rPr>
                <w:rStyle w:val="1380"/>
                <w:b w:val="0"/>
                <w:bCs/>
                <w:color w:val="auto"/>
                <w:sz w:val="24"/>
                <w:szCs w:val="24"/>
                <w:lang w:bidi="ar"/>
              </w:rPr>
              <w:t xml:space="preserve">“</w:t>
            </w:r>
            <w:r>
              <w:rPr>
                <w:rStyle w:val="1380"/>
                <w:b w:val="0"/>
                <w:bCs/>
                <w:color w:val="auto"/>
                <w:sz w:val="24"/>
                <w:szCs w:val="24"/>
                <w:lang w:bidi="ar"/>
              </w:rPr>
              <w:t xml:space="preserve">互联网边界防火墙</w:t>
            </w:r>
            <w:r>
              <w:rPr>
                <w:rStyle w:val="1380"/>
                <w:b w:val="0"/>
                <w:bCs/>
                <w:color w:val="auto"/>
                <w:sz w:val="24"/>
                <w:szCs w:val="24"/>
                <w:lang w:bidi="ar"/>
              </w:rPr>
              <w:t xml:space="preserve">”</w:t>
            </w:r>
            <w:r>
              <w:rPr>
                <w:b w:val="0"/>
                <w:bCs/>
                <w:szCs w:val="24"/>
                <w:lang w:bidi="ar"/>
              </w:rPr>
              <w:t xml:space="preserve">进行安全联动，管理员可以在</w:t>
            </w:r>
            <w:r>
              <w:rPr>
                <w:rStyle w:val="1380"/>
                <w:b w:val="0"/>
                <w:bCs/>
                <w:color w:val="auto"/>
                <w:sz w:val="24"/>
                <w:szCs w:val="24"/>
                <w:lang w:bidi="ar"/>
              </w:rPr>
              <w:t xml:space="preserve">“</w:t>
            </w:r>
            <w:r>
              <w:rPr>
                <w:rStyle w:val="1380"/>
                <w:b w:val="0"/>
                <w:bCs/>
                <w:color w:val="auto"/>
                <w:sz w:val="24"/>
                <w:szCs w:val="24"/>
                <w:lang w:bidi="ar"/>
              </w:rPr>
              <w:t xml:space="preserve">互联网边界防火墙</w:t>
            </w:r>
            <w:r>
              <w:rPr>
                <w:rStyle w:val="1380"/>
                <w:b w:val="0"/>
                <w:bCs/>
                <w:color w:val="auto"/>
                <w:sz w:val="24"/>
                <w:szCs w:val="24"/>
                <w:lang w:bidi="ar"/>
              </w:rPr>
              <w:t xml:space="preserve">”</w:t>
            </w:r>
            <w:r>
              <w:rPr>
                <w:b w:val="0"/>
                <w:bCs/>
                <w:szCs w:val="24"/>
                <w:lang w:bidi="ar"/>
              </w:rPr>
              <w:t xml:space="preserve">管理界面下发快速查杀任务，并查看任务状态、结果并进行处置，支持在管理平台查询和统计联动信息</w:t>
            </w:r>
            <w:r>
              <w:rPr>
                <w:szCs w:val="24"/>
                <w:lang w:bidi="ar"/>
              </w:rPr>
              <w:t xml:space="preserve">（需分别提供投标产品和</w:t>
            </w:r>
            <w:r>
              <w:rPr>
                <w:szCs w:val="24"/>
                <w:lang w:bidi="ar"/>
              </w:rPr>
              <w:t xml:space="preserve">“</w:t>
            </w:r>
            <w:r>
              <w:rPr>
                <w:szCs w:val="24"/>
                <w:lang w:bidi="ar"/>
              </w:rPr>
              <w:t xml:space="preserve">互联网边界防火墙</w:t>
            </w:r>
            <w:r>
              <w:rPr>
                <w:szCs w:val="24"/>
                <w:lang w:bidi="ar"/>
              </w:rPr>
              <w:t xml:space="preserve">”</w:t>
            </w:r>
            <w:r>
              <w:rPr>
                <w:szCs w:val="24"/>
                <w:lang w:bidi="ar"/>
              </w:rPr>
              <w:t xml:space="preserve">功能截图并加盖公章）</w:t>
            </w:r>
            <w:r/>
          </w:p>
        </w:tc>
      </w:tr>
      <w:tr>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29"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▲支持将检测出来的威胁事件上报到本次招标的</w:t>
            </w:r>
            <w:r>
              <w:rPr>
                <w:rStyle w:val="1380"/>
                <w:b w:val="0"/>
                <w:bCs/>
                <w:color w:val="auto"/>
                <w:sz w:val="24"/>
                <w:szCs w:val="24"/>
                <w:lang w:bidi="ar"/>
              </w:rPr>
              <w:t xml:space="preserve">“</w:t>
            </w:r>
            <w:r>
              <w:rPr>
                <w:rStyle w:val="1380"/>
                <w:b w:val="0"/>
                <w:bCs/>
                <w:color w:val="auto"/>
                <w:sz w:val="24"/>
                <w:szCs w:val="24"/>
                <w:lang w:bidi="ar"/>
              </w:rPr>
              <w:t xml:space="preserve">安全运营服务</w:t>
            </w:r>
            <w:r>
              <w:rPr>
                <w:rStyle w:val="1380"/>
                <w:b w:val="0"/>
                <w:bCs/>
                <w:color w:val="auto"/>
                <w:sz w:val="24"/>
                <w:szCs w:val="24"/>
                <w:lang w:bidi="ar"/>
              </w:rPr>
              <w:t xml:space="preserve">”</w:t>
            </w:r>
            <w:r>
              <w:rPr>
                <w:rStyle w:val="1380"/>
                <w:b w:val="0"/>
                <w:bCs/>
                <w:color w:val="auto"/>
                <w:sz w:val="24"/>
                <w:szCs w:val="24"/>
                <w:lang w:bidi="ar"/>
              </w:rPr>
              <w:t xml:space="preserve">中的服务平台</w:t>
            </w:r>
            <w:r>
              <w:rPr>
                <w:b w:val="0"/>
                <w:bCs/>
                <w:szCs w:val="24"/>
                <w:lang w:bidi="ar"/>
              </w:rPr>
              <w:t xml:space="preserve">，进行联合分析溯源终端威胁事件。</w:t>
            </w:r>
            <w:r>
              <w:rPr>
                <w:szCs w:val="24"/>
                <w:lang w:bidi="ar"/>
              </w:rPr>
              <w:t xml:space="preserve">（需分别提供投标产品和</w:t>
            </w:r>
            <w:r>
              <w:rPr>
                <w:szCs w:val="24"/>
                <w:lang w:bidi="ar"/>
              </w:rPr>
              <w:t xml:space="preserve">“</w:t>
            </w:r>
            <w:r>
              <w:rPr>
                <w:szCs w:val="24"/>
                <w:lang w:bidi="ar"/>
              </w:rPr>
              <w:t xml:space="preserve">安全运营服务</w:t>
            </w:r>
            <w:r>
              <w:rPr>
                <w:szCs w:val="24"/>
                <w:lang w:bidi="ar"/>
              </w:rPr>
              <w:t xml:space="preserve">”</w:t>
            </w:r>
            <w:r>
              <w:rPr>
                <w:szCs w:val="24"/>
                <w:lang w:bidi="ar"/>
              </w:rPr>
              <w:t xml:space="preserve">中的服务平台功能截图并加盖公章）</w:t>
            </w:r>
            <w:r/>
          </w:p>
        </w:tc>
      </w:tr>
    </w:tbl>
    <w:p>
      <w:pPr>
        <w:spacing w:line="360" w:lineRule="auto"/>
        <w:rPr>
          <w:szCs w:val="24"/>
        </w:rPr>
      </w:pPr>
      <w:r>
        <w:rPr>
          <w:szCs w:val="24"/>
        </w:rPr>
      </w:r>
      <w:r/>
    </w:p>
    <w:p>
      <w:pPr>
        <w:spacing w:line="360" w:lineRule="auto"/>
        <w:rPr>
          <w:szCs w:val="24"/>
        </w:rPr>
      </w:pPr>
      <w:r>
        <w:rPr>
          <w:rFonts w:hint="eastAsia"/>
          <w:szCs w:val="24"/>
        </w:rPr>
        <w:t xml:space="preserve">2.13</w:t>
      </w:r>
      <w:r>
        <w:rPr>
          <w:szCs w:val="24"/>
        </w:rPr>
        <w:t xml:space="preserve">安全运营服务</w:t>
      </w:r>
      <w:r/>
    </w:p>
    <w:tbl>
      <w:tblPr>
        <w:tblW w:w="4998" w:type="pct"/>
        <w:tblLayout w:type="fixed"/>
        <w:tblLook w:val="04A0" w:firstRow="1" w:lastRow="0" w:firstColumn="1" w:lastColumn="0" w:noHBand="0" w:noVBand="1"/>
      </w:tblPr>
      <w:tblGrid>
        <w:gridCol w:w="707"/>
        <w:gridCol w:w="874"/>
        <w:gridCol w:w="6712"/>
      </w:tblGrid>
      <w:tr>
        <w:trPr>
          <w:trHeight w:val="3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46"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lang w:bidi="ar"/>
              </w:rPr>
            </w:pPr>
            <w:r>
              <w:rPr>
                <w:rFonts w:hint="eastAsia" w:hAnsi="宋体" w:cs="宋体"/>
                <w:b w:val="0"/>
                <w:bCs/>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hAnsi="宋体" w:cs="宋体"/>
                <w:b w:val="0"/>
                <w:bCs/>
                <w:color w:val="000000"/>
                <w:szCs w:val="24"/>
              </w:rPr>
            </w:pPr>
            <w:r>
              <w:rPr>
                <w:rFonts w:hint="eastAsia" w:hAnsi="宋体" w:cs="宋体"/>
                <w:b w:val="0"/>
                <w:bCs/>
                <w:color w:val="000000"/>
                <w:szCs w:val="24"/>
                <w:lang w:bidi="ar"/>
              </w:rPr>
              <w:t xml:space="preserve">服务资产数</w:t>
            </w:r>
            <w:r/>
          </w:p>
        </w:tc>
        <w:tc>
          <w:tcPr>
            <w:shd w:val="clear" w:color="auto" w:fill="ffffff"/>
            <w:tcBorders>
              <w:top w:val="single" w:color="000000" w:sz="4" w:space="0"/>
              <w:left w:val="single" w:color="000000" w:sz="4" w:space="0"/>
              <w:bottom w:val="single" w:color="000000" w:sz="4" w:space="0"/>
              <w:right w:val="single" w:color="000000" w:sz="4" w:space="0"/>
            </w:tcBorders>
            <w:tcW w:w="4046" w:type="pct"/>
            <w:vAlign w:val="center"/>
            <w:textDirection w:val="lrTb"/>
            <w:noWrap w:val="false"/>
          </w:tcPr>
          <w:p>
            <w:pPr>
              <w:spacing w:line="360" w:lineRule="auto"/>
              <w:rPr>
                <w:rFonts w:hint="eastAsia" w:hAnsi="宋体" w:cs="宋体"/>
                <w:b w:val="0"/>
                <w:bCs/>
                <w:color w:val="000000"/>
                <w:szCs w:val="24"/>
              </w:rPr>
            </w:pPr>
            <w:r>
              <w:rPr>
                <w:rFonts w:hint="eastAsia" w:hAnsi="宋体" w:cs="宋体"/>
                <w:b w:val="0"/>
                <w:bCs/>
                <w:color w:val="000000"/>
                <w:szCs w:val="24"/>
                <w:lang w:bidi="ar"/>
              </w:rPr>
              <w:t xml:space="preserve">★提供全资产服务，包含：30台服务器，200台PC；一套安全托管服务MSS-全资产；1项安全托管理赔服务（20W/年），服务期限不低于36个月；</w:t>
            </w:r>
            <w:r/>
          </w:p>
        </w:tc>
      </w:tr>
      <w:tr>
        <w:trPr>
          <w:trHeight w:val="102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产品要求</w:t>
            </w:r>
            <w:r/>
          </w:p>
        </w:tc>
        <w:tc>
          <w:tcPr>
            <w:tcBorders>
              <w:top w:val="single" w:color="000000" w:sz="4" w:space="0"/>
              <w:left w:val="single" w:color="000000" w:sz="4" w:space="0"/>
              <w:bottom w:val="single" w:color="000000" w:sz="4" w:space="0"/>
              <w:right w:val="single" w:color="000000" w:sz="4" w:space="0"/>
            </w:tcBorders>
            <w:tcW w:w="4046" w:type="pct"/>
            <w:vAlign w:val="center"/>
            <w:textDirection w:val="lrTb"/>
            <w:noWrap w:val="false"/>
          </w:tcPr>
          <w:p>
            <w:pPr>
              <w:spacing w:line="360" w:lineRule="auto"/>
              <w:rPr>
                <w:rFonts w:hint="eastAsia" w:hAnsi="宋体" w:cs="宋体"/>
                <w:b w:val="0"/>
                <w:bCs/>
                <w:szCs w:val="24"/>
              </w:rPr>
            </w:pPr>
            <w:r>
              <w:rPr>
                <w:rFonts w:hint="eastAsia" w:hAnsi="宋体"/>
                <w:b w:val="0"/>
                <w:bCs/>
                <w:szCs w:val="24"/>
              </w:rPr>
              <w:t xml:space="preserve">★</w:t>
            </w:r>
            <w:r>
              <w:rPr>
                <w:rFonts w:hint="eastAsia" w:hAnsi="宋体" w:cs="宋体"/>
                <w:b w:val="0"/>
                <w:bCs/>
                <w:szCs w:val="24"/>
                <w:lang w:bidi="ar"/>
              </w:rPr>
              <w:t xml:space="preserve">安全运营服务包含提供给招标方管理权限的安全运营服务平台及以下内容：</w:t>
            </w:r>
            <w:r>
              <w:rPr>
                <w:rStyle w:val="1404"/>
                <w:rFonts w:hint="default"/>
                <w:b w:val="0"/>
                <w:bCs/>
                <w:color w:val="auto"/>
                <w:sz w:val="24"/>
                <w:szCs w:val="24"/>
                <w:lang w:bidi="ar"/>
              </w:rPr>
              <w:t xml:space="preserve">针对医院全资产服务（包含端点安全防护设备数量、探针流量接入授权）</w:t>
            </w:r>
            <w:r>
              <w:rPr>
                <w:rFonts w:hint="eastAsia" w:hAnsi="宋体" w:cs="宋体"/>
                <w:b w:val="0"/>
                <w:bCs/>
                <w:szCs w:val="24"/>
                <w:lang w:bidi="ar"/>
              </w:rPr>
              <w:t xml:space="preserve">，提供云地协同的7*24小时安全运营实时威胁监测、告警、分析研判服务；由远程安全专家团队结合现场应急处置，为医院提供7*24小时的威胁事件监测及分析服务，并提供处置建议；支持通过平台工单系统可以自由分配人员通过工单逻辑处置指定告警；提供三年原厂服务。</w:t>
            </w:r>
            <w:r/>
          </w:p>
        </w:tc>
      </w:tr>
      <w:tr>
        <w:trPr>
          <w:trHeight w:val="6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rPr>
                <w:rFonts w:hint="eastAsia" w:hAnsi="宋体" w:cs="宋体"/>
                <w:b w:val="0"/>
                <w:bCs/>
                <w:szCs w:val="24"/>
              </w:rPr>
            </w:pPr>
            <w:r>
              <w:rPr>
                <w:rFonts w:hint="eastAsia" w:hAnsi="宋体" w:cs="宋体"/>
                <w:b w:val="0"/>
                <w:bCs/>
                <w:szCs w:val="24"/>
                <w:lang w:bidi="ar"/>
              </w:rPr>
              <w:t xml:space="preserve">安全运营服务及服务平</w:t>
            </w:r>
            <w:r>
              <w:rPr>
                <w:rFonts w:hint="eastAsia" w:hAnsi="宋体" w:cs="宋体"/>
                <w:b w:val="0"/>
                <w:bCs/>
                <w:szCs w:val="24"/>
                <w:lang w:bidi="ar"/>
              </w:rPr>
              <w:t xml:space="preserve">台要求</w:t>
            </w:r>
            <w:r/>
          </w:p>
        </w:tc>
        <w:tc>
          <w:tcPr>
            <w:tcBorders>
              <w:top w:val="single" w:color="000000" w:sz="4" w:space="0"/>
              <w:left w:val="single" w:color="000000" w:sz="4" w:space="0"/>
              <w:bottom w:val="single" w:color="000000" w:sz="4" w:space="0"/>
              <w:right w:val="single" w:color="000000" w:sz="4" w:space="0"/>
            </w:tcBorders>
            <w:tcW w:w="404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互联网暴露面是最容易被攻击者发现并利用的，投标方应使用安全工具对招标方服务资产开展互联网暴露面探测，以梳理资产面向互联网的开放情况，快速发现违规暴露在互联网中的资产及存在的风险并进行处置，实现对暴露面资产可管可控，降</w:t>
            </w:r>
            <w:r>
              <w:rPr>
                <w:rFonts w:hint="eastAsia" w:hAnsi="宋体" w:cs="宋体"/>
                <w:b w:val="0"/>
                <w:bCs/>
                <w:szCs w:val="24"/>
                <w:lang w:bidi="ar"/>
              </w:rPr>
              <w:t xml:space="preserve">低暴露面资产的风险。</w:t>
            </w:r>
            <w:r/>
          </w:p>
        </w:tc>
      </w:tr>
      <w:tr>
        <w:trPr>
          <w:trHeight w:val="6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要求投标方提供7*24H的安全专家响应机制，投标方安全专家应对招标方咨询或上报的安全问题进行及时响应并给出建议，如主机加固建议咨询、安全事件处置建议咨询等，响应时间不得超过30分钟。</w:t>
            </w:r>
            <w:r/>
          </w:p>
        </w:tc>
      </w:tr>
      <w:tr>
        <w:trPr>
          <w:trHeight w:val="3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为了保障服务质量和加强投标方与招标方的沟通，投标方应当承诺为招标方配置一名经验丰富的安全专家作为专属服务经理，并且实时响应投标方咨询的网络安全相关问题；</w:t>
            </w:r>
            <w:r/>
          </w:p>
        </w:tc>
      </w:tr>
      <w:tr>
        <w:trPr>
          <w:trHeight w:val="3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投标方应当为招标方提供7*24小时的安全守护，不论是白天、黑夜、节假日投标方都应该能做到7*24H在线服务，并且在节假日期间应当每日为招标方提供《节假日值守总结》</w:t>
            </w:r>
            <w:r/>
          </w:p>
        </w:tc>
      </w:tr>
      <w:tr>
        <w:trPr>
          <w:trHeight w:val="6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▲支持封禁地址管理，配置规则可按IP/域名/URL联动本次招标的“互联网边界防火墙”设备进行封堵，封禁时长可按天/时/分细粒度进行设置。可对封禁对象进行接除封禁和再次封禁等操作。</w:t>
            </w:r>
            <w:r>
              <w:rPr>
                <w:rFonts w:hint="eastAsia" w:hAnsi="宋体" w:cs="宋体"/>
                <w:szCs w:val="24"/>
                <w:lang w:bidi="ar"/>
              </w:rPr>
              <w:t xml:space="preserve">（分别提供安全运营服务平台和互联网边界防火墙截图证明并加盖公章）</w:t>
            </w:r>
            <w:r/>
          </w:p>
        </w:tc>
      </w:tr>
      <w:tr>
        <w:trPr>
          <w:trHeight w:val="6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▲支持联动本次“外网/内网端点安全防护设备”进行隔离主机，支持隔离主机的管理，展示隔离主机的详细信息，包括主机名、操作人、处置时间、隔离状态和联动设备等，可对已隔离主机进行解除隔离。</w:t>
            </w:r>
            <w:r>
              <w:rPr>
                <w:rFonts w:hint="eastAsia" w:hAnsi="宋体" w:cs="宋体"/>
                <w:szCs w:val="24"/>
                <w:lang w:bidi="ar"/>
              </w:rPr>
              <w:t xml:space="preserve">（需提供产品功能截图并加盖公章）</w:t>
            </w:r>
            <w:r/>
          </w:p>
        </w:tc>
      </w:tr>
      <w:tr>
        <w:trPr>
          <w:trHeight w:val="1266"/>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vAlign w:val="bottom"/>
            <w:textDirection w:val="lrTb"/>
            <w:noWrap w:val="false"/>
          </w:tcPr>
          <w:p>
            <w:pPr>
              <w:spacing w:line="360" w:lineRule="auto"/>
              <w:rPr>
                <w:rFonts w:hint="eastAsia" w:hAnsi="宋体" w:cs="宋体"/>
                <w:b w:val="0"/>
                <w:bCs/>
                <w:szCs w:val="24"/>
                <w:lang w:eastAsia="zh-Hans" w:bidi="ar"/>
              </w:rPr>
            </w:pPr>
            <w:r>
              <w:rPr>
                <w:rFonts w:hint="eastAsia" w:hAnsi="宋体" w:cs="宋体"/>
                <w:b w:val="0"/>
                <w:bCs/>
                <w:szCs w:val="24"/>
                <w:lang w:eastAsia="zh-Hans" w:bidi="ar"/>
              </w:rPr>
              <w:t xml:space="preserve">安全威胁监测：服务团队通过安全托管运营平台提供7*24安全威胁监测服务，持续监测网络内的安全隐患情况并进行分析，包括对外部网络攻击网络漏洞利用情况、恶意软件活动情况、以及内网安全情况。</w:t>
            </w:r>
            <w:r/>
          </w:p>
          <w:p>
            <w:pPr>
              <w:spacing w:line="360" w:lineRule="auto"/>
              <w:rPr>
                <w:rFonts w:hint="eastAsia" w:hAnsi="宋体" w:cs="宋体"/>
                <w:b w:val="0"/>
                <w:bCs/>
                <w:szCs w:val="24"/>
                <w:lang w:eastAsia="zh-Hans" w:bidi="ar"/>
              </w:rPr>
            </w:pPr>
            <w:r>
              <w:rPr>
                <w:rFonts w:hint="eastAsia" w:hAnsi="宋体" w:cs="宋体"/>
                <w:b w:val="0"/>
                <w:bCs/>
                <w:szCs w:val="24"/>
                <w:lang w:eastAsia="zh-Hans" w:bidi="ar"/>
              </w:rPr>
              <w:t xml:space="preserve">安全事件响应：对安全监测发现的安全隐患及事件在服务规定时间内进行通告。推送封禁建议，包括高频攻击源、恶意软件IOC、内外交互的恶意链接等。</w:t>
            </w:r>
            <w:r/>
          </w:p>
          <w:p>
            <w:pPr>
              <w:spacing w:line="360" w:lineRule="auto"/>
              <w:rPr>
                <w:rFonts w:hint="eastAsia" w:hAnsi="宋体" w:cs="宋体"/>
                <w:b w:val="0"/>
                <w:bCs/>
                <w:szCs w:val="24"/>
                <w:lang w:eastAsia="zh-Hans" w:bidi="ar"/>
              </w:rPr>
            </w:pPr>
            <w:r>
              <w:rPr>
                <w:rFonts w:hint="eastAsia" w:hAnsi="宋体" w:cs="宋体"/>
                <w:b w:val="0"/>
                <w:bCs/>
                <w:szCs w:val="24"/>
                <w:lang w:eastAsia="zh-Hans" w:bidi="ar"/>
              </w:rPr>
              <w:t xml:space="preserve">服务报告：定期提供服务周报、月报，包括但不限于周期内安全运营情况，重点安全事件，告警趋势分析、威胁类型分布分</w:t>
            </w:r>
            <w:r>
              <w:rPr>
                <w:rFonts w:hint="eastAsia" w:hAnsi="宋体" w:cs="宋体"/>
                <w:b w:val="0"/>
                <w:bCs/>
                <w:szCs w:val="24"/>
                <w:lang w:eastAsia="zh-Hans" w:bidi="ar"/>
              </w:rPr>
              <w:t xml:space="preserve">析、高威胁攻击者分析等。</w:t>
            </w:r>
            <w:r/>
          </w:p>
          <w:p>
            <w:pPr>
              <w:spacing w:line="360" w:lineRule="auto"/>
              <w:rPr>
                <w:rFonts w:hint="eastAsia" w:hAnsi="宋体" w:cs="宋体"/>
                <w:b w:val="0"/>
                <w:bCs/>
                <w:szCs w:val="24"/>
                <w:lang w:bidi="ar"/>
              </w:rPr>
            </w:pPr>
            <w:r>
              <w:rPr>
                <w:rFonts w:hint="eastAsia" w:hAnsi="宋体" w:cs="宋体"/>
                <w:b w:val="0"/>
                <w:bCs/>
                <w:szCs w:val="24"/>
                <w:lang w:eastAsia="zh-Hans" w:bidi="ar"/>
              </w:rPr>
              <w:t xml:space="preserve">服务支持：安全专家实时在线，对客户关于威胁及服务问题提供支持至问题解决。</w:t>
            </w:r>
            <w:r/>
          </w:p>
        </w:tc>
      </w:tr>
      <w:tr>
        <w:trPr>
          <w:trHeight w:val="6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投标方需为招标方提供的服务成果展示门户（或用户Portal），可以直观的管理服务过程中生产的服务报告和交付物，包括但不限于《项目启动会PPT》、《首次安全风险分析报告》、《威胁情报半月刊》、《安全运营周报》、《安全运营月报》、《安全运营季报》、《年度总结汇报》等。</w:t>
            </w:r>
            <w:r/>
          </w:p>
        </w:tc>
      </w:tr>
      <w:tr>
        <w:trPr>
          <w:trHeight w:val="6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vAlign w:val="bottom"/>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投标方需为招标方提供的移动端服务过程展示门户（移动端Portal），支持直观地查阅服务推送的各种安全事件/威胁的详细专家处置闭环过程，需包含安全事件详细的【抑制情况】【调查情况】【溯源情况】【处置情况】【加固情况】等内容。</w:t>
            </w:r>
            <w:r/>
          </w:p>
        </w:tc>
      </w:tr>
      <w:tr>
        <w:trPr>
          <w:trHeight w:val="6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rPr>
                <w:rFonts w:hint="eastAsia" w:hAnsi="宋体" w:cs="宋体"/>
                <w:b w:val="0"/>
                <w:bCs/>
                <w:szCs w:val="24"/>
              </w:rPr>
            </w:pPr>
            <w:r>
              <w:rPr>
                <w:rFonts w:hint="eastAsia" w:hAnsi="宋体" w:cs="宋体"/>
                <w:b w:val="0"/>
                <w:bCs/>
                <w:szCs w:val="24"/>
                <w:lang w:bidi="ar"/>
              </w:rPr>
              <w:t xml:space="preserve">流量探针要求</w:t>
            </w:r>
            <w:r/>
          </w:p>
        </w:tc>
        <w:tc>
          <w:tcPr>
            <w:tcBorders>
              <w:top w:val="single" w:color="000000" w:sz="4" w:space="0"/>
              <w:left w:val="single" w:color="000000" w:sz="4" w:space="0"/>
              <w:bottom w:val="single" w:color="000000" w:sz="4" w:space="0"/>
              <w:right w:val="single" w:color="000000" w:sz="4" w:space="0"/>
            </w:tcBorders>
            <w:tcW w:w="4046" w:type="pct"/>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提供一台流量探针（与安全运营服务同品牌），要求为：网络层吞吐量≥1.5Gbps，硬盘容量≥256GB SSD，接口≥8个千兆电口+2个万兆光口SFP+；含三年规则库升级，提供三年原厂软硬件质保服务;</w:t>
            </w:r>
            <w:r/>
          </w:p>
        </w:tc>
      </w:tr>
      <w:tr>
        <w:trPr>
          <w:trHeight w:val="6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命令注入检测、PHP代码检测、XSS攻击检测、Webshell上传检测、SQL注入检测、XXE攻击检测、JAVA代码检测、SQL非注入型检测、MYSQL解析增强、php反序列化检测等自定义配置启用，针对命令注入检测、SQL注入检测等类型支持自定义高检出、低误报模式。</w:t>
            </w:r>
            <w:r/>
          </w:p>
        </w:tc>
      </w:tr>
      <w:tr>
        <w:trPr>
          <w:trHeight w:val="6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支持Database漏洞攻击、DNS漏洞攻击、FTP漏洞攻击、Mail漏洞攻击、Media漏洞攻击、Network Device、Shellcode漏洞攻击、System漏洞攻击、Telnet漏洞攻击、Tftp漏洞攻击、Web漏洞攻击、IPS云防护等服务漏洞攻击检测。</w:t>
            </w:r>
            <w:r/>
          </w:p>
        </w:tc>
      </w:tr>
      <w:tr>
        <w:trPr>
          <w:trHeight w:val="3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支持检测出网络中的网络拓扑设备进行绘制，更多直观可视化查看网络整体情况。</w:t>
            </w:r>
            <w:r/>
          </w:p>
        </w:tc>
      </w:tr>
      <w:tr>
        <w:trPr>
          <w:trHeight w:val="3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内置URL库、IPS漏洞特征识别库、应用识别库、WEB应用防护识别库、僵尸网络识别库、实时漏洞分析识别库、白名单库。</w:t>
            </w:r>
            <w:r/>
          </w:p>
        </w:tc>
      </w:tr>
      <w:tr>
        <w:trPr>
          <w:trHeight w:val="6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rPr>
                <w:rFonts w:hint="eastAsia" w:hAnsi="宋体" w:cs="宋体"/>
                <w:b w:val="0"/>
                <w:bCs/>
                <w:szCs w:val="24"/>
              </w:rPr>
            </w:pPr>
            <w:r>
              <w:rPr>
                <w:rFonts w:hint="eastAsia" w:hAnsi="宋体" w:cs="宋体"/>
                <w:b w:val="0"/>
                <w:bCs/>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46" w:type="pct"/>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支持流量抓包分析，基于五元组灵活抓取数据包，可定义配置源IP、源端口、目的IP和目的端口、传输层协议以及标签类型（vlan、mpls）选择添加抓包任务，接口额外提供标签选项，帮助安全工程师高效分析威胁。</w:t>
            </w:r>
            <w:r/>
          </w:p>
        </w:tc>
      </w:tr>
    </w:tbl>
    <w:p>
      <w:pPr>
        <w:spacing w:line="360" w:lineRule="auto"/>
        <w:rPr>
          <w:szCs w:val="24"/>
        </w:rPr>
      </w:pPr>
      <w:r>
        <w:rPr>
          <w:rFonts w:hint="eastAsia"/>
          <w:szCs w:val="24"/>
        </w:rPr>
        <w:t xml:space="preserve"> </w:t>
      </w:r>
      <w:r/>
    </w:p>
    <w:p>
      <w:pPr>
        <w:spacing w:line="360" w:lineRule="auto"/>
        <w:rPr>
          <w:szCs w:val="24"/>
        </w:rPr>
      </w:pPr>
      <w:r>
        <w:rPr>
          <w:rFonts w:hint="eastAsia"/>
          <w:szCs w:val="24"/>
        </w:rPr>
        <w:t xml:space="preserve">2.14集成服务</w:t>
      </w:r>
      <w:r/>
    </w:p>
    <w:tbl>
      <w:tblPr>
        <w:tblW w:w="4998" w:type="pct"/>
        <w:tblLayout w:type="fixed"/>
        <w:tblLook w:val="04A0" w:firstRow="1" w:lastRow="0" w:firstColumn="1" w:lastColumn="0" w:noHBand="0" w:noVBand="1"/>
      </w:tblPr>
      <w:tblGrid>
        <w:gridCol w:w="706"/>
        <w:gridCol w:w="866"/>
        <w:gridCol w:w="6721"/>
      </w:tblGrid>
      <w:tr>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指标项</w:t>
            </w:r>
            <w:r/>
          </w:p>
        </w:tc>
        <w:tc>
          <w:tcPr>
            <w:tcBorders>
              <w:top w:val="single" w:color="000000" w:sz="4" w:space="0"/>
              <w:left w:val="single" w:color="000000" w:sz="4" w:space="0"/>
              <w:bottom w:val="single" w:color="000000" w:sz="4" w:space="0"/>
              <w:right w:val="single" w:color="000000" w:sz="4" w:space="0"/>
            </w:tcBorders>
            <w:tcW w:w="4052"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指标要求</w:t>
            </w:r>
            <w:r/>
          </w:p>
        </w:tc>
      </w:tr>
      <w:tr>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1</w:t>
            </w:r>
            <w:r/>
          </w:p>
        </w:tc>
        <w:tc>
          <w:tcPr>
            <w:tcBorders>
              <w:top w:val="single" w:color="000000" w:sz="4" w:space="0"/>
              <w:left w:val="single" w:color="000000" w:sz="4" w:space="0"/>
              <w:right w:val="single" w:color="000000" w:sz="4" w:space="0"/>
            </w:tcBorders>
            <w:tcW w:w="522" w:type="pct"/>
            <w:vAlign w:val="center"/>
            <w:vMerge w:val="restart"/>
            <w:textDirection w:val="lrTb"/>
            <w:noWrap w:val="false"/>
          </w:tcPr>
          <w:p>
            <w:pPr>
              <w:jc w:val="center"/>
              <w:rPr>
                <w:rFonts w:hint="eastAsia" w:hAnsi="宋体" w:cs="宋体"/>
                <w:b w:val="0"/>
                <w:bCs/>
                <w:szCs w:val="24"/>
              </w:rPr>
            </w:pPr>
            <w:r>
              <w:rPr>
                <w:rFonts w:hint="eastAsia" w:hAnsi="宋体" w:cs="宋体"/>
                <w:b w:val="0"/>
                <w:bCs/>
                <w:szCs w:val="24"/>
                <w:lang w:bidi="ar"/>
              </w:rPr>
              <w:t xml:space="preserve">服务要求</w:t>
            </w:r>
            <w:r/>
          </w:p>
        </w:tc>
        <w:tc>
          <w:tcPr>
            <w:tcBorders>
              <w:top w:val="single" w:color="000000" w:sz="4" w:space="0"/>
              <w:left w:val="single" w:color="000000" w:sz="4" w:space="0"/>
              <w:bottom w:val="single" w:color="000000" w:sz="4" w:space="0"/>
              <w:right w:val="single" w:color="000000" w:sz="4" w:space="0"/>
            </w:tcBorders>
            <w:tcW w:w="4052"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★包含本次项目提供设备及利旧网络安全设备（内网边界防火墙、日志审计系统、数据库审计系统等）的集成服务和三年技术支持服务。</w:t>
            </w:r>
            <w:r/>
          </w:p>
        </w:tc>
      </w:tr>
      <w:tr>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2</w:t>
            </w:r>
            <w:r/>
          </w:p>
        </w:tc>
        <w:tc>
          <w:tcPr>
            <w:tcBorders>
              <w:left w:val="single" w:color="000000" w:sz="4" w:space="0"/>
              <w:right w:val="single" w:color="000000" w:sz="4" w:space="0"/>
            </w:tcBorders>
            <w:tcW w:w="522"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2"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网络优化：核心网络割接，将门诊楼内网原华为核心交换机网关迁移至新机房华三S10508X。</w:t>
            </w:r>
            <w:r/>
          </w:p>
        </w:tc>
      </w:tr>
      <w:tr>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3</w:t>
            </w:r>
            <w:r/>
          </w:p>
        </w:tc>
        <w:tc>
          <w:tcPr>
            <w:tcBorders>
              <w:left w:val="single" w:color="000000" w:sz="4" w:space="0"/>
              <w:right w:val="single" w:color="000000" w:sz="4" w:space="0"/>
            </w:tcBorders>
            <w:tcW w:w="522"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2"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含本项目所需的光纤尾纤、网线、水晶头等辅材。</w:t>
            </w:r>
            <w:r/>
          </w:p>
        </w:tc>
      </w:tr>
      <w:tr>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4</w:t>
            </w:r>
            <w:r/>
          </w:p>
        </w:tc>
        <w:tc>
          <w:tcPr>
            <w:tcBorders>
              <w:left w:val="single" w:color="000000" w:sz="4" w:space="0"/>
              <w:right w:val="single" w:color="000000" w:sz="4" w:space="0"/>
            </w:tcBorders>
            <w:tcW w:w="522"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2"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针对医院业务资产不少于10个，提供渗透测试服务（含复测）；</w:t>
            </w:r>
            <w:r/>
          </w:p>
        </w:tc>
      </w:tr>
      <w:tr>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hAnsi="宋体" w:cs="宋体"/>
                <w:b w:val="0"/>
                <w:bCs/>
                <w:szCs w:val="24"/>
              </w:rPr>
            </w:pPr>
            <w:r>
              <w:rPr>
                <w:rFonts w:hint="eastAsia" w:hAnsi="宋体" w:cs="宋体"/>
                <w:b w:val="0"/>
                <w:bCs/>
                <w:szCs w:val="24"/>
                <w:lang w:bidi="ar"/>
              </w:rPr>
              <w:t xml:space="preserve">5</w:t>
            </w:r>
            <w:r/>
          </w:p>
        </w:tc>
        <w:tc>
          <w:tcPr>
            <w:tcBorders>
              <w:left w:val="single" w:color="000000" w:sz="4" w:space="0"/>
              <w:right w:val="single" w:color="000000" w:sz="4" w:space="0"/>
            </w:tcBorders>
            <w:tcW w:w="522"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2" w:type="pct"/>
            <w:vAlign w:val="center"/>
            <w:textDirection w:val="lrTb"/>
            <w:noWrap w:val="false"/>
          </w:tcPr>
          <w:p>
            <w:pPr>
              <w:spacing w:line="360" w:lineRule="auto"/>
              <w:rPr>
                <w:rFonts w:hint="eastAsia" w:hAnsi="宋体" w:cs="宋体"/>
                <w:b w:val="0"/>
                <w:bCs/>
                <w:szCs w:val="24"/>
              </w:rPr>
            </w:pPr>
            <w:r>
              <w:rPr>
                <w:rFonts w:hint="eastAsia" w:hAnsi="宋体" w:cs="宋体"/>
                <w:b w:val="0"/>
                <w:bCs/>
                <w:szCs w:val="24"/>
                <w:lang w:bidi="ar"/>
              </w:rPr>
              <w:t xml:space="preserve">针对医院互联网业务资产，提供漏洞扫描服务，4次；</w:t>
            </w:r>
            <w:r/>
          </w:p>
        </w:tc>
      </w:tr>
      <w:tr>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hAnsi="宋体" w:cs="宋体"/>
                <w:b w:val="0"/>
                <w:bCs/>
                <w:szCs w:val="24"/>
                <w:lang w:bidi="ar"/>
              </w:rPr>
            </w:pPr>
            <w:r>
              <w:rPr>
                <w:rFonts w:hint="eastAsia" w:hAnsi="宋体" w:cs="宋体"/>
                <w:b w:val="0"/>
                <w:bCs/>
                <w:szCs w:val="24"/>
                <w:lang w:bidi="ar"/>
              </w:rPr>
              <w:t xml:space="preserve">6</w:t>
            </w:r>
            <w:r/>
          </w:p>
        </w:tc>
        <w:tc>
          <w:tcPr>
            <w:tcBorders>
              <w:left w:val="single" w:color="000000" w:sz="4" w:space="0"/>
              <w:bottom w:val="single" w:color="000000" w:sz="4" w:space="0"/>
              <w:right w:val="single" w:color="000000" w:sz="4" w:space="0"/>
            </w:tcBorders>
            <w:tcW w:w="522" w:type="pct"/>
            <w:vAlign w:val="center"/>
            <w:vMerge w:val="continue"/>
            <w:textDirection w:val="lrTb"/>
            <w:noWrap w:val="false"/>
          </w:tcPr>
          <w:p>
            <w:pPr>
              <w:jc w:val="center"/>
              <w:rPr>
                <w:rFonts w:hint="eastAsia" w:hAnsi="宋体" w:cs="宋体"/>
                <w:b w:val="0"/>
                <w:bCs/>
                <w:szCs w:val="24"/>
              </w:rPr>
            </w:pPr>
            <w:r>
              <w:rPr>
                <w:rFonts w:hint="eastAsia" w:hAnsi="宋体" w:cs="宋体"/>
                <w:b w:val="0"/>
                <w:bCs/>
                <w:szCs w:val="24"/>
              </w:rPr>
            </w:r>
            <w:r/>
          </w:p>
        </w:tc>
        <w:tc>
          <w:tcPr>
            <w:tcBorders>
              <w:top w:val="single" w:color="000000" w:sz="4" w:space="0"/>
              <w:left w:val="single" w:color="000000" w:sz="4" w:space="0"/>
              <w:bottom w:val="single" w:color="000000" w:sz="4" w:space="0"/>
              <w:right w:val="single" w:color="000000" w:sz="4" w:space="0"/>
            </w:tcBorders>
            <w:tcW w:w="4052" w:type="pct"/>
            <w:vAlign w:val="center"/>
            <w:textDirection w:val="lrTb"/>
            <w:noWrap w:val="false"/>
          </w:tcPr>
          <w:p>
            <w:pPr>
              <w:spacing w:line="360" w:lineRule="auto"/>
              <w:rPr>
                <w:rFonts w:hint="eastAsia" w:hAnsi="宋体" w:cs="宋体"/>
                <w:b w:val="0"/>
                <w:bCs/>
                <w:szCs w:val="24"/>
                <w:lang w:bidi="ar"/>
              </w:rPr>
            </w:pPr>
            <w:r>
              <w:rPr>
                <w:rFonts w:hint="eastAsia" w:hAnsi="宋体" w:cs="宋体"/>
                <w:b w:val="0"/>
                <w:bCs/>
                <w:szCs w:val="24"/>
                <w:lang w:bidi="ar"/>
              </w:rPr>
              <w:t xml:space="preserve">针对医院实际环境，提供机房搬迁服务，将医院需要迁移设备从门诊机房搬迁至新建机房。</w:t>
            </w:r>
            <w:r/>
          </w:p>
        </w:tc>
      </w:tr>
    </w:tbl>
    <w:p>
      <w:pPr>
        <w:pStyle w:val="1009"/>
        <w:ind w:firstLine="480"/>
        <w:rPr>
          <w:rFonts w:hint="eastAsia"/>
          <w:b w:val="0"/>
          <w:szCs w:val="21"/>
          <w:u w:val="single"/>
        </w:rPr>
      </w:pPr>
      <w:r>
        <w:rPr>
          <w:rFonts w:hint="eastAsia"/>
          <w:b w:val="0"/>
          <w:szCs w:val="21"/>
          <w:u w:val="single"/>
        </w:rPr>
      </w:r>
      <w:r/>
    </w:p>
    <w:p>
      <w:pPr>
        <w:pStyle w:val="1009"/>
        <w:ind w:firstLine="480"/>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b w:val="0"/>
          <w:szCs w:val="21"/>
          <w:u w:val="single"/>
        </w:rPr>
        <w:t xml:space="preserve">*</w:t>
      </w:r>
      <w:r>
        <w:rPr>
          <w:rFonts w:hint="eastAsia"/>
          <w:b w:val="0"/>
          <w:szCs w:val="21"/>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3" w:name="_Toc174468380"/>
      <w:r>
        <w:rPr>
          <w:rFonts w:hint="eastAsia" w:hAnsi="宋体" w:cs="宋体"/>
          <w:bCs/>
        </w:rPr>
        <w:t xml:space="preserve">★二、商务需求</w:t>
      </w:r>
      <w:bookmarkEnd w:id="220"/>
      <w:r/>
      <w:bookmarkEnd w:id="223"/>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bookmarkStart w:id="224" w:name="_Toc174468391"/>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货物交货期</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合同签订之日起15个工作日内全部货物送达</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服务期限</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合同签订之日起3年原厂服务</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质保期</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3年（包含但不限于所有软硬件质保，</w:t>
            </w:r>
            <w:r>
              <w:rPr>
                <w:rFonts w:hAnsi="宋体" w:cs="宋体"/>
                <w:b w:val="0"/>
                <w:position w:val="0"/>
                <w:szCs w:val="24"/>
              </w:rPr>
              <w:t xml:space="preserve">规则库升级</w:t>
            </w:r>
            <w:r>
              <w:rPr>
                <w:rFonts w:hint="eastAsia" w:hAnsi="宋体" w:cs="宋体"/>
                <w:b w:val="0"/>
                <w:position w:val="0"/>
                <w:szCs w:val="24"/>
              </w:rPr>
              <w:t xml:space="preserve">）</w:t>
            </w:r>
            <w:r/>
          </w:p>
        </w:tc>
      </w:tr>
      <w:tr>
        <w:trPr>
          <w:trHeight w:val="416"/>
        </w:trPr>
        <w:tc>
          <w:tcPr>
            <w:tcW w:w="771" w:type="dxa"/>
            <w:vAlign w:val="center"/>
            <w:textDirection w:val="lrTb"/>
            <w:noWrap w:val="false"/>
          </w:tcPr>
          <w:p>
            <w:pPr>
              <w:jc w:val="center"/>
              <w:spacing w:line="360" w:lineRule="auto"/>
              <w:rPr>
                <w:rFonts w:hint="eastAsia" w:hAnsi="宋体" w:cs="宋体"/>
                <w:b w:val="0"/>
                <w:position w:val="0"/>
                <w:szCs w:val="24"/>
                <w:highlight w:val="yellow"/>
                <w:lang w:val="zh-CN"/>
              </w:rPr>
            </w:pPr>
            <w:r>
              <w:rPr>
                <w:rFonts w:hint="eastAsia" w:hAnsi="宋体" w:cs="宋体"/>
                <w:b w:val="0"/>
                <w:position w:val="0"/>
                <w:szCs w:val="24"/>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662" w:type="dxa"/>
            <w:vAlign w:val="center"/>
            <w:textDirection w:val="lrTb"/>
            <w:noWrap w:val="false"/>
          </w:tcPr>
          <w:p>
            <w:pPr>
              <w:spacing w:line="360" w:lineRule="auto"/>
              <w:tabs>
                <w:tab w:val="left" w:pos="420" w:leader="none"/>
              </w:tabs>
              <w:rPr>
                <w:b w:val="0"/>
                <w:bCs/>
              </w:rPr>
            </w:pPr>
            <w:r>
              <w:rPr>
                <w:rFonts w:hAnsi="宋体" w:cs="宋体"/>
                <w:b w:val="0"/>
                <w:bCs/>
                <w:szCs w:val="24"/>
              </w:rPr>
              <w:t xml:space="preserve">承诺中标后提供原厂针对本次项目产品质保服务承诺函原件。（注：中标公示后签订合同前3个工作日内须提供原厂针对本次项目产品质保服务承诺函原件（至少提供WEB应用防火墙、互联网边界防火墙、外网端点安全防护设备、上网行为管理设备、零信任安全接入设备、运维管理设备、网闸、终端准入设备、内网端点安全防护设备、安全运营服务等主要产品），中标人未按规定时间提供授权视为主动放弃中标资格）</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负责对采购人、最终用户的操作、维修人员在项目所在地进行业务培训，请投标人自报可以提供业务培训的人数及天数，并应达到能熟练操作并能排除常见故障的标准；</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662" w:type="dxa"/>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（1）招标文件技术规格书中明确的标准和技术要求；</w:t>
            </w:r>
            <w:r/>
          </w:p>
          <w:p>
            <w:pPr>
              <w:jc w:val="left"/>
              <w:spacing w:line="360" w:lineRule="auto"/>
              <w:widowControl/>
              <w:rPr>
                <w:rFonts w:hint="eastAsia" w:hAnsi="宋体" w:cs="宋体"/>
                <w:b w:val="0"/>
                <w:bCs/>
                <w:szCs w:val="24"/>
              </w:rPr>
            </w:pPr>
            <w:r>
              <w:rPr>
                <w:rFonts w:hint="eastAsia" w:hAnsi="宋体" w:cs="宋体"/>
                <w:b w:val="0"/>
                <w:bCs/>
                <w:szCs w:val="24"/>
              </w:rPr>
              <w:t xml:space="preserve">（2）与合同货物有关的最新版本的中华人民共和国国家/国际标准和部颁标准；</w:t>
            </w:r>
            <w:r/>
          </w:p>
          <w:p>
            <w:pPr>
              <w:jc w:val="left"/>
              <w:spacing w:line="360" w:lineRule="auto"/>
              <w:widowControl/>
              <w:rPr>
                <w:rFonts w:hint="eastAsia" w:hAnsi="宋体" w:cs="宋体"/>
                <w:b w:val="0"/>
                <w:bCs/>
                <w:szCs w:val="24"/>
              </w:rPr>
            </w:pPr>
            <w:r>
              <w:rPr>
                <w:rFonts w:hint="eastAsia" w:hAnsi="宋体" w:cs="宋体"/>
                <w:b w:val="0"/>
                <w:bCs/>
                <w:szCs w:val="24"/>
              </w:rPr>
              <w:t xml:space="preserve">（3）货物合格证书技术资料中的精度、质量要求；</w:t>
            </w:r>
            <w:r/>
          </w:p>
          <w:p>
            <w:pPr>
              <w:jc w:val="left"/>
              <w:spacing w:line="360" w:lineRule="auto"/>
              <w:widowControl/>
              <w:rPr>
                <w:rFonts w:hint="eastAsia" w:hAnsi="宋体" w:cs="宋体"/>
                <w:b w:val="0"/>
                <w:bCs/>
                <w:szCs w:val="24"/>
              </w:rPr>
            </w:pPr>
            <w:r>
              <w:rPr>
                <w:rFonts w:hint="eastAsia" w:hAnsi="宋体" w:cs="宋体"/>
                <w:b w:val="0"/>
                <w:bCs/>
                <w:szCs w:val="24"/>
              </w:rPr>
              <w:t xml:space="preserve">（4）</w:t>
            </w:r>
            <w:r>
              <w:rPr>
                <w:rFonts w:hint="eastAsia" w:hAnsi="宋体"/>
                <w:b w:val="0"/>
                <w:bCs/>
              </w:rPr>
              <w:t xml:space="preserve">投标人</w:t>
            </w:r>
            <w:r>
              <w:rPr>
                <w:rFonts w:hint="eastAsia" w:hAnsi="宋体" w:cs="宋体"/>
                <w:b w:val="0"/>
                <w:bCs/>
                <w:szCs w:val="24"/>
              </w:rPr>
              <w:t xml:space="preserve">在澄清响应文件时作出的承诺，经采购人确认后，将作为对货物的验收依据之一；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（5）双方签订的合同技术附件所规定的条款。</w:t>
            </w:r>
            <w:r/>
          </w:p>
          <w:p>
            <w:pPr>
              <w:spacing w:line="360" w:lineRule="auto"/>
              <w:rPr>
                <w:rFonts w:hint="eastAsia" w:hAnsi="宋体" w:cs="宋体"/>
                <w:b w:val="0"/>
                <w:bCs/>
                <w:szCs w:val="21"/>
              </w:rPr>
            </w:pPr>
            <w:r>
              <w:rPr>
                <w:rFonts w:hint="eastAsia" w:hAnsi="宋体" w:cs="宋体"/>
                <w:b w:val="0"/>
                <w:bCs/>
                <w:szCs w:val="24"/>
              </w:rPr>
              <w:t xml:space="preserve">（6）</w:t>
            </w:r>
            <w:r>
              <w:rPr>
                <w:rFonts w:hint="eastAsia" w:hAnsi="宋体" w:cs="宋体"/>
                <w:b w:val="0"/>
                <w:bCs/>
                <w:szCs w:val="21"/>
              </w:rPr>
              <w:t xml:space="preserve">投标人需在交货时对照招标文件及投标响应内容完成全功能实操演示，由招标人核验功能完整性。资料审核或功能演示不满足要求的，招标人有权取消中标资格、不予签订合同，并按虚假应标追究相关责任。</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7</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6662" w:type="dxa"/>
            <w:vAlign w:val="center"/>
            <w:textDirection w:val="lrTb"/>
            <w:noWrap w:val="false"/>
          </w:tcPr>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（1）交货地点：如东县人民医院院内指定的交货及服务地点，投标人可自行查看现场情况。</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2）投标人负责将货物安全无损运抵采购人指定地点，并承担设备的包装、运输、保险、装卸、安装调试、培训、商检及计量检测、增值税等费用。设备安装调试完毕，试用无故障方签署验收报告，保修期自签署验收报告之日起开始计算。</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8</w:t>
            </w:r>
            <w:r/>
          </w:p>
        </w:tc>
        <w:tc>
          <w:tcPr>
            <w:tcW w:w="1464"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rPr>
                <w:rFonts w:hint="eastAsia" w:hAnsi="宋体"/>
                <w:b w:val="0"/>
                <w:bCs/>
              </w:rPr>
            </w:pPr>
            <w:r>
              <w:rPr>
                <w:b w:val="0"/>
                <w:bCs/>
              </w:rPr>
              <w:t xml:space="preserve">货到安装调试完成并验收合格收到中标人全额发票后1个月内支付合同总额的70%，验收合格三个</w:t>
            </w:r>
            <w:r>
              <w:rPr>
                <w:rFonts w:hint="eastAsia"/>
                <w:b w:val="0"/>
                <w:bCs/>
              </w:rPr>
              <w:t xml:space="preserve">月</w:t>
            </w:r>
            <w:r>
              <w:rPr>
                <w:b w:val="0"/>
                <w:bCs/>
              </w:rPr>
              <w:t xml:space="preserve">后支付合同总额的20%，验收合格满一年后付清剩余10%。</w:t>
            </w:r>
            <w:r/>
          </w:p>
        </w:tc>
      </w:tr>
    </w:tbl>
    <w:p>
      <w:pPr>
        <w:ind w:firstLine="241"/>
        <w:jc w:val="left"/>
        <w:spacing w:before="156" w:after="156" w:line="360"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w:t>
      </w:r>
      <w:r>
        <w:rPr>
          <w:rFonts w:hint="eastAsia" w:hAnsi="宋体" w:cs="宋体"/>
          <w:b w:val="0"/>
          <w:bCs/>
        </w:rPr>
        <w:t xml:space="preserve">人联系人），遵守采购人相关要求，并不得影响采购人正常工作秩序。中标后，投标人不得以现场情况未了解清楚为由向采购人提出提升投标报价或其他任何要求。</w:t>
      </w:r>
      <w:r/>
    </w:p>
    <w:p>
      <w:pPr>
        <w:pStyle w:val="971"/>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5" w:name="_Hlk174549820"/>
      <w:r>
        <w:rPr>
          <w:rFonts w:hint="eastAsia"/>
          <w:b w:val="0"/>
          <w:bCs/>
        </w:rPr>
        <w:t xml:space="preserve">本项目不收取履约保证金</w:t>
      </w:r>
      <w:bookmarkEnd w:id="225"/>
      <w:r>
        <w:rPr>
          <w:rFonts w:hint="eastAsia" w:hAnsi="宋体" w:cs="宋体"/>
          <w:b w:val="0"/>
          <w:bCs/>
          <w:szCs w:val="21"/>
        </w:rPr>
        <w:t xml:space="preserve">。</w:t>
      </w:r>
      <w:bookmarkEnd w:id="224"/>
      <w:r>
        <w:rPr>
          <w:rFonts w:hAnsi="宋体" w:cs="宋体"/>
          <w:sz w:val="20"/>
        </w:rPr>
        <w:br w:type="page" w:clear="all"/>
      </w:r>
      <w:r/>
    </w:p>
    <w:p>
      <w:pPr>
        <w:pStyle w:val="946"/>
        <w:spacing w:line="360" w:lineRule="auto"/>
        <w:rPr>
          <w:rFonts w:hint="eastAsia" w:ascii="宋体" w:hAnsi="宋体" w:eastAsia="宋体" w:cs="宋体"/>
          <w:b/>
          <w:bCs/>
          <w:sz w:val="44"/>
        </w:rPr>
      </w:pPr>
      <w:r/>
      <w:bookmarkStart w:id="226" w:name="_Toc174468392"/>
      <w:r/>
      <w:bookmarkEnd w:id="221"/>
      <w:r/>
      <w:bookmarkEnd w:id="222"/>
      <w:r>
        <w:rPr>
          <w:rFonts w:hint="eastAsia" w:ascii="宋体" w:hAnsi="宋体" w:eastAsia="宋体" w:cs="宋体"/>
          <w:b/>
          <w:bCs/>
          <w:sz w:val="44"/>
        </w:rPr>
        <w:t xml:space="preserve">第五章  评标方法与评标标准</w:t>
      </w:r>
      <w:bookmarkEnd w:id="226"/>
      <w:r/>
      <w:r/>
    </w:p>
    <w:p>
      <w:pPr>
        <w:jc w:val="left"/>
        <w:spacing w:line="360" w:lineRule="auto"/>
        <w:rPr>
          <w:rFonts w:hint="eastAsia" w:hAnsi="宋体" w:cs="宋体"/>
          <w:b w:val="0"/>
          <w:bCs/>
          <w:sz w:val="28"/>
          <w:szCs w:val="28"/>
        </w:rPr>
      </w:pPr>
      <w:r/>
      <w:bookmarkStart w:id="227" w:name="_Toc513029276"/>
      <w:r/>
      <w:bookmarkStart w:id="228" w:name="_Toc49090577"/>
      <w:r/>
      <w:bookmarkStart w:id="229" w:name="_Toc22356580"/>
      <w:r/>
      <w:bookmarkStart w:id="230" w:name="_Toc23828478"/>
      <w:r/>
      <w:bookmarkStart w:id="231" w:name="_Toc460901585"/>
      <w:r/>
      <w:bookmarkStart w:id="232" w:name="_Toc120614283"/>
      <w:r/>
      <w:bookmarkStart w:id="233" w:name="_Toc26554095"/>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w:t>
            </w:r>
            <w:r>
              <w:rPr>
                <w:rFonts w:hint="eastAsia" w:hAnsi="宋体" w:cs="宋体"/>
                <w:b w:val="0"/>
                <w:position w:val="0"/>
                <w:szCs w:val="24"/>
              </w:rPr>
              <w:t xml:space="preserve">5</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评委根据投标人对招标文件中所明确的项目需求中技术需求响应情况进行打分。</w:t>
            </w:r>
            <w:r>
              <w:rPr>
                <w:rFonts w:hint="eastAsia" w:hAnsi="宋体" w:cs="宋体"/>
                <w:b w:val="0"/>
                <w:position w:val="0"/>
                <w:szCs w:val="24"/>
              </w:rPr>
              <w:t xml:space="preserve">技术响应全部满足招标文件技术需求的得满分</w:t>
            </w:r>
            <w:r>
              <w:rPr>
                <w:rFonts w:hint="eastAsia" w:hAnsi="宋体" w:cs="宋体"/>
                <w:b w:val="0"/>
                <w:position w:val="0"/>
                <w:szCs w:val="24"/>
              </w:rPr>
              <w:t xml:space="preserve">35</w:t>
            </w:r>
            <w:r>
              <w:rPr>
                <w:rFonts w:hint="eastAsia" w:hAnsi="宋体" w:cs="宋体"/>
                <w:b w:val="0"/>
                <w:position w:val="0"/>
                <w:szCs w:val="24"/>
              </w:rPr>
              <w:t xml:space="preserve">分；</w:t>
            </w:r>
            <w:r>
              <w:rPr>
                <w:rFonts w:hint="eastAsia" w:hAnsi="宋体" w:cs="宋体"/>
                <w:b w:val="0"/>
                <w:position w:val="0"/>
                <w:szCs w:val="24"/>
              </w:rPr>
              <w:t xml:space="preserve">技术需求中标注“</w:t>
            </w:r>
            <w:r>
              <w:rPr>
                <w:rFonts w:hAnsi="宋体" w:cs="宋体"/>
                <w:b w:val="0"/>
                <w:position w:val="0"/>
                <w:szCs w:val="24"/>
              </w:rPr>
              <w:t xml:space="preserve">★</w:t>
            </w:r>
            <w:r>
              <w:rPr>
                <w:rFonts w:hint="eastAsia" w:hAnsi="宋体" w:cs="宋体"/>
                <w:b w:val="0"/>
                <w:position w:val="0"/>
                <w:szCs w:val="24"/>
              </w:rPr>
              <w:t xml:space="preserve">”的为关键参数，任意一项负偏离将导致投标被否决；技术需求中标注“▲”的为重要参数，每</w:t>
            </w:r>
            <w:r>
              <w:rPr>
                <w:rFonts w:hint="eastAsia" w:hAnsi="宋体" w:cs="宋体"/>
                <w:b w:val="0"/>
                <w:position w:val="0"/>
                <w:szCs w:val="24"/>
              </w:rPr>
              <w:t xml:space="preserve">负偏离</w:t>
            </w:r>
            <w:r>
              <w:rPr>
                <w:rFonts w:hint="eastAsia" w:hAnsi="宋体" w:cs="宋体"/>
                <w:b w:val="0"/>
                <w:position w:val="0"/>
                <w:szCs w:val="24"/>
              </w:rPr>
              <w:t xml:space="preserve">一项</w:t>
            </w:r>
            <w:r>
              <w:rPr>
                <w:rFonts w:hint="eastAsia" w:hAnsi="宋体" w:cs="宋体"/>
                <w:b w:val="0"/>
                <w:position w:val="0"/>
                <w:szCs w:val="24"/>
              </w:rPr>
              <w:t xml:space="preserve">扣1</w:t>
            </w:r>
            <w:r>
              <w:rPr>
                <w:rFonts w:hint="eastAsia" w:hAnsi="宋体" w:cs="宋体"/>
                <w:b w:val="0"/>
                <w:position w:val="0"/>
                <w:szCs w:val="24"/>
              </w:rPr>
              <w:t xml:space="preserve">分</w:t>
            </w:r>
            <w:r>
              <w:rPr>
                <w:rFonts w:hint="eastAsia" w:hAnsi="宋体" w:cs="宋体"/>
                <w:b w:val="0"/>
                <w:position w:val="0"/>
                <w:szCs w:val="24"/>
              </w:rPr>
              <w:t xml:space="preserve">；</w:t>
            </w:r>
            <w:r>
              <w:rPr>
                <w:rFonts w:hint="eastAsia" w:hAnsi="宋体" w:cs="宋体"/>
                <w:b w:val="0"/>
                <w:position w:val="0"/>
                <w:szCs w:val="24"/>
              </w:rPr>
              <w:t xml:space="preserve">技术需求中未标注</w:t>
            </w:r>
            <w:r>
              <w:rPr>
                <w:rFonts w:hAnsi="宋体" w:cs="宋体"/>
                <w:b w:val="0"/>
                <w:position w:val="0"/>
                <w:szCs w:val="24"/>
              </w:rPr>
              <w:t xml:space="preserve">“★”</w:t>
            </w:r>
            <w:r>
              <w:rPr>
                <w:rFonts w:hint="eastAsia" w:hAnsi="宋体" w:cs="宋体"/>
                <w:b w:val="0"/>
                <w:position w:val="0"/>
                <w:szCs w:val="24"/>
              </w:rPr>
              <w:t xml:space="preserve">、“▲”的为一般参数，每</w:t>
            </w:r>
            <w:r>
              <w:rPr>
                <w:rFonts w:hint="eastAsia" w:hAnsi="宋体" w:cs="宋体"/>
                <w:b w:val="0"/>
                <w:position w:val="0"/>
                <w:szCs w:val="24"/>
              </w:rPr>
              <w:t xml:space="preserve">负偏离</w:t>
            </w:r>
            <w:r>
              <w:rPr>
                <w:rFonts w:hint="eastAsia" w:hAnsi="宋体" w:cs="宋体"/>
                <w:b w:val="0"/>
                <w:position w:val="0"/>
                <w:szCs w:val="24"/>
              </w:rPr>
              <w:t xml:space="preserve">一项</w:t>
            </w:r>
            <w:r>
              <w:rPr>
                <w:rFonts w:hint="eastAsia" w:hAnsi="宋体" w:cs="宋体"/>
                <w:b w:val="0"/>
                <w:position w:val="0"/>
                <w:szCs w:val="24"/>
              </w:rPr>
              <w:t xml:space="preserve">扣0.2</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w:t>
            </w:r>
            <w:r>
              <w:rPr>
                <w:rFonts w:hAnsi="宋体"/>
                <w:b w:val="0"/>
                <w:bCs/>
              </w:rPr>
              <w:t xml:space="preserve">“</w:t>
            </w:r>
            <w:r>
              <w:rPr>
                <w:rFonts w:hAnsi="宋体" w:cs="Segoe UI Symbol"/>
                <w:b w:val="0"/>
                <w:bCs/>
              </w:rPr>
              <w:t xml:space="preserve">★</w:t>
            </w:r>
            <w:r>
              <w:rPr>
                <w:rFonts w:hAnsi="宋体"/>
                <w:b w:val="0"/>
                <w:bCs/>
              </w:rPr>
              <w:t xml:space="preserve">”</w:t>
            </w:r>
            <w:r>
              <w:rPr>
                <w:rFonts w:hint="eastAsia" w:hAnsi="宋体"/>
                <w:b w:val="0"/>
                <w:bCs/>
              </w:rPr>
              <w:t xml:space="preserve">、“▲</w:t>
            </w:r>
            <w:r>
              <w:rPr>
                <w:rFonts w:hint="eastAsia"/>
                <w:b w:val="0"/>
                <w:bCs/>
              </w:rPr>
              <w:t xml:space="preserve">”参数如需求中未明确要求提供何种证明材料的，投标人应自行提供证明材料。自行提供的证明材料是指以下任意一种：公开发行的产品彩页、技术白皮书、</w:t>
            </w:r>
            <w:r>
              <w:rPr>
                <w:rFonts w:hint="eastAsia"/>
                <w:b w:val="0"/>
                <w:bCs/>
              </w:rPr>
              <w:t xml:space="preserve">软件界面截图、</w:t>
            </w:r>
            <w:r>
              <w:rPr>
                <w:rFonts w:hint="eastAsia"/>
                <w:b w:val="0"/>
                <w:bCs/>
              </w:rPr>
              <w:t xml:space="preserve">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投标人综合实力</w:t>
            </w:r>
            <w:r/>
          </w:p>
          <w:p>
            <w:pPr>
              <w:jc w:val="center"/>
              <w:spacing w:line="360" w:lineRule="auto"/>
              <w:rPr>
                <w:rFonts w:hint="eastAsia" w:hAnsi="宋体" w:cs="宋体"/>
                <w:b w:val="0"/>
                <w:position w:val="0"/>
                <w:szCs w:val="24"/>
              </w:rPr>
            </w:pPr>
            <w:r>
              <w:rPr>
                <w:rFonts w:hint="eastAsia"/>
                <w:b w:val="0"/>
                <w:bCs/>
              </w:rPr>
              <w:t xml:space="preserve">（</w:t>
            </w:r>
            <w:r>
              <w:rPr>
                <w:rFonts w:hint="eastAsia"/>
                <w:b w:val="0"/>
                <w:bCs/>
              </w:rPr>
              <w:t xml:space="preserve">2</w:t>
            </w:r>
            <w:r>
              <w:rPr>
                <w:rFonts w:hint="eastAsia"/>
                <w:b w:val="0"/>
                <w:bCs/>
              </w:rPr>
              <w:t xml:space="preserve">分）</w:t>
            </w:r>
            <w:r/>
          </w:p>
        </w:tc>
        <w:tc>
          <w:tcPr>
            <w:tcW w:w="7799" w:type="dxa"/>
            <w:vAlign w:val="center"/>
            <w:textDirection w:val="lrTb"/>
            <w:noWrap w:val="false"/>
          </w:tcPr>
          <w:p>
            <w:pPr>
              <w:spacing w:line="360" w:lineRule="auto"/>
              <w:rPr>
                <w:rFonts w:hint="eastAsia" w:hAnsi="宋体"/>
                <w:b w:val="0"/>
                <w:bCs/>
                <w:position w:val="0"/>
              </w:rPr>
            </w:pPr>
            <w:r>
              <w:rPr>
                <w:rFonts w:hint="eastAsia" w:hAnsi="宋体"/>
                <w:b w:val="0"/>
                <w:bCs/>
                <w:position w:val="0"/>
              </w:rPr>
              <w:t xml:space="preserve">1.</w:t>
            </w:r>
            <w:r>
              <w:rPr>
                <w:rFonts w:hint="eastAsia" w:hAnsi="宋体"/>
                <w:b w:val="0"/>
                <w:bCs/>
                <w:position w:val="0"/>
              </w:rPr>
              <w:t xml:space="preserve">投标人具有ISO9001质量管理体系认证证书得</w:t>
            </w:r>
            <w:r>
              <w:rPr>
                <w:rFonts w:hint="eastAsia" w:hAnsi="宋体"/>
                <w:b w:val="0"/>
                <w:bCs/>
                <w:position w:val="0"/>
              </w:rPr>
              <w:t xml:space="preserve">0.5</w:t>
            </w:r>
            <w:r>
              <w:rPr>
                <w:rFonts w:hint="eastAsia" w:hAnsi="宋体"/>
                <w:b w:val="0"/>
                <w:bCs/>
                <w:position w:val="0"/>
              </w:rPr>
              <w:t xml:space="preserve">分；</w:t>
            </w:r>
            <w:r/>
          </w:p>
          <w:p>
            <w:pPr>
              <w:spacing w:line="360" w:lineRule="auto"/>
              <w:rPr>
                <w:rFonts w:hint="eastAsia" w:hAnsi="宋体"/>
                <w:b w:val="0"/>
                <w:bCs/>
                <w:position w:val="0"/>
              </w:rPr>
            </w:pPr>
            <w:r>
              <w:rPr>
                <w:rFonts w:hint="eastAsia" w:hAnsi="宋体"/>
                <w:b w:val="0"/>
                <w:bCs/>
                <w:position w:val="0"/>
              </w:rPr>
              <w:t xml:space="preserve">2.</w:t>
            </w:r>
            <w:r>
              <w:rPr>
                <w:rFonts w:hint="eastAsia" w:hAnsi="宋体"/>
                <w:b w:val="0"/>
                <w:bCs/>
                <w:position w:val="0"/>
              </w:rPr>
              <w:t xml:space="preserve">投标人具有</w:t>
            </w:r>
            <w:r>
              <w:rPr>
                <w:rFonts w:hAnsi="宋体"/>
                <w:b w:val="0"/>
                <w:bCs/>
                <w:position w:val="0"/>
              </w:rPr>
              <w:t xml:space="preserve">ISO45001职业健康安全管理体系认证证书</w:t>
            </w:r>
            <w:r>
              <w:rPr>
                <w:rFonts w:hint="eastAsia" w:hAnsi="宋体"/>
                <w:b w:val="0"/>
                <w:bCs/>
                <w:position w:val="0"/>
              </w:rPr>
              <w:t xml:space="preserve">得</w:t>
            </w:r>
            <w:r>
              <w:rPr>
                <w:rFonts w:hint="eastAsia" w:hAnsi="宋体"/>
                <w:b w:val="0"/>
                <w:bCs/>
                <w:position w:val="0"/>
              </w:rPr>
              <w:t xml:space="preserve">0.5</w:t>
            </w:r>
            <w:r>
              <w:rPr>
                <w:rFonts w:hint="eastAsia" w:hAnsi="宋体"/>
                <w:b w:val="0"/>
                <w:bCs/>
                <w:position w:val="0"/>
              </w:rPr>
              <w:t xml:space="preserve">分；</w:t>
            </w:r>
            <w:r/>
          </w:p>
          <w:p>
            <w:pPr>
              <w:spacing w:line="360" w:lineRule="auto"/>
              <w:rPr>
                <w:rFonts w:hint="eastAsia" w:hAnsi="宋体"/>
                <w:b w:val="0"/>
                <w:bCs/>
                <w:position w:val="0"/>
              </w:rPr>
            </w:pPr>
            <w:r>
              <w:rPr>
                <w:rFonts w:hint="eastAsia" w:hAnsi="宋体"/>
                <w:b w:val="0"/>
                <w:bCs/>
                <w:position w:val="0"/>
              </w:rPr>
              <w:t xml:space="preserve">3.</w:t>
            </w:r>
            <w:r>
              <w:rPr>
                <w:rFonts w:hint="eastAsia" w:hAnsi="宋体"/>
                <w:b w:val="0"/>
                <w:bCs/>
                <w:position w:val="0"/>
              </w:rPr>
              <w:t xml:space="preserve">投标人具有ISO27001信息安全管理体系证书得</w:t>
            </w:r>
            <w:r>
              <w:rPr>
                <w:rFonts w:hint="eastAsia" w:hAnsi="宋体"/>
                <w:b w:val="0"/>
                <w:bCs/>
                <w:position w:val="0"/>
              </w:rPr>
              <w:t xml:space="preserve">0.5</w:t>
            </w:r>
            <w:r>
              <w:rPr>
                <w:rFonts w:hint="eastAsia" w:hAnsi="宋体"/>
                <w:b w:val="0"/>
                <w:bCs/>
                <w:position w:val="0"/>
              </w:rPr>
              <w:t xml:space="preserve">分；</w:t>
            </w:r>
            <w:r/>
          </w:p>
          <w:p>
            <w:pPr>
              <w:spacing w:line="360" w:lineRule="auto"/>
              <w:rPr>
                <w:rFonts w:hint="eastAsia" w:hAnsi="宋体"/>
                <w:b w:val="0"/>
                <w:bCs/>
                <w:position w:val="0"/>
              </w:rPr>
            </w:pPr>
            <w:r>
              <w:rPr>
                <w:rFonts w:hint="eastAsia" w:hAnsi="宋体"/>
                <w:b w:val="0"/>
                <w:bCs/>
                <w:position w:val="0"/>
              </w:rPr>
              <w:t xml:space="preserve">4.</w:t>
            </w:r>
            <w:r>
              <w:rPr>
                <w:rFonts w:hint="eastAsia" w:hAnsi="宋体"/>
                <w:b w:val="0"/>
                <w:bCs/>
                <w:position w:val="0"/>
              </w:rPr>
              <w:t xml:space="preserve">投标人具有ISO20000信息技术服务管理体系认证证书</w:t>
            </w:r>
            <w:r>
              <w:rPr>
                <w:rFonts w:hint="eastAsia" w:hAnsi="宋体"/>
                <w:b w:val="0"/>
                <w:bCs/>
                <w:position w:val="0"/>
              </w:rPr>
              <w:t xml:space="preserve">0.5</w:t>
            </w:r>
            <w:r>
              <w:rPr>
                <w:rFonts w:hint="eastAsia" w:hAnsi="宋体"/>
                <w:b w:val="0"/>
                <w:bCs/>
                <w:position w:val="0"/>
              </w:rPr>
              <w:t xml:space="preserve">分；</w:t>
            </w:r>
            <w:r/>
          </w:p>
          <w:p>
            <w:pPr>
              <w:spacing w:line="360" w:lineRule="auto"/>
              <w:rPr>
                <w:rFonts w:hint="eastAsia" w:hAnsi="宋体" w:cs="宋体"/>
                <w:b w:val="0"/>
                <w:position w:val="0"/>
                <w:szCs w:val="24"/>
              </w:rPr>
            </w:pPr>
            <w:r>
              <w:rPr>
                <w:rFonts w:hint="eastAsia"/>
              </w:rPr>
              <w:t xml:space="preserve">以上需提供有效期内的证书复印件加盖投标人公章。</w:t>
            </w:r>
            <w:r/>
          </w:p>
        </w:tc>
      </w:tr>
      <w:tr>
        <w:trPr>
          <w:trHeight w:val="416"/>
        </w:trPr>
        <w:tc>
          <w:tcPr>
            <w:tcW w:w="1396" w:type="dxa"/>
            <w:vAlign w:val="center"/>
            <w:textDirection w:val="lrTb"/>
            <w:noWrap w:val="false"/>
          </w:tcPr>
          <w:p>
            <w:pPr>
              <w:jc w:val="center"/>
              <w:spacing w:line="360" w:lineRule="auto"/>
              <w:rPr>
                <w:b w:val="0"/>
                <w:szCs w:val="24"/>
              </w:rPr>
            </w:pPr>
            <w:r>
              <w:rPr>
                <w:rFonts w:hint="eastAsia"/>
                <w:b w:val="0"/>
                <w:szCs w:val="24"/>
              </w:rPr>
              <w:t xml:space="preserve">所投产品生产商资质</w:t>
            </w:r>
            <w:r/>
          </w:p>
          <w:p>
            <w:pPr>
              <w:jc w:val="center"/>
              <w:spacing w:line="360" w:lineRule="auto"/>
              <w:rPr>
                <w:rFonts w:hint="eastAsia" w:hAnsi="宋体" w:cs="宋体"/>
                <w:b w:val="0"/>
                <w:position w:val="0"/>
                <w:szCs w:val="24"/>
              </w:rPr>
            </w:pPr>
            <w:r>
              <w:rPr>
                <w:rFonts w:hint="eastAsia" w:hAnsi="宋体" w:cs="宋体"/>
                <w:b w:val="0"/>
                <w:szCs w:val="24"/>
              </w:rPr>
              <w:t xml:space="preserve">（1</w:t>
            </w:r>
            <w:r>
              <w:rPr>
                <w:rFonts w:hint="eastAsia" w:hAnsi="宋体" w:cs="宋体"/>
                <w:b w:val="0"/>
                <w:szCs w:val="24"/>
              </w:rPr>
              <w:t xml:space="preserve">0</w:t>
            </w:r>
            <w:r>
              <w:rPr>
                <w:rFonts w:hint="eastAsia"/>
                <w:b w:val="0"/>
                <w:szCs w:val="24"/>
              </w:rPr>
              <w:t xml:space="preserve">分）</w:t>
            </w:r>
            <w:r/>
          </w:p>
        </w:tc>
        <w:tc>
          <w:tcPr>
            <w:tcW w:w="7799" w:type="dxa"/>
            <w:vAlign w:val="center"/>
            <w:textDirection w:val="lrTb"/>
            <w:noWrap w:val="false"/>
          </w:tcPr>
          <w:p>
            <w:pPr>
              <w:spacing w:line="360" w:lineRule="auto"/>
              <w:rPr>
                <w:rFonts w:hint="eastAsia" w:hAnsi="宋体" w:cs="宋体"/>
                <w:b w:val="0"/>
                <w:szCs w:val="24"/>
              </w:rPr>
            </w:pPr>
            <w:r>
              <w:rPr>
                <w:rFonts w:hint="eastAsia" w:hAnsi="宋体" w:cs="宋体"/>
                <w:b w:val="0"/>
                <w:szCs w:val="24"/>
              </w:rPr>
              <w:t xml:space="preserve">1.所投“互联网边界防火墙”和“WEB应用防火墙”的厂商，同时具备国家信息安全漏洞共享平台（CNVD）技术组成员和用户组成员的得</w:t>
            </w:r>
            <w:r>
              <w:rPr>
                <w:rFonts w:hint="eastAsia" w:hAnsi="宋体" w:cs="宋体"/>
                <w:b w:val="0"/>
                <w:szCs w:val="24"/>
              </w:rPr>
              <w:t xml:space="preserve">2</w:t>
            </w:r>
            <w:r>
              <w:rPr>
                <w:rFonts w:hint="eastAsia" w:hAnsi="宋体" w:cs="宋体"/>
                <w:b w:val="0"/>
                <w:szCs w:val="24"/>
              </w:rPr>
              <w:t xml:space="preserve">分；仅是技术组成员或用户组成员得1分；</w:t>
            </w:r>
            <w:r>
              <w:rPr>
                <w:rFonts w:hint="eastAsia" w:hAnsi="宋体" w:cs="宋体"/>
                <w:bCs/>
                <w:szCs w:val="24"/>
              </w:rPr>
              <w:t xml:space="preserve">提供网页截图证明材料并加盖公章</w:t>
            </w:r>
            <w:r>
              <w:rPr>
                <w:rFonts w:hint="eastAsia" w:hAnsi="宋体" w:cs="宋体"/>
                <w:b w:val="0"/>
                <w:szCs w:val="24"/>
              </w:rPr>
              <w:t xml:space="preserve">。</w:t>
            </w:r>
            <w:r/>
          </w:p>
          <w:p>
            <w:pPr>
              <w:spacing w:line="360" w:lineRule="auto"/>
              <w:rPr>
                <w:rFonts w:hint="eastAsia" w:hAnsi="宋体" w:cs="宋体"/>
                <w:b w:val="0"/>
                <w:szCs w:val="24"/>
              </w:rPr>
            </w:pPr>
            <w:r>
              <w:rPr>
                <w:rFonts w:hint="eastAsia" w:hAnsi="宋体" w:cs="宋体"/>
                <w:b w:val="0"/>
                <w:szCs w:val="24"/>
              </w:rPr>
              <w:t xml:space="preserve">2.所投“安全运营服务”的厂商，</w:t>
            </w:r>
            <w:r>
              <w:rPr>
                <w:rFonts w:hAnsi="宋体" w:cs="宋体"/>
                <w:b w:val="0"/>
                <w:szCs w:val="24"/>
              </w:rPr>
              <w:t xml:space="preserve">云端服务平台应当做好严格的安全防护，并严格按照《信息安全技术—网络安全等级保护基本要求》完成等级保护测评工作，服务平台通过等级保护三级测评</w:t>
            </w:r>
            <w:r>
              <w:rPr>
                <w:rFonts w:hint="eastAsia" w:hAnsi="宋体" w:cs="宋体"/>
                <w:b w:val="0"/>
                <w:szCs w:val="24"/>
              </w:rPr>
              <w:t xml:space="preserve">，</w:t>
            </w:r>
            <w:r>
              <w:rPr>
                <w:rFonts w:hAnsi="宋体" w:cs="宋体"/>
                <w:b w:val="0"/>
                <w:szCs w:val="24"/>
              </w:rPr>
              <w:t xml:space="preserve">应当</w:t>
            </w:r>
            <w:r>
              <w:rPr>
                <w:rFonts w:hint="eastAsia" w:hAnsi="宋体" w:cs="宋体"/>
                <w:b w:val="0"/>
                <w:szCs w:val="24"/>
              </w:rPr>
              <w:t xml:space="preserve">具备</w:t>
            </w:r>
            <w:r>
              <w:rPr>
                <w:rFonts w:hAnsi="宋体" w:cs="宋体"/>
                <w:b w:val="0"/>
                <w:szCs w:val="24"/>
              </w:rPr>
              <w:t xml:space="preserve">云端服务平台等级保护三级测评通过证明，提供报告首页、基本信息表、等级测评结论首页，以上内容中必须明确指出该平台用于为用户提供7*24小时的安全</w:t>
            </w:r>
            <w:r>
              <w:rPr>
                <w:rFonts w:hint="eastAsia" w:hAnsi="宋体" w:cs="宋体"/>
                <w:b w:val="0"/>
                <w:szCs w:val="24"/>
              </w:rPr>
              <w:t xml:space="preserve">运营</w:t>
            </w:r>
            <w:r>
              <w:rPr>
                <w:rFonts w:hAnsi="宋体" w:cs="宋体"/>
                <w:b w:val="0"/>
                <w:szCs w:val="24"/>
              </w:rPr>
              <w:t xml:space="preserve">服务</w:t>
            </w:r>
            <w:r>
              <w:rPr>
                <w:rFonts w:hint="eastAsia" w:hAnsi="宋体" w:cs="宋体"/>
                <w:b w:val="0"/>
                <w:szCs w:val="24"/>
              </w:rPr>
              <w:t xml:space="preserve">，</w:t>
            </w:r>
            <w:r>
              <w:rPr>
                <w:rFonts w:hAnsi="宋体" w:cs="宋体"/>
                <w:b w:val="0"/>
                <w:szCs w:val="24"/>
              </w:rPr>
              <w:t xml:space="preserve">满足以上要求得2分，提供的材料不全或未提供不得分。</w:t>
            </w:r>
            <w:r/>
          </w:p>
          <w:p>
            <w:pPr>
              <w:spacing w:line="360" w:lineRule="auto"/>
              <w:rPr>
                <w:rFonts w:hint="eastAsia" w:hAnsi="宋体" w:cs="宋体"/>
                <w:b w:val="0"/>
                <w:szCs w:val="24"/>
              </w:rPr>
            </w:pPr>
            <w:r>
              <w:rPr>
                <w:rFonts w:hint="eastAsia" w:hAnsi="宋体" w:cs="宋体"/>
                <w:b w:val="0"/>
                <w:szCs w:val="24"/>
              </w:rPr>
              <w:t xml:space="preserve">3.所投“安全运营服务”的厂商，</w:t>
            </w:r>
            <w:r>
              <w:rPr>
                <w:rFonts w:hint="eastAsia" w:hAnsi="宋体" w:cs="宋体"/>
                <w:b w:val="0"/>
                <w:szCs w:val="24"/>
                <w:lang w:bidi="ar"/>
              </w:rPr>
              <w:t xml:space="preserve">云端服务平台应通过国家互联网信息办公室、国家发展和改革委员会、工业和信息化部、财政部四部委联合组织的云计算服务安全评估，入选“通过云计算服务安全评估的云平台”名单，以确保平台的安全性和可控水平。具备中央网络安全和信息化委员会办公室、国家互联网信息办公室官方网站发布的《通过云计算服务安全评估的云平台》入选名单作为证明（名单截图），需明确写明为安全托管服务运营平台并加盖公章</w:t>
            </w:r>
            <w:r>
              <w:rPr>
                <w:rFonts w:hint="eastAsia" w:hAnsi="宋体" w:cs="宋体"/>
                <w:b w:val="0"/>
                <w:szCs w:val="24"/>
              </w:rPr>
              <w:t xml:space="preserve">，</w:t>
            </w:r>
            <w:r>
              <w:rPr>
                <w:rFonts w:hAnsi="宋体" w:cs="宋体"/>
                <w:b w:val="0"/>
                <w:szCs w:val="24"/>
              </w:rPr>
              <w:t xml:space="preserve">满足以上要求得2分，提供的材料不全或未提供不得分。</w:t>
            </w:r>
            <w:r/>
          </w:p>
          <w:p>
            <w:pPr>
              <w:spacing w:line="360" w:lineRule="auto"/>
              <w:rPr>
                <w:rFonts w:hint="eastAsia" w:hAnsi="宋体" w:cs="宋体"/>
                <w:b w:val="0"/>
                <w:szCs w:val="24"/>
              </w:rPr>
            </w:pPr>
            <w:r>
              <w:rPr>
                <w:rFonts w:hint="eastAsia" w:hAnsi="宋体" w:cs="宋体"/>
                <w:b w:val="0"/>
                <w:szCs w:val="24"/>
              </w:rPr>
              <w:t xml:space="preserve">4.所投“端点安全防护设备”的厂商，具备ISO 29151个人身份信息保护管理体系认证证书的得2分，未提供不得分；</w:t>
            </w:r>
            <w:r>
              <w:rPr>
                <w:rFonts w:hint="eastAsia" w:hAnsi="宋体" w:cs="宋体"/>
                <w:bCs/>
                <w:szCs w:val="24"/>
              </w:rPr>
              <w:t xml:space="preserve">提供证书并加盖公章</w:t>
            </w:r>
            <w:r>
              <w:rPr>
                <w:rFonts w:hint="eastAsia" w:hAnsi="宋体" w:cs="宋体"/>
                <w:b w:val="0"/>
                <w:szCs w:val="24"/>
              </w:rPr>
              <w:t xml:space="preserve">。</w:t>
            </w:r>
            <w:r/>
          </w:p>
          <w:p>
            <w:pPr>
              <w:spacing w:line="360" w:lineRule="auto"/>
              <w:rPr>
                <w:rFonts w:hint="eastAsia" w:hAnsi="宋体"/>
                <w:b w:val="0"/>
                <w:bCs/>
                <w:position w:val="0"/>
              </w:rPr>
            </w:pPr>
            <w:r>
              <w:rPr>
                <w:rFonts w:hint="eastAsia" w:hAnsi="宋体" w:cs="宋体"/>
                <w:b w:val="0"/>
                <w:szCs w:val="24"/>
              </w:rPr>
              <w:t xml:space="preserve">5.为保证防火墙云端威胁情报云平台的可靠性，所投“互联网边界防火墙”的厂商，具备云安全成熟度成熟度模型CS-CMMI 5认证的得2分，未提供不得分；</w:t>
            </w:r>
            <w:r>
              <w:rPr>
                <w:rFonts w:hint="eastAsia" w:hAnsi="宋体" w:cs="宋体"/>
                <w:bCs/>
                <w:szCs w:val="24"/>
              </w:rPr>
              <w:t xml:space="preserve">提供证书并加盖公章</w:t>
            </w:r>
            <w:r>
              <w:rPr>
                <w:rFonts w:hint="eastAsia" w:hAnsi="宋体" w:cs="宋体"/>
                <w:b w:val="0"/>
                <w:szCs w:val="24"/>
              </w:rPr>
              <w:t xml:space="preserve">。</w:t>
            </w:r>
            <w:r/>
          </w:p>
        </w:tc>
      </w:tr>
      <w:tr>
        <w:trPr>
          <w:trHeight w:val="416"/>
        </w:trPr>
        <w:tc>
          <w:tcPr>
            <w:tcW w:w="1396" w:type="dxa"/>
            <w:vAlign w:val="center"/>
            <w:textDirection w:val="lrTb"/>
            <w:noWrap w:val="false"/>
          </w:tcPr>
          <w:p>
            <w:pPr>
              <w:jc w:val="center"/>
              <w:spacing w:line="360" w:lineRule="auto"/>
              <w:rPr>
                <w:b w:val="0"/>
                <w:szCs w:val="24"/>
              </w:rPr>
            </w:pPr>
            <w:r>
              <w:rPr>
                <w:rFonts w:hint="eastAsia"/>
                <w:b w:val="0"/>
                <w:szCs w:val="24"/>
              </w:rPr>
              <w:t xml:space="preserve">业绩</w:t>
            </w:r>
            <w:r/>
          </w:p>
          <w:p>
            <w:pPr>
              <w:jc w:val="center"/>
              <w:spacing w:line="360" w:lineRule="auto"/>
              <w:rPr>
                <w:b w:val="0"/>
                <w:szCs w:val="24"/>
              </w:rPr>
            </w:pPr>
            <w:r>
              <w:rPr>
                <w:rFonts w:hint="eastAsia"/>
                <w:b w:val="0"/>
                <w:szCs w:val="24"/>
              </w:rPr>
              <w:t xml:space="preserve">（3分）</w:t>
            </w:r>
            <w:r/>
          </w:p>
        </w:tc>
        <w:tc>
          <w:tcPr>
            <w:tcW w:w="7799" w:type="dxa"/>
            <w:vAlign w:val="center"/>
            <w:textDirection w:val="lrTb"/>
            <w:noWrap w:val="false"/>
          </w:tcPr>
          <w:p>
            <w:pPr>
              <w:spacing w:line="360" w:lineRule="auto"/>
              <w:rPr>
                <w:rFonts w:hint="eastAsia" w:hAnsi="宋体" w:cs="宋体"/>
                <w:b w:val="0"/>
                <w:szCs w:val="24"/>
              </w:rPr>
            </w:pPr>
            <w:r>
              <w:rPr>
                <w:rFonts w:hint="eastAsia" w:hAnsi="宋体" w:cs="宋体"/>
                <w:b w:val="0"/>
                <w:position w:val="0"/>
                <w:szCs w:val="24"/>
              </w:rPr>
              <w:t xml:space="preserve">提供自2023年01月01日至今投标人完成的与本项目类似项目的业绩合同，每提供一份得1分，本项最高得3分。（</w:t>
            </w:r>
            <w:r>
              <w:rPr>
                <w:rFonts w:hAnsi="宋体" w:cs="宋体"/>
                <w:b w:val="0"/>
                <w:position w:val="0"/>
                <w:szCs w:val="24"/>
              </w:rPr>
              <w:t xml:space="preserve">提供合同复印件加盖公章，</w:t>
            </w:r>
            <w:r>
              <w:rPr>
                <w:rFonts w:hAnsi="宋体" w:cs="宋体"/>
                <w:b w:val="0"/>
                <w:position w:val="0"/>
                <w:szCs w:val="24"/>
              </w:rPr>
              <w:t xml:space="preserve">合同须能反映项目名称、主要标的物，签订时间和签章清晰可见</w:t>
            </w:r>
            <w:r>
              <w:rPr>
                <w:rFonts w:hint="eastAsia" w:hAnsi="宋体" w:cs="宋体"/>
                <w:b w:val="0"/>
                <w:position w:val="0"/>
                <w:szCs w:val="24"/>
              </w:rPr>
              <w:t xml:space="preserve">，时间以合同签订时间为准，不提供或提供不全不得分）</w:t>
            </w:r>
            <w:r/>
          </w:p>
        </w:tc>
      </w:tr>
      <w:tr>
        <w:trPr>
          <w:trHeight w:val="416"/>
        </w:trPr>
        <w:tc>
          <w:tcPr>
            <w:tcW w:w="1396" w:type="dxa"/>
            <w:vAlign w:val="center"/>
            <w:textDirection w:val="lrTb"/>
            <w:noWrap w:val="false"/>
          </w:tcPr>
          <w:p>
            <w:pPr>
              <w:jc w:val="center"/>
              <w:spacing w:line="360" w:lineRule="auto"/>
              <w:rPr>
                <w:b w:val="0"/>
                <w:szCs w:val="24"/>
              </w:rPr>
            </w:pPr>
            <w:r>
              <w:rPr>
                <w:rFonts w:hint="eastAsia"/>
                <w:b w:val="0"/>
                <w:szCs w:val="24"/>
              </w:rPr>
              <w:t xml:space="preserve">项目实施及验收方案</w:t>
            </w:r>
            <w:r/>
          </w:p>
          <w:p>
            <w:pPr>
              <w:jc w:val="center"/>
              <w:spacing w:line="360" w:lineRule="auto"/>
              <w:rPr>
                <w:rFonts w:hint="eastAsia" w:hAnsi="宋体" w:cs="宋体"/>
                <w:b w:val="0"/>
                <w:position w:val="0"/>
                <w:szCs w:val="24"/>
              </w:rPr>
            </w:pPr>
            <w:r>
              <w:rPr>
                <w:rFonts w:hint="eastAsia"/>
                <w:b w:val="0"/>
                <w:szCs w:val="24"/>
              </w:rPr>
              <w:t xml:space="preserve">（10分）</w:t>
            </w:r>
            <w:r/>
          </w:p>
        </w:tc>
        <w:tc>
          <w:tcPr>
            <w:tcW w:w="7799" w:type="dxa"/>
            <w:vAlign w:val="center"/>
            <w:textDirection w:val="lrTb"/>
            <w:noWrap w:val="false"/>
          </w:tcPr>
          <w:p>
            <w:pPr>
              <w:spacing w:line="360" w:lineRule="auto"/>
              <w:rPr>
                <w:b w:val="0"/>
                <w:szCs w:val="24"/>
              </w:rPr>
            </w:pPr>
            <w:r>
              <w:rPr>
                <w:rFonts w:hint="eastAsia"/>
                <w:b w:val="0"/>
                <w:szCs w:val="24"/>
              </w:rPr>
              <w:t xml:space="preserve">1.</w:t>
            </w:r>
            <w:r>
              <w:rPr>
                <w:rFonts w:hint="eastAsia"/>
                <w:b w:val="0"/>
                <w:szCs w:val="24"/>
              </w:rPr>
              <w:t xml:space="preserve">实施方案</w:t>
            </w:r>
            <w:r>
              <w:rPr>
                <w:rFonts w:hint="eastAsia"/>
                <w:b w:val="0"/>
                <w:szCs w:val="24"/>
              </w:rPr>
              <w:t xml:space="preserve">（5分）</w:t>
            </w:r>
            <w:r/>
          </w:p>
          <w:p>
            <w:pPr>
              <w:spacing w:line="360" w:lineRule="auto"/>
              <w:rPr>
                <w:b w:val="0"/>
                <w:szCs w:val="24"/>
              </w:rPr>
            </w:pPr>
            <w:r>
              <w:rPr>
                <w:rFonts w:hint="eastAsia"/>
                <w:b w:val="0"/>
                <w:szCs w:val="24"/>
              </w:rPr>
              <w:t xml:space="preserve">投标人</w:t>
            </w:r>
            <w:r>
              <w:rPr>
                <w:rFonts w:hint="eastAsia"/>
                <w:b w:val="0"/>
                <w:szCs w:val="24"/>
              </w:rPr>
              <w:t xml:space="preserve">应根据项目建设目标和建设内容提供详细的实施方案，包含项目进度计划、项目实施方案、项目主要技术人员表、项目实施过程中的质量控制</w:t>
            </w:r>
            <w:r>
              <w:rPr>
                <w:rFonts w:hint="eastAsia"/>
                <w:b w:val="0"/>
                <w:szCs w:val="24"/>
              </w:rPr>
              <w:t xml:space="preserve">等方面。评标委员会根据投标人提供的方案内容进行综合评审：</w:t>
            </w:r>
            <w:r/>
          </w:p>
          <w:p>
            <w:pPr>
              <w:spacing w:line="360" w:lineRule="auto"/>
              <w:rPr>
                <w:b w:val="0"/>
                <w:szCs w:val="24"/>
              </w:rPr>
            </w:pPr>
            <w:r>
              <w:rPr>
                <w:rFonts w:hint="eastAsia"/>
                <w:b w:val="0"/>
                <w:szCs w:val="24"/>
              </w:rPr>
              <w:t xml:space="preserve">（1）方案所述内容完整详实，清晰描述相关内容的得</w:t>
            </w:r>
            <w:r>
              <w:rPr>
                <w:rFonts w:hint="eastAsia"/>
                <w:b w:val="0"/>
                <w:szCs w:val="24"/>
              </w:rPr>
              <w:t xml:space="preserve">2</w:t>
            </w:r>
            <w:r>
              <w:rPr>
                <w:rFonts w:hint="eastAsia"/>
                <w:b w:val="0"/>
                <w:szCs w:val="24"/>
              </w:rPr>
              <w:t xml:space="preserve">分，方案基本完整，对相关内容均有表述的得</w:t>
            </w:r>
            <w:r>
              <w:rPr>
                <w:rFonts w:hint="eastAsia"/>
                <w:b w:val="0"/>
                <w:szCs w:val="24"/>
              </w:rPr>
              <w:t xml:space="preserve">1</w:t>
            </w:r>
            <w:r>
              <w:rPr>
                <w:rFonts w:hint="eastAsia"/>
                <w:b w:val="0"/>
                <w:szCs w:val="24"/>
              </w:rPr>
              <w:t xml:space="preserve">分，完整性有缺陷或未提供不得分；</w:t>
            </w:r>
            <w:r/>
          </w:p>
          <w:p>
            <w:pPr>
              <w:spacing w:line="360" w:lineRule="auto"/>
              <w:rPr>
                <w:b w:val="0"/>
                <w:szCs w:val="24"/>
              </w:rPr>
            </w:pPr>
            <w:r>
              <w:rPr>
                <w:rFonts w:hint="eastAsia"/>
                <w:b w:val="0"/>
                <w:szCs w:val="24"/>
              </w:rPr>
              <w:t xml:space="preserve">（2）经评审，方案具备较强合理性的得</w:t>
            </w:r>
            <w:r>
              <w:rPr>
                <w:rFonts w:hint="eastAsia"/>
                <w:b w:val="0"/>
                <w:szCs w:val="24"/>
              </w:rPr>
              <w:t xml:space="preserve">1</w:t>
            </w:r>
            <w:r>
              <w:rPr>
                <w:rFonts w:hint="eastAsia"/>
                <w:b w:val="0"/>
                <w:szCs w:val="24"/>
              </w:rPr>
              <w:t xml:space="preserve">.5分，方案具备一定合理性的得</w:t>
            </w:r>
            <w:r>
              <w:rPr>
                <w:rFonts w:hint="eastAsia"/>
                <w:b w:val="0"/>
                <w:szCs w:val="24"/>
              </w:rPr>
              <w:t xml:space="preserve">0.5</w:t>
            </w:r>
            <w:r>
              <w:rPr>
                <w:rFonts w:hint="eastAsia"/>
                <w:b w:val="0"/>
                <w:szCs w:val="24"/>
              </w:rPr>
              <w:t xml:space="preserve">分，方案合理性有缺陷或未提供不得分；</w:t>
            </w:r>
            <w:r/>
          </w:p>
          <w:p>
            <w:pPr>
              <w:spacing w:line="360" w:lineRule="auto"/>
              <w:rPr>
                <w:b w:val="0"/>
                <w:szCs w:val="24"/>
              </w:rPr>
            </w:pPr>
            <w:r>
              <w:rPr>
                <w:rFonts w:hint="eastAsia"/>
                <w:b w:val="0"/>
                <w:szCs w:val="24"/>
              </w:rPr>
              <w:t xml:space="preserve">（3）经评审，方案具备较强针对性且切实可行的得</w:t>
            </w:r>
            <w:r>
              <w:rPr>
                <w:rFonts w:hint="eastAsia"/>
                <w:b w:val="0"/>
                <w:szCs w:val="24"/>
              </w:rPr>
              <w:t xml:space="preserve">1</w:t>
            </w:r>
            <w:r>
              <w:rPr>
                <w:rFonts w:hint="eastAsia"/>
                <w:b w:val="0"/>
                <w:szCs w:val="24"/>
              </w:rPr>
              <w:t xml:space="preserve">.5分，方案具备一定针对性及可行性的得</w:t>
            </w:r>
            <w:r>
              <w:rPr>
                <w:rFonts w:hint="eastAsia"/>
                <w:b w:val="0"/>
                <w:szCs w:val="24"/>
              </w:rPr>
              <w:t xml:space="preserve">0.5</w:t>
            </w:r>
            <w:r>
              <w:rPr>
                <w:rFonts w:hint="eastAsia"/>
                <w:b w:val="0"/>
                <w:szCs w:val="24"/>
              </w:rPr>
              <w:t xml:space="preserve">分，方案针对性或可行性有缺陷或未提供不得分。</w:t>
            </w:r>
            <w:r/>
          </w:p>
          <w:p>
            <w:pPr>
              <w:spacing w:line="360" w:lineRule="auto"/>
              <w:rPr>
                <w:b w:val="0"/>
                <w:szCs w:val="24"/>
              </w:rPr>
            </w:pPr>
            <w:r>
              <w:rPr>
                <w:rFonts w:hint="eastAsia"/>
                <w:b w:val="0"/>
                <w:szCs w:val="24"/>
              </w:rPr>
              <w:t xml:space="preserve">2.</w:t>
            </w:r>
            <w:r>
              <w:rPr>
                <w:rFonts w:hint="eastAsia"/>
                <w:b w:val="0"/>
                <w:szCs w:val="24"/>
              </w:rPr>
              <w:t xml:space="preserve">验收方案</w:t>
            </w:r>
            <w:r>
              <w:rPr>
                <w:rFonts w:hint="eastAsia"/>
                <w:b w:val="0"/>
                <w:szCs w:val="24"/>
              </w:rPr>
              <w:t xml:space="preserve">（5分）</w:t>
            </w:r>
            <w:r/>
          </w:p>
          <w:p>
            <w:pPr>
              <w:spacing w:line="360" w:lineRule="auto"/>
              <w:rPr>
                <w:b w:val="0"/>
                <w:szCs w:val="24"/>
              </w:rPr>
            </w:pPr>
            <w:r>
              <w:rPr>
                <w:rFonts w:hint="eastAsia"/>
                <w:b w:val="0"/>
                <w:szCs w:val="24"/>
              </w:rPr>
              <w:t xml:space="preserve">投标人</w:t>
            </w:r>
            <w:r>
              <w:rPr>
                <w:rFonts w:hint="eastAsia"/>
                <w:b w:val="0"/>
                <w:szCs w:val="24"/>
              </w:rPr>
              <w:t xml:space="preserve">应根据项目要求提供具体、详细、科学的应急处置方案。包含应急处置预案，故障解决方案、突发事件响应情况</w:t>
            </w:r>
            <w:r>
              <w:rPr>
                <w:rFonts w:hint="eastAsia"/>
                <w:b w:val="0"/>
                <w:szCs w:val="24"/>
              </w:rPr>
              <w:t xml:space="preserve">等</w:t>
            </w:r>
            <w:r>
              <w:rPr>
                <w:rFonts w:hint="eastAsia"/>
                <w:b w:val="0"/>
                <w:szCs w:val="24"/>
              </w:rPr>
              <w:t xml:space="preserve">方面。评标委员会根据投标人提供的方案内容进行综合评审：</w:t>
            </w:r>
            <w:r/>
          </w:p>
          <w:p>
            <w:pPr>
              <w:spacing w:line="360" w:lineRule="auto"/>
              <w:rPr>
                <w:b w:val="0"/>
                <w:szCs w:val="24"/>
              </w:rPr>
            </w:pPr>
            <w:r>
              <w:rPr>
                <w:rFonts w:hint="eastAsia"/>
                <w:b w:val="0"/>
                <w:szCs w:val="24"/>
              </w:rPr>
              <w:t xml:space="preserve">（1）方案所述内容完整详实，清晰描述相关内容的得</w:t>
            </w:r>
            <w:r>
              <w:rPr>
                <w:rFonts w:hint="eastAsia"/>
                <w:b w:val="0"/>
                <w:szCs w:val="24"/>
              </w:rPr>
              <w:t xml:space="preserve">2</w:t>
            </w:r>
            <w:r>
              <w:rPr>
                <w:rFonts w:hint="eastAsia"/>
                <w:b w:val="0"/>
                <w:szCs w:val="24"/>
              </w:rPr>
              <w:t xml:space="preserve">分，方案基本完整，对相关内容均有表述的得</w:t>
            </w:r>
            <w:r>
              <w:rPr>
                <w:rFonts w:hint="eastAsia"/>
                <w:b w:val="0"/>
                <w:szCs w:val="24"/>
              </w:rPr>
              <w:t xml:space="preserve">1</w:t>
            </w:r>
            <w:r>
              <w:rPr>
                <w:rFonts w:hint="eastAsia"/>
                <w:b w:val="0"/>
                <w:szCs w:val="24"/>
              </w:rPr>
              <w:t xml:space="preserve">分，完整性有缺陷或未提供不得分；</w:t>
            </w:r>
            <w:r/>
          </w:p>
          <w:p>
            <w:pPr>
              <w:spacing w:line="360" w:lineRule="auto"/>
              <w:rPr>
                <w:b w:val="0"/>
                <w:szCs w:val="24"/>
              </w:rPr>
            </w:pPr>
            <w:r>
              <w:rPr>
                <w:rFonts w:hint="eastAsia"/>
                <w:b w:val="0"/>
                <w:szCs w:val="24"/>
              </w:rPr>
              <w:t xml:space="preserve">（2）经评审，方案具备较强合理性的得</w:t>
            </w:r>
            <w:r>
              <w:rPr>
                <w:rFonts w:hint="eastAsia"/>
                <w:b w:val="0"/>
                <w:szCs w:val="24"/>
              </w:rPr>
              <w:t xml:space="preserve">1</w:t>
            </w:r>
            <w:r>
              <w:rPr>
                <w:rFonts w:hint="eastAsia"/>
                <w:b w:val="0"/>
                <w:szCs w:val="24"/>
              </w:rPr>
              <w:t xml:space="preserve">.5分，方案具备一定合理性的得</w:t>
            </w:r>
            <w:r>
              <w:rPr>
                <w:rFonts w:hint="eastAsia"/>
                <w:b w:val="0"/>
                <w:szCs w:val="24"/>
              </w:rPr>
              <w:t xml:space="preserve">0.5</w:t>
            </w:r>
            <w:r>
              <w:rPr>
                <w:rFonts w:hint="eastAsia"/>
                <w:b w:val="0"/>
                <w:szCs w:val="24"/>
              </w:rPr>
              <w:t xml:space="preserve">分，方案合理性有缺陷或未提供不得分；</w:t>
            </w:r>
            <w:r/>
          </w:p>
          <w:p>
            <w:pPr>
              <w:spacing w:line="360" w:lineRule="auto"/>
              <w:rPr>
                <w:rFonts w:hint="eastAsia"/>
                <w:b w:val="0"/>
                <w:bCs w:val="0"/>
                <w:highlight w:val="none"/>
              </w:rPr>
            </w:pPr>
            <w:r>
              <w:rPr>
                <w:rFonts w:hint="eastAsia"/>
                <w:b w:val="0"/>
                <w:szCs w:val="24"/>
              </w:rPr>
              <w:t xml:space="preserve">（3）经评审，方案具备较强针对性且切实可行的得</w:t>
            </w:r>
            <w:r>
              <w:rPr>
                <w:rFonts w:hint="eastAsia"/>
                <w:b w:val="0"/>
                <w:szCs w:val="24"/>
              </w:rPr>
              <w:t xml:space="preserve">1</w:t>
            </w:r>
            <w:r>
              <w:rPr>
                <w:rFonts w:hint="eastAsia"/>
                <w:b w:val="0"/>
                <w:szCs w:val="24"/>
              </w:rPr>
              <w:t xml:space="preserve">.5分，方案具备一定针对性及可行性的得</w:t>
            </w:r>
            <w:r>
              <w:rPr>
                <w:rFonts w:hint="eastAsia"/>
                <w:b w:val="0"/>
                <w:szCs w:val="24"/>
              </w:rPr>
              <w:t xml:space="preserve">0.5</w:t>
            </w:r>
            <w:r>
              <w:rPr>
                <w:rFonts w:hint="eastAsia"/>
                <w:b w:val="0"/>
                <w:szCs w:val="24"/>
              </w:rPr>
              <w:t xml:space="preserve">分，方案针对性或可行性有缺陷或未提供不得分。</w:t>
            </w:r>
            <w:r/>
          </w:p>
          <w:p>
            <w:pPr>
              <w:spacing w:line="360" w:lineRule="auto"/>
              <w:rPr>
                <w:b w:val="0"/>
                <w:bCs w:val="0"/>
              </w:rPr>
            </w:pPr>
            <w:r>
              <w:rPr>
                <w:rFonts w:hint="eastAsia"/>
                <w:b w:val="0"/>
                <w:szCs w:val="24"/>
                <w:highlight w:val="none"/>
              </w:rPr>
            </w:r>
            <w:r>
              <w:rPr>
                <w:rFonts w:ascii="SimSun" w:hAnsi="SimSun" w:eastAsia="SimSun" w:cs="SimSun"/>
                <w:color w:val="000000"/>
                <w:sz w:val="24"/>
              </w:rPr>
              <w:t xml:space="preserve">注：上述各方案中所述：“合理性”是指内容符合项目特点，同时不存在逻辑漏洞、常识错误、前后矛盾等情形，能对医院有效降低支出成本的建议的；“针对性”是指针对本项目采购需求结合实际情况所提出的具体措施及方案，且具备可行性；“缺陷”是指涉及的规范及标准错误、地点区域错误、内容缺项、表述不完整等情形。</w:t>
            </w:r>
            <w:r>
              <w:rPr>
                <w:rFonts w:hint="eastAsia"/>
                <w:b w:val="0"/>
                <w:szCs w:val="24"/>
                <w:highlight w:val="none"/>
              </w:rPr>
            </w:r>
            <w:r>
              <w:rPr>
                <w:rFonts w:hint="eastAsia"/>
                <w:b w:val="0"/>
                <w:szCs w:val="24"/>
                <w:highlight w:val="none"/>
              </w:rPr>
            </w:r>
          </w:p>
        </w:tc>
      </w:tr>
      <w:tr>
        <w:trPr>
          <w:trHeight w:val="416"/>
        </w:trPr>
        <w:tc>
          <w:tcPr>
            <w:tcW w:w="1396" w:type="dxa"/>
            <w:vAlign w:val="center"/>
            <w:textDirection w:val="lrTb"/>
            <w:noWrap w:val="false"/>
          </w:tcPr>
          <w:p>
            <w:pPr>
              <w:jc w:val="center"/>
              <w:spacing w:line="360" w:lineRule="auto"/>
              <w:rPr>
                <w:b w:val="0"/>
                <w:szCs w:val="24"/>
              </w:rPr>
            </w:pPr>
            <w:r>
              <w:rPr>
                <w:rFonts w:hint="eastAsia"/>
                <w:b w:val="0"/>
                <w:szCs w:val="24"/>
              </w:rPr>
              <w:t xml:space="preserve">售后服务及培训方案</w:t>
            </w:r>
            <w:r/>
          </w:p>
          <w:p>
            <w:pPr>
              <w:jc w:val="center"/>
              <w:spacing w:line="360" w:lineRule="auto"/>
              <w:rPr>
                <w:rFonts w:hint="eastAsia" w:hAnsi="宋体" w:cs="宋体"/>
                <w:b w:val="0"/>
                <w:position w:val="0"/>
                <w:szCs w:val="24"/>
              </w:rPr>
            </w:pPr>
            <w:r>
              <w:rPr>
                <w:rFonts w:hint="eastAsia"/>
                <w:b w:val="0"/>
                <w:szCs w:val="24"/>
              </w:rPr>
              <w:t xml:space="preserve">（10分）</w:t>
            </w:r>
            <w:r/>
          </w:p>
        </w:tc>
        <w:tc>
          <w:tcPr>
            <w:tcW w:w="7799" w:type="dxa"/>
            <w:vAlign w:val="center"/>
            <w:textDirection w:val="lrTb"/>
            <w:noWrap w:val="false"/>
          </w:tcPr>
          <w:p>
            <w:pPr>
              <w:spacing w:line="360" w:lineRule="auto"/>
              <w:rPr>
                <w:b w:val="0"/>
                <w:szCs w:val="24"/>
              </w:rPr>
            </w:pPr>
            <w:r>
              <w:rPr>
                <w:rFonts w:hint="eastAsia"/>
                <w:b w:val="0"/>
                <w:szCs w:val="24"/>
              </w:rPr>
              <w:t xml:space="preserve">1.</w:t>
            </w:r>
            <w:r>
              <w:rPr>
                <w:rFonts w:hint="eastAsia"/>
                <w:b w:val="0"/>
                <w:szCs w:val="24"/>
              </w:rPr>
              <w:t xml:space="preserve">售后服务方案</w:t>
            </w:r>
            <w:r>
              <w:rPr>
                <w:rFonts w:hint="eastAsia"/>
                <w:b w:val="0"/>
                <w:szCs w:val="24"/>
              </w:rPr>
              <w:t xml:space="preserve">（5分）</w:t>
            </w:r>
            <w:r/>
          </w:p>
          <w:p>
            <w:pPr>
              <w:spacing w:line="360" w:lineRule="auto"/>
              <w:rPr>
                <w:b w:val="0"/>
                <w:szCs w:val="24"/>
              </w:rPr>
            </w:pPr>
            <w:r>
              <w:rPr>
                <w:rFonts w:hint="eastAsia"/>
                <w:b w:val="0"/>
                <w:szCs w:val="24"/>
              </w:rPr>
              <w:t xml:space="preserve">为确保项目的顺利实施与后续高效运维，</w:t>
            </w:r>
            <w:r>
              <w:rPr>
                <w:rFonts w:hint="eastAsia"/>
                <w:b w:val="0"/>
                <w:szCs w:val="24"/>
              </w:rPr>
              <w:t xml:space="preserve">投标人</w:t>
            </w:r>
            <w:r>
              <w:rPr>
                <w:rFonts w:hint="eastAsia"/>
                <w:b w:val="0"/>
                <w:szCs w:val="24"/>
              </w:rPr>
              <w:t xml:space="preserve">应提供项目培训方案，包含培训目标、培训内容、培训方式、培训计划</w:t>
            </w:r>
            <w:r>
              <w:rPr>
                <w:rFonts w:hint="eastAsia"/>
                <w:b w:val="0"/>
                <w:szCs w:val="24"/>
              </w:rPr>
              <w:t xml:space="preserve">等</w:t>
            </w:r>
            <w:r>
              <w:rPr>
                <w:rFonts w:hint="eastAsia"/>
                <w:b w:val="0"/>
                <w:szCs w:val="24"/>
              </w:rPr>
              <w:t xml:space="preserve">方面。评标委员会根据投标人提供的方案内容进行综合评审：</w:t>
            </w:r>
            <w:r/>
          </w:p>
          <w:p>
            <w:pPr>
              <w:spacing w:line="360" w:lineRule="auto"/>
              <w:rPr>
                <w:b w:val="0"/>
                <w:szCs w:val="24"/>
              </w:rPr>
            </w:pPr>
            <w:r>
              <w:rPr>
                <w:rFonts w:hint="eastAsia"/>
                <w:b w:val="0"/>
                <w:szCs w:val="24"/>
              </w:rPr>
              <w:t xml:space="preserve">（1）方案所述内容完整详实，清晰描述相关内容的得</w:t>
            </w:r>
            <w:r>
              <w:rPr>
                <w:rFonts w:hint="eastAsia"/>
                <w:b w:val="0"/>
                <w:szCs w:val="24"/>
              </w:rPr>
              <w:t xml:space="preserve">2</w:t>
            </w:r>
            <w:r>
              <w:rPr>
                <w:rFonts w:hint="eastAsia"/>
                <w:b w:val="0"/>
                <w:szCs w:val="24"/>
              </w:rPr>
              <w:t xml:space="preserve">分，方案基本完</w:t>
            </w:r>
            <w:r>
              <w:rPr>
                <w:rFonts w:hint="eastAsia"/>
                <w:b w:val="0"/>
                <w:szCs w:val="24"/>
              </w:rPr>
              <w:t xml:space="preserve">整，对相关内容均有表述的得</w:t>
            </w:r>
            <w:r>
              <w:rPr>
                <w:rFonts w:hint="eastAsia"/>
                <w:b w:val="0"/>
                <w:szCs w:val="24"/>
              </w:rPr>
              <w:t xml:space="preserve">1</w:t>
            </w:r>
            <w:r>
              <w:rPr>
                <w:rFonts w:hint="eastAsia"/>
                <w:b w:val="0"/>
                <w:szCs w:val="24"/>
              </w:rPr>
              <w:t xml:space="preserve">分，完整性有缺陷或未提供不得分；</w:t>
            </w:r>
            <w:r/>
          </w:p>
          <w:p>
            <w:pPr>
              <w:spacing w:line="360" w:lineRule="auto"/>
              <w:rPr>
                <w:b w:val="0"/>
                <w:szCs w:val="24"/>
              </w:rPr>
            </w:pPr>
            <w:r>
              <w:rPr>
                <w:rFonts w:hint="eastAsia"/>
                <w:b w:val="0"/>
                <w:szCs w:val="24"/>
              </w:rPr>
              <w:t xml:space="preserve">（2）经评审，方案具备较强合理性的得</w:t>
            </w:r>
            <w:r>
              <w:rPr>
                <w:rFonts w:hint="eastAsia"/>
                <w:b w:val="0"/>
                <w:szCs w:val="24"/>
              </w:rPr>
              <w:t xml:space="preserve">1</w:t>
            </w:r>
            <w:r>
              <w:rPr>
                <w:rFonts w:hint="eastAsia"/>
                <w:b w:val="0"/>
                <w:szCs w:val="24"/>
              </w:rPr>
              <w:t xml:space="preserve">.5分，方案具备一定合理性的得</w:t>
            </w:r>
            <w:r>
              <w:rPr>
                <w:rFonts w:hint="eastAsia"/>
                <w:b w:val="0"/>
                <w:szCs w:val="24"/>
              </w:rPr>
              <w:t xml:space="preserve">0.5</w:t>
            </w:r>
            <w:r>
              <w:rPr>
                <w:rFonts w:hint="eastAsia"/>
                <w:b w:val="0"/>
                <w:szCs w:val="24"/>
              </w:rPr>
              <w:t xml:space="preserve">分，方案合理性有缺陷或未提供不得分；</w:t>
            </w:r>
            <w:r/>
          </w:p>
          <w:p>
            <w:pPr>
              <w:spacing w:line="360" w:lineRule="auto"/>
              <w:rPr>
                <w:b w:val="0"/>
                <w:szCs w:val="24"/>
              </w:rPr>
            </w:pPr>
            <w:r>
              <w:rPr>
                <w:rFonts w:hint="eastAsia"/>
                <w:b w:val="0"/>
                <w:szCs w:val="24"/>
              </w:rPr>
              <w:t xml:space="preserve">（3）经评审，方案具备较强针对性且切实可行的得</w:t>
            </w:r>
            <w:r>
              <w:rPr>
                <w:rFonts w:hint="eastAsia"/>
                <w:b w:val="0"/>
                <w:szCs w:val="24"/>
              </w:rPr>
              <w:t xml:space="preserve">1</w:t>
            </w:r>
            <w:r>
              <w:rPr>
                <w:rFonts w:hint="eastAsia"/>
                <w:b w:val="0"/>
                <w:szCs w:val="24"/>
              </w:rPr>
              <w:t xml:space="preserve">.5分，方案具备一定针对性及可行性的得</w:t>
            </w:r>
            <w:r>
              <w:rPr>
                <w:rFonts w:hint="eastAsia"/>
                <w:b w:val="0"/>
                <w:szCs w:val="24"/>
              </w:rPr>
              <w:t xml:space="preserve">0.5</w:t>
            </w:r>
            <w:r>
              <w:rPr>
                <w:rFonts w:hint="eastAsia"/>
                <w:b w:val="0"/>
                <w:szCs w:val="24"/>
              </w:rPr>
              <w:t xml:space="preserve">分，方案针对性或可行性有缺陷或未提供不得分。</w:t>
            </w:r>
            <w:r/>
          </w:p>
          <w:p>
            <w:pPr>
              <w:spacing w:line="360" w:lineRule="auto"/>
              <w:rPr>
                <w:b w:val="0"/>
                <w:szCs w:val="24"/>
              </w:rPr>
            </w:pPr>
            <w:r>
              <w:rPr>
                <w:rFonts w:hint="eastAsia"/>
                <w:b w:val="0"/>
                <w:szCs w:val="24"/>
              </w:rPr>
              <w:t xml:space="preserve">2.</w:t>
            </w:r>
            <w:r>
              <w:rPr>
                <w:rFonts w:hint="eastAsia"/>
                <w:b w:val="0"/>
                <w:szCs w:val="24"/>
              </w:rPr>
              <w:t xml:space="preserve">培训方案</w:t>
            </w:r>
            <w:r>
              <w:rPr>
                <w:rFonts w:hint="eastAsia"/>
                <w:b w:val="0"/>
                <w:szCs w:val="24"/>
              </w:rPr>
              <w:t xml:space="preserve">（5分）</w:t>
            </w:r>
            <w:r>
              <w:rPr>
                <w:rFonts w:hint="eastAsia"/>
                <w:b w:val="0"/>
                <w:szCs w:val="24"/>
              </w:rPr>
              <w:t xml:space="preserve"> </w:t>
            </w:r>
            <w:r/>
          </w:p>
          <w:p>
            <w:pPr>
              <w:spacing w:line="360" w:lineRule="auto"/>
              <w:rPr>
                <w:b w:val="0"/>
                <w:szCs w:val="24"/>
              </w:rPr>
            </w:pPr>
            <w:r>
              <w:rPr>
                <w:rFonts w:hint="eastAsia"/>
                <w:b w:val="0"/>
                <w:szCs w:val="24"/>
              </w:rPr>
              <w:t xml:space="preserve">为了保障项目的长期稳定运行，提供高效、专业的售后服务至关重要。</w:t>
            </w:r>
            <w:r>
              <w:rPr>
                <w:rFonts w:hint="eastAsia"/>
                <w:b w:val="0"/>
                <w:szCs w:val="24"/>
              </w:rPr>
              <w:t xml:space="preserve">投标人</w:t>
            </w:r>
            <w:r>
              <w:rPr>
                <w:rFonts w:hint="eastAsia"/>
                <w:b w:val="0"/>
                <w:szCs w:val="24"/>
              </w:rPr>
              <w:t xml:space="preserve">项目售后服务方案的具体要求，包括售后时间、售后要求、售后内容以及售后人员等</w:t>
            </w:r>
            <w:r>
              <w:rPr>
                <w:rFonts w:hint="eastAsia"/>
                <w:b w:val="0"/>
                <w:szCs w:val="24"/>
              </w:rPr>
              <w:t xml:space="preserve">方面。评标委员会根据投标人提供的方案内容进行综合评审：</w:t>
            </w:r>
            <w:r/>
          </w:p>
          <w:p>
            <w:pPr>
              <w:spacing w:line="360" w:lineRule="auto"/>
              <w:rPr>
                <w:b w:val="0"/>
                <w:szCs w:val="24"/>
              </w:rPr>
            </w:pPr>
            <w:r>
              <w:rPr>
                <w:rFonts w:hint="eastAsia"/>
                <w:b w:val="0"/>
                <w:szCs w:val="24"/>
              </w:rPr>
              <w:t xml:space="preserve">（1）方案所述内容完整详实，清晰描述相关内容的得</w:t>
            </w:r>
            <w:r>
              <w:rPr>
                <w:rFonts w:hint="eastAsia"/>
                <w:b w:val="0"/>
                <w:szCs w:val="24"/>
              </w:rPr>
              <w:t xml:space="preserve">2</w:t>
            </w:r>
            <w:r>
              <w:rPr>
                <w:rFonts w:hint="eastAsia"/>
                <w:b w:val="0"/>
                <w:szCs w:val="24"/>
              </w:rPr>
              <w:t xml:space="preserve">分，方案基本完整，对相关内容均有表述的得</w:t>
            </w:r>
            <w:r>
              <w:rPr>
                <w:rFonts w:hint="eastAsia"/>
                <w:b w:val="0"/>
                <w:szCs w:val="24"/>
              </w:rPr>
              <w:t xml:space="preserve">1</w:t>
            </w:r>
            <w:r>
              <w:rPr>
                <w:rFonts w:hint="eastAsia"/>
                <w:b w:val="0"/>
                <w:szCs w:val="24"/>
              </w:rPr>
              <w:t xml:space="preserve">分，完整性有缺陷或未提供不得分；</w:t>
            </w:r>
            <w:r/>
          </w:p>
          <w:p>
            <w:pPr>
              <w:spacing w:line="360" w:lineRule="auto"/>
              <w:rPr>
                <w:b w:val="0"/>
                <w:szCs w:val="24"/>
              </w:rPr>
            </w:pPr>
            <w:r>
              <w:rPr>
                <w:rFonts w:hint="eastAsia"/>
                <w:b w:val="0"/>
                <w:szCs w:val="24"/>
              </w:rPr>
              <w:t xml:space="preserve">（2）经评审，方案具备较强合理性的得</w:t>
            </w:r>
            <w:r>
              <w:rPr>
                <w:rFonts w:hint="eastAsia"/>
                <w:b w:val="0"/>
                <w:szCs w:val="24"/>
              </w:rPr>
              <w:t xml:space="preserve">1</w:t>
            </w:r>
            <w:r>
              <w:rPr>
                <w:rFonts w:hint="eastAsia"/>
                <w:b w:val="0"/>
                <w:szCs w:val="24"/>
              </w:rPr>
              <w:t xml:space="preserve">.5分，方案具备一定合理性的得</w:t>
            </w:r>
            <w:r>
              <w:rPr>
                <w:rFonts w:hint="eastAsia"/>
                <w:b w:val="0"/>
                <w:szCs w:val="24"/>
              </w:rPr>
              <w:t xml:space="preserve">0.5</w:t>
            </w:r>
            <w:r>
              <w:rPr>
                <w:rFonts w:hint="eastAsia"/>
                <w:b w:val="0"/>
                <w:szCs w:val="24"/>
              </w:rPr>
              <w:t xml:space="preserve">分，方案合理性有缺陷或未提供不得分；</w:t>
            </w:r>
            <w:r/>
          </w:p>
          <w:p>
            <w:pPr>
              <w:spacing w:line="360" w:lineRule="auto"/>
              <w:rPr>
                <w:rFonts w:hint="eastAsia"/>
                <w:b w:val="0"/>
                <w:bCs w:val="0"/>
                <w:highlight w:val="none"/>
              </w:rPr>
            </w:pPr>
            <w:r>
              <w:rPr>
                <w:rFonts w:hint="eastAsia"/>
                <w:b w:val="0"/>
                <w:szCs w:val="24"/>
              </w:rPr>
              <w:t xml:space="preserve">（3）经评审，方案具备较强针对性且切实可行的得</w:t>
            </w:r>
            <w:r>
              <w:rPr>
                <w:rFonts w:hint="eastAsia"/>
                <w:b w:val="0"/>
                <w:szCs w:val="24"/>
              </w:rPr>
              <w:t xml:space="preserve">1</w:t>
            </w:r>
            <w:r>
              <w:rPr>
                <w:rFonts w:hint="eastAsia"/>
                <w:b w:val="0"/>
                <w:szCs w:val="24"/>
              </w:rPr>
              <w:t xml:space="preserve">.5分，方案具备一定针对性及可行性的得</w:t>
            </w:r>
            <w:r>
              <w:rPr>
                <w:rFonts w:hint="eastAsia"/>
                <w:b w:val="0"/>
                <w:szCs w:val="24"/>
              </w:rPr>
              <w:t xml:space="preserve">0.5</w:t>
            </w:r>
            <w:r>
              <w:rPr>
                <w:rFonts w:hint="eastAsia"/>
                <w:b w:val="0"/>
                <w:szCs w:val="24"/>
              </w:rPr>
              <w:t xml:space="preserve">分，方案针对性或可行性有缺陷或未提供不得分。</w:t>
            </w:r>
            <w:r/>
          </w:p>
          <w:p>
            <w:pPr>
              <w:spacing w:line="360" w:lineRule="auto"/>
              <w:rPr>
                <w:rFonts w:hint="eastAsia" w:hAnsi="宋体"/>
                <w:b w:val="0"/>
                <w:bCs w:val="0"/>
                <w:position w:val="0"/>
              </w:rPr>
            </w:pPr>
            <w:r>
              <w:rPr>
                <w:rFonts w:hint="eastAsia"/>
                <w:b w:val="0"/>
                <w:szCs w:val="24"/>
                <w:highlight w:val="none"/>
              </w:rPr>
            </w:r>
            <w:r>
              <w:rPr>
                <w:rFonts w:ascii="SimSun" w:hAnsi="SimSun" w:eastAsia="SimSun" w:cs="SimSun"/>
                <w:color w:val="000000"/>
                <w:sz w:val="24"/>
              </w:rPr>
              <w:t xml:space="preserve">注：上述各方案中所述：“合理性”是指内容符合项目特点，同时不存在逻辑漏洞、常识错误、前后矛盾等情形，能对医院有效降低支出成本的建议的；“针对性”是指针对本项目采购需求结合实际情况所提出的具体措施及方案，且具备可行性；“缺陷”是指涉及的规范及标准错误、地点区域错误、内容缺项、表述不完整等情形。</w:t>
            </w:r>
            <w:r>
              <w:rPr>
                <w:rFonts w:hint="eastAsia"/>
                <w:b w:val="0"/>
                <w:szCs w:val="24"/>
                <w:highlight w:val="none"/>
              </w:rPr>
            </w:r>
            <w:r>
              <w:rPr>
                <w:rFonts w:hint="eastAsia"/>
                <w:b w:val="0"/>
                <w:szCs w:val="24"/>
                <w:highlight w:val="none"/>
              </w:rPr>
            </w:r>
          </w:p>
        </w:tc>
      </w:tr>
    </w:tbl>
    <w:p>
      <w:pPr>
        <w:pStyle w:val="1009"/>
        <w:rPr>
          <w:rFonts w:hint="eastAsia"/>
          <w:b w:val="0"/>
        </w:rPr>
      </w:pPr>
      <w:r>
        <w:rPr>
          <w:rFonts w:hint="eastAsia"/>
          <w:b w:val="0"/>
        </w:rPr>
      </w:r>
      <w:r/>
    </w:p>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为非专门面向中小微企业的项目，对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ind w:left="480"/>
        <w:spacing w:line="360" w:lineRule="auto"/>
        <w:tabs>
          <w:tab w:val="left" w:pos="8200" w:leader="none"/>
        </w:tabs>
        <w:rPr>
          <w:rFonts w:hint="eastAsia" w:hAnsi="宋体" w:cs="宋体"/>
          <w:b w:val="0"/>
          <w:bCs/>
          <w:szCs w:val="22"/>
        </w:rPr>
      </w:pPr>
      <w:r>
        <w:rPr>
          <w:rFonts w:hint="eastAsia" w:hAnsi="宋体" w:cs="宋体"/>
          <w:b w:val="0"/>
          <w:bCs/>
          <w:szCs w:val="22"/>
        </w:rPr>
        <w:t xml:space="preserve">（1）在货物采购项目中，货物由小微企业制造，即货物由小微企业生产且</w:t>
      </w:r>
      <w:r>
        <w:rPr>
          <w:rFonts w:hint="eastAsia" w:hAnsi="宋体" w:cs="宋体"/>
          <w:b w:val="0"/>
          <w:bCs/>
          <w:szCs w:val="22"/>
        </w:rPr>
        <w:t xml:space="preserve">使用该小微企业商号或者注册商标；</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（2）在服务采购项目中，服务由小微企业承接，即提供服务的人员为小微企业依照《中华人民共和国劳动合同法》订立劳动合同的从业人员。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w:t>
      </w:r>
      <w:r>
        <w:rPr>
          <w:rFonts w:hint="eastAsia" w:hAnsi="宋体" w:cs="宋体"/>
          <w:b w:val="0"/>
          <w:bCs/>
        </w:rPr>
        <w:t xml:space="preserve">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w:t>
      </w:r>
      <w:r>
        <w:rPr>
          <w:rFonts w:hint="eastAsia" w:hAnsi="宋体" w:cs="宋体"/>
          <w:b w:val="0"/>
          <w:bCs/>
        </w:rPr>
        <w:t xml:space="preserve">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r/>
    </w:p>
    <w:p>
      <w:pPr>
        <w:pStyle w:val="946"/>
        <w:spacing w:line="360" w:lineRule="auto"/>
        <w:rPr>
          <w:rFonts w:hint="eastAsia" w:ascii="宋体" w:hAnsi="宋体" w:eastAsia="宋体" w:cs="宋体"/>
          <w:b/>
          <w:bCs/>
          <w:sz w:val="44"/>
          <w:szCs w:val="44"/>
        </w:rPr>
      </w:pPr>
      <w:r/>
      <w:bookmarkStart w:id="234" w:name="_Toc174468393"/>
      <w:r/>
      <w:bookmarkEnd w:id="227"/>
      <w:r/>
      <w:bookmarkEnd w:id="228"/>
      <w:r/>
      <w:bookmarkEnd w:id="229"/>
      <w:r/>
      <w:bookmarkEnd w:id="230"/>
      <w:r/>
      <w:bookmarkEnd w:id="231"/>
      <w:r/>
      <w:bookmarkEnd w:id="232"/>
      <w:r/>
      <w:bookmarkEnd w:id="233"/>
      <w:r>
        <w:rPr>
          <w:rFonts w:hint="eastAsia" w:ascii="宋体" w:hAnsi="宋体" w:eastAsia="宋体" w:cs="宋体"/>
          <w:b/>
          <w:bCs/>
          <w:sz w:val="44"/>
          <w:szCs w:val="44"/>
        </w:rPr>
        <w:t xml:space="preserve">第六章  投标文件参考格式</w:t>
      </w:r>
      <w:bookmarkEnd w:id="217"/>
      <w:r/>
      <w:bookmarkEnd w:id="218"/>
      <w:r/>
      <w:bookmarkEnd w:id="234"/>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w:t>
      </w:r>
      <w:r>
        <w:rPr>
          <w:rFonts w:hint="eastAsia" w:hAnsi="宋体" w:cs="宋体"/>
          <w:b w:val="0"/>
          <w:position w:val="0"/>
          <w:szCs w:val="24"/>
        </w:rPr>
        <w:t xml:space="preserve">投标人综合实力</w:t>
      </w:r>
      <w:r/>
    </w:p>
    <w:p>
      <w:pPr>
        <w:spacing w:line="500" w:lineRule="exact"/>
        <w:rPr>
          <w:b w:val="0"/>
          <w:position w:val="0"/>
          <w:szCs w:val="24"/>
        </w:rPr>
      </w:pPr>
      <w:r>
        <w:rPr>
          <w:rFonts w:hint="eastAsia"/>
          <w:b w:val="0"/>
          <w:position w:val="0"/>
          <w:szCs w:val="24"/>
        </w:rPr>
        <w:t xml:space="preserve">格式七：</w:t>
      </w:r>
      <w:r>
        <w:rPr>
          <w:rFonts w:hAnsi="宋体" w:cs="宋体"/>
          <w:b w:val="0"/>
          <w:position w:val="0"/>
          <w:szCs w:val="24"/>
        </w:rPr>
        <w:t xml:space="preserve">所投产品生产商资质</w:t>
      </w:r>
      <w:r>
        <w:rPr>
          <w:b w:val="0"/>
          <w:position w:val="0"/>
          <w:szCs w:val="24"/>
        </w:rPr>
        <w:t xml:space="preserve"> </w:t>
      </w:r>
      <w:r/>
    </w:p>
    <w:p>
      <w:pPr>
        <w:spacing w:line="500" w:lineRule="exact"/>
        <w:rPr>
          <w:b w:val="0"/>
          <w:position w:val="0"/>
          <w:szCs w:val="24"/>
        </w:rPr>
      </w:pPr>
      <w:r>
        <w:rPr>
          <w:rFonts w:hint="eastAsia"/>
          <w:b w:val="0"/>
          <w:position w:val="0"/>
          <w:szCs w:val="24"/>
        </w:rPr>
        <w:t xml:space="preserve">格式八：</w:t>
      </w:r>
      <w:r>
        <w:rPr>
          <w:rFonts w:hint="eastAsia"/>
          <w:b w:val="0"/>
          <w:position w:val="0"/>
          <w:szCs w:val="24"/>
        </w:rPr>
        <w:t xml:space="preserve">技术/服务方案及承诺</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97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971"/>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trPr>
          <w:trHeight w:val="420"/>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915"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915"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货物交货期：</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2.“投标分项报价表”中“合计”数额应当与“开标一览表”中“投标总报价”数额一致。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line="400" w:lineRule="exact"/>
        <w:rPr>
          <w:b w:val="0"/>
          <w:position w:val="0"/>
          <w:szCs w:val="24"/>
        </w:rPr>
      </w:pPr>
      <w:r>
        <w:rPr>
          <w:rFonts w:hint="eastAsia" w:hAnsi="宋体" w:cs="宋体"/>
          <w:b w:val="0"/>
          <w:bCs/>
          <w:position w:val="0"/>
          <w:sz w:val="21"/>
          <w:szCs w:val="21"/>
        </w:rPr>
        <w:t xml:space="preserve">5</w:t>
      </w:r>
      <w:r>
        <w:rPr>
          <w:rFonts w:hint="eastAsia" w:hAnsi="宋体" w:cs="宋体"/>
          <w:b w:val="0"/>
          <w:bCs/>
          <w:position w:val="0"/>
          <w:sz w:val="21"/>
          <w:szCs w:val="21"/>
        </w:rPr>
        <w:t xml:space="preserve">.涉及小型、微型、节能产品、环境标志等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w:t>
      </w:r>
      <w:r>
        <w:rPr>
          <w:rFonts w:hint="eastAsia" w:ascii="Times New Roman"/>
          <w:b w:val="0"/>
          <w:bCs/>
          <w:position w:val="0"/>
          <w:szCs w:val="24"/>
        </w:rPr>
        <w:t xml:space="preserve">，</w:t>
      </w:r>
      <w:r>
        <w:rPr>
          <w:rFonts w:hint="eastAsia" w:ascii="Times New Roman"/>
          <w:b w:val="0"/>
          <w:bCs/>
          <w:position w:val="0"/>
          <w:szCs w:val="24"/>
        </w:rPr>
        <w:t xml:space="preserve">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w:t>
      </w:r>
      <w:bookmarkStart w:id="235" w:name="_Hlk174550037"/>
      <w:r>
        <w:rPr>
          <w:b w:val="0"/>
          <w:position w:val="0"/>
          <w:szCs w:val="24"/>
        </w:rPr>
        <w:t xml:space="preserve"> </w:t>
      </w:r>
      <w:r>
        <w:rPr>
          <w:rFonts w:hint="eastAsia" w:hAnsi="宋体" w:cs="宋体"/>
          <w:b w:val="0"/>
          <w:position w:val="0"/>
          <w:szCs w:val="24"/>
        </w:rPr>
        <w:t xml:space="preserve">投标人综合实力</w:t>
      </w:r>
      <w:bookmarkEnd w:id="235"/>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jc w:val="left"/>
        <w:widowControl/>
        <w:rPr>
          <w:b w:val="0"/>
          <w:position w:val="0"/>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格式七：</w:t>
      </w:r>
      <w:r>
        <w:rPr>
          <w:b w:val="0"/>
          <w:position w:val="0"/>
          <w:szCs w:val="24"/>
        </w:rPr>
        <w:t xml:space="preserve"> </w:t>
      </w:r>
      <w:r>
        <w:rPr>
          <w:rFonts w:hAnsi="宋体" w:cs="宋体"/>
          <w:b w:val="0"/>
          <w:position w:val="0"/>
          <w:szCs w:val="24"/>
        </w:rPr>
        <w:t xml:space="preserve">所投产品生产商资质</w:t>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w:t>
      </w:r>
      <w:r>
        <w:rPr>
          <w:rFonts w:hint="eastAsia"/>
          <w:b w:val="0"/>
          <w:position w:val="0"/>
          <w:szCs w:val="24"/>
        </w:rPr>
        <w:t xml:space="preserve">八</w:t>
      </w:r>
      <w:r>
        <w:rPr>
          <w:rFonts w:hint="eastAsia"/>
          <w:b w:val="0"/>
          <w:position w:val="0"/>
          <w:szCs w:val="24"/>
        </w:rPr>
        <w:t xml:space="preserve">：技术/服务方案及承诺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仿宋_GB2312" w:eastAsia="仿宋_GB2312"/>
          <w:position w:val="0"/>
          <w:sz w:val="21"/>
          <w:szCs w:val="24"/>
        </w:rPr>
      </w:pPr>
      <w:r>
        <w:rPr>
          <w:rFonts w:ascii="仿宋_GB2312" w:eastAsia="仿宋_GB2312"/>
          <w:position w:val="0"/>
          <w:sz w:val="21"/>
          <w:szCs w:val="24"/>
        </w:rPr>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合同内容</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971"/>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1"/>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71"/>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1"/>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9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1"/>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9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9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971"/>
        <w:rPr>
          <w:rFonts w:hint="eastAsia" w:hAnsi="宋体"/>
          <w:b w:val="0"/>
          <w:position w:val="0"/>
          <w:szCs w:val="24"/>
        </w:rPr>
      </w:pPr>
      <w:r>
        <w:rPr>
          <w:rFonts w:hint="eastAsia" w:hAnsi="宋体"/>
          <w:b w:val="0"/>
          <w:position w:val="0"/>
          <w:szCs w:val="24"/>
        </w:rPr>
      </w:r>
      <w:r/>
    </w:p>
    <w:p>
      <w:pPr>
        <w:pStyle w:val="971"/>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6" w:name="_Toc476153619"/>
      <w:r>
        <w:rPr>
          <w:rFonts w:hint="eastAsia" w:ascii="仿宋" w:hAnsi="仿宋" w:eastAsia="仿宋"/>
          <w:sz w:val="30"/>
          <w:szCs w:val="30"/>
        </w:rPr>
        <w:t xml:space="preserve">中小企业划型标准</w:t>
      </w:r>
      <w:bookmarkEnd w:id="236"/>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971"/>
        <w:spacing w:before="240" w:line="360" w:lineRule="auto"/>
        <w:rPr>
          <w:rFonts w:hint="eastAsia" w:hAnsi="宋体"/>
          <w:position w:val="0"/>
          <w:sz w:val="20"/>
          <w:szCs w:val="20"/>
        </w:rPr>
      </w:pPr>
      <w:r>
        <w:rPr>
          <w:rStyle w:val="1011"/>
          <w:rFonts w:hint="eastAsia" w:ascii="宋体" w:hAnsi="宋体" w:cs="仿宋"/>
          <w:b/>
          <w:bCs w:val="0"/>
          <w:sz w:val="20"/>
          <w:szCs w:val="20"/>
        </w:rPr>
        <w:t xml:space="preserve">说明：上述标准参照《关于印发中小企业划型标准规定的通知》（工信部联企业</w:t>
      </w:r>
      <w:r>
        <w:rPr>
          <w:rStyle w:val="1011"/>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971"/>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971"/>
      </w:pPr>
      <w:r/>
      <w:r/>
    </w:p>
    <w:p>
      <w:pPr>
        <w:ind w:left="100"/>
        <w:jc w:val="left"/>
        <w:spacing w:before="50" w:line="360" w:lineRule="auto"/>
        <w:rPr>
          <w:rFonts w:hint="eastAsia" w:hAnsi="宋体"/>
          <w:position w:val="0"/>
          <w:szCs w:val="24"/>
        </w:rPr>
        <w:outlineLvl w:val="2"/>
      </w:pPr>
      <w:r/>
      <w:bookmarkStart w:id="237" w:name="_Toc174468394"/>
      <w:r>
        <w:rPr>
          <w:rFonts w:hint="eastAsia" w:hAnsi="宋体"/>
          <w:position w:val="0"/>
          <w:szCs w:val="24"/>
        </w:rPr>
        <w:t xml:space="preserve">（一）残疾人福利性单位声明函格式</w:t>
      </w:r>
      <w:bookmarkEnd w:id="237"/>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8" w:name="_Toc174468395"/>
      <w:r>
        <w:rPr>
          <w:rFonts w:hint="eastAsia" w:hAnsi="宋体"/>
          <w:position w:val="0"/>
          <w:szCs w:val="24"/>
        </w:rPr>
        <w:t xml:space="preserve">（二）属于监狱企业的证明文件</w:t>
      </w:r>
      <w:bookmarkEnd w:id="238"/>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39" w:name="_Toc174468396"/>
      <w:r>
        <w:rPr>
          <w:rFonts w:hint="eastAsia" w:hAnsi="宋体"/>
          <w:position w:val="0"/>
          <w:szCs w:val="24"/>
        </w:rPr>
        <w:t xml:space="preserve">（三）节能产品认证文件</w:t>
      </w:r>
      <w:bookmarkEnd w:id="239"/>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0" w:name="_Toc174468397"/>
      <w:r>
        <w:rPr>
          <w:rFonts w:hint="eastAsia" w:hAnsi="宋体"/>
          <w:position w:val="0"/>
          <w:szCs w:val="24"/>
        </w:rPr>
        <w:t xml:space="preserve">（四）环境标志产品认证文件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1009"/>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971"/>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97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7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7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1" w:name="_Hlk142312257"/>
      <w:r>
        <w:rPr>
          <w:rFonts w:hint="eastAsia"/>
          <w:b w:val="0"/>
          <w:position w:val="0"/>
          <w:szCs w:val="24"/>
        </w:rPr>
        <w:t xml:space="preserve">法定代表人授权书</w:t>
      </w:r>
      <w:bookmarkEnd w:id="241"/>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7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（即2026年4月-2026年6月期间）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71"/>
        <w:rPr>
          <w:rFonts w:ascii="Times New Roman" w:eastAsia="黑体"/>
          <w:position w:val="0"/>
          <w:sz w:val="32"/>
          <w:szCs w:val="32"/>
        </w:rPr>
      </w:pPr>
      <w:r>
        <w:rPr>
          <w:rFonts w:ascii="Times New Roman" w:eastAsia="黑体"/>
          <w:position w:val="0"/>
          <w:sz w:val="32"/>
          <w:szCs w:val="32"/>
        </w:rPr>
      </w:r>
      <w:r/>
    </w:p>
    <w:p>
      <w:pPr>
        <w:numPr>
          <w:ilvl w:val="0"/>
          <w:numId w:val="5"/>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bCs/>
          <w:position w:val="0"/>
          <w:szCs w:val="24"/>
        </w:rPr>
      </w:pPr>
      <w:r>
        <w:rPr>
          <w:rFonts w:hint="eastAsia"/>
          <w:b w:val="0"/>
          <w:position w:val="0"/>
          <w:szCs w:val="24"/>
        </w:rPr>
        <w:t xml:space="preserve">格式七：</w:t>
      </w:r>
      <w:r>
        <w:rPr>
          <w:rFonts w:hint="eastAsia"/>
          <w:b w:val="0"/>
          <w:bCs/>
          <w:position w:val="0"/>
          <w:szCs w:val="24"/>
        </w:rPr>
        <w:t xml:space="preserve">投标人认为需要提供的材料</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投标人认为需要提供的材料</w:t>
      </w:r>
      <w:r/>
    </w:p>
    <w:p>
      <w:pPr>
        <w:spacing w:line="500" w:lineRule="exact"/>
        <w:rPr>
          <w:b w:val="0"/>
          <w:position w:val="0"/>
          <w:szCs w:val="24"/>
        </w:rPr>
      </w:pPr>
      <w:r>
        <w:rPr>
          <w:b w:val="0"/>
          <w:position w:val="0"/>
          <w:szCs w:val="24"/>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SimSun">
    <w:panose1 w:val="02010600030101010101"/>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p>
    <w:pPr>
      <w:pStyle w:val="9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986"/>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24"/>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86"/>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24"/>
                      <w:ind w:firstLine="420"/>
                    </w:pPr>
                    <w:r/>
                    <w:r/>
                  </w:p>
                </w:txbxContent>
              </v:textbox>
            </v:shape>
          </w:pict>
        </mc:Fallback>
      </mc:AlternateContent>
    </w:r>
    <w:r/>
  </w:p>
  <w:p>
    <w:pPr>
      <w:pStyle w:val="98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98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92"/>
      <w:isLgl w:val="false"/>
      <w:suff w:val="tab"/>
      <w:lvlText w:val="%1."/>
      <w:lvlJc w:val="left"/>
      <w:pPr>
        <w:ind w:left="425" w:hanging="425"/>
      </w:pPr>
    </w:lvl>
    <w:lvl w:ilvl="1">
      <w:start w:val="1"/>
      <w:numFmt w:val="decimal"/>
      <w:pStyle w:val="1394"/>
      <w:isLgl w:val="false"/>
      <w:suff w:val="tab"/>
      <w:lvlText w:val="%1.%2."/>
      <w:lvlJc w:val="left"/>
      <w:pPr>
        <w:ind w:left="567" w:hanging="567"/>
      </w:pPr>
    </w:lvl>
    <w:lvl w:ilvl="2">
      <w:start w:val="1"/>
      <w:numFmt w:val="decimal"/>
      <w:pStyle w:val="1393"/>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23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55"/>
    <w:link w:val="946"/>
    <w:uiPriority w:val="9"/>
    <w:rPr>
      <w:rFonts w:ascii="Arial" w:hAnsi="Arial" w:eastAsia="Arial" w:cs="Arial"/>
      <w:sz w:val="40"/>
      <w:szCs w:val="40"/>
    </w:rPr>
  </w:style>
  <w:style w:type="character" w:styleId="801">
    <w:name w:val="Heading 2 Char"/>
    <w:basedOn w:val="955"/>
    <w:link w:val="947"/>
    <w:uiPriority w:val="9"/>
    <w:rPr>
      <w:rFonts w:ascii="Arial" w:hAnsi="Arial" w:eastAsia="Arial" w:cs="Arial"/>
      <w:sz w:val="34"/>
    </w:rPr>
  </w:style>
  <w:style w:type="character" w:styleId="802">
    <w:name w:val="Heading 3 Char"/>
    <w:basedOn w:val="955"/>
    <w:link w:val="948"/>
    <w:uiPriority w:val="9"/>
    <w:rPr>
      <w:rFonts w:ascii="Arial" w:hAnsi="Arial" w:eastAsia="Arial" w:cs="Arial"/>
      <w:sz w:val="30"/>
      <w:szCs w:val="30"/>
    </w:rPr>
  </w:style>
  <w:style w:type="character" w:styleId="803">
    <w:name w:val="Heading 4 Char"/>
    <w:basedOn w:val="955"/>
    <w:link w:val="949"/>
    <w:uiPriority w:val="9"/>
    <w:rPr>
      <w:rFonts w:ascii="Arial" w:hAnsi="Arial" w:eastAsia="Arial" w:cs="Arial"/>
      <w:b/>
      <w:bCs/>
      <w:sz w:val="26"/>
      <w:szCs w:val="26"/>
    </w:rPr>
  </w:style>
  <w:style w:type="character" w:styleId="804">
    <w:name w:val="Heading 5 Char"/>
    <w:basedOn w:val="955"/>
    <w:link w:val="950"/>
    <w:uiPriority w:val="9"/>
    <w:rPr>
      <w:rFonts w:ascii="Arial" w:hAnsi="Arial" w:eastAsia="Arial" w:cs="Arial"/>
      <w:b/>
      <w:bCs/>
      <w:sz w:val="24"/>
      <w:szCs w:val="24"/>
    </w:rPr>
  </w:style>
  <w:style w:type="character" w:styleId="805">
    <w:name w:val="Heading 6 Char"/>
    <w:basedOn w:val="955"/>
    <w:link w:val="951"/>
    <w:uiPriority w:val="9"/>
    <w:rPr>
      <w:rFonts w:ascii="Arial" w:hAnsi="Arial" w:eastAsia="Arial" w:cs="Arial"/>
      <w:b/>
      <w:bCs/>
      <w:sz w:val="22"/>
      <w:szCs w:val="22"/>
    </w:rPr>
  </w:style>
  <w:style w:type="character" w:styleId="806">
    <w:name w:val="Heading 7 Char"/>
    <w:basedOn w:val="955"/>
    <w:link w:val="952"/>
    <w:uiPriority w:val="9"/>
    <w:rPr>
      <w:rFonts w:ascii="Arial" w:hAnsi="Arial" w:eastAsia="Arial" w:cs="Arial"/>
      <w:b/>
      <w:bCs/>
      <w:i/>
      <w:iCs/>
      <w:sz w:val="22"/>
      <w:szCs w:val="22"/>
    </w:rPr>
  </w:style>
  <w:style w:type="character" w:styleId="807">
    <w:name w:val="Heading 8 Char"/>
    <w:basedOn w:val="955"/>
    <w:link w:val="953"/>
    <w:uiPriority w:val="9"/>
    <w:rPr>
      <w:rFonts w:ascii="Arial" w:hAnsi="Arial" w:eastAsia="Arial" w:cs="Arial"/>
      <w:i/>
      <w:iCs/>
      <w:sz w:val="22"/>
      <w:szCs w:val="22"/>
    </w:rPr>
  </w:style>
  <w:style w:type="character" w:styleId="808">
    <w:name w:val="Heading 9 Char"/>
    <w:basedOn w:val="955"/>
    <w:link w:val="954"/>
    <w:uiPriority w:val="9"/>
    <w:rPr>
      <w:rFonts w:ascii="Arial" w:hAnsi="Arial" w:eastAsia="Arial" w:cs="Arial"/>
      <w:i/>
      <w:iCs/>
      <w:sz w:val="21"/>
      <w:szCs w:val="21"/>
    </w:rPr>
  </w:style>
  <w:style w:type="character" w:styleId="809">
    <w:name w:val="Title Char"/>
    <w:basedOn w:val="955"/>
    <w:link w:val="1006"/>
    <w:uiPriority w:val="10"/>
    <w:rPr>
      <w:sz w:val="48"/>
      <w:szCs w:val="48"/>
    </w:rPr>
  </w:style>
  <w:style w:type="character" w:styleId="810">
    <w:name w:val="Subtitle Char"/>
    <w:basedOn w:val="955"/>
    <w:link w:val="993"/>
    <w:uiPriority w:val="11"/>
    <w:rPr>
      <w:sz w:val="24"/>
      <w:szCs w:val="24"/>
    </w:rPr>
  </w:style>
  <w:style w:type="character" w:styleId="811">
    <w:name w:val="Quote Char"/>
    <w:link w:val="1100"/>
    <w:uiPriority w:val="29"/>
    <w:rPr>
      <w:i/>
    </w:rPr>
  </w:style>
  <w:style w:type="character" w:styleId="812">
    <w:name w:val="Intense Quote Char"/>
    <w:link w:val="1249"/>
    <w:uiPriority w:val="30"/>
    <w:rPr>
      <w:i/>
    </w:rPr>
  </w:style>
  <w:style w:type="character" w:styleId="813">
    <w:name w:val="Header Char"/>
    <w:basedOn w:val="955"/>
    <w:link w:val="987"/>
    <w:uiPriority w:val="99"/>
  </w:style>
  <w:style w:type="character" w:styleId="814">
    <w:name w:val="Footer Char"/>
    <w:basedOn w:val="955"/>
    <w:link w:val="986"/>
    <w:uiPriority w:val="99"/>
  </w:style>
  <w:style w:type="paragraph" w:styleId="815">
    <w:name w:val="Caption"/>
    <w:basedOn w:val="945"/>
    <w:next w:val="945"/>
    <w:uiPriority w:val="35"/>
    <w:semiHidden/>
    <w:unhideWhenUsed/>
    <w:qFormat/>
    <w:pPr>
      <w:spacing w:line="276" w:lineRule="auto"/>
    </w:pPr>
    <w:rPr>
      <w:b/>
      <w:bCs/>
      <w:color w:val="4f81bd" w:themeColor="accent1"/>
      <w:sz w:val="18"/>
      <w:szCs w:val="18"/>
    </w:rPr>
  </w:style>
  <w:style w:type="character" w:styleId="816">
    <w:name w:val="Caption Char"/>
    <w:basedOn w:val="815"/>
    <w:link w:val="986"/>
    <w:uiPriority w:val="99"/>
  </w:style>
  <w:style w:type="table" w:styleId="817">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3">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4">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5">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6">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7">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8">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4">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5">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8">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9">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0">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1">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2">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3">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5">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6">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7">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8">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9">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0">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9">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0">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1">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2">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3">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4">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6">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7">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8">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9">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0">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1">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3">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4">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5">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6">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7">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8">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0">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1">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2">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3">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4">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5">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Footnote Text Char"/>
    <w:link w:val="994"/>
    <w:uiPriority w:val="99"/>
    <w:rPr>
      <w:sz w:val="18"/>
    </w:rPr>
  </w:style>
  <w:style w:type="character" w:styleId="943">
    <w:name w:val="Endnote Text Char"/>
    <w:link w:val="984"/>
    <w:uiPriority w:val="99"/>
    <w:rPr>
      <w:sz w:val="20"/>
    </w:rPr>
  </w:style>
  <w:style w:type="paragraph" w:styleId="944">
    <w:name w:val="TOC Heading"/>
    <w:uiPriority w:val="39"/>
    <w:unhideWhenUsed/>
  </w:style>
  <w:style w:type="paragraph" w:styleId="945" w:default="1">
    <w:name w:val="Normal"/>
    <w:qFormat/>
    <w:pPr>
      <w:jc w:val="both"/>
      <w:widowControl w:val="off"/>
    </w:pPr>
    <w:rPr>
      <w:rFonts w:ascii="宋体"/>
      <w:b/>
      <w:position w:val="-10"/>
      <w:sz w:val="24"/>
    </w:rPr>
  </w:style>
  <w:style w:type="paragraph" w:styleId="946">
    <w:name w:val="Heading 1"/>
    <w:basedOn w:val="945"/>
    <w:next w:val="945"/>
    <w:link w:val="1022"/>
    <w:qFormat/>
    <w:pPr>
      <w:jc w:val="center"/>
      <w:keepNext/>
      <w:outlineLvl w:val="0"/>
    </w:pPr>
    <w:rPr>
      <w:rFonts w:ascii="楷体_GB2312" w:eastAsia="楷体_GB2312"/>
      <w:b w:val="0"/>
      <w:position w:val="0"/>
      <w:sz w:val="28"/>
      <w:szCs w:val="28"/>
    </w:rPr>
  </w:style>
  <w:style w:type="paragraph" w:styleId="947">
    <w:name w:val="Heading 2"/>
    <w:basedOn w:val="945"/>
    <w:next w:val="945"/>
    <w:link w:val="1026"/>
    <w:qFormat/>
    <w:pPr>
      <w:jc w:val="center"/>
      <w:keepLines/>
      <w:keepNext/>
      <w:spacing w:before="260" w:after="260" w:line="416" w:lineRule="auto"/>
      <w:outlineLvl w:val="1"/>
    </w:pPr>
    <w:rPr>
      <w:rFonts w:ascii="Arial" w:hAnsi="Arial" w:eastAsia="幼圆"/>
      <w:b w:val="0"/>
      <w:bCs/>
      <w:sz w:val="44"/>
      <w:szCs w:val="44"/>
    </w:rPr>
  </w:style>
  <w:style w:type="paragraph" w:styleId="948">
    <w:name w:val="Heading 3"/>
    <w:basedOn w:val="945"/>
    <w:next w:val="945"/>
    <w:link w:val="1027"/>
    <w:qFormat/>
    <w:pPr>
      <w:keepLines/>
      <w:keepNext/>
      <w:spacing w:before="260" w:after="260" w:line="416" w:lineRule="auto"/>
      <w:outlineLvl w:val="2"/>
    </w:pPr>
    <w:rPr>
      <w:rFonts w:ascii="Times New Roman"/>
      <w:b w:val="0"/>
      <w:bCs/>
      <w:sz w:val="32"/>
      <w:szCs w:val="32"/>
    </w:rPr>
  </w:style>
  <w:style w:type="paragraph" w:styleId="949">
    <w:name w:val="Heading 4"/>
    <w:basedOn w:val="945"/>
    <w:next w:val="958"/>
    <w:link w:val="1028"/>
    <w:qFormat/>
    <w:pPr>
      <w:keepLines/>
      <w:keepNext/>
      <w:spacing w:before="280" w:after="290" w:line="376" w:lineRule="auto"/>
      <w:outlineLvl w:val="3"/>
    </w:pPr>
    <w:rPr>
      <w:rFonts w:ascii="Arial" w:hAnsi="Arial" w:eastAsia="黑体"/>
      <w:b w:val="0"/>
      <w:bCs/>
      <w:sz w:val="28"/>
      <w:szCs w:val="28"/>
    </w:rPr>
  </w:style>
  <w:style w:type="paragraph" w:styleId="950">
    <w:name w:val="Heading 5"/>
    <w:basedOn w:val="945"/>
    <w:next w:val="958"/>
    <w:link w:val="1029"/>
    <w:qFormat/>
    <w:pPr>
      <w:keepNext/>
      <w:outlineLvl w:val="4"/>
    </w:pPr>
    <w:rPr>
      <w:rFonts w:ascii="黑体" w:eastAsia="黑体"/>
      <w:color w:val="000000"/>
      <w:position w:val="0"/>
      <w:sz w:val="28"/>
    </w:rPr>
  </w:style>
  <w:style w:type="paragraph" w:styleId="951">
    <w:name w:val="Heading 6"/>
    <w:basedOn w:val="945"/>
    <w:next w:val="945"/>
    <w:link w:val="1030"/>
    <w:qFormat/>
    <w:pPr>
      <w:keepLines/>
      <w:keepNext/>
      <w:spacing w:before="240" w:after="64" w:line="320" w:lineRule="auto"/>
      <w:outlineLvl w:val="5"/>
    </w:pPr>
    <w:rPr>
      <w:rFonts w:ascii="Arial" w:hAnsi="Arial" w:eastAsia="黑体"/>
      <w:bCs/>
      <w:position w:val="0"/>
      <w:szCs w:val="24"/>
    </w:rPr>
  </w:style>
  <w:style w:type="paragraph" w:styleId="952">
    <w:name w:val="Heading 7"/>
    <w:basedOn w:val="945"/>
    <w:next w:val="945"/>
    <w:link w:val="1031"/>
    <w:qFormat/>
    <w:pPr>
      <w:keepLines/>
      <w:keepNext/>
      <w:spacing w:before="240" w:after="64" w:line="320" w:lineRule="auto"/>
      <w:outlineLvl w:val="6"/>
    </w:pPr>
    <w:rPr>
      <w:rFonts w:ascii="Times New Roman"/>
      <w:bCs/>
      <w:position w:val="0"/>
      <w:szCs w:val="24"/>
    </w:rPr>
  </w:style>
  <w:style w:type="paragraph" w:styleId="953">
    <w:name w:val="Heading 8"/>
    <w:basedOn w:val="945"/>
    <w:next w:val="945"/>
    <w:link w:val="1032"/>
    <w:qFormat/>
    <w:pPr>
      <w:keepLines/>
      <w:keepNext/>
      <w:spacing w:before="240" w:after="64" w:line="320" w:lineRule="auto"/>
      <w:outlineLvl w:val="7"/>
    </w:pPr>
    <w:rPr>
      <w:rFonts w:ascii="Arial" w:hAnsi="Arial" w:eastAsia="黑体"/>
      <w:b w:val="0"/>
      <w:position w:val="0"/>
      <w:szCs w:val="24"/>
    </w:rPr>
  </w:style>
  <w:style w:type="paragraph" w:styleId="954">
    <w:name w:val="Heading 9"/>
    <w:basedOn w:val="945"/>
    <w:next w:val="945"/>
    <w:link w:val="1033"/>
    <w:qFormat/>
    <w:pPr>
      <w:keepLines/>
      <w:keepNext/>
      <w:spacing w:before="240" w:after="64" w:line="320" w:lineRule="auto"/>
      <w:outlineLvl w:val="8"/>
    </w:pPr>
    <w:rPr>
      <w:rFonts w:ascii="Arial" w:hAnsi="Arial" w:eastAsia="黑体"/>
      <w:b w:val="0"/>
      <w:position w:val="0"/>
      <w:sz w:val="21"/>
      <w:szCs w:val="21"/>
    </w:rPr>
  </w:style>
  <w:style w:type="character" w:styleId="955" w:default="1">
    <w:name w:val="Default Paragraph Font"/>
    <w:uiPriority w:val="1"/>
    <w:semiHidden/>
    <w:unhideWhenUsed/>
  </w:style>
  <w:style w:type="table" w:styleId="956" w:default="1">
    <w:name w:val="Normal Table"/>
    <w:uiPriority w:val="99"/>
    <w:semiHidden/>
    <w:unhideWhenUsed/>
    <w:tblPr>
      <w:tblInd w:w="0" w:type="dxa"/>
      <w:tblCellMar>
        <w:left w:w="108" w:type="dxa"/>
        <w:top w:w="0" w:type="dxa"/>
        <w:right w:w="108" w:type="dxa"/>
        <w:bottom w:w="0" w:type="dxa"/>
      </w:tblCellMar>
    </w:tblPr>
  </w:style>
  <w:style w:type="numbering" w:styleId="957" w:default="1">
    <w:name w:val="No List"/>
    <w:uiPriority w:val="99"/>
    <w:semiHidden/>
    <w:unhideWhenUsed/>
  </w:style>
  <w:style w:type="paragraph" w:styleId="958">
    <w:name w:val="Normal Indent"/>
    <w:basedOn w:val="945"/>
    <w:qFormat/>
    <w:pPr>
      <w:ind w:firstLine="420"/>
    </w:pPr>
    <w:rPr>
      <w:rFonts w:ascii="Times New Roman"/>
    </w:rPr>
  </w:style>
  <w:style w:type="paragraph" w:styleId="959">
    <w:name w:val="List 3"/>
    <w:basedOn w:val="945"/>
    <w:qFormat/>
    <w:pPr>
      <w:ind w:left="1260" w:hanging="420"/>
    </w:pPr>
    <w:rPr>
      <w:rFonts w:ascii="Calibri" w:hAnsi="Calibri" w:eastAsia="Calibri" w:cs="宋体"/>
      <w:b w:val="0"/>
      <w:position w:val="0"/>
      <w:sz w:val="20"/>
      <w:lang w:val="zh-CN"/>
    </w:rPr>
  </w:style>
  <w:style w:type="paragraph" w:styleId="960">
    <w:name w:val="toc 7"/>
    <w:basedOn w:val="945"/>
    <w:next w:val="945"/>
    <w:qFormat/>
    <w:pPr>
      <w:ind w:left="1260"/>
      <w:jc w:val="left"/>
    </w:pPr>
    <w:rPr>
      <w:rFonts w:ascii="Calibri" w:hAnsi="Calibri" w:eastAsia="Calibri" w:cs="宋体"/>
      <w:b w:val="0"/>
      <w:position w:val="0"/>
      <w:sz w:val="18"/>
      <w:lang w:val="zh-CN"/>
    </w:rPr>
  </w:style>
  <w:style w:type="paragraph" w:styleId="961">
    <w:name w:val="List Number 2"/>
    <w:basedOn w:val="94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62">
    <w:name w:val="index 8"/>
    <w:basedOn w:val="945"/>
    <w:next w:val="945"/>
    <w:qFormat/>
    <w:pPr>
      <w:ind w:left="2940"/>
    </w:pPr>
    <w:rPr>
      <w:rFonts w:ascii="Calibri" w:hAnsi="Calibri" w:eastAsia="Calibri" w:cs="宋体"/>
      <w:b w:val="0"/>
      <w:position w:val="0"/>
      <w:sz w:val="20"/>
      <w:lang w:val="zh-CN"/>
    </w:rPr>
  </w:style>
  <w:style w:type="paragraph" w:styleId="963">
    <w:name w:val="List Number"/>
    <w:basedOn w:val="945"/>
    <w:qFormat/>
    <w:pPr>
      <w:ind w:left="2952" w:hanging="432"/>
      <w:tabs>
        <w:tab w:val="left" w:pos="2952" w:leader="none"/>
      </w:tabs>
    </w:pPr>
    <w:rPr>
      <w:rFonts w:ascii="Calibri" w:hAnsi="Calibri" w:eastAsia="Calibri" w:cs="宋体"/>
      <w:b w:val="0"/>
      <w:position w:val="0"/>
      <w:sz w:val="20"/>
      <w:szCs w:val="24"/>
      <w:lang w:val="zh-CN"/>
    </w:rPr>
  </w:style>
  <w:style w:type="paragraph" w:styleId="964">
    <w:name w:val="index 5"/>
    <w:basedOn w:val="945"/>
    <w:next w:val="945"/>
    <w:qFormat/>
    <w:pPr>
      <w:ind w:left="1680"/>
    </w:pPr>
    <w:rPr>
      <w:rFonts w:ascii="Calibri" w:hAnsi="Calibri" w:eastAsia="Calibri" w:cs="宋体"/>
      <w:b w:val="0"/>
      <w:position w:val="0"/>
      <w:sz w:val="20"/>
      <w:lang w:val="zh-CN"/>
    </w:rPr>
  </w:style>
  <w:style w:type="paragraph" w:styleId="965">
    <w:name w:val="List Bullet"/>
    <w:basedOn w:val="945"/>
    <w:qFormat/>
    <w:pPr>
      <w:ind w:left="360" w:hanging="360"/>
      <w:tabs>
        <w:tab w:val="left" w:pos="360" w:leader="none"/>
      </w:tabs>
    </w:pPr>
    <w:rPr>
      <w:rFonts w:ascii="Times New Roman"/>
      <w:szCs w:val="24"/>
    </w:rPr>
  </w:style>
  <w:style w:type="paragraph" w:styleId="966">
    <w:name w:val="Document Map"/>
    <w:basedOn w:val="945"/>
    <w:link w:val="1034"/>
    <w:qFormat/>
    <w:pPr>
      <w:shd w:val="clear" w:color="auto" w:fill="000080"/>
    </w:pPr>
    <w:rPr>
      <w:rFonts w:ascii="Times New Roman"/>
    </w:rPr>
  </w:style>
  <w:style w:type="paragraph" w:styleId="967">
    <w:name w:val="annotation text"/>
    <w:basedOn w:val="945"/>
    <w:link w:val="1035"/>
    <w:qFormat/>
    <w:pPr>
      <w:jc w:val="left"/>
    </w:pPr>
    <w:rPr>
      <w:rFonts w:ascii="Times New Roman" w:eastAsia="仿宋_GB2312"/>
      <w:b w:val="0"/>
      <w:position w:val="0"/>
    </w:rPr>
  </w:style>
  <w:style w:type="paragraph" w:styleId="968">
    <w:name w:val="index 6"/>
    <w:basedOn w:val="945"/>
    <w:next w:val="945"/>
    <w:qFormat/>
    <w:pPr>
      <w:ind w:left="2100"/>
    </w:pPr>
    <w:rPr>
      <w:rFonts w:ascii="Calibri" w:hAnsi="Calibri" w:eastAsia="Calibri" w:cs="宋体"/>
      <w:b w:val="0"/>
      <w:position w:val="0"/>
      <w:sz w:val="20"/>
      <w:lang w:val="zh-CN"/>
    </w:rPr>
  </w:style>
  <w:style w:type="paragraph" w:styleId="969">
    <w:name w:val="Salutation"/>
    <w:basedOn w:val="945"/>
    <w:next w:val="945"/>
    <w:link w:val="1036"/>
    <w:qFormat/>
    <w:rPr>
      <w:rFonts w:ascii="仿宋_GB2312" w:hAnsi="Calibri" w:eastAsia="仿宋_GB2312"/>
      <w:b w:val="0"/>
      <w:position w:val="0"/>
      <w:sz w:val="28"/>
      <w:lang w:val="zh-CN"/>
    </w:rPr>
  </w:style>
  <w:style w:type="paragraph" w:styleId="970">
    <w:name w:val="Body Text 3"/>
    <w:basedOn w:val="945"/>
    <w:link w:val="1037"/>
    <w:qFormat/>
    <w:rPr>
      <w:rFonts w:ascii="仿宋_GB2312" w:hAnsi="Arial" w:eastAsia="仿宋_GB2312"/>
      <w:b w:val="0"/>
      <w:position w:val="0"/>
      <w:sz w:val="32"/>
      <w:lang w:val="zh-CN"/>
    </w:rPr>
  </w:style>
  <w:style w:type="paragraph" w:styleId="971">
    <w:name w:val="Body Text"/>
    <w:basedOn w:val="945"/>
    <w:link w:val="1025"/>
    <w:qFormat/>
    <w:rPr>
      <w:rFonts w:ascii="楷体_GB2312" w:hAnsi="Arial" w:eastAsia="楷体_GB2312"/>
      <w:sz w:val="28"/>
      <w:szCs w:val="28"/>
    </w:rPr>
  </w:style>
  <w:style w:type="paragraph" w:styleId="972">
    <w:name w:val="Body Text Indent"/>
    <w:basedOn w:val="945"/>
    <w:next w:val="973"/>
    <w:link w:val="1038"/>
    <w:qFormat/>
    <w:pPr>
      <w:ind w:left="420"/>
      <w:spacing w:after="120"/>
    </w:pPr>
    <w:rPr>
      <w:rFonts w:ascii="Times New Roman"/>
    </w:rPr>
  </w:style>
  <w:style w:type="paragraph" w:styleId="973">
    <w:name w:val="envelope return"/>
    <w:basedOn w:val="945"/>
    <w:qFormat/>
    <w:rPr>
      <w:rFonts w:ascii="Arial" w:hAnsi="Arial" w:cs="宋体"/>
    </w:rPr>
  </w:style>
  <w:style w:type="paragraph" w:styleId="974">
    <w:name w:val="List 2"/>
    <w:basedOn w:val="945"/>
    <w:semiHidden/>
    <w:unhideWhenUsed/>
    <w:qFormat/>
    <w:pPr>
      <w:contextualSpacing/>
      <w:ind w:left="100" w:hanging="200"/>
    </w:pPr>
  </w:style>
  <w:style w:type="paragraph" w:styleId="975">
    <w:name w:val="Block Text"/>
    <w:basedOn w:val="945"/>
    <w:qFormat/>
    <w:pPr>
      <w:ind w:left="735" w:right="-332" w:hanging="46"/>
      <w:spacing w:line="360" w:lineRule="auto"/>
    </w:pPr>
    <w:rPr>
      <w:b w:val="0"/>
      <w:bCs/>
      <w:color w:val="000000"/>
      <w:position w:val="0"/>
    </w:rPr>
  </w:style>
  <w:style w:type="paragraph" w:styleId="976">
    <w:name w:val="index 4"/>
    <w:basedOn w:val="945"/>
    <w:next w:val="945"/>
    <w:uiPriority w:val="99"/>
    <w:unhideWhenUsed/>
    <w:qFormat/>
    <w:pPr>
      <w:ind w:left="600"/>
    </w:pPr>
  </w:style>
  <w:style w:type="paragraph" w:styleId="977">
    <w:name w:val="toc 5"/>
    <w:basedOn w:val="945"/>
    <w:next w:val="945"/>
    <w:qFormat/>
    <w:pPr>
      <w:ind w:left="840"/>
      <w:jc w:val="left"/>
    </w:pPr>
    <w:rPr>
      <w:rFonts w:ascii="Calibri" w:hAnsi="Calibri" w:eastAsia="Calibri" w:cs="宋体"/>
      <w:b w:val="0"/>
      <w:position w:val="0"/>
      <w:sz w:val="18"/>
      <w:lang w:val="zh-CN"/>
    </w:rPr>
  </w:style>
  <w:style w:type="paragraph" w:styleId="978">
    <w:name w:val="toc 3"/>
    <w:basedOn w:val="945"/>
    <w:next w:val="945"/>
    <w:uiPriority w:val="39"/>
    <w:qFormat/>
    <w:pPr>
      <w:ind w:left="840"/>
    </w:pPr>
    <w:rPr>
      <w:rFonts w:ascii="Times New Roman"/>
    </w:rPr>
  </w:style>
  <w:style w:type="paragraph" w:styleId="979">
    <w:name w:val="Plain Text"/>
    <w:basedOn w:val="945"/>
    <w:link w:val="1039"/>
    <w:qFormat/>
    <w:rPr>
      <w:rFonts w:hAnsi="Courier New" w:cs="Courier New"/>
      <w:b w:val="0"/>
      <w:position w:val="0"/>
      <w:sz w:val="21"/>
      <w:szCs w:val="21"/>
    </w:rPr>
  </w:style>
  <w:style w:type="paragraph" w:styleId="980">
    <w:name w:val="toc 8"/>
    <w:basedOn w:val="945"/>
    <w:next w:val="945"/>
    <w:qFormat/>
    <w:pPr>
      <w:ind w:left="1470"/>
      <w:jc w:val="left"/>
    </w:pPr>
    <w:rPr>
      <w:rFonts w:ascii="Calibri" w:hAnsi="Calibri" w:eastAsia="Calibri" w:cs="宋体"/>
      <w:b w:val="0"/>
      <w:position w:val="0"/>
      <w:sz w:val="18"/>
      <w:lang w:val="zh-CN"/>
    </w:rPr>
  </w:style>
  <w:style w:type="paragraph" w:styleId="981">
    <w:name w:val="index 3"/>
    <w:basedOn w:val="945"/>
    <w:next w:val="945"/>
    <w:qFormat/>
    <w:pPr>
      <w:ind w:left="840"/>
    </w:pPr>
    <w:rPr>
      <w:rFonts w:ascii="Calibri" w:hAnsi="Calibri" w:eastAsia="Calibri" w:cs="宋体"/>
      <w:b w:val="0"/>
      <w:position w:val="0"/>
      <w:sz w:val="20"/>
      <w:lang w:val="zh-CN"/>
    </w:rPr>
  </w:style>
  <w:style w:type="paragraph" w:styleId="982">
    <w:name w:val="Date"/>
    <w:basedOn w:val="945"/>
    <w:next w:val="945"/>
    <w:link w:val="1382"/>
    <w:qFormat/>
    <w:rPr>
      <w:rFonts w:ascii="Times New Roman"/>
      <w:szCs w:val="24"/>
    </w:rPr>
  </w:style>
  <w:style w:type="paragraph" w:styleId="983">
    <w:name w:val="Body Text Indent 2"/>
    <w:basedOn w:val="945"/>
    <w:link w:val="1040"/>
    <w:qFormat/>
    <w:pPr>
      <w:ind w:left="630" w:firstLine="645"/>
    </w:pPr>
    <w:rPr>
      <w:rFonts w:ascii="Arial" w:hAnsi="Arial" w:eastAsia="仿宋_GB2312"/>
      <w:b w:val="0"/>
      <w:position w:val="0"/>
      <w:sz w:val="32"/>
    </w:rPr>
  </w:style>
  <w:style w:type="paragraph" w:styleId="984">
    <w:name w:val="endnote text"/>
    <w:basedOn w:val="945"/>
    <w:link w:val="1041"/>
    <w:qFormat/>
    <w:pPr>
      <w:jc w:val="left"/>
    </w:pPr>
    <w:rPr>
      <w:rFonts w:ascii="Calibri" w:hAnsi="Calibri" w:eastAsia="Calibri"/>
      <w:b w:val="0"/>
      <w:position w:val="0"/>
      <w:sz w:val="20"/>
      <w:szCs w:val="24"/>
      <w:lang w:val="zh-CN"/>
    </w:rPr>
  </w:style>
  <w:style w:type="paragraph" w:styleId="985">
    <w:name w:val="Balloon Text"/>
    <w:basedOn w:val="945"/>
    <w:link w:val="1383"/>
    <w:qFormat/>
    <w:rPr>
      <w:rFonts w:ascii="Times New Roman"/>
      <w:sz w:val="18"/>
      <w:szCs w:val="18"/>
    </w:rPr>
  </w:style>
  <w:style w:type="paragraph" w:styleId="986">
    <w:name w:val="Footer"/>
    <w:basedOn w:val="945"/>
    <w:link w:val="1042"/>
    <w:uiPriority w:val="99"/>
    <w:qFormat/>
    <w:pPr>
      <w:ind w:left="482"/>
      <w:jc w:val="center"/>
      <w:tabs>
        <w:tab w:val="center" w:pos="8222" w:leader="none"/>
        <w:tab w:val="right" w:pos="8306" w:leader="none"/>
      </w:tabs>
    </w:pPr>
    <w:rPr>
      <w:rFonts w:ascii="Times New Roman"/>
      <w:sz w:val="18"/>
      <w:szCs w:val="18"/>
    </w:rPr>
  </w:style>
  <w:style w:type="paragraph" w:styleId="987">
    <w:name w:val="Header"/>
    <w:basedOn w:val="945"/>
    <w:link w:val="138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88">
    <w:name w:val="Signature"/>
    <w:basedOn w:val="945"/>
    <w:link w:val="1043"/>
    <w:qFormat/>
    <w:pPr>
      <w:jc w:val="center"/>
      <w:spacing w:after="600" w:line="312" w:lineRule="atLeast"/>
    </w:pPr>
    <w:rPr>
      <w:rFonts w:ascii="Calibri" w:hAnsi="Calibri" w:eastAsia="仿宋_GB2312"/>
      <w:b w:val="0"/>
      <w:position w:val="0"/>
      <w:lang w:val="zh-CN"/>
    </w:rPr>
  </w:style>
  <w:style w:type="paragraph" w:styleId="989">
    <w:name w:val="toc 1"/>
    <w:basedOn w:val="945"/>
    <w:next w:val="945"/>
    <w:uiPriority w:val="39"/>
    <w:qFormat/>
    <w:rPr>
      <w:rFonts w:ascii="Times New Roman"/>
    </w:rPr>
  </w:style>
  <w:style w:type="paragraph" w:styleId="990">
    <w:name w:val="toc 4"/>
    <w:basedOn w:val="945"/>
    <w:next w:val="945"/>
    <w:qFormat/>
    <w:pPr>
      <w:ind w:left="630"/>
      <w:jc w:val="left"/>
    </w:pPr>
    <w:rPr>
      <w:rFonts w:ascii="Calibri" w:hAnsi="Calibri" w:eastAsia="Calibri" w:cs="宋体"/>
      <w:b w:val="0"/>
      <w:position w:val="0"/>
      <w:sz w:val="18"/>
      <w:lang w:val="zh-CN"/>
    </w:rPr>
  </w:style>
  <w:style w:type="paragraph" w:styleId="991">
    <w:name w:val="index heading"/>
    <w:basedOn w:val="945"/>
    <w:next w:val="992"/>
    <w:qFormat/>
    <w:rPr>
      <w:rFonts w:ascii="Calibri" w:hAnsi="Calibri" w:eastAsia="Calibri" w:cs="宋体"/>
      <w:b w:val="0"/>
      <w:position w:val="0"/>
      <w:sz w:val="20"/>
      <w:lang w:val="zh-CN"/>
    </w:rPr>
  </w:style>
  <w:style w:type="paragraph" w:styleId="992">
    <w:name w:val="index 1"/>
    <w:basedOn w:val="945"/>
    <w:next w:val="945"/>
    <w:qFormat/>
    <w:rPr>
      <w:rFonts w:ascii="仿宋_GB2312" w:hAnsi="宋体" w:eastAsia="仿宋_GB2312" w:cs="宋体"/>
      <w:b w:val="0"/>
      <w:position w:val="0"/>
      <w:sz w:val="30"/>
      <w:szCs w:val="24"/>
      <w:lang w:val="zh-CN"/>
    </w:rPr>
  </w:style>
  <w:style w:type="paragraph" w:styleId="993">
    <w:name w:val="Subtitle"/>
    <w:basedOn w:val="945"/>
    <w:next w:val="945"/>
    <w:link w:val="1044"/>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94">
    <w:name w:val="footnote text"/>
    <w:basedOn w:val="945"/>
    <w:link w:val="1045"/>
    <w:qFormat/>
    <w:pPr>
      <w:jc w:val="left"/>
    </w:pPr>
    <w:rPr>
      <w:rFonts w:ascii="Calibri" w:hAnsi="Calibri" w:eastAsia="Calibri"/>
      <w:b w:val="0"/>
      <w:position w:val="0"/>
      <w:sz w:val="18"/>
      <w:szCs w:val="18"/>
      <w:lang w:val="zh-CN"/>
    </w:rPr>
  </w:style>
  <w:style w:type="paragraph" w:styleId="995">
    <w:name w:val="toc 6"/>
    <w:basedOn w:val="945"/>
    <w:next w:val="945"/>
    <w:qFormat/>
    <w:pPr>
      <w:ind w:left="1050"/>
      <w:jc w:val="left"/>
    </w:pPr>
    <w:rPr>
      <w:rFonts w:ascii="Calibri" w:hAnsi="Calibri" w:eastAsia="Calibri" w:cs="宋体"/>
      <w:b w:val="0"/>
      <w:position w:val="0"/>
      <w:sz w:val="18"/>
      <w:lang w:val="zh-CN"/>
    </w:rPr>
  </w:style>
  <w:style w:type="paragraph" w:styleId="996">
    <w:name w:val="Body Text Indent 3"/>
    <w:basedOn w:val="945"/>
    <w:link w:val="1046"/>
    <w:qFormat/>
    <w:pPr>
      <w:ind w:left="420"/>
      <w:spacing w:after="120"/>
    </w:pPr>
    <w:rPr>
      <w:rFonts w:ascii="Times New Roman"/>
      <w:sz w:val="16"/>
      <w:szCs w:val="16"/>
    </w:rPr>
  </w:style>
  <w:style w:type="paragraph" w:styleId="997">
    <w:name w:val="index 7"/>
    <w:basedOn w:val="945"/>
    <w:next w:val="945"/>
    <w:qFormat/>
    <w:pPr>
      <w:ind w:left="2520"/>
    </w:pPr>
    <w:rPr>
      <w:rFonts w:ascii="Calibri" w:hAnsi="Calibri" w:eastAsia="Calibri" w:cs="宋体"/>
      <w:b w:val="0"/>
      <w:position w:val="0"/>
      <w:sz w:val="20"/>
      <w:lang w:val="zh-CN"/>
    </w:rPr>
  </w:style>
  <w:style w:type="paragraph" w:styleId="998">
    <w:name w:val="index 9"/>
    <w:basedOn w:val="945"/>
    <w:next w:val="945"/>
    <w:qFormat/>
    <w:pPr>
      <w:ind w:left="3360"/>
    </w:pPr>
    <w:rPr>
      <w:rFonts w:ascii="Calibri" w:hAnsi="Calibri" w:eastAsia="Calibri" w:cs="宋体"/>
      <w:b w:val="0"/>
      <w:position w:val="0"/>
      <w:sz w:val="20"/>
      <w:lang w:val="zh-CN"/>
    </w:rPr>
  </w:style>
  <w:style w:type="paragraph" w:styleId="999">
    <w:name w:val="table of figures"/>
    <w:basedOn w:val="945"/>
    <w:next w:val="945"/>
    <w:qFormat/>
    <w:pPr>
      <w:ind w:left="840" w:hanging="420"/>
    </w:pPr>
    <w:rPr>
      <w:rFonts w:ascii="Calibri" w:hAnsi="Calibri" w:eastAsia="Calibri" w:cs="宋体"/>
      <w:b w:val="0"/>
      <w:position w:val="0"/>
      <w:sz w:val="20"/>
      <w:lang w:val="zh-CN"/>
    </w:rPr>
  </w:style>
  <w:style w:type="paragraph" w:styleId="1000">
    <w:name w:val="toc 2"/>
    <w:basedOn w:val="945"/>
    <w:next w:val="945"/>
    <w:uiPriority w:val="39"/>
    <w:qFormat/>
    <w:pPr>
      <w:ind w:left="420"/>
    </w:pPr>
    <w:rPr>
      <w:rFonts w:ascii="Times New Roman"/>
    </w:rPr>
  </w:style>
  <w:style w:type="paragraph" w:styleId="1001">
    <w:name w:val="toc 9"/>
    <w:basedOn w:val="945"/>
    <w:next w:val="945"/>
    <w:qFormat/>
    <w:pPr>
      <w:ind w:left="1680"/>
      <w:jc w:val="left"/>
    </w:pPr>
    <w:rPr>
      <w:rFonts w:ascii="Calibri" w:hAnsi="Calibri" w:eastAsia="Calibri" w:cs="宋体"/>
      <w:b w:val="0"/>
      <w:position w:val="0"/>
      <w:sz w:val="18"/>
      <w:lang w:val="zh-CN"/>
    </w:rPr>
  </w:style>
  <w:style w:type="paragraph" w:styleId="1002">
    <w:name w:val="Body Text 2"/>
    <w:basedOn w:val="945"/>
    <w:link w:val="1047"/>
    <w:qFormat/>
    <w:pPr>
      <w:jc w:val="center"/>
      <w:widowControl/>
    </w:pPr>
    <w:rPr>
      <w:rFonts w:ascii="楷体_GB2312" w:hAnsi="Calibri" w:eastAsia="楷体_GB2312"/>
      <w:b w:val="0"/>
      <w:position w:val="0"/>
      <w:sz w:val="28"/>
      <w:lang w:val="zh-CN"/>
    </w:rPr>
  </w:style>
  <w:style w:type="paragraph" w:styleId="1003">
    <w:name w:val="HTML Preformatted"/>
    <w:basedOn w:val="945"/>
    <w:link w:val="10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04">
    <w:name w:val="Normal (Web)"/>
    <w:basedOn w:val="945"/>
    <w:qFormat/>
    <w:pPr>
      <w:jc w:val="left"/>
      <w:spacing w:before="100" w:beforeAutospacing="1" w:after="100" w:afterAutospacing="1"/>
      <w:widowControl/>
    </w:pPr>
    <w:rPr>
      <w:rFonts w:hAnsi="宋体" w:cs="宋体"/>
      <w:szCs w:val="24"/>
    </w:rPr>
  </w:style>
  <w:style w:type="paragraph" w:styleId="1005">
    <w:name w:val="index 2"/>
    <w:basedOn w:val="945"/>
    <w:next w:val="945"/>
    <w:qFormat/>
    <w:pPr>
      <w:ind w:left="420"/>
    </w:pPr>
    <w:rPr>
      <w:rFonts w:ascii="Calibri" w:hAnsi="Calibri" w:eastAsia="Calibri" w:cs="宋体"/>
      <w:b w:val="0"/>
      <w:position w:val="0"/>
      <w:sz w:val="20"/>
      <w:lang w:val="zh-CN"/>
    </w:rPr>
  </w:style>
  <w:style w:type="paragraph" w:styleId="1006">
    <w:name w:val="Title"/>
    <w:basedOn w:val="945"/>
    <w:link w:val="1049"/>
    <w:qFormat/>
    <w:pPr>
      <w:jc w:val="center"/>
      <w:spacing w:line="420" w:lineRule="exact"/>
      <w:widowControl/>
    </w:pPr>
    <w:rPr>
      <w:rFonts w:ascii="Times New Roman" w:eastAsia="黑体"/>
      <w:position w:val="0"/>
      <w:sz w:val="28"/>
      <w:lang w:val="en-GB"/>
    </w:rPr>
  </w:style>
  <w:style w:type="paragraph" w:styleId="1007">
    <w:name w:val="annotation subject"/>
    <w:basedOn w:val="967"/>
    <w:next w:val="967"/>
    <w:link w:val="1050"/>
    <w:qFormat/>
    <w:rPr>
      <w:rFonts w:ascii="宋体"/>
      <w:b/>
      <w:bCs/>
      <w:position w:val="-10"/>
    </w:rPr>
  </w:style>
  <w:style w:type="paragraph" w:styleId="1008">
    <w:name w:val="Body Text First Indent"/>
    <w:basedOn w:val="971"/>
    <w:link w:val="1051"/>
    <w:qFormat/>
    <w:pPr>
      <w:ind w:firstLine="420"/>
      <w:spacing w:after="120"/>
    </w:pPr>
    <w:rPr>
      <w:b w:val="0"/>
      <w:sz w:val="21"/>
      <w:szCs w:val="24"/>
      <w:lang w:val="zh-CN"/>
    </w:rPr>
  </w:style>
  <w:style w:type="paragraph" w:styleId="1009">
    <w:name w:val="Body Text First Indent 2"/>
    <w:basedOn w:val="972"/>
    <w:next w:val="945"/>
    <w:link w:val="1388"/>
    <w:unhideWhenUsed/>
    <w:qFormat/>
    <w:pPr>
      <w:ind w:left="0"/>
      <w:spacing w:after="0" w:line="360" w:lineRule="auto"/>
    </w:pPr>
    <w:rPr>
      <w:rFonts w:ascii="宋体" w:hAnsi="宋体" w:cs="宋体"/>
      <w:szCs w:val="24"/>
    </w:rPr>
  </w:style>
  <w:style w:type="table" w:styleId="1010">
    <w:name w:val="Table Grid"/>
    <w:basedOn w:val="95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name w:val="Strong"/>
    <w:qFormat/>
    <w:rPr>
      <w:rFonts w:ascii="Times New Roman" w:hAnsi="Times New Roman" w:eastAsia="宋体" w:cs="Times New Roman"/>
      <w:b/>
      <w:bCs/>
    </w:rPr>
  </w:style>
  <w:style w:type="character" w:styleId="1012">
    <w:name w:val="endnote reference"/>
    <w:qFormat/>
    <w:rPr>
      <w:vertAlign w:val="superscript"/>
    </w:rPr>
  </w:style>
  <w:style w:type="character" w:styleId="1013">
    <w:name w:val="page number"/>
    <w:basedOn w:val="955"/>
    <w:qFormat/>
    <w:rPr>
      <w:rFonts w:ascii="Times New Roman" w:hAnsi="Times New Roman" w:eastAsia="宋体" w:cs="Times New Roman"/>
    </w:rPr>
  </w:style>
  <w:style w:type="character" w:styleId="1014">
    <w:name w:val="FollowedHyperlink"/>
    <w:qFormat/>
    <w:rPr>
      <w:rFonts w:ascii="Times New Roman" w:hAnsi="Times New Roman" w:eastAsia="宋体" w:cs="Times New Roman"/>
      <w:color w:val="800080"/>
      <w:u w:val="none"/>
    </w:rPr>
  </w:style>
  <w:style w:type="character" w:styleId="1015">
    <w:name w:val="Emphasis"/>
    <w:qFormat/>
    <w:rPr>
      <w:rFonts w:ascii="Times New Roman" w:hAnsi="Times New Roman" w:eastAsia="宋体" w:cs="Times New Roman"/>
      <w:i/>
    </w:rPr>
  </w:style>
  <w:style w:type="character" w:styleId="1016">
    <w:name w:val="line number"/>
    <w:qFormat/>
  </w:style>
  <w:style w:type="character" w:styleId="1017">
    <w:name w:val="HTML Typewriter"/>
    <w:qFormat/>
    <w:rPr>
      <w:rFonts w:ascii="宋体" w:hAnsi="宋体" w:eastAsia="宋体" w:cs="宋体"/>
      <w:sz w:val="24"/>
      <w:szCs w:val="24"/>
    </w:rPr>
  </w:style>
  <w:style w:type="character" w:styleId="1018">
    <w:name w:val="Hyperlink"/>
    <w:uiPriority w:val="99"/>
    <w:qFormat/>
    <w:rPr>
      <w:rFonts w:ascii="Times New Roman" w:hAnsi="Times New Roman" w:eastAsia="宋体" w:cs="Times New Roman"/>
      <w:color w:val="0000ff"/>
      <w:u w:val="none"/>
    </w:rPr>
  </w:style>
  <w:style w:type="character" w:styleId="1019">
    <w:name w:val="annotation reference"/>
    <w:qFormat/>
    <w:rPr>
      <w:rFonts w:ascii="Times New Roman" w:hAnsi="Times New Roman" w:eastAsia="宋体" w:cs="Times New Roman"/>
      <w:sz w:val="21"/>
      <w:szCs w:val="21"/>
    </w:rPr>
  </w:style>
  <w:style w:type="character" w:styleId="1020">
    <w:name w:val="footnote reference"/>
    <w:qFormat/>
    <w:rPr>
      <w:vertAlign w:val="superscript"/>
    </w:rPr>
  </w:style>
  <w:style w:type="character" w:styleId="1021">
    <w:name w:val="HTML Sample"/>
    <w:qFormat/>
    <w:rPr>
      <w:rFonts w:ascii="Courier New" w:hAnsi="宋体" w:eastAsia="宋体" w:cs="Courier New"/>
    </w:rPr>
  </w:style>
  <w:style w:type="character" w:styleId="1022" w:customStyle="1">
    <w:name w:val="标题 1 字符"/>
    <w:link w:val="946"/>
    <w:qFormat/>
    <w:rPr>
      <w:rFonts w:ascii="楷体_GB2312" w:hAnsi="Times New Roman" w:eastAsia="楷体_GB2312" w:cs="Times New Roman"/>
      <w:sz w:val="28"/>
      <w:szCs w:val="28"/>
    </w:rPr>
  </w:style>
  <w:style w:type="paragraph" w:styleId="1023" w:customStyle="1">
    <w:name w:val="标题3"/>
    <w:basedOn w:val="94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24" w:customStyle="1">
    <w:name w:val="段"/>
    <w:next w:val="945"/>
    <w:qFormat/>
    <w:pPr>
      <w:ind w:firstLine="200"/>
      <w:jc w:val="both"/>
    </w:pPr>
    <w:rPr>
      <w:rFonts w:ascii="宋体"/>
      <w:sz w:val="21"/>
    </w:rPr>
  </w:style>
  <w:style w:type="character" w:styleId="1025" w:customStyle="1">
    <w:name w:val="正文文本 字符"/>
    <w:link w:val="971"/>
    <w:qFormat/>
    <w:rPr>
      <w:rFonts w:ascii="楷体_GB2312" w:hAnsi="Arial" w:eastAsia="楷体_GB2312" w:cs="Times New Roman"/>
      <w:b/>
      <w:position w:val="-10"/>
      <w:sz w:val="28"/>
      <w:szCs w:val="28"/>
    </w:rPr>
  </w:style>
  <w:style w:type="character" w:styleId="1026" w:customStyle="1">
    <w:name w:val="标题 2 字符"/>
    <w:link w:val="947"/>
    <w:qFormat/>
    <w:rPr>
      <w:rFonts w:ascii="Arial" w:hAnsi="Arial" w:eastAsia="幼圆" w:cs="Arial"/>
      <w:bCs/>
      <w:position w:val="-10"/>
      <w:sz w:val="44"/>
      <w:szCs w:val="44"/>
    </w:rPr>
  </w:style>
  <w:style w:type="character" w:styleId="1027" w:customStyle="1">
    <w:name w:val="标题 3 字符"/>
    <w:link w:val="948"/>
    <w:uiPriority w:val="9"/>
    <w:qFormat/>
    <w:rPr>
      <w:bCs/>
      <w:position w:val="-10"/>
      <w:sz w:val="32"/>
      <w:szCs w:val="32"/>
    </w:rPr>
  </w:style>
  <w:style w:type="character" w:styleId="1028" w:customStyle="1">
    <w:name w:val="标题 4 字符"/>
    <w:link w:val="949"/>
    <w:qFormat/>
    <w:rPr>
      <w:rFonts w:ascii="Arial" w:hAnsi="Arial" w:eastAsia="黑体" w:cs="Arial"/>
      <w:bCs/>
      <w:position w:val="-10"/>
      <w:sz w:val="28"/>
      <w:szCs w:val="28"/>
    </w:rPr>
  </w:style>
  <w:style w:type="character" w:styleId="1029" w:customStyle="1">
    <w:name w:val="标题 5 字符"/>
    <w:link w:val="950"/>
    <w:qFormat/>
    <w:rPr>
      <w:rFonts w:ascii="黑体" w:hAnsi="Times New Roman" w:eastAsia="黑体" w:cs="Times New Roman"/>
      <w:b/>
      <w:color w:val="000000"/>
      <w:sz w:val="28"/>
    </w:rPr>
  </w:style>
  <w:style w:type="character" w:styleId="1030" w:customStyle="1">
    <w:name w:val="标题 6 字符"/>
    <w:link w:val="951"/>
    <w:qFormat/>
    <w:rPr>
      <w:rFonts w:ascii="Arial" w:hAnsi="Arial" w:eastAsia="黑体" w:cs="Times New Roman"/>
      <w:b/>
      <w:bCs/>
      <w:sz w:val="24"/>
      <w:szCs w:val="24"/>
    </w:rPr>
  </w:style>
  <w:style w:type="character" w:styleId="1031" w:customStyle="1">
    <w:name w:val="标题 7 字符"/>
    <w:link w:val="952"/>
    <w:qFormat/>
    <w:rPr>
      <w:rFonts w:ascii="Times New Roman" w:hAnsi="Times New Roman" w:eastAsia="宋体" w:cs="Times New Roman"/>
      <w:b/>
      <w:bCs/>
      <w:sz w:val="24"/>
      <w:szCs w:val="24"/>
    </w:rPr>
  </w:style>
  <w:style w:type="character" w:styleId="1032" w:customStyle="1">
    <w:name w:val="标题 8 字符"/>
    <w:link w:val="953"/>
    <w:qFormat/>
    <w:rPr>
      <w:rFonts w:ascii="Arial" w:hAnsi="Arial" w:eastAsia="黑体" w:cs="Times New Roman"/>
      <w:sz w:val="24"/>
      <w:szCs w:val="24"/>
    </w:rPr>
  </w:style>
  <w:style w:type="character" w:styleId="1033" w:customStyle="1">
    <w:name w:val="标题 9 字符"/>
    <w:link w:val="954"/>
    <w:qFormat/>
    <w:rPr>
      <w:rFonts w:ascii="Arial" w:hAnsi="Arial" w:eastAsia="黑体" w:cs="Times New Roman"/>
      <w:sz w:val="21"/>
      <w:szCs w:val="21"/>
    </w:rPr>
  </w:style>
  <w:style w:type="character" w:styleId="1034" w:customStyle="1">
    <w:name w:val="文档结构图 字符"/>
    <w:link w:val="966"/>
    <w:qFormat/>
    <w:rPr>
      <w:b/>
      <w:position w:val="-10"/>
      <w:sz w:val="24"/>
      <w:shd w:val="clear" w:color="auto" w:fill="000080"/>
    </w:rPr>
  </w:style>
  <w:style w:type="character" w:styleId="1035" w:customStyle="1">
    <w:name w:val="批注文字 字符"/>
    <w:link w:val="967"/>
    <w:qFormat/>
    <w:rPr>
      <w:rFonts w:ascii="Times New Roman" w:hAnsi="Times New Roman" w:eastAsia="仿宋_GB2312" w:cs="Times New Roman"/>
      <w:sz w:val="24"/>
    </w:rPr>
  </w:style>
  <w:style w:type="character" w:styleId="1036" w:customStyle="1">
    <w:name w:val="称呼 字符"/>
    <w:link w:val="969"/>
    <w:qFormat/>
    <w:rPr>
      <w:rFonts w:ascii="仿宋_GB2312" w:hAnsi="Calibri" w:eastAsia="仿宋_GB2312" w:cs="宋体"/>
      <w:sz w:val="28"/>
      <w:lang w:val="zh-CN"/>
    </w:rPr>
  </w:style>
  <w:style w:type="character" w:styleId="1037" w:customStyle="1">
    <w:name w:val="正文文本 3 字符"/>
    <w:link w:val="970"/>
    <w:qFormat/>
    <w:rPr>
      <w:rFonts w:ascii="仿宋_GB2312" w:hAnsi="Arial" w:eastAsia="仿宋_GB2312" w:cs="宋体"/>
      <w:sz w:val="32"/>
      <w:lang w:val="zh-CN"/>
    </w:rPr>
  </w:style>
  <w:style w:type="character" w:styleId="1038" w:customStyle="1">
    <w:name w:val="正文文本缩进 字符"/>
    <w:link w:val="972"/>
    <w:qFormat/>
    <w:rPr>
      <w:b/>
      <w:position w:val="-10"/>
      <w:sz w:val="24"/>
    </w:rPr>
  </w:style>
  <w:style w:type="character" w:styleId="1039" w:customStyle="1">
    <w:name w:val="纯文本 字符"/>
    <w:link w:val="979"/>
    <w:qFormat/>
    <w:rPr>
      <w:rFonts w:ascii="宋体" w:hAnsi="Courier New" w:eastAsia="宋体" w:cs="Courier New"/>
      <w:sz w:val="21"/>
      <w:szCs w:val="21"/>
      <w:lang w:val="en-US" w:eastAsia="zh-CN" w:bidi="ar-SA"/>
    </w:rPr>
  </w:style>
  <w:style w:type="character" w:styleId="1040" w:customStyle="1">
    <w:name w:val="正文文本缩进 2 字符"/>
    <w:link w:val="983"/>
    <w:qFormat/>
    <w:rPr>
      <w:rFonts w:ascii="Arial" w:hAnsi="Arial" w:eastAsia="仿宋_GB2312"/>
      <w:sz w:val="32"/>
    </w:rPr>
  </w:style>
  <w:style w:type="character" w:styleId="1041" w:customStyle="1">
    <w:name w:val="尾注文本 字符"/>
    <w:link w:val="984"/>
    <w:qFormat/>
    <w:rPr>
      <w:rFonts w:ascii="Calibri" w:hAnsi="Calibri" w:eastAsia="Calibri" w:cs="宋体"/>
      <w:szCs w:val="24"/>
      <w:lang w:val="zh-CN"/>
    </w:rPr>
  </w:style>
  <w:style w:type="character" w:styleId="1042" w:customStyle="1">
    <w:name w:val="页脚 字符"/>
    <w:link w:val="986"/>
    <w:uiPriority w:val="99"/>
    <w:qFormat/>
    <w:rPr>
      <w:b/>
      <w:position w:val="-10"/>
      <w:sz w:val="18"/>
      <w:szCs w:val="18"/>
    </w:rPr>
  </w:style>
  <w:style w:type="character" w:styleId="1043" w:customStyle="1">
    <w:name w:val="签名 字符"/>
    <w:link w:val="988"/>
    <w:qFormat/>
    <w:rPr>
      <w:rFonts w:ascii="Calibri" w:hAnsi="Calibri" w:eastAsia="仿宋_GB2312" w:cs="宋体"/>
      <w:sz w:val="24"/>
      <w:lang w:val="zh-CN"/>
    </w:rPr>
  </w:style>
  <w:style w:type="character" w:styleId="1044" w:customStyle="1">
    <w:name w:val="副标题 字符"/>
    <w:link w:val="993"/>
    <w:qFormat/>
    <w:rPr>
      <w:rFonts w:ascii="Cambria" w:hAnsi="Cambria" w:eastAsia="Calibri" w:cs="宋体"/>
      <w:i/>
      <w:iCs/>
      <w:spacing w:val="13"/>
      <w:sz w:val="24"/>
      <w:szCs w:val="24"/>
      <w:lang w:val="zh-CN" w:eastAsia="en-US" w:bidi="en-US"/>
    </w:rPr>
  </w:style>
  <w:style w:type="character" w:styleId="1045" w:customStyle="1">
    <w:name w:val="脚注文本 字符"/>
    <w:link w:val="994"/>
    <w:qFormat/>
    <w:rPr>
      <w:rFonts w:ascii="Calibri" w:hAnsi="Calibri" w:eastAsia="Calibri" w:cs="宋体"/>
      <w:sz w:val="18"/>
      <w:szCs w:val="18"/>
      <w:lang w:val="zh-CN"/>
    </w:rPr>
  </w:style>
  <w:style w:type="character" w:styleId="1046" w:customStyle="1">
    <w:name w:val="正文文本缩进 3 字符"/>
    <w:link w:val="996"/>
    <w:qFormat/>
    <w:rPr>
      <w:b/>
      <w:position w:val="-10"/>
      <w:sz w:val="16"/>
      <w:szCs w:val="16"/>
    </w:rPr>
  </w:style>
  <w:style w:type="character" w:styleId="1047" w:customStyle="1">
    <w:name w:val="正文文本 2 字符"/>
    <w:link w:val="1002"/>
    <w:qFormat/>
    <w:rPr>
      <w:rFonts w:ascii="楷体_GB2312" w:hAnsi="Calibri" w:eastAsia="楷体_GB2312" w:cs="宋体"/>
      <w:sz w:val="28"/>
      <w:lang w:val="zh-CN"/>
    </w:rPr>
  </w:style>
  <w:style w:type="character" w:styleId="1048" w:customStyle="1">
    <w:name w:val="HTML 预设格式 字符"/>
    <w:link w:val="1003"/>
    <w:qFormat/>
    <w:rPr>
      <w:rFonts w:ascii="黑体" w:hAnsi="Courier New" w:eastAsia="黑体" w:cs="Courier New"/>
    </w:rPr>
  </w:style>
  <w:style w:type="character" w:styleId="1049" w:customStyle="1">
    <w:name w:val="标题 字符"/>
    <w:link w:val="1006"/>
    <w:qFormat/>
    <w:rPr>
      <w:rFonts w:eastAsia="黑体"/>
      <w:b/>
      <w:sz w:val="28"/>
      <w:lang w:val="en-GB"/>
    </w:rPr>
  </w:style>
  <w:style w:type="character" w:styleId="1050" w:customStyle="1">
    <w:name w:val="批注主题 字符"/>
    <w:link w:val="1007"/>
    <w:qFormat/>
    <w:rPr>
      <w:rFonts w:ascii="宋体" w:hAnsi="Times New Roman" w:eastAsia="仿宋_GB2312" w:cs="Times New Roman"/>
      <w:b/>
      <w:bCs/>
      <w:position w:val="-10"/>
      <w:sz w:val="24"/>
    </w:rPr>
  </w:style>
  <w:style w:type="character" w:styleId="1051" w:customStyle="1">
    <w:name w:val="正文文本首行缩进 字符"/>
    <w:link w:val="1008"/>
    <w:qFormat/>
    <w:rPr>
      <w:rFonts w:ascii="楷体_GB2312" w:hAnsi="Arial" w:eastAsia="楷体_GB2312" w:cs="宋体"/>
      <w:position w:val="-10"/>
      <w:sz w:val="21"/>
      <w:szCs w:val="24"/>
      <w:lang w:val="zh-CN"/>
    </w:rPr>
  </w:style>
  <w:style w:type="character" w:styleId="1052" w:customStyle="1">
    <w:name w:val="标题 2 Char"/>
    <w:qFormat/>
    <w:rPr>
      <w:rFonts w:ascii="Arial" w:hAnsi="Arial" w:eastAsia="宋体" w:cs="Times New Roman"/>
      <w:b/>
      <w:bCs/>
      <w:sz w:val="28"/>
      <w:szCs w:val="32"/>
      <w:lang w:val="en-US" w:eastAsia="zh-CN" w:bidi="ar-SA"/>
    </w:rPr>
  </w:style>
  <w:style w:type="paragraph" w:styleId="1053">
    <w:name w:val="List Paragraph"/>
    <w:basedOn w:val="945"/>
    <w:uiPriority w:val="34"/>
    <w:qFormat/>
    <w:pPr>
      <w:ind w:left="720"/>
      <w:jc w:val="left"/>
      <w:widowControl/>
    </w:pPr>
    <w:rPr>
      <w:rFonts w:ascii="Calibri" w:hAnsi="Calibri"/>
      <w:szCs w:val="24"/>
      <w:lang w:eastAsia="en-US" w:bidi="en-US"/>
    </w:rPr>
  </w:style>
  <w:style w:type="paragraph" w:styleId="1054" w:customStyle="1">
    <w:name w:val="font5"/>
    <w:basedOn w:val="945"/>
    <w:qFormat/>
    <w:pPr>
      <w:jc w:val="left"/>
      <w:spacing w:before="100" w:beforeAutospacing="1" w:after="100" w:afterAutospacing="1"/>
      <w:widowControl/>
    </w:pPr>
    <w:rPr>
      <w:rFonts w:hAnsi="宋体" w:eastAsia="Calibri" w:cs="宋体"/>
      <w:b w:val="0"/>
      <w:position w:val="0"/>
      <w:sz w:val="18"/>
      <w:szCs w:val="18"/>
      <w:lang w:val="zh-CN"/>
    </w:rPr>
  </w:style>
  <w:style w:type="paragraph" w:styleId="1055" w:customStyle="1">
    <w:name w:val="xl35"/>
    <w:basedOn w:val="9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6" w:customStyle="1">
    <w:name w:val="List Paragraph1"/>
    <w:basedOn w:val="945"/>
    <w:qFormat/>
    <w:pPr>
      <w:ind w:firstLine="420"/>
    </w:pPr>
    <w:rPr>
      <w:rFonts w:ascii="Calibri" w:hAnsi="Calibri" w:cs="Calibri"/>
    </w:rPr>
  </w:style>
  <w:style w:type="paragraph" w:styleId="1057" w:customStyle="1">
    <w:name w:val="中等深浅网格 1 - 强调文字颜色 21"/>
    <w:basedOn w:val="945"/>
    <w:qFormat/>
    <w:pPr>
      <w:ind w:firstLine="420"/>
    </w:pPr>
    <w:rPr>
      <w:rFonts w:ascii="Calibri" w:hAnsi="Calibri" w:eastAsia="Calibri" w:cs="宋体"/>
      <w:b w:val="0"/>
      <w:position w:val="0"/>
      <w:sz w:val="20"/>
      <w:szCs w:val="22"/>
      <w:lang w:val="zh-CN"/>
    </w:rPr>
  </w:style>
  <w:style w:type="paragraph" w:styleId="1058" w:customStyle="1">
    <w:name w:val="章标题"/>
    <w:next w:val="1024"/>
    <w:qFormat/>
    <w:pPr>
      <w:jc w:val="both"/>
      <w:outlineLvl w:val="1"/>
    </w:pPr>
    <w:rPr>
      <w:rFonts w:eastAsia="黑体"/>
      <w:sz w:val="21"/>
    </w:rPr>
  </w:style>
  <w:style w:type="paragraph" w:styleId="1059" w:customStyle="1">
    <w:name w:val="标题3，章节第三层"/>
    <w:basedOn w:val="945"/>
    <w:next w:val="1060"/>
    <w:qFormat/>
    <w:pPr>
      <w:spacing w:before="78" w:line="300" w:lineRule="auto"/>
      <w:outlineLvl w:val="2"/>
    </w:pPr>
    <w:rPr>
      <w:rFonts w:ascii="Arial" w:hAnsi="Arial" w:eastAsia="华文细黑" w:cs="宋体"/>
      <w:b w:val="0"/>
      <w:position w:val="0"/>
      <w:sz w:val="30"/>
      <w:szCs w:val="24"/>
      <w:lang w:val="zh-CN"/>
    </w:rPr>
  </w:style>
  <w:style w:type="paragraph" w:styleId="1060" w:customStyle="1">
    <w:name w:val="正文格式"/>
    <w:basedOn w:val="945"/>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61" w:customStyle="1">
    <w:name w:val="小四 段落 宋体 Char"/>
    <w:basedOn w:val="963"/>
    <w:qFormat/>
    <w:pPr>
      <w:ind w:left="0" w:right="-33" w:firstLine="600"/>
      <w:jc w:val="left"/>
      <w:tabs>
        <w:tab w:val="clear" w:pos="2952" w:leader="none"/>
      </w:tabs>
    </w:pPr>
    <w:rPr>
      <w:rFonts w:ascii="仿宋_GB2312" w:eastAsia="仿宋_GB2312"/>
      <w:sz w:val="30"/>
      <w:szCs w:val="30"/>
    </w:rPr>
  </w:style>
  <w:style w:type="paragraph" w:styleId="1062" w:customStyle="1">
    <w:name w:val="xl39"/>
    <w:basedOn w:val="9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3" w:customStyle="1">
    <w:name w:val="retrait3"/>
    <w:basedOn w:val="945"/>
    <w:qFormat/>
    <w:pPr>
      <w:ind w:left="851"/>
      <w:jc w:val="left"/>
      <w:spacing w:before="20" w:after="20"/>
      <w:widowControl/>
    </w:pPr>
    <w:rPr>
      <w:rFonts w:ascii="Arial" w:hAnsi="Arial" w:eastAsia="Calibri" w:cs="宋体"/>
      <w:b w:val="0"/>
      <w:position w:val="0"/>
      <w:lang w:val="en-GB"/>
    </w:rPr>
  </w:style>
  <w:style w:type="paragraph" w:styleId="1064" w:customStyle="1">
    <w:name w:val="招标文件"/>
    <w:basedOn w:val="945"/>
    <w:qFormat/>
    <w:pPr>
      <w:jc w:val="center"/>
      <w:spacing w:before="260" w:after="260"/>
      <w:outlineLvl w:val="1"/>
    </w:pPr>
    <w:rPr>
      <w:rFonts w:hAnsi="宋体"/>
      <w:bCs/>
      <w:sz w:val="32"/>
      <w:szCs w:val="32"/>
    </w:rPr>
  </w:style>
  <w:style w:type="paragraph" w:styleId="1065" w:customStyle="1">
    <w:name w:val="样式 标题 3H3sect1.2.3BOD 0Heading 3 - oldh3l3CTLevel 3 Head..."/>
    <w:basedOn w:val="948"/>
    <w:qFormat/>
    <w:pPr>
      <w:jc w:val="left"/>
      <w:spacing w:line="390" w:lineRule="atLeast"/>
      <w:shd w:val="clear" w:color="auto" w:fill="ffffff"/>
    </w:pPr>
    <w:rPr>
      <w:rFonts w:ascii="宋体" w:hAnsi="宋体" w:cs="宋体"/>
      <w:b/>
      <w:position w:val="0"/>
      <w:sz w:val="30"/>
      <w:szCs w:val="21"/>
      <w:lang w:val="zh-CN"/>
    </w:rPr>
  </w:style>
  <w:style w:type="paragraph" w:styleId="1066" w:customStyle="1">
    <w:name w:val="小四 段落 宋体 Char Char Char"/>
    <w:basedOn w:val="963"/>
    <w:qFormat/>
    <w:pPr>
      <w:ind w:left="0" w:right="-33" w:firstLine="545"/>
      <w:jc w:val="left"/>
      <w:spacing w:line="360" w:lineRule="auto"/>
      <w:tabs>
        <w:tab w:val="clear" w:pos="2952" w:leader="none"/>
      </w:tabs>
    </w:pPr>
    <w:rPr>
      <w:sz w:val="24"/>
    </w:rPr>
  </w:style>
  <w:style w:type="paragraph" w:styleId="1067" w:customStyle="1">
    <w:name w:val="小四 段落 宋体"/>
    <w:basedOn w:val="963"/>
    <w:qFormat/>
    <w:pPr>
      <w:ind w:left="113" w:right="113" w:firstLine="425"/>
      <w:jc w:val="left"/>
      <w:spacing w:line="360" w:lineRule="auto"/>
      <w:tabs>
        <w:tab w:val="clear" w:pos="2952" w:leader="none"/>
      </w:tabs>
    </w:pPr>
    <w:rPr>
      <w:sz w:val="24"/>
    </w:rPr>
  </w:style>
  <w:style w:type="paragraph" w:styleId="1068" w:customStyle="1">
    <w:name w:val="111111"/>
    <w:basedOn w:val="945"/>
    <w:link w:val="1069"/>
    <w:qFormat/>
    <w:pPr>
      <w:jc w:val="center"/>
      <w:spacing w:before="120" w:after="120"/>
    </w:pPr>
    <w:rPr>
      <w:rFonts w:hAnsi="宋体" w:eastAsia="黑体"/>
      <w:bCs/>
      <w:position w:val="0"/>
      <w:sz w:val="21"/>
      <w:szCs w:val="21"/>
    </w:rPr>
  </w:style>
  <w:style w:type="character" w:styleId="1069" w:customStyle="1">
    <w:name w:val="111111 Char"/>
    <w:link w:val="1068"/>
    <w:qFormat/>
    <w:rPr>
      <w:rFonts w:ascii="宋体" w:hAnsi="宋体" w:eastAsia="黑体" w:cs="宋体"/>
      <w:b/>
      <w:bCs/>
      <w:sz w:val="21"/>
      <w:szCs w:val="21"/>
    </w:rPr>
  </w:style>
  <w:style w:type="paragraph" w:styleId="1070" w:customStyle="1">
    <w:name w:val="标题6"/>
    <w:basedOn w:val="950"/>
    <w:qFormat/>
    <w:pPr>
      <w:numPr>
        <w:numId w:val="1"/>
      </w:numPr>
      <w:keepLines/>
      <w:tabs>
        <w:tab w:val="left" w:pos="420" w:leader="none"/>
      </w:tabs>
    </w:pPr>
    <w:rPr>
      <w:rFonts w:ascii="Times New Roman"/>
      <w:b w:val="0"/>
      <w:bCs/>
      <w:color w:val="auto"/>
      <w:sz w:val="24"/>
      <w:szCs w:val="28"/>
    </w:rPr>
  </w:style>
  <w:style w:type="paragraph" w:styleId="1071" w:customStyle="1">
    <w:name w:val="Char1 Char Char Char"/>
    <w:basedOn w:val="945"/>
    <w:qFormat/>
    <w:rPr>
      <w:rFonts w:ascii="Tahoma" w:hAnsi="Tahoma" w:eastAsia="Calibri" w:cs="Tahoma"/>
      <w:b w:val="0"/>
      <w:position w:val="0"/>
      <w:lang w:val="zh-CN"/>
    </w:rPr>
  </w:style>
  <w:style w:type="paragraph" w:styleId="1072" w:customStyle="1">
    <w:name w:val="flNote"/>
    <w:basedOn w:val="945"/>
    <w:qFormat/>
    <w:pPr>
      <w:jc w:val="center"/>
      <w:spacing w:before="567" w:line="360" w:lineRule="atLeast"/>
    </w:pPr>
    <w:rPr>
      <w:rFonts w:ascii="Calibri" w:hAnsi="Calibri" w:eastAsia="黑体" w:cs="宋体"/>
      <w:position w:val="0"/>
      <w:lang w:val="zh-CN"/>
    </w:rPr>
  </w:style>
  <w:style w:type="paragraph" w:styleId="1073" w:customStyle="1">
    <w:name w:val="样式4 Char"/>
    <w:basedOn w:val="94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74" w:customStyle="1">
    <w:name w:val="xl34"/>
    <w:basedOn w:val="9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5" w:customStyle="1">
    <w:name w:val="af17cgridlangnp1033langf"/>
    <w:qFormat/>
    <w:pPr>
      <w:ind w:left="567" w:firstLine="510"/>
      <w:jc w:val="both"/>
      <w:spacing w:before="156" w:line="360" w:lineRule="atLeast"/>
      <w:widowControl w:val="off"/>
    </w:pPr>
  </w:style>
  <w:style w:type="paragraph" w:styleId="1076" w:customStyle="1">
    <w:name w:val="Item Step in Table"/>
    <w:qFormat/>
    <w:pPr>
      <w:jc w:val="both"/>
      <w:spacing w:before="40" w:after="40"/>
      <w:tabs>
        <w:tab w:val="left" w:pos="397" w:leader="none"/>
      </w:tabs>
    </w:pPr>
    <w:rPr>
      <w:rFonts w:ascii="Arial" w:hAnsi="Arial" w:cs="Arial"/>
      <w:sz w:val="18"/>
      <w:szCs w:val="18"/>
    </w:rPr>
  </w:style>
  <w:style w:type="paragraph" w:styleId="1077" w:customStyle="1">
    <w:name w:val="content_lineheight"/>
    <w:basedOn w:val="945"/>
    <w:qFormat/>
    <w:pPr>
      <w:jc w:val="left"/>
      <w:spacing w:before="100" w:beforeAutospacing="1" w:after="100" w:afterAutospacing="1"/>
      <w:widowControl/>
    </w:pPr>
    <w:rPr>
      <w:rFonts w:hAnsi="宋体" w:eastAsia="Calibri" w:cs="宋体"/>
      <w:b w:val="0"/>
      <w:position w:val="0"/>
      <w:szCs w:val="24"/>
      <w:lang w:val="zh-CN"/>
    </w:rPr>
  </w:style>
  <w:style w:type="paragraph" w:styleId="1078" w:customStyle="1">
    <w:name w:val="Char1 Char Char Char1"/>
    <w:basedOn w:val="945"/>
    <w:qFormat/>
    <w:rPr>
      <w:rFonts w:ascii="Tahoma" w:hAnsi="Tahoma" w:eastAsia="Calibri" w:cs="宋体"/>
      <w:b w:val="0"/>
      <w:position w:val="0"/>
      <w:lang w:val="zh-CN"/>
    </w:rPr>
  </w:style>
  <w:style w:type="paragraph" w:styleId="1079" w:customStyle="1">
    <w:name w:val="xl29"/>
    <w:basedOn w:val="9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0" w:customStyle="1">
    <w:name w:val="Char Char Char Char Char Char Char Char Char Char Char Char Char Char"/>
    <w:basedOn w:val="945"/>
    <w:qFormat/>
    <w:rPr>
      <w:rFonts w:ascii="Tahoma" w:hAnsi="Tahoma" w:eastAsia="Calibri" w:cs="宋体"/>
      <w:b w:val="0"/>
      <w:position w:val="0"/>
      <w:lang w:val="zh-CN"/>
    </w:rPr>
  </w:style>
  <w:style w:type="paragraph" w:styleId="1081" w:customStyle="1">
    <w:name w:val="Char Char"/>
    <w:basedOn w:val="945"/>
    <w:qFormat/>
    <w:rPr>
      <w:rFonts w:ascii="Tahoma" w:hAnsi="Tahoma" w:eastAsia="Calibri" w:cs="Tahoma"/>
      <w:b w:val="0"/>
      <w:position w:val="0"/>
      <w:lang w:val="zh-CN"/>
    </w:rPr>
  </w:style>
  <w:style w:type="paragraph" w:styleId="1082" w:customStyle="1">
    <w:name w:val="flName"/>
    <w:basedOn w:val="1072"/>
    <w:qFormat/>
    <w:pPr>
      <w:spacing w:before="0" w:line="113" w:lineRule="atLeast"/>
    </w:pPr>
  </w:style>
  <w:style w:type="paragraph" w:styleId="1083" w:customStyle="1">
    <w:name w:val="Char Char Char Char Char Char Char Char Char Char Char Char Char Char Char Char Char Char Char Char Char"/>
    <w:basedOn w:val="945"/>
    <w:qFormat/>
    <w:rPr>
      <w:rFonts w:ascii="Tahoma" w:hAnsi="Tahoma" w:eastAsia="Calibri" w:cs="Tahoma"/>
      <w:b w:val="0"/>
      <w:position w:val="0"/>
      <w:lang w:val="zh-CN"/>
    </w:rPr>
  </w:style>
  <w:style w:type="paragraph" w:styleId="1084" w:customStyle="1">
    <w:name w:val="font13"/>
    <w:basedOn w:val="94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85" w:customStyle="1">
    <w:name w:val="xl48"/>
    <w:basedOn w:val="94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86" w:customStyle="1">
    <w:name w:val="Char Char Char Char Char Char Char Char Char Char Char Char Char Char1"/>
    <w:basedOn w:val="945"/>
    <w:qFormat/>
    <w:rPr>
      <w:rFonts w:ascii="Tahoma" w:hAnsi="Tahoma" w:eastAsia="Calibri" w:cs="Tahoma"/>
      <w:b w:val="0"/>
      <w:position w:val="0"/>
      <w:lang w:val="zh-CN"/>
    </w:rPr>
  </w:style>
  <w:style w:type="paragraph" w:styleId="1087" w:customStyle="1">
    <w:name w:val="二级目录"/>
    <w:next w:val="945"/>
    <w:qFormat/>
    <w:pPr>
      <w:tabs>
        <w:tab w:val="left" w:pos="360" w:leader="none"/>
        <w:tab w:val="left" w:pos="1145" w:leader="none"/>
      </w:tabs>
      <w:outlineLvl w:val="1"/>
    </w:pPr>
    <w:rPr>
      <w:rFonts w:ascii="Calibri" w:hAnsi="Calibri"/>
      <w:b/>
      <w:sz w:val="30"/>
      <w:szCs w:val="28"/>
    </w:rPr>
  </w:style>
  <w:style w:type="paragraph" w:styleId="1088" w:customStyle="1">
    <w:name w:val="我的正文"/>
    <w:basedOn w:val="945"/>
    <w:qFormat/>
    <w:pPr>
      <w:ind w:firstLine="420"/>
      <w:jc w:val="left"/>
      <w:spacing w:line="360" w:lineRule="auto"/>
      <w:widowControl/>
    </w:pPr>
    <w:rPr>
      <w:rFonts w:hAnsi="宋体" w:eastAsia="Calibri" w:cs="宋体"/>
      <w:b w:val="0"/>
      <w:position w:val="0"/>
      <w:sz w:val="20"/>
      <w:szCs w:val="21"/>
      <w:lang w:val="zh-CN"/>
    </w:rPr>
  </w:style>
  <w:style w:type="paragraph" w:styleId="1089" w:customStyle="1">
    <w:name w:val="Normal1"/>
    <w:basedOn w:val="945"/>
    <w:qFormat/>
    <w:rPr>
      <w:rFonts w:ascii="Calibri" w:hAnsi="Calibri" w:eastAsia="Calibri" w:cs="宋体"/>
      <w:b w:val="0"/>
      <w:position w:val="0"/>
      <w:sz w:val="20"/>
      <w:lang w:val="zh-CN"/>
    </w:rPr>
  </w:style>
  <w:style w:type="paragraph" w:styleId="1090" w:customStyle="1">
    <w:name w:val="xl50"/>
    <w:basedOn w:val="94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1" w:customStyle="1">
    <w:name w:val="样式 段后: 0.5 行 左  0.75 字符"/>
    <w:basedOn w:val="945"/>
    <w:qFormat/>
    <w:pPr>
      <w:ind w:firstLine="420"/>
      <w:spacing w:line="360" w:lineRule="auto"/>
      <w:widowControl/>
    </w:pPr>
    <w:rPr>
      <w:rFonts w:ascii="Calibri" w:hAnsi="Arial" w:eastAsia="Calibri" w:cs="Arial"/>
      <w:b w:val="0"/>
      <w:position w:val="0"/>
      <w:sz w:val="20"/>
      <w:szCs w:val="21"/>
      <w:lang w:val="zh-CN"/>
    </w:rPr>
  </w:style>
  <w:style w:type="paragraph" w:styleId="1092" w:customStyle="1">
    <w:name w:val="表头_5"/>
    <w:basedOn w:val="945"/>
    <w:qFormat/>
    <w:pPr>
      <w:spacing w:line="360" w:lineRule="auto"/>
    </w:pPr>
    <w:rPr>
      <w:rFonts w:ascii="Calibri" w:hAnsi="Calibri" w:eastAsia="Calibri" w:cs="宋体"/>
      <w:bCs/>
      <w:position w:val="0"/>
      <w:sz w:val="28"/>
      <w:szCs w:val="21"/>
      <w:lang w:val="zh-CN"/>
    </w:rPr>
  </w:style>
  <w:style w:type="paragraph" w:styleId="1093" w:customStyle="1">
    <w:name w:val="Char Char1 Char"/>
    <w:basedOn w:val="945"/>
    <w:qFormat/>
    <w:pPr>
      <w:jc w:val="left"/>
      <w:spacing w:after="160" w:line="240" w:lineRule="exact"/>
      <w:widowControl/>
    </w:pPr>
    <w:rPr>
      <w:rFonts w:ascii="Verdana" w:hAnsi="Verdana" w:eastAsia="Calibri" w:cs="宋体"/>
      <w:b w:val="0"/>
      <w:position w:val="0"/>
      <w:sz w:val="20"/>
      <w:lang w:val="zh-CN" w:eastAsia="en-US"/>
    </w:rPr>
  </w:style>
  <w:style w:type="paragraph" w:styleId="1094" w:customStyle="1">
    <w:name w:val="标题1，章节第一层"/>
    <w:basedOn w:val="1060"/>
    <w:next w:val="1060"/>
    <w:qFormat/>
    <w:pPr>
      <w:ind w:left="482"/>
      <w:tabs>
        <w:tab w:val="left" w:pos="693" w:leader="none"/>
      </w:tabs>
      <w:outlineLvl w:val="0"/>
    </w:pPr>
    <w:rPr>
      <w:color w:val="000000"/>
      <w:sz w:val="24"/>
      <w:szCs w:val="24"/>
    </w:rPr>
  </w:style>
  <w:style w:type="paragraph" w:styleId="1095" w:customStyle="1">
    <w:name w:val="font12"/>
    <w:basedOn w:val="945"/>
    <w:qFormat/>
    <w:pPr>
      <w:jc w:val="left"/>
      <w:spacing w:before="100" w:beforeAutospacing="1" w:after="100" w:afterAutospacing="1"/>
      <w:widowControl/>
    </w:pPr>
    <w:rPr>
      <w:rFonts w:hAnsi="宋体" w:eastAsia="Calibri" w:cs="宋体"/>
      <w:b w:val="0"/>
      <w:position w:val="0"/>
      <w:sz w:val="36"/>
      <w:szCs w:val="36"/>
      <w:lang w:val="zh-CN"/>
    </w:rPr>
  </w:style>
  <w:style w:type="paragraph" w:styleId="1096" w:customStyle="1">
    <w:name w:val="马刚标题3"/>
    <w:basedOn w:val="945"/>
    <w:next w:val="94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97" w:customStyle="1">
    <w:name w:val="xl43"/>
    <w:basedOn w:val="94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8" w:customStyle="1">
    <w:name w:val="xl36"/>
    <w:basedOn w:val="9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9" w:customStyle="1">
    <w:name w:val="项目符号：一级"/>
    <w:basedOn w:val="1060"/>
    <w:next w:val="1060"/>
    <w:qFormat/>
    <w:pPr>
      <w:ind w:right="-134"/>
    </w:pPr>
    <w:rPr>
      <w:bCs w:val="0"/>
    </w:rPr>
  </w:style>
  <w:style w:type="paragraph" w:styleId="1100">
    <w:name w:val="Quote"/>
    <w:basedOn w:val="945"/>
    <w:next w:val="945"/>
    <w:link w:val="1101"/>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01" w:customStyle="1">
    <w:name w:val="引用 字符"/>
    <w:link w:val="1100"/>
    <w:qFormat/>
    <w:rPr>
      <w:rFonts w:ascii="Calibri" w:hAnsi="Calibri"/>
      <w:i/>
      <w:iCs/>
      <w:sz w:val="22"/>
      <w:szCs w:val="22"/>
      <w:lang w:eastAsia="en-US" w:bidi="en-US"/>
    </w:rPr>
  </w:style>
  <w:style w:type="paragraph" w:styleId="1102" w:customStyle="1">
    <w:name w:val="Test2"/>
    <w:basedOn w:val="947"/>
    <w:qFormat/>
    <w:pPr>
      <w:spacing w:line="480" w:lineRule="exact"/>
      <w:widowControl/>
    </w:pPr>
    <w:rPr>
      <w:rFonts w:ascii="黑体" w:eastAsia="黑体"/>
      <w:b/>
      <w:position w:val="0"/>
      <w:sz w:val="24"/>
      <w:szCs w:val="24"/>
    </w:rPr>
  </w:style>
  <w:style w:type="paragraph" w:styleId="1103" w:customStyle="1">
    <w:name w:val="丁华正文"/>
    <w:basedOn w:val="996"/>
    <w:qFormat/>
    <w:pPr>
      <w:ind w:left="0" w:firstLine="510"/>
      <w:spacing w:after="0" w:line="360" w:lineRule="auto"/>
    </w:pPr>
    <w:rPr>
      <w:b w:val="0"/>
      <w:position w:val="0"/>
      <w:sz w:val="24"/>
    </w:rPr>
  </w:style>
  <w:style w:type="paragraph" w:styleId="1104" w:customStyle="1">
    <w:name w:val="xl45"/>
    <w:basedOn w:val="94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05" w:customStyle="1">
    <w:name w:val="xl38"/>
    <w:basedOn w:val="9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6" w:customStyle="1">
    <w:name w:val="表格抬头"/>
    <w:basedOn w:val="945"/>
    <w:link w:val="1107"/>
    <w:qFormat/>
    <w:pPr>
      <w:jc w:val="center"/>
    </w:pPr>
    <w:rPr>
      <w:rFonts w:ascii="黑体" w:eastAsia="黑体"/>
      <w:position w:val="0"/>
      <w:sz w:val="21"/>
    </w:rPr>
  </w:style>
  <w:style w:type="character" w:styleId="1107" w:customStyle="1">
    <w:name w:val="表格抬头 Char"/>
    <w:link w:val="1106"/>
    <w:qFormat/>
    <w:rPr>
      <w:rFonts w:ascii="黑体" w:eastAsia="黑体"/>
      <w:b/>
      <w:sz w:val="21"/>
    </w:rPr>
  </w:style>
  <w:style w:type="paragraph" w:styleId="1108" w:customStyle="1">
    <w:name w:val="插图"/>
    <w:basedOn w:val="94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09" w:customStyle="1">
    <w:name w:val="样式 段后: 0.25 行"/>
    <w:basedOn w:val="945"/>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10" w:customStyle="1">
    <w:name w:val="Char Char Char Char Char Char Char Char Char Char Char1 Char Char Char1"/>
    <w:basedOn w:val="945"/>
    <w:semiHidden/>
    <w:qFormat/>
    <w:pPr>
      <w:ind w:firstLine="200"/>
      <w:jc w:val="left"/>
    </w:pPr>
    <w:rPr>
      <w:rFonts w:ascii="Tahoma" w:hAnsi="Tahoma" w:eastAsia="Calibri" w:cs="宋体"/>
      <w:b w:val="0"/>
      <w:position w:val="0"/>
      <w:szCs w:val="24"/>
      <w:lang w:val="zh-CN"/>
    </w:rPr>
  </w:style>
  <w:style w:type="paragraph" w:styleId="1111" w:customStyle="1">
    <w:name w:val="xl56"/>
    <w:basedOn w:val="94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2" w:customStyle="1">
    <w:name w:val="符号与编号 Char"/>
    <w:basedOn w:val="945"/>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13" w:customStyle="1">
    <w:name w:val="正文文本 New New"/>
    <w:basedOn w:val="945"/>
    <w:qFormat/>
    <w:pPr>
      <w:ind w:firstLine="200"/>
      <w:spacing w:before="60" w:after="60" w:line="360" w:lineRule="auto"/>
      <w:widowControl/>
    </w:pPr>
    <w:rPr>
      <w:rFonts w:ascii="Calibri" w:hAnsi="Calibri" w:eastAsia="华文楷体" w:cs="宋体"/>
      <w:b w:val="0"/>
      <w:position w:val="0"/>
      <w:szCs w:val="24"/>
      <w:lang w:val="zh-CN"/>
    </w:rPr>
  </w:style>
  <w:style w:type="paragraph" w:styleId="1114" w:customStyle="1">
    <w:name w:val="普通正文"/>
    <w:basedOn w:val="945"/>
    <w:qFormat/>
    <w:pPr>
      <w:ind w:firstLine="480"/>
      <w:jc w:val="left"/>
      <w:spacing w:before="120" w:after="120" w:line="360" w:lineRule="auto"/>
    </w:pPr>
    <w:rPr>
      <w:rFonts w:ascii="Arial" w:hAnsi="Arial"/>
      <w:szCs w:val="24"/>
    </w:rPr>
  </w:style>
  <w:style w:type="paragraph" w:styleId="1115" w:customStyle="1">
    <w:name w:val="tableau"/>
    <w:basedOn w:val="945"/>
    <w:qFormat/>
    <w:pPr>
      <w:jc w:val="center"/>
      <w:spacing w:before="20" w:after="20"/>
      <w:widowControl/>
    </w:pPr>
    <w:rPr>
      <w:rFonts w:ascii="Arial" w:hAnsi="Arial" w:eastAsia="Calibri" w:cs="宋体"/>
      <w:b w:val="0"/>
      <w:position w:val="0"/>
      <w:sz w:val="16"/>
      <w:lang w:val="en-GB" w:eastAsia="en-US"/>
    </w:rPr>
  </w:style>
  <w:style w:type="paragraph" w:styleId="1116" w:customStyle="1">
    <w:name w:val="丁华标题3"/>
    <w:basedOn w:val="1117"/>
    <w:next w:val="1103"/>
    <w:qFormat/>
    <w:pPr>
      <w:ind w:left="1980" w:hanging="420"/>
      <w:spacing w:after="0"/>
      <w:tabs>
        <w:tab w:val="left" w:pos="1470" w:leader="none"/>
        <w:tab w:val="left" w:pos="1980" w:leader="none"/>
      </w:tabs>
      <w:outlineLvl w:val="2"/>
    </w:pPr>
    <w:rPr>
      <w:sz w:val="24"/>
    </w:rPr>
  </w:style>
  <w:style w:type="paragraph" w:styleId="1117" w:customStyle="1">
    <w:name w:val="丁华标题2"/>
    <w:basedOn w:val="947"/>
    <w:next w:val="1103"/>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18" w:customStyle="1">
    <w:name w:val="正文2"/>
    <w:basedOn w:val="945"/>
    <w:qFormat/>
    <w:pPr>
      <w:ind w:firstLine="510"/>
      <w:spacing w:before="156" w:line="360" w:lineRule="auto"/>
    </w:pPr>
    <w:rPr>
      <w:rFonts w:ascii="Calibri" w:hAnsi="Calibri" w:eastAsia="Calibri" w:cs="宋体"/>
      <w:b w:val="0"/>
      <w:position w:val="0"/>
      <w:lang w:val="zh-CN"/>
    </w:rPr>
  </w:style>
  <w:style w:type="paragraph" w:styleId="1119" w:customStyle="1">
    <w:name w:val="Char Char Char Char Char Char Char Char Char Char Char Char Char Char Char Char Char Char Char Char Char Char Char"/>
    <w:basedOn w:val="945"/>
    <w:qFormat/>
    <w:rPr>
      <w:rFonts w:ascii="Tahoma" w:hAnsi="Tahoma" w:eastAsia="Calibri" w:cs="宋体"/>
      <w:b w:val="0"/>
      <w:position w:val="0"/>
      <w:lang w:val="zh-CN"/>
    </w:rPr>
  </w:style>
  <w:style w:type="paragraph" w:styleId="1120" w:customStyle="1">
    <w:name w:val="正文文本缩进 31"/>
    <w:basedOn w:val="945"/>
    <w:qFormat/>
    <w:pPr>
      <w:ind w:firstLine="504"/>
      <w:spacing w:line="360" w:lineRule="auto"/>
      <w:tabs>
        <w:tab w:val="left" w:pos="0" w:leader="none"/>
      </w:tabs>
    </w:pPr>
    <w:rPr>
      <w:rFonts w:hAnsi="Calibri" w:eastAsia="Calibri" w:cs="宋体"/>
      <w:bCs/>
      <w:position w:val="0"/>
      <w:szCs w:val="24"/>
      <w:lang w:val="zh-CN"/>
    </w:rPr>
  </w:style>
  <w:style w:type="paragraph" w:styleId="1121" w:customStyle="1">
    <w:name w:val="font10"/>
    <w:basedOn w:val="94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22" w:customStyle="1">
    <w:name w:val="样式 加点正文 + 段前: 0.5 行 段后: 0.5 行1"/>
    <w:basedOn w:val="945"/>
    <w:qFormat/>
    <w:pPr>
      <w:ind w:left="1268"/>
      <w:spacing w:line="300" w:lineRule="auto"/>
      <w:tabs>
        <w:tab w:val="left" w:pos="1268" w:leader="none"/>
      </w:tabs>
    </w:pPr>
    <w:rPr>
      <w:rFonts w:ascii="Calibri" w:hAnsi="Calibri" w:eastAsia="Calibri" w:cs="宋体"/>
      <w:b w:val="0"/>
      <w:position w:val="0"/>
      <w:lang w:val="zh-CN"/>
    </w:rPr>
  </w:style>
  <w:style w:type="paragraph" w:styleId="1123" w:customStyle="1">
    <w:name w:val="正文lzq"/>
    <w:basedOn w:val="945"/>
    <w:qFormat/>
    <w:pPr>
      <w:ind w:firstLine="480"/>
      <w:spacing w:line="360" w:lineRule="auto"/>
    </w:pPr>
    <w:rPr>
      <w:rFonts w:ascii="Calibri" w:hAnsi="Calibri" w:eastAsia="Calibri" w:cs="宋体"/>
      <w:b w:val="0"/>
      <w:position w:val="0"/>
      <w:lang w:val="zh-CN"/>
    </w:rPr>
  </w:style>
  <w:style w:type="paragraph" w:styleId="1124" w:customStyle="1">
    <w:name w:val="正文 首行缩进:  2 字符 Char Char"/>
    <w:basedOn w:val="945"/>
    <w:qFormat/>
    <w:pPr>
      <w:ind w:firstLine="480"/>
      <w:spacing w:line="360" w:lineRule="auto"/>
    </w:pPr>
    <w:rPr>
      <w:rFonts w:ascii="楷体_GB2312" w:hAnsi="Calibri" w:eastAsia="楷体_GB2312" w:cs="宋体"/>
      <w:b w:val="0"/>
      <w:bCs/>
      <w:position w:val="0"/>
      <w:szCs w:val="24"/>
      <w:lang w:val="zh-CN"/>
    </w:rPr>
  </w:style>
  <w:style w:type="paragraph" w:styleId="1125" w:customStyle="1">
    <w:name w:val="font11"/>
    <w:basedOn w:val="94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26" w:customStyle="1">
    <w:name w:val="xl41"/>
    <w:basedOn w:val="9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7" w:customStyle="1">
    <w:name w:val="Char Char1"/>
    <w:basedOn w:val="945"/>
    <w:qFormat/>
    <w:rPr>
      <w:rFonts w:ascii="Tahoma" w:hAnsi="Tahoma" w:eastAsia="Calibri" w:cs="Tahoma"/>
      <w:b w:val="0"/>
      <w:position w:val="0"/>
      <w:lang w:val="zh-CN"/>
    </w:rPr>
  </w:style>
  <w:style w:type="paragraph" w:styleId="1128" w:customStyle="1">
    <w:name w:val="新图表正文"/>
    <w:link w:val="1129"/>
    <w:qFormat/>
    <w:pPr>
      <w:jc w:val="both"/>
    </w:pPr>
    <w:rPr>
      <w:rFonts w:ascii="宋体" w:hAnsi="宋体"/>
      <w:sz w:val="18"/>
      <w:szCs w:val="21"/>
    </w:rPr>
  </w:style>
  <w:style w:type="character" w:styleId="1129" w:customStyle="1">
    <w:name w:val="新图表正文 Char Char"/>
    <w:link w:val="1128"/>
    <w:qFormat/>
    <w:rPr>
      <w:rFonts w:ascii="宋体" w:hAnsi="宋体"/>
      <w:sz w:val="18"/>
      <w:szCs w:val="21"/>
      <w:lang w:bidi="ar-SA"/>
    </w:rPr>
  </w:style>
  <w:style w:type="paragraph" w:styleId="1130" w:customStyle="1">
    <w:name w:val="Char2 Char Char Char Char Char Char1"/>
    <w:basedOn w:val="94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31" w:customStyle="1">
    <w:name w:val="xl58"/>
    <w:basedOn w:val="94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font14"/>
    <w:basedOn w:val="94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33" w:customStyle="1">
    <w:name w:val="段 Char"/>
    <w:qFormat/>
    <w:pPr>
      <w:ind w:firstLine="200"/>
      <w:jc w:val="both"/>
    </w:pPr>
    <w:rPr>
      <w:rFonts w:ascii="宋体"/>
      <w:sz w:val="21"/>
    </w:rPr>
  </w:style>
  <w:style w:type="paragraph" w:styleId="1134" w:customStyle="1">
    <w:name w:val="默认段落字体 Para Char Char Char Char Char Char Char"/>
    <w:basedOn w:val="945"/>
    <w:qFormat/>
    <w:rPr>
      <w:rFonts w:ascii="Calibri" w:hAnsi="Calibri" w:eastAsia="Calibri" w:cs="宋体"/>
      <w:b w:val="0"/>
      <w:position w:val="0"/>
      <w:sz w:val="20"/>
      <w:lang w:val="zh-CN"/>
    </w:rPr>
  </w:style>
  <w:style w:type="paragraph" w:styleId="1135" w:customStyle="1">
    <w:name w:val="xl55"/>
    <w:basedOn w:val="94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36" w:customStyle="1">
    <w:name w:val="默认段落字体 Para Char Char Char Char Char Char Char Char Char1 Char Char Char Char Char Char Char"/>
    <w:basedOn w:val="966"/>
    <w:qFormat/>
    <w:rPr>
      <w:rFonts w:ascii="Tahoma" w:hAnsi="Tahoma"/>
      <w:szCs w:val="24"/>
    </w:rPr>
  </w:style>
  <w:style w:type="paragraph" w:styleId="1137" w:customStyle="1">
    <w:name w:val="Char Char Char Char Char"/>
    <w:basedOn w:val="945"/>
    <w:qFormat/>
    <w:rPr>
      <w:rFonts w:ascii="Tahoma" w:hAnsi="Tahoma" w:eastAsia="Calibri" w:cs="Tahoma"/>
      <w:b w:val="0"/>
      <w:position w:val="0"/>
      <w:lang w:val="zh-CN"/>
    </w:rPr>
  </w:style>
  <w:style w:type="paragraph" w:styleId="1138" w:customStyle="1">
    <w:name w:val="Char Char Char"/>
    <w:basedOn w:val="945"/>
    <w:qFormat/>
    <w:rPr>
      <w:rFonts w:ascii="Tahoma" w:hAnsi="Tahoma" w:eastAsia="Calibri" w:cs="宋体"/>
      <w:b w:val="0"/>
      <w:position w:val="0"/>
      <w:lang w:val="zh-CN"/>
    </w:rPr>
  </w:style>
  <w:style w:type="paragraph" w:styleId="1139" w:customStyle="1">
    <w:name w:val="Default"/>
    <w:qFormat/>
    <w:pPr>
      <w:widowControl w:val="off"/>
    </w:pPr>
    <w:rPr>
      <w:rFonts w:ascii="宋体" w:cs="宋体"/>
      <w:color w:val="000000"/>
      <w:sz w:val="24"/>
      <w:szCs w:val="24"/>
    </w:rPr>
  </w:style>
  <w:style w:type="paragraph" w:styleId="1140" w:customStyle="1">
    <w:name w:val="一级标题"/>
    <w:basedOn w:val="945"/>
    <w:qFormat/>
    <w:pPr>
      <w:ind w:left="900" w:hanging="420"/>
      <w:spacing w:line="360" w:lineRule="auto"/>
      <w:tabs>
        <w:tab w:val="left" w:pos="903" w:leader="none"/>
      </w:tabs>
    </w:pPr>
    <w:rPr>
      <w:rFonts w:ascii="Arial" w:hAnsi="Arial" w:eastAsia="Calibri" w:cs="Arial"/>
      <w:b w:val="0"/>
      <w:position w:val="0"/>
      <w:lang w:val="zh-CN"/>
    </w:rPr>
  </w:style>
  <w:style w:type="paragraph" w:styleId="1141" w:customStyle="1">
    <w:name w:val="xl52"/>
    <w:basedOn w:val="94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2" w:customStyle="1">
    <w:name w:val="Pa5"/>
    <w:basedOn w:val="945"/>
    <w:next w:val="945"/>
    <w:qFormat/>
    <w:pPr>
      <w:jc w:val="left"/>
      <w:spacing w:line="241" w:lineRule="atLeast"/>
    </w:pPr>
    <w:rPr>
      <w:rFonts w:ascii="HYDaHeiJ" w:hAnsi="Calibri" w:eastAsia="HYDaHeiJ" w:cs="宋体"/>
      <w:b w:val="0"/>
      <w:position w:val="0"/>
      <w:szCs w:val="24"/>
      <w:lang w:val="zh-CN"/>
    </w:rPr>
  </w:style>
  <w:style w:type="paragraph" w:styleId="1143" w:customStyle="1">
    <w:name w:val="小四 段落 宋体 Char Char"/>
    <w:basedOn w:val="945"/>
    <w:qFormat/>
    <w:pPr>
      <w:ind w:firstLine="480"/>
      <w:spacing w:line="360" w:lineRule="auto"/>
    </w:pPr>
    <w:rPr>
      <w:rFonts w:hAnsi="宋体" w:eastAsia="Calibri" w:cs="宋体"/>
      <w:b w:val="0"/>
      <w:position w:val="0"/>
      <w:szCs w:val="24"/>
      <w:lang w:val="zh-CN"/>
    </w:rPr>
  </w:style>
  <w:style w:type="paragraph" w:styleId="1144" w:customStyle="1">
    <w:name w:val="xl40"/>
    <w:basedOn w:val="9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5" w:customStyle="1">
    <w:name w:val="段落"/>
    <w:basedOn w:val="945"/>
    <w:qFormat/>
    <w:pPr>
      <w:ind w:firstLine="480"/>
      <w:spacing w:line="460" w:lineRule="exact"/>
    </w:pPr>
    <w:rPr>
      <w:rFonts w:ascii="Calibri" w:hAnsi="Calibri" w:eastAsia="Calibri" w:cs="宋体"/>
      <w:b w:val="0"/>
      <w:position w:val="0"/>
      <w:lang w:val="zh-CN"/>
    </w:rPr>
  </w:style>
  <w:style w:type="paragraph" w:styleId="1146" w:customStyle="1">
    <w:name w:val="公文标题 2"/>
    <w:basedOn w:val="945"/>
    <w:next w:val="1147"/>
    <w:qFormat/>
    <w:pPr>
      <w:outlineLvl w:val="1"/>
    </w:pPr>
    <w:rPr>
      <w:rFonts w:ascii="仿宋_GB2312" w:hAnsi="宋体" w:eastAsia="仿宋_GB2312" w:cs="宋体"/>
      <w:b w:val="0"/>
      <w:position w:val="0"/>
      <w:sz w:val="28"/>
      <w:szCs w:val="24"/>
      <w:lang w:val="zh-CN"/>
    </w:rPr>
  </w:style>
  <w:style w:type="paragraph" w:styleId="1147" w:customStyle="1">
    <w:name w:val="公文正文"/>
    <w:basedOn w:val="972"/>
    <w:qFormat/>
    <w:pPr>
      <w:ind w:left="0" w:firstLine="200"/>
      <w:spacing w:after="0"/>
    </w:pPr>
    <w:rPr>
      <w:rFonts w:ascii="仿宋_GB2312" w:hAnsi="宋体" w:eastAsia="仿宋_GB2312"/>
      <w:b w:val="0"/>
      <w:position w:val="0"/>
      <w:sz w:val="28"/>
      <w:szCs w:val="24"/>
    </w:rPr>
  </w:style>
  <w:style w:type="paragraph" w:styleId="1148" w:customStyle="1">
    <w:name w:val="符号与编号"/>
    <w:basedOn w:val="945"/>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49" w:customStyle="1">
    <w:name w:val="样式 首行缩进:  2 字符"/>
    <w:basedOn w:val="945"/>
    <w:link w:val="1150"/>
    <w:qFormat/>
    <w:pPr>
      <w:ind w:firstLine="480"/>
      <w:spacing w:line="360" w:lineRule="auto"/>
    </w:pPr>
    <w:rPr>
      <w:rFonts w:ascii="Times New Roman"/>
      <w:b w:val="0"/>
      <w:position w:val="0"/>
    </w:rPr>
  </w:style>
  <w:style w:type="character" w:styleId="1150" w:customStyle="1">
    <w:name w:val="样式 首行缩进:  2 字符 Char Char"/>
    <w:link w:val="1149"/>
    <w:qFormat/>
    <w:rPr>
      <w:rFonts w:cs="宋体"/>
      <w:sz w:val="24"/>
    </w:rPr>
  </w:style>
  <w:style w:type="paragraph" w:styleId="1151" w:customStyle="1">
    <w:name w:val="正文 + Arial Char"/>
    <w:basedOn w:val="94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52" w:customStyle="1">
    <w:name w:val="xl37"/>
    <w:basedOn w:val="9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53" w:customStyle="1">
    <w:name w:val="Pa6"/>
    <w:basedOn w:val="945"/>
    <w:next w:val="945"/>
    <w:qFormat/>
    <w:pPr>
      <w:jc w:val="left"/>
      <w:spacing w:line="241" w:lineRule="atLeast"/>
    </w:pPr>
    <w:rPr>
      <w:rFonts w:ascii="HYDaHeiJ" w:hAnsi="Calibri" w:eastAsia="HYDaHeiJ" w:cs="宋体"/>
      <w:b w:val="0"/>
      <w:position w:val="0"/>
      <w:szCs w:val="24"/>
      <w:lang w:val="zh-CN"/>
    </w:rPr>
  </w:style>
  <w:style w:type="paragraph" w:styleId="1154" w:customStyle="1">
    <w:name w:val="表格文字"/>
    <w:basedOn w:val="945"/>
    <w:qFormat/>
    <w:pPr>
      <w:ind w:firstLine="200"/>
      <w:jc w:val="left"/>
      <w:spacing w:line="360" w:lineRule="auto"/>
    </w:pPr>
    <w:rPr>
      <w:rFonts w:ascii="Arial" w:hAnsi="Arial" w:eastAsia="Calibri" w:cs="宋体"/>
      <w:b w:val="0"/>
      <w:position w:val="0"/>
      <w:lang w:val="zh-CN"/>
    </w:rPr>
  </w:style>
  <w:style w:type="paragraph" w:styleId="1155" w:customStyle="1">
    <w:name w:val="xl47"/>
    <w:basedOn w:val="94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56" w:customStyle="1">
    <w:name w:val="xl24"/>
    <w:basedOn w:val="9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7" w:customStyle="1">
    <w:name w:val="样式 标题 2第一章 标题 2Heading 2 HiddenHeading 2 CCBSheading 2H2h2..."/>
    <w:basedOn w:val="947"/>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58" w:customStyle="1">
    <w:name w:val="默认段落字体 Para Char"/>
    <w:basedOn w:val="945"/>
    <w:qFormat/>
    <w:rPr>
      <w:rFonts w:ascii="Calibri" w:hAnsi="Calibri" w:eastAsia="Calibri" w:cs="宋体"/>
      <w:b w:val="0"/>
      <w:position w:val="0"/>
      <w:szCs w:val="24"/>
      <w:lang w:val="zh-CN"/>
    </w:rPr>
  </w:style>
  <w:style w:type="paragraph" w:styleId="1159" w:customStyle="1">
    <w:name w:val="Char Char Char Char Char Char Char"/>
    <w:basedOn w:val="945"/>
    <w:qFormat/>
    <w:pPr>
      <w:tabs>
        <w:tab w:val="left" w:pos="360" w:leader="none"/>
      </w:tabs>
    </w:pPr>
    <w:rPr>
      <w:rFonts w:ascii="Times New Roman"/>
      <w:szCs w:val="24"/>
    </w:rPr>
  </w:style>
  <w:style w:type="paragraph" w:styleId="1160" w:customStyle="1">
    <w:name w:val="首行缩进"/>
    <w:basedOn w:val="945"/>
    <w:qFormat/>
    <w:pPr>
      <w:ind w:firstLine="480"/>
    </w:pPr>
    <w:rPr>
      <w:rFonts w:ascii="Calibri" w:hAnsi="Calibri" w:eastAsia="Calibri" w:cs="宋体"/>
      <w:b w:val="0"/>
      <w:position w:val="0"/>
      <w:sz w:val="20"/>
      <w:lang w:val="zh-CN"/>
    </w:rPr>
  </w:style>
  <w:style w:type="paragraph" w:styleId="1161" w:customStyle="1">
    <w:name w:val="xl60"/>
    <w:basedOn w:val="94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2" w:customStyle="1">
    <w:name w:val="标题4，章节第四层"/>
    <w:basedOn w:val="945"/>
    <w:next w:val="945"/>
    <w:qFormat/>
    <w:pPr>
      <w:spacing w:line="360" w:lineRule="auto"/>
      <w:tabs>
        <w:tab w:val="left" w:pos="0" w:leader="none"/>
      </w:tabs>
      <w:outlineLvl w:val="3"/>
    </w:pPr>
    <w:rPr>
      <w:rFonts w:hAnsi="宋体" w:eastAsia="Calibri" w:cs="宋体"/>
      <w:position w:val="0"/>
      <w:szCs w:val="24"/>
      <w:lang w:val="zh-CN"/>
    </w:rPr>
  </w:style>
  <w:style w:type="paragraph" w:styleId="1163" w:customStyle="1">
    <w:name w:val="xl51"/>
    <w:basedOn w:val="94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4" w:customStyle="1">
    <w:name w:val="表格内文字"/>
    <w:basedOn w:val="945"/>
    <w:qFormat/>
    <w:pPr>
      <w:spacing w:line="300" w:lineRule="atLeast"/>
    </w:pPr>
    <w:rPr>
      <w:rFonts w:ascii="Calibri" w:hAnsi="Calibri" w:eastAsia="Calibri" w:cs="宋体"/>
      <w:b w:val="0"/>
      <w:position w:val="0"/>
      <w:sz w:val="18"/>
      <w:szCs w:val="24"/>
      <w:lang w:val="zh-CN"/>
    </w:rPr>
  </w:style>
  <w:style w:type="paragraph" w:styleId="1165" w:customStyle="1">
    <w:name w:val="xl26"/>
    <w:basedOn w:val="9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6" w:customStyle="1">
    <w:name w:val="正文1"/>
    <w:qFormat/>
    <w:pPr>
      <w:spacing w:line="360" w:lineRule="atLeast"/>
      <w:widowControl w:val="off"/>
    </w:pPr>
    <w:rPr>
      <w:rFonts w:ascii="宋体"/>
      <w:b/>
      <w:position w:val="-10"/>
      <w:sz w:val="24"/>
    </w:rPr>
  </w:style>
  <w:style w:type="paragraph" w:styleId="1167" w:customStyle="1">
    <w:name w:val="Char Char2"/>
    <w:basedOn w:val="945"/>
    <w:qFormat/>
    <w:rPr>
      <w:rFonts w:ascii="Tahoma" w:hAnsi="Tahoma" w:eastAsia="Calibri" w:cs="宋体"/>
      <w:b w:val="0"/>
      <w:position w:val="0"/>
      <w:lang w:val="zh-CN"/>
    </w:rPr>
  </w:style>
  <w:style w:type="paragraph" w:styleId="1168" w:customStyle="1">
    <w:name w:val="Default Text"/>
    <w:basedOn w:val="945"/>
    <w:qFormat/>
    <w:pPr>
      <w:jc w:val="left"/>
      <w:widowControl/>
    </w:pPr>
    <w:rPr>
      <w:rFonts w:ascii="Calibri" w:hAnsi="Calibri" w:eastAsia="Calibri" w:cs="宋体"/>
      <w:b w:val="0"/>
      <w:position w:val="0"/>
      <w:lang w:val="zh-CN" w:eastAsia="en-US"/>
    </w:rPr>
  </w:style>
  <w:style w:type="paragraph" w:styleId="1169" w:customStyle="1">
    <w:name w:val="正文文本缩进1"/>
    <w:basedOn w:val="945"/>
    <w:qFormat/>
    <w:pPr>
      <w:ind w:left="420"/>
      <w:spacing w:after="120"/>
    </w:pPr>
    <w:rPr>
      <w:rFonts w:ascii="Calibri" w:hAnsi="Calibri" w:eastAsia="Calibri" w:cs="宋体"/>
      <w:b w:val="0"/>
      <w:position w:val="0"/>
      <w:sz w:val="20"/>
      <w:szCs w:val="24"/>
      <w:lang w:val="zh-CN"/>
    </w:rPr>
  </w:style>
  <w:style w:type="paragraph" w:styleId="1170" w:customStyle="1">
    <w:name w:val="正文 首行缩进:  2 字符 Char"/>
    <w:basedOn w:val="945"/>
    <w:qFormat/>
    <w:pPr>
      <w:ind w:firstLine="480"/>
      <w:spacing w:line="360" w:lineRule="auto"/>
    </w:pPr>
    <w:rPr>
      <w:rFonts w:ascii="Calibri" w:hAnsi="Calibri" w:eastAsia="Calibri" w:cs="宋体"/>
      <w:b w:val="0"/>
      <w:position w:val="0"/>
      <w:lang w:val="zh-CN"/>
    </w:rPr>
  </w:style>
  <w:style w:type="paragraph" w:styleId="1171" w:customStyle="1">
    <w:name w:val="正文表标题"/>
    <w:next w:val="1024"/>
    <w:qFormat/>
    <w:pPr>
      <w:ind w:left="900" w:hanging="420"/>
      <w:jc w:val="center"/>
      <w:tabs>
        <w:tab w:val="left" w:pos="900" w:leader="none"/>
      </w:tabs>
    </w:pPr>
    <w:rPr>
      <w:rFonts w:ascii="黑体" w:eastAsia="黑体"/>
      <w:sz w:val="21"/>
    </w:rPr>
  </w:style>
  <w:style w:type="paragraph" w:styleId="1172" w:customStyle="1">
    <w:name w:val="正文 居中"/>
    <w:basedOn w:val="945"/>
    <w:qFormat/>
    <w:pPr>
      <w:jc w:val="center"/>
      <w:spacing w:line="360" w:lineRule="auto"/>
    </w:pPr>
    <w:rPr>
      <w:rFonts w:ascii="Calibri" w:hAnsi="Calibri" w:eastAsia="Calibri" w:cs="宋体"/>
      <w:b w:val="0"/>
      <w:position w:val="0"/>
      <w:lang w:val="zh-CN"/>
    </w:rPr>
  </w:style>
  <w:style w:type="paragraph" w:styleId="1173" w:customStyle="1">
    <w:name w:val="Char Char Char1"/>
    <w:basedOn w:val="966"/>
    <w:qFormat/>
    <w:pPr>
      <w:spacing w:line="436" w:lineRule="exact"/>
    </w:pPr>
    <w:rPr>
      <w:b w:val="0"/>
      <w:position w:val="0"/>
      <w:sz w:val="21"/>
      <w:szCs w:val="24"/>
    </w:rPr>
  </w:style>
  <w:style w:type="paragraph" w:styleId="1174" w:customStyle="1">
    <w:name w:val="样式1"/>
    <w:basedOn w:val="945"/>
    <w:next w:val="949"/>
    <w:qFormat/>
    <w:pPr>
      <w:ind w:firstLine="480"/>
      <w:spacing w:line="300" w:lineRule="auto"/>
    </w:pPr>
  </w:style>
  <w:style w:type="paragraph" w:styleId="1175" w:customStyle="1">
    <w:name w:val="正文缩进1"/>
    <w:basedOn w:val="945"/>
    <w:link w:val="1176"/>
    <w:qFormat/>
    <w:pPr>
      <w:ind w:firstLine="420"/>
    </w:pPr>
    <w:rPr>
      <w:rFonts w:ascii="Times New Roman"/>
      <w:b w:val="0"/>
      <w:position w:val="0"/>
      <w:sz w:val="20"/>
    </w:rPr>
  </w:style>
  <w:style w:type="character" w:styleId="1176" w:customStyle="1">
    <w:name w:val="正文缩进 Char1"/>
    <w:link w:val="1175"/>
    <w:qFormat/>
  </w:style>
  <w:style w:type="paragraph" w:styleId="1177" w:customStyle="1">
    <w:name w:val="1"/>
    <w:basedOn w:val="945"/>
    <w:next w:val="1002"/>
    <w:qFormat/>
    <w:pPr>
      <w:spacing w:line="360" w:lineRule="auto"/>
    </w:pPr>
    <w:rPr>
      <w:rFonts w:ascii="Calibri" w:hAnsi="Calibri" w:eastAsia="仿宋_GB2312" w:cs="宋体"/>
      <w:b w:val="0"/>
      <w:position w:val="0"/>
      <w:szCs w:val="24"/>
      <w:lang w:val="zh-CN"/>
    </w:rPr>
  </w:style>
  <w:style w:type="paragraph" w:styleId="1178" w:customStyle="1">
    <w:name w:val="Char Char Char Char Char Char Char Char Char Char Char"/>
    <w:basedOn w:val="945"/>
    <w:qFormat/>
    <w:rPr>
      <w:rFonts w:ascii="Tahoma" w:hAnsi="Tahoma" w:eastAsia="Calibri" w:cs="宋体"/>
      <w:b w:val="0"/>
      <w:position w:val="0"/>
      <w:lang w:val="zh-CN"/>
    </w:rPr>
  </w:style>
  <w:style w:type="paragraph" w:styleId="1179" w:customStyle="1">
    <w:name w:val="样式"/>
    <w:basedOn w:val="945"/>
    <w:qFormat/>
    <w:pPr>
      <w:spacing w:before="120" w:after="120" w:line="360" w:lineRule="auto"/>
    </w:pPr>
    <w:rPr>
      <w:rFonts w:hAnsi="Calibri" w:eastAsia="Calibri" w:cs="宋体"/>
      <w:b w:val="0"/>
      <w:position w:val="0"/>
      <w:lang w:val="zh-CN"/>
    </w:rPr>
  </w:style>
  <w:style w:type="paragraph" w:styleId="1180" w:customStyle="1">
    <w:name w:val="xl31"/>
    <w:basedOn w:val="9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81" w:customStyle="1">
    <w:name w:val="纯文本1"/>
    <w:basedOn w:val="945"/>
    <w:qFormat/>
    <w:rPr>
      <w:rFonts w:hAnsi="宋体" w:eastAsia="楷体_GB2312" w:cs="宋体"/>
      <w:b w:val="0"/>
      <w:position w:val="0"/>
      <w:sz w:val="28"/>
      <w:lang w:val="zh-CN"/>
    </w:rPr>
  </w:style>
  <w:style w:type="paragraph" w:styleId="1182" w:customStyle="1">
    <w:name w:val="表格1"/>
    <w:basedOn w:val="945"/>
    <w:qFormat/>
    <w:rPr>
      <w:rFonts w:hAnsi="Calibri" w:eastAsia="Calibri" w:cs="宋体"/>
      <w:b w:val="0"/>
      <w:position w:val="0"/>
      <w:sz w:val="20"/>
      <w:szCs w:val="21"/>
      <w:lang w:val="zh-CN"/>
    </w:rPr>
  </w:style>
  <w:style w:type="paragraph" w:styleId="1183" w:customStyle="1">
    <w:name w:val="Char"/>
    <w:basedOn w:val="945"/>
    <w:semiHidden/>
    <w:qFormat/>
    <w:rPr>
      <w:rFonts w:ascii="Tahoma" w:hAnsi="Tahoma" w:eastAsia="Calibri" w:cs="仿宋_GB2312"/>
      <w:b w:val="0"/>
      <w:position w:val="0"/>
      <w:szCs w:val="28"/>
      <w:lang w:val="zh-CN"/>
    </w:rPr>
  </w:style>
  <w:style w:type="paragraph" w:styleId="1184" w:customStyle="1">
    <w:name w:val="正文缩进2字符"/>
    <w:basedOn w:val="945"/>
    <w:qFormat/>
    <w:pPr>
      <w:ind w:firstLine="200"/>
      <w:spacing w:line="300" w:lineRule="auto"/>
    </w:pPr>
    <w:rPr>
      <w:rFonts w:ascii="仿宋_GB2312" w:hAnsi="Calibri" w:eastAsia="仿宋_GB2312" w:cs="宋体"/>
      <w:b w:val="0"/>
      <w:position w:val="0"/>
      <w:sz w:val="32"/>
      <w:szCs w:val="32"/>
      <w:lang w:val="zh-CN"/>
    </w:rPr>
  </w:style>
  <w:style w:type="paragraph" w:styleId="1185" w:customStyle="1">
    <w:name w:val="Char1"/>
    <w:basedOn w:val="945"/>
    <w:qFormat/>
    <w:rPr>
      <w:rFonts w:ascii="仿宋_GB2312" w:hAnsi="宋体" w:eastAsia="仿宋_GB2312" w:cs="宋体"/>
      <w:position w:val="0"/>
      <w:sz w:val="32"/>
      <w:szCs w:val="32"/>
      <w:lang w:val="zh-CN"/>
    </w:rPr>
  </w:style>
  <w:style w:type="paragraph" w:styleId="1186" w:customStyle="1">
    <w:name w:val="样式 样式 首行缩进:  2 字符 + 行距: 1.5 倍行距"/>
    <w:basedOn w:val="945"/>
    <w:qFormat/>
    <w:pPr>
      <w:ind w:firstLine="470"/>
      <w:spacing w:line="360" w:lineRule="auto"/>
    </w:pPr>
    <w:rPr>
      <w:rFonts w:ascii="Calibri" w:hAnsi="Calibri" w:eastAsia="Calibri" w:cs="宋体"/>
      <w:b w:val="0"/>
      <w:position w:val="0"/>
      <w:lang w:val="zh-CN"/>
    </w:rPr>
  </w:style>
  <w:style w:type="paragraph" w:styleId="1187" w:customStyle="1">
    <w:name w:val="符号与编号 Char Char"/>
    <w:basedOn w:val="945"/>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88" w:customStyle="1">
    <w:name w:val="Char Char1 Char1"/>
    <w:basedOn w:val="945"/>
    <w:qFormat/>
    <w:pPr>
      <w:jc w:val="left"/>
      <w:spacing w:after="160" w:line="240" w:lineRule="exact"/>
      <w:widowControl/>
    </w:pPr>
    <w:rPr>
      <w:rFonts w:ascii="Verdana" w:hAnsi="Verdana" w:eastAsia="Calibri" w:cs="宋体"/>
      <w:b w:val="0"/>
      <w:position w:val="0"/>
      <w:sz w:val="20"/>
      <w:lang w:val="zh-CN" w:eastAsia="en-US"/>
    </w:rPr>
  </w:style>
  <w:style w:type="paragraph" w:styleId="1189" w:customStyle="1">
    <w:name w:val="Char11"/>
    <w:basedOn w:val="945"/>
    <w:qFormat/>
    <w:pPr>
      <w:jc w:val="left"/>
      <w:spacing w:after="160" w:line="240" w:lineRule="exact"/>
      <w:widowControl/>
    </w:pPr>
    <w:rPr>
      <w:rFonts w:ascii="Verdana" w:hAnsi="Verdana" w:eastAsia="仿宋_GB2312" w:cs="宋体"/>
      <w:b w:val="0"/>
      <w:position w:val="0"/>
      <w:lang w:val="zh-CN" w:eastAsia="en-US"/>
    </w:rPr>
  </w:style>
  <w:style w:type="paragraph" w:styleId="1190" w:customStyle="1">
    <w:name w:val="样式 样式 首行缩进:  0.74 厘米 行距: 1.5 倍行距 + 段后: 0.5 行"/>
    <w:basedOn w:val="945"/>
    <w:qFormat/>
    <w:pPr>
      <w:ind w:firstLine="420"/>
      <w:spacing w:line="360" w:lineRule="auto"/>
    </w:pPr>
    <w:rPr>
      <w:rFonts w:ascii="楷体_GB2312" w:hAnsi="Calibri" w:eastAsia="楷体_GB2312" w:cs="宋体"/>
      <w:b w:val="0"/>
      <w:bCs/>
      <w:position w:val="0"/>
      <w:lang w:val="zh-CN"/>
    </w:rPr>
  </w:style>
  <w:style w:type="paragraph" w:styleId="1191" w:customStyle="1">
    <w:name w:val="Table Text Char"/>
    <w:qFormat/>
    <w:pPr>
      <w:spacing w:before="80" w:after="80"/>
    </w:pPr>
    <w:rPr>
      <w:rFonts w:ascii="Arial" w:hAnsi="Arial" w:cs="Arial"/>
      <w:sz w:val="18"/>
      <w:szCs w:val="28"/>
    </w:rPr>
  </w:style>
  <w:style w:type="paragraph" w:styleId="1192" w:customStyle="1">
    <w:name w:val="Char Char Char Char"/>
    <w:basedOn w:val="966"/>
    <w:qFormat/>
    <w:pPr>
      <w:spacing w:line="360" w:lineRule="auto"/>
    </w:pPr>
    <w:rPr>
      <w:rFonts w:ascii="Tahoma" w:hAnsi="Tahoma"/>
      <w:szCs w:val="24"/>
    </w:rPr>
  </w:style>
  <w:style w:type="paragraph" w:styleId="1193" w:customStyle="1">
    <w:name w:val="xl54"/>
    <w:basedOn w:val="94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94" w:customStyle="1">
    <w:name w:val="正文文本 21"/>
    <w:basedOn w:val="945"/>
    <w:qFormat/>
    <w:pPr>
      <w:ind w:left="720" w:hanging="720"/>
      <w:widowControl/>
    </w:pPr>
    <w:rPr>
      <w:rFonts w:ascii="Calibri" w:hAnsi="Calibri" w:eastAsia="Calibri" w:cs="宋体"/>
      <w:b w:val="0"/>
      <w:position w:val="0"/>
      <w:lang w:val="en-GB"/>
    </w:rPr>
  </w:style>
  <w:style w:type="paragraph" w:styleId="1195" w:customStyle="1">
    <w:name w:val="Char Char Char Char Char Char Char Char"/>
    <w:basedOn w:val="945"/>
    <w:qFormat/>
    <w:pPr>
      <w:jc w:val="left"/>
      <w:spacing w:after="160" w:line="240" w:lineRule="exact"/>
      <w:widowControl/>
    </w:pPr>
    <w:rPr>
      <w:rFonts w:ascii="Verdana" w:hAnsi="Verdana"/>
      <w:sz w:val="20"/>
      <w:lang w:eastAsia="en-US"/>
    </w:rPr>
  </w:style>
  <w:style w:type="paragraph" w:styleId="1196" w:customStyle="1">
    <w:name w:val="qw"/>
    <w:qFormat/>
    <w:pPr>
      <w:jc w:val="both"/>
      <w:spacing w:line="312" w:lineRule="atLeast"/>
      <w:widowControl w:val="off"/>
    </w:pPr>
    <w:rPr>
      <w:rFonts w:ascii="宋体"/>
      <w:sz w:val="24"/>
    </w:rPr>
  </w:style>
  <w:style w:type="paragraph" w:styleId="1197" w:customStyle="1">
    <w:name w:val="小四 段落 宋体 Char Char Char Char"/>
    <w:basedOn w:val="945"/>
    <w:qFormat/>
    <w:pPr>
      <w:ind w:right="-33" w:firstLine="480"/>
      <w:jc w:val="left"/>
      <w:spacing w:line="360" w:lineRule="auto"/>
    </w:pPr>
    <w:rPr>
      <w:rFonts w:ascii="Calibri" w:hAnsi="Calibri" w:eastAsia="Calibri" w:cs="宋体"/>
      <w:b w:val="0"/>
      <w:position w:val="0"/>
      <w:szCs w:val="24"/>
      <w:lang w:val="zh-CN"/>
    </w:rPr>
  </w:style>
  <w:style w:type="paragraph" w:styleId="1198" w:customStyle="1">
    <w:name w:val="zw"/>
    <w:basedOn w:val="945"/>
    <w:qFormat/>
    <w:pPr>
      <w:ind w:firstLine="480"/>
      <w:jc w:val="left"/>
      <w:spacing w:line="360" w:lineRule="auto"/>
      <w:widowControl/>
    </w:pPr>
    <w:rPr>
      <w:rFonts w:hAnsi="宋体" w:eastAsia="Calibri" w:cs="宋体"/>
      <w:b w:val="0"/>
      <w:bCs/>
      <w:position w:val="0"/>
      <w:lang w:val="zh-CN"/>
    </w:rPr>
  </w:style>
  <w:style w:type="paragraph" w:styleId="1199" w:customStyle="1">
    <w:name w:val="Char Char Char Char Char Char Char Char1"/>
    <w:basedOn w:val="945"/>
    <w:qFormat/>
    <w:rPr>
      <w:rFonts w:ascii="Tahoma" w:hAnsi="Tahoma" w:eastAsia="Calibri" w:cs="Tahoma"/>
      <w:b w:val="0"/>
      <w:position w:val="0"/>
      <w:lang w:val="zh-CN"/>
    </w:rPr>
  </w:style>
  <w:style w:type="paragraph" w:styleId="1200" w:customStyle="1">
    <w:name w:val="xl42"/>
    <w:basedOn w:val="9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1" w:customStyle="1">
    <w:name w:val="Char Char Char Char Char Char Char Char Char Char Char Char Char"/>
    <w:basedOn w:val="966"/>
    <w:qFormat/>
    <w:rPr>
      <w:rFonts w:ascii="Tahoma" w:hAnsi="Tahoma"/>
      <w:b w:val="0"/>
      <w:position w:val="0"/>
      <w:szCs w:val="24"/>
    </w:rPr>
  </w:style>
  <w:style w:type="paragraph" w:styleId="1202" w:customStyle="1">
    <w:name w:val="_Style 42"/>
    <w:basedOn w:val="945"/>
    <w:next w:val="971"/>
    <w:qFormat/>
    <w:rPr>
      <w:rFonts w:ascii="楷体_GB2312" w:hAnsi="Arial" w:eastAsia="楷体_GB2312" w:cs="宋体"/>
      <w:b w:val="0"/>
      <w:position w:val="0"/>
      <w:sz w:val="28"/>
      <w:lang w:val="zh-CN"/>
    </w:rPr>
  </w:style>
  <w:style w:type="paragraph" w:styleId="1203" w:customStyle="1">
    <w:name w:val="Char Char Char Char Char Char Char1"/>
    <w:basedOn w:val="945"/>
    <w:qFormat/>
    <w:pPr>
      <w:jc w:val="left"/>
    </w:pPr>
    <w:rPr>
      <w:rFonts w:ascii="Tahoma" w:hAnsi="Tahoma" w:eastAsia="Calibri" w:cs="宋体"/>
      <w:b w:val="0"/>
      <w:position w:val="0"/>
      <w:lang w:val="zh-CN"/>
    </w:rPr>
  </w:style>
  <w:style w:type="paragraph" w:styleId="1204" w:customStyle="1">
    <w:name w:val="样式 样式 标题 3H3sect1.2.3BOD 0Heading 3 - oldh3l3CTLevel 3 Head... +..."/>
    <w:basedOn w:val="945"/>
    <w:qFormat/>
    <w:pPr>
      <w:jc w:val="left"/>
      <w:keepLines/>
      <w:keepNext/>
      <w:outlineLvl w:val="2"/>
    </w:pPr>
    <w:rPr>
      <w:rFonts w:ascii="Calibri" w:hAnsi="Calibri" w:eastAsia="Calibri" w:cs="宋体"/>
      <w:bCs/>
      <w:position w:val="0"/>
      <w:lang w:val="zh-CN"/>
    </w:rPr>
  </w:style>
  <w:style w:type="paragraph" w:styleId="1205" w:customStyle="1">
    <w:name w:val="条1"/>
    <w:basedOn w:val="94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06" w:customStyle="1">
    <w:name w:val="flType"/>
    <w:basedOn w:val="1082"/>
    <w:qFormat/>
    <w:pPr>
      <w:spacing w:after="284"/>
    </w:pPr>
    <w:rPr>
      <w:rFonts w:eastAsia="宋体"/>
      <w:b w:val="0"/>
    </w:rPr>
  </w:style>
  <w:style w:type="paragraph" w:styleId="1207" w:customStyle="1">
    <w:name w:val="Char Char Char Char Char Char"/>
    <w:basedOn w:val="945"/>
    <w:qFormat/>
    <w:rPr>
      <w:rFonts w:ascii="Tahoma" w:hAnsi="Tahoma" w:eastAsia="Calibri" w:cs="Tahoma"/>
      <w:b w:val="0"/>
      <w:position w:val="0"/>
      <w:lang w:val="zh-CN"/>
    </w:rPr>
  </w:style>
  <w:style w:type="paragraph" w:styleId="1208" w:customStyle="1">
    <w:name w:val="xl25"/>
    <w:basedOn w:val="945"/>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09" w:customStyle="1">
    <w:name w:val="项目符号，一级"/>
    <w:basedOn w:val="1060"/>
    <w:next w:val="1060"/>
    <w:qFormat/>
    <w:pPr>
      <w:ind w:left="376" w:firstLine="0"/>
      <w:spacing w:line="240" w:lineRule="atLeast"/>
      <w:tabs>
        <w:tab w:val="left" w:pos="1320" w:leader="none"/>
      </w:tabs>
    </w:pPr>
    <w:rPr>
      <w:bCs w:val="0"/>
      <w:color w:val="000000"/>
      <w:szCs w:val="24"/>
    </w:rPr>
  </w:style>
  <w:style w:type="paragraph" w:styleId="1210" w:customStyle="1">
    <w:name w:val="Char2"/>
    <w:basedOn w:val="945"/>
    <w:qFormat/>
    <w:pPr>
      <w:jc w:val="left"/>
      <w:spacing w:after="160" w:line="240" w:lineRule="exact"/>
      <w:widowControl/>
    </w:pPr>
    <w:rPr>
      <w:rFonts w:ascii="Verdana" w:hAnsi="Verdana"/>
      <w:sz w:val="20"/>
      <w:lang w:eastAsia="en-US"/>
    </w:rPr>
  </w:style>
  <w:style w:type="paragraph" w:styleId="1211" w:customStyle="1">
    <w:name w:val="_Style 226"/>
    <w:basedOn w:val="946"/>
    <w:next w:val="945"/>
    <w:qFormat/>
    <w:pPr>
      <w:jc w:val="left"/>
      <w:keepLines/>
      <w:spacing w:before="480" w:line="276" w:lineRule="auto"/>
      <w:widowControl/>
      <w:outlineLvl w:val="9"/>
    </w:pPr>
    <w:rPr>
      <w:rFonts w:ascii="Cambria" w:hAnsi="Cambria" w:eastAsia="宋体"/>
      <w:bCs/>
      <w:color w:val="365f91"/>
    </w:rPr>
  </w:style>
  <w:style w:type="paragraph" w:styleId="1212" w:customStyle="1">
    <w:name w:val="xl53"/>
    <w:basedOn w:val="94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3" w:customStyle="1">
    <w:name w:val="Char Char Char Char Char Char Char Char Char"/>
    <w:basedOn w:val="945"/>
    <w:qFormat/>
    <w:pPr>
      <w:ind w:left="200" w:hanging="200"/>
      <w:tabs>
        <w:tab w:val="left" w:pos="360" w:leader="none"/>
      </w:tabs>
    </w:pPr>
    <w:rPr>
      <w:rFonts w:ascii="Calibri" w:hAnsi="Calibri" w:eastAsia="Calibri" w:cs="宋体"/>
      <w:b w:val="0"/>
      <w:position w:val="0"/>
      <w:szCs w:val="24"/>
      <w:lang w:val="zh-CN"/>
    </w:rPr>
  </w:style>
  <w:style w:type="paragraph" w:styleId="1214" w:customStyle="1">
    <w:name w:val="xl30"/>
    <w:basedOn w:val="9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5" w:customStyle="1">
    <w:name w:val="greytypebeni"/>
    <w:basedOn w:val="945"/>
    <w:qFormat/>
    <w:pPr>
      <w:jc w:val="left"/>
      <w:widowControl/>
    </w:pPr>
    <w:rPr>
      <w:rFonts w:hAnsi="宋体" w:eastAsia="Calibri" w:cs="宋体"/>
      <w:b w:val="0"/>
      <w:position w:val="0"/>
      <w:szCs w:val="24"/>
      <w:lang w:val="zh-CN"/>
    </w:rPr>
  </w:style>
  <w:style w:type="paragraph" w:styleId="1216" w:customStyle="1">
    <w:name w:val="标题5，章节第五层"/>
    <w:basedOn w:val="945"/>
    <w:next w:val="94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17" w:customStyle="1">
    <w:name w:val="样式3"/>
    <w:basedOn w:val="945"/>
    <w:next w:val="945"/>
    <w:qFormat/>
    <w:pPr>
      <w:spacing w:line="360" w:lineRule="auto"/>
    </w:pPr>
    <w:rPr>
      <w:rFonts w:ascii="Calibri" w:hAnsi="Calibri" w:eastAsia="Calibri" w:cs="宋体"/>
      <w:b w:val="0"/>
      <w:position w:val="0"/>
      <w:sz w:val="20"/>
      <w:lang w:val="zh-CN"/>
    </w:rPr>
  </w:style>
  <w:style w:type="paragraph" w:styleId="1218" w:customStyle="1">
    <w:name w:val="样式2"/>
    <w:basedOn w:val="945"/>
    <w:qFormat/>
    <w:pPr>
      <w:ind w:left="200"/>
      <w:spacing w:line="360" w:lineRule="auto"/>
    </w:pPr>
    <w:rPr>
      <w:rFonts w:hAnsi="宋体" w:eastAsia="Calibri" w:cs="宋体"/>
      <w:position w:val="0"/>
      <w:szCs w:val="24"/>
      <w:lang w:val="zh-CN"/>
    </w:rPr>
  </w:style>
  <w:style w:type="paragraph" w:styleId="1219" w:customStyle="1">
    <w:name w:val="列出段落11"/>
    <w:basedOn w:val="945"/>
    <w:uiPriority w:val="34"/>
    <w:qFormat/>
    <w:pPr>
      <w:ind w:firstLine="420"/>
    </w:pPr>
    <w:rPr>
      <w:rFonts w:ascii="Calibri" w:hAnsi="Calibri" w:eastAsia="Calibri" w:cs="宋体"/>
      <w:b w:val="0"/>
      <w:position w:val="0"/>
      <w:sz w:val="20"/>
      <w:szCs w:val="24"/>
      <w:lang w:val="zh-CN"/>
    </w:rPr>
  </w:style>
  <w:style w:type="paragraph" w:styleId="1220" w:customStyle="1">
    <w:name w:val="论文正文"/>
    <w:basedOn w:val="983"/>
    <w:qFormat/>
    <w:pPr>
      <w:ind w:left="0" w:firstLine="200"/>
      <w:jc w:val="left"/>
      <w:spacing w:line="360" w:lineRule="auto"/>
    </w:pPr>
    <w:rPr>
      <w:rFonts w:ascii="Times New Roman" w:hAnsi="Times New Roman"/>
      <w:sz w:val="28"/>
      <w:szCs w:val="24"/>
    </w:rPr>
  </w:style>
  <w:style w:type="paragraph" w:styleId="1221" w:customStyle="1">
    <w:name w:val="Char Char11"/>
    <w:basedOn w:val="945"/>
    <w:qFormat/>
    <w:rPr>
      <w:rFonts w:ascii="Tahoma" w:hAnsi="Tahoma" w:eastAsia="Calibri" w:cs="宋体"/>
      <w:b w:val="0"/>
      <w:position w:val="0"/>
      <w:lang w:val="zh-CN"/>
    </w:rPr>
  </w:style>
  <w:style w:type="paragraph" w:styleId="1222" w:customStyle="1">
    <w:name w:val="a0"/>
    <w:basedOn w:val="945"/>
    <w:qFormat/>
    <w:pPr>
      <w:spacing w:before="100" w:beforeAutospacing="1" w:after="100" w:afterAutospacing="1"/>
      <w:widowControl/>
    </w:pPr>
    <w:rPr>
      <w:rFonts w:hAnsi="宋体" w:eastAsia="Calibri" w:cs="宋体"/>
      <w:b w:val="0"/>
      <w:position w:val="0"/>
      <w:szCs w:val="24"/>
      <w:lang w:val="zh-CN"/>
    </w:rPr>
  </w:style>
  <w:style w:type="paragraph" w:styleId="1223" w:customStyle="1">
    <w:name w:val="xl44"/>
    <w:basedOn w:val="94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24" w:customStyle="1">
    <w:name w:val="正文--表格内正文"/>
    <w:basedOn w:val="945"/>
    <w:qFormat/>
    <w:pPr>
      <w:jc w:val="center"/>
      <w:spacing w:line="0" w:lineRule="atLeast"/>
    </w:pPr>
    <w:rPr>
      <w:rFonts w:hAnsi="宋体" w:eastAsia="Calibri" w:cs="宋体"/>
      <w:b w:val="0"/>
      <w:color w:val="000000"/>
      <w:position w:val="0"/>
      <w:szCs w:val="24"/>
      <w:lang w:val="zh-CN"/>
    </w:rPr>
  </w:style>
  <w:style w:type="paragraph" w:styleId="1225" w:customStyle="1">
    <w:name w:val="xl63"/>
    <w:basedOn w:val="94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26" w:customStyle="1">
    <w:name w:val="7"/>
    <w:basedOn w:val="945"/>
    <w:next w:val="1004"/>
    <w:qFormat/>
    <w:pPr>
      <w:jc w:val="left"/>
      <w:spacing w:before="100" w:beforeAutospacing="1" w:after="100" w:afterAutospacing="1"/>
      <w:widowControl/>
    </w:pPr>
    <w:rPr>
      <w:rFonts w:hAnsi="宋体" w:eastAsia="Calibri" w:cs="宋体"/>
      <w:b w:val="0"/>
      <w:position w:val="0"/>
      <w:lang w:val="zh-CN"/>
    </w:rPr>
  </w:style>
  <w:style w:type="paragraph" w:styleId="1227" w:customStyle="1">
    <w:name w:val="列出段落2"/>
    <w:basedOn w:val="945"/>
    <w:qFormat/>
    <w:pPr>
      <w:ind w:left="720"/>
      <w:jc w:val="left"/>
      <w:widowControl/>
    </w:pPr>
    <w:rPr>
      <w:rFonts w:ascii="Arial" w:hAnsi="Arial" w:eastAsia="黑体" w:cs="Arial"/>
      <w:b w:val="0"/>
      <w:position w:val="0"/>
      <w:szCs w:val="24"/>
      <w:lang w:val="zh-CN" w:eastAsia="en-US"/>
    </w:rPr>
  </w:style>
  <w:style w:type="paragraph" w:styleId="1228" w:customStyle="1">
    <w:name w:val="xl59"/>
    <w:basedOn w:val="94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9" w:customStyle="1">
    <w:name w:val="Char Char Char Char1 Char Char Char"/>
    <w:basedOn w:val="966"/>
    <w:qFormat/>
    <w:pPr>
      <w:spacing w:line="360" w:lineRule="auto"/>
    </w:pPr>
    <w:rPr>
      <w:rFonts w:ascii="Tahoma" w:hAnsi="Tahoma"/>
      <w:szCs w:val="24"/>
    </w:rPr>
  </w:style>
  <w:style w:type="paragraph" w:styleId="1230" w:customStyle="1">
    <w:name w:val="表格内容"/>
    <w:basedOn w:val="945"/>
    <w:qFormat/>
    <w:pPr>
      <w:jc w:val="center"/>
      <w:spacing w:before="60" w:line="300" w:lineRule="auto"/>
      <w:widowControl/>
    </w:pPr>
    <w:rPr>
      <w:rFonts w:ascii="Calibri" w:hAnsi="Calibri" w:eastAsia="Calibri" w:cs="宋体"/>
      <w:b w:val="0"/>
      <w:position w:val="0"/>
      <w:sz w:val="20"/>
      <w:lang w:val="zh-CN"/>
    </w:rPr>
  </w:style>
  <w:style w:type="paragraph" w:styleId="1231" w:customStyle="1">
    <w:name w:val="列表内容"/>
    <w:basedOn w:val="945"/>
    <w:next w:val="94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32" w:customStyle="1">
    <w:name w:val="Char Char Char Char Char Char Char1 Char"/>
    <w:basedOn w:val="945"/>
    <w:qFormat/>
    <w:rPr>
      <w:rFonts w:ascii="Tahoma" w:hAnsi="Tahoma" w:eastAsia="Calibri" w:cs="Tahoma"/>
      <w:b w:val="0"/>
      <w:position w:val="0"/>
      <w:lang w:val="zh-CN"/>
    </w:rPr>
  </w:style>
  <w:style w:type="paragraph" w:styleId="1233" w:customStyle="1">
    <w:name w:val="项目符号，二级"/>
    <w:basedOn w:val="1060"/>
    <w:next w:val="1060"/>
    <w:qFormat/>
    <w:pPr>
      <w:ind w:left="1337" w:right="-27" w:firstLine="480"/>
      <w:tabs>
        <w:tab w:val="left" w:pos="360" w:leader="none"/>
        <w:tab w:val="left" w:pos="1211" w:leader="none"/>
        <w:tab w:val="left" w:pos="1337" w:leader="none"/>
      </w:tabs>
    </w:pPr>
    <w:rPr>
      <w:bCs w:val="0"/>
      <w:color w:val="000000"/>
      <w:sz w:val="24"/>
      <w:szCs w:val="24"/>
    </w:rPr>
  </w:style>
  <w:style w:type="paragraph" w:styleId="1234" w:customStyle="1">
    <w:name w:val="xl32"/>
    <w:basedOn w:val="9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5" w:customStyle="1">
    <w:name w:val="Bullets L1"/>
    <w:basedOn w:val="945"/>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36" w:customStyle="1">
    <w:name w:val="Body Text 21"/>
    <w:basedOn w:val="945"/>
    <w:qFormat/>
    <w:pPr>
      <w:ind w:left="720" w:hanging="720"/>
      <w:widowControl/>
    </w:pPr>
    <w:rPr>
      <w:rFonts w:ascii="Calibri" w:hAnsi="Calibri" w:eastAsia="Calibri" w:cs="宋体"/>
      <w:b w:val="0"/>
      <w:position w:val="0"/>
      <w:lang w:val="en-GB"/>
    </w:rPr>
  </w:style>
  <w:style w:type="paragraph" w:styleId="1237" w:customStyle="1">
    <w:name w:val="方案正文"/>
    <w:basedOn w:val="945"/>
    <w:qFormat/>
    <w:pPr>
      <w:ind w:firstLine="359"/>
      <w:jc w:val="left"/>
      <w:spacing w:before="156" w:line="360" w:lineRule="auto"/>
    </w:pPr>
    <w:rPr>
      <w:rFonts w:ascii="Arial" w:hAnsi="Arial" w:eastAsia="Calibri" w:cs="宋体"/>
      <w:b w:val="0"/>
      <w:position w:val="0"/>
      <w:szCs w:val="21"/>
      <w:lang w:val="zh-CN"/>
    </w:rPr>
  </w:style>
  <w:style w:type="paragraph" w:styleId="1238" w:customStyle="1">
    <w:name w:val="xl62"/>
    <w:basedOn w:val="94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9" w:customStyle="1">
    <w:name w:val="xl57"/>
    <w:basedOn w:val="94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40" w:customStyle="1">
    <w:name w:val="Char Char1 Char Char Char Char1 Char Char Char Char Char Char"/>
    <w:basedOn w:val="945"/>
    <w:qFormat/>
    <w:rPr>
      <w:rFonts w:ascii="Tahoma" w:hAnsi="Tahoma" w:eastAsia="Calibri" w:cs="宋体"/>
      <w:b w:val="0"/>
      <w:position w:val="0"/>
      <w:lang w:val="zh-CN"/>
    </w:rPr>
  </w:style>
  <w:style w:type="paragraph" w:styleId="1241" w:customStyle="1">
    <w:name w:val="Char Char Char Char Char Char Char Char Char1"/>
    <w:basedOn w:val="945"/>
    <w:qFormat/>
    <w:pPr>
      <w:ind w:left="360" w:hanging="360"/>
      <w:tabs>
        <w:tab w:val="left" w:pos="360" w:leader="none"/>
      </w:tabs>
    </w:pPr>
    <w:rPr>
      <w:rFonts w:ascii="Calibri" w:hAnsi="Calibri" w:eastAsia="Calibri" w:cs="宋体"/>
      <w:b w:val="0"/>
      <w:position w:val="0"/>
      <w:szCs w:val="24"/>
      <w:lang w:val="zh-CN"/>
    </w:rPr>
  </w:style>
  <w:style w:type="paragraph" w:styleId="1242" w:customStyle="1">
    <w:name w:val="正文文本 22"/>
    <w:basedOn w:val="945"/>
    <w:qFormat/>
    <w:pPr>
      <w:ind w:left="720" w:hanging="720"/>
      <w:widowControl/>
    </w:pPr>
    <w:rPr>
      <w:rFonts w:ascii="Calibri" w:hAnsi="Calibri" w:eastAsia="Calibri" w:cs="宋体"/>
      <w:b w:val="0"/>
      <w:position w:val="0"/>
      <w:lang w:val="en-GB"/>
    </w:rPr>
  </w:style>
  <w:style w:type="paragraph" w:styleId="1243" w:customStyle="1">
    <w:name w:val="表蕊"/>
    <w:basedOn w:val="945"/>
    <w:qFormat/>
    <w:pPr>
      <w:jc w:val="left"/>
      <w:spacing w:line="320" w:lineRule="atLeast"/>
    </w:pPr>
    <w:rPr>
      <w:rFonts w:ascii="Calibri" w:hAnsi="Calibri" w:eastAsia="楷体_GB2312" w:cs="宋体"/>
      <w:b w:val="0"/>
      <w:spacing w:val="-10"/>
      <w:position w:val="0"/>
      <w:sz w:val="20"/>
      <w:lang w:val="zh-CN"/>
    </w:rPr>
  </w:style>
  <w:style w:type="paragraph" w:styleId="1244" w:customStyle="1">
    <w:name w:val="xl46"/>
    <w:basedOn w:val="94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45">
    <w:name w:val="No Spacing"/>
    <w:link w:val="1246"/>
    <w:qFormat/>
    <w:pPr>
      <w:jc w:val="both"/>
      <w:widowControl w:val="off"/>
    </w:pPr>
    <w:rPr>
      <w:rFonts w:ascii="Calibri" w:hAnsi="Calibri" w:eastAsia="微软雅黑"/>
      <w:sz w:val="24"/>
      <w:szCs w:val="22"/>
    </w:rPr>
  </w:style>
  <w:style w:type="character" w:styleId="1246" w:customStyle="1">
    <w:name w:val="无间隔 字符"/>
    <w:link w:val="1245"/>
    <w:qFormat/>
    <w:rPr>
      <w:rFonts w:ascii="Calibri" w:hAnsi="Calibri" w:eastAsia="微软雅黑"/>
      <w:sz w:val="24"/>
      <w:szCs w:val="22"/>
      <w:lang w:bidi="ar-SA"/>
    </w:rPr>
  </w:style>
  <w:style w:type="paragraph" w:styleId="1247" w:customStyle="1">
    <w:name w:val="二级条标题"/>
    <w:basedOn w:val="945"/>
    <w:next w:val="1024"/>
    <w:qFormat/>
    <w:pPr>
      <w:ind w:hanging="420"/>
      <w:widowControl/>
      <w:tabs>
        <w:tab w:val="left" w:pos="2240" w:leader="none"/>
      </w:tabs>
      <w:outlineLvl w:val="3"/>
    </w:pPr>
    <w:rPr>
      <w:rFonts w:ascii="Calibri" w:hAnsi="Calibri" w:eastAsia="黑体" w:cs="宋体"/>
      <w:b w:val="0"/>
      <w:position w:val="0"/>
      <w:sz w:val="20"/>
      <w:lang w:val="zh-CN"/>
    </w:rPr>
  </w:style>
  <w:style w:type="paragraph" w:styleId="1248" w:customStyle="1">
    <w:name w:val="部分1"/>
    <w:basedOn w:val="94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49">
    <w:name w:val="Intense Quote"/>
    <w:basedOn w:val="945"/>
    <w:next w:val="945"/>
    <w:link w:val="125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50" w:customStyle="1">
    <w:name w:val="明显引用 字符"/>
    <w:link w:val="1249"/>
    <w:qFormat/>
    <w:rPr>
      <w:rFonts w:ascii="Calibri" w:hAnsi="Calibri"/>
      <w:b/>
      <w:bCs/>
      <w:i/>
      <w:iCs/>
      <w:sz w:val="22"/>
      <w:szCs w:val="22"/>
      <w:lang w:eastAsia="en-US" w:bidi="en-US"/>
    </w:rPr>
  </w:style>
  <w:style w:type="paragraph" w:styleId="1251" w:customStyle="1">
    <w:name w:val="xl27"/>
    <w:basedOn w:val="9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2" w:customStyle="1">
    <w:name w:val="Table Paragraph"/>
    <w:basedOn w:val="945"/>
    <w:qFormat/>
    <w:rPr>
      <w:rFonts w:ascii="Times New Roman"/>
    </w:rPr>
  </w:style>
  <w:style w:type="paragraph" w:styleId="1253" w:customStyle="1">
    <w:name w:val="xl33"/>
    <w:basedOn w:val="9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4" w:customStyle="1">
    <w:name w:val="表格"/>
    <w:basedOn w:val="945"/>
    <w:qFormat/>
    <w:pPr>
      <w:ind w:firstLine="21"/>
    </w:pPr>
    <w:rPr>
      <w:rFonts w:hAnsi="宋体" w:eastAsia="Calibri" w:cs="宋体"/>
      <w:b w:val="0"/>
      <w:position w:val="0"/>
      <w:sz w:val="20"/>
      <w:lang w:val="zh-CN"/>
    </w:rPr>
  </w:style>
  <w:style w:type="paragraph" w:styleId="1255" w:customStyle="1">
    <w:name w:val="a"/>
    <w:basedOn w:val="945"/>
    <w:qFormat/>
    <w:pPr>
      <w:spacing w:before="100" w:beforeAutospacing="1" w:after="100" w:afterAutospacing="1"/>
      <w:widowControl/>
    </w:pPr>
    <w:rPr>
      <w:rFonts w:hAnsi="宋体" w:eastAsia="Calibri" w:cs="宋体"/>
      <w:b w:val="0"/>
      <w:position w:val="0"/>
      <w:szCs w:val="24"/>
      <w:lang w:val="zh-CN"/>
    </w:rPr>
  </w:style>
  <w:style w:type="paragraph" w:styleId="1256" w:customStyle="1">
    <w:name w:val="马刚标题4"/>
    <w:basedOn w:val="1096"/>
    <w:next w:val="945"/>
    <w:qFormat/>
    <w:pPr>
      <w:spacing w:before="100" w:after="40"/>
      <w:tabs>
        <w:tab w:val="clear" w:pos="567" w:leader="none"/>
        <w:tab w:val="clear" w:pos="735" w:leader="none"/>
        <w:tab w:val="left" w:pos="1050" w:leader="none"/>
      </w:tabs>
      <w:outlineLvl w:val="3"/>
    </w:pPr>
    <w:rPr>
      <w:b w:val="0"/>
    </w:rPr>
  </w:style>
  <w:style w:type="paragraph" w:styleId="1257" w:customStyle="1">
    <w:name w:val="Char Char Char Char Char Char Char Char Char Char Char Char Char Char Char Char Char Char Char Char Char Char Char1"/>
    <w:basedOn w:val="945"/>
    <w:qFormat/>
    <w:rPr>
      <w:rFonts w:ascii="Tahoma" w:hAnsi="Tahoma" w:eastAsia="Calibri" w:cs="Tahoma"/>
      <w:b w:val="0"/>
      <w:position w:val="0"/>
      <w:lang w:val="zh-CN"/>
    </w:rPr>
  </w:style>
  <w:style w:type="paragraph" w:styleId="1258" w:customStyle="1">
    <w:name w:val="No Spacing1"/>
    <w:qFormat/>
    <w:pPr>
      <w:jc w:val="both"/>
      <w:widowControl w:val="off"/>
    </w:pPr>
    <w:rPr>
      <w:rFonts w:ascii="Calibri" w:hAnsi="Calibri" w:eastAsia="微软雅黑"/>
      <w:sz w:val="24"/>
      <w:szCs w:val="22"/>
    </w:rPr>
  </w:style>
  <w:style w:type="paragraph" w:styleId="1259" w:customStyle="1">
    <w:name w:val="xl49"/>
    <w:basedOn w:val="94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60" w:customStyle="1">
    <w:name w:val="Char Char Char Char1"/>
    <w:basedOn w:val="966"/>
    <w:qFormat/>
    <w:rPr>
      <w:rFonts w:ascii="Tahoma" w:hAnsi="Tahoma"/>
      <w:szCs w:val="24"/>
    </w:rPr>
  </w:style>
  <w:style w:type="paragraph" w:styleId="1261" w:customStyle="1">
    <w:name w:val="Char Char Char Char Char Char Char Char Char Char Char1"/>
    <w:basedOn w:val="945"/>
    <w:qFormat/>
    <w:rPr>
      <w:rFonts w:ascii="Tahoma" w:hAnsi="Tahoma" w:eastAsia="Calibri" w:cs="Tahoma"/>
      <w:b w:val="0"/>
      <w:position w:val="0"/>
      <w:lang w:val="zh-CN"/>
    </w:rPr>
  </w:style>
  <w:style w:type="paragraph" w:styleId="1262" w:customStyle="1">
    <w:name w:val="font7"/>
    <w:basedOn w:val="945"/>
    <w:qFormat/>
    <w:pPr>
      <w:jc w:val="left"/>
      <w:spacing w:before="100" w:beforeAutospacing="1" w:after="100" w:afterAutospacing="1"/>
      <w:widowControl/>
    </w:pPr>
    <w:rPr>
      <w:rFonts w:hint="eastAsia" w:hAnsi="宋体" w:eastAsia="Calibri" w:cs="宋体"/>
      <w:bCs/>
      <w:position w:val="0"/>
      <w:szCs w:val="24"/>
      <w:lang w:val="zh-CN"/>
    </w:rPr>
  </w:style>
  <w:style w:type="paragraph" w:styleId="1263" w:customStyle="1">
    <w:name w:val="丁华标题1"/>
    <w:basedOn w:val="946"/>
    <w:next w:val="1103"/>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64" w:customStyle="1">
    <w:name w:val="Char Char Char Char Char Char Char Char Char Char Char Char Char Char Char Char Char Char Char Char Char1"/>
    <w:basedOn w:val="945"/>
    <w:qFormat/>
    <w:rPr>
      <w:rFonts w:ascii="Tahoma" w:hAnsi="Tahoma" w:eastAsia="Calibri" w:cs="宋体"/>
      <w:b w:val="0"/>
      <w:position w:val="0"/>
      <w:lang w:val="zh-CN"/>
    </w:rPr>
  </w:style>
  <w:style w:type="paragraph" w:styleId="1265" w:customStyle="1">
    <w:name w:val="标题 4宋体"/>
    <w:basedOn w:val="949"/>
    <w:qFormat/>
    <w:pPr>
      <w:jc w:val="left"/>
      <w:keepLines w:val="0"/>
      <w:spacing w:before="0" w:after="0" w:line="360" w:lineRule="auto"/>
    </w:pPr>
    <w:rPr>
      <w:rFonts w:ascii="宋体" w:hAnsi="宋体" w:eastAsia="宋体"/>
      <w:b/>
      <w:color w:val="000000"/>
      <w:position w:val="0"/>
      <w:sz w:val="24"/>
      <w:szCs w:val="20"/>
    </w:rPr>
  </w:style>
  <w:style w:type="paragraph" w:styleId="1266" w:customStyle="1">
    <w:name w:val="_Style 279"/>
    <w:semiHidden/>
    <w:qFormat/>
    <w:rPr>
      <w:sz w:val="21"/>
      <w:szCs w:val="24"/>
    </w:rPr>
  </w:style>
  <w:style w:type="paragraph" w:styleId="1267" w:customStyle="1">
    <w:name w:val="Item List Char Char"/>
    <w:qFormat/>
    <w:pPr>
      <w:jc w:val="both"/>
      <w:spacing w:line="288" w:lineRule="auto"/>
    </w:pPr>
    <w:rPr>
      <w:rFonts w:ascii="Arial" w:hAnsi="Arial" w:cs="Arial"/>
      <w:b/>
      <w:bCs/>
      <w:sz w:val="21"/>
      <w:szCs w:val="28"/>
    </w:rPr>
  </w:style>
  <w:style w:type="paragraph" w:styleId="1268" w:customStyle="1">
    <w:name w:val="Char Char Char Char Char Char Char Char Char Char Char Char Char1"/>
    <w:basedOn w:val="945"/>
    <w:qFormat/>
    <w:pPr>
      <w:jc w:val="left"/>
      <w:spacing w:after="160" w:line="240" w:lineRule="exact"/>
      <w:widowControl/>
    </w:pPr>
    <w:rPr>
      <w:rFonts w:ascii="Calibri" w:hAnsi="Calibri" w:eastAsia="Calibri" w:cs="宋体"/>
      <w:b w:val="0"/>
      <w:position w:val="0"/>
      <w:sz w:val="20"/>
      <w:szCs w:val="24"/>
      <w:lang w:val="zh-CN"/>
    </w:rPr>
  </w:style>
  <w:style w:type="paragraph" w:styleId="1269" w:customStyle="1">
    <w:name w:val="正文11"/>
    <w:basedOn w:val="945"/>
    <w:next w:val="945"/>
    <w:qFormat/>
    <w:pPr>
      <w:ind w:firstLine="510"/>
      <w:spacing w:before="156" w:line="360" w:lineRule="auto"/>
    </w:pPr>
    <w:rPr>
      <w:rFonts w:ascii="Calibri" w:hAnsi="Calibri" w:eastAsia="Calibri" w:cs="宋体"/>
      <w:b w:val="0"/>
      <w:position w:val="0"/>
      <w:lang w:val="zh-CN"/>
    </w:rPr>
  </w:style>
  <w:style w:type="paragraph" w:styleId="1270" w:customStyle="1">
    <w:name w:val="普通文字"/>
    <w:basedOn w:val="945"/>
    <w:next w:val="945"/>
    <w:qFormat/>
    <w:rPr>
      <w:rFonts w:hAnsi="宋体" w:eastAsia="Calibri" w:cs="宋体"/>
      <w:b w:val="0"/>
      <w:position w:val="0"/>
      <w:lang w:val="zh-CN"/>
    </w:rPr>
  </w:style>
  <w:style w:type="paragraph" w:styleId="1271" w:customStyle="1">
    <w:name w:val="Char Char Char Char Char1"/>
    <w:basedOn w:val="945"/>
    <w:qFormat/>
    <w:rPr>
      <w:rFonts w:ascii="Tahoma" w:hAnsi="Tahoma" w:eastAsia="Calibri" w:cs="宋体"/>
      <w:b w:val="0"/>
      <w:position w:val="0"/>
      <w:lang w:val="zh-CN"/>
    </w:rPr>
  </w:style>
  <w:style w:type="paragraph" w:styleId="1272" w:customStyle="1">
    <w:name w:val="标准文本"/>
    <w:basedOn w:val="945"/>
    <w:qFormat/>
    <w:pPr>
      <w:ind w:firstLine="480"/>
      <w:spacing w:line="360" w:lineRule="auto"/>
    </w:pPr>
    <w:rPr>
      <w:rFonts w:ascii="Calibri" w:hAnsi="Calibri" w:eastAsia="Calibri" w:cs="宋体"/>
      <w:b w:val="0"/>
      <w:position w:val="0"/>
      <w:szCs w:val="24"/>
      <w:lang w:val="zh-CN"/>
    </w:rPr>
  </w:style>
  <w:style w:type="paragraph" w:styleId="1273" w:customStyle="1">
    <w:name w:val="华宇段落1 Char"/>
    <w:basedOn w:val="945"/>
    <w:qFormat/>
    <w:pPr>
      <w:ind w:firstLine="200"/>
      <w:spacing w:line="360" w:lineRule="auto"/>
    </w:pPr>
    <w:rPr>
      <w:rFonts w:ascii="Calibri" w:hAnsi="Calibri" w:eastAsia="Calibri" w:cs="宋体"/>
      <w:b w:val="0"/>
      <w:bCs/>
      <w:position w:val="0"/>
      <w:szCs w:val="24"/>
      <w:lang w:val="zh-CN"/>
    </w:rPr>
  </w:style>
  <w:style w:type="paragraph" w:styleId="1274" w:customStyle="1">
    <w:name w:val="font6"/>
    <w:basedOn w:val="945"/>
    <w:qFormat/>
    <w:pPr>
      <w:jc w:val="left"/>
      <w:spacing w:before="100" w:beforeAutospacing="1" w:after="100" w:afterAutospacing="1"/>
      <w:widowControl/>
    </w:pPr>
    <w:rPr>
      <w:rFonts w:hint="eastAsia" w:hAnsi="宋体"/>
      <w:sz w:val="28"/>
      <w:szCs w:val="28"/>
      <w:u w:val="single"/>
    </w:rPr>
  </w:style>
  <w:style w:type="paragraph" w:styleId="1275" w:customStyle="1">
    <w:name w:val="列出段落1"/>
    <w:basedOn w:val="945"/>
    <w:link w:val="1386"/>
    <w:qFormat/>
    <w:pPr>
      <w:contextualSpacing/>
      <w:ind w:left="720"/>
      <w:jc w:val="left"/>
      <w:widowControl/>
    </w:pPr>
    <w:rPr>
      <w:rFonts w:ascii="Arial" w:hAnsi="Arial" w:eastAsia="黑体" w:cs="宋体"/>
      <w:b w:val="0"/>
      <w:position w:val="0"/>
      <w:szCs w:val="24"/>
      <w:lang w:val="zh-CN" w:eastAsia="en-US"/>
    </w:rPr>
  </w:style>
  <w:style w:type="paragraph" w:styleId="1276" w:customStyle="1">
    <w:name w:val="正文 New New New New New New New New New New New New New New"/>
    <w:qFormat/>
    <w:pPr>
      <w:jc w:val="both"/>
      <w:widowControl w:val="off"/>
    </w:pPr>
    <w:rPr>
      <w:rFonts w:hint="eastAsia" w:ascii="Calibri" w:hAnsi="Calibri"/>
      <w:sz w:val="21"/>
    </w:rPr>
  </w:style>
  <w:style w:type="paragraph" w:styleId="1277" w:customStyle="1">
    <w:name w:val="文档正文"/>
    <w:basedOn w:val="945"/>
    <w:qFormat/>
    <w:pPr>
      <w:spacing w:line="360" w:lineRule="auto"/>
    </w:pPr>
    <w:rPr>
      <w:rFonts w:hAnsi="宋体" w:eastAsia="Calibri" w:cs="宋体"/>
      <w:bCs/>
      <w:position w:val="0"/>
      <w:sz w:val="20"/>
      <w:szCs w:val="24"/>
      <w:lang w:val="zh-CN"/>
    </w:rPr>
  </w:style>
  <w:style w:type="paragraph" w:styleId="1278" w:customStyle="1">
    <w:name w:val="xl61"/>
    <w:basedOn w:val="94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79" w:customStyle="1">
    <w:name w:val="标准小四"/>
    <w:basedOn w:val="945"/>
    <w:qFormat/>
    <w:pPr>
      <w:ind w:firstLine="480"/>
      <w:spacing w:line="360" w:lineRule="auto"/>
    </w:pPr>
    <w:rPr>
      <w:rFonts w:ascii="Arial" w:hAnsi="Arial" w:eastAsia="Calibri" w:cs="宋体"/>
      <w:b w:val="0"/>
      <w:position w:val="0"/>
      <w:szCs w:val="21"/>
      <w:lang w:val="zh-CN"/>
    </w:rPr>
  </w:style>
  <w:style w:type="paragraph" w:styleId="1280" w:customStyle="1">
    <w:name w:val="正文 + 宋体"/>
    <w:basedOn w:val="945"/>
    <w:qFormat/>
    <w:pPr>
      <w:ind w:firstLine="420"/>
      <w:spacing w:line="360" w:lineRule="auto"/>
    </w:pPr>
    <w:rPr>
      <w:rFonts w:ascii="Calibri" w:hAnsi="Calibri" w:eastAsia="Calibri" w:cs="宋体"/>
      <w:b w:val="0"/>
      <w:position w:val="0"/>
      <w:sz w:val="20"/>
      <w:szCs w:val="24"/>
      <w:lang w:val="zh-CN"/>
    </w:rPr>
  </w:style>
  <w:style w:type="paragraph" w:styleId="1281" w:customStyle="1">
    <w:name w:val="马刚标题1"/>
    <w:basedOn w:val="946"/>
    <w:next w:val="94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82" w:customStyle="1">
    <w:name w:val="font9"/>
    <w:basedOn w:val="945"/>
    <w:qFormat/>
    <w:pPr>
      <w:jc w:val="left"/>
      <w:spacing w:before="100" w:beforeAutospacing="1" w:after="100" w:afterAutospacing="1"/>
      <w:widowControl/>
    </w:pPr>
    <w:rPr>
      <w:rFonts w:ascii="Calibri" w:hAnsi="Calibri" w:eastAsia="Calibri" w:cs="宋体"/>
      <w:bCs/>
      <w:position w:val="0"/>
      <w:sz w:val="20"/>
      <w:lang w:val="zh-CN"/>
    </w:rPr>
  </w:style>
  <w:style w:type="paragraph" w:styleId="1283" w:customStyle="1">
    <w:name w:val="p0"/>
    <w:qFormat/>
    <w:pPr>
      <w:spacing w:before="100" w:beforeAutospacing="1" w:after="100" w:afterAutospacing="1"/>
    </w:pPr>
    <w:rPr>
      <w:rFonts w:ascii="宋体" w:hAnsi="宋体" w:eastAsia="仿宋_GB2312" w:cs="宋体"/>
      <w:sz w:val="24"/>
    </w:rPr>
  </w:style>
  <w:style w:type="paragraph" w:styleId="1284" w:customStyle="1">
    <w:name w:val="font8"/>
    <w:basedOn w:val="945"/>
    <w:qFormat/>
    <w:pPr>
      <w:jc w:val="left"/>
      <w:spacing w:before="100" w:beforeAutospacing="1" w:after="100" w:afterAutospacing="1"/>
      <w:widowControl/>
    </w:pPr>
    <w:rPr>
      <w:rFonts w:hAnsi="宋体" w:eastAsia="Calibri" w:cs="宋体"/>
      <w:bCs/>
      <w:i/>
      <w:iCs/>
      <w:position w:val="0"/>
      <w:sz w:val="20"/>
      <w:lang w:val="zh-CN"/>
    </w:rPr>
  </w:style>
  <w:style w:type="paragraph" w:styleId="1285" w:customStyle="1">
    <w:name w:val="纯文本2"/>
    <w:basedOn w:val="945"/>
    <w:qFormat/>
    <w:rPr>
      <w:rFonts w:hAnsi="Courier New" w:eastAsia="楷体_GB2312"/>
      <w:sz w:val="28"/>
    </w:rPr>
  </w:style>
  <w:style w:type="paragraph" w:styleId="1286" w:customStyle="1">
    <w:name w:val="大标题"/>
    <w:basedOn w:val="945"/>
    <w:next w:val="94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87" w:customStyle="1">
    <w:name w:val="Char Char1 Char Char Char Char"/>
    <w:basedOn w:val="966"/>
    <w:qFormat/>
    <w:pPr>
      <w:ind w:left="357"/>
      <w:jc w:val="left"/>
      <w:spacing w:line="436" w:lineRule="exact"/>
      <w:outlineLvl w:val="3"/>
    </w:pPr>
    <w:rPr>
      <w:rFonts w:ascii="Tahoma" w:hAnsi="Tahoma" w:cs="Tahoma"/>
      <w:position w:val="0"/>
      <w:szCs w:val="24"/>
    </w:rPr>
  </w:style>
  <w:style w:type="paragraph" w:styleId="1288" w:customStyle="1">
    <w:name w:val="标题2，章节第二层"/>
    <w:basedOn w:val="945"/>
    <w:next w:val="106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89" w:customStyle="1">
    <w:name w:val="Char Char1 Char Char Char Char Char Char Char"/>
    <w:basedOn w:val="945"/>
    <w:qFormat/>
    <w:rPr>
      <w:rFonts w:ascii="Tahoma" w:hAnsi="Tahoma" w:eastAsia="Calibri" w:cs="Tahoma"/>
      <w:b w:val="0"/>
      <w:position w:val="0"/>
      <w:lang w:val="zh-CN"/>
    </w:rPr>
  </w:style>
  <w:style w:type="paragraph" w:styleId="1290" w:customStyle="1">
    <w:name w:val="xl28"/>
    <w:basedOn w:val="9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91" w:customStyle="1">
    <w:name w:val="纯文本 Char Char"/>
    <w:qFormat/>
    <w:rPr>
      <w:rFonts w:ascii="宋体" w:hAnsi="Courier New" w:eastAsia="宋体"/>
      <w:sz w:val="21"/>
      <w:szCs w:val="21"/>
      <w:lang w:val="en-US" w:eastAsia="zh-CN" w:bidi="ar-SA"/>
    </w:rPr>
  </w:style>
  <w:style w:type="character" w:styleId="1292" w:customStyle="1">
    <w:name w:val="concon"/>
    <w:qFormat/>
  </w:style>
  <w:style w:type="character" w:styleId="1293" w:customStyle="1">
    <w:name w:val="标题 字符1"/>
    <w:qFormat/>
    <w:rPr>
      <w:rFonts w:ascii="等线 Light" w:hAnsi="等线 Light" w:eastAsia="宋体" w:cs="Times New Roman"/>
      <w:b/>
      <w:bCs/>
      <w:position w:val="-10"/>
      <w:sz w:val="32"/>
      <w:szCs w:val="32"/>
    </w:rPr>
  </w:style>
  <w:style w:type="character" w:styleId="1294" w:customStyle="1">
    <w:name w:val="小四 段落 宋体 Char Char Char Char Char Char Char Char"/>
    <w:qFormat/>
    <w:rPr>
      <w:rFonts w:eastAsia="宋体"/>
      <w:sz w:val="24"/>
      <w:szCs w:val="24"/>
      <w:lang w:val="en-US" w:eastAsia="zh-CN" w:bidi="ar-SA"/>
    </w:rPr>
  </w:style>
  <w:style w:type="character" w:styleId="1295" w:customStyle="1">
    <w:name w:val="qxdate"/>
    <w:qFormat/>
    <w:rPr>
      <w:rFonts w:ascii="Times New Roman" w:hAnsi="Times New Roman" w:eastAsia="宋体" w:cs="Times New Roman"/>
      <w:color w:val="333333"/>
      <w:sz w:val="18"/>
      <w:szCs w:val="18"/>
    </w:rPr>
  </w:style>
  <w:style w:type="character" w:styleId="1296" w:customStyle="1">
    <w:name w:val="Title1 Char"/>
    <w:qFormat/>
    <w:rPr>
      <w:rFonts w:eastAsia="宋体"/>
      <w:b/>
      <w:bCs/>
      <w:sz w:val="44"/>
      <w:szCs w:val="44"/>
      <w:lang w:val="en-US" w:eastAsia="zh-CN" w:bidi="ar-SA"/>
    </w:rPr>
  </w:style>
  <w:style w:type="character" w:styleId="1297" w:customStyle="1">
    <w:name w:val="小四 段落 宋体 Char Char Char1"/>
    <w:qFormat/>
    <w:rPr>
      <w:rFonts w:ascii="宋体" w:hAnsi="宋体" w:eastAsia="宋体"/>
      <w:sz w:val="24"/>
      <w:szCs w:val="24"/>
      <w:lang w:val="en-US" w:eastAsia="zh-CN" w:bidi="ar-SA"/>
    </w:rPr>
  </w:style>
  <w:style w:type="character" w:styleId="1298" w:customStyle="1">
    <w:name w:val="标准文本 Char Char"/>
    <w:qFormat/>
    <w:rPr>
      <w:rFonts w:eastAsia="宋体" w:cs="宋体"/>
      <w:sz w:val="24"/>
      <w:szCs w:val="24"/>
      <w:lang w:val="en-US" w:eastAsia="zh-CN" w:bidi="ar-SA"/>
    </w:rPr>
  </w:style>
  <w:style w:type="character" w:styleId="1299" w:customStyle="1">
    <w:name w:val="Char Char26"/>
    <w:qFormat/>
    <w:rPr>
      <w:b/>
      <w:bCs/>
      <w:sz w:val="32"/>
      <w:szCs w:val="32"/>
    </w:rPr>
  </w:style>
  <w:style w:type="character" w:styleId="1300" w:customStyle="1">
    <w:name w:val="_Style 315"/>
    <w:qFormat/>
    <w:rPr>
      <w:i/>
      <w:iCs/>
      <w:smallCaps/>
      <w:spacing w:val="5"/>
    </w:rPr>
  </w:style>
  <w:style w:type="character" w:styleId="1301" w:customStyle="1">
    <w:name w:val="prev1"/>
    <w:qFormat/>
    <w:rPr>
      <w:rFonts w:ascii="Times New Roman" w:hAnsi="Times New Roman" w:eastAsia="宋体" w:cs="Times New Roman"/>
      <w:color w:val="888888"/>
    </w:rPr>
  </w:style>
  <w:style w:type="character" w:styleId="1302" w:customStyle="1">
    <w:name w:val="redfilefwwh"/>
    <w:qFormat/>
    <w:rPr>
      <w:rFonts w:ascii="Times New Roman" w:hAnsi="Times New Roman" w:eastAsia="宋体" w:cs="Times New Roman"/>
      <w:color w:val="ba2636"/>
      <w:sz w:val="18"/>
      <w:szCs w:val="18"/>
    </w:rPr>
  </w:style>
  <w:style w:type="character" w:styleId="1303" w:customStyle="1">
    <w:name w:val="listbenefit"/>
    <w:qFormat/>
  </w:style>
  <w:style w:type="character" w:styleId="1304" w:customStyle="1">
    <w:name w:val="textcontents"/>
    <w:qFormat/>
  </w:style>
  <w:style w:type="character" w:styleId="1305" w:customStyle="1">
    <w:name w:val="_Style 321"/>
    <w:qFormat/>
    <w:rPr>
      <w:smallCaps/>
    </w:rPr>
  </w:style>
  <w:style w:type="character" w:styleId="1306" w:customStyle="1">
    <w:name w:val="case31"/>
    <w:qFormat/>
    <w:rPr>
      <w:sz w:val="21"/>
      <w:szCs w:val="21"/>
    </w:rPr>
  </w:style>
  <w:style w:type="character" w:styleId="1307" w:customStyle="1">
    <w:name w:val="Char Char23"/>
    <w:qFormat/>
    <w:rPr>
      <w:rFonts w:ascii="Arial" w:hAnsi="Arial" w:eastAsia="黑体"/>
      <w:b/>
      <w:bCs/>
      <w:sz w:val="24"/>
      <w:szCs w:val="24"/>
    </w:rPr>
  </w:style>
  <w:style w:type="character" w:styleId="1308" w:customStyle="1">
    <w:name w:val="_Style 326"/>
    <w:qFormat/>
    <w:rPr>
      <w:b/>
      <w:bCs/>
    </w:rPr>
  </w:style>
  <w:style w:type="character" w:styleId="1309" w:customStyle="1">
    <w:name w:val="zhengwen1"/>
    <w:uiPriority w:val="99"/>
    <w:qFormat/>
    <w:rPr>
      <w:sz w:val="21"/>
    </w:rPr>
  </w:style>
  <w:style w:type="character" w:styleId="1310" w:customStyle="1">
    <w:name w:val="样式 非加粗"/>
    <w:qFormat/>
    <w:rPr>
      <w:rFonts w:eastAsia="宋体"/>
      <w:sz w:val="28"/>
    </w:rPr>
  </w:style>
  <w:style w:type="character" w:styleId="1311" w:customStyle="1">
    <w:name w:val="next3"/>
    <w:qFormat/>
    <w:rPr>
      <w:rFonts w:hint="eastAsia" w:ascii="微软雅黑" w:hAnsi="微软雅黑" w:eastAsia="微软雅黑" w:cs="微软雅黑"/>
      <w:sz w:val="21"/>
      <w:szCs w:val="21"/>
    </w:rPr>
  </w:style>
  <w:style w:type="character" w:styleId="1312" w:customStyle="1">
    <w:name w:val="标题 3 Char"/>
    <w:qFormat/>
    <w:rPr>
      <w:rFonts w:ascii="宋体" w:hAnsi="宋体" w:eastAsia="宋体"/>
      <w:b/>
      <w:bCs/>
      <w:sz w:val="24"/>
      <w:szCs w:val="32"/>
      <w:lang w:val="en-US" w:eastAsia="zh-CN" w:bidi="ar-SA"/>
    </w:rPr>
  </w:style>
  <w:style w:type="character" w:styleId="1313" w:customStyle="1">
    <w:name w:val="小四 段落 宋体 Char1"/>
    <w:qFormat/>
    <w:rPr>
      <w:rFonts w:eastAsia="宋体"/>
      <w:sz w:val="24"/>
      <w:szCs w:val="24"/>
      <w:lang w:val="en-US" w:eastAsia="zh-CN" w:bidi="ar-SA"/>
    </w:rPr>
  </w:style>
  <w:style w:type="character" w:styleId="1314" w:customStyle="1">
    <w:name w:val="next1"/>
    <w:qFormat/>
    <w:rPr>
      <w:rFonts w:ascii="Times New Roman" w:hAnsi="Times New Roman" w:eastAsia="宋体" w:cs="Times New Roman"/>
      <w:color w:val="888888"/>
    </w:rPr>
  </w:style>
  <w:style w:type="character" w:styleId="1315" w:customStyle="1">
    <w:name w:val="style13"/>
    <w:qFormat/>
    <w:rPr>
      <w:sz w:val="18"/>
      <w:szCs w:val="18"/>
    </w:rPr>
  </w:style>
  <w:style w:type="character" w:styleId="1316" w:customStyle="1">
    <w:name w:val="next2"/>
    <w:qFormat/>
    <w:rPr>
      <w:rFonts w:ascii="Times New Roman" w:hAnsi="Times New Roman" w:eastAsia="宋体" w:cs="Times New Roman"/>
      <w:color w:val="888888"/>
    </w:rPr>
  </w:style>
  <w:style w:type="character" w:styleId="1317" w:customStyle="1">
    <w:name w:val="Char Char27"/>
    <w:qFormat/>
    <w:rPr>
      <w:b/>
      <w:bCs/>
      <w:sz w:val="44"/>
      <w:szCs w:val="44"/>
    </w:rPr>
  </w:style>
  <w:style w:type="character" w:styleId="1318" w:customStyle="1">
    <w:name w:val="Char Char8"/>
    <w:qFormat/>
    <w:rPr>
      <w:rFonts w:eastAsia="宋体"/>
      <w:sz w:val="21"/>
      <w:lang w:val="en-US" w:eastAsia="zh-CN" w:bidi="ar-SA"/>
    </w:rPr>
  </w:style>
  <w:style w:type="character" w:styleId="1319" w:customStyle="1">
    <w:name w:val="3zw"/>
    <w:qFormat/>
  </w:style>
  <w:style w:type="character" w:styleId="1320" w:customStyle="1">
    <w:name w:val="小四 段落 宋体 Char Char Char Char Char"/>
    <w:qFormat/>
    <w:rPr>
      <w:rFonts w:eastAsia="宋体"/>
      <w:sz w:val="24"/>
      <w:szCs w:val="24"/>
      <w:lang w:val="en-US" w:eastAsia="zh-CN" w:bidi="ar-SA"/>
    </w:rPr>
  </w:style>
  <w:style w:type="character" w:styleId="1321" w:customStyle="1">
    <w:name w:val="h Char Char"/>
    <w:qFormat/>
    <w:rPr>
      <w:rFonts w:eastAsia="宋体"/>
      <w:sz w:val="18"/>
      <w:szCs w:val="18"/>
      <w:lang w:val="en-US" w:eastAsia="zh-CN" w:bidi="ar-SA"/>
    </w:rPr>
  </w:style>
  <w:style w:type="character" w:styleId="1322" w:customStyle="1">
    <w:name w:val="content"/>
    <w:qFormat/>
  </w:style>
  <w:style w:type="character" w:styleId="1323" w:customStyle="1">
    <w:name w:val="redfilenumber"/>
    <w:qFormat/>
    <w:rPr>
      <w:rFonts w:ascii="Times New Roman" w:hAnsi="Times New Roman" w:eastAsia="宋体" w:cs="Times New Roman"/>
      <w:color w:val="ba2636"/>
      <w:sz w:val="18"/>
      <w:szCs w:val="18"/>
    </w:rPr>
  </w:style>
  <w:style w:type="character" w:styleId="1324" w:customStyle="1">
    <w:name w:val="Char Char28"/>
    <w:qFormat/>
    <w:rPr>
      <w:rFonts w:ascii="Arial" w:hAnsi="Arial" w:eastAsia="黑体" w:cs="Arial"/>
      <w:b/>
      <w:bCs/>
      <w:sz w:val="32"/>
      <w:szCs w:val="32"/>
    </w:rPr>
  </w:style>
  <w:style w:type="character" w:styleId="1325" w:customStyle="1">
    <w:name w:val="正文 + 宋体 Char"/>
    <w:qFormat/>
    <w:rPr>
      <w:rFonts w:eastAsia="宋体"/>
      <w:sz w:val="21"/>
      <w:szCs w:val="24"/>
      <w:lang w:val="en-US" w:eastAsia="zh-CN" w:bidi="ar-SA"/>
    </w:rPr>
  </w:style>
  <w:style w:type="character" w:styleId="1326" w:customStyle="1">
    <w:name w:val="Char Char211"/>
    <w:qFormat/>
    <w:rPr>
      <w:rFonts w:ascii="宋体" w:hAnsi="Courier New" w:eastAsia="宋体"/>
      <w:sz w:val="21"/>
      <w:szCs w:val="21"/>
      <w:lang w:val="en-US" w:eastAsia="zh-CN" w:bidi="ar-SA"/>
    </w:rPr>
  </w:style>
  <w:style w:type="character" w:styleId="1327" w:customStyle="1">
    <w:name w:val="subtitle1"/>
    <w:qFormat/>
    <w:rPr>
      <w:rFonts w:hint="default" w:ascii="Georgia" w:hAnsi="Georgia"/>
      <w:b/>
      <w:bCs/>
      <w:color w:val="666666"/>
      <w:sz w:val="18"/>
      <w:szCs w:val="18"/>
    </w:rPr>
  </w:style>
  <w:style w:type="character" w:styleId="1328" w:customStyle="1">
    <w:name w:val="特点 Char1"/>
    <w:qFormat/>
    <w:rPr>
      <w:rFonts w:eastAsia="宋体"/>
      <w:sz w:val="21"/>
      <w:lang w:val="en-US" w:eastAsia="zh-CN" w:bidi="ar-SA"/>
    </w:rPr>
  </w:style>
  <w:style w:type="character" w:styleId="1329" w:customStyle="1">
    <w:name w:val="样式 宋体 小四"/>
    <w:qFormat/>
    <w:rPr>
      <w:rFonts w:ascii="宋体" w:hAnsi="宋体"/>
      <w:sz w:val="24"/>
    </w:rPr>
  </w:style>
  <w:style w:type="character" w:styleId="1330" w:customStyle="1">
    <w:name w:val="Char Char22"/>
    <w:qFormat/>
    <w:rPr>
      <w:b/>
      <w:bCs/>
      <w:sz w:val="24"/>
      <w:szCs w:val="24"/>
    </w:rPr>
  </w:style>
  <w:style w:type="character" w:styleId="1331" w:customStyle="1">
    <w:name w:val="para_small"/>
    <w:qFormat/>
  </w:style>
  <w:style w:type="character" w:styleId="1332" w:customStyle="1">
    <w:name w:val="纯文本 Char Char Char1"/>
    <w:qFormat/>
    <w:rPr>
      <w:rFonts w:ascii="宋体" w:hAnsi="Courier New" w:eastAsia="宋体"/>
      <w:sz w:val="21"/>
      <w:szCs w:val="21"/>
      <w:lang w:val="en-US" w:eastAsia="zh-CN" w:bidi="ar-SA"/>
    </w:rPr>
  </w:style>
  <w:style w:type="character" w:styleId="1333" w:customStyle="1">
    <w:name w:val="style131"/>
    <w:qFormat/>
    <w:rPr>
      <w:rFonts w:cs="Times New Roman"/>
      <w:sz w:val="18"/>
      <w:szCs w:val="18"/>
    </w:rPr>
  </w:style>
  <w:style w:type="character" w:styleId="1334" w:customStyle="1">
    <w:name w:val="displayarti"/>
    <w:qFormat/>
    <w:rPr>
      <w:rFonts w:ascii="Times New Roman" w:hAnsi="Times New Roman" w:eastAsia="宋体" w:cs="Times New Roman"/>
      <w:color w:val="ffffff"/>
      <w:shd w:val="clear" w:color="auto" w:fill="a00000"/>
    </w:rPr>
  </w:style>
  <w:style w:type="character" w:styleId="1335" w:customStyle="1">
    <w:name w:val="Char Char21"/>
    <w:qFormat/>
    <w:rPr>
      <w:rFonts w:ascii="Arial" w:hAnsi="Arial" w:eastAsia="黑体"/>
      <w:sz w:val="24"/>
      <w:szCs w:val="24"/>
    </w:rPr>
  </w:style>
  <w:style w:type="character" w:styleId="1336" w:customStyle="1">
    <w:name w:val="纯文本 Char1"/>
    <w:qFormat/>
    <w:rPr>
      <w:rFonts w:ascii="宋体" w:hAnsi="Courier New" w:eastAsia="宋体" w:cs="Courier New"/>
      <w:sz w:val="21"/>
      <w:szCs w:val="21"/>
      <w:lang w:val="en-US" w:eastAsia="zh-CN" w:bidi="ar-SA"/>
    </w:rPr>
  </w:style>
  <w:style w:type="character" w:styleId="1337" w:customStyle="1">
    <w:name w:val="华宇段落1 Char Char Char"/>
    <w:qFormat/>
    <w:rPr>
      <w:rFonts w:eastAsia="宋体"/>
      <w:bCs/>
      <w:sz w:val="24"/>
      <w:szCs w:val="24"/>
      <w:lang w:val="en-US" w:eastAsia="zh-CN" w:bidi="ar-SA"/>
    </w:rPr>
  </w:style>
  <w:style w:type="character" w:styleId="1338" w:customStyle="1">
    <w:name w:val="_Style 367"/>
    <w:qFormat/>
    <w:rPr>
      <w:smallCaps/>
      <w:spacing w:val="5"/>
      <w:u w:val="single"/>
    </w:rPr>
  </w:style>
  <w:style w:type="character" w:styleId="1339" w:customStyle="1">
    <w:name w:val="HTML 预设格式 字符1"/>
    <w:qFormat/>
    <w:rPr>
      <w:rFonts w:ascii="Courier New" w:hAnsi="Courier New" w:eastAsia="宋体" w:cs="Courier New"/>
      <w:b/>
      <w:position w:val="-10"/>
    </w:rPr>
  </w:style>
  <w:style w:type="character" w:styleId="1340" w:customStyle="1">
    <w:name w:val="next"/>
    <w:qFormat/>
    <w:rPr>
      <w:rFonts w:ascii="微软雅黑" w:hAnsi="微软雅黑" w:eastAsia="微软雅黑" w:cs="微软雅黑"/>
      <w:sz w:val="21"/>
      <w:szCs w:val="21"/>
    </w:rPr>
  </w:style>
  <w:style w:type="character" w:styleId="1341" w:customStyle="1">
    <w:name w:val="prev"/>
    <w:qFormat/>
    <w:rPr>
      <w:rFonts w:hint="eastAsia" w:ascii="微软雅黑" w:hAnsi="微软雅黑" w:eastAsia="微软雅黑" w:cs="微软雅黑"/>
      <w:sz w:val="21"/>
      <w:szCs w:val="21"/>
    </w:rPr>
  </w:style>
  <w:style w:type="character" w:styleId="1342" w:customStyle="1">
    <w:name w:val="title_emph1"/>
    <w:qFormat/>
    <w:rPr>
      <w:rFonts w:ascii="Arial" w:cs="Arial"/>
      <w:b/>
      <w:bCs/>
      <w:sz w:val="18"/>
      <w:szCs w:val="18"/>
    </w:rPr>
  </w:style>
  <w:style w:type="character" w:styleId="1343" w:customStyle="1">
    <w:name w:val="Char Char20"/>
    <w:qFormat/>
    <w:rPr>
      <w:rFonts w:ascii="Arial" w:hAnsi="Arial" w:eastAsia="黑体"/>
      <w:sz w:val="21"/>
      <w:szCs w:val="21"/>
    </w:rPr>
  </w:style>
  <w:style w:type="character" w:styleId="1344" w:customStyle="1">
    <w:name w:val="_Style 379"/>
    <w:qFormat/>
    <w:rPr>
      <w:i/>
      <w:iCs/>
    </w:rPr>
  </w:style>
  <w:style w:type="character" w:styleId="1345" w:customStyle="1">
    <w:name w:val="normalfont1"/>
    <w:qFormat/>
    <w:rPr>
      <w:rFonts w:hint="default" w:ascii="ˎ̥" w:hAnsi="ˎ̥"/>
      <w:sz w:val="18"/>
      <w:szCs w:val="18"/>
      <w:u w:val="none"/>
    </w:rPr>
  </w:style>
  <w:style w:type="character" w:styleId="1346" w:customStyle="1">
    <w:name w:val="已访问的超链接1"/>
    <w:qFormat/>
    <w:rPr>
      <w:color w:val="auto"/>
      <w:u w:val="none"/>
    </w:rPr>
  </w:style>
  <w:style w:type="character" w:styleId="1347" w:customStyle="1">
    <w:name w:val="A2"/>
    <w:qFormat/>
    <w:rPr>
      <w:rFonts w:cs="Helvetica"/>
      <w:color w:val="000000"/>
      <w:sz w:val="18"/>
      <w:szCs w:val="18"/>
    </w:rPr>
  </w:style>
  <w:style w:type="character" w:styleId="1348" w:customStyle="1">
    <w:name w:val="Char Char29"/>
    <w:qFormat/>
    <w:rPr>
      <w:rFonts w:ascii="Times New Roman" w:hAnsi="Times New Roman" w:eastAsia="宋体" w:cs="Times New Roman"/>
      <w:b/>
      <w:bCs/>
      <w:sz w:val="44"/>
      <w:szCs w:val="44"/>
    </w:rPr>
  </w:style>
  <w:style w:type="character" w:styleId="1349" w:customStyle="1">
    <w:name w:val="content_lineheight1"/>
    <w:qFormat/>
  </w:style>
  <w:style w:type="character" w:styleId="1350" w:customStyle="1">
    <w:name w:val="标准小四 Char"/>
    <w:qFormat/>
    <w:rPr>
      <w:rFonts w:ascii="Arial" w:hAnsi="Arial" w:eastAsia="宋体"/>
      <w:sz w:val="24"/>
      <w:szCs w:val="21"/>
      <w:lang w:val="en-US" w:eastAsia="zh-CN" w:bidi="ar-SA"/>
    </w:rPr>
  </w:style>
  <w:style w:type="character" w:styleId="1351" w:customStyle="1">
    <w:name w:val="标准小四 Char Char"/>
    <w:qFormat/>
    <w:rPr>
      <w:rFonts w:ascii="Arial" w:hAnsi="Arial" w:eastAsia="宋体"/>
      <w:sz w:val="24"/>
      <w:szCs w:val="21"/>
      <w:lang w:val="en-US" w:eastAsia="zh-CN" w:bidi="ar-SA"/>
    </w:rPr>
  </w:style>
  <w:style w:type="character" w:styleId="1352" w:customStyle="1">
    <w:name w:val="ih151"/>
    <w:qFormat/>
    <w:rPr>
      <w:color w:val="666666"/>
      <w:sz w:val="18"/>
      <w:szCs w:val="18"/>
      <w:u w:val="none"/>
    </w:rPr>
  </w:style>
  <w:style w:type="character" w:styleId="1353" w:customStyle="1">
    <w:name w:val="标准文本 Char"/>
    <w:qFormat/>
    <w:rPr>
      <w:rFonts w:eastAsia="宋体" w:cs="宋体"/>
      <w:sz w:val="24"/>
      <w:szCs w:val="24"/>
      <w:lang w:val="en-US" w:eastAsia="zh-CN" w:bidi="ar-SA"/>
    </w:rPr>
  </w:style>
  <w:style w:type="character" w:styleId="1354" w:customStyle="1">
    <w:name w:val="gjfg"/>
    <w:qFormat/>
  </w:style>
  <w:style w:type="character" w:styleId="1355" w:customStyle="1">
    <w:name w:val="小四 段落 宋体 Char Char Char Char1"/>
    <w:qFormat/>
    <w:rPr>
      <w:rFonts w:eastAsia="宋体"/>
      <w:sz w:val="24"/>
      <w:szCs w:val="24"/>
      <w:lang w:val="en-US" w:eastAsia="zh-CN" w:bidi="ar-SA"/>
    </w:rPr>
  </w:style>
  <w:style w:type="character" w:styleId="1356" w:customStyle="1">
    <w:name w:val="引用 字符1"/>
    <w:uiPriority w:val="99"/>
    <w:qFormat/>
    <w:rPr>
      <w:rFonts w:ascii="宋体" w:hAnsi="Times New Roman" w:eastAsia="宋体" w:cs="Times New Roman"/>
      <w:b/>
      <w:i/>
      <w:iCs/>
      <w:color w:val="404040"/>
      <w:position w:val="-10"/>
      <w:sz w:val="24"/>
    </w:rPr>
  </w:style>
  <w:style w:type="character" w:styleId="1357" w:customStyle="1">
    <w:name w:val="prev2"/>
    <w:qFormat/>
    <w:rPr>
      <w:rFonts w:ascii="Times New Roman" w:hAnsi="Times New Roman" w:eastAsia="宋体" w:cs="Times New Roman"/>
      <w:color w:val="888888"/>
    </w:rPr>
  </w:style>
  <w:style w:type="character" w:styleId="1358" w:customStyle="1">
    <w:name w:val="t1"/>
    <w:qFormat/>
  </w:style>
  <w:style w:type="character" w:styleId="1359" w:customStyle="1">
    <w:name w:val="cfdate"/>
    <w:qFormat/>
    <w:rPr>
      <w:rFonts w:ascii="Times New Roman" w:hAnsi="Times New Roman" w:eastAsia="宋体" w:cs="Times New Roman"/>
      <w:color w:val="333333"/>
      <w:sz w:val="18"/>
      <w:szCs w:val="18"/>
    </w:rPr>
  </w:style>
  <w:style w:type="character" w:styleId="1360" w:customStyle="1">
    <w:name w:val="Char Char24"/>
    <w:qFormat/>
    <w:rPr>
      <w:b/>
      <w:bCs/>
      <w:sz w:val="28"/>
      <w:szCs w:val="28"/>
    </w:rPr>
  </w:style>
  <w:style w:type="character" w:styleId="1361" w:customStyle="1">
    <w:name w:val="point_normal1"/>
    <w:qFormat/>
    <w:rPr>
      <w:rFonts w:hint="default" w:ascii="Arial" w:hAnsi="Arial" w:cs="Arial"/>
      <w:sz w:val="18"/>
      <w:szCs w:val="18"/>
    </w:rPr>
  </w:style>
  <w:style w:type="character" w:styleId="1362" w:customStyle="1">
    <w:name w:val="小四 段落 宋体 Char Char Char Char Char Char"/>
    <w:qFormat/>
    <w:rPr>
      <w:rFonts w:eastAsia="宋体"/>
      <w:sz w:val="24"/>
      <w:szCs w:val="24"/>
      <w:lang w:val="en-US" w:eastAsia="zh-CN" w:bidi="ar-SA"/>
    </w:rPr>
  </w:style>
  <w:style w:type="character" w:styleId="1363" w:customStyle="1">
    <w:name w:val="Char Char17"/>
    <w:qFormat/>
    <w:rPr>
      <w:rFonts w:ascii="宋体" w:hAnsi="Courier New"/>
      <w:sz w:val="21"/>
      <w:szCs w:val="21"/>
    </w:rPr>
  </w:style>
  <w:style w:type="character" w:styleId="1364" w:customStyle="1">
    <w:name w:val="明显引用 字符1"/>
    <w:uiPriority w:val="99"/>
    <w:qFormat/>
    <w:rPr>
      <w:rFonts w:ascii="宋体" w:hAnsi="Times New Roman" w:eastAsia="宋体" w:cs="Times New Roman"/>
      <w:b/>
      <w:i/>
      <w:iCs/>
      <w:color w:val="4472c4"/>
      <w:position w:val="-10"/>
      <w:sz w:val="24"/>
    </w:rPr>
  </w:style>
  <w:style w:type="character" w:styleId="1365" w:customStyle="1">
    <w:name w:val="标题 Char1"/>
    <w:qFormat/>
    <w:rPr>
      <w:rFonts w:ascii="Cambria" w:eastAsia="宋体" w:cs="Times New Roman"/>
      <w:b/>
      <w:bCs/>
      <w:sz w:val="32"/>
      <w:szCs w:val="32"/>
    </w:rPr>
  </w:style>
  <w:style w:type="character" w:styleId="1366" w:customStyle="1">
    <w:name w:val="prev3"/>
    <w:qFormat/>
    <w:rPr>
      <w:rFonts w:ascii="微软雅黑" w:hAnsi="微软雅黑" w:eastAsia="微软雅黑" w:cs="微软雅黑"/>
      <w:sz w:val="21"/>
      <w:szCs w:val="21"/>
    </w:rPr>
  </w:style>
  <w:style w:type="character" w:styleId="1367" w:customStyle="1">
    <w:name w:val="param-value"/>
    <w:qFormat/>
  </w:style>
  <w:style w:type="character" w:styleId="1368" w:customStyle="1">
    <w:name w:val="正文文本缩进 2 字符1"/>
    <w:qFormat/>
    <w:rPr>
      <w:rFonts w:ascii="宋体" w:hAnsi="Times New Roman" w:eastAsia="宋体" w:cs="Times New Roman"/>
      <w:b/>
      <w:position w:val="-10"/>
      <w:sz w:val="24"/>
    </w:rPr>
  </w:style>
  <w:style w:type="character" w:styleId="1369" w:customStyle="1">
    <w:name w:val="apple-converted-space"/>
    <w:qFormat/>
  </w:style>
  <w:style w:type="character" w:styleId="137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71" w:customStyle="1">
    <w:name w:val="华宇段落1 Char Char"/>
    <w:qFormat/>
    <w:rPr>
      <w:rFonts w:eastAsia="宋体"/>
      <w:bCs/>
      <w:sz w:val="24"/>
      <w:szCs w:val="24"/>
      <w:lang w:val="en-US" w:eastAsia="zh-CN" w:bidi="ar-SA"/>
    </w:rPr>
  </w:style>
  <w:style w:type="character" w:styleId="1372" w:customStyle="1">
    <w:name w:val="Char Char25"/>
    <w:qFormat/>
    <w:rPr>
      <w:rFonts w:ascii="Arial" w:hAnsi="Arial" w:eastAsia="黑体"/>
      <w:b/>
      <w:sz w:val="28"/>
    </w:rPr>
  </w:style>
  <w:style w:type="character" w:styleId="1373" w:customStyle="1">
    <w:name w:val="标题 3 Char Char"/>
    <w:qFormat/>
    <w:rPr>
      <w:rFonts w:eastAsia="仿宋_GB2312"/>
      <w:b/>
      <w:bCs/>
      <w:sz w:val="28"/>
      <w:szCs w:val="32"/>
      <w:lang w:val="en-US" w:eastAsia="zh-CN" w:bidi="ar-SA"/>
    </w:rPr>
  </w:style>
  <w:style w:type="character" w:styleId="1374" w:customStyle="1">
    <w:name w:val="样式 首行缩进:  2 字符 Char"/>
    <w:qFormat/>
    <w:rPr>
      <w:rFonts w:eastAsia="宋体" w:cs="宋体"/>
      <w:sz w:val="24"/>
      <w:lang w:val="en-US" w:eastAsia="zh-CN" w:bidi="ar-SA"/>
    </w:rPr>
  </w:style>
  <w:style w:type="table" w:styleId="1375" w:customStyle="1">
    <w:name w:val="Table Normal"/>
    <w:qFormat/>
    <w:tblPr>
      <w:tblCellMar>
        <w:left w:w="0" w:type="dxa"/>
        <w:top w:w="0" w:type="dxa"/>
        <w:right w:w="0" w:type="dxa"/>
        <w:bottom w:w="0" w:type="dxa"/>
      </w:tblCellMar>
    </w:tblPr>
  </w:style>
  <w:style w:type="table" w:styleId="1376" w:customStyle="1">
    <w:name w:val="网格型1"/>
    <w:basedOn w:val="95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7">
    <w:name w:val="Placeholder Text"/>
    <w:uiPriority w:val="99"/>
    <w:semiHidden/>
    <w:qFormat/>
    <w:rPr>
      <w:color w:val="808080"/>
    </w:rPr>
  </w:style>
  <w:style w:type="paragraph" w:styleId="1378" w:customStyle="1">
    <w:name w:val="正文文本1"/>
    <w:basedOn w:val="945"/>
    <w:qFormat/>
    <w:pPr>
      <w:ind w:firstLine="400"/>
      <w:spacing w:line="480" w:lineRule="auto"/>
    </w:pPr>
    <w:rPr>
      <w:rFonts w:hAnsi="宋体" w:cs="宋体"/>
      <w:sz w:val="20"/>
      <w:lang w:val="zh-CN" w:bidi="zh-CN"/>
    </w:rPr>
  </w:style>
  <w:style w:type="character" w:styleId="1379" w:customStyle="1">
    <w:name w:val="font01"/>
    <w:basedOn w:val="955"/>
    <w:qFormat/>
    <w:rPr>
      <w:rFonts w:hint="eastAsia" w:ascii="宋体" w:hAnsi="宋体" w:eastAsia="宋体" w:cs="宋体"/>
      <w:color w:val="000000"/>
      <w:sz w:val="22"/>
      <w:szCs w:val="22"/>
      <w:u w:val="none"/>
    </w:rPr>
  </w:style>
  <w:style w:type="character" w:styleId="1380" w:customStyle="1">
    <w:name w:val="font21"/>
    <w:basedOn w:val="955"/>
    <w:qFormat/>
    <w:rPr>
      <w:rFonts w:hint="default" w:ascii="Times New Roman" w:hAnsi="Times New Roman" w:cs="Times New Roman"/>
      <w:color w:val="000000"/>
      <w:sz w:val="22"/>
      <w:szCs w:val="22"/>
      <w:u w:val="none"/>
    </w:rPr>
  </w:style>
  <w:style w:type="character" w:styleId="1381" w:customStyle="1">
    <w:name w:val="页眉 字符"/>
    <w:basedOn w:val="955"/>
    <w:link w:val="987"/>
    <w:uiPriority w:val="99"/>
    <w:qFormat/>
    <w:rPr>
      <w:b/>
      <w:position w:val="-10"/>
      <w:sz w:val="18"/>
      <w:szCs w:val="18"/>
    </w:rPr>
  </w:style>
  <w:style w:type="character" w:styleId="1382" w:customStyle="1">
    <w:name w:val="日期 字符"/>
    <w:basedOn w:val="955"/>
    <w:link w:val="982"/>
    <w:qFormat/>
    <w:rPr>
      <w:b/>
      <w:position w:val="-10"/>
      <w:sz w:val="24"/>
      <w:szCs w:val="24"/>
    </w:rPr>
  </w:style>
  <w:style w:type="character" w:styleId="1383" w:customStyle="1">
    <w:name w:val="批注框文本 字符"/>
    <w:basedOn w:val="955"/>
    <w:link w:val="985"/>
    <w:qFormat/>
    <w:rPr>
      <w:b/>
      <w:position w:val="-10"/>
      <w:sz w:val="18"/>
      <w:szCs w:val="18"/>
    </w:rPr>
  </w:style>
  <w:style w:type="character" w:styleId="1384" w:customStyle="1">
    <w:name w:val="批注文字 Char1"/>
    <w:basedOn w:val="955"/>
    <w:qFormat/>
    <w:rPr>
      <w:rFonts w:ascii="Times New Roman" w:hAnsi="Times New Roman" w:eastAsia="宋体" w:cs="Times New Roman"/>
      <w:szCs w:val="24"/>
    </w:rPr>
  </w:style>
  <w:style w:type="character" w:styleId="1385" w:customStyle="1">
    <w:name w:val="p12"/>
    <w:qFormat/>
  </w:style>
  <w:style w:type="character" w:styleId="1386" w:customStyle="1">
    <w:name w:val="列出段落 Char"/>
    <w:link w:val="1275"/>
    <w:qFormat/>
    <w:rPr>
      <w:rFonts w:ascii="Arial" w:hAnsi="Arial" w:eastAsia="黑体" w:cs="宋体"/>
      <w:sz w:val="24"/>
      <w:szCs w:val="24"/>
      <w:lang w:val="zh-CN" w:eastAsia="en-US"/>
    </w:rPr>
  </w:style>
  <w:style w:type="paragraph" w:styleId="1387" w:customStyle="1">
    <w:name w:val="修订1"/>
    <w:hidden/>
    <w:uiPriority w:val="99"/>
    <w:unhideWhenUsed/>
    <w:qFormat/>
    <w:rPr>
      <w:rFonts w:ascii="宋体"/>
      <w:b/>
      <w:position w:val="-10"/>
      <w:sz w:val="24"/>
    </w:rPr>
  </w:style>
  <w:style w:type="character" w:styleId="1388" w:customStyle="1">
    <w:name w:val="正文文本首行缩进 2 字符"/>
    <w:basedOn w:val="1038"/>
    <w:link w:val="1009"/>
    <w:qFormat/>
    <w:rPr>
      <w:rFonts w:ascii="宋体" w:hAnsi="宋体" w:cs="宋体"/>
      <w:b/>
      <w:position w:val="-10"/>
      <w:sz w:val="24"/>
      <w:szCs w:val="24"/>
    </w:rPr>
  </w:style>
  <w:style w:type="paragraph" w:styleId="1389" w:customStyle="1">
    <w:name w:val="修订2"/>
    <w:hidden/>
    <w:uiPriority w:val="99"/>
    <w:unhideWhenUsed/>
    <w:qFormat/>
    <w:rPr>
      <w:rFonts w:ascii="宋体"/>
      <w:b/>
      <w:position w:val="-10"/>
      <w:sz w:val="24"/>
    </w:rPr>
  </w:style>
  <w:style w:type="paragraph" w:styleId="1390" w:customStyle="1">
    <w:name w:val="修订3"/>
    <w:hidden/>
    <w:uiPriority w:val="99"/>
    <w:unhideWhenUsed/>
    <w:qFormat/>
    <w:rPr>
      <w:rFonts w:ascii="宋体"/>
      <w:b/>
      <w:position w:val="-10"/>
      <w:sz w:val="24"/>
    </w:rPr>
  </w:style>
  <w:style w:type="table" w:styleId="1391" w:customStyle="1">
    <w:name w:val="网格型2"/>
    <w:basedOn w:val="95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2" w:customStyle="1">
    <w:name w:val="B1"/>
    <w:basedOn w:val="945"/>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393" w:customStyle="1">
    <w:name w:val="B3"/>
    <w:basedOn w:val="1394"/>
    <w:qFormat/>
    <w:pPr>
      <w:numPr>
        <w:ilvl w:val="2"/>
      </w:numPr>
      <w:ind w:left="1416" w:hanging="1416"/>
      <w:outlineLvl w:val="2"/>
    </w:pPr>
    <w:rPr>
      <w:b w:val="0"/>
    </w:rPr>
  </w:style>
  <w:style w:type="paragraph" w:styleId="1394" w:customStyle="1">
    <w:name w:val="B2"/>
    <w:basedOn w:val="945"/>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395" w:customStyle="1">
    <w:name w:val="修订4"/>
    <w:hidden/>
    <w:uiPriority w:val="99"/>
    <w:unhideWhenUsed/>
    <w:qFormat/>
    <w:rPr>
      <w:rFonts w:ascii="宋体"/>
      <w:b/>
      <w:position w:val="-10"/>
      <w:sz w:val="24"/>
    </w:rPr>
  </w:style>
  <w:style w:type="paragraph" w:styleId="1396" w:customStyle="1">
    <w:name w:val="修订5"/>
    <w:hidden/>
    <w:uiPriority w:val="99"/>
    <w:unhideWhenUsed/>
    <w:qFormat/>
    <w:rPr>
      <w:rFonts w:ascii="宋体"/>
      <w:b/>
      <w:position w:val="-10"/>
      <w:sz w:val="24"/>
    </w:rPr>
  </w:style>
  <w:style w:type="paragraph" w:styleId="1397" w:customStyle="1">
    <w:name w:val="修订6"/>
    <w:hidden/>
    <w:uiPriority w:val="99"/>
    <w:unhideWhenUsed/>
    <w:qFormat/>
    <w:rPr>
      <w:rFonts w:ascii="宋体"/>
      <w:b/>
      <w:position w:val="-10"/>
      <w:sz w:val="24"/>
    </w:rPr>
  </w:style>
  <w:style w:type="paragraph" w:styleId="1398" w:customStyle="1">
    <w:name w:val="修订7"/>
    <w:hidden/>
    <w:uiPriority w:val="99"/>
    <w:unhideWhenUsed/>
    <w:qFormat/>
    <w:rPr>
      <w:rFonts w:ascii="宋体"/>
      <w:b/>
      <w:position w:val="-10"/>
      <w:sz w:val="24"/>
    </w:rPr>
  </w:style>
  <w:style w:type="paragraph" w:styleId="1399" w:customStyle="1">
    <w:name w:val="_Style 1"/>
    <w:basedOn w:val="945"/>
    <w:uiPriority w:val="99"/>
    <w:qFormat/>
    <w:pPr>
      <w:ind w:firstLine="420"/>
    </w:pPr>
    <w:rPr>
      <w:rFonts w:ascii="Calibri" w:hAnsi="Calibri" w:cs="Calibri"/>
      <w:sz w:val="34"/>
      <w:szCs w:val="34"/>
    </w:rPr>
  </w:style>
  <w:style w:type="character" w:styleId="1400" w:customStyle="1">
    <w:name w:val="明显强调1"/>
    <w:basedOn w:val="955"/>
    <w:uiPriority w:val="21"/>
    <w:qFormat/>
    <w:rPr>
      <w:i/>
      <w:iCs/>
      <w:color w:val="2f5496"/>
    </w:rPr>
  </w:style>
  <w:style w:type="character" w:styleId="1401" w:customStyle="1">
    <w:name w:val="明显参考1"/>
    <w:basedOn w:val="955"/>
    <w:uiPriority w:val="32"/>
    <w:qFormat/>
    <w:rPr>
      <w:b/>
      <w:bCs/>
      <w:smallCaps/>
      <w:color w:val="2f5496"/>
      <w:spacing w:val="5"/>
    </w:rPr>
  </w:style>
  <w:style w:type="character" w:styleId="1402" w:customStyle="1">
    <w:name w:val="明显强调2"/>
    <w:basedOn w:val="955"/>
    <w:uiPriority w:val="21"/>
    <w:qFormat/>
    <w:rPr>
      <w:i/>
      <w:iCs/>
      <w:color w:val="4472c4" w:themeColor="accent1"/>
    </w:rPr>
  </w:style>
  <w:style w:type="character" w:styleId="1403" w:customStyle="1">
    <w:name w:val="明显参考2"/>
    <w:basedOn w:val="955"/>
    <w:uiPriority w:val="32"/>
    <w:qFormat/>
    <w:rPr>
      <w:b/>
      <w:bCs/>
      <w:smallCaps/>
      <w:color w:val="4472c4" w:themeColor="accent1"/>
      <w:spacing w:val="5"/>
    </w:rPr>
  </w:style>
  <w:style w:type="character" w:styleId="1404" w:customStyle="1">
    <w:name w:val="font41"/>
    <w:basedOn w:val="955"/>
    <w:qFormat/>
    <w:rPr>
      <w:rFonts w:hint="eastAsia" w:ascii="宋体" w:hAnsi="宋体" w:eastAsia="宋体" w:cs="宋体"/>
      <w:color w:val="ff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90</cp:revision>
  <dcterms:created xsi:type="dcterms:W3CDTF">2025-03-10T07:03:00Z</dcterms:created>
  <dcterms:modified xsi:type="dcterms:W3CDTF">2026-07-03T09:01:51Z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19BC206BF3BF44BCB2A912144EBD536B_13</vt:lpwstr>
  </property>
  <property fmtid="{D5CDD505-2E9C-101B-9397-08002B2CF9AE}" pid="4" name="KSOTemplateDocerSaveRecord">
    <vt:lpwstr>eyJoZGlkIjoiOTc2MWI0MzllMThiMmViNDJmOTJiN2Q5MWZjYTg5MjIiLCJ1c2VySWQiOiI4NDc1MTQyOTEifQ==</vt:lpwstr>
  </property>
</Properties>
</file>