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32"/>
        <w:ind w:firstLine="0"/>
        <w:pageBreakBefore w:val="0"/>
        <w:spacing w:line="360" w:lineRule="exact"/>
        <w:tabs>
          <w:tab w:val="left" w:pos="3163" w:leader="none"/>
        </w:tabs>
        <w:rPr>
          <w:rFonts w:hint="eastAsia" w:ascii="宋体" w:hAnsi="宋体" w:eastAsia="宋体" w:cs="宋体"/>
          <w:bCs/>
          <w:color w:val="auto"/>
          <w:sz w:val="32"/>
          <w:szCs w:val="32"/>
          <w:highlight w:val="none"/>
          <w:lang w:val="en-US" w:eastAsia="zh-CN" w:bidi="ar-SA"/>
        </w:rPr>
      </w:pPr>
      <w:r>
        <w:rPr>
          <w:rFonts w:hint="eastAsia" w:ascii="宋体" w:hAnsi="宋体" w:eastAsia="宋体" w:cs="宋体"/>
          <w:bCs/>
          <w:color w:val="auto"/>
          <w:sz w:val="32"/>
          <w:szCs w:val="32"/>
          <w:highlight w:val="none"/>
          <w:lang w:val="en-US" w:eastAsia="zh-CN" w:bidi="ar-SA"/>
        </w:rPr>
        <w:tab/>
      </w:r>
      <w:r/>
    </w:p>
    <w:p>
      <w:pPr>
        <w:pStyle w:val="832"/>
        <w:ind w:firstLine="0"/>
        <w:pageBreakBefore w:val="0"/>
        <w:spacing w:line="360" w:lineRule="exact"/>
        <w:tabs>
          <w:tab w:val="left" w:pos="3163" w:leader="none"/>
        </w:tabs>
        <w:rPr>
          <w:rFonts w:hint="eastAsia" w:ascii="宋体" w:hAnsi="宋体" w:eastAsia="宋体" w:cs="宋体"/>
          <w:bCs/>
          <w:color w:val="auto"/>
          <w:sz w:val="32"/>
          <w:szCs w:val="32"/>
          <w:highlight w:val="none"/>
          <w:lang w:val="en-US" w:eastAsia="zh-CN" w:bidi="ar-SA"/>
        </w:rPr>
      </w:pPr>
      <w:r>
        <w:rPr>
          <w:rFonts w:hint="eastAsia" w:ascii="宋体" w:hAnsi="宋体" w:eastAsia="宋体" w:cs="宋体"/>
          <w:bCs/>
          <w:color w:val="auto"/>
          <w:sz w:val="32"/>
          <w:szCs w:val="32"/>
          <w:highlight w:val="none"/>
          <w:lang w:val="en-US" w:eastAsia="zh-CN" w:bidi="ar-SA"/>
        </w:rPr>
      </w:r>
      <w:r/>
    </w:p>
    <w:p>
      <w:pPr>
        <w:pStyle w:val="832"/>
        <w:ind w:firstLine="0"/>
        <w:jc w:val="center"/>
        <w:pageBreakBefore w:val="0"/>
        <w:spacing w:line="360" w:lineRule="exact"/>
        <w:rPr>
          <w:rFonts w:hint="eastAsia" w:ascii="宋体" w:hAnsi="宋体" w:eastAsia="宋体" w:cs="宋体"/>
          <w:bCs/>
          <w:color w:val="auto"/>
          <w:sz w:val="32"/>
          <w:szCs w:val="32"/>
          <w:highlight w:val="none"/>
          <w:lang w:val="en-US" w:eastAsia="zh-CN" w:bidi="ar-SA"/>
        </w:rPr>
      </w:pPr>
      <w:r>
        <w:rPr>
          <w:rFonts w:hint="eastAsia" w:ascii="宋体" w:hAnsi="宋体" w:eastAsia="宋体" w:cs="宋体"/>
          <w:bCs/>
          <w:color w:val="auto"/>
          <w:sz w:val="32"/>
          <w:szCs w:val="32"/>
          <w:highlight w:val="none"/>
          <w:lang w:val="en-US" w:eastAsia="zh-CN" w:bidi="ar-SA"/>
        </w:rPr>
      </w:r>
      <w:r/>
    </w:p>
    <w:p>
      <w:pPr>
        <w:pStyle w:val="832"/>
        <w:ind w:firstLine="0"/>
        <w:jc w:val="center"/>
        <w:rPr>
          <w:rFonts w:hint="eastAsia" w:ascii="宋体" w:hAnsi="宋体" w:eastAsia="宋体" w:cs="宋体"/>
          <w:bCs/>
          <w:color w:val="auto"/>
          <w:spacing w:val="20"/>
          <w:sz w:val="84"/>
          <w:szCs w:val="84"/>
          <w:highlight w:val="none"/>
        </w:rPr>
      </w:pPr>
      <w:r>
        <w:rPr>
          <w:rFonts w:hint="eastAsia" w:ascii="宋体" w:hAnsi="宋体" w:eastAsia="宋体" w:cs="宋体"/>
          <w:bCs/>
          <w:color w:val="auto"/>
          <w:spacing w:val="20"/>
          <w:sz w:val="84"/>
          <w:szCs w:val="84"/>
          <w:highlight w:val="none"/>
        </w:rPr>
        <w:t xml:space="preserve">公开招标文件</w:t>
      </w:r>
      <w:r/>
    </w:p>
    <w:p>
      <w:pPr>
        <w:pStyle w:val="832"/>
        <w:ind w:firstLine="0"/>
        <w:jc w:val="center"/>
        <w:pageBreakBefore w:val="0"/>
        <w:spacing w:line="360" w:lineRule="exact"/>
        <w:rPr>
          <w:rFonts w:hint="eastAsia" w:ascii="宋体" w:hAnsi="宋体" w:eastAsia="宋体" w:cs="宋体"/>
          <w:bCs/>
          <w:color w:val="auto"/>
          <w:sz w:val="32"/>
          <w:szCs w:val="32"/>
          <w:highlight w:val="none"/>
          <w:lang w:val="en-US" w:eastAsia="zh-CN" w:bidi="ar-SA"/>
        </w:rPr>
      </w:pPr>
      <w:r>
        <w:rPr>
          <w:rFonts w:hint="eastAsia" w:ascii="宋体" w:hAnsi="宋体" w:eastAsia="宋体" w:cs="宋体"/>
          <w:bCs/>
          <w:color w:val="auto"/>
          <w:sz w:val="32"/>
          <w:szCs w:val="32"/>
          <w:highlight w:val="none"/>
          <w:lang w:val="en-US" w:eastAsia="zh-CN" w:bidi="ar-SA"/>
        </w:rPr>
      </w:r>
      <w:r/>
    </w:p>
    <w:p>
      <w:pPr>
        <w:pStyle w:val="832"/>
        <w:ind w:firstLine="0"/>
        <w:jc w:val="center"/>
        <w:pageBreakBefore w:val="0"/>
        <w:spacing w:line="360" w:lineRule="exact"/>
        <w:rPr>
          <w:rFonts w:hint="eastAsia" w:ascii="宋体" w:hAnsi="宋体" w:eastAsia="宋体" w:cs="宋体"/>
          <w:bCs/>
          <w:color w:val="auto"/>
          <w:sz w:val="32"/>
          <w:szCs w:val="32"/>
          <w:highlight w:val="none"/>
          <w:lang w:val="en-US" w:eastAsia="zh-CN" w:bidi="ar-SA"/>
        </w:rPr>
      </w:pPr>
      <w:r>
        <w:rPr>
          <w:rFonts w:hint="eastAsia" w:ascii="宋体" w:hAnsi="宋体" w:eastAsia="宋体" w:cs="宋体"/>
          <w:bCs/>
          <w:color w:val="auto"/>
          <w:sz w:val="32"/>
          <w:szCs w:val="32"/>
          <w:highlight w:val="none"/>
          <w:lang w:val="en-US" w:eastAsia="zh-CN" w:bidi="ar-SA"/>
        </w:rPr>
      </w:r>
      <w:r/>
    </w:p>
    <w:p>
      <w:pPr>
        <w:pStyle w:val="832"/>
        <w:ind w:firstLine="0"/>
        <w:jc w:val="center"/>
        <w:pageBreakBefore w:val="0"/>
        <w:spacing w:line="360" w:lineRule="exact"/>
        <w:rPr>
          <w:rFonts w:hint="eastAsia" w:ascii="宋体" w:hAnsi="宋体" w:eastAsia="宋体" w:cs="宋体"/>
          <w:bCs/>
          <w:color w:val="auto"/>
          <w:sz w:val="32"/>
          <w:szCs w:val="32"/>
          <w:highlight w:val="none"/>
          <w:lang w:val="en-US" w:eastAsia="zh-CN" w:bidi="ar-SA"/>
        </w:rPr>
      </w:pPr>
      <w:r>
        <w:rPr>
          <w:rFonts w:hint="eastAsia" w:ascii="宋体" w:hAnsi="宋体" w:eastAsia="宋体" w:cs="宋体"/>
          <w:bCs/>
          <w:color w:val="auto"/>
          <w:sz w:val="32"/>
          <w:szCs w:val="32"/>
          <w:highlight w:val="none"/>
          <w:lang w:val="en-US" w:eastAsia="zh-CN" w:bidi="ar-SA"/>
        </w:rPr>
      </w:r>
      <w:r/>
    </w:p>
    <w:p>
      <w:pPr>
        <w:pStyle w:val="832"/>
        <w:ind w:firstLine="0"/>
        <w:jc w:val="center"/>
        <w:pageBreakBefore w:val="0"/>
        <w:spacing w:line="360" w:lineRule="exact"/>
        <w:rPr>
          <w:rFonts w:hint="eastAsia" w:ascii="宋体" w:hAnsi="宋体" w:eastAsia="宋体" w:cs="宋体"/>
          <w:bCs/>
          <w:color w:val="auto"/>
          <w:sz w:val="32"/>
          <w:szCs w:val="32"/>
          <w:highlight w:val="none"/>
          <w:lang w:val="en-US" w:eastAsia="zh-CN" w:bidi="ar-SA"/>
        </w:rPr>
      </w:pPr>
      <w:r>
        <w:rPr>
          <w:rFonts w:hint="eastAsia" w:ascii="宋体" w:hAnsi="宋体" w:eastAsia="宋体" w:cs="宋体"/>
          <w:bCs/>
          <w:color w:val="auto"/>
          <w:sz w:val="32"/>
          <w:szCs w:val="32"/>
          <w:highlight w:val="none"/>
          <w:lang w:val="en-US" w:eastAsia="zh-CN" w:bidi="ar-SA"/>
        </w:rPr>
      </w:r>
      <w:r/>
    </w:p>
    <w:p>
      <w:pPr>
        <w:pStyle w:val="832"/>
        <w:ind w:firstLine="0"/>
        <w:jc w:val="center"/>
        <w:pageBreakBefore w:val="0"/>
        <w:spacing w:line="360" w:lineRule="exact"/>
        <w:rPr>
          <w:rFonts w:hint="eastAsia" w:ascii="宋体" w:hAnsi="宋体" w:eastAsia="宋体" w:cs="宋体"/>
          <w:bCs/>
          <w:color w:val="auto"/>
          <w:sz w:val="32"/>
          <w:szCs w:val="32"/>
          <w:highlight w:val="none"/>
          <w:lang w:val="en-US" w:eastAsia="zh-CN" w:bidi="ar-SA"/>
        </w:rPr>
      </w:pPr>
      <w:r>
        <w:rPr>
          <w:rFonts w:hint="eastAsia" w:ascii="宋体" w:hAnsi="宋体" w:eastAsia="宋体" w:cs="宋体"/>
          <w:bCs/>
          <w:color w:val="auto"/>
          <w:sz w:val="32"/>
          <w:szCs w:val="32"/>
          <w:highlight w:val="none"/>
          <w:lang w:val="en-US" w:eastAsia="zh-CN" w:bidi="ar-SA"/>
        </w:rPr>
      </w:r>
      <w:r/>
    </w:p>
    <w:p>
      <w:pPr>
        <w:pStyle w:val="832"/>
        <w:ind w:firstLine="0"/>
        <w:jc w:val="center"/>
        <w:pageBreakBefore w:val="0"/>
        <w:spacing w:line="360" w:lineRule="exact"/>
        <w:rPr>
          <w:rFonts w:hint="eastAsia" w:ascii="宋体" w:hAnsi="宋体" w:eastAsia="宋体" w:cs="宋体"/>
          <w:bCs/>
          <w:color w:val="auto"/>
          <w:sz w:val="32"/>
          <w:szCs w:val="32"/>
          <w:highlight w:val="none"/>
          <w:lang w:val="en-US" w:eastAsia="zh-CN" w:bidi="ar-SA"/>
        </w:rPr>
      </w:pPr>
      <w:r>
        <w:rPr>
          <w:rFonts w:hint="eastAsia" w:ascii="宋体" w:hAnsi="宋体" w:eastAsia="宋体" w:cs="宋体"/>
          <w:bCs/>
          <w:color w:val="auto"/>
          <w:sz w:val="32"/>
          <w:szCs w:val="32"/>
          <w:highlight w:val="none"/>
          <w:lang w:val="en-US" w:eastAsia="zh-CN" w:bidi="ar-SA"/>
        </w:rPr>
      </w:r>
      <w:r/>
    </w:p>
    <w:p>
      <w:pPr>
        <w:pStyle w:val="832"/>
        <w:ind w:firstLine="0"/>
        <w:jc w:val="center"/>
        <w:pageBreakBefore w:val="0"/>
        <w:spacing w:line="360" w:lineRule="exact"/>
        <w:rPr>
          <w:rFonts w:hint="eastAsia" w:ascii="宋体" w:hAnsi="宋体" w:eastAsia="宋体" w:cs="宋体"/>
          <w:bCs/>
          <w:color w:val="auto"/>
          <w:spacing w:val="20"/>
          <w:sz w:val="52"/>
          <w:szCs w:val="52"/>
          <w:highlight w:val="none"/>
          <w:shd w:val="clear" w:color="ffffff" w:fill="d9d9d9"/>
        </w:rPr>
      </w:pPr>
      <w:r>
        <w:rPr>
          <w:rFonts w:hint="eastAsia" w:ascii="宋体" w:hAnsi="宋体" w:eastAsia="宋体" w:cs="宋体"/>
          <w:bCs/>
          <w:color w:val="auto"/>
          <w:spacing w:val="20"/>
          <w:sz w:val="52"/>
          <w:szCs w:val="52"/>
          <w:highlight w:val="none"/>
          <w:shd w:val="clear" w:color="ffffff" w:fill="d9d9d9"/>
        </w:rPr>
      </w:r>
      <w:r/>
    </w:p>
    <w:p>
      <w:pPr>
        <w:pStyle w:val="832"/>
        <w:ind w:firstLine="0"/>
        <w:jc w:val="center"/>
        <w:pageBreakBefore w:val="0"/>
        <w:spacing w:line="360" w:lineRule="exact"/>
        <w:rPr>
          <w:rFonts w:hint="eastAsia" w:ascii="宋体" w:hAnsi="宋体" w:eastAsia="宋体" w:cs="宋体"/>
          <w:bCs/>
          <w:color w:val="auto"/>
          <w:spacing w:val="20"/>
          <w:sz w:val="52"/>
          <w:szCs w:val="52"/>
          <w:highlight w:val="none"/>
          <w:shd w:val="clear" w:color="ffffff" w:fill="d9d9d9"/>
        </w:rPr>
      </w:pPr>
      <w:r>
        <w:rPr>
          <w:rFonts w:hint="eastAsia" w:ascii="宋体" w:hAnsi="宋体" w:eastAsia="宋体" w:cs="宋体"/>
          <w:bCs/>
          <w:color w:val="auto"/>
          <w:spacing w:val="20"/>
          <w:sz w:val="52"/>
          <w:szCs w:val="52"/>
          <w:highlight w:val="none"/>
          <w:shd w:val="clear" w:color="ffffff" w:fill="d9d9d9"/>
        </w:rPr>
      </w:r>
      <w:r/>
    </w:p>
    <w:p>
      <w:pPr>
        <w:pStyle w:val="832"/>
        <w:ind w:firstLine="0"/>
        <w:jc w:val="center"/>
        <w:pageBreakBefore w:val="0"/>
        <w:spacing w:line="360" w:lineRule="exact"/>
        <w:rPr>
          <w:rFonts w:hint="eastAsia" w:ascii="宋体" w:hAnsi="宋体" w:eastAsia="宋体" w:cs="宋体"/>
          <w:bCs/>
          <w:color w:val="auto"/>
          <w:spacing w:val="20"/>
          <w:sz w:val="52"/>
          <w:szCs w:val="52"/>
          <w:highlight w:val="none"/>
          <w:shd w:val="clear" w:color="ffffff" w:fill="d9d9d9"/>
        </w:rPr>
      </w:pPr>
      <w:r>
        <w:rPr>
          <w:rFonts w:hint="eastAsia" w:ascii="宋体" w:hAnsi="宋体" w:eastAsia="宋体" w:cs="宋体"/>
          <w:bCs/>
          <w:color w:val="auto"/>
          <w:spacing w:val="20"/>
          <w:sz w:val="52"/>
          <w:szCs w:val="52"/>
          <w:highlight w:val="none"/>
          <w:shd w:val="clear" w:color="ffffff" w:fill="d9d9d9"/>
        </w:rPr>
      </w:r>
      <w:r/>
    </w:p>
    <w:p>
      <w:pPr>
        <w:pStyle w:val="832"/>
        <w:ind w:firstLine="0"/>
        <w:jc w:val="center"/>
        <w:pageBreakBefore w:val="0"/>
        <w:spacing w:line="360" w:lineRule="exact"/>
        <w:rPr>
          <w:rFonts w:hint="eastAsia" w:ascii="宋体" w:hAnsi="宋体" w:eastAsia="宋体" w:cs="宋体"/>
          <w:bCs/>
          <w:color w:val="auto"/>
          <w:spacing w:val="20"/>
          <w:sz w:val="52"/>
          <w:szCs w:val="52"/>
          <w:highlight w:val="none"/>
          <w:shd w:val="clear" w:color="ffffff" w:fill="d9d9d9"/>
        </w:rPr>
      </w:pPr>
      <w:r>
        <w:rPr>
          <w:rFonts w:hint="eastAsia" w:ascii="宋体" w:hAnsi="宋体" w:eastAsia="宋体" w:cs="宋体"/>
          <w:bCs/>
          <w:color w:val="auto"/>
          <w:spacing w:val="20"/>
          <w:sz w:val="52"/>
          <w:szCs w:val="52"/>
          <w:highlight w:val="none"/>
          <w:shd w:val="clear" w:color="ffffff" w:fill="d9d9d9"/>
        </w:rPr>
      </w:r>
      <w:r/>
    </w:p>
    <w:p>
      <w:pPr>
        <w:pStyle w:val="832"/>
        <w:ind w:firstLine="0"/>
        <w:jc w:val="left"/>
        <w:pageBreakBefore w:val="0"/>
        <w:spacing w:line="360" w:lineRule="auto"/>
        <w:rPr>
          <w:rFonts w:hint="eastAsia" w:ascii="宋体" w:hAnsi="宋体" w:eastAsia="宋体" w:cs="宋体"/>
          <w:bCs/>
          <w:color w:val="auto"/>
          <w:spacing w:val="20"/>
          <w:sz w:val="52"/>
          <w:szCs w:val="52"/>
          <w:highlight w:val="none"/>
          <w:shd w:val="clear" w:color="ffffff" w:fill="d9d9d9"/>
        </w:rPr>
      </w:pPr>
      <w:r>
        <w:rPr>
          <w:rFonts w:hint="eastAsia" w:ascii="宋体" w:hAnsi="宋体" w:eastAsia="宋体" w:cs="宋体"/>
          <w:bCs/>
          <w:color w:val="auto"/>
          <w:spacing w:val="20"/>
          <w:sz w:val="52"/>
          <w:szCs w:val="52"/>
          <w:highlight w:val="none"/>
          <w:shd w:val="clear" w:color="ffffff" w:fill="d9d9d9"/>
        </w:rPr>
      </w:r>
      <w:r/>
    </w:p>
    <w:p>
      <w:pPr>
        <w:jc w:val="left"/>
        <w:pageBreakBefore w:val="0"/>
        <w:spacing w:line="360" w:lineRule="auto"/>
        <w:rPr>
          <w:rFonts w:hint="eastAsia" w:ascii="宋体" w:hAnsi="宋体" w:eastAsia="宋体" w:cs="宋体"/>
          <w:bCs/>
          <w:color w:val="auto"/>
          <w:sz w:val="32"/>
          <w:szCs w:val="32"/>
          <w:highlight w:val="none"/>
          <w:lang w:eastAsia="zh-CN"/>
        </w:rPr>
      </w:pPr>
      <w:r>
        <w:rPr>
          <w:rFonts w:hint="eastAsia" w:ascii="宋体" w:hAnsi="宋体" w:eastAsia="宋体" w:cs="宋体"/>
          <w:bCs/>
          <w:color w:val="auto"/>
          <w:sz w:val="32"/>
          <w:szCs w:val="32"/>
          <w:highlight w:val="none"/>
        </w:rPr>
        <w:t xml:space="preserve">项目编号：</w:t>
      </w:r>
      <w:r>
        <w:rPr>
          <w:rFonts w:hint="eastAsia" w:ascii="宋体" w:hAnsi="宋体" w:cs="宋体"/>
          <w:bCs/>
          <w:color w:val="auto"/>
          <w:sz w:val="32"/>
          <w:szCs w:val="32"/>
          <w:highlight w:val="none"/>
          <w:lang w:eastAsia="zh-CN"/>
        </w:rPr>
        <w:t xml:space="preserve">JSZC-320200-JXCG-G2026-0018</w:t>
      </w:r>
      <w:r/>
    </w:p>
    <w:p>
      <w:pPr>
        <w:ind w:left="1600" w:hanging="1600"/>
        <w:jc w:val="left"/>
        <w:pageBreakBefore w:val="0"/>
        <w:spacing w:line="360" w:lineRule="auto"/>
        <w:rPr>
          <w:rFonts w:hint="eastAsia" w:ascii="宋体" w:hAnsi="宋体" w:eastAsia="宋体" w:cs="宋体"/>
          <w:bCs/>
          <w:color w:val="auto"/>
          <w:sz w:val="32"/>
          <w:szCs w:val="32"/>
          <w:highlight w:val="none"/>
          <w:lang w:eastAsia="zh-CN"/>
        </w:rPr>
      </w:pPr>
      <w:r>
        <w:rPr>
          <w:rFonts w:hint="eastAsia" w:ascii="宋体" w:hAnsi="宋体" w:eastAsia="宋体" w:cs="宋体"/>
          <w:bCs/>
          <w:color w:val="auto"/>
          <w:sz w:val="32"/>
          <w:szCs w:val="32"/>
          <w:highlight w:val="none"/>
        </w:rPr>
        <w:t xml:space="preserve">项目名称：</w:t>
      </w:r>
      <w:r>
        <w:rPr>
          <w:rFonts w:hint="eastAsia" w:ascii="宋体" w:hAnsi="宋体" w:cs="宋体"/>
          <w:bCs/>
          <w:color w:val="auto"/>
          <w:sz w:val="32"/>
          <w:szCs w:val="32"/>
          <w:highlight w:val="none"/>
          <w:lang w:eastAsia="zh-CN"/>
        </w:rPr>
        <w:t xml:space="preserve">2026年仪器设备专项购置（干加热自动透皮系统）</w:t>
      </w:r>
      <w:r/>
    </w:p>
    <w:p>
      <w:pPr>
        <w:jc w:val="left"/>
        <w:pageBreakBefore w:val="0"/>
        <w:spacing w:line="360" w:lineRule="auto"/>
        <w:rPr>
          <w:rFonts w:hint="eastAsia" w:ascii="宋体" w:hAnsi="宋体" w:eastAsia="宋体" w:cs="宋体"/>
          <w:bCs/>
          <w:color w:val="auto"/>
          <w:sz w:val="32"/>
          <w:szCs w:val="32"/>
          <w:highlight w:val="none"/>
          <w:lang w:eastAsia="zh-CN"/>
        </w:rPr>
      </w:pPr>
      <w:r>
        <w:rPr>
          <w:rFonts w:hint="eastAsia" w:ascii="宋体" w:hAnsi="宋体" w:eastAsia="宋体" w:cs="宋体"/>
          <w:bCs/>
          <w:color w:val="auto"/>
          <w:sz w:val="32"/>
          <w:szCs w:val="32"/>
          <w:highlight w:val="none"/>
        </w:rPr>
        <w:t xml:space="preserve">采购人：</w:t>
      </w:r>
      <w:r>
        <w:rPr>
          <w:rFonts w:hint="eastAsia" w:ascii="宋体" w:hAnsi="宋体" w:cs="宋体"/>
          <w:bCs/>
          <w:color w:val="auto"/>
          <w:sz w:val="32"/>
          <w:szCs w:val="32"/>
          <w:highlight w:val="none"/>
          <w:lang w:eastAsia="zh-CN"/>
        </w:rPr>
        <w:t xml:space="preserve">无锡市药品安全检验检测中心</w:t>
      </w:r>
      <w:r/>
    </w:p>
    <w:p>
      <w:pPr>
        <w:jc w:val="left"/>
        <w:pageBreakBefore w:val="0"/>
        <w:spacing w:line="360" w:lineRule="auto"/>
        <w:rPr>
          <w:rFonts w:hint="eastAsia" w:ascii="宋体" w:hAnsi="宋体" w:eastAsia="宋体" w:cs="宋体"/>
          <w:color w:val="auto"/>
          <w:sz w:val="32"/>
          <w:szCs w:val="32"/>
          <w:highlight w:val="none"/>
          <w:shd w:val="clear" w:color="ffffff" w:fill="d9d9d9"/>
          <w:lang w:eastAsia="zh-CN"/>
        </w:rPr>
      </w:pPr>
      <w:r>
        <w:rPr>
          <w:rFonts w:hint="eastAsia" w:ascii="宋体" w:hAnsi="宋体" w:eastAsia="宋体" w:cs="宋体"/>
          <w:bCs/>
          <w:color w:val="auto"/>
          <w:sz w:val="32"/>
          <w:szCs w:val="32"/>
          <w:highlight w:val="none"/>
        </w:rPr>
        <w:t xml:space="preserve">采购代理机构：</w:t>
      </w:r>
      <w:r>
        <w:rPr>
          <w:rFonts w:hint="eastAsia" w:ascii="宋体" w:hAnsi="宋体" w:eastAsia="宋体" w:cs="宋体"/>
          <w:bCs/>
          <w:color w:val="auto"/>
          <w:sz w:val="32"/>
          <w:szCs w:val="32"/>
          <w:highlight w:val="none"/>
          <w:lang w:eastAsia="zh-CN"/>
        </w:rPr>
        <w:t xml:space="preserve">江苏建协全过程工程咨询有限公司</w:t>
      </w:r>
      <w:r/>
    </w:p>
    <w:p>
      <w:pPr>
        <w:pStyle w:val="832"/>
        <w:ind w:firstLine="0"/>
        <w:jc w:val="center"/>
        <w:pageBreakBefore w:val="0"/>
        <w:spacing w:line="360" w:lineRule="auto"/>
        <w:rPr>
          <w:rFonts w:hint="eastAsia" w:ascii="宋体" w:hAnsi="宋体" w:eastAsia="宋体" w:cs="宋体"/>
          <w:bCs/>
          <w:color w:val="auto"/>
          <w:sz w:val="32"/>
          <w:szCs w:val="32"/>
          <w:highlight w:val="none"/>
        </w:rPr>
        <w:sectPr>
          <w:headerReference w:type="default" r:id="rId9"/>
          <w:headerReference w:type="first" r:id="rId10"/>
          <w:footerReference w:type="default" r:id="rId11"/>
          <w:footnotePr/>
          <w:endnotePr/>
          <w:type w:val="nextPage"/>
          <w:pgSz w:w="11906" w:h="16838" w:orient="portrait"/>
          <w:pgMar w:top="1440" w:right="1080" w:bottom="1440" w:left="1080" w:header="851" w:footer="907" w:gutter="0"/>
          <w:cols w:num="1" w:sep="0" w:space="720" w:equalWidth="1"/>
          <w:docGrid w:linePitch="360"/>
          <w:titlePg/>
        </w:sectPr>
      </w:pPr>
      <w:r>
        <w:rPr>
          <w:rFonts w:hint="eastAsia" w:ascii="宋体" w:hAnsi="宋体" w:eastAsia="宋体" w:cs="宋体"/>
          <w:bCs/>
          <w:color w:val="auto"/>
          <w:sz w:val="32"/>
          <w:szCs w:val="32"/>
          <w:highlight w:val="none"/>
          <w:lang w:eastAsia="zh-CN"/>
        </w:rPr>
        <w:t xml:space="preserve">二〇</w:t>
      </w:r>
      <w:r>
        <w:rPr>
          <w:rFonts w:hint="eastAsia" w:ascii="宋体" w:hAnsi="宋体" w:eastAsia="宋体" w:cs="宋体"/>
          <w:bCs/>
          <w:color w:val="auto"/>
          <w:sz w:val="32"/>
          <w:szCs w:val="32"/>
          <w:highlight w:val="none"/>
        </w:rPr>
        <w:t xml:space="preserve">二</w:t>
      </w:r>
      <w:r>
        <w:rPr>
          <w:rFonts w:hint="eastAsia" w:ascii="宋体" w:hAnsi="宋体" w:eastAsia="宋体" w:cs="宋体"/>
          <w:bCs/>
          <w:color w:val="auto"/>
          <w:sz w:val="32"/>
          <w:szCs w:val="32"/>
          <w:highlight w:val="none"/>
          <w:lang w:val="en-US" w:eastAsia="zh-CN"/>
        </w:rPr>
        <w:t xml:space="preserve">六</w:t>
      </w:r>
      <w:r>
        <w:rPr>
          <w:rFonts w:hint="eastAsia" w:ascii="宋体" w:hAnsi="宋体" w:eastAsia="宋体" w:cs="宋体"/>
          <w:bCs/>
          <w:color w:val="auto"/>
          <w:sz w:val="32"/>
          <w:szCs w:val="32"/>
          <w:highlight w:val="none"/>
        </w:rPr>
        <w:t xml:space="preserve">年</w:t>
      </w:r>
      <w:r>
        <w:rPr>
          <w:rFonts w:hint="eastAsia" w:ascii="宋体" w:hAnsi="宋体" w:cs="宋体"/>
          <w:bCs/>
          <w:color w:val="auto"/>
          <w:sz w:val="32"/>
          <w:szCs w:val="32"/>
          <w:highlight w:val="none"/>
          <w:lang w:val="en-US" w:eastAsia="zh-CN"/>
        </w:rPr>
        <w:t xml:space="preserve">六</w:t>
      </w:r>
      <w:r>
        <w:rPr>
          <w:rFonts w:hint="eastAsia" w:ascii="宋体" w:hAnsi="宋体" w:eastAsia="宋体" w:cs="宋体"/>
          <w:bCs/>
          <w:color w:val="auto"/>
          <w:sz w:val="32"/>
          <w:szCs w:val="32"/>
          <w:highlight w:val="none"/>
        </w:rPr>
        <w:t xml:space="preserve">月</w:t>
      </w:r>
      <w:bookmarkStart w:id="0" w:name="_Toc120614210"/>
      <w:r/>
      <w:bookmarkStart w:id="1" w:name="_Toc513029200"/>
      <w:r/>
      <w:bookmarkStart w:id="2" w:name="_Toc16938516"/>
      <w:r/>
      <w:bookmarkStart w:id="3" w:name="_Toc20823272"/>
      <w:r/>
      <w:bookmarkStart w:id="4" w:name="_Toc479757206"/>
      <w:r/>
      <w:bookmarkStart w:id="5" w:name="_Toc523127445"/>
      <w:r/>
      <w:r/>
    </w:p>
    <w:p>
      <w:pPr>
        <w:pStyle w:val="832"/>
        <w:ind w:firstLine="0"/>
        <w:jc w:val="center"/>
        <w:pageBreakBefore w:val="0"/>
        <w:spacing w:line="360" w:lineRule="auto"/>
        <w:rPr>
          <w:rFonts w:hint="eastAsia" w:ascii="宋体" w:hAnsi="宋体" w:eastAsia="宋体" w:cs="宋体"/>
          <w:color w:val="auto"/>
          <w:sz w:val="52"/>
          <w:szCs w:val="52"/>
          <w:highlight w:val="none"/>
        </w:rPr>
      </w:pPr>
      <w:r>
        <w:rPr>
          <w:rFonts w:hint="eastAsia" w:ascii="宋体" w:hAnsi="宋体" w:eastAsia="宋体" w:cs="宋体"/>
          <w:color w:val="auto"/>
          <w:sz w:val="52"/>
          <w:szCs w:val="52"/>
          <w:highlight w:val="none"/>
        </w:rPr>
        <w:t xml:space="preserve">目录</w:t>
      </w:r>
      <w:r/>
    </w:p>
    <w:p>
      <w:pPr>
        <w:pStyle w:val="832"/>
        <w:ind w:firstLine="0"/>
        <w:jc w:val="both"/>
        <w:pageBreakBefore w:val="0"/>
        <w:spacing w:line="60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946"/>
        <w:ind w:left="0" w:right="0" w:firstLine="0"/>
        <w:jc w:val="left"/>
        <w:pageBreakBefore w:val="0"/>
        <w:spacing w:beforeAutospacing="0" w:after="120" w:afterAutospacing="0" w:line="480" w:lineRule="auto"/>
        <w:tabs>
          <w:tab w:val="right" w:pos="8953" w:leader="dot"/>
        </w:tabs>
        <w:rPr>
          <w:rFonts w:hint="eastAsia" w:ascii="宋体" w:hAnsi="宋体" w:eastAsia="宋体" w:cs="宋体"/>
          <w:b w:val="0"/>
          <w:color w:val="auto"/>
          <w:sz w:val="28"/>
          <w:szCs w:val="28"/>
          <w:highlight w:val="none"/>
        </w:rPr>
      </w:pPr>
      <w:r>
        <w:rPr>
          <w:rFonts w:hint="eastAsia" w:ascii="宋体" w:hAnsi="宋体" w:eastAsia="宋体" w:cs="宋体"/>
          <w:b w:val="0"/>
          <w:color w:val="auto"/>
          <w:sz w:val="28"/>
          <w:szCs w:val="28"/>
          <w:highlight w:val="none"/>
        </w:rPr>
        <w:fldChar w:fldCharType="begin"/>
      </w:r>
      <w:r>
        <w:rPr>
          <w:rFonts w:hint="eastAsia" w:ascii="宋体" w:hAnsi="宋体" w:eastAsia="宋体" w:cs="宋体"/>
          <w:b w:val="0"/>
          <w:color w:val="auto"/>
          <w:sz w:val="28"/>
          <w:szCs w:val="28"/>
          <w:highlight w:val="none"/>
        </w:rPr>
        <w:instrText xml:space="preserve">TOC \o "1-1" \h \u </w:instrText>
      </w:r>
      <w:r>
        <w:rPr>
          <w:rFonts w:hint="eastAsia" w:ascii="宋体" w:hAnsi="宋体" w:eastAsia="宋体" w:cs="宋体"/>
          <w:b w:val="0"/>
          <w:color w:val="auto"/>
          <w:sz w:val="28"/>
          <w:szCs w:val="28"/>
          <w:highlight w:val="none"/>
        </w:rPr>
        <w:fldChar w:fldCharType="separate"/>
      </w:r>
      <w:r>
        <w:rPr>
          <w:rFonts w:hint="eastAsia" w:ascii="宋体" w:hAnsi="宋体" w:eastAsia="宋体" w:cs="宋体"/>
          <w:b w:val="0"/>
          <w:color w:val="auto"/>
          <w:sz w:val="28"/>
          <w:szCs w:val="28"/>
          <w:highlight w:val="none"/>
        </w:rPr>
        <w:fldChar w:fldCharType="begin"/>
      </w:r>
      <w:r>
        <w:rPr>
          <w:rFonts w:hint="eastAsia" w:ascii="宋体" w:hAnsi="宋体" w:eastAsia="宋体" w:cs="宋体"/>
          <w:b w:val="0"/>
          <w:color w:val="auto"/>
          <w:sz w:val="28"/>
          <w:szCs w:val="28"/>
          <w:highlight w:val="none"/>
        </w:rPr>
        <w:instrText xml:space="preserve"> HYPERLINK \l _Toc27711 </w:instrText>
      </w:r>
      <w:r>
        <w:rPr>
          <w:rFonts w:hint="eastAsia" w:ascii="宋体" w:hAnsi="宋体" w:eastAsia="宋体" w:cs="宋体"/>
          <w:b w:val="0"/>
          <w:color w:val="auto"/>
          <w:sz w:val="28"/>
          <w:szCs w:val="28"/>
          <w:highlight w:val="none"/>
        </w:rPr>
        <w:fldChar w:fldCharType="separate"/>
      </w:r>
      <w:r>
        <w:rPr>
          <w:rFonts w:hint="eastAsia" w:ascii="宋体" w:hAnsi="宋体" w:eastAsia="宋体" w:cs="宋体"/>
          <w:b w:val="0"/>
          <w:color w:val="auto"/>
          <w:sz w:val="28"/>
          <w:szCs w:val="28"/>
          <w:highlight w:val="none"/>
        </w:rPr>
        <w:t xml:space="preserve">第一章  投标邀请</w:t>
      </w:r>
      <w:r>
        <w:rPr>
          <w:rFonts w:hint="eastAsia" w:ascii="宋体" w:hAnsi="宋体" w:eastAsia="宋体" w:cs="宋体"/>
          <w:b w:val="0"/>
          <w:color w:val="auto"/>
          <w:sz w:val="28"/>
          <w:szCs w:val="28"/>
          <w:highlight w:val="none"/>
        </w:rPr>
        <w:tab/>
      </w:r>
      <w:r>
        <w:rPr>
          <w:rFonts w:hint="eastAsia" w:ascii="宋体" w:hAnsi="宋体" w:eastAsia="宋体" w:cs="宋体"/>
          <w:b w:val="0"/>
          <w:color w:val="auto"/>
          <w:sz w:val="28"/>
          <w:szCs w:val="28"/>
          <w:highlight w:val="none"/>
        </w:rPr>
        <w:fldChar w:fldCharType="begin"/>
      </w:r>
      <w:r>
        <w:rPr>
          <w:rFonts w:hint="eastAsia" w:ascii="宋体" w:hAnsi="宋体" w:eastAsia="宋体" w:cs="宋体"/>
          <w:b w:val="0"/>
          <w:color w:val="auto"/>
          <w:sz w:val="28"/>
          <w:szCs w:val="28"/>
          <w:highlight w:val="none"/>
        </w:rPr>
        <w:instrText xml:space="preserve"> PAGEREF _Toc27711 \h </w:instrText>
      </w:r>
      <w:r>
        <w:rPr>
          <w:rFonts w:hint="eastAsia" w:ascii="宋体" w:hAnsi="宋体" w:eastAsia="宋体" w:cs="宋体"/>
          <w:b w:val="0"/>
          <w:color w:val="auto"/>
          <w:sz w:val="28"/>
          <w:szCs w:val="28"/>
          <w:highlight w:val="none"/>
        </w:rPr>
        <w:fldChar w:fldCharType="separate"/>
      </w:r>
      <w:r>
        <w:rPr>
          <w:rFonts w:hint="eastAsia" w:ascii="宋体" w:hAnsi="宋体" w:eastAsia="宋体" w:cs="宋体"/>
          <w:b w:val="0"/>
          <w:color w:val="auto"/>
          <w:sz w:val="28"/>
          <w:szCs w:val="28"/>
          <w:highlight w:val="none"/>
        </w:rPr>
        <w:t xml:space="preserve">2</w:t>
      </w:r>
      <w:r>
        <w:rPr>
          <w:rFonts w:hint="eastAsia" w:ascii="宋体" w:hAnsi="宋体" w:eastAsia="宋体" w:cs="宋体"/>
          <w:b w:val="0"/>
          <w:color w:val="auto"/>
          <w:sz w:val="28"/>
          <w:szCs w:val="28"/>
          <w:highlight w:val="none"/>
        </w:rPr>
        <w:fldChar w:fldCharType="end"/>
      </w:r>
      <w:r>
        <w:rPr>
          <w:rFonts w:hint="eastAsia" w:ascii="宋体" w:hAnsi="宋体" w:eastAsia="宋体" w:cs="宋体"/>
          <w:b w:val="0"/>
          <w:color w:val="auto"/>
          <w:sz w:val="28"/>
          <w:szCs w:val="28"/>
          <w:highlight w:val="none"/>
        </w:rPr>
        <w:fldChar w:fldCharType="end"/>
      </w:r>
      <w:r/>
    </w:p>
    <w:p>
      <w:pPr>
        <w:pStyle w:val="946"/>
        <w:ind w:left="0" w:right="0" w:firstLine="0"/>
        <w:jc w:val="left"/>
        <w:pageBreakBefore w:val="0"/>
        <w:spacing w:beforeAutospacing="0" w:after="120" w:afterAutospacing="0" w:line="480" w:lineRule="auto"/>
        <w:tabs>
          <w:tab w:val="right" w:pos="8953" w:leader="dot"/>
        </w:tabs>
        <w:rPr>
          <w:rFonts w:hint="eastAsia" w:ascii="宋体" w:hAnsi="宋体" w:eastAsia="宋体" w:cs="宋体"/>
          <w:b w:val="0"/>
          <w:color w:val="auto"/>
          <w:sz w:val="28"/>
          <w:szCs w:val="28"/>
          <w:highlight w:val="none"/>
        </w:rPr>
      </w:pPr>
      <w:r>
        <w:rPr>
          <w:rFonts w:hint="eastAsia" w:ascii="宋体" w:hAnsi="宋体" w:eastAsia="宋体" w:cs="宋体"/>
          <w:b w:val="0"/>
          <w:color w:val="auto"/>
          <w:sz w:val="28"/>
          <w:szCs w:val="28"/>
          <w:highlight w:val="none"/>
        </w:rPr>
        <w:fldChar w:fldCharType="begin"/>
      </w:r>
      <w:r>
        <w:rPr>
          <w:rFonts w:hint="eastAsia" w:ascii="宋体" w:hAnsi="宋体" w:eastAsia="宋体" w:cs="宋体"/>
          <w:b w:val="0"/>
          <w:color w:val="auto"/>
          <w:sz w:val="28"/>
          <w:szCs w:val="28"/>
          <w:highlight w:val="none"/>
        </w:rPr>
        <w:instrText xml:space="preserve"> HYPERLINK \l _Toc18519 </w:instrText>
      </w:r>
      <w:r>
        <w:rPr>
          <w:rFonts w:hint="eastAsia" w:ascii="宋体" w:hAnsi="宋体" w:eastAsia="宋体" w:cs="宋体"/>
          <w:b w:val="0"/>
          <w:color w:val="auto"/>
          <w:sz w:val="28"/>
          <w:szCs w:val="28"/>
          <w:highlight w:val="none"/>
        </w:rPr>
        <w:fldChar w:fldCharType="separate"/>
      </w:r>
      <w:r>
        <w:rPr>
          <w:rFonts w:hint="eastAsia" w:ascii="宋体" w:hAnsi="宋体" w:eastAsia="宋体" w:cs="宋体"/>
          <w:b w:val="0"/>
          <w:color w:val="auto"/>
          <w:sz w:val="28"/>
          <w:szCs w:val="28"/>
          <w:highlight w:val="none"/>
        </w:rPr>
        <w:t xml:space="preserve">第二章  投标人须知</w:t>
      </w:r>
      <w:r>
        <w:rPr>
          <w:rFonts w:hint="eastAsia" w:ascii="宋体" w:hAnsi="宋体" w:eastAsia="宋体" w:cs="宋体"/>
          <w:b w:val="0"/>
          <w:color w:val="auto"/>
          <w:sz w:val="28"/>
          <w:szCs w:val="28"/>
          <w:highlight w:val="none"/>
        </w:rPr>
        <w:tab/>
      </w:r>
      <w:r>
        <w:rPr>
          <w:rFonts w:hint="eastAsia" w:ascii="宋体" w:hAnsi="宋体" w:eastAsia="宋体" w:cs="宋体"/>
          <w:b w:val="0"/>
          <w:color w:val="auto"/>
          <w:sz w:val="28"/>
          <w:szCs w:val="28"/>
          <w:highlight w:val="none"/>
        </w:rPr>
        <w:fldChar w:fldCharType="begin"/>
      </w:r>
      <w:r>
        <w:rPr>
          <w:rFonts w:hint="eastAsia" w:ascii="宋体" w:hAnsi="宋体" w:eastAsia="宋体" w:cs="宋体"/>
          <w:b w:val="0"/>
          <w:color w:val="auto"/>
          <w:sz w:val="28"/>
          <w:szCs w:val="28"/>
          <w:highlight w:val="none"/>
        </w:rPr>
        <w:instrText xml:space="preserve"> PAGEREF _Toc18519 \h </w:instrText>
      </w:r>
      <w:r>
        <w:rPr>
          <w:rFonts w:hint="eastAsia" w:ascii="宋体" w:hAnsi="宋体" w:eastAsia="宋体" w:cs="宋体"/>
          <w:b w:val="0"/>
          <w:color w:val="auto"/>
          <w:sz w:val="28"/>
          <w:szCs w:val="28"/>
          <w:highlight w:val="none"/>
        </w:rPr>
        <w:fldChar w:fldCharType="separate"/>
      </w:r>
      <w:r>
        <w:rPr>
          <w:rFonts w:hint="eastAsia" w:ascii="宋体" w:hAnsi="宋体" w:eastAsia="宋体" w:cs="宋体"/>
          <w:b w:val="0"/>
          <w:color w:val="auto"/>
          <w:sz w:val="28"/>
          <w:szCs w:val="28"/>
          <w:highlight w:val="none"/>
        </w:rPr>
        <w:t xml:space="preserve">6</w:t>
      </w:r>
      <w:r>
        <w:rPr>
          <w:rFonts w:hint="eastAsia" w:ascii="宋体" w:hAnsi="宋体" w:eastAsia="宋体" w:cs="宋体"/>
          <w:b w:val="0"/>
          <w:color w:val="auto"/>
          <w:sz w:val="28"/>
          <w:szCs w:val="28"/>
          <w:highlight w:val="none"/>
        </w:rPr>
        <w:fldChar w:fldCharType="end"/>
      </w:r>
      <w:r>
        <w:rPr>
          <w:rFonts w:hint="eastAsia" w:ascii="宋体" w:hAnsi="宋体" w:eastAsia="宋体" w:cs="宋体"/>
          <w:b w:val="0"/>
          <w:color w:val="auto"/>
          <w:sz w:val="28"/>
          <w:szCs w:val="28"/>
          <w:highlight w:val="none"/>
        </w:rPr>
        <w:fldChar w:fldCharType="end"/>
      </w:r>
      <w:r/>
    </w:p>
    <w:p>
      <w:pPr>
        <w:pStyle w:val="946"/>
        <w:ind w:left="0" w:right="0" w:firstLine="0"/>
        <w:jc w:val="left"/>
        <w:pageBreakBefore w:val="0"/>
        <w:spacing w:beforeAutospacing="0" w:after="120" w:afterAutospacing="0" w:line="480" w:lineRule="auto"/>
        <w:tabs>
          <w:tab w:val="right" w:pos="8953" w:leader="dot"/>
        </w:tabs>
        <w:rPr>
          <w:rFonts w:hint="eastAsia" w:ascii="宋体" w:hAnsi="宋体" w:eastAsia="宋体" w:cs="宋体"/>
          <w:b w:val="0"/>
          <w:color w:val="auto"/>
          <w:sz w:val="28"/>
          <w:szCs w:val="28"/>
          <w:highlight w:val="none"/>
        </w:rPr>
      </w:pPr>
      <w:r>
        <w:rPr>
          <w:rFonts w:hint="eastAsia" w:ascii="宋体" w:hAnsi="宋体" w:eastAsia="宋体" w:cs="宋体"/>
          <w:b w:val="0"/>
          <w:color w:val="auto"/>
          <w:sz w:val="28"/>
          <w:szCs w:val="28"/>
          <w:highlight w:val="none"/>
        </w:rPr>
        <w:fldChar w:fldCharType="begin"/>
      </w:r>
      <w:r>
        <w:rPr>
          <w:rFonts w:hint="eastAsia" w:ascii="宋体" w:hAnsi="宋体" w:eastAsia="宋体" w:cs="宋体"/>
          <w:b w:val="0"/>
          <w:color w:val="auto"/>
          <w:sz w:val="28"/>
          <w:szCs w:val="28"/>
          <w:highlight w:val="none"/>
        </w:rPr>
        <w:instrText xml:space="preserve"> HYPERLINK \l _Toc29592 </w:instrText>
      </w:r>
      <w:r>
        <w:rPr>
          <w:rFonts w:hint="eastAsia" w:ascii="宋体" w:hAnsi="宋体" w:eastAsia="宋体" w:cs="宋体"/>
          <w:b w:val="0"/>
          <w:color w:val="auto"/>
          <w:sz w:val="28"/>
          <w:szCs w:val="28"/>
          <w:highlight w:val="none"/>
        </w:rPr>
        <w:fldChar w:fldCharType="separate"/>
      </w:r>
      <w:r>
        <w:rPr>
          <w:rFonts w:hint="eastAsia" w:ascii="宋体" w:hAnsi="宋体" w:eastAsia="宋体" w:cs="宋体"/>
          <w:b w:val="0"/>
          <w:bCs/>
          <w:color w:val="auto"/>
          <w:sz w:val="28"/>
          <w:szCs w:val="28"/>
          <w:highlight w:val="none"/>
        </w:rPr>
        <w:t xml:space="preserve">第三章  合同文本</w:t>
      </w:r>
      <w:r>
        <w:rPr>
          <w:rFonts w:hint="eastAsia" w:ascii="宋体" w:hAnsi="宋体" w:eastAsia="宋体" w:cs="宋体"/>
          <w:b w:val="0"/>
          <w:color w:val="auto"/>
          <w:sz w:val="28"/>
          <w:szCs w:val="28"/>
          <w:highlight w:val="none"/>
        </w:rPr>
        <w:tab/>
      </w:r>
      <w:r>
        <w:rPr>
          <w:rFonts w:hint="eastAsia" w:ascii="宋体" w:hAnsi="宋体" w:eastAsia="宋体" w:cs="宋体"/>
          <w:b w:val="0"/>
          <w:color w:val="auto"/>
          <w:sz w:val="28"/>
          <w:szCs w:val="28"/>
          <w:highlight w:val="none"/>
        </w:rPr>
        <w:fldChar w:fldCharType="begin"/>
      </w:r>
      <w:r>
        <w:rPr>
          <w:rFonts w:hint="eastAsia" w:ascii="宋体" w:hAnsi="宋体" w:eastAsia="宋体" w:cs="宋体"/>
          <w:b w:val="0"/>
          <w:color w:val="auto"/>
          <w:sz w:val="28"/>
          <w:szCs w:val="28"/>
          <w:highlight w:val="none"/>
        </w:rPr>
        <w:instrText xml:space="preserve"> PAGEREF _Toc29592 \h </w:instrText>
      </w:r>
      <w:r>
        <w:rPr>
          <w:rFonts w:hint="eastAsia" w:ascii="宋体" w:hAnsi="宋体" w:eastAsia="宋体" w:cs="宋体"/>
          <w:b w:val="0"/>
          <w:color w:val="auto"/>
          <w:sz w:val="28"/>
          <w:szCs w:val="28"/>
          <w:highlight w:val="none"/>
        </w:rPr>
        <w:fldChar w:fldCharType="separate"/>
      </w:r>
      <w:r>
        <w:rPr>
          <w:rFonts w:hint="eastAsia" w:ascii="宋体" w:hAnsi="宋体" w:eastAsia="宋体" w:cs="宋体"/>
          <w:b w:val="0"/>
          <w:color w:val="auto"/>
          <w:sz w:val="28"/>
          <w:szCs w:val="28"/>
          <w:highlight w:val="none"/>
        </w:rPr>
        <w:t xml:space="preserve">20</w:t>
      </w:r>
      <w:r>
        <w:rPr>
          <w:rFonts w:hint="eastAsia" w:ascii="宋体" w:hAnsi="宋体" w:eastAsia="宋体" w:cs="宋体"/>
          <w:b w:val="0"/>
          <w:color w:val="auto"/>
          <w:sz w:val="28"/>
          <w:szCs w:val="28"/>
          <w:highlight w:val="none"/>
        </w:rPr>
        <w:fldChar w:fldCharType="end"/>
      </w:r>
      <w:r>
        <w:rPr>
          <w:rFonts w:hint="eastAsia" w:ascii="宋体" w:hAnsi="宋体" w:eastAsia="宋体" w:cs="宋体"/>
          <w:b w:val="0"/>
          <w:color w:val="auto"/>
          <w:sz w:val="28"/>
          <w:szCs w:val="28"/>
          <w:highlight w:val="none"/>
        </w:rPr>
        <w:fldChar w:fldCharType="end"/>
      </w:r>
      <w:r/>
    </w:p>
    <w:p>
      <w:pPr>
        <w:pStyle w:val="946"/>
        <w:ind w:left="0" w:right="0" w:firstLine="0"/>
        <w:jc w:val="left"/>
        <w:pageBreakBefore w:val="0"/>
        <w:spacing w:beforeAutospacing="0" w:after="120" w:afterAutospacing="0" w:line="480" w:lineRule="auto"/>
        <w:tabs>
          <w:tab w:val="right" w:pos="8953" w:leader="dot"/>
        </w:tabs>
        <w:rPr>
          <w:rFonts w:hint="eastAsia" w:ascii="宋体" w:hAnsi="宋体" w:eastAsia="宋体" w:cs="宋体"/>
          <w:b w:val="0"/>
          <w:color w:val="auto"/>
          <w:sz w:val="28"/>
          <w:szCs w:val="28"/>
          <w:highlight w:val="none"/>
        </w:rPr>
      </w:pPr>
      <w:r>
        <w:rPr>
          <w:rFonts w:hint="eastAsia" w:ascii="宋体" w:hAnsi="宋体" w:eastAsia="宋体" w:cs="宋体"/>
          <w:b w:val="0"/>
          <w:color w:val="auto"/>
          <w:sz w:val="28"/>
          <w:szCs w:val="28"/>
          <w:highlight w:val="none"/>
        </w:rPr>
        <w:fldChar w:fldCharType="begin"/>
      </w:r>
      <w:r>
        <w:rPr>
          <w:rFonts w:hint="eastAsia" w:ascii="宋体" w:hAnsi="宋体" w:eastAsia="宋体" w:cs="宋体"/>
          <w:b w:val="0"/>
          <w:color w:val="auto"/>
          <w:sz w:val="28"/>
          <w:szCs w:val="28"/>
          <w:highlight w:val="none"/>
        </w:rPr>
        <w:instrText xml:space="preserve"> HYPERLINK \l _Toc2602 </w:instrText>
      </w:r>
      <w:r>
        <w:rPr>
          <w:rFonts w:hint="eastAsia" w:ascii="宋体" w:hAnsi="宋体" w:eastAsia="宋体" w:cs="宋体"/>
          <w:b w:val="0"/>
          <w:color w:val="auto"/>
          <w:sz w:val="28"/>
          <w:szCs w:val="28"/>
          <w:highlight w:val="none"/>
        </w:rPr>
        <w:fldChar w:fldCharType="separate"/>
      </w:r>
      <w:r>
        <w:rPr>
          <w:rFonts w:hint="eastAsia" w:ascii="宋体" w:hAnsi="宋体" w:eastAsia="宋体" w:cs="宋体"/>
          <w:b w:val="0"/>
          <w:bCs/>
          <w:color w:val="auto"/>
          <w:sz w:val="28"/>
          <w:szCs w:val="28"/>
          <w:highlight w:val="none"/>
        </w:rPr>
        <w:t xml:space="preserve">第四章 </w:t>
      </w:r>
      <w:r>
        <w:rPr>
          <w:rFonts w:hint="eastAsia" w:ascii="宋体" w:hAnsi="宋体" w:eastAsia="宋体" w:cs="宋体"/>
          <w:b w:val="0"/>
          <w:bCs/>
          <w:color w:val="auto"/>
          <w:sz w:val="28"/>
          <w:szCs w:val="28"/>
          <w:highlight w:val="none"/>
          <w:lang w:val="en-US" w:eastAsia="zh-CN"/>
        </w:rPr>
        <w:t xml:space="preserve"> </w:t>
      </w:r>
      <w:r>
        <w:rPr>
          <w:rFonts w:hint="eastAsia" w:ascii="宋体" w:hAnsi="宋体" w:eastAsia="宋体" w:cs="宋体"/>
          <w:b w:val="0"/>
          <w:bCs/>
          <w:color w:val="auto"/>
          <w:sz w:val="28"/>
          <w:szCs w:val="28"/>
          <w:highlight w:val="none"/>
        </w:rPr>
        <w:t xml:space="preserve">采购需求</w:t>
      </w:r>
      <w:r>
        <w:rPr>
          <w:rFonts w:hint="eastAsia" w:ascii="宋体" w:hAnsi="宋体" w:eastAsia="宋体" w:cs="宋体"/>
          <w:b w:val="0"/>
          <w:color w:val="auto"/>
          <w:sz w:val="28"/>
          <w:szCs w:val="28"/>
          <w:highlight w:val="none"/>
        </w:rPr>
        <w:tab/>
      </w:r>
      <w:r>
        <w:rPr>
          <w:rFonts w:hint="eastAsia" w:ascii="宋体" w:hAnsi="宋体" w:eastAsia="宋体" w:cs="宋体"/>
          <w:b w:val="0"/>
          <w:color w:val="auto"/>
          <w:sz w:val="28"/>
          <w:szCs w:val="28"/>
          <w:highlight w:val="none"/>
        </w:rPr>
        <w:fldChar w:fldCharType="begin"/>
      </w:r>
      <w:r>
        <w:rPr>
          <w:rFonts w:hint="eastAsia" w:ascii="宋体" w:hAnsi="宋体" w:eastAsia="宋体" w:cs="宋体"/>
          <w:b w:val="0"/>
          <w:color w:val="auto"/>
          <w:sz w:val="28"/>
          <w:szCs w:val="28"/>
          <w:highlight w:val="none"/>
        </w:rPr>
        <w:instrText xml:space="preserve"> PAGEREF _Toc2602 \h </w:instrText>
      </w:r>
      <w:r>
        <w:rPr>
          <w:rFonts w:hint="eastAsia" w:ascii="宋体" w:hAnsi="宋体" w:eastAsia="宋体" w:cs="宋体"/>
          <w:b w:val="0"/>
          <w:color w:val="auto"/>
          <w:sz w:val="28"/>
          <w:szCs w:val="28"/>
          <w:highlight w:val="none"/>
        </w:rPr>
        <w:fldChar w:fldCharType="separate"/>
      </w:r>
      <w:r>
        <w:rPr>
          <w:rFonts w:hint="eastAsia" w:ascii="宋体" w:hAnsi="宋体" w:eastAsia="宋体" w:cs="宋体"/>
          <w:b w:val="0"/>
          <w:color w:val="auto"/>
          <w:sz w:val="28"/>
          <w:szCs w:val="28"/>
          <w:highlight w:val="none"/>
        </w:rPr>
        <w:t xml:space="preserve">20</w:t>
      </w:r>
      <w:r>
        <w:rPr>
          <w:rFonts w:hint="eastAsia" w:ascii="宋体" w:hAnsi="宋体" w:eastAsia="宋体" w:cs="宋体"/>
          <w:b w:val="0"/>
          <w:color w:val="auto"/>
          <w:sz w:val="28"/>
          <w:szCs w:val="28"/>
          <w:highlight w:val="none"/>
        </w:rPr>
        <w:fldChar w:fldCharType="end"/>
      </w:r>
      <w:r>
        <w:rPr>
          <w:rFonts w:hint="eastAsia" w:ascii="宋体" w:hAnsi="宋体" w:eastAsia="宋体" w:cs="宋体"/>
          <w:b w:val="0"/>
          <w:color w:val="auto"/>
          <w:sz w:val="28"/>
          <w:szCs w:val="28"/>
          <w:highlight w:val="none"/>
        </w:rPr>
        <w:fldChar w:fldCharType="end"/>
      </w:r>
      <w:r/>
    </w:p>
    <w:p>
      <w:pPr>
        <w:pStyle w:val="946"/>
        <w:ind w:left="0" w:right="0" w:firstLine="0"/>
        <w:jc w:val="left"/>
        <w:pageBreakBefore w:val="0"/>
        <w:spacing w:beforeAutospacing="0" w:after="120" w:afterAutospacing="0" w:line="480" w:lineRule="auto"/>
        <w:tabs>
          <w:tab w:val="right" w:pos="8953" w:leader="dot"/>
        </w:tabs>
        <w:rPr>
          <w:rFonts w:hint="eastAsia" w:ascii="宋体" w:hAnsi="宋体" w:eastAsia="宋体" w:cs="宋体"/>
          <w:b w:val="0"/>
          <w:color w:val="auto"/>
          <w:sz w:val="28"/>
          <w:szCs w:val="28"/>
          <w:highlight w:val="none"/>
        </w:rPr>
      </w:pPr>
      <w:r>
        <w:rPr>
          <w:rFonts w:hint="eastAsia" w:ascii="宋体" w:hAnsi="宋体" w:eastAsia="宋体" w:cs="宋体"/>
          <w:b w:val="0"/>
          <w:color w:val="auto"/>
          <w:sz w:val="28"/>
          <w:szCs w:val="28"/>
          <w:highlight w:val="none"/>
        </w:rPr>
        <w:fldChar w:fldCharType="begin"/>
      </w:r>
      <w:r>
        <w:rPr>
          <w:rFonts w:hint="eastAsia" w:ascii="宋体" w:hAnsi="宋体" w:eastAsia="宋体" w:cs="宋体"/>
          <w:b w:val="0"/>
          <w:color w:val="auto"/>
          <w:sz w:val="28"/>
          <w:szCs w:val="28"/>
          <w:highlight w:val="none"/>
        </w:rPr>
        <w:instrText xml:space="preserve"> HYPERLINK \l _Toc14501 </w:instrText>
      </w:r>
      <w:r>
        <w:rPr>
          <w:rFonts w:hint="eastAsia" w:ascii="宋体" w:hAnsi="宋体" w:eastAsia="宋体" w:cs="宋体"/>
          <w:b w:val="0"/>
          <w:color w:val="auto"/>
          <w:sz w:val="28"/>
          <w:szCs w:val="28"/>
          <w:highlight w:val="none"/>
        </w:rPr>
        <w:fldChar w:fldCharType="separate"/>
      </w:r>
      <w:r>
        <w:rPr>
          <w:rFonts w:hint="eastAsia" w:ascii="宋体" w:hAnsi="宋体" w:eastAsia="宋体" w:cs="宋体"/>
          <w:b w:val="0"/>
          <w:bCs/>
          <w:color w:val="auto"/>
          <w:sz w:val="28"/>
          <w:szCs w:val="28"/>
          <w:highlight w:val="none"/>
        </w:rPr>
        <w:t xml:space="preserve">第五章  评标方法与评标标准</w:t>
      </w:r>
      <w:r>
        <w:rPr>
          <w:rFonts w:hint="eastAsia" w:ascii="宋体" w:hAnsi="宋体" w:eastAsia="宋体" w:cs="宋体"/>
          <w:b w:val="0"/>
          <w:color w:val="auto"/>
          <w:sz w:val="28"/>
          <w:szCs w:val="28"/>
          <w:highlight w:val="none"/>
        </w:rPr>
        <w:tab/>
      </w:r>
      <w:r>
        <w:rPr>
          <w:rFonts w:hint="eastAsia" w:ascii="宋体" w:hAnsi="宋体" w:eastAsia="宋体" w:cs="宋体"/>
          <w:b w:val="0"/>
          <w:color w:val="auto"/>
          <w:sz w:val="28"/>
          <w:szCs w:val="28"/>
          <w:highlight w:val="none"/>
        </w:rPr>
        <w:fldChar w:fldCharType="begin"/>
      </w:r>
      <w:r>
        <w:rPr>
          <w:rFonts w:hint="eastAsia" w:ascii="宋体" w:hAnsi="宋体" w:eastAsia="宋体" w:cs="宋体"/>
          <w:b w:val="0"/>
          <w:color w:val="auto"/>
          <w:sz w:val="28"/>
          <w:szCs w:val="28"/>
          <w:highlight w:val="none"/>
        </w:rPr>
        <w:instrText xml:space="preserve"> PAGEREF _Toc14501 \h </w:instrText>
      </w:r>
      <w:r>
        <w:rPr>
          <w:rFonts w:hint="eastAsia" w:ascii="宋体" w:hAnsi="宋体" w:eastAsia="宋体" w:cs="宋体"/>
          <w:b w:val="0"/>
          <w:color w:val="auto"/>
          <w:sz w:val="28"/>
          <w:szCs w:val="28"/>
          <w:highlight w:val="none"/>
        </w:rPr>
        <w:fldChar w:fldCharType="separate"/>
      </w:r>
      <w:r>
        <w:rPr>
          <w:rFonts w:hint="eastAsia" w:ascii="宋体" w:hAnsi="宋体" w:eastAsia="宋体" w:cs="宋体"/>
          <w:b w:val="0"/>
          <w:color w:val="auto"/>
          <w:sz w:val="28"/>
          <w:szCs w:val="28"/>
          <w:highlight w:val="none"/>
        </w:rPr>
        <w:t xml:space="preserve">34</w:t>
      </w:r>
      <w:r>
        <w:rPr>
          <w:rFonts w:hint="eastAsia" w:ascii="宋体" w:hAnsi="宋体" w:eastAsia="宋体" w:cs="宋体"/>
          <w:b w:val="0"/>
          <w:color w:val="auto"/>
          <w:sz w:val="28"/>
          <w:szCs w:val="28"/>
          <w:highlight w:val="none"/>
        </w:rPr>
        <w:fldChar w:fldCharType="end"/>
      </w:r>
      <w:r>
        <w:rPr>
          <w:rFonts w:hint="eastAsia" w:ascii="宋体" w:hAnsi="宋体" w:eastAsia="宋体" w:cs="宋体"/>
          <w:b w:val="0"/>
          <w:color w:val="auto"/>
          <w:sz w:val="28"/>
          <w:szCs w:val="28"/>
          <w:highlight w:val="none"/>
        </w:rPr>
        <w:fldChar w:fldCharType="end"/>
      </w:r>
      <w:r/>
    </w:p>
    <w:p>
      <w:pPr>
        <w:pStyle w:val="946"/>
        <w:ind w:left="0" w:right="0" w:firstLine="0"/>
        <w:jc w:val="left"/>
        <w:pageBreakBefore w:val="0"/>
        <w:spacing w:beforeAutospacing="0" w:after="120" w:afterAutospacing="0" w:line="480" w:lineRule="auto"/>
        <w:tabs>
          <w:tab w:val="right" w:pos="8953" w:leader="dot"/>
        </w:tabs>
        <w:rPr>
          <w:rFonts w:hint="eastAsia" w:ascii="宋体" w:hAnsi="宋体" w:eastAsia="宋体" w:cs="宋体"/>
          <w:b w:val="0"/>
          <w:color w:val="auto"/>
          <w:sz w:val="28"/>
          <w:szCs w:val="28"/>
          <w:highlight w:val="none"/>
        </w:rPr>
      </w:pPr>
      <w:r>
        <w:rPr>
          <w:rFonts w:hint="eastAsia" w:ascii="宋体" w:hAnsi="宋体" w:eastAsia="宋体" w:cs="宋体"/>
          <w:b w:val="0"/>
          <w:color w:val="auto"/>
          <w:sz w:val="28"/>
          <w:szCs w:val="28"/>
          <w:highlight w:val="none"/>
        </w:rPr>
        <w:fldChar w:fldCharType="begin"/>
      </w:r>
      <w:r>
        <w:rPr>
          <w:rFonts w:hint="eastAsia" w:ascii="宋体" w:hAnsi="宋体" w:eastAsia="宋体" w:cs="宋体"/>
          <w:b w:val="0"/>
          <w:color w:val="auto"/>
          <w:sz w:val="28"/>
          <w:szCs w:val="28"/>
          <w:highlight w:val="none"/>
        </w:rPr>
        <w:instrText xml:space="preserve"> HYPERLINK \l _Toc25872 </w:instrText>
      </w:r>
      <w:r>
        <w:rPr>
          <w:rFonts w:hint="eastAsia" w:ascii="宋体" w:hAnsi="宋体" w:eastAsia="宋体" w:cs="宋体"/>
          <w:b w:val="0"/>
          <w:color w:val="auto"/>
          <w:sz w:val="28"/>
          <w:szCs w:val="28"/>
          <w:highlight w:val="none"/>
        </w:rPr>
        <w:fldChar w:fldCharType="separate"/>
      </w:r>
      <w:r>
        <w:rPr>
          <w:rFonts w:hint="eastAsia" w:ascii="宋体" w:hAnsi="宋体" w:eastAsia="宋体" w:cs="宋体"/>
          <w:b w:val="0"/>
          <w:bCs/>
          <w:color w:val="auto"/>
          <w:sz w:val="28"/>
          <w:szCs w:val="28"/>
          <w:highlight w:val="none"/>
        </w:rPr>
        <w:t xml:space="preserve">第六章  投标文件内容与格式</w:t>
      </w:r>
      <w:r>
        <w:rPr>
          <w:rFonts w:hint="eastAsia" w:ascii="宋体" w:hAnsi="宋体" w:eastAsia="宋体" w:cs="宋体"/>
          <w:b w:val="0"/>
          <w:color w:val="auto"/>
          <w:sz w:val="28"/>
          <w:szCs w:val="28"/>
          <w:highlight w:val="none"/>
        </w:rPr>
        <w:tab/>
      </w:r>
      <w:r>
        <w:rPr>
          <w:rFonts w:hint="eastAsia" w:ascii="宋体" w:hAnsi="宋体" w:eastAsia="宋体" w:cs="宋体"/>
          <w:b w:val="0"/>
          <w:color w:val="auto"/>
          <w:sz w:val="28"/>
          <w:szCs w:val="28"/>
          <w:highlight w:val="none"/>
        </w:rPr>
        <w:fldChar w:fldCharType="begin"/>
      </w:r>
      <w:r>
        <w:rPr>
          <w:rFonts w:hint="eastAsia" w:ascii="宋体" w:hAnsi="宋体" w:eastAsia="宋体" w:cs="宋体"/>
          <w:b w:val="0"/>
          <w:color w:val="auto"/>
          <w:sz w:val="28"/>
          <w:szCs w:val="28"/>
          <w:highlight w:val="none"/>
        </w:rPr>
        <w:instrText xml:space="preserve"> PAGEREF _Toc25872 \h </w:instrText>
      </w:r>
      <w:r>
        <w:rPr>
          <w:rFonts w:hint="eastAsia" w:ascii="宋体" w:hAnsi="宋体" w:eastAsia="宋体" w:cs="宋体"/>
          <w:b w:val="0"/>
          <w:color w:val="auto"/>
          <w:sz w:val="28"/>
          <w:szCs w:val="28"/>
          <w:highlight w:val="none"/>
        </w:rPr>
        <w:fldChar w:fldCharType="separate"/>
      </w:r>
      <w:r>
        <w:rPr>
          <w:rFonts w:hint="eastAsia" w:ascii="宋体" w:hAnsi="宋体" w:eastAsia="宋体" w:cs="宋体"/>
          <w:b w:val="0"/>
          <w:color w:val="auto"/>
          <w:sz w:val="28"/>
          <w:szCs w:val="28"/>
          <w:highlight w:val="none"/>
        </w:rPr>
        <w:t xml:space="preserve">41</w:t>
      </w:r>
      <w:r>
        <w:rPr>
          <w:rFonts w:hint="eastAsia" w:ascii="宋体" w:hAnsi="宋体" w:eastAsia="宋体" w:cs="宋体"/>
          <w:b w:val="0"/>
          <w:color w:val="auto"/>
          <w:sz w:val="28"/>
          <w:szCs w:val="28"/>
          <w:highlight w:val="none"/>
        </w:rPr>
        <w:fldChar w:fldCharType="end"/>
      </w:r>
      <w:r>
        <w:rPr>
          <w:rFonts w:hint="eastAsia" w:ascii="宋体" w:hAnsi="宋体" w:eastAsia="宋体" w:cs="宋体"/>
          <w:b w:val="0"/>
          <w:color w:val="auto"/>
          <w:sz w:val="28"/>
          <w:szCs w:val="28"/>
          <w:highlight w:val="none"/>
        </w:rPr>
        <w:fldChar w:fldCharType="end"/>
      </w:r>
      <w:r/>
    </w:p>
    <w:p>
      <w:pPr>
        <w:pageBreakBefore w:val="0"/>
        <w:spacing w:line="48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end"/>
      </w:r>
      <w:r/>
    </w:p>
    <w:p>
      <w:pPr>
        <w:pageBreakBefore w:val="0"/>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pageBreakBefore w:val="0"/>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pageBreakBefore w:val="0"/>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pageBreakBefore w:val="0"/>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pageBreakBefore w:val="0"/>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pageBreakBefore w:val="0"/>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pageBreakBefore w:val="0"/>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pageBreakBefore w:val="0"/>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pageBreakBefore w:val="0"/>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pageBreakBefore w:val="0"/>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pageBreakBefore w:val="0"/>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pageBreakBefore w:val="0"/>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pageBreakBefore w:val="0"/>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pageBreakBefore w:val="0"/>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pageBreakBefore w:val="0"/>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pageBreakBefore w:val="0"/>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pageBreakBefore w:val="0"/>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highlight w:val="none"/>
        </w:rPr>
      </w:pPr>
      <w:r/>
      <w:bookmarkStart w:id="6" w:name="_Toc27711"/>
      <w:r/>
      <w:r/>
    </w:p>
    <w:p>
      <w:pPr>
        <w:ind w:left="0" w:right="0" w:firstLine="0"/>
        <w:jc w:val="center"/>
        <w:pageBreakBefore w:val="0"/>
        <w:spacing w:before="200" w:beforeAutospacing="0" w:after="200" w:afterAutospacing="0" w:line="240" w:lineRule="auto"/>
        <w:tabs>
          <w:tab w:val="left" w:pos="1440" w:leader="none"/>
        </w:tabs>
        <w:rPr>
          <w:rFonts w:hint="eastAsia" w:ascii="宋体" w:hAnsi="宋体" w:eastAsia="宋体" w:cs="宋体"/>
          <w:b/>
          <w:bCs/>
          <w:color w:val="auto"/>
          <w:sz w:val="32"/>
          <w:szCs w:val="32"/>
          <w:highlight w:val="none"/>
        </w:rPr>
        <w:sectPr>
          <w:footerReference w:type="default" r:id="rId12"/>
          <w:footerReference w:type="first" r:id="rId13"/>
          <w:footnotePr/>
          <w:endnotePr/>
          <w:type w:val="nextPage"/>
          <w:pgSz w:w="11906" w:h="16838" w:orient="portrait"/>
          <w:pgMar w:top="1440" w:right="1080" w:bottom="1440" w:left="1080" w:header="851" w:footer="907" w:gutter="0"/>
          <w:pgNumType w:start="1"/>
          <w:cols w:num="1" w:sep="0" w:space="720" w:equalWidth="1"/>
          <w:docGrid w:linePitch="360"/>
        </w:sectPr>
        <w:outlineLvl w:val="0"/>
      </w:pPr>
      <w:r>
        <w:rPr>
          <w:rFonts w:hint="eastAsia" w:ascii="宋体" w:hAnsi="宋体" w:eastAsia="宋体" w:cs="宋体"/>
          <w:b/>
          <w:bCs/>
          <w:color w:val="auto"/>
          <w:sz w:val="32"/>
          <w:szCs w:val="32"/>
          <w:highlight w:val="none"/>
        </w:rPr>
      </w:r>
      <w:r/>
    </w:p>
    <w:p>
      <w:pPr>
        <w:ind w:left="0" w:right="0" w:firstLine="0"/>
        <w:jc w:val="center"/>
        <w:pageBreakBefore w:val="0"/>
        <w:spacing w:before="200" w:beforeAutospacing="0" w:after="200" w:afterAutospacing="0" w:line="240" w:lineRule="auto"/>
        <w:tabs>
          <w:tab w:val="left" w:pos="1440" w:leader="none"/>
        </w:tabs>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t xml:space="preserve">第一章  投标邀请</w:t>
      </w:r>
      <w:bookmarkEnd w:id="6"/>
      <w:r/>
      <w:bookmarkEnd w:id="0"/>
      <w:r/>
    </w:p>
    <w:p>
      <w:pPr>
        <w:ind w:left="0" w:right="0" w:firstLine="480"/>
        <w:jc w:val="left"/>
        <w:pageBreakBefore w:val="0"/>
        <w:spacing w:beforeAutospacing="0" w:afterAutospacing="0" w:line="360" w:lineRule="auto"/>
        <w:rPr>
          <w:rFonts w:hint="eastAsia" w:ascii="宋体" w:hAnsi="宋体" w:eastAsia="宋体" w:cs="宋体"/>
          <w:color w:val="auto"/>
          <w:sz w:val="24"/>
          <w:szCs w:val="24"/>
          <w:highlight w:val="none"/>
          <w:shd w:val="clear" w:color="ffffff" w:fill="d9d9d9"/>
        </w:rPr>
      </w:pPr>
      <w:r>
        <w:rPr>
          <w:rFonts w:hint="eastAsia" w:ascii="宋体" w:hAnsi="宋体" w:eastAsia="宋体" w:cs="宋体"/>
          <w:color w:val="auto"/>
          <w:sz w:val="24"/>
          <w:szCs w:val="24"/>
          <w:highlight w:val="none"/>
        </w:rPr>
        <w:t xml:space="preserve">受</w:t>
      </w:r>
      <w:r>
        <w:rPr>
          <w:rFonts w:hint="eastAsia" w:ascii="宋体" w:hAnsi="宋体" w:cs="宋体"/>
          <w:color w:val="auto"/>
          <w:sz w:val="24"/>
          <w:szCs w:val="24"/>
          <w:highlight w:val="none"/>
          <w:lang w:eastAsia="zh-CN"/>
        </w:rPr>
        <w:t xml:space="preserve">无锡市药品安全检验检测中心</w:t>
      </w:r>
      <w:r>
        <w:rPr>
          <w:rFonts w:hint="eastAsia" w:ascii="宋体" w:hAnsi="宋体" w:eastAsia="宋体" w:cs="宋体"/>
          <w:color w:val="auto"/>
          <w:sz w:val="24"/>
          <w:szCs w:val="24"/>
          <w:highlight w:val="none"/>
        </w:rPr>
        <w:t xml:space="preserve">的委托，</w:t>
      </w:r>
      <w:r>
        <w:rPr>
          <w:rFonts w:hint="eastAsia" w:ascii="宋体" w:hAnsi="宋体" w:eastAsia="宋体" w:cs="宋体"/>
          <w:color w:val="auto"/>
          <w:sz w:val="24"/>
          <w:szCs w:val="24"/>
          <w:highlight w:val="none"/>
          <w:lang w:eastAsia="zh-CN"/>
        </w:rPr>
        <w:t xml:space="preserve">江苏建协全过程工程咨询有限公司</w:t>
      </w:r>
      <w:r>
        <w:rPr>
          <w:rFonts w:hint="eastAsia" w:ascii="宋体" w:hAnsi="宋体" w:eastAsia="宋体" w:cs="宋体"/>
          <w:color w:val="auto"/>
          <w:sz w:val="24"/>
          <w:szCs w:val="24"/>
          <w:highlight w:val="none"/>
        </w:rPr>
        <w:t xml:space="preserve">就</w:t>
      </w:r>
      <w:r>
        <w:rPr>
          <w:rFonts w:hint="eastAsia" w:ascii="宋体" w:hAnsi="宋体" w:cs="宋体"/>
          <w:color w:val="auto"/>
          <w:sz w:val="24"/>
          <w:szCs w:val="24"/>
          <w:highlight w:val="none"/>
          <w:lang w:eastAsia="zh-CN"/>
        </w:rPr>
        <w:t xml:space="preserve">2026年仪器设备专项购置（干加热自动透皮系统）</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eastAsia="zh-CN"/>
        </w:rPr>
        <w:t xml:space="preserve">JSZC-320200-JXCG-G2026-0018</w:t>
      </w:r>
      <w:r>
        <w:rPr>
          <w:rFonts w:hint="eastAsia" w:ascii="宋体" w:hAnsi="宋体" w:eastAsia="宋体" w:cs="宋体"/>
          <w:color w:val="auto"/>
          <w:sz w:val="24"/>
          <w:szCs w:val="24"/>
          <w:highlight w:val="none"/>
        </w:rPr>
        <w:t xml:space="preserve">）进行公开招标采购，欢迎符合条件的供应商投标。</w:t>
      </w:r>
      <w:r/>
    </w:p>
    <w:p>
      <w:pPr>
        <w:ind w:left="0" w:right="0" w:firstLine="480"/>
        <w:jc w:val="left"/>
        <w:pageBreakBefore w:val="0"/>
        <w:spacing w:beforeAutospacing="0" w:afterAutospacing="0" w:line="360" w:lineRule="auto"/>
        <w:rPr>
          <w:rFonts w:hint="eastAsia" w:ascii="宋体" w:hAnsi="宋体" w:eastAsia="宋体" w:cs="宋体"/>
          <w:color w:val="auto"/>
          <w:sz w:val="24"/>
          <w:szCs w:val="24"/>
          <w:highlight w:val="none"/>
          <w:shd w:val="clear" w:color="ffffff" w:fill="d9d9d9"/>
        </w:rPr>
        <w:pBdr>
          <w:top w:val="single" w:color="auto" w:sz="4" w:space="1"/>
          <w:left w:val="single" w:color="auto" w:sz="4" w:space="4"/>
          <w:bottom w:val="single" w:color="auto" w:sz="4" w:space="1"/>
          <w:right w:val="single" w:color="auto" w:sz="4" w:space="4"/>
        </w:pBdr>
      </w:pPr>
      <w:r>
        <w:rPr>
          <w:rFonts w:hint="eastAsia" w:ascii="宋体" w:hAnsi="宋体" w:eastAsia="宋体" w:cs="宋体"/>
          <w:color w:val="auto"/>
          <w:sz w:val="24"/>
          <w:szCs w:val="24"/>
          <w:highlight w:val="none"/>
        </w:rPr>
        <w:t xml:space="preserve">项目概况</w:t>
      </w:r>
      <w:r/>
    </w:p>
    <w:p>
      <w:pPr>
        <w:ind w:left="0" w:right="0" w:firstLine="480"/>
        <w:jc w:val="left"/>
        <w:pageBreakBefore w:val="0"/>
        <w:spacing w:beforeAutospacing="0" w:afterAutospacing="0" w:line="360" w:lineRule="auto"/>
        <w:rPr>
          <w:rFonts w:hint="eastAsia" w:ascii="宋体" w:hAnsi="宋体" w:eastAsia="宋体" w:cs="宋体"/>
          <w:color w:val="auto"/>
          <w:sz w:val="24"/>
          <w:szCs w:val="24"/>
          <w:highlight w:val="none"/>
          <w:shd w:val="clear" w:color="ffffff" w:fill="d9d9d9"/>
        </w:rPr>
        <w:pBdr>
          <w:top w:val="single" w:color="auto" w:sz="4" w:space="1"/>
          <w:left w:val="single" w:color="auto" w:sz="4" w:space="4"/>
          <w:bottom w:val="single" w:color="auto" w:sz="4" w:space="1"/>
          <w:right w:val="single" w:color="auto" w:sz="4" w:space="4"/>
        </w:pBdr>
      </w:pPr>
      <w:r>
        <w:rPr>
          <w:rFonts w:hint="eastAsia" w:ascii="宋体" w:hAnsi="宋体" w:cs="宋体"/>
          <w:color w:val="auto"/>
          <w:sz w:val="24"/>
          <w:szCs w:val="24"/>
          <w:highlight w:val="none"/>
          <w:lang w:eastAsia="zh-CN"/>
        </w:rPr>
        <w:t xml:space="preserve">2026年仪器设备专项购置（干加热自动透皮系统）</w:t>
      </w:r>
      <w:r>
        <w:rPr>
          <w:rFonts w:hint="eastAsia" w:ascii="宋体" w:hAnsi="宋体" w:eastAsia="宋体" w:cs="宋体"/>
          <w:color w:val="auto"/>
          <w:sz w:val="24"/>
          <w:szCs w:val="24"/>
          <w:highlight w:val="none"/>
        </w:rPr>
        <w:t xml:space="preserve">的潜在投标人应在“江苏政府采购网”自行浏览招标文件，如有投标意向须在本招标文件有效获取期内通过登录“江苏省政府采购（苏采云）平台”下载的方式依法获取招标文件，并于202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21</w:t>
      </w:r>
      <w:r>
        <w:rPr>
          <w:rFonts w:hint="eastAsia" w:ascii="宋体" w:hAnsi="宋体" w:eastAsia="宋体" w:cs="宋体"/>
          <w:color w:val="auto"/>
          <w:sz w:val="24"/>
          <w:szCs w:val="24"/>
          <w:highlight w:val="none"/>
        </w:rPr>
        <w:t xml:space="preserve">日</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点30分</w:t>
      </w:r>
      <w:r>
        <w:rPr>
          <w:rFonts w:hint="eastAsia" w:ascii="宋体" w:hAnsi="宋体" w:eastAsia="宋体" w:cs="宋体"/>
          <w:bCs/>
          <w:color w:val="auto"/>
          <w:sz w:val="24"/>
          <w:szCs w:val="24"/>
          <w:highlight w:val="none"/>
        </w:rPr>
        <w:t xml:space="preserve">（北京时间）前递交投标文件</w:t>
      </w:r>
      <w:r>
        <w:rPr>
          <w:rFonts w:hint="eastAsia" w:ascii="宋体" w:hAnsi="宋体" w:eastAsia="宋体" w:cs="宋体"/>
          <w:color w:val="auto"/>
          <w:sz w:val="24"/>
          <w:szCs w:val="24"/>
          <w:highlight w:val="none"/>
        </w:rPr>
        <w:t xml:space="preserve">。</w:t>
      </w:r>
      <w:r/>
    </w:p>
    <w:p>
      <w:pPr>
        <w:pStyle w:val="736"/>
        <w:ind w:left="0" w:right="0" w:firstLine="0"/>
        <w:jc w:val="left"/>
        <w:keepLines w:val="0"/>
        <w:keepNext w:val="0"/>
        <w:pageBreakBefore w:val="0"/>
        <w:spacing w:before="0" w:beforeAutospacing="0" w:after="0" w:afterAutospacing="0" w:line="360" w:lineRule="auto"/>
        <w:rPr>
          <w:rFonts w:hint="eastAsia" w:ascii="宋体" w:hAnsi="宋体" w:eastAsia="宋体" w:cs="宋体"/>
          <w:b/>
          <w:color w:val="auto"/>
          <w:sz w:val="24"/>
          <w:szCs w:val="30"/>
          <w:highlight w:val="none"/>
        </w:rPr>
        <w:outlineLvl w:val="1"/>
      </w:pPr>
      <w:r/>
      <w:bookmarkStart w:id="7" w:name="_Toc28359002"/>
      <w:r/>
      <w:bookmarkStart w:id="8" w:name="_Toc38985263"/>
      <w:r/>
      <w:bookmarkStart w:id="9" w:name="_Toc35393621"/>
      <w:r/>
      <w:bookmarkStart w:id="10" w:name="_Toc35393790"/>
      <w:r/>
      <w:bookmarkStart w:id="11" w:name="_Toc28359079"/>
      <w:r/>
      <w:bookmarkStart w:id="12" w:name="_Hlk24379207"/>
      <w:r>
        <w:rPr>
          <w:rFonts w:hint="eastAsia" w:ascii="宋体" w:hAnsi="宋体" w:eastAsia="宋体" w:cs="宋体"/>
          <w:b/>
          <w:color w:val="auto"/>
          <w:sz w:val="24"/>
          <w:szCs w:val="30"/>
          <w:highlight w:val="none"/>
        </w:rPr>
        <w:t xml:space="preserve">一、项目基本情况</w:t>
      </w:r>
      <w:bookmarkEnd w:id="7"/>
      <w:r/>
      <w:bookmarkEnd w:id="8"/>
      <w:r/>
      <w:bookmarkEnd w:id="9"/>
      <w:r/>
      <w:bookmarkEnd w:id="10"/>
      <w:r/>
      <w:bookmarkEnd w:id="11"/>
      <w:r/>
      <w:r/>
    </w:p>
    <w:p>
      <w:pPr>
        <w:ind w:left="0" w:right="0" w:firstLine="480"/>
        <w:jc w:val="left"/>
        <w:keepLines w:val="0"/>
        <w:keepNext w:val="0"/>
        <w:pageBreakBefore w:val="0"/>
        <w:spacing w:beforeAutospacing="0" w:afterAutospacing="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1.项目编号：</w:t>
      </w:r>
      <w:r>
        <w:rPr>
          <w:rFonts w:hint="eastAsia" w:ascii="宋体" w:hAnsi="宋体" w:cs="宋体"/>
          <w:color w:val="auto"/>
          <w:sz w:val="24"/>
          <w:szCs w:val="24"/>
          <w:highlight w:val="none"/>
          <w:lang w:eastAsia="zh-CN"/>
        </w:rPr>
        <w:t xml:space="preserve">JSZC-320200-JXCG-G2026-0018</w:t>
      </w:r>
      <w:r/>
    </w:p>
    <w:p>
      <w:pPr>
        <w:ind w:left="0" w:right="0" w:firstLine="480"/>
        <w:jc w:val="left"/>
        <w:keepLines w:val="0"/>
        <w:keepNext w:val="0"/>
        <w:pageBreakBefore w:val="0"/>
        <w:spacing w:beforeAutospacing="0" w:afterAutospacing="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2.项目名称：</w:t>
      </w:r>
      <w:r>
        <w:rPr>
          <w:rFonts w:hint="eastAsia" w:ascii="宋体" w:hAnsi="宋体" w:cs="宋体"/>
          <w:color w:val="auto"/>
          <w:sz w:val="24"/>
          <w:szCs w:val="24"/>
          <w:highlight w:val="none"/>
          <w:lang w:eastAsia="zh-CN"/>
        </w:rPr>
        <w:t xml:space="preserve">2026年仪器设备专项购置（干加热自动透皮系统）</w:t>
      </w:r>
      <w:bookmarkEnd w:id="12"/>
      <w:r/>
    </w:p>
    <w:p>
      <w:pPr>
        <w:ind w:left="0" w:right="0" w:firstLine="480"/>
        <w:jc w:val="left"/>
        <w:keepLines w:val="0"/>
        <w:keepNext w:val="0"/>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3.项目预算金额：</w:t>
      </w:r>
      <w:r>
        <w:rPr>
          <w:rFonts w:hint="eastAsia" w:ascii="宋体" w:hAnsi="宋体" w:cs="宋体"/>
          <w:color w:val="auto"/>
          <w:sz w:val="24"/>
          <w:szCs w:val="24"/>
          <w:highlight w:val="none"/>
          <w:lang w:val="en-US" w:eastAsia="zh-CN"/>
        </w:rPr>
        <w:t xml:space="preserve">112.5</w:t>
      </w:r>
      <w:r>
        <w:rPr>
          <w:rFonts w:hint="eastAsia" w:ascii="宋体" w:hAnsi="宋体" w:eastAsia="宋体" w:cs="宋体"/>
          <w:color w:val="auto"/>
          <w:sz w:val="24"/>
          <w:szCs w:val="24"/>
          <w:highlight w:val="none"/>
        </w:rPr>
        <w:t xml:space="preserve">万元</w:t>
      </w:r>
      <w:r/>
    </w:p>
    <w:p>
      <w:pPr>
        <w:ind w:left="0" w:right="0" w:firstLine="480"/>
        <w:jc w:val="left"/>
        <w:keepLines w:val="0"/>
        <w:keepNext w:val="0"/>
        <w:pageBreakBefore w:val="0"/>
        <w:spacing w:beforeAutospacing="0" w:afterAutospacing="0" w:line="360" w:lineRule="auto"/>
        <w:widowControl/>
        <w:rPr>
          <w:rFonts w:hint="eastAsia" w:ascii="宋体" w:hAnsi="宋体" w:eastAsia="宋体" w:cs="宋体"/>
          <w:i/>
          <w:iCs/>
          <w:color w:val="auto"/>
          <w:sz w:val="24"/>
          <w:szCs w:val="24"/>
          <w:highlight w:val="none"/>
          <w:lang w:eastAsia="zh-CN"/>
        </w:rPr>
      </w:pPr>
      <w:r>
        <w:rPr>
          <w:rFonts w:hint="eastAsia" w:ascii="宋体" w:hAnsi="宋体" w:eastAsia="宋体" w:cs="宋体"/>
          <w:color w:val="auto"/>
          <w:sz w:val="24"/>
          <w:szCs w:val="24"/>
          <w:highlight w:val="none"/>
        </w:rPr>
        <w:t xml:space="preserve">4.项目最高限价：</w:t>
      </w:r>
      <w:r>
        <w:rPr>
          <w:rFonts w:hint="eastAsia" w:ascii="宋体" w:hAnsi="宋体" w:cs="宋体"/>
          <w:color w:val="auto"/>
          <w:sz w:val="24"/>
          <w:szCs w:val="24"/>
          <w:highlight w:val="none"/>
          <w:lang w:val="en-US" w:eastAsia="zh-CN"/>
        </w:rPr>
        <w:t xml:space="preserve">112.5</w:t>
      </w:r>
      <w:r>
        <w:rPr>
          <w:rFonts w:hint="eastAsia" w:ascii="宋体" w:hAnsi="宋体" w:eastAsia="宋体" w:cs="宋体"/>
          <w:bCs/>
          <w:color w:val="auto"/>
          <w:sz w:val="24"/>
          <w:highlight w:val="none"/>
          <w:lang w:val="en-US" w:eastAsia="zh-CN" w:bidi="ar"/>
        </w:rPr>
        <w:t xml:space="preserve">万</w:t>
      </w:r>
      <w:r>
        <w:rPr>
          <w:rFonts w:hint="eastAsia" w:ascii="宋体" w:hAnsi="宋体" w:eastAsia="宋体" w:cs="宋体"/>
          <w:bCs/>
          <w:color w:val="auto"/>
          <w:sz w:val="24"/>
          <w:highlight w:val="none"/>
          <w:lang w:bidi="ar"/>
        </w:rPr>
        <w:t xml:space="preserve">元</w:t>
      </w:r>
      <w:r>
        <w:rPr>
          <w:rFonts w:hint="eastAsia" w:ascii="宋体" w:hAnsi="宋体" w:eastAsia="宋体" w:cs="宋体"/>
          <w:bCs/>
          <w:color w:val="auto"/>
          <w:sz w:val="24"/>
          <w:highlight w:val="none"/>
          <w:lang w:val="en-US" w:eastAsia="zh-CN" w:bidi="ar"/>
        </w:rPr>
        <w:t xml:space="preserve">。</w:t>
      </w:r>
      <w:r>
        <w:rPr>
          <w:rFonts w:hint="eastAsia" w:ascii="宋体" w:hAnsi="宋体" w:eastAsia="宋体" w:cs="宋体"/>
          <w:bCs/>
          <w:color w:val="auto"/>
          <w:sz w:val="24"/>
          <w:highlight w:val="none"/>
          <w:lang w:bidi="ar"/>
        </w:rPr>
        <w:t xml:space="preserve">投标人的报价不得超过最高限价否则作无效投标处理；</w:t>
      </w:r>
      <w:r/>
    </w:p>
    <w:p>
      <w:pPr>
        <w:ind w:left="0" w:right="0" w:firstLine="480"/>
        <w:jc w:val="left"/>
        <w:keepLines w:val="0"/>
        <w:keepNext w:val="0"/>
        <w:pageBreakBefore w:val="0"/>
        <w:spacing w:beforeAutospacing="0" w:afterAutospacing="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5.采购需求：</w:t>
      </w:r>
      <w:r>
        <w:rPr>
          <w:rFonts w:hint="eastAsia" w:ascii="宋体" w:hAnsi="宋体" w:cs="宋体"/>
          <w:bCs/>
          <w:color w:val="auto"/>
          <w:sz w:val="24"/>
          <w:highlight w:val="none"/>
          <w:lang w:eastAsia="zh-CN" w:bidi="ar"/>
        </w:rPr>
        <w:t xml:space="preserve">2026年仪器设备专项购置（干加热自动透皮系统）</w:t>
      </w:r>
      <w:r>
        <w:rPr>
          <w:rFonts w:hint="eastAsia" w:ascii="宋体" w:hAnsi="宋体" w:eastAsia="宋体" w:cs="宋体"/>
          <w:bCs/>
          <w:color w:val="auto"/>
          <w:sz w:val="24"/>
          <w:highlight w:val="none"/>
          <w:lang w:bidi="ar"/>
        </w:rPr>
        <w:t xml:space="preserve">，</w:t>
      </w:r>
      <w:r>
        <w:rPr>
          <w:rFonts w:hint="eastAsia" w:ascii="宋体" w:hAnsi="宋体" w:eastAsia="宋体" w:cs="宋体"/>
          <w:color w:val="auto"/>
          <w:sz w:val="24"/>
          <w:szCs w:val="24"/>
          <w:highlight w:val="none"/>
        </w:rPr>
        <w:t xml:space="preserve">详见招标文件第四章《采购需求》</w:t>
      </w:r>
      <w:r>
        <w:rPr>
          <w:rFonts w:hint="eastAsia" w:ascii="宋体" w:hAnsi="宋体" w:eastAsia="宋体" w:cs="宋体"/>
          <w:color w:val="auto"/>
          <w:sz w:val="24"/>
          <w:szCs w:val="24"/>
          <w:highlight w:val="none"/>
          <w:lang w:eastAsia="zh-CN"/>
        </w:rPr>
        <w:t xml:space="preserve">；</w:t>
      </w:r>
      <w:r/>
    </w:p>
    <w:p>
      <w:pPr>
        <w:ind w:left="0" w:right="0" w:firstLine="480"/>
        <w:jc w:val="left"/>
        <w:keepLines w:val="0"/>
        <w:keepNext w:val="0"/>
        <w:pageBreakBefore w:val="0"/>
        <w:spacing w:beforeAutospacing="0" w:afterAutospacing="0" w:line="360" w:lineRule="auto"/>
        <w:rPr>
          <w:rFonts w:hint="eastAsia" w:ascii="宋体" w:hAnsi="宋体" w:eastAsia="宋体" w:cs="宋体"/>
          <w:bCs/>
          <w:color w:val="auto"/>
          <w:sz w:val="24"/>
          <w:highlight w:val="none"/>
          <w:lang w:bidi="ar"/>
        </w:rPr>
      </w:pPr>
      <w:r>
        <w:rPr>
          <w:rFonts w:hint="eastAsia" w:ascii="宋体" w:hAnsi="宋体" w:eastAsia="宋体" w:cs="宋体"/>
          <w:color w:val="auto"/>
          <w:sz w:val="24"/>
          <w:szCs w:val="24"/>
          <w:highlight w:val="none"/>
        </w:rPr>
        <w:t xml:space="preserve">6.</w:t>
      </w:r>
      <w:r>
        <w:rPr>
          <w:rFonts w:hint="eastAsia" w:ascii="宋体" w:hAnsi="宋体" w:cs="宋体"/>
          <w:bCs/>
          <w:color w:val="auto"/>
          <w:sz w:val="24"/>
          <w:highlight w:val="none"/>
          <w:lang w:eastAsia="zh-CN"/>
        </w:rPr>
        <w:t xml:space="preserve">供货期：自合同签订生效起90天</w:t>
      </w:r>
      <w:r>
        <w:rPr>
          <w:rFonts w:hint="eastAsia" w:ascii="宋体" w:hAnsi="宋体" w:eastAsia="宋体" w:cs="宋体"/>
          <w:bCs/>
          <w:color w:val="auto"/>
          <w:sz w:val="24"/>
          <w:highlight w:val="none"/>
          <w:lang w:bidi="ar"/>
        </w:rPr>
        <w:t xml:space="preserve">；</w:t>
      </w:r>
      <w:r/>
    </w:p>
    <w:p>
      <w:pPr>
        <w:ind w:left="0" w:right="0" w:firstLine="480"/>
        <w:jc w:val="left"/>
        <w:keepLines w:val="0"/>
        <w:keepNext w:val="0"/>
        <w:pageBreakBefore w:val="0"/>
        <w:spacing w:beforeAutospacing="0" w:afterAutospacing="0"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本项目接受进口产品投标</w:t>
      </w:r>
      <w:r>
        <w:rPr>
          <w:rFonts w:hint="eastAsia" w:ascii="宋体" w:hAnsi="宋体" w:cs="宋体"/>
          <w:color w:val="auto"/>
          <w:sz w:val="24"/>
          <w:szCs w:val="24"/>
          <w:highlight w:val="none"/>
          <w:lang w:eastAsia="zh-CN"/>
        </w:rPr>
        <w:t xml:space="preserve">；</w:t>
      </w:r>
      <w:r/>
    </w:p>
    <w:p>
      <w:pPr>
        <w:ind w:left="0" w:right="0" w:firstLine="480"/>
        <w:jc w:val="left"/>
        <w:keepLines w:val="0"/>
        <w:keepNext w:val="0"/>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.本项目不接受联合体投标。</w:t>
      </w:r>
      <w:r/>
    </w:p>
    <w:p>
      <w:pPr>
        <w:pStyle w:val="736"/>
        <w:ind w:left="0" w:right="0" w:firstLine="0"/>
        <w:jc w:val="left"/>
        <w:keepLines w:val="0"/>
        <w:keepNext w:val="0"/>
        <w:pageBreakBefore w:val="0"/>
        <w:spacing w:before="0" w:beforeAutospacing="0" w:after="0" w:afterAutospacing="0" w:line="360" w:lineRule="auto"/>
        <w:rPr>
          <w:rFonts w:hint="eastAsia" w:ascii="宋体" w:hAnsi="宋体" w:eastAsia="宋体" w:cs="宋体"/>
          <w:b/>
          <w:color w:val="auto"/>
          <w:sz w:val="24"/>
          <w:szCs w:val="30"/>
          <w:highlight w:val="none"/>
        </w:rPr>
        <w:outlineLvl w:val="1"/>
      </w:pPr>
      <w:r/>
      <w:bookmarkStart w:id="13" w:name="_Toc35393791"/>
      <w:r/>
      <w:bookmarkStart w:id="14" w:name="_Toc28359080"/>
      <w:r/>
      <w:bookmarkStart w:id="15" w:name="_Toc35393622"/>
      <w:r/>
      <w:bookmarkStart w:id="16" w:name="_Toc38985264"/>
      <w:r/>
      <w:bookmarkStart w:id="17" w:name="_Toc28359003"/>
      <w:r>
        <w:rPr>
          <w:rFonts w:hint="eastAsia" w:ascii="宋体" w:hAnsi="宋体" w:eastAsia="宋体" w:cs="宋体"/>
          <w:b/>
          <w:color w:val="auto"/>
          <w:sz w:val="24"/>
          <w:szCs w:val="30"/>
          <w:highlight w:val="none"/>
        </w:rPr>
        <w:t xml:space="preserve">二、申请人的资格要求</w:t>
      </w:r>
      <w:bookmarkEnd w:id="13"/>
      <w:r/>
      <w:bookmarkEnd w:id="14"/>
      <w:r/>
      <w:bookmarkEnd w:id="15"/>
      <w:r/>
      <w:bookmarkEnd w:id="16"/>
      <w:r/>
      <w:bookmarkEnd w:id="17"/>
      <w:r/>
      <w:r/>
    </w:p>
    <w:p>
      <w:pPr>
        <w:ind w:left="0" w:right="0" w:firstLine="480"/>
        <w:jc w:val="left"/>
        <w:keepLines w:val="0"/>
        <w:keepNext w:val="0"/>
        <w:pageBreakBefore w:val="0"/>
        <w:spacing w:beforeAutospacing="0" w:afterAutospacing="0" w:line="360" w:lineRule="auto"/>
        <w:rPr>
          <w:rFonts w:hint="eastAsia" w:ascii="宋体" w:hAnsi="宋体" w:eastAsia="宋体" w:cs="宋体"/>
          <w:color w:val="auto"/>
          <w:sz w:val="24"/>
          <w:szCs w:val="24"/>
          <w:highlight w:val="none"/>
        </w:rPr>
      </w:pPr>
      <w:r/>
      <w:bookmarkStart w:id="18" w:name="_Toc38985265"/>
      <w:r/>
      <w:bookmarkStart w:id="19" w:name="_Toc35393623"/>
      <w:r/>
      <w:bookmarkStart w:id="20" w:name="_Toc28359004"/>
      <w:r/>
      <w:bookmarkStart w:id="21" w:name="_Toc28359081"/>
      <w:r/>
      <w:bookmarkStart w:id="22" w:name="_Toc35393792"/>
      <w:r>
        <w:rPr>
          <w:rFonts w:hint="eastAsia" w:ascii="宋体" w:hAnsi="宋体" w:eastAsia="宋体" w:cs="宋体"/>
          <w:color w:val="auto"/>
          <w:sz w:val="24"/>
          <w:szCs w:val="24"/>
          <w:highlight w:val="none"/>
        </w:rPr>
        <w:t xml:space="preserve">1.满足《中华人民共和国政府采购法》第二十二条规定；</w:t>
      </w:r>
      <w:r/>
    </w:p>
    <w:p>
      <w:pPr>
        <w:ind w:left="0" w:right="0" w:firstLine="480"/>
        <w:jc w:val="left"/>
        <w:keepLines w:val="0"/>
        <w:keepNext w:val="0"/>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2.在“信用中国”网站（www.creditchina.gov.cn）、中国政府采购网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www.ccgp.gov.cn</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查询，无被列入失信被执行人、</w:t>
      </w:r>
      <w:r>
        <w:rPr>
          <w:rFonts w:hint="eastAsia" w:ascii="宋体" w:hAnsi="宋体" w:eastAsia="宋体" w:cs="宋体"/>
          <w:color w:val="auto"/>
          <w:sz w:val="24"/>
          <w:szCs w:val="24"/>
          <w:highlight w:val="none"/>
          <w:lang w:eastAsia="zh-CN"/>
        </w:rPr>
        <w:t xml:space="preserve">重大税收违法失信主体名单</w:t>
      </w:r>
      <w:r>
        <w:rPr>
          <w:rFonts w:hint="eastAsia" w:ascii="宋体" w:hAnsi="宋体" w:eastAsia="宋体" w:cs="宋体"/>
          <w:color w:val="auto"/>
          <w:sz w:val="24"/>
          <w:szCs w:val="24"/>
          <w:highlight w:val="none"/>
        </w:rPr>
        <w:t xml:space="preserve">、政府采购严重失信行为记录名单及其他不符合《中华人民共和国政府采购法》第二十二条规定条件的信用记录；</w:t>
      </w:r>
      <w:r/>
    </w:p>
    <w:p>
      <w:pPr>
        <w:ind w:left="0" w:right="0" w:firstLine="480"/>
        <w:jc w:val="left"/>
        <w:keepLines w:val="0"/>
        <w:keepNext w:val="0"/>
        <w:pageBreakBefore w:val="0"/>
        <w:spacing w:beforeAutospacing="0" w:afterAutospacing="0" w:line="360" w:lineRule="auto"/>
        <w:rPr>
          <w:rFonts w:hint="eastAsia" w:ascii="宋体" w:hAnsi="宋体" w:eastAsia="宋体" w:cs="宋体"/>
          <w:i/>
          <w:color w:val="auto"/>
          <w:sz w:val="24"/>
          <w:szCs w:val="24"/>
          <w:highlight w:val="none"/>
        </w:rPr>
      </w:pPr>
      <w:r>
        <w:rPr>
          <w:rFonts w:hint="eastAsia" w:ascii="宋体" w:hAnsi="宋体" w:eastAsia="宋体" w:cs="宋体"/>
          <w:color w:val="auto"/>
          <w:sz w:val="24"/>
          <w:szCs w:val="24"/>
          <w:highlight w:val="none"/>
        </w:rPr>
        <w:t xml:space="preserve">3.落实政府采购政策需满足的资格要求：</w:t>
      </w:r>
      <w:r>
        <w:rPr>
          <w:rFonts w:hint="eastAsia" w:ascii="宋体" w:hAnsi="宋体" w:cs="宋体"/>
          <w:color w:val="auto"/>
          <w:sz w:val="24"/>
          <w:szCs w:val="24"/>
          <w:highlight w:val="none"/>
          <w:lang w:val="en-US" w:eastAsia="zh-CN"/>
        </w:rPr>
        <w:t xml:space="preserve">本项目不专门面向中小微企业</w:t>
      </w:r>
      <w:r>
        <w:rPr>
          <w:rFonts w:hint="eastAsia" w:ascii="宋体" w:hAnsi="宋体" w:eastAsia="宋体" w:cs="宋体"/>
          <w:color w:val="auto"/>
          <w:sz w:val="24"/>
          <w:szCs w:val="24"/>
          <w:highlight w:val="none"/>
        </w:rPr>
        <w:t xml:space="preserve">；</w:t>
      </w:r>
      <w:r/>
    </w:p>
    <w:p>
      <w:pPr>
        <w:ind w:left="0" w:right="0" w:firstLine="480"/>
        <w:jc w:val="left"/>
        <w:keepLines w:val="0"/>
        <w:keepNext w:val="0"/>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4.本项目的特定资格要求：</w:t>
      </w:r>
      <w:r/>
    </w:p>
    <w:p>
      <w:pPr>
        <w:ind w:left="0" w:right="0" w:firstLine="480"/>
        <w:jc w:val="left"/>
        <w:keepLines w:val="0"/>
        <w:keepNext w:val="0"/>
        <w:pageBreakBefore w:val="0"/>
        <w:spacing w:beforeAutospacing="0" w:afterAutospacing="0" w:line="360" w:lineRule="auto"/>
        <w:rPr>
          <w:rFonts w:hint="eastAsia" w:ascii="宋体" w:hAnsi="宋体" w:eastAsia="宋体" w:cs="宋体"/>
          <w:bCs/>
          <w:color w:val="auto"/>
          <w:sz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eastAsia="zh-CN"/>
        </w:rPr>
        <w:t xml:space="preserve">投标人应为中国大陆境内合法注册，具有独立法人资格、具备所投产品销售和安装能力的制造商或代理商</w:t>
      </w:r>
      <w:r>
        <w:rPr>
          <w:rFonts w:hint="eastAsia" w:ascii="宋体" w:hAnsi="宋体" w:eastAsia="宋体" w:cs="宋体"/>
          <w:bCs/>
          <w:color w:val="auto"/>
          <w:sz w:val="24"/>
          <w:highlight w:val="none"/>
        </w:rPr>
        <w:t xml:space="preserve">；</w:t>
      </w:r>
      <w:r/>
    </w:p>
    <w:p>
      <w:pPr>
        <w:pStyle w:val="752"/>
        <w:ind w:firstLine="480"/>
        <w:rPr>
          <w:rFonts w:hint="eastAsia"/>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sz w:val="24"/>
          <w:szCs w:val="24"/>
          <w:highlight w:val="none"/>
        </w:rPr>
        <w:t xml:space="preserve">若所投产品为进口产品，销售商或代理商投标时需提供所投设备生产厂家针对本项目的有效授权书</w:t>
      </w:r>
      <w:r/>
    </w:p>
    <w:p>
      <w:pPr>
        <w:ind w:left="0" w:right="0" w:firstLine="480"/>
        <w:jc w:val="left"/>
        <w:keepLines w:val="0"/>
        <w:keepNext w:val="0"/>
        <w:pageBreakBefore w:val="0"/>
        <w:spacing w:beforeAutospacing="0" w:afterAutospacing="0" w:line="360" w:lineRule="auto"/>
        <w:rPr>
          <w:rFonts w:hint="default" w:ascii="宋体" w:hAnsi="宋体" w:eastAsia="宋体" w:cs="宋体"/>
          <w:bCs/>
          <w:color w:val="auto"/>
          <w:sz w:val="24"/>
          <w:highlight w:val="none"/>
          <w:lang w:val="en-US" w:eastAsia="zh-CN"/>
        </w:rPr>
      </w:pP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sz w:val="24"/>
          <w:szCs w:val="24"/>
          <w:highlight w:val="none"/>
          <w:lang w:eastAsia="zh-CN"/>
        </w:rPr>
        <w:t xml:space="preserve">授权委托人应为投标人本单位在职员工。</w:t>
      </w:r>
      <w:r/>
    </w:p>
    <w:p>
      <w:pPr>
        <w:pStyle w:val="736"/>
        <w:ind w:left="0" w:right="0" w:firstLine="0"/>
        <w:jc w:val="left"/>
        <w:keepLines w:val="0"/>
        <w:keepNext w:val="0"/>
        <w:pageBreakBefore w:val="0"/>
        <w:spacing w:before="0" w:beforeAutospacing="0" w:after="0" w:afterAutospacing="0" w:line="360" w:lineRule="auto"/>
        <w:rPr>
          <w:rFonts w:hint="eastAsia" w:ascii="宋体" w:hAnsi="宋体" w:eastAsia="宋体" w:cs="宋体"/>
          <w:b/>
          <w:color w:val="auto"/>
          <w:sz w:val="24"/>
          <w:szCs w:val="30"/>
          <w:highlight w:val="none"/>
        </w:rPr>
        <w:outlineLvl w:val="1"/>
      </w:pPr>
      <w:r>
        <w:rPr>
          <w:rFonts w:hint="eastAsia" w:ascii="宋体" w:hAnsi="宋体" w:eastAsia="宋体" w:cs="宋体"/>
          <w:b/>
          <w:color w:val="auto"/>
          <w:sz w:val="24"/>
          <w:szCs w:val="30"/>
          <w:highlight w:val="none"/>
        </w:rPr>
        <w:t xml:space="preserve">三、获取招标文件</w:t>
      </w:r>
      <w:bookmarkEnd w:id="18"/>
      <w:r/>
      <w:bookmarkEnd w:id="19"/>
      <w:r/>
      <w:bookmarkEnd w:id="20"/>
      <w:r/>
      <w:bookmarkEnd w:id="21"/>
      <w:r/>
      <w:bookmarkEnd w:id="22"/>
      <w:r/>
      <w:r/>
    </w:p>
    <w:p>
      <w:pPr>
        <w:ind w:left="0" w:right="0" w:firstLine="480"/>
        <w:jc w:val="left"/>
        <w:keepLines w:val="0"/>
        <w:keepNext w:val="0"/>
        <w:pageBreakBefore w:val="0"/>
        <w:spacing w:beforeAutospacing="0" w:afterAutospacing="0" w:line="360" w:lineRule="auto"/>
        <w:rPr>
          <w:rFonts w:hint="eastAsia" w:ascii="宋体" w:hAnsi="宋体" w:eastAsia="宋体" w:cs="宋体"/>
          <w:color w:val="auto"/>
          <w:sz w:val="24"/>
          <w:szCs w:val="24"/>
          <w:highlight w:val="none"/>
        </w:rPr>
      </w:pPr>
      <w:r/>
      <w:bookmarkStart w:id="23" w:name="_Toc28359082"/>
      <w:r/>
      <w:bookmarkStart w:id="24" w:name="_Toc28359005"/>
      <w:r/>
      <w:bookmarkStart w:id="25" w:name="_Toc35393624"/>
      <w:r/>
      <w:bookmarkStart w:id="26" w:name="_Toc38985266"/>
      <w:r/>
      <w:bookmarkStart w:id="27" w:name="_Toc35393793"/>
      <w:r>
        <w:rPr>
          <w:rFonts w:hint="eastAsia" w:ascii="宋体" w:hAnsi="宋体" w:eastAsia="宋体" w:cs="宋体"/>
          <w:color w:val="auto"/>
          <w:sz w:val="24"/>
          <w:szCs w:val="24"/>
          <w:highlight w:val="none"/>
        </w:rPr>
        <w:t xml:space="preserve">1.时间：本招标文件有效获取期自招标文件公告发布之日起5个工作日，（有效获取期内的）每天00:00至12:00，下午12:00至23:59（北京时间，法定节假日除外）。</w:t>
      </w:r>
      <w:r/>
    </w:p>
    <w:p>
      <w:pPr>
        <w:ind w:left="0" w:right="0" w:firstLine="480"/>
        <w:jc w:val="left"/>
        <w:keepLines w:val="0"/>
        <w:keepNext w:val="0"/>
        <w:pageBreakBefore w:val="0"/>
        <w:spacing w:beforeAutospacing="0" w:afterAutospacing="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2.地点：</w:t>
      </w:r>
      <w:r>
        <w:rPr>
          <w:rFonts w:hint="eastAsia" w:ascii="宋体" w:hAnsi="宋体" w:eastAsia="宋体" w:cs="宋体"/>
          <w:color w:val="auto"/>
          <w:sz w:val="24"/>
          <w:szCs w:val="24"/>
          <w:highlight w:val="none"/>
        </w:rPr>
        <w:t xml:space="preserve">“江苏省政府采购（苏采云）平台”。</w:t>
      </w:r>
      <w:r/>
    </w:p>
    <w:p>
      <w:pPr>
        <w:ind w:left="0" w:right="0" w:firstLine="480"/>
        <w:jc w:val="left"/>
        <w:keepLines w:val="0"/>
        <w:keepNext w:val="0"/>
        <w:pageBreakBefore w:val="0"/>
        <w:spacing w:beforeAutospacing="0" w:afterAutospacing="0" w:line="360" w:lineRule="auto"/>
        <w:rPr>
          <w:rStyle w:val="789"/>
          <w:rFonts w:hint="eastAsia" w:ascii="宋体" w:hAnsi="宋体" w:eastAsia="宋体" w:cs="宋体"/>
          <w:color w:val="auto"/>
          <w:sz w:val="24"/>
          <w:highlight w:val="none"/>
        </w:rPr>
      </w:pPr>
      <w:r>
        <w:rPr>
          <w:rFonts w:hint="eastAsia" w:ascii="宋体" w:hAnsi="宋体" w:eastAsia="宋体" w:cs="宋体"/>
          <w:bCs/>
          <w:color w:val="auto"/>
          <w:sz w:val="24"/>
          <w:szCs w:val="24"/>
          <w:highlight w:val="none"/>
        </w:rPr>
        <w:t xml:space="preserve">3.方式：请有投标意向的供应商在招标文件有效获取期内及时至</w:t>
      </w:r>
      <w:r>
        <w:rPr>
          <w:rFonts w:hint="eastAsia" w:ascii="宋体" w:hAnsi="宋体" w:eastAsia="宋体" w:cs="宋体"/>
          <w:color w:val="auto"/>
          <w:sz w:val="24"/>
          <w:szCs w:val="24"/>
          <w:highlight w:val="none"/>
        </w:rPr>
        <w:t xml:space="preserve">“江苏省政府采购（苏采云）平台”获取。</w:t>
      </w:r>
      <w:r>
        <w:rPr>
          <w:rFonts w:hint="eastAsia" w:ascii="宋体" w:hAnsi="宋体" w:eastAsia="宋体" w:cs="宋体"/>
          <w:bCs/>
          <w:color w:val="auto"/>
          <w:sz w:val="24"/>
          <w:szCs w:val="24"/>
          <w:highlight w:val="none"/>
        </w:rPr>
        <w:t xml:space="preserve">在招标文件有效获取期限内，从</w:t>
      </w:r>
      <w:r>
        <w:rPr>
          <w:rFonts w:hint="eastAsia" w:ascii="宋体" w:hAnsi="宋体" w:eastAsia="宋体" w:cs="宋体"/>
          <w:color w:val="auto"/>
          <w:sz w:val="24"/>
          <w:szCs w:val="24"/>
          <w:highlight w:val="none"/>
        </w:rPr>
        <w:t xml:space="preserve">“江苏省政府采购（苏采云）平台”获取的</w:t>
      </w:r>
      <w:r>
        <w:rPr>
          <w:rFonts w:hint="eastAsia" w:ascii="宋体" w:hAnsi="宋体" w:eastAsia="宋体" w:cs="宋体"/>
          <w:bCs/>
          <w:color w:val="auto"/>
          <w:sz w:val="24"/>
          <w:szCs w:val="24"/>
          <w:highlight w:val="none"/>
        </w:rPr>
        <w:t xml:space="preserve">招标文件，视为依法获取的招标文件。</w:t>
      </w:r>
      <w:r/>
    </w:p>
    <w:p>
      <w:pPr>
        <w:ind w:left="0" w:right="0" w:firstLine="480"/>
        <w:jc w:val="left"/>
        <w:keepLines w:val="0"/>
        <w:keepNext w:val="0"/>
        <w:pageBreakBefore w:val="0"/>
        <w:spacing w:beforeAutospacing="0" w:afterAutospacing="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4.售价：本项目招标文件免费。</w:t>
      </w:r>
      <w:r/>
    </w:p>
    <w:p>
      <w:pPr>
        <w:pStyle w:val="736"/>
        <w:ind w:left="0" w:right="0" w:firstLine="0"/>
        <w:jc w:val="left"/>
        <w:keepLines w:val="0"/>
        <w:keepNext w:val="0"/>
        <w:pageBreakBefore w:val="0"/>
        <w:spacing w:before="0" w:beforeAutospacing="0" w:after="0" w:afterAutospacing="0" w:line="360" w:lineRule="auto"/>
        <w:rPr>
          <w:rFonts w:hint="eastAsia" w:ascii="宋体" w:hAnsi="宋体" w:eastAsia="宋体" w:cs="宋体"/>
          <w:b/>
          <w:color w:val="auto"/>
          <w:sz w:val="24"/>
          <w:szCs w:val="30"/>
          <w:highlight w:val="none"/>
        </w:rPr>
        <w:outlineLvl w:val="1"/>
      </w:pPr>
      <w:r>
        <w:rPr>
          <w:rFonts w:hint="eastAsia" w:ascii="宋体" w:hAnsi="宋体" w:eastAsia="宋体" w:cs="宋体"/>
          <w:b/>
          <w:color w:val="auto"/>
          <w:sz w:val="24"/>
          <w:szCs w:val="30"/>
          <w:highlight w:val="none"/>
        </w:rPr>
        <w:t xml:space="preserve">四、提交投标文件</w:t>
      </w:r>
      <w:bookmarkEnd w:id="23"/>
      <w:r/>
      <w:bookmarkEnd w:id="24"/>
      <w:r>
        <w:rPr>
          <w:rFonts w:hint="eastAsia" w:ascii="宋体" w:hAnsi="宋体" w:eastAsia="宋体" w:cs="宋体"/>
          <w:b/>
          <w:color w:val="auto"/>
          <w:sz w:val="24"/>
          <w:szCs w:val="30"/>
          <w:highlight w:val="none"/>
        </w:rPr>
        <w:t xml:space="preserve">截止时间、开标时间和地点</w:t>
      </w:r>
      <w:bookmarkEnd w:id="25"/>
      <w:r/>
      <w:bookmarkEnd w:id="26"/>
      <w:r/>
      <w:bookmarkEnd w:id="27"/>
      <w:r/>
      <w:r/>
    </w:p>
    <w:p>
      <w:pPr>
        <w:ind w:left="0" w:right="0" w:firstLine="480"/>
        <w:jc w:val="left"/>
        <w:keepLines w:val="0"/>
        <w:keepNext w:val="0"/>
        <w:pageBreakBefore w:val="0"/>
        <w:spacing w:beforeAutospacing="0" w:afterAutospacing="0" w:line="360" w:lineRule="auto"/>
        <w:rPr>
          <w:rFonts w:hint="eastAsia" w:ascii="宋体" w:hAnsi="宋体" w:eastAsia="宋体" w:cs="宋体"/>
          <w:b w:val="0"/>
          <w:bCs w:val="0"/>
          <w:color w:val="auto"/>
          <w:sz w:val="24"/>
          <w:szCs w:val="24"/>
          <w:highlight w:val="none"/>
        </w:rPr>
        <w:outlineLvl w:val="2"/>
      </w:pPr>
      <w:r>
        <w:rPr>
          <w:rFonts w:hint="eastAsia" w:ascii="宋体" w:hAnsi="宋体" w:eastAsia="宋体" w:cs="宋体"/>
          <w:b w:val="0"/>
          <w:bCs w:val="0"/>
          <w:color w:val="auto"/>
          <w:sz w:val="24"/>
          <w:szCs w:val="24"/>
          <w:highlight w:val="none"/>
        </w:rPr>
        <w:t xml:space="preserve">1.时间：202</w:t>
      </w:r>
      <w:r>
        <w:rPr>
          <w:rFonts w:hint="eastAsia" w:ascii="宋体" w:hAnsi="宋体" w:eastAsia="宋体" w:cs="宋体"/>
          <w:b w:val="0"/>
          <w:bCs w:val="0"/>
          <w:color w:val="auto"/>
          <w:sz w:val="24"/>
          <w:szCs w:val="24"/>
          <w:highlight w:val="none"/>
          <w:lang w:val="en-US" w:eastAsia="zh-CN"/>
        </w:rPr>
        <w:t xml:space="preserve">6</w:t>
      </w:r>
      <w:r>
        <w:rPr>
          <w:rFonts w:hint="eastAsia" w:ascii="宋体" w:hAnsi="宋体" w:eastAsia="宋体" w:cs="宋体"/>
          <w:b w:val="0"/>
          <w:bCs w:val="0"/>
          <w:color w:val="auto"/>
          <w:sz w:val="24"/>
          <w:szCs w:val="24"/>
          <w:highlight w:val="none"/>
        </w:rPr>
        <w:t xml:space="preserve">年</w:t>
      </w:r>
      <w:r>
        <w:rPr>
          <w:rFonts w:hint="eastAsia" w:ascii="宋体" w:hAnsi="宋体" w:cs="宋体"/>
          <w:b w:val="0"/>
          <w:bCs w:val="0"/>
          <w:color w:val="auto"/>
          <w:sz w:val="24"/>
          <w:szCs w:val="24"/>
          <w:highlight w:val="none"/>
          <w:lang w:val="en-US" w:eastAsia="zh-CN"/>
        </w:rPr>
        <w:t xml:space="preserve">7</w:t>
      </w:r>
      <w:r>
        <w:rPr>
          <w:rFonts w:hint="eastAsia" w:ascii="宋体" w:hAnsi="宋体" w:eastAsia="宋体" w:cs="宋体"/>
          <w:b w:val="0"/>
          <w:bCs w:val="0"/>
          <w:color w:val="auto"/>
          <w:sz w:val="24"/>
          <w:szCs w:val="24"/>
          <w:highlight w:val="none"/>
        </w:rPr>
        <w:t xml:space="preserve">月</w:t>
      </w:r>
      <w:r>
        <w:rPr>
          <w:rFonts w:hint="eastAsia" w:ascii="宋体" w:hAnsi="宋体" w:cs="宋体"/>
          <w:b w:val="0"/>
          <w:bCs w:val="0"/>
          <w:color w:val="auto"/>
          <w:sz w:val="24"/>
          <w:szCs w:val="24"/>
          <w:highlight w:val="none"/>
          <w:lang w:val="en-US" w:eastAsia="zh-CN"/>
        </w:rPr>
        <w:t xml:space="preserve">21</w:t>
      </w:r>
      <w:r>
        <w:rPr>
          <w:rFonts w:hint="eastAsia" w:ascii="宋体" w:hAnsi="宋体" w:eastAsia="宋体" w:cs="宋体"/>
          <w:b w:val="0"/>
          <w:bCs w:val="0"/>
          <w:color w:val="auto"/>
          <w:sz w:val="24"/>
          <w:szCs w:val="24"/>
          <w:highlight w:val="none"/>
        </w:rPr>
        <w:t xml:space="preserve">日</w:t>
      </w:r>
      <w:r>
        <w:rPr>
          <w:rFonts w:hint="eastAsia" w:ascii="宋体" w:hAnsi="宋体" w:eastAsia="宋体" w:cs="宋体"/>
          <w:b w:val="0"/>
          <w:bCs w:val="0"/>
          <w:color w:val="auto"/>
          <w:sz w:val="24"/>
          <w:szCs w:val="24"/>
          <w:highlight w:val="none"/>
          <w:lang w:val="en-US" w:eastAsia="zh-CN"/>
        </w:rPr>
        <w:t xml:space="preserve">9</w:t>
      </w:r>
      <w:r>
        <w:rPr>
          <w:rFonts w:hint="eastAsia" w:ascii="宋体" w:hAnsi="宋体" w:eastAsia="宋体" w:cs="宋体"/>
          <w:b w:val="0"/>
          <w:bCs w:val="0"/>
          <w:color w:val="auto"/>
          <w:sz w:val="24"/>
          <w:szCs w:val="24"/>
          <w:highlight w:val="none"/>
        </w:rPr>
        <w:t xml:space="preserve">点30分（北京时间）</w:t>
      </w:r>
      <w:r/>
    </w:p>
    <w:p>
      <w:pPr>
        <w:ind w:left="0" w:right="0" w:firstLine="480"/>
        <w:jc w:val="left"/>
        <w:keepLines w:val="0"/>
        <w:keepNext w:val="0"/>
        <w:pageBreakBefore w:val="0"/>
        <w:spacing w:beforeAutospacing="0" w:afterAutospacing="0" w:line="360" w:lineRule="auto"/>
        <w:rPr>
          <w:rFonts w:hint="eastAsia" w:ascii="宋体" w:hAnsi="宋体" w:eastAsia="宋体" w:cs="宋体"/>
          <w:b w:val="0"/>
          <w:bCs w:val="0"/>
          <w:color w:val="auto"/>
          <w:sz w:val="24"/>
          <w:szCs w:val="24"/>
          <w:highlight w:val="none"/>
          <w:u w:val="single"/>
        </w:rPr>
        <w:outlineLvl w:val="2"/>
      </w:pPr>
      <w:r>
        <w:rPr>
          <w:rFonts w:hint="eastAsia" w:ascii="宋体" w:hAnsi="宋体" w:eastAsia="宋体" w:cs="宋体"/>
          <w:b w:val="0"/>
          <w:bCs w:val="0"/>
          <w:color w:val="auto"/>
          <w:sz w:val="24"/>
          <w:szCs w:val="24"/>
          <w:highlight w:val="none"/>
        </w:rPr>
        <w:t xml:space="preserve">2.地点：“江苏省政府采购（苏采云）平台”网上开标大厅。</w:t>
      </w:r>
      <w:r/>
    </w:p>
    <w:p>
      <w:pPr>
        <w:pStyle w:val="736"/>
        <w:ind w:left="0" w:right="0" w:firstLine="0"/>
        <w:jc w:val="left"/>
        <w:keepLines w:val="0"/>
        <w:keepNext w:val="0"/>
        <w:pageBreakBefore w:val="0"/>
        <w:spacing w:before="0" w:beforeAutospacing="0" w:after="0" w:afterAutospacing="0" w:line="360" w:lineRule="auto"/>
        <w:rPr>
          <w:rFonts w:hint="eastAsia" w:ascii="宋体" w:hAnsi="宋体" w:eastAsia="宋体" w:cs="宋体"/>
          <w:b/>
          <w:color w:val="auto"/>
          <w:sz w:val="24"/>
          <w:szCs w:val="30"/>
          <w:highlight w:val="none"/>
        </w:rPr>
        <w:outlineLvl w:val="1"/>
      </w:pPr>
      <w:r/>
      <w:bookmarkStart w:id="28" w:name="_Toc38985267"/>
      <w:r/>
      <w:bookmarkStart w:id="29" w:name="_Toc28359084"/>
      <w:r/>
      <w:bookmarkStart w:id="30" w:name="_Toc35393794"/>
      <w:r/>
      <w:bookmarkStart w:id="31" w:name="_Toc35393625"/>
      <w:r/>
      <w:bookmarkStart w:id="32" w:name="_Toc28359007"/>
      <w:r>
        <w:rPr>
          <w:rFonts w:hint="eastAsia" w:ascii="宋体" w:hAnsi="宋体" w:eastAsia="宋体" w:cs="宋体"/>
          <w:b/>
          <w:color w:val="auto"/>
          <w:sz w:val="24"/>
          <w:szCs w:val="30"/>
          <w:highlight w:val="none"/>
        </w:rPr>
        <w:t xml:space="preserve">五、公告期限</w:t>
      </w:r>
      <w:bookmarkEnd w:id="28"/>
      <w:r/>
      <w:bookmarkEnd w:id="29"/>
      <w:r/>
      <w:bookmarkEnd w:id="30"/>
      <w:r/>
      <w:bookmarkEnd w:id="31"/>
      <w:r/>
      <w:bookmarkEnd w:id="32"/>
      <w:r/>
      <w:r/>
    </w:p>
    <w:p>
      <w:pPr>
        <w:ind w:left="0" w:right="0" w:firstLine="480"/>
        <w:jc w:val="left"/>
        <w:keepLines w:val="0"/>
        <w:keepNext w:val="0"/>
        <w:pageBreakBefore w:val="0"/>
        <w:spacing w:beforeAutospacing="0" w:afterAutospacing="0" w:line="360" w:lineRule="auto"/>
        <w:rPr>
          <w:rFonts w:hint="eastAsia" w:ascii="宋体" w:hAnsi="宋体" w:eastAsia="宋体" w:cs="宋体"/>
          <w:color w:val="auto"/>
          <w:sz w:val="24"/>
          <w:szCs w:val="24"/>
          <w:highlight w:val="none"/>
        </w:rPr>
      </w:pPr>
      <w:r/>
      <w:bookmarkStart w:id="33" w:name="_Toc38985268"/>
      <w:r/>
      <w:bookmarkStart w:id="34" w:name="_Toc35393626"/>
      <w:r/>
      <w:bookmarkStart w:id="35" w:name="_Toc35393795"/>
      <w:r>
        <w:rPr>
          <w:rFonts w:hint="eastAsia" w:ascii="宋体" w:hAnsi="宋体" w:eastAsia="宋体" w:cs="宋体"/>
          <w:color w:val="auto"/>
          <w:sz w:val="24"/>
          <w:szCs w:val="24"/>
          <w:highlight w:val="none"/>
        </w:rPr>
        <w:t xml:space="preserve">（招标公告及招标文件公告期限）自本公告发布之日起5个工作日。</w:t>
      </w:r>
      <w:r/>
    </w:p>
    <w:p>
      <w:pPr>
        <w:pStyle w:val="736"/>
        <w:ind w:left="0" w:right="0" w:firstLine="0"/>
        <w:jc w:val="left"/>
        <w:keepLines w:val="0"/>
        <w:keepNext w:val="0"/>
        <w:pageBreakBefore w:val="0"/>
        <w:spacing w:before="0" w:beforeAutospacing="0" w:after="0" w:afterAutospacing="0" w:line="360" w:lineRule="auto"/>
        <w:rPr>
          <w:rFonts w:hint="eastAsia" w:ascii="宋体" w:hAnsi="宋体" w:eastAsia="宋体" w:cs="宋体"/>
          <w:b/>
          <w:color w:val="auto"/>
          <w:sz w:val="24"/>
          <w:szCs w:val="30"/>
          <w:highlight w:val="none"/>
        </w:rPr>
        <w:outlineLvl w:val="1"/>
      </w:pPr>
      <w:r>
        <w:rPr>
          <w:rFonts w:hint="eastAsia" w:ascii="宋体" w:hAnsi="宋体" w:eastAsia="宋体" w:cs="宋体"/>
          <w:b/>
          <w:color w:val="auto"/>
          <w:sz w:val="24"/>
          <w:szCs w:val="30"/>
          <w:highlight w:val="none"/>
        </w:rPr>
        <w:t xml:space="preserve">六、其他补充事宜</w:t>
      </w:r>
      <w:bookmarkEnd w:id="33"/>
      <w:r/>
      <w:bookmarkEnd w:id="34"/>
      <w:r/>
      <w:bookmarkEnd w:id="35"/>
      <w:r/>
      <w:r/>
    </w:p>
    <w:p>
      <w:pPr>
        <w:ind w:left="0" w:right="0" w:firstLine="480"/>
        <w:jc w:val="left"/>
        <w:keepLines w:val="0"/>
        <w:keepNext w:val="0"/>
        <w:pageBreakBefore w:val="0"/>
        <w:spacing w:beforeAutospacing="0" w:afterAutospacing="0" w:line="360" w:lineRule="auto"/>
        <w:rPr>
          <w:rFonts w:hint="eastAsia" w:ascii="宋体" w:hAnsi="宋体" w:eastAsia="宋体" w:cs="宋体"/>
          <w:bCs/>
          <w:color w:val="auto"/>
          <w:sz w:val="24"/>
          <w:szCs w:val="24"/>
          <w:highlight w:val="none"/>
          <w:lang w:val="en-US" w:eastAsia="zh-CN"/>
        </w:rPr>
      </w:pPr>
      <w:r/>
      <w:bookmarkStart w:id="36" w:name="_Toc28359008"/>
      <w:r/>
      <w:bookmarkStart w:id="37" w:name="_Toc28359085"/>
      <w:r/>
      <w:bookmarkStart w:id="38" w:name="_Toc38985269"/>
      <w:r/>
      <w:bookmarkStart w:id="39" w:name="_Toc35393627"/>
      <w:r/>
      <w:bookmarkStart w:id="40" w:name="_Toc35393796"/>
      <w:r>
        <w:rPr>
          <w:rFonts w:hint="eastAsia" w:ascii="宋体" w:hAnsi="宋体" w:eastAsia="宋体" w:cs="宋体"/>
          <w:bCs/>
          <w:color w:val="auto"/>
          <w:sz w:val="24"/>
          <w:szCs w:val="24"/>
          <w:highlight w:val="none"/>
          <w:lang w:val="en-US" w:eastAsia="zh-CN"/>
        </w:rPr>
        <w:t xml:space="preserve">本项目标的所属行业为工业</w:t>
      </w:r>
      <w:r>
        <w:rPr>
          <w:rFonts w:hint="eastAsia" w:ascii="宋体" w:hAnsi="宋体" w:cs="宋体"/>
          <w:bCs/>
          <w:color w:val="auto"/>
          <w:sz w:val="24"/>
          <w:szCs w:val="24"/>
          <w:highlight w:val="none"/>
          <w:lang w:val="en-US" w:eastAsia="zh-CN"/>
        </w:rPr>
        <w:t xml:space="preserve">（制造业）</w:t>
      </w:r>
      <w:r>
        <w:rPr>
          <w:rFonts w:hint="eastAsia" w:ascii="宋体" w:hAnsi="宋体" w:eastAsia="宋体" w:cs="宋体"/>
          <w:bCs/>
          <w:color w:val="auto"/>
          <w:sz w:val="24"/>
          <w:szCs w:val="24"/>
          <w:highlight w:val="none"/>
          <w:lang w:val="en-US" w:eastAsia="zh-CN"/>
        </w:rPr>
        <w:t xml:space="preserve">，根据《关于印发中小企业划型标准规定的通知》工信部联企业〔2011〕300号规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736"/>
        <w:ind w:left="0" w:right="0" w:firstLine="0"/>
        <w:jc w:val="left"/>
        <w:keepLines w:val="0"/>
        <w:keepNext w:val="0"/>
        <w:pageBreakBefore w:val="0"/>
        <w:spacing w:before="0" w:beforeAutospacing="0" w:after="0" w:afterAutospacing="0" w:line="360" w:lineRule="auto"/>
        <w:rPr>
          <w:rFonts w:hint="eastAsia" w:ascii="宋体" w:hAnsi="宋体" w:eastAsia="宋体" w:cs="宋体"/>
          <w:b/>
          <w:color w:val="auto"/>
          <w:sz w:val="24"/>
          <w:szCs w:val="30"/>
          <w:highlight w:val="none"/>
        </w:rPr>
        <w:outlineLvl w:val="1"/>
      </w:pPr>
      <w:r>
        <w:rPr>
          <w:rFonts w:hint="eastAsia" w:ascii="宋体" w:hAnsi="宋体" w:eastAsia="宋体" w:cs="宋体"/>
          <w:b/>
          <w:color w:val="auto"/>
          <w:sz w:val="24"/>
          <w:szCs w:val="30"/>
          <w:highlight w:val="none"/>
        </w:rPr>
        <w:t xml:space="preserve">七、本项目联系方式</w:t>
      </w:r>
      <w:bookmarkEnd w:id="36"/>
      <w:r/>
      <w:bookmarkEnd w:id="37"/>
      <w:r/>
      <w:bookmarkEnd w:id="38"/>
      <w:r/>
      <w:bookmarkEnd w:id="39"/>
      <w:r/>
      <w:bookmarkEnd w:id="40"/>
      <w:r/>
      <w:r/>
    </w:p>
    <w:p>
      <w:pPr>
        <w:ind w:left="0" w:right="0" w:firstLine="0"/>
        <w:jc w:val="left"/>
        <w:keepLines w:val="0"/>
        <w:keepNext w:val="0"/>
        <w:pageBreakBefore w:val="0"/>
        <w:spacing w:beforeAutospacing="0" w:afterAutospacing="0" w:line="360" w:lineRule="auto"/>
        <w:rPr>
          <w:rFonts w:hint="eastAsia" w:ascii="宋体" w:hAnsi="宋体" w:eastAsia="宋体" w:cs="宋体"/>
          <w:b/>
          <w:color w:val="auto"/>
          <w:sz w:val="24"/>
          <w:szCs w:val="24"/>
          <w:highlight w:val="none"/>
        </w:rPr>
        <w:outlineLvl w:val="2"/>
      </w:pPr>
      <w:r>
        <w:rPr>
          <w:rFonts w:hint="eastAsia" w:ascii="宋体" w:hAnsi="宋体" w:eastAsia="宋体" w:cs="宋体"/>
          <w:b/>
          <w:color w:val="auto"/>
          <w:sz w:val="24"/>
          <w:szCs w:val="24"/>
          <w:highlight w:val="none"/>
        </w:rPr>
        <w:t xml:space="preserve">1.采购人信息</w:t>
      </w:r>
      <w:r/>
    </w:p>
    <w:p>
      <w:pPr>
        <w:ind w:left="0" w:right="0" w:firstLine="480"/>
        <w:jc w:val="left"/>
        <w:keepLines w:val="0"/>
        <w:keepNext w:val="0"/>
        <w:pageBreakBefore w:val="0"/>
        <w:spacing w:beforeAutospacing="0" w:afterAutospacing="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名    称：</w:t>
      </w:r>
      <w:r>
        <w:rPr>
          <w:rFonts w:hint="eastAsia" w:ascii="宋体" w:hAnsi="宋体" w:cs="宋体"/>
          <w:color w:val="auto"/>
          <w:sz w:val="24"/>
          <w:szCs w:val="24"/>
          <w:highlight w:val="none"/>
          <w:lang w:eastAsia="zh-CN"/>
        </w:rPr>
        <w:t xml:space="preserve">无锡市药品安全检验检测中心</w:t>
      </w:r>
      <w:r/>
    </w:p>
    <w:p>
      <w:pPr>
        <w:ind w:left="0" w:right="0" w:firstLine="480"/>
        <w:jc w:val="left"/>
        <w:keepLines w:val="0"/>
        <w:keepNext w:val="0"/>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eastAsia="zh-CN"/>
        </w:rPr>
        <w:t xml:space="preserve">无锡市新吴区长江南路37号</w:t>
      </w:r>
      <w:r>
        <w:rPr>
          <w:rFonts w:hint="eastAsia" w:ascii="宋体" w:hAnsi="宋体" w:eastAsia="宋体" w:cs="宋体"/>
          <w:color w:val="auto"/>
          <w:sz w:val="24"/>
          <w:szCs w:val="24"/>
          <w:highlight w:val="none"/>
          <w:lang w:eastAsia="zh-CN"/>
        </w:rPr>
        <w:t xml:space="preserve"> </w:t>
      </w:r>
      <w:r/>
    </w:p>
    <w:p>
      <w:pPr>
        <w:ind w:left="0" w:right="0" w:firstLine="480"/>
        <w:jc w:val="left"/>
        <w:keepLines w:val="0"/>
        <w:keepNext w:val="0"/>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联系方式：</w:t>
      </w:r>
      <w:bookmarkStart w:id="41" w:name="_Toc28359009"/>
      <w:r/>
      <w:bookmarkStart w:id="42" w:name="_Toc28359086"/>
      <w:r>
        <w:rPr>
          <w:rFonts w:hint="eastAsia" w:ascii="宋体" w:hAnsi="宋体" w:eastAsia="宋体" w:cs="宋体"/>
          <w:color w:val="auto"/>
          <w:sz w:val="24"/>
          <w:szCs w:val="24"/>
          <w:highlight w:val="none"/>
        </w:rPr>
        <w:t xml:space="preserve">见“项目联系方式”</w:t>
      </w:r>
      <w:r/>
    </w:p>
    <w:p>
      <w:pPr>
        <w:ind w:left="0" w:right="0" w:firstLine="0"/>
        <w:jc w:val="left"/>
        <w:keepLines w:val="0"/>
        <w:keepNext w:val="0"/>
        <w:pageBreakBefore w:val="0"/>
        <w:spacing w:beforeAutospacing="0" w:afterAutospacing="0" w:line="360" w:lineRule="auto"/>
        <w:rPr>
          <w:rFonts w:hint="eastAsia" w:ascii="宋体" w:hAnsi="宋体" w:eastAsia="宋体" w:cs="宋体"/>
          <w:b/>
          <w:color w:val="auto"/>
          <w:sz w:val="24"/>
          <w:szCs w:val="24"/>
          <w:highlight w:val="none"/>
        </w:rPr>
        <w:outlineLvl w:val="2"/>
      </w:pPr>
      <w:r>
        <w:rPr>
          <w:rFonts w:hint="eastAsia" w:ascii="宋体" w:hAnsi="宋体" w:eastAsia="宋体" w:cs="宋体"/>
          <w:b/>
          <w:color w:val="auto"/>
          <w:sz w:val="24"/>
          <w:szCs w:val="24"/>
          <w:highlight w:val="none"/>
        </w:rPr>
        <w:t xml:space="preserve">2.</w:t>
      </w:r>
      <w:bookmarkEnd w:id="41"/>
      <w:r/>
      <w:bookmarkEnd w:id="42"/>
      <w:r>
        <w:rPr>
          <w:rFonts w:hint="eastAsia" w:ascii="宋体" w:hAnsi="宋体" w:eastAsia="宋体" w:cs="宋体"/>
          <w:b/>
          <w:color w:val="auto"/>
          <w:sz w:val="24"/>
          <w:szCs w:val="24"/>
          <w:highlight w:val="none"/>
        </w:rPr>
        <w:t xml:space="preserve">采购代理机构信息</w:t>
      </w:r>
      <w:r/>
    </w:p>
    <w:p>
      <w:pPr>
        <w:ind w:left="0" w:right="0" w:firstLine="480"/>
        <w:jc w:val="left"/>
        <w:keepLines w:val="0"/>
        <w:keepNext w:val="0"/>
        <w:pageBreakBefore w:val="0"/>
        <w:spacing w:beforeAutospacing="0" w:afterAutospacing="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名    称：</w:t>
      </w:r>
      <w:r>
        <w:rPr>
          <w:rFonts w:hint="eastAsia" w:ascii="宋体" w:hAnsi="宋体" w:eastAsia="宋体" w:cs="宋体"/>
          <w:color w:val="auto"/>
          <w:sz w:val="24"/>
          <w:szCs w:val="24"/>
          <w:highlight w:val="none"/>
          <w:lang w:eastAsia="zh-CN"/>
        </w:rPr>
        <w:t xml:space="preserve">江苏建协全过程工程咨询有限公司</w:t>
      </w:r>
      <w:r/>
    </w:p>
    <w:p>
      <w:pPr>
        <w:ind w:left="0" w:right="0" w:firstLine="480"/>
        <w:jc w:val="left"/>
        <w:keepLines w:val="0"/>
        <w:keepNext w:val="0"/>
        <w:pageBreakBefore w:val="0"/>
        <w:spacing w:beforeAutospacing="0" w:afterAutospacing="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地    址：</w:t>
      </w:r>
      <w:r>
        <w:rPr>
          <w:rFonts w:hint="eastAsia" w:ascii="宋体" w:hAnsi="宋体" w:eastAsia="宋体" w:cs="宋体"/>
          <w:color w:val="auto"/>
          <w:sz w:val="24"/>
          <w:szCs w:val="24"/>
          <w:highlight w:val="none"/>
          <w:lang w:eastAsia="zh-CN"/>
        </w:rPr>
        <w:t xml:space="preserve">无锡市滨湖区蠡湖大道2018号13号楼3楼代理部</w:t>
      </w:r>
      <w:r/>
    </w:p>
    <w:p>
      <w:pPr>
        <w:ind w:left="0" w:right="0" w:firstLine="480"/>
        <w:jc w:val="left"/>
        <w:keepLines w:val="0"/>
        <w:keepNext w:val="0"/>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联系方式：见“项目联系方式”</w:t>
      </w:r>
      <w:r/>
    </w:p>
    <w:p>
      <w:pPr>
        <w:ind w:left="0" w:right="0" w:firstLine="0"/>
        <w:jc w:val="left"/>
        <w:keepLines w:val="0"/>
        <w:keepNext w:val="0"/>
        <w:pageBreakBefore w:val="0"/>
        <w:spacing w:beforeAutospacing="0" w:afterAutospacing="0" w:line="360" w:lineRule="auto"/>
        <w:rPr>
          <w:rFonts w:hint="eastAsia" w:ascii="宋体" w:hAnsi="宋体" w:eastAsia="宋体" w:cs="宋体"/>
          <w:b/>
          <w:color w:val="auto"/>
          <w:sz w:val="24"/>
          <w:szCs w:val="24"/>
          <w:highlight w:val="none"/>
        </w:rPr>
        <w:outlineLvl w:val="2"/>
      </w:pPr>
      <w:r>
        <w:rPr>
          <w:rFonts w:hint="eastAsia" w:ascii="宋体" w:hAnsi="宋体" w:eastAsia="宋体" w:cs="宋体"/>
          <w:b/>
          <w:color w:val="auto"/>
          <w:sz w:val="24"/>
          <w:szCs w:val="24"/>
          <w:highlight w:val="none"/>
        </w:rPr>
        <w:t xml:space="preserve">3.项目联系方式</w:t>
      </w:r>
      <w:r/>
    </w:p>
    <w:p>
      <w:pPr>
        <w:ind w:left="0" w:right="0" w:firstLine="480"/>
        <w:jc w:val="left"/>
        <w:keepLines w:val="0"/>
        <w:keepNext w:val="0"/>
        <w:pageBreakBefore w:val="0"/>
        <w:spacing w:beforeAutospacing="0" w:afterAutospacing="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采购人项目咨询联系人：</w:t>
      </w:r>
      <w:r>
        <w:rPr>
          <w:rFonts w:hint="eastAsia" w:ascii="宋体" w:hAnsi="宋体" w:cs="宋体"/>
          <w:color w:val="auto"/>
          <w:sz w:val="24"/>
          <w:szCs w:val="24"/>
          <w:highlight w:val="none"/>
          <w:lang w:eastAsia="zh-CN"/>
        </w:rPr>
        <w:t xml:space="preserve">葛晓莹</w:t>
      </w:r>
      <w:r>
        <w:rPr>
          <w:rFonts w:hint="eastAsia" w:ascii="宋体" w:hAnsi="宋体" w:eastAsia="宋体" w:cs="宋体"/>
          <w:color w:val="auto"/>
          <w:sz w:val="24"/>
          <w:szCs w:val="24"/>
          <w:highlight w:val="none"/>
        </w:rPr>
        <w:t xml:space="preserve">；电话</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eastAsia="zh-CN"/>
        </w:rPr>
        <w:t xml:space="preserve">0510-66112799</w:t>
      </w:r>
      <w:r/>
    </w:p>
    <w:p>
      <w:pPr>
        <w:pStyle w:val="820"/>
        <w:ind w:left="0" w:right="0" w:firstLine="480"/>
        <w:jc w:val="left"/>
        <w:keepLines w:val="0"/>
        <w:keepNext w:val="0"/>
        <w:pageBreakBefore w:val="0"/>
        <w:spacing w:beforeAutospacing="0" w:afterAutospacing="0"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项目联系人：</w:t>
      </w:r>
      <w:r>
        <w:rPr>
          <w:rFonts w:hint="eastAsia" w:ascii="宋体" w:hAnsi="宋体" w:eastAsia="宋体" w:cs="宋体"/>
          <w:color w:val="auto"/>
          <w:sz w:val="24"/>
          <w:szCs w:val="24"/>
          <w:highlight w:val="none"/>
          <w:lang w:val="en-US" w:eastAsia="zh-CN"/>
        </w:rPr>
        <w:t xml:space="preserve">夏超、徐颖</w:t>
      </w:r>
      <w:r>
        <w:rPr>
          <w:rFonts w:hint="eastAsia" w:ascii="宋体" w:hAnsi="宋体" w:eastAsia="宋体" w:cs="宋体"/>
          <w:color w:val="auto"/>
          <w:sz w:val="24"/>
          <w:szCs w:val="24"/>
          <w:highlight w:val="none"/>
        </w:rPr>
        <w:t xml:space="preserve">；电话：0510-</w:t>
      </w:r>
      <w:r>
        <w:rPr>
          <w:rFonts w:hint="eastAsia" w:ascii="宋体" w:hAnsi="宋体" w:eastAsia="宋体" w:cs="宋体"/>
          <w:color w:val="auto"/>
          <w:sz w:val="24"/>
          <w:szCs w:val="24"/>
          <w:highlight w:val="none"/>
          <w:lang w:val="en-US" w:eastAsia="zh-CN"/>
        </w:rPr>
        <w:t xml:space="preserve">82835960</w:t>
      </w:r>
      <w:r/>
    </w:p>
    <w:p>
      <w:pPr>
        <w:pStyle w:val="736"/>
        <w:ind w:left="0" w:right="0" w:firstLine="0"/>
        <w:jc w:val="left"/>
        <w:keepLines w:val="0"/>
        <w:keepNext w:val="0"/>
        <w:pageBreakBefore w:val="0"/>
        <w:spacing w:before="0" w:beforeAutospacing="0" w:after="0" w:afterAutospacing="0" w:line="360" w:lineRule="auto"/>
        <w:rPr>
          <w:rFonts w:hint="eastAsia" w:ascii="宋体" w:hAnsi="宋体" w:eastAsia="宋体" w:cs="宋体"/>
          <w:b/>
          <w:color w:val="auto"/>
          <w:sz w:val="24"/>
          <w:szCs w:val="30"/>
          <w:highlight w:val="none"/>
        </w:rPr>
        <w:outlineLvl w:val="1"/>
      </w:pPr>
      <w:r>
        <w:rPr>
          <w:rFonts w:hint="eastAsia" w:ascii="宋体" w:hAnsi="宋体" w:eastAsia="宋体" w:cs="宋体"/>
          <w:b/>
          <w:color w:val="auto"/>
          <w:sz w:val="24"/>
          <w:szCs w:val="30"/>
          <w:highlight w:val="none"/>
        </w:rPr>
        <w:t xml:space="preserve">八、其他</w:t>
      </w:r>
      <w:r/>
    </w:p>
    <w:p>
      <w:pPr>
        <w:ind w:left="0" w:right="0" w:firstLine="480"/>
        <w:jc w:val="left"/>
        <w:keepLines w:val="0"/>
        <w:keepNext w:val="0"/>
        <w:pageBreakBefore w:val="0"/>
        <w:spacing w:beforeAutospacing="0" w:afterAutospacing="0"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（一）供应商“账号注册”及CA办理</w:t>
      </w:r>
      <w:r/>
    </w:p>
    <w:p>
      <w:pPr>
        <w:ind w:left="0" w:right="0" w:firstLine="480"/>
        <w:jc w:val="left"/>
        <w:keepLines w:val="0"/>
        <w:keepNext w:val="0"/>
        <w:pageBreakBefore w:val="0"/>
        <w:spacing w:beforeAutospacing="0" w:afterAutospacing="0"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1.请有意参加本项目采购活动的供应商按以下流程进行操作：</w:t>
      </w:r>
      <w:r/>
    </w:p>
    <w:p>
      <w:pPr>
        <w:ind w:left="0" w:right="0" w:firstLine="480"/>
        <w:jc w:val="left"/>
        <w:keepLines w:val="0"/>
        <w:keepNext w:val="0"/>
        <w:pageBreakBefore w:val="0"/>
        <w:spacing w:beforeAutospacing="0" w:afterAutospacing="0"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访问“江苏政府采购网”点击“</w:t>
      </w:r>
      <w:r>
        <w:rPr>
          <w:rFonts w:hint="eastAsia" w:ascii="宋体" w:hAnsi="宋体" w:eastAsia="宋体" w:cs="宋体"/>
          <w:color w:val="auto"/>
          <w:sz w:val="24"/>
          <w:szCs w:val="24"/>
          <w:highlight w:val="none"/>
          <w:lang w:val="en-US" w:eastAsia="zh-CN"/>
        </w:rPr>
        <w:t xml:space="preserve">办事指南</w:t>
      </w:r>
      <w:r>
        <w:rPr>
          <w:rFonts w:hint="eastAsia" w:ascii="宋体" w:hAnsi="宋体" w:eastAsia="宋体" w:cs="宋体"/>
          <w:color w:val="auto"/>
          <w:sz w:val="24"/>
          <w:szCs w:val="24"/>
          <w:highlight w:val="none"/>
        </w:rPr>
        <w:t xml:space="preserve">”选择供应商版块，点击“用户注册”按钮，进行账号注册，注册完成后需在</w:t>
      </w:r>
      <w:r>
        <w:rPr>
          <w:rFonts w:hint="eastAsia" w:ascii="宋体" w:hAnsi="宋体" w:eastAsia="宋体" w:cs="宋体"/>
          <w:bCs/>
          <w:color w:val="auto"/>
          <w:sz w:val="24"/>
          <w:szCs w:val="24"/>
          <w:highlight w:val="none"/>
        </w:rPr>
        <w:t xml:space="preserve">系统</w:t>
      </w:r>
      <w:r>
        <w:rPr>
          <w:rFonts w:hint="eastAsia" w:ascii="宋体" w:hAnsi="宋体" w:eastAsia="宋体" w:cs="宋体"/>
          <w:color w:val="auto"/>
          <w:sz w:val="24"/>
          <w:szCs w:val="24"/>
          <w:highlight w:val="none"/>
        </w:rPr>
        <w:t xml:space="preserve">中</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办理“意源”CA数字证书和“方正”电子签章（办理地址：无锡市滨湖区观山路199号12号楼</w:t>
      </w: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rPr>
        <w:t xml:space="preserve">楼</w:t>
      </w:r>
      <w:r>
        <w:rPr>
          <w:rFonts w:hint="eastAsia" w:ascii="宋体" w:hAnsi="宋体" w:eastAsia="宋体" w:cs="宋体"/>
          <w:color w:val="auto"/>
          <w:sz w:val="24"/>
          <w:szCs w:val="24"/>
          <w:highlight w:val="none"/>
          <w:lang w:val="en-US" w:eastAsia="zh-CN"/>
        </w:rPr>
        <w:t xml:space="preserve">大厅</w:t>
      </w:r>
      <w:r>
        <w:rPr>
          <w:rFonts w:hint="eastAsia" w:ascii="宋体" w:hAnsi="宋体" w:eastAsia="宋体" w:cs="宋体"/>
          <w:color w:val="auto"/>
          <w:sz w:val="24"/>
          <w:szCs w:val="24"/>
          <w:highlight w:val="none"/>
        </w:rPr>
        <w:t xml:space="preserve">），办理指南链接：http://jsxcmm.com/help/help.html。</w:t>
      </w:r>
      <w:r/>
    </w:p>
    <w:p>
      <w:pPr>
        <w:ind w:left="0" w:right="0" w:firstLine="480"/>
        <w:jc w:val="left"/>
        <w:keepLines w:val="0"/>
        <w:keepNext w:val="0"/>
        <w:pageBreakBefore w:val="0"/>
        <w:spacing w:beforeAutospacing="0" w:afterAutospacing="0"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CA驱动下载：</w:t>
      </w:r>
      <w:r/>
    </w:p>
    <w:p>
      <w:pPr>
        <w:ind w:left="0" w:right="0" w:firstLine="480"/>
        <w:jc w:val="left"/>
        <w:keepLines w:val="0"/>
        <w:keepNext w:val="0"/>
        <w:pageBreakBefore w:val="0"/>
        <w:spacing w:beforeAutospacing="0" w:afterAutospacing="0"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szCs w:val="24"/>
          <w:highlight w:val="none"/>
        </w:rPr>
        <w:t xml:space="preserve">账号</w:t>
      </w:r>
      <w:r>
        <w:rPr>
          <w:rFonts w:hint="eastAsia" w:ascii="宋体" w:hAnsi="宋体" w:eastAsia="宋体" w:cs="宋体"/>
          <w:color w:val="auto"/>
          <w:sz w:val="24"/>
          <w:szCs w:val="24"/>
          <w:highlight w:val="none"/>
          <w:lang w:eastAsia="zh-CN"/>
        </w:rPr>
        <w:t xml:space="preserve">登录</w:t>
      </w:r>
      <w:r>
        <w:rPr>
          <w:rFonts w:hint="eastAsia" w:ascii="宋体" w:hAnsi="宋体" w:eastAsia="宋体" w:cs="宋体"/>
          <w:color w:val="auto"/>
          <w:sz w:val="24"/>
          <w:szCs w:val="24"/>
          <w:highlight w:val="none"/>
        </w:rPr>
        <w:t xml:space="preserve">页面，点击“驱动下载”链接中的“政务CA、方正签章控件驱动安装包及安装说明”可以直接下载驱动安装包，安装包中附有驱动安装手册。</w:t>
      </w:r>
      <w:r/>
    </w:p>
    <w:p>
      <w:pPr>
        <w:ind w:left="0" w:right="0" w:firstLine="480"/>
        <w:jc w:val="left"/>
        <w:keepLines w:val="0"/>
        <w:keepNext w:val="0"/>
        <w:pageBreakBefore w:val="0"/>
        <w:spacing w:beforeAutospacing="0" w:afterAutospacing="0"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技术服务电话：0510-81827781（服务时间：工作日 9:00-11:30,13:00-17:00）</w:t>
      </w:r>
      <w:r/>
    </w:p>
    <w:p>
      <w:pPr>
        <w:ind w:left="0" w:right="0" w:firstLine="480"/>
        <w:jc w:val="left"/>
        <w:keepLines w:val="0"/>
        <w:keepNext w:val="0"/>
        <w:pageBreakBefore w:val="0"/>
        <w:spacing w:beforeAutospacing="0" w:afterAutospacing="0"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2.完成</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szCs w:val="24"/>
          <w:highlight w:val="none"/>
        </w:rPr>
        <w:t xml:space="preserve">账号注册的供应商方可在</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szCs w:val="24"/>
          <w:highlight w:val="none"/>
        </w:rPr>
        <w:t xml:space="preserve">中进行CA绑定。登录</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szCs w:val="24"/>
          <w:highlight w:val="none"/>
        </w:rPr>
        <w:t xml:space="preserve">，插入CA后，点击【账号设置】——【绑定CA】。</w:t>
      </w:r>
      <w:r/>
    </w:p>
    <w:p>
      <w:pPr>
        <w:ind w:left="0" w:right="0" w:firstLine="480"/>
        <w:jc w:val="left"/>
        <w:keepLines w:val="0"/>
        <w:keepNext w:val="0"/>
        <w:pageBreakBefore w:val="0"/>
        <w:spacing w:beforeAutospacing="0" w:afterAutospacing="0"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3.供应商应按上述要求提供相关材料信息，所提供的材料应均是真实的、准确的，若有违背，供应商自行承担由此而产生的一切后果。</w:t>
      </w:r>
      <w:r/>
    </w:p>
    <w:p>
      <w:pPr>
        <w:ind w:left="0" w:right="0" w:firstLine="480"/>
        <w:jc w:val="left"/>
        <w:keepLines w:val="0"/>
        <w:keepNext w:val="0"/>
        <w:pageBreakBefore w:val="0"/>
        <w:spacing w:beforeAutospacing="0" w:afterAutospacing="0"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如供应商未按上述要求操作，由此所产生的损失及风险由供应商自行承担。具体操作步骤详见《“苏采云”系统供应商操作手册》（以下简称《操作手册》），下载地址：无锡市政府采购网——资料下载——苏采云——</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HYPERLINK "http://cz.wuxi.gov.cn/doc/2023/10/11/4080287.shtml" \t "_blank" \o "\“苏采云\”系统供应商操作手册"</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“苏采云”系统供应商操作手册</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w:t>
      </w:r>
      <w:r/>
    </w:p>
    <w:p>
      <w:pPr>
        <w:ind w:left="0" w:right="0" w:firstLine="480"/>
        <w:jc w:val="left"/>
        <w:keepLines w:val="0"/>
        <w:keepNext w:val="0"/>
        <w:pageBreakBefore w:val="0"/>
        <w:spacing w:beforeAutospacing="0" w:afterAutospacing="0"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技术支持QQ：孙先生：442456465；王先生：1476328133。</w:t>
      </w:r>
      <w:r/>
    </w:p>
    <w:p>
      <w:pPr>
        <w:ind w:left="0" w:right="0" w:firstLine="480"/>
        <w:jc w:val="left"/>
        <w:keepLines w:val="0"/>
        <w:keepNext w:val="0"/>
        <w:pageBreakBefore w:val="0"/>
        <w:spacing w:beforeAutospacing="0" w:afterAutospacing="0"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（二）完成项目参与，获取招标文件</w:t>
      </w:r>
      <w:r/>
    </w:p>
    <w:p>
      <w:pPr>
        <w:ind w:left="0" w:right="0" w:firstLine="480"/>
        <w:jc w:val="left"/>
        <w:keepLines w:val="0"/>
        <w:keepNext w:val="0"/>
        <w:pageBreakBefore w:val="0"/>
        <w:spacing w:beforeAutospacing="0" w:afterAutospacing="0"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供应商可在项目招标公告附件中查看公开招标文件，如确定参加本次采购活动，必须在</w:t>
      </w:r>
      <w:r>
        <w:rPr>
          <w:rFonts w:hint="eastAsia" w:ascii="宋体" w:hAnsi="宋体" w:eastAsia="宋体" w:cs="宋体"/>
          <w:bCs/>
          <w:color w:val="auto"/>
          <w:sz w:val="24"/>
          <w:szCs w:val="24"/>
          <w:highlight w:val="none"/>
        </w:rPr>
        <w:t xml:space="preserve">招标文件提供期限</w:t>
      </w:r>
      <w:r>
        <w:rPr>
          <w:rFonts w:hint="eastAsia" w:ascii="宋体" w:hAnsi="宋体" w:eastAsia="宋体" w:cs="宋体"/>
          <w:color w:val="auto"/>
          <w:sz w:val="24"/>
          <w:szCs w:val="24"/>
          <w:highlight w:val="none"/>
        </w:rPr>
        <w:t xml:space="preserve">内从</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szCs w:val="24"/>
          <w:highlight w:val="none"/>
        </w:rPr>
        <w:t xml:space="preserve">中下载文件（“项目参与”——“采购项目参与”找到需要获取招标文件的项目，点击“我要参与”——“参与投标”——“下载文件”），完成项目参与，将</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szCs w:val="24"/>
          <w:highlight w:val="none"/>
        </w:rPr>
        <w:t xml:space="preserve">中下载的招标文件（后缀名为“.kedt”）导入到“政府采购客户端”，离线按要求编制并加密投标文件（使用“CA数字证书”），导出加密的投标文件（后缀名为zip，不得超过150M）并在</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szCs w:val="24"/>
          <w:highlight w:val="none"/>
        </w:rPr>
        <w:t xml:space="preserve">上传该加密的投标文件，对招标文件各项内容做出实质性响应，否则其投标文件无效。</w:t>
      </w:r>
      <w:r/>
    </w:p>
    <w:p>
      <w:pPr>
        <w:ind w:left="0" w:right="0" w:firstLine="480"/>
        <w:jc w:val="left"/>
        <w:keepLines w:val="0"/>
        <w:keepNext w:val="0"/>
        <w:pageBreakBefore w:val="0"/>
        <w:spacing w:beforeAutospacing="0" w:afterAutospacing="0" w:line="360" w:lineRule="auto"/>
        <w:tabs>
          <w:tab w:val="left" w:pos="90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（三）有关本次采购的事项若存在变动或修改，敬请及时关注</w:t>
      </w:r>
      <w:r>
        <w:rPr>
          <w:rFonts w:hint="eastAsia" w:ascii="宋体" w:hAnsi="宋体" w:eastAsia="宋体" w:cs="宋体"/>
          <w:bCs/>
          <w:color w:val="auto"/>
          <w:sz w:val="24"/>
          <w:szCs w:val="24"/>
          <w:highlight w:val="none"/>
          <w:lang w:eastAsia="zh-CN"/>
        </w:rPr>
        <w:t xml:space="preserve">江苏建协全过程工程咨询有限公司</w:t>
      </w:r>
      <w:r>
        <w:rPr>
          <w:rFonts w:hint="eastAsia" w:ascii="宋体" w:hAnsi="宋体" w:eastAsia="宋体" w:cs="宋体"/>
          <w:bCs/>
          <w:color w:val="auto"/>
          <w:sz w:val="24"/>
          <w:szCs w:val="24"/>
          <w:highlight w:val="none"/>
        </w:rPr>
        <w:t xml:space="preserve">在“江苏政府采购网”发布的更正公告。</w:t>
      </w:r>
      <w:r/>
    </w:p>
    <w:p>
      <w:pPr>
        <w:ind w:left="0" w:right="0" w:firstLine="480"/>
        <w:jc w:val="left"/>
        <w:keepLines w:val="0"/>
        <w:keepNext w:val="0"/>
        <w:pageBreakBefore w:val="0"/>
        <w:spacing w:beforeAutospacing="0" w:afterAutospacing="0" w:line="360" w:lineRule="auto"/>
        <w:tabs>
          <w:tab w:val="left" w:pos="900" w:leader="none"/>
        </w:tabs>
        <w:rPr>
          <w:rFonts w:hint="eastAsia" w:ascii="宋体" w:hAnsi="宋体" w:eastAsia="宋体" w:cs="宋体"/>
          <w:bCs/>
          <w:color w:val="auto"/>
          <w:sz w:val="24"/>
          <w:szCs w:val="24"/>
          <w:highlight w:val="none"/>
          <w:shd w:val="clear" w:color="ffffff" w:fill="d9d9d9"/>
        </w:rPr>
      </w:pPr>
      <w:r>
        <w:rPr>
          <w:rFonts w:hint="eastAsia" w:ascii="宋体" w:hAnsi="宋体" w:eastAsia="宋体" w:cs="宋体"/>
          <w:bCs/>
          <w:color w:val="auto"/>
          <w:sz w:val="24"/>
          <w:szCs w:val="24"/>
          <w:highlight w:val="none"/>
        </w:rPr>
        <w:t xml:space="preserve">（四）本次采购不收取投标保证金。</w:t>
      </w:r>
      <w:r/>
    </w:p>
    <w:p>
      <w:pPr>
        <w:ind w:left="0" w:right="0" w:firstLine="0"/>
        <w:jc w:val="center"/>
        <w:pageBreakBefore w:val="0"/>
        <w:spacing w:before="200" w:beforeAutospacing="0" w:after="200" w:afterAutospacing="0" w:line="240" w:lineRule="auto"/>
        <w:tabs>
          <w:tab w:val="left" w:pos="1440" w:leader="none"/>
        </w:tabs>
        <w:rPr>
          <w:rFonts w:hint="eastAsia" w:ascii="宋体" w:hAnsi="宋体" w:eastAsia="宋体" w:cs="宋体"/>
          <w:b/>
          <w:color w:val="auto"/>
          <w:sz w:val="24"/>
          <w:szCs w:val="36"/>
          <w:highlight w:val="none"/>
        </w:rPr>
        <w:outlineLvl w:val="0"/>
      </w:pPr>
      <w:r>
        <w:rPr>
          <w:rFonts w:hint="eastAsia" w:ascii="宋体" w:hAnsi="宋体" w:eastAsia="宋体" w:cs="宋体"/>
          <w:b/>
          <w:bCs/>
          <w:color w:val="auto"/>
          <w:sz w:val="24"/>
          <w:szCs w:val="24"/>
          <w:highlight w:val="none"/>
          <w:shd w:val="clear" w:color="ffffff" w:fill="d9d9d9"/>
        </w:rPr>
        <w:br w:type="page" w:clear="all"/>
      </w:r>
      <w:bookmarkStart w:id="43" w:name="_Toc120614211"/>
      <w:r/>
      <w:bookmarkStart w:id="44" w:name="_Toc18519"/>
      <w:r>
        <w:rPr>
          <w:rFonts w:hint="eastAsia" w:ascii="宋体" w:hAnsi="宋体" w:eastAsia="宋体" w:cs="宋体"/>
          <w:b/>
          <w:bCs/>
          <w:color w:val="auto"/>
          <w:sz w:val="32"/>
          <w:szCs w:val="32"/>
          <w:highlight w:val="none"/>
        </w:rPr>
        <w:t xml:space="preserve">第二章  </w:t>
      </w:r>
      <w:bookmarkEnd w:id="1"/>
      <w:r/>
      <w:bookmarkEnd w:id="2"/>
      <w:r/>
      <w:bookmarkEnd w:id="3"/>
      <w:r/>
      <w:bookmarkEnd w:id="4"/>
      <w:r/>
      <w:bookmarkEnd w:id="5"/>
      <w:r/>
      <w:bookmarkEnd w:id="43"/>
      <w:r/>
      <w:bookmarkStart w:id="45" w:name="_Toc513029202"/>
      <w:r/>
      <w:bookmarkStart w:id="46" w:name="_Toc120614213"/>
      <w:r/>
      <w:bookmarkStart w:id="47" w:name="_Toc16938518"/>
      <w:r/>
      <w:bookmarkStart w:id="48" w:name="_Toc20823274"/>
      <w:r>
        <w:rPr>
          <w:rFonts w:hint="eastAsia" w:ascii="宋体" w:hAnsi="宋体" w:eastAsia="宋体" w:cs="宋体"/>
          <w:b/>
          <w:bCs/>
          <w:color w:val="auto"/>
          <w:sz w:val="32"/>
          <w:szCs w:val="32"/>
          <w:highlight w:val="none"/>
        </w:rPr>
        <w:t xml:space="preserve">投标人须知</w:t>
      </w:r>
      <w:bookmarkEnd w:id="44"/>
      <w:r/>
      <w:bookmarkEnd w:id="45"/>
      <w:r/>
      <w:bookmarkEnd w:id="46"/>
      <w:r/>
      <w:bookmarkEnd w:id="47"/>
      <w:r/>
      <w:bookmarkEnd w:id="48"/>
      <w:r/>
      <w:r/>
    </w:p>
    <w:p>
      <w:pPr>
        <w:pStyle w:val="736"/>
        <w:ind w:left="0" w:right="0" w:firstLine="0"/>
        <w:jc w:val="left"/>
        <w:keepLines w:val="0"/>
        <w:keepNext w:val="0"/>
        <w:pageBreakBefore w:val="0"/>
        <w:spacing w:before="0" w:beforeAutospacing="0" w:after="0" w:afterAutospacing="0" w:line="360" w:lineRule="auto"/>
        <w:widowControl w:val="off"/>
        <w:rPr>
          <w:rFonts w:hint="eastAsia" w:ascii="宋体" w:hAnsi="宋体" w:eastAsia="宋体" w:cs="宋体"/>
          <w:b/>
          <w:color w:val="auto"/>
          <w:sz w:val="24"/>
          <w:szCs w:val="30"/>
          <w:highlight w:val="none"/>
        </w:rPr>
        <w:outlineLvl w:val="1"/>
      </w:pPr>
      <w:r/>
      <w:bookmarkStart w:id="49" w:name="_Toc120614214"/>
      <w:r/>
      <w:bookmarkStart w:id="50" w:name="_Toc20823275"/>
      <w:r/>
      <w:bookmarkStart w:id="51" w:name="_Toc16938519"/>
      <w:r/>
      <w:bookmarkStart w:id="52" w:name="_Toc513029203"/>
      <w:r>
        <w:rPr>
          <w:rFonts w:hint="eastAsia" w:ascii="宋体" w:hAnsi="宋体" w:eastAsia="宋体" w:cs="宋体"/>
          <w:b/>
          <w:color w:val="auto"/>
          <w:sz w:val="24"/>
          <w:szCs w:val="30"/>
          <w:highlight w:val="none"/>
        </w:rPr>
        <w:t xml:space="preserve">一、总则</w:t>
      </w:r>
      <w:bookmarkEnd w:id="49"/>
      <w:r/>
      <w:bookmarkEnd w:id="50"/>
      <w:r/>
      <w:bookmarkEnd w:id="51"/>
      <w:r/>
      <w:bookmarkEnd w:id="52"/>
      <w:r/>
      <w:r/>
    </w:p>
    <w:p>
      <w:pPr>
        <w:pStyle w:val="738"/>
        <w:ind w:left="0" w:right="0" w:firstLine="482"/>
        <w:jc w:val="left"/>
        <w:keepLines w:val="0"/>
        <w:keepNext w:val="0"/>
        <w:pageBreakBefore w:val="0"/>
        <w:spacing w:before="0" w:beforeAutospacing="0" w:after="0" w:afterAutospacing="0" w:line="360" w:lineRule="auto"/>
        <w:widowControl w:val="off"/>
        <w:rPr>
          <w:rFonts w:hint="eastAsia" w:ascii="宋体" w:hAnsi="宋体" w:eastAsia="宋体" w:cs="宋体"/>
          <w:bCs w:val="0"/>
          <w:color w:val="auto"/>
          <w:sz w:val="24"/>
          <w:highlight w:val="none"/>
        </w:rPr>
      </w:pPr>
      <w:r/>
      <w:bookmarkStart w:id="53" w:name="_Hlt16619475"/>
      <w:r/>
      <w:bookmarkEnd w:id="53"/>
      <w:r/>
      <w:bookmarkStart w:id="54" w:name="_Toc20823276"/>
      <w:r/>
      <w:bookmarkStart w:id="55" w:name="_Toc16938520"/>
      <w:r/>
      <w:bookmarkStart w:id="56" w:name="_Toc513029204"/>
      <w:r>
        <w:rPr>
          <w:rFonts w:hint="eastAsia" w:ascii="宋体" w:hAnsi="宋体" w:eastAsia="宋体" w:cs="宋体"/>
          <w:bCs w:val="0"/>
          <w:color w:val="auto"/>
          <w:sz w:val="24"/>
          <w:highlight w:val="none"/>
        </w:rPr>
        <w:t xml:space="preserve">1.招标方式</w:t>
      </w:r>
      <w:bookmarkEnd w:id="54"/>
      <w:r/>
      <w:bookmarkEnd w:id="55"/>
      <w:r/>
      <w:bookmarkEnd w:id="56"/>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1.1本次招标采取公开招标方式，本招标文件仅适用于招标公告中所述项目。</w:t>
      </w:r>
      <w:r/>
    </w:p>
    <w:p>
      <w:pPr>
        <w:pStyle w:val="738"/>
        <w:ind w:left="0" w:right="0" w:firstLine="482"/>
        <w:jc w:val="left"/>
        <w:keepLines w:val="0"/>
        <w:keepNext w:val="0"/>
        <w:pageBreakBefore w:val="0"/>
        <w:spacing w:before="0" w:beforeAutospacing="0" w:after="0" w:afterAutospacing="0" w:line="360" w:lineRule="auto"/>
        <w:widowControl w:val="off"/>
        <w:rPr>
          <w:rFonts w:hint="eastAsia" w:ascii="宋体" w:hAnsi="宋体" w:eastAsia="宋体" w:cs="宋体"/>
          <w:bCs w:val="0"/>
          <w:color w:val="auto"/>
          <w:sz w:val="24"/>
          <w:highlight w:val="none"/>
        </w:rPr>
      </w:pPr>
      <w:r/>
      <w:bookmarkStart w:id="57" w:name="_Toc513029205"/>
      <w:r/>
      <w:bookmarkStart w:id="58" w:name="_Toc16938521"/>
      <w:r/>
      <w:bookmarkStart w:id="59" w:name="_Toc20823277"/>
      <w:r>
        <w:rPr>
          <w:rFonts w:hint="eastAsia" w:ascii="宋体" w:hAnsi="宋体" w:eastAsia="宋体" w:cs="宋体"/>
          <w:bCs w:val="0"/>
          <w:color w:val="auto"/>
          <w:sz w:val="24"/>
          <w:highlight w:val="none"/>
        </w:rPr>
        <w:t xml:space="preserve">2.</w:t>
      </w:r>
      <w:bookmarkEnd w:id="57"/>
      <w:r/>
      <w:bookmarkEnd w:id="58"/>
      <w:r/>
      <w:bookmarkEnd w:id="59"/>
      <w:r>
        <w:rPr>
          <w:rFonts w:hint="eastAsia" w:ascii="宋体" w:hAnsi="宋体" w:eastAsia="宋体" w:cs="宋体"/>
          <w:bCs w:val="0"/>
          <w:color w:val="auto"/>
          <w:sz w:val="24"/>
          <w:highlight w:val="none"/>
        </w:rPr>
        <w:t xml:space="preserve">采购人、采购代理机构、投标人、联合体</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2.1采购人、采购代理机构：指依法进行政府采购的国家机关、事业单位、团体组织，及其委托的采购代理机构。本项目采购人、采购代理机构见第一章《投标邀请》。</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2.2投标人（也称“供应商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申请人”）：是指响应招标、参加投标竞争的法人、其他组织或者自然人。合格的投标人应满足招标公告中供应商的资格要求以及本文件实质性要求和条件的规定。</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738"/>
        <w:ind w:left="0" w:right="0" w:firstLine="482"/>
        <w:jc w:val="left"/>
        <w:keepLines w:val="0"/>
        <w:keepNext w:val="0"/>
        <w:pageBreakBefore w:val="0"/>
        <w:spacing w:before="0" w:beforeAutospacing="0" w:after="0" w:afterAutospacing="0" w:line="360" w:lineRule="auto"/>
        <w:widowControl w:val="off"/>
        <w:rPr>
          <w:rFonts w:hint="eastAsia" w:ascii="宋体" w:hAnsi="宋体" w:eastAsia="宋体" w:cs="宋体"/>
          <w:bCs w:val="0"/>
          <w:color w:val="auto"/>
          <w:sz w:val="24"/>
          <w:highlight w:val="none"/>
        </w:rPr>
      </w:pPr>
      <w:r/>
      <w:bookmarkStart w:id="60" w:name="_Toc20823278"/>
      <w:r/>
      <w:bookmarkStart w:id="61" w:name="_Toc513029206"/>
      <w:r/>
      <w:bookmarkStart w:id="62" w:name="_Toc16938522"/>
      <w:r>
        <w:rPr>
          <w:rFonts w:hint="eastAsia" w:ascii="宋体" w:hAnsi="宋体" w:eastAsia="宋体" w:cs="宋体"/>
          <w:bCs w:val="0"/>
          <w:color w:val="auto"/>
          <w:sz w:val="24"/>
          <w:highlight w:val="none"/>
        </w:rPr>
        <w:t xml:space="preserve">3.适用法律</w:t>
      </w:r>
      <w:bookmarkEnd w:id="60"/>
      <w:r/>
      <w:bookmarkEnd w:id="61"/>
      <w:r/>
      <w:bookmarkEnd w:id="62"/>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 本次招标及由此产生的合同受中华人民共和国有关的法律法规制约和保护。</w:t>
      </w:r>
      <w:r/>
    </w:p>
    <w:p>
      <w:pPr>
        <w:pStyle w:val="738"/>
        <w:ind w:left="0" w:right="0" w:firstLine="482"/>
        <w:jc w:val="left"/>
        <w:keepLines w:val="0"/>
        <w:keepNext w:val="0"/>
        <w:pageBreakBefore w:val="0"/>
        <w:spacing w:before="0" w:beforeAutospacing="0" w:after="0" w:afterAutospacing="0" w:line="360" w:lineRule="auto"/>
        <w:widowControl w:val="off"/>
        <w:rPr>
          <w:rFonts w:hint="eastAsia" w:ascii="宋体" w:hAnsi="宋体" w:eastAsia="宋体" w:cs="宋体"/>
          <w:bCs w:val="0"/>
          <w:color w:val="auto"/>
          <w:sz w:val="24"/>
          <w:highlight w:val="none"/>
        </w:rPr>
      </w:pPr>
      <w:r/>
      <w:bookmarkStart w:id="63" w:name="_Toc462564067"/>
      <w:r/>
      <w:bookmarkStart w:id="64" w:name="_Toc20823279"/>
      <w:r/>
      <w:bookmarkStart w:id="65" w:name="_Toc16938523"/>
      <w:r/>
      <w:bookmarkStart w:id="66" w:name="_Toc513029207"/>
      <w:r>
        <w:rPr>
          <w:rFonts w:hint="eastAsia" w:ascii="宋体" w:hAnsi="宋体" w:eastAsia="宋体" w:cs="宋体"/>
          <w:bCs w:val="0"/>
          <w:color w:val="auto"/>
          <w:sz w:val="24"/>
          <w:highlight w:val="none"/>
        </w:rPr>
        <w:t xml:space="preserve">4.投标费用</w:t>
      </w:r>
      <w:bookmarkEnd w:id="63"/>
      <w:r/>
      <w:bookmarkEnd w:id="64"/>
      <w:r/>
      <w:bookmarkEnd w:id="65"/>
      <w:r/>
      <w:bookmarkEnd w:id="66"/>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4.1</w:t>
      </w:r>
      <w:r>
        <w:rPr>
          <w:rFonts w:hint="eastAsia" w:ascii="宋体" w:hAnsi="宋体" w:eastAsia="宋体" w:cs="宋体"/>
          <w:color w:val="auto"/>
          <w:sz w:val="24"/>
          <w:highlight w:val="none"/>
        </w:rPr>
        <w:t xml:space="preserve">投标人应自行承担所有与参加投标有关的费用，无论投标过程中的做法和结果如何，</w:t>
      </w:r>
      <w:r>
        <w:rPr>
          <w:rFonts w:hint="eastAsia" w:ascii="宋体" w:hAnsi="宋体" w:eastAsia="宋体" w:cs="宋体"/>
          <w:color w:val="auto"/>
          <w:sz w:val="24"/>
          <w:highlight w:val="none"/>
          <w:lang w:eastAsia="zh-CN"/>
        </w:rPr>
        <w:t xml:space="preserve">江苏建协全过程工程咨询有限公司</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eastAsia="zh-CN"/>
        </w:rPr>
        <w:t xml:space="preserve">以下简称代理机构</w:t>
      </w:r>
      <w:r>
        <w:rPr>
          <w:rFonts w:hint="eastAsia" w:ascii="宋体" w:hAnsi="宋体" w:eastAsia="宋体" w:cs="宋体"/>
          <w:color w:val="auto"/>
          <w:sz w:val="24"/>
          <w:highlight w:val="none"/>
        </w:rPr>
        <w:t xml:space="preserve">）在任何情况下均无义务和责任承担这些费用。</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4.2本次招标标书工本费、招标文件均免费。</w:t>
      </w:r>
      <w:r/>
    </w:p>
    <w:p>
      <w:pPr>
        <w:pStyle w:val="738"/>
        <w:ind w:left="0" w:right="0" w:firstLine="482"/>
        <w:jc w:val="left"/>
        <w:keepLines w:val="0"/>
        <w:keepNext w:val="0"/>
        <w:pageBreakBefore w:val="0"/>
        <w:spacing w:before="0" w:beforeAutospacing="0" w:after="0" w:afterAutospacing="0" w:line="360" w:lineRule="auto"/>
        <w:widowControl w:val="off"/>
        <w:rPr>
          <w:rFonts w:hint="eastAsia" w:ascii="宋体" w:hAnsi="宋体" w:eastAsia="宋体" w:cs="宋体"/>
          <w:bCs w:val="0"/>
          <w:color w:val="auto"/>
          <w:sz w:val="24"/>
          <w:highlight w:val="none"/>
        </w:rPr>
      </w:pPr>
      <w:r>
        <w:rPr>
          <w:rFonts w:hint="eastAsia" w:ascii="宋体" w:hAnsi="宋体" w:eastAsia="宋体" w:cs="宋体"/>
          <w:bCs w:val="0"/>
          <w:color w:val="auto"/>
          <w:sz w:val="24"/>
          <w:highlight w:val="none"/>
        </w:rPr>
        <w:t xml:space="preserve">5.招标文件的约束力</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5.1</w:t>
      </w:r>
      <w:r>
        <w:rPr>
          <w:rFonts w:hint="eastAsia" w:ascii="宋体" w:hAnsi="宋体" w:eastAsia="宋体" w:cs="宋体"/>
          <w:color w:val="auto"/>
          <w:sz w:val="24"/>
          <w:szCs w:val="24"/>
          <w:highlight w:val="none"/>
        </w:rPr>
        <w:t xml:space="preserve">投标人一旦参加本项目采购活动，即被认为接受了本招标文件的规定和约束。</w:t>
      </w:r>
      <w:r/>
    </w:p>
    <w:p>
      <w:pPr>
        <w:pStyle w:val="736"/>
        <w:ind w:left="0" w:right="0" w:firstLine="0"/>
        <w:jc w:val="left"/>
        <w:keepLines w:val="0"/>
        <w:keepNext w:val="0"/>
        <w:pageBreakBefore w:val="0"/>
        <w:spacing w:before="0" w:beforeAutospacing="0" w:after="0" w:afterAutospacing="0" w:line="360" w:lineRule="auto"/>
        <w:widowControl w:val="off"/>
        <w:rPr>
          <w:rFonts w:hint="eastAsia" w:ascii="宋体" w:hAnsi="宋体" w:eastAsia="宋体" w:cs="宋体"/>
          <w:b/>
          <w:color w:val="auto"/>
          <w:sz w:val="24"/>
          <w:szCs w:val="30"/>
          <w:highlight w:val="none"/>
        </w:rPr>
        <w:outlineLvl w:val="1"/>
      </w:pPr>
      <w:r/>
      <w:bookmarkStart w:id="67" w:name="_Toc120614215"/>
      <w:r/>
      <w:bookmarkStart w:id="68" w:name="_Toc513029209"/>
      <w:r/>
      <w:bookmarkStart w:id="69" w:name="_Toc20823281"/>
      <w:r/>
      <w:bookmarkStart w:id="70" w:name="_Toc16938525"/>
      <w:r>
        <w:rPr>
          <w:rFonts w:hint="eastAsia" w:ascii="宋体" w:hAnsi="宋体" w:eastAsia="宋体" w:cs="宋体"/>
          <w:b/>
          <w:color w:val="auto"/>
          <w:sz w:val="24"/>
          <w:szCs w:val="30"/>
          <w:highlight w:val="none"/>
        </w:rPr>
        <w:t xml:space="preserve">二、招标文件</w:t>
      </w:r>
      <w:bookmarkEnd w:id="67"/>
      <w:r/>
      <w:bookmarkEnd w:id="68"/>
      <w:r/>
      <w:bookmarkEnd w:id="69"/>
      <w:r/>
      <w:bookmarkEnd w:id="70"/>
      <w:r/>
      <w:r/>
    </w:p>
    <w:p>
      <w:pPr>
        <w:pStyle w:val="738"/>
        <w:ind w:left="0" w:right="0" w:firstLine="482"/>
        <w:jc w:val="left"/>
        <w:keepLines w:val="0"/>
        <w:keepNext w:val="0"/>
        <w:pageBreakBefore w:val="0"/>
        <w:spacing w:before="0" w:beforeAutospacing="0" w:after="0" w:afterAutospacing="0" w:line="360" w:lineRule="auto"/>
        <w:widowControl w:val="off"/>
        <w:rPr>
          <w:rFonts w:hint="eastAsia" w:ascii="宋体" w:hAnsi="宋体" w:eastAsia="宋体" w:cs="宋体"/>
          <w:bCs w:val="0"/>
          <w:color w:val="auto"/>
          <w:sz w:val="24"/>
          <w:highlight w:val="none"/>
        </w:rPr>
      </w:pPr>
      <w:r/>
      <w:bookmarkStart w:id="71" w:name="_Toc20823282"/>
      <w:r/>
      <w:bookmarkStart w:id="72" w:name="_Toc16938526"/>
      <w:r/>
      <w:bookmarkStart w:id="73" w:name="_Toc513029210"/>
      <w:r>
        <w:rPr>
          <w:rFonts w:hint="eastAsia" w:ascii="宋体" w:hAnsi="宋体" w:eastAsia="宋体" w:cs="宋体"/>
          <w:bCs w:val="0"/>
          <w:color w:val="auto"/>
          <w:sz w:val="24"/>
          <w:highlight w:val="none"/>
        </w:rPr>
        <w:t xml:space="preserve">6.招标文件构成</w:t>
      </w:r>
      <w:bookmarkEnd w:id="71"/>
      <w:r/>
      <w:bookmarkEnd w:id="72"/>
      <w:r/>
      <w:bookmarkEnd w:id="73"/>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6.1</w:t>
      </w:r>
      <w:r>
        <w:rPr>
          <w:rFonts w:hint="eastAsia" w:ascii="宋体" w:hAnsi="宋体" w:eastAsia="宋体" w:cs="宋体"/>
          <w:color w:val="auto"/>
          <w:sz w:val="24"/>
          <w:highlight w:val="none"/>
        </w:rPr>
        <w:t xml:space="preserve">招标文件由以下部分组成：</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投标邀请</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投标人须知</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合同文本</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采购需求</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（5）</w:t>
      </w:r>
      <w:r>
        <w:rPr>
          <w:rFonts w:hint="eastAsia" w:ascii="宋体" w:hAnsi="宋体" w:eastAsia="宋体" w:cs="宋体"/>
          <w:color w:val="auto"/>
          <w:sz w:val="24"/>
          <w:szCs w:val="24"/>
          <w:highlight w:val="none"/>
        </w:rPr>
        <w:t xml:space="preserve">评标方法与评标标准</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（6）</w:t>
      </w:r>
      <w:r>
        <w:rPr>
          <w:rFonts w:hint="eastAsia" w:ascii="宋体" w:hAnsi="宋体" w:eastAsia="宋体" w:cs="宋体"/>
          <w:color w:val="auto"/>
          <w:sz w:val="24"/>
          <w:szCs w:val="24"/>
          <w:highlight w:val="none"/>
        </w:rPr>
        <w:t xml:space="preserve">投标文件内容与格式</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请仔细检查招标文件是否齐全，如有缺漏请立即与</w:t>
      </w:r>
      <w:r>
        <w:rPr>
          <w:rFonts w:hint="eastAsia" w:ascii="宋体" w:hAnsi="宋体" w:eastAsia="宋体" w:cs="宋体"/>
          <w:color w:val="auto"/>
          <w:sz w:val="24"/>
          <w:highlight w:val="none"/>
          <w:lang w:eastAsia="zh-CN"/>
        </w:rPr>
        <w:t xml:space="preserve">代理机构</w:t>
      </w:r>
      <w:r>
        <w:rPr>
          <w:rFonts w:hint="eastAsia" w:ascii="宋体" w:hAnsi="宋体" w:eastAsia="宋体" w:cs="宋体"/>
          <w:color w:val="auto"/>
          <w:sz w:val="24"/>
          <w:highlight w:val="none"/>
        </w:rPr>
        <w:t xml:space="preserve">联系解决。</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38"/>
        <w:ind w:left="0" w:right="0" w:firstLine="482"/>
        <w:jc w:val="left"/>
        <w:keepLines w:val="0"/>
        <w:keepNext w:val="0"/>
        <w:pageBreakBefore w:val="0"/>
        <w:spacing w:before="0" w:beforeAutospacing="0" w:after="0" w:afterAutospacing="0" w:line="360" w:lineRule="auto"/>
        <w:widowControl w:val="off"/>
        <w:rPr>
          <w:rFonts w:hint="eastAsia" w:ascii="宋体" w:hAnsi="宋体" w:eastAsia="宋体" w:cs="宋体"/>
          <w:bCs w:val="0"/>
          <w:color w:val="auto"/>
          <w:sz w:val="24"/>
          <w:highlight w:val="none"/>
        </w:rPr>
      </w:pPr>
      <w:r/>
      <w:bookmarkStart w:id="74" w:name="_Toc462564070"/>
      <w:r/>
      <w:bookmarkStart w:id="75" w:name="_Toc16938527"/>
      <w:r/>
      <w:bookmarkStart w:id="76" w:name="_Toc20823283"/>
      <w:r/>
      <w:bookmarkStart w:id="77" w:name="_Toc513029211"/>
      <w:r>
        <w:rPr>
          <w:rFonts w:hint="eastAsia" w:ascii="宋体" w:hAnsi="宋体" w:eastAsia="宋体" w:cs="宋体"/>
          <w:bCs w:val="0"/>
          <w:color w:val="auto"/>
          <w:sz w:val="24"/>
          <w:highlight w:val="none"/>
        </w:rPr>
        <w:t xml:space="preserve">7.招标文件的澄清</w:t>
      </w:r>
      <w:bookmarkEnd w:id="74"/>
      <w:r/>
      <w:bookmarkEnd w:id="75"/>
      <w:r/>
      <w:bookmarkEnd w:id="76"/>
      <w:r/>
      <w:bookmarkEnd w:id="77"/>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7.1本项目不召开开标前答疑会，投标人如有需要对招标文件要求澄清的问题，应在投标截止期至少十五日前按招标公告或招标文件中的通讯地址，以书面形式通知</w:t>
      </w:r>
      <w:r>
        <w:rPr>
          <w:rFonts w:hint="eastAsia" w:ascii="宋体" w:hAnsi="宋体" w:eastAsia="宋体" w:cs="宋体"/>
          <w:color w:val="auto"/>
          <w:sz w:val="24"/>
          <w:highlight w:val="none"/>
          <w:lang w:eastAsia="zh-CN"/>
        </w:rPr>
        <w:t xml:space="preserve">代理机构</w:t>
      </w:r>
      <w:r>
        <w:rPr>
          <w:rFonts w:hint="eastAsia" w:ascii="宋体" w:hAnsi="宋体" w:eastAsia="宋体" w:cs="宋体"/>
          <w:bCs/>
          <w:color w:val="auto"/>
          <w:sz w:val="24"/>
          <w:highlight w:val="none"/>
        </w:rPr>
        <w:t xml:space="preserve">。</w:t>
      </w:r>
      <w:r/>
    </w:p>
    <w:p>
      <w:pPr>
        <w:pStyle w:val="738"/>
        <w:ind w:left="0" w:right="0" w:firstLine="482"/>
        <w:jc w:val="left"/>
        <w:keepLines w:val="0"/>
        <w:keepNext w:val="0"/>
        <w:pageBreakBefore w:val="0"/>
        <w:spacing w:before="0" w:beforeAutospacing="0" w:after="0" w:afterAutospacing="0" w:line="360" w:lineRule="auto"/>
        <w:widowControl w:val="off"/>
        <w:rPr>
          <w:rFonts w:hint="eastAsia" w:ascii="宋体" w:hAnsi="宋体" w:eastAsia="宋体" w:cs="宋体"/>
          <w:bCs w:val="0"/>
          <w:color w:val="auto"/>
          <w:sz w:val="24"/>
          <w:highlight w:val="none"/>
        </w:rPr>
      </w:pPr>
      <w:r/>
      <w:bookmarkStart w:id="78" w:name="_Toc462564071"/>
      <w:r/>
      <w:bookmarkStart w:id="79" w:name="_Toc513029212"/>
      <w:r/>
      <w:bookmarkStart w:id="80" w:name="_Toc20823284"/>
      <w:r/>
      <w:bookmarkStart w:id="81" w:name="_Toc16938528"/>
      <w:r>
        <w:rPr>
          <w:rFonts w:hint="eastAsia" w:ascii="宋体" w:hAnsi="宋体" w:eastAsia="宋体" w:cs="宋体"/>
          <w:bCs w:val="0"/>
          <w:color w:val="auto"/>
          <w:sz w:val="24"/>
          <w:highlight w:val="none"/>
        </w:rPr>
        <w:t xml:space="preserve">8.招标文件的修改</w:t>
      </w:r>
      <w:bookmarkEnd w:id="78"/>
      <w:r/>
      <w:bookmarkEnd w:id="79"/>
      <w:r/>
      <w:bookmarkEnd w:id="80"/>
      <w:r/>
      <w:bookmarkEnd w:id="81"/>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8.1</w:t>
      </w:r>
      <w:r>
        <w:rPr>
          <w:rFonts w:hint="eastAsia" w:ascii="宋体" w:hAnsi="宋体" w:eastAsia="宋体" w:cs="宋体"/>
          <w:color w:val="auto"/>
          <w:sz w:val="24"/>
          <w:highlight w:val="none"/>
          <w:lang w:eastAsia="zh-CN"/>
        </w:rPr>
        <w:t xml:space="preserve">代理机构</w:t>
      </w:r>
      <w:r>
        <w:rPr>
          <w:rFonts w:hint="eastAsia" w:ascii="宋体" w:hAnsi="宋体" w:eastAsia="宋体" w:cs="宋体"/>
          <w:bCs/>
          <w:color w:val="auto"/>
          <w:sz w:val="24"/>
          <w:szCs w:val="24"/>
          <w:highlight w:val="none"/>
        </w:rPr>
        <w:t xml:space="preserve">可在投标截止时间十五日前对招标文件进行必要的澄清或者修改，不足十五日的，将顺延提交投标文件的截止时间和开标日期。</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8.2</w:t>
      </w:r>
      <w:r>
        <w:rPr>
          <w:rFonts w:hint="eastAsia" w:ascii="宋体" w:hAnsi="宋体" w:eastAsia="宋体" w:cs="宋体"/>
          <w:bCs/>
          <w:color w:val="auto"/>
          <w:sz w:val="24"/>
          <w:szCs w:val="24"/>
          <w:highlight w:val="none"/>
        </w:rPr>
        <w:t xml:space="preserve">如需对招标文件进行澄清或修改，</w:t>
      </w:r>
      <w:r>
        <w:rPr>
          <w:rFonts w:hint="eastAsia" w:ascii="宋体" w:hAnsi="宋体" w:eastAsia="宋体" w:cs="宋体"/>
          <w:color w:val="auto"/>
          <w:sz w:val="24"/>
          <w:highlight w:val="none"/>
          <w:lang w:eastAsia="zh-CN"/>
        </w:rPr>
        <w:t xml:space="preserve">代理机构</w:t>
      </w:r>
      <w:r>
        <w:rPr>
          <w:rFonts w:hint="eastAsia" w:ascii="宋体" w:hAnsi="宋体" w:eastAsia="宋体" w:cs="宋体"/>
          <w:bCs/>
          <w:color w:val="auto"/>
          <w:sz w:val="24"/>
          <w:szCs w:val="24"/>
          <w:highlight w:val="none"/>
        </w:rPr>
        <w:t xml:space="preserve">将在江苏政府采购网发布更正公告，澄清或修改的内容为招标文件的组成部分，并对投标人具有约束力。投标人应在投标截止时间前</w:t>
      </w:r>
      <w:r>
        <w:rPr>
          <w:rFonts w:hint="eastAsia" w:ascii="宋体" w:hAnsi="宋体" w:eastAsia="宋体" w:cs="宋体"/>
          <w:color w:val="auto"/>
          <w:sz w:val="24"/>
          <w:szCs w:val="24"/>
          <w:highlight w:val="none"/>
        </w:rPr>
        <w:t xml:space="preserve">登录</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szCs w:val="24"/>
          <w:highlight w:val="none"/>
        </w:rPr>
        <w:t xml:space="preserve">或</w:t>
      </w:r>
      <w:r>
        <w:rPr>
          <w:rFonts w:hint="eastAsia" w:ascii="宋体" w:hAnsi="宋体" w:eastAsia="宋体" w:cs="宋体"/>
          <w:bCs/>
          <w:color w:val="auto"/>
          <w:sz w:val="24"/>
          <w:szCs w:val="24"/>
          <w:highlight w:val="none"/>
        </w:rPr>
        <w:t xml:space="preserve">关注原招标公告媒体上发布的更正公告</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因投标人未尽注意义务，未及时更新上传投标文件</w:t>
      </w:r>
      <w:r>
        <w:rPr>
          <w:rFonts w:hint="eastAsia" w:ascii="宋体" w:hAnsi="宋体" w:eastAsia="宋体" w:cs="宋体"/>
          <w:color w:val="auto"/>
          <w:sz w:val="24"/>
          <w:szCs w:val="24"/>
          <w:highlight w:val="none"/>
        </w:rPr>
        <w:t xml:space="preserve">或未</w:t>
      </w:r>
      <w:r>
        <w:rPr>
          <w:rFonts w:hint="eastAsia" w:ascii="宋体" w:hAnsi="宋体" w:eastAsia="宋体" w:cs="宋体"/>
          <w:bCs/>
          <w:color w:val="auto"/>
          <w:sz w:val="24"/>
          <w:szCs w:val="24"/>
          <w:highlight w:val="none"/>
        </w:rPr>
        <w:t xml:space="preserve">全面地关注更正公告导致其提交的投标材料不符合本项目相关招标要求，而造成的损失及风险（包括但不限于未中标）由投标人自行承担。</w:t>
      </w:r>
      <w:r/>
    </w:p>
    <w:p>
      <w:pPr>
        <w:pStyle w:val="736"/>
        <w:ind w:left="0" w:right="0" w:firstLine="0"/>
        <w:jc w:val="left"/>
        <w:keepLines w:val="0"/>
        <w:keepNext w:val="0"/>
        <w:pageBreakBefore w:val="0"/>
        <w:spacing w:before="0" w:beforeAutospacing="0" w:after="0" w:afterAutospacing="0" w:line="360" w:lineRule="auto"/>
        <w:widowControl w:val="off"/>
        <w:rPr>
          <w:rFonts w:hint="eastAsia" w:ascii="宋体" w:hAnsi="宋体" w:eastAsia="宋体" w:cs="宋体"/>
          <w:b/>
          <w:color w:val="auto"/>
          <w:sz w:val="24"/>
          <w:szCs w:val="30"/>
          <w:highlight w:val="none"/>
        </w:rPr>
        <w:outlineLvl w:val="1"/>
      </w:pPr>
      <w:r/>
      <w:bookmarkStart w:id="82" w:name="_Toc462564072"/>
      <w:r/>
      <w:bookmarkStart w:id="83" w:name="_Toc20823285"/>
      <w:r/>
      <w:bookmarkStart w:id="84" w:name="_Toc16938529"/>
      <w:r/>
      <w:bookmarkStart w:id="85" w:name="_Toc513029213"/>
      <w:r/>
      <w:bookmarkStart w:id="86" w:name="_Toc120614216"/>
      <w:r>
        <w:rPr>
          <w:rFonts w:hint="eastAsia" w:ascii="宋体" w:hAnsi="宋体" w:eastAsia="宋体" w:cs="宋体"/>
          <w:b/>
          <w:color w:val="auto"/>
          <w:sz w:val="24"/>
          <w:szCs w:val="30"/>
          <w:highlight w:val="none"/>
        </w:rPr>
        <w:t xml:space="preserve">三、投标文件的编制</w:t>
      </w:r>
      <w:bookmarkEnd w:id="82"/>
      <w:r/>
      <w:bookmarkEnd w:id="83"/>
      <w:r/>
      <w:bookmarkEnd w:id="84"/>
      <w:r/>
      <w:bookmarkEnd w:id="85"/>
      <w:r/>
      <w:bookmarkEnd w:id="86"/>
      <w:r/>
      <w:r/>
    </w:p>
    <w:p>
      <w:pPr>
        <w:pStyle w:val="738"/>
        <w:ind w:left="0" w:right="0" w:firstLine="482"/>
        <w:jc w:val="left"/>
        <w:keepLines w:val="0"/>
        <w:keepNext w:val="0"/>
        <w:pageBreakBefore w:val="0"/>
        <w:spacing w:before="0" w:beforeAutospacing="0" w:after="0" w:afterAutospacing="0" w:line="360" w:lineRule="auto"/>
        <w:widowControl w:val="off"/>
        <w:rPr>
          <w:rFonts w:hint="eastAsia" w:ascii="宋体" w:hAnsi="宋体" w:eastAsia="宋体" w:cs="宋体"/>
          <w:bCs w:val="0"/>
          <w:color w:val="auto"/>
          <w:sz w:val="24"/>
          <w:highlight w:val="none"/>
        </w:rPr>
      </w:pPr>
      <w:r/>
      <w:bookmarkStart w:id="87" w:name="_Toc20823286"/>
      <w:r/>
      <w:bookmarkStart w:id="88" w:name="_Toc462564073"/>
      <w:r/>
      <w:bookmarkStart w:id="89" w:name="_Toc513029214"/>
      <w:r/>
      <w:bookmarkStart w:id="90" w:name="_Toc16938530"/>
      <w:r>
        <w:rPr>
          <w:rFonts w:hint="eastAsia" w:ascii="宋体" w:hAnsi="宋体" w:eastAsia="宋体" w:cs="宋体"/>
          <w:bCs w:val="0"/>
          <w:color w:val="auto"/>
          <w:sz w:val="24"/>
          <w:highlight w:val="none"/>
        </w:rPr>
        <w:t xml:space="preserve">9.投标文件的语言及度量衡单位</w:t>
      </w:r>
      <w:bookmarkEnd w:id="87"/>
      <w:r/>
      <w:bookmarkEnd w:id="88"/>
      <w:r/>
      <w:bookmarkEnd w:id="89"/>
      <w:r/>
      <w:bookmarkEnd w:id="90"/>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9.1</w:t>
      </w:r>
      <w:r>
        <w:rPr>
          <w:rFonts w:hint="eastAsia" w:ascii="宋体" w:hAnsi="宋体" w:eastAsia="宋体" w:cs="宋体"/>
          <w:color w:val="auto"/>
          <w:sz w:val="24"/>
          <w:highlight w:val="none"/>
        </w:rPr>
        <w:t xml:space="preserve">投标人提交的投标文件以及投标人与</w:t>
      </w:r>
      <w:r>
        <w:rPr>
          <w:rFonts w:hint="eastAsia" w:ascii="宋体" w:hAnsi="宋体" w:eastAsia="宋体" w:cs="宋体"/>
          <w:color w:val="auto"/>
          <w:sz w:val="24"/>
          <w:highlight w:val="none"/>
          <w:lang w:eastAsia="zh-CN"/>
        </w:rPr>
        <w:t xml:space="preserve">代理机构</w:t>
      </w:r>
      <w:r>
        <w:rPr>
          <w:rFonts w:hint="eastAsia" w:ascii="宋体" w:hAnsi="宋体" w:eastAsia="宋体" w:cs="宋体"/>
          <w:color w:val="auto"/>
          <w:sz w:val="24"/>
          <w:highlight w:val="none"/>
        </w:rPr>
        <w:t xml:space="preserve">就有关投标的所有来往通知、函件和文件均应使用</w:t>
      </w:r>
      <w:r>
        <w:rPr>
          <w:rFonts w:hint="eastAsia" w:ascii="宋体" w:hAnsi="宋体" w:eastAsia="宋体" w:cs="宋体"/>
          <w:bCs/>
          <w:color w:val="auto"/>
          <w:sz w:val="24"/>
          <w:highlight w:val="none"/>
        </w:rPr>
        <w:t xml:space="preserve">简体中文</w:t>
      </w:r>
      <w:r>
        <w:rPr>
          <w:rFonts w:hint="eastAsia" w:ascii="宋体" w:hAnsi="宋体" w:eastAsia="宋体" w:cs="宋体"/>
          <w:bCs/>
          <w:color w:val="auto"/>
          <w:sz w:val="24"/>
          <w:szCs w:val="24"/>
          <w:highlight w:val="none"/>
        </w:rPr>
        <w:t xml:space="preserve">（规格、型号辅助符号例外）</w:t>
      </w:r>
      <w:r>
        <w:rPr>
          <w:rFonts w:hint="eastAsia" w:ascii="宋体" w:hAnsi="宋体" w:eastAsia="宋体" w:cs="宋体"/>
          <w:color w:val="auto"/>
          <w:sz w:val="24"/>
          <w:highlight w:val="none"/>
        </w:rPr>
        <w:t xml:space="preserve">。</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9.2</w:t>
      </w:r>
      <w:r>
        <w:rPr>
          <w:rFonts w:hint="eastAsia" w:ascii="宋体" w:hAnsi="宋体" w:eastAsia="宋体" w:cs="宋体"/>
          <w:color w:val="auto"/>
          <w:sz w:val="24"/>
          <w:highlight w:val="none"/>
        </w:rPr>
        <w:t xml:space="preserve">除技术性能另有规定外，投标文件所使用的度量衡单位，均须采用国家法定计量单位。</w:t>
      </w:r>
      <w:r/>
    </w:p>
    <w:p>
      <w:pPr>
        <w:pStyle w:val="738"/>
        <w:ind w:left="0" w:right="0" w:firstLine="482"/>
        <w:jc w:val="left"/>
        <w:keepLines w:val="0"/>
        <w:keepNext w:val="0"/>
        <w:pageBreakBefore w:val="0"/>
        <w:spacing w:before="0" w:beforeAutospacing="0" w:after="0" w:afterAutospacing="0" w:line="360" w:lineRule="auto"/>
        <w:widowControl w:val="off"/>
        <w:rPr>
          <w:rFonts w:hint="eastAsia" w:ascii="宋体" w:hAnsi="宋体" w:eastAsia="宋体" w:cs="宋体"/>
          <w:bCs w:val="0"/>
          <w:color w:val="auto"/>
          <w:sz w:val="24"/>
          <w:highlight w:val="none"/>
        </w:rPr>
      </w:pPr>
      <w:r/>
      <w:bookmarkStart w:id="91" w:name="_Toc16938531"/>
      <w:r/>
      <w:bookmarkStart w:id="92" w:name="_Toc513029215"/>
      <w:r/>
      <w:bookmarkStart w:id="93" w:name="_Toc462564074"/>
      <w:r/>
      <w:bookmarkStart w:id="94" w:name="_Toc20823287"/>
      <w:r>
        <w:rPr>
          <w:rFonts w:hint="eastAsia" w:ascii="宋体" w:hAnsi="宋体" w:eastAsia="宋体" w:cs="宋体"/>
          <w:bCs w:val="0"/>
          <w:color w:val="auto"/>
          <w:sz w:val="24"/>
          <w:highlight w:val="none"/>
        </w:rPr>
        <w:t xml:space="preserve">10.投标文件构成</w:t>
      </w:r>
      <w:bookmarkEnd w:id="91"/>
      <w:r/>
      <w:bookmarkEnd w:id="92"/>
      <w:r/>
      <w:bookmarkEnd w:id="93"/>
      <w:r/>
      <w:bookmarkEnd w:id="94"/>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10.2投标人所须提供的相关证明文件和要求以及投标文件的部分格式要求，详见第六章《投标文件内容与格式》。</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10.3如标书制作工具中格式和内容与招标文件不一致的，请以招标文件为准。</w:t>
      </w:r>
      <w:r/>
    </w:p>
    <w:p>
      <w:pPr>
        <w:pStyle w:val="738"/>
        <w:ind w:left="0" w:right="0" w:firstLine="482"/>
        <w:jc w:val="left"/>
        <w:keepLines w:val="0"/>
        <w:keepNext w:val="0"/>
        <w:pageBreakBefore w:val="0"/>
        <w:spacing w:before="0" w:beforeAutospacing="0" w:after="0" w:afterAutospacing="0" w:line="360" w:lineRule="auto"/>
        <w:widowControl w:val="off"/>
        <w:rPr>
          <w:rFonts w:hint="eastAsia" w:ascii="宋体" w:hAnsi="宋体" w:eastAsia="宋体" w:cs="宋体"/>
          <w:bCs w:val="0"/>
          <w:color w:val="auto"/>
          <w:sz w:val="24"/>
          <w:highlight w:val="none"/>
        </w:rPr>
      </w:pPr>
      <w:r/>
      <w:bookmarkStart w:id="95" w:name="_Hlt26668975"/>
      <w:r/>
      <w:bookmarkEnd w:id="95"/>
      <w:r/>
      <w:bookmarkStart w:id="96" w:name="_Hlt26954838"/>
      <w:r/>
      <w:bookmarkEnd w:id="96"/>
      <w:r/>
      <w:bookmarkStart w:id="97" w:name="_Hlt26670360"/>
      <w:r/>
      <w:bookmarkEnd w:id="97"/>
      <w:r/>
      <w:bookmarkStart w:id="98" w:name="_Toc14577357"/>
      <w:r/>
      <w:bookmarkStart w:id="99" w:name="_Toc513029219"/>
      <w:r/>
      <w:bookmarkStart w:id="100" w:name="_Toc49090509"/>
      <w:r/>
      <w:bookmarkStart w:id="101" w:name="_Toc49090507"/>
      <w:r/>
      <w:bookmarkStart w:id="102" w:name="_Toc14577354"/>
      <w:r/>
      <w:bookmarkStart w:id="103" w:name="_Toc513029216"/>
      <w:r>
        <w:rPr>
          <w:rFonts w:hint="eastAsia" w:ascii="宋体" w:hAnsi="宋体" w:eastAsia="宋体" w:cs="宋体"/>
          <w:bCs w:val="0"/>
          <w:color w:val="auto"/>
          <w:sz w:val="24"/>
          <w:highlight w:val="none"/>
        </w:rPr>
        <w:t xml:space="preserve">11.证明投标人及投标标的符合招标文件规定的文件</w:t>
      </w:r>
      <w:bookmarkEnd w:id="98"/>
      <w:r/>
      <w:bookmarkEnd w:id="99"/>
      <w:r/>
      <w:bookmarkEnd w:id="100"/>
      <w:r/>
      <w:bookmarkEnd w:id="101"/>
      <w:bookmarkEnd w:id="102"/>
      <w:bookmarkEnd w:id="103"/>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bCs/>
          <w:color w:val="auto"/>
          <w:sz w:val="24"/>
          <w:highlight w:val="none"/>
        </w:rPr>
      </w:pPr>
      <w:r/>
      <w:bookmarkStart w:id="104" w:name="_Toc14577355"/>
      <w:r/>
      <w:bookmarkStart w:id="105" w:name="_Toc49090508"/>
      <w:r>
        <w:rPr>
          <w:rFonts w:hint="eastAsia" w:ascii="宋体" w:hAnsi="宋体" w:eastAsia="宋体" w:cs="宋体"/>
          <w:bCs/>
          <w:color w:val="auto"/>
          <w:sz w:val="24"/>
          <w:highlight w:val="none"/>
        </w:rPr>
        <w:t xml:space="preserve">11.1投标人应按照</w:t>
      </w:r>
      <w:r>
        <w:rPr>
          <w:rFonts w:hint="eastAsia" w:ascii="宋体" w:hAnsi="宋体" w:eastAsia="宋体" w:cs="宋体"/>
          <w:bCs/>
          <w:color w:val="auto"/>
          <w:sz w:val="24"/>
          <w:highlight w:val="none"/>
          <w:lang w:eastAsia="zh-CN"/>
        </w:rPr>
        <w:t xml:space="preserve">法律法规</w:t>
      </w:r>
      <w:r>
        <w:rPr>
          <w:rFonts w:hint="eastAsia" w:ascii="宋体" w:hAnsi="宋体" w:eastAsia="宋体" w:cs="宋体"/>
          <w:bCs/>
          <w:color w:val="auto"/>
          <w:sz w:val="24"/>
          <w:highlight w:val="none"/>
        </w:rPr>
        <w:t xml:space="preserve">、规章和规范性文件以及招标文件要求提交证明文件，证明</w:t>
      </w:r>
      <w:r>
        <w:rPr>
          <w:rFonts w:hint="eastAsia" w:ascii="宋体" w:hAnsi="宋体" w:eastAsia="宋体" w:cs="宋体"/>
          <w:bCs/>
          <w:color w:val="auto"/>
          <w:sz w:val="24"/>
          <w:highlight w:val="none"/>
          <w:lang w:eastAsia="zh-CN"/>
        </w:rPr>
        <w:t xml:space="preserve">其</w:t>
      </w:r>
      <w:r>
        <w:rPr>
          <w:rFonts w:hint="eastAsia" w:ascii="宋体" w:hAnsi="宋体" w:eastAsia="宋体" w:cs="宋体"/>
          <w:bCs/>
          <w:color w:val="auto"/>
          <w:sz w:val="24"/>
          <w:highlight w:val="none"/>
        </w:rPr>
        <w:t xml:space="preserve">投标标的符合招标文</w:t>
      </w:r>
      <w:r>
        <w:rPr>
          <w:rFonts w:hint="eastAsia" w:ascii="宋体" w:hAnsi="宋体" w:eastAsia="宋体" w:cs="宋体"/>
          <w:bCs/>
          <w:color w:val="auto"/>
          <w:sz w:val="24"/>
          <w:highlight w:val="none"/>
          <w:lang w:eastAsia="zh-CN"/>
        </w:rPr>
        <w:t xml:space="preserve">件的</w:t>
      </w:r>
      <w:r>
        <w:rPr>
          <w:rFonts w:hint="eastAsia" w:ascii="宋体" w:hAnsi="宋体" w:eastAsia="宋体" w:cs="宋体"/>
          <w:bCs/>
          <w:color w:val="auto"/>
          <w:sz w:val="24"/>
          <w:highlight w:val="none"/>
        </w:rPr>
        <w:t xml:space="preserve">规定。</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11.2招标文件对证明文件无明确形式要求的，证明文件可以以文字资料、图纸和数据等形式提交。</w:t>
      </w:r>
      <w:r/>
    </w:p>
    <w:p>
      <w:pPr>
        <w:pStyle w:val="738"/>
        <w:ind w:left="0" w:right="0" w:firstLine="482"/>
        <w:jc w:val="left"/>
        <w:keepLines w:val="0"/>
        <w:keepNext w:val="0"/>
        <w:pageBreakBefore w:val="0"/>
        <w:spacing w:before="0" w:beforeAutospacing="0" w:after="0" w:afterAutospacing="0" w:line="360" w:lineRule="auto"/>
        <w:widowControl w:val="off"/>
        <w:rPr>
          <w:rFonts w:hint="eastAsia" w:ascii="宋体" w:hAnsi="宋体" w:eastAsia="宋体" w:cs="宋体"/>
          <w:bCs w:val="0"/>
          <w:color w:val="auto"/>
          <w:sz w:val="24"/>
          <w:highlight w:val="none"/>
        </w:rPr>
      </w:pPr>
      <w:r/>
      <w:bookmarkStart w:id="106" w:name="_Toc14577359"/>
      <w:r/>
      <w:bookmarkStart w:id="107" w:name="_Toc49090510"/>
      <w:r>
        <w:rPr>
          <w:rFonts w:hint="eastAsia" w:ascii="宋体" w:hAnsi="宋体" w:eastAsia="宋体" w:cs="宋体"/>
          <w:bCs w:val="0"/>
          <w:color w:val="auto"/>
          <w:sz w:val="24"/>
          <w:highlight w:val="none"/>
        </w:rPr>
        <w:t xml:space="preserve">12.投标函、承诺书和开标一览表</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12.1</w:t>
      </w:r>
      <w:r>
        <w:rPr>
          <w:rFonts w:hint="eastAsia" w:ascii="宋体" w:hAnsi="宋体" w:eastAsia="宋体" w:cs="宋体"/>
          <w:color w:val="auto"/>
          <w:sz w:val="24"/>
          <w:highlight w:val="none"/>
        </w:rPr>
        <w:t xml:space="preserve">投标人应按照招标文件中提供的格式完整、正确填写投标函、承诺书和开标一览表。</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12.2对于采用货币报价的项目，开标一览表中的投标总报价应与分项报价表的总额一致，如不一致，不作为无效投标处理，但评标时按开标一览表中价格为准。</w:t>
      </w:r>
      <w:bookmarkEnd w:id="106"/>
      <w:bookmarkEnd w:id="107"/>
      <w:r/>
    </w:p>
    <w:p>
      <w:pPr>
        <w:pStyle w:val="738"/>
        <w:ind w:left="0" w:right="0" w:firstLine="482"/>
        <w:jc w:val="left"/>
        <w:keepLines w:val="0"/>
        <w:keepNext w:val="0"/>
        <w:pageBreakBefore w:val="0"/>
        <w:spacing w:before="0" w:beforeAutospacing="0" w:after="0" w:afterAutospacing="0" w:line="360" w:lineRule="auto"/>
        <w:widowControl w:val="off"/>
        <w:rPr>
          <w:rFonts w:hint="eastAsia" w:ascii="宋体" w:hAnsi="宋体" w:eastAsia="宋体" w:cs="宋体"/>
          <w:bCs w:val="0"/>
          <w:color w:val="auto"/>
          <w:sz w:val="24"/>
          <w:highlight w:val="none"/>
        </w:rPr>
      </w:pPr>
      <w:r>
        <w:rPr>
          <w:rFonts w:hint="eastAsia" w:ascii="宋体" w:hAnsi="宋体" w:eastAsia="宋体" w:cs="宋体"/>
          <w:bCs w:val="0"/>
          <w:color w:val="auto"/>
          <w:sz w:val="24"/>
          <w:highlight w:val="none"/>
        </w:rPr>
        <w:t xml:space="preserve">13.</w:t>
      </w:r>
      <w:bookmarkEnd w:id="104"/>
      <w:r/>
      <w:bookmarkEnd w:id="105"/>
      <w:r>
        <w:rPr>
          <w:rFonts w:hint="eastAsia" w:ascii="宋体" w:hAnsi="宋体" w:eastAsia="宋体" w:cs="宋体"/>
          <w:bCs w:val="0"/>
          <w:color w:val="auto"/>
          <w:sz w:val="24"/>
          <w:highlight w:val="none"/>
        </w:rPr>
        <w:t xml:space="preserve">分项报价表</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13.1</w:t>
      </w:r>
      <w:r>
        <w:rPr>
          <w:rFonts w:hint="eastAsia" w:ascii="宋体" w:hAnsi="宋体" w:eastAsia="宋体" w:cs="宋体"/>
          <w:color w:val="auto"/>
          <w:sz w:val="24"/>
          <w:highlight w:val="none"/>
        </w:rPr>
        <w:t xml:space="preserve">投</w:t>
      </w:r>
      <w:bookmarkStart w:id="108" w:name="_Hlt26954840"/>
      <w:r/>
      <w:bookmarkEnd w:id="108"/>
      <w:r>
        <w:rPr>
          <w:rFonts w:hint="eastAsia" w:ascii="宋体" w:hAnsi="宋体" w:eastAsia="宋体" w:cs="宋体"/>
          <w:color w:val="auto"/>
          <w:sz w:val="24"/>
          <w:highlight w:val="none"/>
        </w:rPr>
        <w:t xml:space="preserve">标人应按照招标文件规定格式填报</w:t>
      </w:r>
      <w:bookmarkStart w:id="109" w:name="_Hlt26670399"/>
      <w:r/>
      <w:bookmarkEnd w:id="109"/>
      <w:r>
        <w:rPr>
          <w:rFonts w:hint="eastAsia" w:ascii="宋体" w:hAnsi="宋体" w:eastAsia="宋体" w:cs="宋体"/>
          <w:color w:val="auto"/>
          <w:sz w:val="24"/>
          <w:highlight w:val="none"/>
        </w:rPr>
        <w:t xml:space="preserve">分项报价表。</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13.2</w:t>
      </w:r>
      <w:r>
        <w:rPr>
          <w:rFonts w:hint="eastAsia" w:ascii="宋体" w:hAnsi="宋体" w:eastAsia="宋体" w:cs="宋体"/>
          <w:bCs/>
          <w:color w:val="auto"/>
          <w:sz w:val="24"/>
          <w:highlight w:val="none"/>
        </w:rPr>
        <w:t xml:space="preserve">投标货币。投标文件中的单价和总价无特殊规定的采用人民币报价，以“元”为单位标注。</w:t>
      </w:r>
      <w:r>
        <w:rPr>
          <w:rFonts w:hint="eastAsia" w:ascii="宋体" w:hAnsi="宋体" w:eastAsia="宋体" w:cs="宋体"/>
          <w:color w:val="auto"/>
          <w:sz w:val="24"/>
          <w:highlight w:val="none"/>
        </w:rPr>
        <w:t xml:space="preserve">招标文件中另有规定的按规定执行。</w:t>
      </w:r>
      <w:r/>
    </w:p>
    <w:p>
      <w:pPr>
        <w:pStyle w:val="738"/>
        <w:ind w:left="0" w:right="0" w:firstLine="482"/>
        <w:jc w:val="left"/>
        <w:keepLines w:val="0"/>
        <w:keepNext w:val="0"/>
        <w:pageBreakBefore w:val="0"/>
        <w:spacing w:before="0" w:beforeAutospacing="0" w:after="0" w:afterAutospacing="0" w:line="360" w:lineRule="auto"/>
        <w:widowControl w:val="off"/>
        <w:rPr>
          <w:rFonts w:hint="eastAsia" w:ascii="宋体" w:hAnsi="宋体" w:eastAsia="宋体" w:cs="宋体"/>
          <w:bCs w:val="0"/>
          <w:color w:val="auto"/>
          <w:sz w:val="24"/>
          <w:highlight w:val="none"/>
        </w:rPr>
      </w:pPr>
      <w:r/>
      <w:bookmarkStart w:id="110" w:name="_Hlt26670425"/>
      <w:r/>
      <w:bookmarkEnd w:id="110"/>
      <w:r/>
      <w:bookmarkStart w:id="111" w:name="_Hlt26954846"/>
      <w:r/>
      <w:bookmarkEnd w:id="111"/>
      <w:r/>
      <w:bookmarkStart w:id="112" w:name="_Hlt26670482"/>
      <w:r/>
      <w:bookmarkEnd w:id="112"/>
      <w:r/>
      <w:bookmarkStart w:id="113" w:name="_Hlt26954848"/>
      <w:r/>
      <w:bookmarkEnd w:id="113"/>
      <w:r/>
      <w:bookmarkStart w:id="114" w:name="_Hlt26670486"/>
      <w:r/>
      <w:bookmarkEnd w:id="114"/>
      <w:r/>
      <w:bookmarkStart w:id="115" w:name="_Hlt26954731"/>
      <w:r/>
      <w:bookmarkEnd w:id="115"/>
      <w:r/>
      <w:bookmarkStart w:id="116" w:name="_Hlt26670403"/>
      <w:r/>
      <w:bookmarkEnd w:id="116"/>
      <w:r/>
      <w:bookmarkStart w:id="117" w:name="_Hlt26954844"/>
      <w:r/>
      <w:bookmarkEnd w:id="117"/>
      <w:r/>
      <w:bookmarkStart w:id="118" w:name="_Hlt26668983"/>
      <w:r/>
      <w:bookmarkEnd w:id="118"/>
      <w:r/>
      <w:bookmarkStart w:id="119" w:name="_Hlt26954842"/>
      <w:r/>
      <w:bookmarkEnd w:id="119"/>
      <w:r>
        <w:rPr>
          <w:rFonts w:hint="eastAsia" w:ascii="宋体" w:hAnsi="宋体" w:eastAsia="宋体" w:cs="宋体"/>
          <w:bCs w:val="0"/>
          <w:color w:val="auto"/>
          <w:sz w:val="24"/>
          <w:highlight w:val="none"/>
        </w:rPr>
        <w:t xml:space="preserve">14.投标偏离表</w:t>
      </w:r>
      <w:r/>
    </w:p>
    <w:p>
      <w:pPr>
        <w:ind w:left="0" w:right="0" w:firstLine="480"/>
        <w:jc w:val="left"/>
        <w:keepLines w:val="0"/>
        <w:keepNext w:val="0"/>
        <w:pageBreakBefore w:val="0"/>
        <w:spacing w:beforeAutospacing="0" w:afterAutospacing="0" w:line="360" w:lineRule="auto"/>
        <w:widowControl w:val="off"/>
        <w:tabs>
          <w:tab w:val="left" w:pos="1035" w:leader="none"/>
        </w:tabs>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 xml:space="preserve">14</w:t>
      </w: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zh-CN"/>
        </w:rPr>
        <w:t xml:space="preserve">投标人可在投标文件中提供认为需要的其他技术文件或说明。</w:t>
      </w:r>
      <w:r/>
    </w:p>
    <w:p>
      <w:pPr>
        <w:pStyle w:val="738"/>
        <w:ind w:left="0" w:right="0" w:firstLine="482"/>
        <w:jc w:val="left"/>
        <w:keepLines w:val="0"/>
        <w:keepNext w:val="0"/>
        <w:pageBreakBefore w:val="0"/>
        <w:spacing w:before="0" w:beforeAutospacing="0" w:after="0" w:afterAutospacing="0" w:line="360" w:lineRule="auto"/>
        <w:widowControl w:val="off"/>
        <w:rPr>
          <w:rFonts w:hint="eastAsia" w:ascii="宋体" w:hAnsi="宋体" w:eastAsia="宋体" w:cs="宋体"/>
          <w:bCs w:val="0"/>
          <w:color w:val="auto"/>
          <w:sz w:val="24"/>
          <w:highlight w:val="none"/>
        </w:rPr>
      </w:pPr>
      <w:r/>
      <w:bookmarkStart w:id="120" w:name="_Hlt26954850"/>
      <w:r/>
      <w:bookmarkEnd w:id="120"/>
      <w:r/>
      <w:bookmarkStart w:id="121" w:name="_Hlt26670489"/>
      <w:r/>
      <w:bookmarkEnd w:id="121"/>
      <w:r/>
      <w:bookmarkStart w:id="122" w:name="_Hlt26954734"/>
      <w:r/>
      <w:bookmarkEnd w:id="122"/>
      <w:r/>
      <w:bookmarkStart w:id="123" w:name="_Toc14577360"/>
      <w:r/>
      <w:bookmarkStart w:id="124" w:name="_Toc49090511"/>
      <w:r>
        <w:rPr>
          <w:rFonts w:hint="eastAsia" w:ascii="宋体" w:hAnsi="宋体" w:eastAsia="宋体" w:cs="宋体"/>
          <w:bCs w:val="0"/>
          <w:color w:val="auto"/>
          <w:sz w:val="24"/>
          <w:highlight w:val="none"/>
        </w:rPr>
        <w:t xml:space="preserve">15.投标有效期</w:t>
      </w:r>
      <w:bookmarkEnd w:id="123"/>
      <w:r/>
      <w:bookmarkEnd w:id="124"/>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15.1</w:t>
      </w:r>
      <w:r>
        <w:rPr>
          <w:rFonts w:hint="eastAsia" w:ascii="宋体" w:hAnsi="宋体" w:eastAsia="宋体" w:cs="宋体"/>
          <w:bCs/>
          <w:color w:val="auto"/>
          <w:sz w:val="24"/>
          <w:highlight w:val="none"/>
        </w:rPr>
        <w:t xml:space="preserve">投标有效期为招标文件规定的开标之日后</w:t>
      </w:r>
      <w:r>
        <w:rPr>
          <w:rFonts w:hint="eastAsia" w:ascii="宋体" w:hAnsi="宋体" w:eastAsia="宋体" w:cs="宋体"/>
          <w:color w:val="auto"/>
          <w:sz w:val="24"/>
          <w:highlight w:val="none"/>
        </w:rPr>
        <w:t xml:space="preserve">九十（90）天</w:t>
      </w:r>
      <w:r>
        <w:rPr>
          <w:rFonts w:hint="eastAsia" w:ascii="宋体" w:hAnsi="宋体" w:eastAsia="宋体" w:cs="宋体"/>
          <w:bCs/>
          <w:color w:val="auto"/>
          <w:sz w:val="24"/>
          <w:highlight w:val="none"/>
        </w:rPr>
        <w:t xml:space="preserve">。投标有效期比规定短的将被视为未实质性响应招标文件而予以拒绝。</w:t>
      </w:r>
      <w:r/>
    </w:p>
    <w:p>
      <w:pPr>
        <w:pStyle w:val="738"/>
        <w:ind w:left="0" w:right="0" w:firstLine="482"/>
        <w:jc w:val="left"/>
        <w:keepLines w:val="0"/>
        <w:keepNext w:val="0"/>
        <w:pageBreakBefore w:val="0"/>
        <w:spacing w:before="0" w:beforeAutospacing="0" w:after="0" w:afterAutospacing="0" w:line="360" w:lineRule="auto"/>
        <w:widowControl w:val="off"/>
        <w:rPr>
          <w:rFonts w:hint="eastAsia" w:ascii="宋体" w:hAnsi="宋体" w:eastAsia="宋体" w:cs="宋体"/>
          <w:bCs w:val="0"/>
          <w:color w:val="auto"/>
          <w:sz w:val="24"/>
          <w:highlight w:val="none"/>
        </w:rPr>
      </w:pPr>
      <w:r>
        <w:rPr>
          <w:rFonts w:hint="eastAsia" w:ascii="宋体" w:hAnsi="宋体" w:eastAsia="宋体" w:cs="宋体"/>
          <w:bCs w:val="0"/>
          <w:color w:val="auto"/>
          <w:sz w:val="24"/>
          <w:highlight w:val="none"/>
        </w:rPr>
        <w:t xml:space="preserve">16.投标有效期的延长</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16.1</w:t>
      </w:r>
      <w:r>
        <w:rPr>
          <w:rFonts w:hint="eastAsia" w:ascii="宋体" w:hAnsi="宋体" w:eastAsia="宋体" w:cs="宋体"/>
          <w:bCs/>
          <w:color w:val="auto"/>
          <w:sz w:val="24"/>
          <w:highlight w:val="none"/>
        </w:rPr>
        <w:t xml:space="preserve">在特殊情况下，</w:t>
      </w:r>
      <w:r>
        <w:rPr>
          <w:rFonts w:hint="eastAsia" w:ascii="宋体" w:hAnsi="宋体" w:eastAsia="宋体" w:cs="宋体"/>
          <w:bCs/>
          <w:color w:val="auto"/>
          <w:sz w:val="24"/>
          <w:highlight w:val="none"/>
          <w:lang w:eastAsia="zh-CN"/>
        </w:rPr>
        <w:t xml:space="preserve">代理机构</w:t>
      </w:r>
      <w:r>
        <w:rPr>
          <w:rFonts w:hint="eastAsia" w:ascii="宋体" w:hAnsi="宋体" w:eastAsia="宋体" w:cs="宋体"/>
          <w:bCs/>
          <w:color w:val="auto"/>
          <w:sz w:val="24"/>
          <w:highlight w:val="none"/>
        </w:rPr>
        <w:t xml:space="preserve">于原投标有效期满之前，可向投标人提出延长投标有效期的要求。这种要求与答复均应采用书面形式。投标人可以拒绝</w:t>
      </w:r>
      <w:r>
        <w:rPr>
          <w:rFonts w:hint="eastAsia" w:ascii="宋体" w:hAnsi="宋体" w:eastAsia="宋体" w:cs="宋体"/>
          <w:bCs/>
          <w:color w:val="auto"/>
          <w:sz w:val="24"/>
          <w:highlight w:val="none"/>
          <w:lang w:eastAsia="zh-CN"/>
        </w:rPr>
        <w:t xml:space="preserve">代理机构</w:t>
      </w:r>
      <w:r>
        <w:rPr>
          <w:rFonts w:hint="eastAsia" w:ascii="宋体" w:hAnsi="宋体" w:eastAsia="宋体" w:cs="宋体"/>
          <w:bCs/>
          <w:color w:val="auto"/>
          <w:sz w:val="24"/>
          <w:highlight w:val="none"/>
        </w:rPr>
        <w:t xml:space="preserve">的这一要求而放弃投标</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highlight w:val="none"/>
        </w:rPr>
        <w:t xml:space="preserve">同意延长投标有效期的投标人既不能要求也不允许修改其投标文件</w:t>
      </w:r>
      <w:r>
        <w:rPr>
          <w:rFonts w:hint="eastAsia" w:ascii="宋体" w:hAnsi="宋体" w:eastAsia="宋体" w:cs="宋体"/>
          <w:color w:val="auto"/>
          <w:sz w:val="24"/>
          <w:szCs w:val="24"/>
          <w:highlight w:val="none"/>
        </w:rPr>
        <w:t xml:space="preserve">，同时受投标有效期约束的所有权利与义务均延长至新的有效期</w:t>
      </w:r>
      <w:r>
        <w:rPr>
          <w:rFonts w:hint="eastAsia" w:ascii="宋体" w:hAnsi="宋体" w:eastAsia="宋体" w:cs="宋体"/>
          <w:bCs/>
          <w:color w:val="auto"/>
          <w:sz w:val="24"/>
          <w:highlight w:val="none"/>
        </w:rPr>
        <w:t xml:space="preserve">。</w:t>
      </w:r>
      <w:r/>
    </w:p>
    <w:p>
      <w:pPr>
        <w:pStyle w:val="736"/>
        <w:ind w:left="0" w:right="0" w:firstLine="0"/>
        <w:jc w:val="left"/>
        <w:keepLines w:val="0"/>
        <w:keepNext w:val="0"/>
        <w:pageBreakBefore w:val="0"/>
        <w:spacing w:before="0" w:beforeAutospacing="0" w:after="0" w:afterAutospacing="0" w:line="360" w:lineRule="auto"/>
        <w:widowControl w:val="off"/>
        <w:rPr>
          <w:rFonts w:hint="eastAsia" w:ascii="宋体" w:hAnsi="宋体" w:eastAsia="宋体" w:cs="宋体"/>
          <w:b/>
          <w:color w:val="auto"/>
          <w:sz w:val="24"/>
          <w:szCs w:val="30"/>
          <w:highlight w:val="none"/>
        </w:rPr>
        <w:outlineLvl w:val="1"/>
      </w:pPr>
      <w:r/>
      <w:bookmarkStart w:id="125" w:name="_Hlt26954739"/>
      <w:r/>
      <w:bookmarkEnd w:id="125"/>
      <w:r/>
      <w:bookmarkStart w:id="126" w:name="_Hlt26954852"/>
      <w:r/>
      <w:bookmarkEnd w:id="126"/>
      <w:r/>
      <w:bookmarkStart w:id="127" w:name="_Toc120614217"/>
      <w:r/>
      <w:bookmarkStart w:id="128" w:name="_Toc20823296"/>
      <w:r/>
      <w:bookmarkStart w:id="129" w:name="_Toc513029224"/>
      <w:r/>
      <w:bookmarkStart w:id="130" w:name="_Toc16938540"/>
      <w:r>
        <w:rPr>
          <w:rFonts w:hint="eastAsia" w:ascii="宋体" w:hAnsi="宋体" w:eastAsia="宋体" w:cs="宋体"/>
          <w:b/>
          <w:color w:val="auto"/>
          <w:sz w:val="24"/>
          <w:szCs w:val="30"/>
          <w:highlight w:val="none"/>
        </w:rPr>
        <w:t xml:space="preserve">四、投标文件的递交</w:t>
      </w:r>
      <w:bookmarkEnd w:id="127"/>
      <w:r/>
      <w:bookmarkEnd w:id="128"/>
      <w:r/>
      <w:bookmarkEnd w:id="129"/>
      <w:r/>
      <w:bookmarkEnd w:id="130"/>
      <w:r/>
      <w:r/>
    </w:p>
    <w:p>
      <w:pPr>
        <w:pStyle w:val="738"/>
        <w:ind w:left="0" w:right="0" w:firstLine="482"/>
        <w:jc w:val="left"/>
        <w:keepLines w:val="0"/>
        <w:keepNext w:val="0"/>
        <w:pageBreakBefore w:val="0"/>
        <w:spacing w:before="0" w:beforeAutospacing="0" w:after="0" w:afterAutospacing="0" w:line="360" w:lineRule="auto"/>
        <w:widowControl w:val="off"/>
        <w:rPr>
          <w:rFonts w:hint="eastAsia" w:ascii="宋体" w:hAnsi="宋体" w:eastAsia="宋体" w:cs="宋体"/>
          <w:bCs w:val="0"/>
          <w:color w:val="auto"/>
          <w:sz w:val="24"/>
          <w:highlight w:val="none"/>
        </w:rPr>
      </w:pPr>
      <w:r/>
      <w:bookmarkStart w:id="131" w:name="_Toc462564084"/>
      <w:r/>
      <w:bookmarkStart w:id="132" w:name="_Toc16938541"/>
      <w:r/>
      <w:bookmarkStart w:id="133" w:name="_Toc20823297"/>
      <w:r/>
      <w:bookmarkStart w:id="134" w:name="_Toc513029225"/>
      <w:r>
        <w:rPr>
          <w:rFonts w:hint="eastAsia" w:ascii="宋体" w:hAnsi="宋体" w:eastAsia="宋体" w:cs="宋体"/>
          <w:bCs w:val="0"/>
          <w:color w:val="auto"/>
          <w:sz w:val="24"/>
          <w:highlight w:val="none"/>
        </w:rPr>
        <w:t xml:space="preserve">17.投标文件</w:t>
      </w:r>
      <w:bookmarkEnd w:id="131"/>
      <w:r/>
      <w:bookmarkEnd w:id="132"/>
      <w:r/>
      <w:bookmarkEnd w:id="133"/>
      <w:r/>
      <w:bookmarkEnd w:id="134"/>
      <w:r>
        <w:rPr>
          <w:rFonts w:hint="eastAsia" w:ascii="宋体" w:hAnsi="宋体" w:eastAsia="宋体" w:cs="宋体"/>
          <w:bCs w:val="0"/>
          <w:color w:val="auto"/>
          <w:sz w:val="24"/>
          <w:highlight w:val="none"/>
        </w:rPr>
        <w:t xml:space="preserve">的递交</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17.1</w:t>
      </w:r>
      <w:r>
        <w:rPr>
          <w:rFonts w:hint="eastAsia" w:ascii="宋体" w:hAnsi="宋体" w:eastAsia="宋体" w:cs="宋体"/>
          <w:bCs/>
          <w:color w:val="auto"/>
          <w:sz w:val="24"/>
          <w:highlight w:val="none"/>
        </w:rPr>
        <w:t xml:space="preserve">电子投标文件的递交</w:t>
      </w:r>
      <w:r/>
    </w:p>
    <w:p>
      <w:pPr>
        <w:pStyle w:val="857"/>
        <w:ind w:left="0" w:right="0" w:firstLine="480"/>
        <w:jc w:val="left"/>
        <w:keepLines w:val="0"/>
        <w:keepNext w:val="0"/>
        <w:pageBreakBefore w:val="0"/>
        <w:spacing w:beforeAutospacing="0" w:afterAutospacing="0"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投标人应当按照《操作手册》规定，在投标截止时间前制作并上传电子投标文件。</w:t>
      </w:r>
      <w:bookmarkStart w:id="135" w:name="_Toc20823298"/>
      <w:r/>
      <w:bookmarkStart w:id="136" w:name="_Toc16938542"/>
      <w:r/>
      <w:bookmarkStart w:id="137" w:name="_Toc513029226"/>
      <w:r/>
      <w:r/>
    </w:p>
    <w:p>
      <w:pPr>
        <w:pStyle w:val="738"/>
        <w:ind w:left="0" w:right="0" w:firstLine="482"/>
        <w:jc w:val="left"/>
        <w:keepLines w:val="0"/>
        <w:keepNext w:val="0"/>
        <w:pageBreakBefore w:val="0"/>
        <w:spacing w:before="0" w:beforeAutospacing="0" w:after="0" w:afterAutospacing="0" w:line="360" w:lineRule="auto"/>
        <w:widowControl w:val="off"/>
        <w:rPr>
          <w:rFonts w:hint="eastAsia" w:ascii="宋体" w:hAnsi="宋体" w:eastAsia="宋体" w:cs="宋体"/>
          <w:bCs w:val="0"/>
          <w:color w:val="auto"/>
          <w:sz w:val="24"/>
          <w:highlight w:val="none"/>
        </w:rPr>
      </w:pPr>
      <w:r>
        <w:rPr>
          <w:rFonts w:hint="eastAsia" w:ascii="宋体" w:hAnsi="宋体" w:eastAsia="宋体" w:cs="宋体"/>
          <w:bCs w:val="0"/>
          <w:color w:val="auto"/>
          <w:sz w:val="24"/>
          <w:highlight w:val="none"/>
        </w:rPr>
        <w:t xml:space="preserve">18.投标截止</w:t>
      </w:r>
      <w:bookmarkEnd w:id="135"/>
      <w:r/>
      <w:bookmarkEnd w:id="136"/>
      <w:r/>
      <w:bookmarkEnd w:id="137"/>
      <w:r>
        <w:rPr>
          <w:rFonts w:hint="eastAsia" w:ascii="宋体" w:hAnsi="宋体" w:eastAsia="宋体" w:cs="宋体"/>
          <w:bCs w:val="0"/>
          <w:color w:val="auto"/>
          <w:sz w:val="24"/>
          <w:highlight w:val="none"/>
        </w:rPr>
        <w:t xml:space="preserve">时间</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18.1</w:t>
      </w:r>
      <w:r>
        <w:rPr>
          <w:rFonts w:hint="eastAsia" w:ascii="宋体" w:hAnsi="宋体" w:eastAsia="宋体" w:cs="宋体"/>
          <w:bCs/>
          <w:color w:val="auto"/>
          <w:sz w:val="24"/>
          <w:highlight w:val="none"/>
        </w:rPr>
        <w:t xml:space="preserve">投标人上传电子投标文件的时间不得迟于招标公告中规定的投标截止时间。</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投标人应</w:t>
      </w:r>
      <w:r>
        <w:rPr>
          <w:rFonts w:hint="eastAsia" w:ascii="宋体" w:hAnsi="宋体" w:eastAsia="宋体" w:cs="宋体"/>
          <w:bCs/>
          <w:color w:val="auto"/>
          <w:sz w:val="24"/>
          <w:highlight w:val="none"/>
          <w:lang w:eastAsia="zh-CN"/>
        </w:rPr>
        <w:t xml:space="preserve">充分考虑</w:t>
      </w:r>
      <w:r>
        <w:rPr>
          <w:rFonts w:hint="eastAsia" w:ascii="宋体" w:hAnsi="宋体" w:eastAsia="宋体" w:cs="宋体"/>
          <w:bCs/>
          <w:color w:val="auto"/>
          <w:sz w:val="24"/>
          <w:highlight w:val="none"/>
        </w:rPr>
        <w:t xml:space="preserve">网络环境、网络带宽等风险因素，如因投标人自身原因造成的电子投标文件上传不成功的视作投标人未按照招标文件要求上传电子投标文件，</w:t>
      </w:r>
      <w:r>
        <w:rPr>
          <w:rFonts w:hint="eastAsia" w:ascii="宋体" w:hAnsi="宋体" w:eastAsia="宋体" w:cs="宋体"/>
          <w:bCs/>
          <w:color w:val="auto"/>
          <w:sz w:val="24"/>
          <w:highlight w:val="none"/>
          <w:lang w:eastAsia="zh-CN"/>
        </w:rPr>
        <w:t xml:space="preserve">作</w:t>
      </w:r>
      <w:r>
        <w:rPr>
          <w:rFonts w:hint="eastAsia" w:ascii="宋体" w:hAnsi="宋体" w:eastAsia="宋体" w:cs="宋体"/>
          <w:bCs/>
          <w:color w:val="auto"/>
          <w:sz w:val="24"/>
          <w:highlight w:val="none"/>
        </w:rPr>
        <w:t xml:space="preserve">无效投标处理。</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18.2</w:t>
      </w:r>
      <w:r>
        <w:rPr>
          <w:rFonts w:hint="eastAsia" w:ascii="宋体" w:hAnsi="宋体" w:eastAsia="宋体" w:cs="宋体"/>
          <w:bCs/>
          <w:color w:val="auto"/>
          <w:sz w:val="24"/>
          <w:highlight w:val="none"/>
          <w:lang w:eastAsia="zh-CN"/>
        </w:rPr>
        <w:t xml:space="preserve">代理机构</w:t>
      </w:r>
      <w:r>
        <w:rPr>
          <w:rFonts w:hint="eastAsia" w:ascii="宋体" w:hAnsi="宋体" w:eastAsia="宋体" w:cs="宋体"/>
          <w:bCs/>
          <w:color w:val="auto"/>
          <w:sz w:val="24"/>
          <w:highlight w:val="none"/>
        </w:rPr>
        <w:t xml:space="preserve">可以按照规定，通过更正公告修改投标截止时间，投标人的所有权利和义务以及投标人受制的截止时间均应以延长后新的截止时间为准。</w:t>
      </w:r>
      <w:r/>
    </w:p>
    <w:p>
      <w:pPr>
        <w:pStyle w:val="738"/>
        <w:ind w:left="0" w:right="0" w:firstLine="482"/>
        <w:jc w:val="left"/>
        <w:keepLines w:val="0"/>
        <w:keepNext w:val="0"/>
        <w:pageBreakBefore w:val="0"/>
        <w:spacing w:before="0" w:beforeAutospacing="0" w:after="0" w:afterAutospacing="0" w:line="360" w:lineRule="auto"/>
        <w:widowControl w:val="off"/>
        <w:rPr>
          <w:rFonts w:hint="eastAsia" w:ascii="宋体" w:hAnsi="宋体" w:eastAsia="宋体" w:cs="宋体"/>
          <w:bCs w:val="0"/>
          <w:color w:val="auto"/>
          <w:sz w:val="24"/>
          <w:highlight w:val="none"/>
        </w:rPr>
      </w:pPr>
      <w:r/>
      <w:bookmarkStart w:id="138" w:name="_Toc513029227"/>
      <w:r/>
      <w:bookmarkStart w:id="139" w:name="_Toc20823299"/>
      <w:r/>
      <w:bookmarkStart w:id="140" w:name="_Toc16938543"/>
      <w:r>
        <w:rPr>
          <w:rFonts w:hint="eastAsia" w:ascii="宋体" w:hAnsi="宋体" w:eastAsia="宋体" w:cs="宋体"/>
          <w:bCs w:val="0"/>
          <w:color w:val="auto"/>
          <w:sz w:val="24"/>
          <w:highlight w:val="none"/>
        </w:rPr>
        <w:t xml:space="preserve">19.投标文件</w:t>
      </w:r>
      <w:bookmarkEnd w:id="138"/>
      <w:r/>
      <w:bookmarkEnd w:id="139"/>
      <w:r/>
      <w:bookmarkEnd w:id="140"/>
      <w:r>
        <w:rPr>
          <w:rFonts w:hint="eastAsia" w:ascii="宋体" w:hAnsi="宋体" w:eastAsia="宋体" w:cs="宋体"/>
          <w:bCs w:val="0"/>
          <w:color w:val="auto"/>
          <w:sz w:val="24"/>
          <w:highlight w:val="none"/>
        </w:rPr>
        <w:t xml:space="preserve">的拒收</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19.1</w:t>
      </w:r>
      <w:r>
        <w:rPr>
          <w:rFonts w:hint="eastAsia" w:ascii="宋体" w:hAnsi="宋体" w:eastAsia="宋体" w:cs="宋体"/>
          <w:bCs/>
          <w:color w:val="auto"/>
          <w:sz w:val="24"/>
          <w:highlight w:val="none"/>
          <w:lang w:eastAsia="zh-CN"/>
        </w:rPr>
        <w:t xml:space="preserve">代理机构</w:t>
      </w:r>
      <w:r>
        <w:rPr>
          <w:rFonts w:hint="eastAsia" w:ascii="宋体" w:hAnsi="宋体" w:eastAsia="宋体" w:cs="宋体"/>
          <w:bCs/>
          <w:color w:val="auto"/>
          <w:sz w:val="24"/>
          <w:highlight w:val="none"/>
        </w:rPr>
        <w:t xml:space="preserve">拒绝接收在其规定的投标截止时间后上传的任何投标文件。</w:t>
      </w:r>
      <w:r/>
    </w:p>
    <w:p>
      <w:pPr>
        <w:pStyle w:val="738"/>
        <w:ind w:left="0" w:right="0" w:firstLine="482"/>
        <w:jc w:val="left"/>
        <w:keepLines w:val="0"/>
        <w:keepNext w:val="0"/>
        <w:pageBreakBefore w:val="0"/>
        <w:spacing w:before="0" w:beforeAutospacing="0" w:after="0" w:afterAutospacing="0" w:line="360" w:lineRule="auto"/>
        <w:widowControl w:val="off"/>
        <w:rPr>
          <w:rFonts w:hint="eastAsia" w:ascii="宋体" w:hAnsi="宋体" w:eastAsia="宋体" w:cs="宋体"/>
          <w:bCs w:val="0"/>
          <w:color w:val="auto"/>
          <w:sz w:val="24"/>
          <w:highlight w:val="none"/>
        </w:rPr>
      </w:pPr>
      <w:r/>
      <w:bookmarkStart w:id="141" w:name="_Toc20823300"/>
      <w:r/>
      <w:bookmarkStart w:id="142" w:name="_Toc513029228"/>
      <w:r/>
      <w:bookmarkStart w:id="143" w:name="_Toc16938544"/>
      <w:r>
        <w:rPr>
          <w:rFonts w:hint="eastAsia" w:ascii="宋体" w:hAnsi="宋体" w:eastAsia="宋体" w:cs="宋体"/>
          <w:bCs w:val="0"/>
          <w:color w:val="auto"/>
          <w:sz w:val="24"/>
          <w:highlight w:val="none"/>
        </w:rPr>
        <w:t xml:space="preserve">20.投标文件的撤回和修改</w:t>
      </w:r>
      <w:bookmarkEnd w:id="141"/>
      <w:r/>
      <w:bookmarkEnd w:id="142"/>
      <w:r/>
      <w:bookmarkEnd w:id="143"/>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20.1投标文件的撤回</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21.1.1电子投标文件的撤回</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投标人可在投标截止时间前，撤回其电子投标文件，具体操作方法见《操作手册》。</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21.1.2投标人撤回电子投标文件，则认为其不再参与本项目投标活动。</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20.2投标文件的修改</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20.2.1投标人可在投标截止时间前，对其电子投标文件进行修改，具体操作方法见《操作手册》。</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20.2.2</w:t>
      </w:r>
      <w:r>
        <w:rPr>
          <w:rFonts w:hint="eastAsia" w:ascii="宋体" w:hAnsi="宋体" w:eastAsia="宋体" w:cs="宋体"/>
          <w:bCs/>
          <w:color w:val="auto"/>
          <w:sz w:val="24"/>
          <w:highlight w:val="none"/>
        </w:rPr>
        <w:t xml:space="preserve">在投标截止时间之后，投标人不得对其电子投标文件作任何修改。</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20.3</w:t>
      </w:r>
      <w:r>
        <w:rPr>
          <w:rFonts w:hint="eastAsia" w:ascii="宋体" w:hAnsi="宋体" w:eastAsia="宋体" w:cs="宋体"/>
          <w:bCs/>
          <w:color w:val="auto"/>
          <w:sz w:val="24"/>
          <w:highlight w:val="none"/>
        </w:rPr>
        <w:t xml:space="preserve">在投标截止时间至招标文件中规定的投标有效期满之间的这段时间内，投标人不得撤回其投标。</w:t>
      </w:r>
      <w:r/>
    </w:p>
    <w:p>
      <w:pPr>
        <w:pStyle w:val="736"/>
        <w:ind w:left="0" w:right="0" w:firstLine="0"/>
        <w:jc w:val="left"/>
        <w:keepLines w:val="0"/>
        <w:keepNext w:val="0"/>
        <w:pageBreakBefore w:val="0"/>
        <w:spacing w:before="0" w:beforeAutospacing="0" w:after="0" w:afterAutospacing="0" w:line="360" w:lineRule="auto"/>
        <w:widowControl w:val="off"/>
        <w:rPr>
          <w:rFonts w:hint="eastAsia" w:ascii="宋体" w:hAnsi="宋体" w:eastAsia="宋体" w:cs="宋体"/>
          <w:b/>
          <w:color w:val="auto"/>
          <w:sz w:val="24"/>
          <w:szCs w:val="30"/>
          <w:highlight w:val="none"/>
        </w:rPr>
        <w:outlineLvl w:val="1"/>
      </w:pPr>
      <w:r/>
      <w:bookmarkStart w:id="144" w:name="_Toc20823301"/>
      <w:r/>
      <w:bookmarkStart w:id="145" w:name="_Toc513029229"/>
      <w:r/>
      <w:bookmarkStart w:id="146" w:name="_Toc16938545"/>
      <w:r/>
      <w:bookmarkStart w:id="147" w:name="_Toc120614218"/>
      <w:r>
        <w:rPr>
          <w:rFonts w:hint="eastAsia" w:ascii="宋体" w:hAnsi="宋体" w:eastAsia="宋体" w:cs="宋体"/>
          <w:b/>
          <w:color w:val="auto"/>
          <w:sz w:val="24"/>
          <w:szCs w:val="30"/>
          <w:highlight w:val="none"/>
        </w:rPr>
        <w:t xml:space="preserve">五、开标与评标</w:t>
      </w:r>
      <w:bookmarkEnd w:id="144"/>
      <w:r/>
      <w:bookmarkEnd w:id="145"/>
      <w:r/>
      <w:bookmarkEnd w:id="146"/>
      <w:r/>
      <w:bookmarkEnd w:id="147"/>
      <w:r/>
      <w:r/>
    </w:p>
    <w:p>
      <w:pPr>
        <w:pStyle w:val="738"/>
        <w:ind w:left="0" w:right="0" w:firstLine="482"/>
        <w:jc w:val="left"/>
        <w:keepLines w:val="0"/>
        <w:keepNext w:val="0"/>
        <w:pageBreakBefore w:val="0"/>
        <w:spacing w:before="0" w:beforeAutospacing="0" w:after="0" w:afterAutospacing="0" w:line="360" w:lineRule="auto"/>
        <w:widowControl w:val="off"/>
        <w:rPr>
          <w:rFonts w:hint="eastAsia" w:ascii="宋体" w:hAnsi="宋体" w:eastAsia="宋体" w:cs="宋体"/>
          <w:bCs w:val="0"/>
          <w:color w:val="auto"/>
          <w:sz w:val="24"/>
          <w:highlight w:val="none"/>
        </w:rPr>
      </w:pPr>
      <w:r/>
      <w:bookmarkStart w:id="148" w:name="_Toc16938546"/>
      <w:r/>
      <w:bookmarkStart w:id="149" w:name="_Toc513029230"/>
      <w:r/>
      <w:bookmarkStart w:id="150" w:name="_Toc20823302"/>
      <w:r>
        <w:rPr>
          <w:rFonts w:hint="eastAsia" w:ascii="宋体" w:hAnsi="宋体" w:eastAsia="宋体" w:cs="宋体"/>
          <w:bCs w:val="0"/>
          <w:color w:val="auto"/>
          <w:sz w:val="24"/>
          <w:highlight w:val="none"/>
        </w:rPr>
        <w:t xml:space="preserve">21.开标</w:t>
      </w:r>
      <w:bookmarkEnd w:id="148"/>
      <w:r/>
      <w:bookmarkEnd w:id="149"/>
      <w:r/>
      <w:bookmarkEnd w:id="150"/>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21.1</w:t>
      </w:r>
      <w:r>
        <w:rPr>
          <w:rFonts w:hint="eastAsia" w:ascii="宋体" w:hAnsi="宋体" w:eastAsia="宋体" w:cs="宋体"/>
          <w:bCs/>
          <w:color w:val="auto"/>
          <w:sz w:val="24"/>
          <w:highlight w:val="none"/>
          <w:lang w:eastAsia="zh-CN"/>
        </w:rPr>
        <w:t xml:space="preserve">代理机构</w:t>
      </w:r>
      <w:r>
        <w:rPr>
          <w:rFonts w:hint="eastAsia" w:ascii="宋体" w:hAnsi="宋体" w:eastAsia="宋体" w:cs="宋体"/>
          <w:bCs/>
          <w:color w:val="auto"/>
          <w:sz w:val="24"/>
          <w:highlight w:val="none"/>
        </w:rPr>
        <w:t xml:space="preserve">将在招标公告中规定的时间和地点组织公开开标</w:t>
      </w:r>
      <w:r>
        <w:rPr>
          <w:rFonts w:hint="eastAsia" w:ascii="宋体" w:hAnsi="宋体" w:eastAsia="宋体" w:cs="宋体"/>
          <w:color w:val="auto"/>
          <w:sz w:val="24"/>
          <w:szCs w:val="24"/>
          <w:highlight w:val="none"/>
        </w:rPr>
        <w:t xml:space="preserve">。投标人应当按照《操作手册》规定，参加开标活动和在</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szCs w:val="24"/>
          <w:highlight w:val="none"/>
        </w:rPr>
        <w:t xml:space="preserve">规定的时间内对投标文件进行解密。</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21.2开标仪式由</w:t>
      </w:r>
      <w:r>
        <w:rPr>
          <w:rFonts w:hint="eastAsia" w:ascii="宋体" w:hAnsi="宋体" w:eastAsia="宋体" w:cs="宋体"/>
          <w:color w:val="auto"/>
          <w:sz w:val="24"/>
          <w:highlight w:val="none"/>
          <w:lang w:eastAsia="zh-CN"/>
        </w:rPr>
        <w:t xml:space="preserve">代理机构</w:t>
      </w:r>
      <w:r>
        <w:rPr>
          <w:rFonts w:hint="eastAsia" w:ascii="宋体" w:hAnsi="宋体" w:eastAsia="宋体" w:cs="宋体"/>
          <w:color w:val="auto"/>
          <w:sz w:val="24"/>
          <w:highlight w:val="none"/>
        </w:rPr>
        <w:t xml:space="preserve">组织。</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highlight w:val="none"/>
        </w:rPr>
        <w:t xml:space="preserve">将自动对项目进行开标，并宣布各投标人名称和投标价格。</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21.3投标人在开标过程中</w:t>
      </w:r>
      <w:r>
        <w:rPr>
          <w:rFonts w:hint="eastAsia" w:ascii="宋体" w:hAnsi="宋体" w:eastAsia="宋体" w:cs="宋体"/>
          <w:color w:val="auto"/>
          <w:sz w:val="24"/>
          <w:highlight w:val="none"/>
          <w:lang w:eastAsia="zh-CN"/>
        </w:rPr>
        <w:t xml:space="preserve">涉及的</w:t>
      </w:r>
      <w:r>
        <w:rPr>
          <w:rFonts w:hint="eastAsia" w:ascii="宋体" w:hAnsi="宋体" w:eastAsia="宋体" w:cs="宋体"/>
          <w:color w:val="auto"/>
          <w:sz w:val="24"/>
          <w:highlight w:val="none"/>
        </w:rPr>
        <w:t xml:space="preserve">投标文件解密、开标结果确认等工作，应按照《操作手册》规定执行。</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21.4投标人如果对开标过程和开标记录有疑义，应当根据《操作手册》规定提出，如</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highlight w:val="none"/>
        </w:rPr>
        <w:t xml:space="preserve">中《开标记录表》宣布后5分钟内未提出的，视同认可开标结果。</w:t>
      </w:r>
      <w:r/>
    </w:p>
    <w:p>
      <w:pPr>
        <w:pStyle w:val="738"/>
        <w:ind w:left="0" w:right="0" w:firstLine="482"/>
        <w:jc w:val="left"/>
        <w:keepLines w:val="0"/>
        <w:keepNext w:val="0"/>
        <w:pageBreakBefore w:val="0"/>
        <w:spacing w:before="0" w:beforeAutospacing="0" w:after="0" w:afterAutospacing="0" w:line="360" w:lineRule="auto"/>
        <w:widowControl w:val="off"/>
        <w:rPr>
          <w:rFonts w:hint="eastAsia" w:ascii="宋体" w:hAnsi="宋体" w:eastAsia="宋体" w:cs="宋体"/>
          <w:bCs w:val="0"/>
          <w:color w:val="auto"/>
          <w:sz w:val="24"/>
          <w:highlight w:val="none"/>
        </w:rPr>
      </w:pPr>
      <w:r/>
      <w:bookmarkStart w:id="151" w:name="_Toc16938547"/>
      <w:r/>
      <w:bookmarkStart w:id="152" w:name="_Toc513029231"/>
      <w:r/>
      <w:bookmarkStart w:id="153" w:name="_Toc20823303"/>
      <w:r>
        <w:rPr>
          <w:rFonts w:hint="eastAsia" w:ascii="宋体" w:hAnsi="宋体" w:eastAsia="宋体" w:cs="宋体"/>
          <w:bCs w:val="0"/>
          <w:color w:val="auto"/>
          <w:sz w:val="24"/>
          <w:highlight w:val="none"/>
        </w:rPr>
        <w:t xml:space="preserve">22.评标委员会</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22.1开标后，</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将立即组织评标委员会（以下简称评委会）进行评标。</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22.2评委会依法组建，且人员构成符合政府采购有关规定。</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22.3评委会独立工作，负责评审所有投标文件并确定中标</w:t>
      </w:r>
      <w:r>
        <w:rPr>
          <w:rFonts w:hint="eastAsia" w:ascii="宋体" w:hAnsi="宋体" w:eastAsia="宋体" w:cs="宋体"/>
          <w:color w:val="auto"/>
          <w:sz w:val="24"/>
          <w:szCs w:val="24"/>
          <w:highlight w:val="none"/>
          <w:lang w:eastAsia="zh-CN"/>
        </w:rPr>
        <w:t xml:space="preserve">候选人</w:t>
      </w:r>
      <w:r>
        <w:rPr>
          <w:rFonts w:hint="eastAsia" w:ascii="宋体" w:hAnsi="宋体" w:eastAsia="宋体" w:cs="宋体"/>
          <w:color w:val="auto"/>
          <w:sz w:val="24"/>
          <w:szCs w:val="24"/>
          <w:highlight w:val="none"/>
        </w:rPr>
        <w:t xml:space="preserve">。</w:t>
      </w:r>
      <w:r/>
    </w:p>
    <w:p>
      <w:pPr>
        <w:pStyle w:val="738"/>
        <w:ind w:left="0" w:right="0" w:firstLine="482"/>
        <w:jc w:val="left"/>
        <w:keepLines w:val="0"/>
        <w:keepNext w:val="0"/>
        <w:pageBreakBefore w:val="0"/>
        <w:spacing w:before="0" w:beforeAutospacing="0" w:after="0" w:afterAutospacing="0" w:line="360" w:lineRule="auto"/>
        <w:widowControl w:val="off"/>
        <w:rPr>
          <w:rFonts w:hint="eastAsia" w:ascii="宋体" w:hAnsi="宋体" w:eastAsia="宋体" w:cs="宋体"/>
          <w:bCs w:val="0"/>
          <w:color w:val="auto"/>
          <w:sz w:val="24"/>
          <w:highlight w:val="none"/>
        </w:rPr>
      </w:pPr>
      <w:r>
        <w:rPr>
          <w:rFonts w:hint="eastAsia" w:ascii="宋体" w:hAnsi="宋体" w:eastAsia="宋体" w:cs="宋体"/>
          <w:bCs w:val="0"/>
          <w:color w:val="auto"/>
          <w:sz w:val="24"/>
          <w:highlight w:val="none"/>
        </w:rPr>
        <w:t xml:space="preserve">23.评标过程的保密与公正</w:t>
      </w:r>
      <w:bookmarkEnd w:id="151"/>
      <w:bookmarkEnd w:id="152"/>
      <w:bookmarkEnd w:id="153"/>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23.1</w:t>
      </w:r>
      <w:r>
        <w:rPr>
          <w:rFonts w:hint="eastAsia" w:ascii="宋体" w:hAnsi="宋体" w:eastAsia="宋体" w:cs="宋体"/>
          <w:color w:val="auto"/>
          <w:sz w:val="24"/>
          <w:highlight w:val="none"/>
          <w:lang w:eastAsia="zh-CN"/>
        </w:rPr>
        <w:t xml:space="preserve">凡</w:t>
      </w:r>
      <w:r>
        <w:rPr>
          <w:rFonts w:hint="eastAsia" w:ascii="宋体" w:hAnsi="宋体" w:eastAsia="宋体" w:cs="宋体"/>
          <w:bCs/>
          <w:color w:val="auto"/>
          <w:sz w:val="24"/>
          <w:highlight w:val="none"/>
        </w:rPr>
        <w:t xml:space="preserve">与审查、澄清、评价和比较投标的有关资料以及</w:t>
      </w:r>
      <w:r>
        <w:rPr>
          <w:rFonts w:hint="eastAsia" w:ascii="宋体" w:hAnsi="宋体" w:eastAsia="宋体" w:cs="宋体"/>
          <w:bCs/>
          <w:color w:val="auto"/>
          <w:sz w:val="24"/>
          <w:highlight w:val="none"/>
          <w:lang w:eastAsia="zh-CN"/>
        </w:rPr>
        <w:t xml:space="preserve">投标</w:t>
      </w:r>
      <w:r>
        <w:rPr>
          <w:rFonts w:hint="eastAsia" w:ascii="宋体" w:hAnsi="宋体" w:eastAsia="宋体" w:cs="宋体"/>
          <w:bCs/>
          <w:color w:val="auto"/>
          <w:sz w:val="24"/>
          <w:highlight w:val="none"/>
        </w:rPr>
        <w:t xml:space="preserve">建议等，采购人、评委、</w:t>
      </w:r>
      <w:r>
        <w:rPr>
          <w:rFonts w:hint="eastAsia" w:ascii="宋体" w:hAnsi="宋体" w:eastAsia="宋体" w:cs="宋体"/>
          <w:bCs/>
          <w:color w:val="auto"/>
          <w:sz w:val="24"/>
          <w:highlight w:val="none"/>
          <w:lang w:eastAsia="zh-CN"/>
        </w:rPr>
        <w:t xml:space="preserve">代理机构</w:t>
      </w:r>
      <w:r>
        <w:rPr>
          <w:rFonts w:hint="eastAsia" w:ascii="宋体" w:hAnsi="宋体" w:eastAsia="宋体" w:cs="宋体"/>
          <w:bCs/>
          <w:color w:val="auto"/>
          <w:sz w:val="24"/>
          <w:highlight w:val="none"/>
        </w:rPr>
        <w:t xml:space="preserve">均不得向投标人或与评标无关的其他人员透露。</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23.2</w:t>
      </w:r>
      <w:r>
        <w:rPr>
          <w:rFonts w:hint="eastAsia" w:ascii="宋体" w:hAnsi="宋体" w:eastAsia="宋体" w:cs="宋体"/>
          <w:color w:val="auto"/>
          <w:sz w:val="24"/>
          <w:szCs w:val="24"/>
          <w:highlight w:val="none"/>
        </w:rPr>
        <w:t xml:space="preserve">在评标过程中，投标人不得以任何行为影响评标过程，否则其投标文件将被作为无效投标文件。</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23.3</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和评标委员会不向未中标的投标人解释未中标原因，也不公布评标过程中的相关细节。</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23.4采用综合评分法的项目，未中标的投标人可于中标结果公告发布后通过</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szCs w:val="24"/>
          <w:highlight w:val="none"/>
        </w:rPr>
        <w:t xml:space="preserve">查看自己的评审得分及排序情况。</w:t>
      </w:r>
      <w:r/>
    </w:p>
    <w:p>
      <w:pPr>
        <w:pStyle w:val="738"/>
        <w:ind w:left="0" w:right="0" w:firstLine="482"/>
        <w:jc w:val="left"/>
        <w:keepLines w:val="0"/>
        <w:keepNext w:val="0"/>
        <w:pageBreakBefore w:val="0"/>
        <w:spacing w:before="0" w:beforeAutospacing="0" w:after="0" w:afterAutospacing="0" w:line="360" w:lineRule="auto"/>
        <w:widowControl w:val="off"/>
        <w:rPr>
          <w:rFonts w:hint="eastAsia" w:ascii="宋体" w:hAnsi="宋体" w:eastAsia="宋体" w:cs="宋体"/>
          <w:bCs w:val="0"/>
          <w:color w:val="auto"/>
          <w:sz w:val="24"/>
          <w:highlight w:val="none"/>
        </w:rPr>
      </w:pPr>
      <w:r/>
      <w:bookmarkStart w:id="154" w:name="_Toc513029232"/>
      <w:r/>
      <w:bookmarkStart w:id="155" w:name="_Toc16938548"/>
      <w:r/>
      <w:bookmarkStart w:id="156" w:name="_Toc20823304"/>
      <w:r>
        <w:rPr>
          <w:rFonts w:hint="eastAsia" w:ascii="宋体" w:hAnsi="宋体" w:eastAsia="宋体" w:cs="宋体"/>
          <w:bCs w:val="0"/>
          <w:color w:val="auto"/>
          <w:sz w:val="24"/>
          <w:highlight w:val="none"/>
        </w:rPr>
        <w:t xml:space="preserve">24.投标文件的澄清</w:t>
      </w:r>
      <w:bookmarkEnd w:id="154"/>
      <w:r/>
      <w:bookmarkEnd w:id="155"/>
      <w:r/>
      <w:bookmarkEnd w:id="156"/>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24.1评标期间，评委会对投标文件中含义不明确、同类问题表述不一致或者有明显文字和计算错误的内容，有权要求投标人作出必要的澄清、说明或者补正。</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投标人的澄清、说明或者补正不得超出投标文件的范围或者改变投标文件的实质性内容。</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24.2需要供应商进行澄清、说明和补正的，评委会将通过</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szCs w:val="24"/>
          <w:highlight w:val="none"/>
        </w:rPr>
        <w:t xml:space="preserve">向供应商发出“澄清要求函”，接到“澄清要求函”的投标人应当按照要求在</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szCs w:val="24"/>
          <w:highlight w:val="none"/>
        </w:rPr>
        <w:t xml:space="preserve">中提交“澄清响应函”并加盖CA电子公章。澄清、说明和补正的内容作为投标文件的补充部分，具体操作方式见《操作手册》。</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24.3接到评委会澄清、说明和补正要求的投标人如未按规定及时</w:t>
      </w:r>
      <w:r>
        <w:rPr>
          <w:rFonts w:hint="eastAsia" w:ascii="宋体" w:hAnsi="宋体" w:eastAsia="宋体" w:cs="宋体"/>
          <w:color w:val="auto"/>
          <w:sz w:val="24"/>
          <w:szCs w:val="24"/>
          <w:highlight w:val="none"/>
          <w:lang w:eastAsia="zh-CN"/>
        </w:rPr>
        <w:t xml:space="preserve">作出</w:t>
      </w:r>
      <w:r>
        <w:rPr>
          <w:rFonts w:hint="eastAsia" w:ascii="宋体" w:hAnsi="宋体" w:eastAsia="宋体" w:cs="宋体"/>
          <w:color w:val="auto"/>
          <w:sz w:val="24"/>
          <w:szCs w:val="24"/>
          <w:highlight w:val="none"/>
        </w:rPr>
        <w:t xml:space="preserve">澄清、说明和补正，其风险由投标人自行承担。</w:t>
      </w:r>
      <w:r/>
    </w:p>
    <w:p>
      <w:pPr>
        <w:pStyle w:val="738"/>
        <w:ind w:left="0" w:right="0" w:firstLine="482"/>
        <w:jc w:val="left"/>
        <w:keepLines w:val="0"/>
        <w:keepNext w:val="0"/>
        <w:pageBreakBefore w:val="0"/>
        <w:spacing w:before="0" w:beforeAutospacing="0" w:after="0" w:afterAutospacing="0" w:line="360" w:lineRule="auto"/>
        <w:widowControl w:val="off"/>
        <w:rPr>
          <w:rFonts w:hint="eastAsia" w:ascii="宋体" w:hAnsi="宋体" w:eastAsia="宋体" w:cs="宋体"/>
          <w:bCs w:val="0"/>
          <w:color w:val="auto"/>
          <w:sz w:val="24"/>
          <w:highlight w:val="none"/>
        </w:rPr>
      </w:pPr>
      <w:r/>
      <w:bookmarkStart w:id="157" w:name="_Toc16938549"/>
      <w:r/>
      <w:bookmarkStart w:id="158" w:name="_Toc20823305"/>
      <w:r/>
      <w:bookmarkStart w:id="159" w:name="_Toc513029233"/>
      <w:r>
        <w:rPr>
          <w:rFonts w:hint="eastAsia" w:ascii="宋体" w:hAnsi="宋体" w:eastAsia="宋体" w:cs="宋体"/>
          <w:bCs w:val="0"/>
          <w:color w:val="auto"/>
          <w:sz w:val="24"/>
          <w:highlight w:val="none"/>
        </w:rPr>
        <w:t xml:space="preserve">25.对投标文件的初审</w:t>
      </w:r>
      <w:bookmarkEnd w:id="157"/>
      <w:r/>
      <w:bookmarkEnd w:id="158"/>
      <w:r/>
      <w:bookmarkEnd w:id="159"/>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25.1</w:t>
      </w:r>
      <w:r>
        <w:rPr>
          <w:rFonts w:hint="eastAsia" w:ascii="宋体" w:hAnsi="宋体" w:eastAsia="宋体" w:cs="宋体"/>
          <w:bCs/>
          <w:color w:val="auto"/>
          <w:sz w:val="24"/>
          <w:highlight w:val="none"/>
        </w:rPr>
        <w:t xml:space="preserve">投标文件初审分为资格审查和符合性审查。</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25.1.1资格审查：依据法律法规和招标文件的规定，由采购人对投标文件中的资格证明文件进行审查。</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采购人在进行资格审查的同时，将</w:t>
      </w:r>
      <w:r>
        <w:rPr>
          <w:rFonts w:hint="eastAsia" w:ascii="宋体" w:hAnsi="宋体" w:eastAsia="宋体" w:cs="宋体"/>
          <w:bCs/>
          <w:color w:val="auto"/>
          <w:sz w:val="24"/>
          <w:szCs w:val="24"/>
          <w:highlight w:val="none"/>
        </w:rPr>
        <w:t xml:space="preserve">通过“信用中国”网站（</w:t>
      </w:r>
      <w:r>
        <w:rPr>
          <w:rFonts w:hint="eastAsia" w:ascii="宋体" w:hAnsi="宋体" w:eastAsia="宋体" w:cs="宋体"/>
          <w:color w:val="auto"/>
          <w:sz w:val="24"/>
          <w:highlight w:val="none"/>
        </w:rPr>
        <w:fldChar w:fldCharType="begin"/>
      </w:r>
      <w:r>
        <w:rPr>
          <w:rFonts w:hint="eastAsia" w:ascii="宋体" w:hAnsi="宋体" w:eastAsia="宋体" w:cs="宋体"/>
          <w:color w:val="auto"/>
          <w:sz w:val="24"/>
          <w:highlight w:val="none"/>
        </w:rPr>
        <w:instrText xml:space="preserve">HYPERLINK "http://www.creditchina.gov.cn"</w:instrText>
      </w:r>
      <w:r>
        <w:rPr>
          <w:rFonts w:hint="eastAsia" w:ascii="宋体" w:hAnsi="宋体" w:eastAsia="宋体" w:cs="宋体"/>
          <w:color w:val="auto"/>
          <w:sz w:val="24"/>
          <w:highlight w:val="none"/>
        </w:rPr>
        <w:fldChar w:fldCharType="separate"/>
      </w:r>
      <w:r>
        <w:rPr>
          <w:rFonts w:hint="eastAsia" w:ascii="宋体" w:hAnsi="宋体" w:eastAsia="宋体" w:cs="宋体"/>
          <w:bCs/>
          <w:color w:val="auto"/>
          <w:sz w:val="24"/>
          <w:szCs w:val="24"/>
          <w:highlight w:val="none"/>
        </w:rPr>
        <w:t xml:space="preserve">www.creditchina.gov.cn</w:t>
      </w:r>
      <w:r>
        <w:rPr>
          <w:rFonts w:hint="eastAsia" w:ascii="宋体" w:hAnsi="宋体" w:eastAsia="宋体" w:cs="宋体"/>
          <w:color w:val="auto"/>
          <w:sz w:val="24"/>
          <w:highlight w:val="none"/>
        </w:rPr>
        <w:fldChar w:fldCharType="end"/>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rPr>
        <w:t xml:space="preserve">中国政府采购网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www.ccgp.gov.cn</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查询</w:t>
      </w:r>
      <w:r>
        <w:rPr>
          <w:rFonts w:hint="eastAsia" w:ascii="宋体" w:hAnsi="宋体" w:cs="宋体"/>
          <w:bCs/>
          <w:color w:val="auto"/>
          <w:sz w:val="24"/>
          <w:szCs w:val="24"/>
          <w:highlight w:val="none"/>
          <w:lang w:eastAsia="zh-CN"/>
        </w:rPr>
        <w:t xml:space="preserve">投标人</w:t>
      </w:r>
      <w:r>
        <w:rPr>
          <w:rFonts w:hint="eastAsia" w:ascii="宋体" w:hAnsi="宋体" w:eastAsia="宋体" w:cs="宋体"/>
          <w:bCs/>
          <w:color w:val="auto"/>
          <w:sz w:val="24"/>
          <w:szCs w:val="24"/>
          <w:highlight w:val="none"/>
        </w:rPr>
        <w:t xml:space="preserve">在投标截止时间之前，是否被列入</w:t>
      </w:r>
      <w:r>
        <w:rPr>
          <w:rFonts w:hint="eastAsia" w:ascii="宋体" w:hAnsi="宋体" w:eastAsia="宋体" w:cs="宋体"/>
          <w:color w:val="auto"/>
          <w:sz w:val="24"/>
          <w:szCs w:val="24"/>
          <w:highlight w:val="none"/>
        </w:rPr>
        <w:t xml:space="preserve">失信被执行人、</w:t>
      </w:r>
      <w:r>
        <w:rPr>
          <w:rFonts w:hint="eastAsia" w:ascii="宋体" w:hAnsi="宋体" w:eastAsia="宋体" w:cs="宋体"/>
          <w:color w:val="auto"/>
          <w:sz w:val="24"/>
          <w:szCs w:val="24"/>
          <w:highlight w:val="none"/>
          <w:lang w:eastAsia="zh-CN"/>
        </w:rPr>
        <w:t xml:space="preserve">重大税收违法失信主体名单</w:t>
      </w:r>
      <w:r>
        <w:rPr>
          <w:rFonts w:hint="eastAsia" w:ascii="宋体" w:hAnsi="宋体" w:eastAsia="宋体" w:cs="宋体"/>
          <w:color w:val="auto"/>
          <w:sz w:val="24"/>
          <w:szCs w:val="24"/>
          <w:highlight w:val="none"/>
        </w:rPr>
        <w:t xml:space="preserve">、政府采购严重违法失信行为记录名单，</w:t>
      </w:r>
      <w:r>
        <w:rPr>
          <w:rFonts w:hint="eastAsia" w:ascii="宋体" w:hAnsi="宋体" w:eastAsia="宋体" w:cs="宋体"/>
          <w:bCs/>
          <w:color w:val="auto"/>
          <w:sz w:val="24"/>
          <w:highlight w:val="none"/>
        </w:rPr>
        <w:t xml:space="preserve">以确定</w:t>
      </w:r>
      <w:r>
        <w:rPr>
          <w:rFonts w:hint="eastAsia" w:ascii="宋体" w:hAnsi="宋体" w:cs="宋体"/>
          <w:bCs/>
          <w:color w:val="auto"/>
          <w:sz w:val="24"/>
          <w:highlight w:val="none"/>
          <w:lang w:eastAsia="zh-CN"/>
        </w:rPr>
        <w:t xml:space="preserve">投标人</w:t>
      </w:r>
      <w:r>
        <w:rPr>
          <w:rFonts w:hint="eastAsia" w:ascii="宋体" w:hAnsi="宋体" w:eastAsia="宋体" w:cs="宋体"/>
          <w:bCs/>
          <w:color w:val="auto"/>
          <w:sz w:val="24"/>
          <w:highlight w:val="none"/>
        </w:rPr>
        <w:t xml:space="preserve">是否具备投标资格。</w:t>
      </w:r>
      <w:r>
        <w:rPr>
          <w:rFonts w:hint="eastAsia" w:ascii="宋体" w:hAnsi="宋体" w:eastAsia="宋体" w:cs="宋体"/>
          <w:color w:val="auto"/>
          <w:sz w:val="24"/>
          <w:szCs w:val="24"/>
          <w:highlight w:val="none"/>
        </w:rPr>
        <w:t xml:space="preserve">查询结果留存并归档。</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接受联合体的项目，两个以上的自然人、法人或者其他组织组成一个联合体，以一个供应商的身份共同参加政府采购活动的</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联合体成员存在不良信用记录的，视同联合体存在不良应用记录。</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25.1.2符合性审查：依据招标文件的规定，由评委会从投标文件的有效性、完整性和对招标文件的响应程度进行审查，以确定是否对招标文件的实质性要求作出响应。</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25.1.3未通过资格审查或符合性审查的投标人，将在</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bCs/>
          <w:color w:val="auto"/>
          <w:sz w:val="24"/>
          <w:highlight w:val="none"/>
        </w:rPr>
        <w:t xml:space="preserve">中告知未通过资格审查或符合性审查的原因，评标结束后，将不再告知未通过资格审查和符合性审查的原因。</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所谓重大偏离或保留是指与招标文件规定的实质性要求存在负偏离，或者在实质上与招标文件不一致，而且限制了合同中买方和</w:t>
      </w:r>
      <w:r>
        <w:rPr>
          <w:rFonts w:hint="eastAsia" w:ascii="宋体" w:hAnsi="宋体" w:eastAsia="宋体" w:cs="宋体"/>
          <w:color w:val="auto"/>
          <w:sz w:val="24"/>
          <w:highlight w:val="none"/>
          <w:lang w:eastAsia="zh-CN"/>
        </w:rPr>
        <w:t xml:space="preserve">代理机构</w:t>
      </w:r>
      <w:r>
        <w:rPr>
          <w:rFonts w:hint="eastAsia" w:ascii="宋体" w:hAnsi="宋体" w:eastAsia="宋体" w:cs="宋体"/>
          <w:color w:val="auto"/>
          <w:sz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25.3如果投标文件实质上没有响应招标文件的要求，评委会将予以拒绝，其投标文件无效，投标人不得通过修改或撤销</w:t>
      </w:r>
      <w:r>
        <w:rPr>
          <w:rFonts w:hint="eastAsia" w:ascii="宋体" w:hAnsi="宋体" w:eastAsia="宋体" w:cs="宋体"/>
          <w:color w:val="auto"/>
          <w:sz w:val="24"/>
          <w:highlight w:val="none"/>
          <w:lang w:eastAsia="zh-CN"/>
        </w:rPr>
        <w:t xml:space="preserve">不符</w:t>
      </w:r>
      <w:r>
        <w:rPr>
          <w:rFonts w:hint="eastAsia" w:ascii="宋体" w:hAnsi="宋体" w:eastAsia="宋体" w:cs="宋体"/>
          <w:color w:val="auto"/>
          <w:sz w:val="24"/>
          <w:highlight w:val="none"/>
        </w:rPr>
        <w:t xml:space="preserve">合要求的偏离或保留而使其投标成为实质性响应的投标。</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25.4</w:t>
      </w:r>
      <w:r>
        <w:rPr>
          <w:rFonts w:hint="eastAsia" w:ascii="宋体" w:hAnsi="宋体" w:eastAsia="宋体" w:cs="宋体"/>
          <w:bCs/>
          <w:color w:val="auto"/>
          <w:sz w:val="24"/>
          <w:highlight w:val="none"/>
        </w:rPr>
        <w:t xml:space="preserve">评委会将对确定为实质性响应的投标进行进一步审核，确定其是否有计算上或累加上的算术错误，修正错误的原则如下：</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eastAsia="zh-CN"/>
        </w:rPr>
        <w:t xml:space="preserve">（1）</w:t>
      </w:r>
      <w:r>
        <w:rPr>
          <w:rFonts w:hint="eastAsia" w:ascii="宋体" w:hAnsi="宋体" w:eastAsia="宋体" w:cs="宋体"/>
          <w:bCs/>
          <w:color w:val="auto"/>
          <w:sz w:val="24"/>
          <w:highlight w:val="none"/>
        </w:rPr>
        <w:t xml:space="preserve">投标文件中开标一览表内容与投标文件中相应内容不一致的，以开标一览表为准。</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eastAsia="zh-CN"/>
        </w:rPr>
        <w:t xml:space="preserve">（2）</w:t>
      </w:r>
      <w:r>
        <w:rPr>
          <w:rFonts w:hint="eastAsia" w:ascii="宋体" w:hAnsi="宋体" w:eastAsia="宋体" w:cs="宋体"/>
          <w:bCs/>
          <w:color w:val="auto"/>
          <w:sz w:val="24"/>
          <w:highlight w:val="none"/>
        </w:rPr>
        <w:t xml:space="preserve">大写金额和小写金额不一致的，以大写金额为准。</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eastAsia="zh-CN"/>
        </w:rPr>
        <w:t xml:space="preserve">（3）</w:t>
      </w:r>
      <w:r>
        <w:rPr>
          <w:rFonts w:hint="eastAsia" w:ascii="宋体" w:hAnsi="宋体" w:eastAsia="宋体" w:cs="宋体"/>
          <w:bCs/>
          <w:color w:val="auto"/>
          <w:sz w:val="24"/>
          <w:highlight w:val="none"/>
        </w:rPr>
        <w:t xml:space="preserve">单价金额小数点或者百分比有明显错位的，以开标一览表的总价为准，并修改单价。</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eastAsia="zh-CN"/>
        </w:rPr>
        <w:t xml:space="preserve">（4）</w:t>
      </w:r>
      <w:r>
        <w:rPr>
          <w:rFonts w:hint="eastAsia" w:ascii="宋体" w:hAnsi="宋体" w:eastAsia="宋体" w:cs="宋体"/>
          <w:bCs/>
          <w:color w:val="auto"/>
          <w:sz w:val="24"/>
          <w:highlight w:val="none"/>
        </w:rPr>
        <w:t xml:space="preserve">总价金额与按单价汇总金额不一致的，以单价金额计算结果为准。</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同时出现两种以上错误的，按照前款规定的顺序修正。</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25.5</w:t>
      </w:r>
      <w:r>
        <w:rPr>
          <w:rFonts w:hint="eastAsia" w:ascii="宋体" w:hAnsi="宋体" w:eastAsia="宋体" w:cs="宋体"/>
          <w:bCs/>
          <w:color w:val="auto"/>
          <w:sz w:val="24"/>
          <w:highlight w:val="none"/>
        </w:rPr>
        <w:t xml:space="preserve">评委会将按上述修正错误的方法调整投标文件中的投标报价，并通过</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bCs/>
          <w:color w:val="auto"/>
          <w:sz w:val="24"/>
          <w:highlight w:val="none"/>
        </w:rPr>
        <w:t xml:space="preserve">告知投标人，调整后的价格应对投标人具有约束力。如果投标人不确认或不接受修正后的价格，则其投标将被拒绝，其投标无效。</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highlight w:val="none"/>
        </w:rPr>
      </w:pPr>
      <w:r/>
      <w:bookmarkStart w:id="160" w:name="_Toc20823306"/>
      <w:r/>
      <w:bookmarkStart w:id="161" w:name="_Toc16938550"/>
      <w:r/>
      <w:bookmarkStart w:id="162" w:name="_Toc513029234"/>
      <w:r>
        <w:rPr>
          <w:rFonts w:hint="eastAsia" w:ascii="宋体" w:hAnsi="宋体" w:eastAsia="宋体" w:cs="宋体"/>
          <w:color w:val="auto"/>
          <w:sz w:val="24"/>
          <w:highlight w:val="none"/>
        </w:rPr>
        <w:t xml:space="preserve">25.6投标人在开、评标全过程中应</w:t>
      </w:r>
      <w:r>
        <w:rPr>
          <w:rFonts w:hint="eastAsia" w:ascii="宋体" w:hAnsi="宋体" w:eastAsia="宋体" w:cs="宋体"/>
          <w:color w:val="auto"/>
          <w:sz w:val="24"/>
          <w:highlight w:val="none"/>
          <w:lang w:eastAsia="zh-CN"/>
        </w:rPr>
        <w:t xml:space="preserve">保持通信畅通</w:t>
      </w:r>
      <w:r>
        <w:rPr>
          <w:rFonts w:hint="eastAsia" w:ascii="宋体" w:hAnsi="宋体" w:eastAsia="宋体" w:cs="宋体"/>
          <w:color w:val="auto"/>
          <w:sz w:val="24"/>
          <w:highlight w:val="none"/>
        </w:rPr>
        <w:t xml:space="preserve">，及时登录</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highlight w:val="none"/>
        </w:rPr>
        <w:t xml:space="preserve">查阅、答复相关信息，并安排专人随时接受与代理机构及评标委员会的相关询问。</w:t>
      </w:r>
      <w:r/>
    </w:p>
    <w:p>
      <w:pPr>
        <w:pStyle w:val="738"/>
        <w:ind w:left="0" w:right="0" w:firstLine="482"/>
        <w:jc w:val="left"/>
        <w:keepLines w:val="0"/>
        <w:keepNext w:val="0"/>
        <w:pageBreakBefore w:val="0"/>
        <w:spacing w:before="0" w:beforeAutospacing="0" w:after="0" w:afterAutospacing="0" w:line="360" w:lineRule="auto"/>
        <w:widowControl w:val="off"/>
        <w:rPr>
          <w:rFonts w:hint="eastAsia" w:ascii="宋体" w:hAnsi="宋体" w:eastAsia="宋体" w:cs="宋体"/>
          <w:bCs w:val="0"/>
          <w:color w:val="auto"/>
          <w:sz w:val="24"/>
          <w:highlight w:val="none"/>
        </w:rPr>
      </w:pPr>
      <w:r>
        <w:rPr>
          <w:rFonts w:hint="eastAsia" w:ascii="宋体" w:hAnsi="宋体" w:eastAsia="宋体" w:cs="宋体"/>
          <w:bCs w:val="0"/>
          <w:color w:val="auto"/>
          <w:sz w:val="24"/>
          <w:highlight w:val="none"/>
        </w:rPr>
        <w:t xml:space="preserve">26</w:t>
      </w:r>
      <w:bookmarkEnd w:id="160"/>
      <w:r/>
      <w:bookmarkEnd w:id="161"/>
      <w:r/>
      <w:bookmarkEnd w:id="162"/>
      <w:r>
        <w:rPr>
          <w:rFonts w:hint="eastAsia" w:ascii="宋体" w:hAnsi="宋体" w:eastAsia="宋体" w:cs="宋体"/>
          <w:bCs w:val="0"/>
          <w:color w:val="auto"/>
          <w:sz w:val="24"/>
          <w:highlight w:val="none"/>
        </w:rPr>
        <w:t xml:space="preserve">.无效投标条款和废标条款</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bCs/>
          <w:color w:val="auto"/>
          <w:sz w:val="24"/>
          <w:highlight w:val="none"/>
        </w:rPr>
      </w:pPr>
      <w:r/>
      <w:bookmarkStart w:id="163" w:name="_Toc20823307"/>
      <w:r/>
      <w:bookmarkStart w:id="164" w:name="_Toc16938551"/>
      <w:r/>
      <w:bookmarkStart w:id="165" w:name="_Toc513029235"/>
      <w:r>
        <w:rPr>
          <w:rFonts w:hint="eastAsia" w:ascii="宋体" w:hAnsi="宋体" w:eastAsia="宋体" w:cs="宋体"/>
          <w:bCs/>
          <w:color w:val="auto"/>
          <w:sz w:val="24"/>
          <w:highlight w:val="none"/>
        </w:rPr>
        <w:t xml:space="preserve">26.1无效投标条款</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highlight w:val="none"/>
        </w:rPr>
        <w:t xml:space="preserve">26</w:t>
      </w:r>
      <w:r>
        <w:rPr>
          <w:rFonts w:hint="eastAsia" w:ascii="宋体" w:hAnsi="宋体" w:eastAsia="宋体" w:cs="宋体"/>
          <w:bCs/>
          <w:color w:val="auto"/>
          <w:sz w:val="24"/>
          <w:szCs w:val="24"/>
          <w:highlight w:val="none"/>
        </w:rPr>
        <w:t xml:space="preserve">.1.1</w:t>
      </w:r>
      <w:r>
        <w:rPr>
          <w:rFonts w:hint="eastAsia" w:ascii="宋体" w:hAnsi="宋体" w:eastAsia="宋体" w:cs="宋体"/>
          <w:color w:val="auto"/>
          <w:sz w:val="24"/>
          <w:szCs w:val="24"/>
          <w:highlight w:val="none"/>
        </w:rPr>
        <w:t xml:space="preserve">未按《“苏采云”系统供应商操作手册》进行正确操作的。</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26.1.2投标人在“苏采云”系统规定的时间内未成功解密电子投标文件的。</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26.1.3</w:t>
      </w:r>
      <w:r>
        <w:rPr>
          <w:rFonts w:hint="eastAsia" w:ascii="宋体" w:hAnsi="宋体" w:eastAsia="宋体" w:cs="宋体"/>
          <w:bCs/>
          <w:color w:val="auto"/>
          <w:sz w:val="24"/>
          <w:highlight w:val="none"/>
        </w:rPr>
        <w:t xml:space="preserve">投标人未按照招标文件要求上传电子投标文件、</w:t>
      </w:r>
      <w:r>
        <w:rPr>
          <w:rFonts w:hint="eastAsia" w:ascii="宋体" w:hAnsi="宋体" w:eastAsia="宋体" w:cs="宋体"/>
          <w:bCs/>
          <w:color w:val="auto"/>
          <w:sz w:val="24"/>
          <w:szCs w:val="24"/>
          <w:highlight w:val="none"/>
        </w:rPr>
        <w:t xml:space="preserve">电子投标文件未按规定期限投标的，纸质投标文件（如有）未按规定的期限、地点送达的。</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26.1.4</w:t>
      </w:r>
      <w:r>
        <w:rPr>
          <w:rFonts w:hint="eastAsia" w:ascii="宋体" w:hAnsi="宋体" w:eastAsia="宋体" w:cs="宋体"/>
          <w:bCs/>
          <w:color w:val="auto"/>
          <w:sz w:val="24"/>
          <w:highlight w:val="none"/>
        </w:rPr>
        <w:t xml:space="preserve">投标人的</w:t>
      </w:r>
      <w:r>
        <w:rPr>
          <w:rFonts w:hint="eastAsia" w:ascii="宋体" w:hAnsi="宋体" w:eastAsia="宋体" w:cs="宋体"/>
          <w:bCs/>
          <w:color w:val="auto"/>
          <w:sz w:val="24"/>
          <w:szCs w:val="24"/>
          <w:highlight w:val="none"/>
        </w:rPr>
        <w:t xml:space="preserve">电子投标文件未按招标文件要求签章的。</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26.1.5投标人的被授权代表无授权委托书或授权委托日期晚于投标截止日期的。</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26.1.6投标人不具备招标文件中规定的资格要求或未按招标文件规定的要求提供资格证明文件的。</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26.1.7</w:t>
      </w:r>
      <w:r>
        <w:rPr>
          <w:rFonts w:hint="eastAsia" w:ascii="宋体" w:hAnsi="宋体" w:eastAsia="宋体" w:cs="宋体"/>
          <w:bCs/>
          <w:color w:val="auto"/>
          <w:sz w:val="24"/>
          <w:highlight w:val="none"/>
        </w:rPr>
        <w:t xml:space="preserve">同一投标人提交两种（含两种）以上不同的投标报价的。</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26.1.8投标人被“信用中国”网站（</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"http://www.creditchina.gov.cn"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www.creditchina.gov.cn</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）、中国政府采购网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www.ccgp.gov.cn</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列入失信被执行人或</w:t>
      </w:r>
      <w:r>
        <w:rPr>
          <w:rFonts w:hint="eastAsia" w:ascii="宋体" w:hAnsi="宋体" w:eastAsia="宋体" w:cs="宋体"/>
          <w:color w:val="auto"/>
          <w:sz w:val="24"/>
          <w:szCs w:val="24"/>
          <w:highlight w:val="none"/>
          <w:lang w:eastAsia="zh-CN"/>
        </w:rPr>
        <w:t xml:space="preserve">重大税收违法失信主体名单</w:t>
      </w:r>
      <w:r>
        <w:rPr>
          <w:rFonts w:hint="eastAsia" w:ascii="宋体" w:hAnsi="宋体" w:eastAsia="宋体" w:cs="宋体"/>
          <w:color w:val="auto"/>
          <w:sz w:val="24"/>
          <w:szCs w:val="24"/>
          <w:highlight w:val="none"/>
        </w:rPr>
        <w:t xml:space="preserve">或政府采购严重违法失信行为记录名单的。</w:t>
      </w:r>
      <w:r>
        <w:rPr>
          <w:rFonts w:hint="eastAsia" w:ascii="宋体" w:hAnsi="宋体" w:eastAsia="宋体" w:cs="宋体"/>
          <w:bCs/>
          <w:color w:val="auto"/>
          <w:sz w:val="24"/>
          <w:highlight w:val="none"/>
        </w:rPr>
        <w:t xml:space="preserve">或查询“信用中国”网站、</w:t>
      </w:r>
      <w:r>
        <w:rPr>
          <w:rFonts w:hint="eastAsia" w:ascii="宋体" w:hAnsi="宋体" w:eastAsia="宋体" w:cs="宋体"/>
          <w:color w:val="auto"/>
          <w:sz w:val="24"/>
          <w:szCs w:val="24"/>
          <w:highlight w:val="none"/>
        </w:rPr>
        <w:t xml:space="preserve">中国政府采购网</w:t>
      </w:r>
      <w:r>
        <w:rPr>
          <w:rFonts w:hint="eastAsia" w:ascii="宋体" w:hAnsi="宋体" w:eastAsia="宋体" w:cs="宋体"/>
          <w:bCs/>
          <w:color w:val="auto"/>
          <w:sz w:val="24"/>
          <w:highlight w:val="none"/>
        </w:rPr>
        <w:t xml:space="preserve">后发现投标人存在其他不符合《中华人民共和国政府采购法》第二十二条规定条件的信用记录。</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26.1.9投标文件未按招标文件规定的内容和要求填写的。</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26.1.10</w:t>
      </w:r>
      <w:r>
        <w:rPr>
          <w:rFonts w:hint="eastAsia" w:ascii="宋体" w:hAnsi="宋体" w:eastAsia="宋体" w:cs="宋体"/>
          <w:bCs/>
          <w:color w:val="auto"/>
          <w:sz w:val="24"/>
          <w:highlight w:val="none"/>
        </w:rPr>
        <w:t xml:space="preserve">投标人的</w:t>
      </w:r>
      <w:r>
        <w:rPr>
          <w:rFonts w:hint="eastAsia" w:ascii="宋体" w:hAnsi="宋体" w:eastAsia="宋体" w:cs="宋体"/>
          <w:bCs/>
          <w:color w:val="auto"/>
          <w:sz w:val="24"/>
          <w:szCs w:val="24"/>
          <w:highlight w:val="none"/>
        </w:rPr>
        <w:t xml:space="preserve">项目（标项、标段、分包）投标总价超过本项目（标项、标段、分包）预算或最高限价</w:t>
      </w:r>
      <w:r>
        <w:rPr>
          <w:rFonts w:hint="eastAsia" w:ascii="宋体" w:hAnsi="宋体" w:eastAsia="宋体" w:cs="宋体"/>
          <w:bCs/>
          <w:color w:val="auto"/>
          <w:sz w:val="24"/>
          <w:szCs w:val="24"/>
          <w:highlight w:val="none"/>
          <w:lang w:eastAsia="zh-CN"/>
        </w:rPr>
        <w:t xml:space="preserve">、子项最高限价</w:t>
      </w:r>
      <w:r>
        <w:rPr>
          <w:rFonts w:hint="eastAsia" w:ascii="宋体" w:hAnsi="宋体" w:eastAsia="宋体" w:cs="宋体"/>
          <w:bCs/>
          <w:color w:val="auto"/>
          <w:sz w:val="24"/>
          <w:szCs w:val="24"/>
          <w:highlight w:val="none"/>
        </w:rPr>
        <w:t xml:space="preserve">的。</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26.1.11未通过符合性审查的。</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26.1.12投标文件含有采购人不能接受的附加条件的。</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26.1.13电子投标文件图片、字迹模糊不清、无法辨认导致无法评审的。</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26.1.14投标文件中有招标文件未允许提供的选择性内容。</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highlight w:val="none"/>
        </w:rPr>
        <w:t xml:space="preserve">26.1.15</w:t>
      </w:r>
      <w:r>
        <w:rPr>
          <w:rFonts w:hint="eastAsia" w:ascii="宋体" w:hAnsi="宋体" w:eastAsia="宋体" w:cs="宋体"/>
          <w:bCs/>
          <w:color w:val="auto"/>
          <w:sz w:val="24"/>
          <w:szCs w:val="24"/>
          <w:highlight w:val="none"/>
        </w:rPr>
        <w:t xml:space="preserve">不同投标人委托同一单位或者个人办理投标事宜的。</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26.1.16</w:t>
      </w:r>
      <w:r>
        <w:rPr>
          <w:rFonts w:hint="eastAsia" w:ascii="宋体" w:hAnsi="宋体" w:eastAsia="宋体" w:cs="宋体"/>
          <w:bCs/>
          <w:color w:val="auto"/>
          <w:sz w:val="24"/>
          <w:szCs w:val="24"/>
          <w:highlight w:val="none"/>
        </w:rPr>
        <w:t xml:space="preserve">不同投标人的单位负责人为同一人或者存在直接控股、管理关系的。</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26.1.17不同投标人的投标文件的装订形式、纸张情况、目录序号、排版格式、文字风格等存在明显的相似性或一致性，特征显示由同一单位或者同一个人编制的。</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26.1.18不同投标人投标文件内容存在非正常一致、项目组成员出现同一人、投标文件中错误（或异常）一致或雷同、电子文档信息一致或雷同的、投标报价呈规律性差异的。</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26.1.19不同投标人的投标资料相互混装、不同投标人的委托代理人、项目负责人以及其他相关人员有在同一个单位缴纳社会保险、同一投标文件中单位名称落款与公章不是同一单位的。</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26.1.20</w:t>
      </w:r>
      <w:r>
        <w:rPr>
          <w:rFonts w:hint="eastAsia" w:ascii="宋体" w:hAnsi="宋体" w:eastAsia="宋体" w:cs="宋体"/>
          <w:bCs/>
          <w:color w:val="auto"/>
          <w:sz w:val="24"/>
          <w:szCs w:val="24"/>
          <w:highlight w:val="none"/>
        </w:rPr>
        <w:t xml:space="preserve">提供虚假材料的（包括工商营业执照、财务报表、资格证明文件等）。</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26.1.21</w:t>
      </w:r>
      <w:r>
        <w:rPr>
          <w:rFonts w:hint="eastAsia" w:ascii="宋体" w:hAnsi="宋体" w:eastAsia="宋体" w:cs="宋体"/>
          <w:bCs/>
          <w:color w:val="auto"/>
          <w:sz w:val="24"/>
          <w:szCs w:val="24"/>
          <w:highlight w:val="none"/>
        </w:rPr>
        <w:t xml:space="preserve">除单一来源采购项目外，为采购项目提供整体设计、规范编制或者项目管理、监理、检测等服务的。</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bCs/>
          <w:color w:val="auto"/>
          <w:sz w:val="24"/>
          <w:highlight w:val="none"/>
          <w:shd w:val="clear" w:color="ffffff" w:fill="d9d9d9"/>
        </w:rPr>
      </w:pPr>
      <w:r>
        <w:rPr>
          <w:rFonts w:hint="eastAsia" w:ascii="宋体" w:hAnsi="宋体" w:eastAsia="宋体" w:cs="宋体"/>
          <w:bCs/>
          <w:color w:val="auto"/>
          <w:sz w:val="24"/>
          <w:highlight w:val="none"/>
        </w:rPr>
        <w:t xml:space="preserve">26.1.22评标委员会认定投标人的报价明显低于其他通过符合性审查投标人的报价，有可能影响产品质量或者不能诚信履约，且投标人不能应评标委员会要求通过“苏采云”系统（或在评标现场</w:t>
      </w:r>
      <w:r>
        <w:rPr>
          <w:rFonts w:hint="eastAsia" w:ascii="宋体" w:hAnsi="宋体" w:eastAsia="宋体" w:cs="宋体"/>
          <w:bCs/>
          <w:color w:val="auto"/>
          <w:sz w:val="24"/>
          <w:highlight w:val="none"/>
          <w:lang w:eastAsia="zh-CN"/>
        </w:rPr>
        <w:t xml:space="preserve">）在</w:t>
      </w:r>
      <w:r>
        <w:rPr>
          <w:rFonts w:hint="eastAsia" w:ascii="宋体" w:hAnsi="宋体" w:eastAsia="宋体" w:cs="宋体"/>
          <w:bCs/>
          <w:color w:val="auto"/>
          <w:sz w:val="24"/>
          <w:highlight w:val="none"/>
        </w:rPr>
        <w:t xml:space="preserve">给定的合理时间内提供说明（必要时评标委员会可要求投标人提交相关证明材料）证明其报价合理性的，评标委员会应当将其作为无效投标处理</w:t>
      </w:r>
      <w:r>
        <w:rPr>
          <w:rFonts w:hint="eastAsia" w:ascii="宋体" w:hAnsi="宋体" w:eastAsia="宋体" w:cs="宋体"/>
          <w:bCs/>
          <w:color w:val="auto"/>
          <w:sz w:val="24"/>
          <w:highlight w:val="none"/>
          <w:lang w:eastAsia="zh-CN"/>
        </w:rPr>
        <w:t xml:space="preserve">。</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szCs w:val="24"/>
          <w:highlight w:val="none"/>
        </w:rPr>
        <w:t xml:space="preserve">26.1.23投标文件内容不全或不符合招标文件中规定的</w:t>
      </w:r>
      <w:r>
        <w:rPr>
          <w:rFonts w:hint="eastAsia" w:ascii="宋体" w:hAnsi="宋体" w:eastAsia="宋体" w:cs="宋体"/>
          <w:bCs/>
          <w:color w:val="auto"/>
          <w:sz w:val="24"/>
          <w:szCs w:val="24"/>
          <w:highlight w:val="none"/>
          <w:lang w:eastAsia="zh-CN"/>
        </w:rPr>
        <w:t xml:space="preserve">其他</w:t>
      </w:r>
      <w:r>
        <w:rPr>
          <w:rFonts w:hint="eastAsia" w:ascii="宋体" w:hAnsi="宋体" w:eastAsia="宋体" w:cs="宋体"/>
          <w:bCs/>
          <w:color w:val="auto"/>
          <w:sz w:val="24"/>
          <w:szCs w:val="24"/>
          <w:highlight w:val="none"/>
        </w:rPr>
        <w:t xml:space="preserve">实质性要求和条件的</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26.1.24其他</w:t>
      </w:r>
      <w:r>
        <w:rPr>
          <w:rFonts w:hint="eastAsia" w:ascii="宋体" w:hAnsi="宋体" w:eastAsia="宋体" w:cs="宋体"/>
          <w:bCs/>
          <w:color w:val="auto"/>
          <w:sz w:val="24"/>
          <w:highlight w:val="none"/>
          <w:lang w:eastAsia="zh-CN"/>
        </w:rPr>
        <w:t xml:space="preserve">法律法规</w:t>
      </w:r>
      <w:r>
        <w:rPr>
          <w:rFonts w:hint="eastAsia" w:ascii="宋体" w:hAnsi="宋体" w:eastAsia="宋体" w:cs="宋体"/>
          <w:bCs/>
          <w:color w:val="auto"/>
          <w:sz w:val="24"/>
          <w:highlight w:val="none"/>
        </w:rPr>
        <w:t xml:space="preserve">及本招标文件规定的</w:t>
      </w:r>
      <w:r>
        <w:rPr>
          <w:rFonts w:hint="eastAsia" w:ascii="宋体" w:hAnsi="宋体" w:eastAsia="宋体" w:cs="宋体"/>
          <w:bCs/>
          <w:color w:val="auto"/>
          <w:sz w:val="24"/>
          <w:highlight w:val="none"/>
          <w:lang w:eastAsia="zh-CN"/>
        </w:rPr>
        <w:t xml:space="preserve">属于</w:t>
      </w:r>
      <w:r>
        <w:rPr>
          <w:rFonts w:hint="eastAsia" w:ascii="宋体" w:hAnsi="宋体" w:eastAsia="宋体" w:cs="宋体"/>
          <w:bCs/>
          <w:color w:val="auto"/>
          <w:sz w:val="24"/>
          <w:highlight w:val="none"/>
        </w:rPr>
        <w:t xml:space="preserve">无效投标的情形。</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26.2废标条款</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26.2.1符合专业条件的供应商或者对招标文件</w:t>
      </w:r>
      <w:r>
        <w:rPr>
          <w:rFonts w:hint="eastAsia" w:ascii="宋体" w:hAnsi="宋体" w:eastAsia="宋体" w:cs="宋体"/>
          <w:bCs/>
          <w:color w:val="auto"/>
          <w:sz w:val="24"/>
          <w:highlight w:val="none"/>
          <w:lang w:eastAsia="zh-CN"/>
        </w:rPr>
        <w:t xml:space="preserve">做</w:t>
      </w:r>
      <w:r>
        <w:rPr>
          <w:rFonts w:hint="eastAsia" w:ascii="宋体" w:hAnsi="宋体" w:eastAsia="宋体" w:cs="宋体"/>
          <w:bCs/>
          <w:color w:val="auto"/>
          <w:sz w:val="24"/>
          <w:highlight w:val="none"/>
        </w:rPr>
        <w:t xml:space="preserve">实质响应的供应商不足三家的。26.2.2出现影响采购公正的违法、违规行为的。</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26.2.3因重大变故，采购任务取消的。</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26.2.4评标委员会认定招标文件存在歧义、重大缺陷导致评审工作无法进行。</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26.2.5 因</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bCs/>
          <w:color w:val="auto"/>
          <w:sz w:val="24"/>
          <w:highlight w:val="none"/>
        </w:rPr>
        <w:t xml:space="preserve">故障原因造成开标不成功的；</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szCs w:val="24"/>
          <w:highlight w:val="none"/>
        </w:rPr>
        <w:t xml:space="preserve">26.2.6投标人的报价均超过采购预算，采购人不能支付的。</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26.3 投标截止时间结束后参加投标的供应商不足三家的处理：</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26.3.1如出现投标截止时间结束后参加投标的供应商或者在评标期间对招标文件做出实质响应的供应商不足三家情况，按政府采购相关规定执行。</w:t>
      </w:r>
      <w:r/>
    </w:p>
    <w:p>
      <w:pPr>
        <w:pStyle w:val="736"/>
        <w:ind w:left="0" w:right="0" w:firstLine="0"/>
        <w:jc w:val="left"/>
        <w:keepLines w:val="0"/>
        <w:keepNext w:val="0"/>
        <w:pageBreakBefore w:val="0"/>
        <w:spacing w:before="0" w:beforeAutospacing="0" w:after="0" w:afterAutospacing="0" w:line="360" w:lineRule="auto"/>
        <w:widowControl w:val="off"/>
        <w:rPr>
          <w:rFonts w:hint="eastAsia" w:ascii="宋体" w:hAnsi="宋体" w:eastAsia="宋体" w:cs="宋体"/>
          <w:b/>
          <w:color w:val="auto"/>
          <w:sz w:val="24"/>
          <w:szCs w:val="30"/>
          <w:highlight w:val="none"/>
        </w:rPr>
        <w:outlineLvl w:val="1"/>
      </w:pPr>
      <w:r/>
      <w:bookmarkStart w:id="166" w:name="_Toc120614219"/>
      <w:r>
        <w:rPr>
          <w:rFonts w:hint="eastAsia" w:ascii="宋体" w:hAnsi="宋体" w:eastAsia="宋体" w:cs="宋体"/>
          <w:b/>
          <w:color w:val="auto"/>
          <w:sz w:val="24"/>
          <w:szCs w:val="30"/>
          <w:highlight w:val="none"/>
        </w:rPr>
        <w:t xml:space="preserve">六、</w:t>
      </w:r>
      <w:bookmarkEnd w:id="163"/>
      <w:r/>
      <w:bookmarkEnd w:id="164"/>
      <w:r/>
      <w:bookmarkEnd w:id="165"/>
      <w:r>
        <w:rPr>
          <w:rFonts w:hint="eastAsia" w:ascii="宋体" w:hAnsi="宋体" w:eastAsia="宋体" w:cs="宋体"/>
          <w:b/>
          <w:color w:val="auto"/>
          <w:sz w:val="24"/>
          <w:szCs w:val="30"/>
          <w:highlight w:val="none"/>
        </w:rPr>
        <w:t xml:space="preserve">定标</w:t>
      </w:r>
      <w:bookmarkEnd w:id="166"/>
      <w:r/>
      <w:r/>
    </w:p>
    <w:p>
      <w:pPr>
        <w:pStyle w:val="738"/>
        <w:ind w:left="0" w:right="0" w:firstLine="482"/>
        <w:jc w:val="left"/>
        <w:keepLines w:val="0"/>
        <w:keepNext w:val="0"/>
        <w:pageBreakBefore w:val="0"/>
        <w:spacing w:before="0" w:beforeAutospacing="0" w:after="0" w:afterAutospacing="0" w:line="360" w:lineRule="auto"/>
        <w:widowControl w:val="off"/>
        <w:rPr>
          <w:rFonts w:hint="eastAsia" w:ascii="宋体" w:hAnsi="宋体" w:eastAsia="宋体" w:cs="宋体"/>
          <w:bCs w:val="0"/>
          <w:color w:val="auto"/>
          <w:sz w:val="24"/>
          <w:highlight w:val="none"/>
        </w:rPr>
      </w:pPr>
      <w:r/>
      <w:bookmarkStart w:id="167" w:name="_Toc513029238"/>
      <w:r/>
      <w:bookmarkStart w:id="168" w:name="_Toc16938554"/>
      <w:r/>
      <w:bookmarkStart w:id="169" w:name="_Toc20823310"/>
      <w:r>
        <w:rPr>
          <w:rFonts w:hint="eastAsia" w:ascii="宋体" w:hAnsi="宋体" w:eastAsia="宋体" w:cs="宋体"/>
          <w:bCs w:val="0"/>
          <w:color w:val="auto"/>
          <w:sz w:val="24"/>
          <w:highlight w:val="none"/>
          <w:lang w:eastAsia="zh-CN"/>
        </w:rPr>
        <w:t xml:space="preserve">27.</w:t>
      </w:r>
      <w:bookmarkEnd w:id="167"/>
      <w:r>
        <w:rPr>
          <w:rFonts w:hint="eastAsia" w:ascii="宋体" w:hAnsi="宋体" w:eastAsia="宋体" w:cs="宋体"/>
          <w:bCs w:val="0"/>
          <w:color w:val="auto"/>
          <w:sz w:val="24"/>
          <w:highlight w:val="none"/>
        </w:rPr>
        <w:t xml:space="preserve">确定</w:t>
      </w:r>
      <w:bookmarkEnd w:id="168"/>
      <w:r/>
      <w:bookmarkEnd w:id="169"/>
      <w:r>
        <w:rPr>
          <w:rFonts w:hint="eastAsia" w:ascii="宋体" w:hAnsi="宋体" w:eastAsia="宋体" w:cs="宋体"/>
          <w:bCs w:val="0"/>
          <w:color w:val="auto"/>
          <w:sz w:val="24"/>
          <w:highlight w:val="none"/>
        </w:rPr>
        <w:t xml:space="preserve">中标单位</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27.1评标委员会根据招标文件规定的评标方法和评标标准进行评审，按招标文件的要求依法选取中标候选人，中标候选人的选取原则和数量见招标文件第五章规定。</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27.2采购人应根据评委会推荐的中标候选人确定中标人。联合体中标的，联合体各方应当共同与采购人签订合同，就中标项目向采购人承担连带责任。</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27.3</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将在“江苏政府采购网”发布中标公告，公告期限为1个工作日。</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27.4中标无效的确认</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若有充分证据证明，中标人出现下列情况之一的，一经查实，将被取消中标资格：</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27.4.1提供虚假材料谋取中标的。</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27.4.2向采购人、</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行贿或者提供其他不正当利益的。</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27.4.3属于本文件规定的无效投标文件条件的，但在评标过程中又未被评委会发现的。</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27.4.4与采购人或者其他供应商恶意串通的。</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27.4.5采取不正当手段诋毁、排挤其他供应商的。</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70" w:name="_Toc200451960"/>
      <w:r>
        <w:rPr>
          <w:rFonts w:hint="eastAsia" w:ascii="宋体" w:hAnsi="宋体" w:eastAsia="宋体" w:cs="宋体"/>
          <w:color w:val="auto"/>
          <w:sz w:val="24"/>
          <w:szCs w:val="24"/>
          <w:highlight w:val="none"/>
        </w:rPr>
        <w:t xml:space="preserve">27.4.6</w:t>
      </w:r>
      <w:r>
        <w:rPr>
          <w:rFonts w:hint="eastAsia" w:ascii="宋体" w:hAnsi="宋体" w:eastAsia="宋体" w:cs="宋体"/>
          <w:bCs/>
          <w:color w:val="auto"/>
          <w:sz w:val="24"/>
          <w:szCs w:val="24"/>
          <w:highlight w:val="none"/>
        </w:rPr>
        <w:t xml:space="preserve">在招标过程中与采购人进行协商谈判、不按照招标文件和中标供应商的投标文件订立合同，或者与采购人另行订立背离合同实质性内容的协议的；</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27.4.7</w:t>
      </w:r>
      <w:r>
        <w:rPr>
          <w:rFonts w:hint="eastAsia" w:ascii="宋体" w:hAnsi="宋体" w:eastAsia="宋体" w:cs="宋体"/>
          <w:bCs/>
          <w:color w:val="auto"/>
          <w:sz w:val="24"/>
          <w:szCs w:val="24"/>
          <w:highlight w:val="none"/>
        </w:rPr>
        <w:t xml:space="preserve">拒绝有关部门监督检查或者提供虚假情况的。</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 </w:t>
      </w:r>
      <w:r>
        <w:rPr>
          <w:rFonts w:hint="eastAsia" w:ascii="宋体" w:hAnsi="宋体" w:eastAsia="宋体" w:cs="宋体"/>
          <w:color w:val="auto"/>
          <w:sz w:val="24"/>
          <w:szCs w:val="24"/>
          <w:highlight w:val="none"/>
        </w:rPr>
        <w:t xml:space="preserve">有下列情形之一的，视为投标人串通投标，投标无效：</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27.5.1不同投标人的投标文件由同一单位或者个人编制。</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27.5.2不同投标人委托同一单位或者个人办理投标事宜。</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27.5.3 不同投标人的投标文件载明的项目管理成员或者联系人员为同一人。</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27.5.4不同投标人的投标文件异常一致或者投标报价呈规律性差异。</w:t>
      </w:r>
      <w:r/>
    </w:p>
    <w:p>
      <w:pPr>
        <w:pStyle w:val="738"/>
        <w:ind w:left="0" w:right="0" w:firstLine="482"/>
        <w:jc w:val="left"/>
        <w:keepLines w:val="0"/>
        <w:keepNext w:val="0"/>
        <w:pageBreakBefore w:val="0"/>
        <w:spacing w:before="0" w:beforeAutospacing="0" w:after="0" w:afterAutospacing="0" w:line="360" w:lineRule="auto"/>
        <w:widowControl w:val="off"/>
        <w:rPr>
          <w:rFonts w:hint="eastAsia" w:ascii="宋体" w:hAnsi="宋体" w:eastAsia="宋体" w:cs="宋体"/>
          <w:bCs w:val="0"/>
          <w:color w:val="auto"/>
          <w:sz w:val="24"/>
          <w:highlight w:val="none"/>
        </w:rPr>
      </w:pPr>
      <w:r>
        <w:rPr>
          <w:rFonts w:hint="eastAsia" w:ascii="宋体" w:hAnsi="宋体" w:eastAsia="宋体" w:cs="宋体"/>
          <w:bCs w:val="0"/>
          <w:color w:val="auto"/>
          <w:sz w:val="24"/>
          <w:highlight w:val="none"/>
        </w:rPr>
        <w:t xml:space="preserve">28.质疑处理</w:t>
      </w:r>
      <w:bookmarkEnd w:id="170"/>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 提出质疑的供应商应当是参与所质疑项目采购活动的供应商。潜在供应商依法获取其可质疑的采购文件的，可以对采购文件提出质疑。</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供应商认为采购文件、采购过程和采购结果使自己的权益受到损害的，可以在知道或应知其权益受到损害之日起七个工作日内，以书面形式在法定质疑期内一次性提出针对同一采购程序环节的质疑。供应商因未按该规定提出质疑从而造成质疑超出政府采购法定期限或其他情形导致质疑不予受理或无法受理的，由供应商自行承担。上述应知其权益受到损害之日，是指：</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28.2.1对可以质疑的采购文件提出质疑的，为收到采购文件之日或者采购文件公告期限届满之日；</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28.2.2对采购过程提出质疑的，为各采购程序环节结束之日；</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28.2.3对中标或者成交结果提出质疑的，为中标或者成交结果公告期限届满之日。</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、采购人将只对供应商第一次质疑作出答复。</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w:t>
      </w:r>
      <w:r>
        <w:rPr>
          <w:rFonts w:hint="eastAsia" w:ascii="宋体" w:hAnsi="宋体" w:eastAsia="宋体" w:cs="宋体"/>
          <w:bCs/>
          <w:color w:val="auto"/>
          <w:sz w:val="24"/>
          <w:szCs w:val="24"/>
          <w:highlight w:val="none"/>
        </w:rPr>
        <w:t xml:space="preserve">质疑函的质疑事项应具体、明确，并有必要的事实依据和法律依据（格式详见中国政府采购网《政府采购供应商质疑函范本》）。</w:t>
      </w:r>
      <w:r>
        <w:rPr>
          <w:rFonts w:hint="eastAsia" w:ascii="宋体" w:hAnsi="宋体" w:eastAsia="宋体" w:cs="宋体"/>
          <w:color w:val="auto"/>
          <w:sz w:val="24"/>
          <w:szCs w:val="24"/>
          <w:highlight w:val="none"/>
        </w:rPr>
        <w:t xml:space="preserve">供应商如组成联合体参加投标，则《质疑函范本》中要求签字、盖章、加盖公章之处，联合体各方均须按要求签字、盖章、加盖公章。</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shd w:val="clear" w:color="ffffff" w:fill="d9d9d9"/>
        </w:rPr>
      </w:pPr>
      <w:r>
        <w:rPr>
          <w:rFonts w:hint="eastAsia" w:ascii="宋体" w:hAnsi="宋体" w:eastAsia="宋体" w:cs="宋体"/>
          <w:color w:val="auto"/>
          <w:sz w:val="24"/>
          <w:szCs w:val="24"/>
          <w:highlight w:val="none"/>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提出，由</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负责答复。</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只接收以纸质原件形式送达的质疑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质疑供应商可通过面交或邮寄方式送达（采购人和</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不接受未填写快递运单的快件）。</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联系人、联系方式、通信地址见招标文件第一章。</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 以下情形的质疑不予受理</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28.5.1 内容不符合《政府采购质疑和投诉办法》第十二条规定的质疑。</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28.5.2 超出政府采购法定期限的质疑。</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28.5.3 以传真、电子邮件等方式递交的非原件形式的质疑。</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28.5.4未参加投标活动的供应商或在投标活动中自身权益未受到损害的供应商所提出的质疑。</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28.5.5供应商组成联合体参加投标，联合体中任何一方或多方未按要求签字、盖章、加盖公章的质疑。</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28.6供应商提出书面质疑必须有理、有据，</w:t>
      </w:r>
      <w:r>
        <w:rPr>
          <w:rFonts w:hint="eastAsia" w:ascii="宋体" w:hAnsi="宋体" w:eastAsia="宋体" w:cs="宋体"/>
          <w:bCs/>
          <w:color w:val="auto"/>
          <w:sz w:val="24"/>
          <w:highlight w:val="none"/>
        </w:rPr>
        <w:t xml:space="preserve">如质疑查无实据或供应商捏造事实，提供虚假材料进行恶意质疑或举报，不配合或采用不正当手段干扰政府采购质疑的，</w:t>
      </w:r>
      <w:r>
        <w:rPr>
          <w:rFonts w:hint="eastAsia" w:ascii="宋体" w:hAnsi="宋体" w:eastAsia="宋体" w:cs="宋体"/>
          <w:color w:val="auto"/>
          <w:sz w:val="24"/>
          <w:szCs w:val="24"/>
          <w:highlight w:val="none"/>
        </w:rPr>
        <w:t xml:space="preserve">一经查实，</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有权依据政府采购的有关规定，报请政府采购监管部门对该供应商进行相应的行政处罚和记录该供应商的失信信息。</w:t>
      </w:r>
      <w:r/>
    </w:p>
    <w:p>
      <w:pPr>
        <w:pStyle w:val="738"/>
        <w:ind w:left="0" w:right="0" w:firstLine="482"/>
        <w:jc w:val="left"/>
        <w:keepLines w:val="0"/>
        <w:keepNext w:val="0"/>
        <w:pageBreakBefore w:val="0"/>
        <w:spacing w:before="0" w:beforeAutospacing="0" w:after="0" w:afterAutospacing="0" w:line="360" w:lineRule="auto"/>
        <w:widowControl w:val="off"/>
        <w:rPr>
          <w:rFonts w:hint="eastAsia" w:ascii="宋体" w:hAnsi="宋体" w:eastAsia="宋体" w:cs="宋体"/>
          <w:bCs w:val="0"/>
          <w:color w:val="auto"/>
          <w:sz w:val="24"/>
          <w:highlight w:val="none"/>
        </w:rPr>
      </w:pPr>
      <w:r>
        <w:rPr>
          <w:rFonts w:hint="eastAsia" w:ascii="宋体" w:hAnsi="宋体" w:eastAsia="宋体" w:cs="宋体"/>
          <w:bCs w:val="0"/>
          <w:color w:val="auto"/>
          <w:sz w:val="24"/>
          <w:highlight w:val="none"/>
        </w:rPr>
        <w:t xml:space="preserve">29.中标通知书</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29.l中标结果确定后，</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将向中标人发出中标通知书。请中标人在中标结果公告届满之日起30日内</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使用CA数字证书登录</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szCs w:val="24"/>
          <w:highlight w:val="none"/>
        </w:rPr>
        <w:t xml:space="preserve">及时下载中标通知书。因系统存储空间有限，自中标结果公告届满之日起30日后，</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szCs w:val="24"/>
          <w:highlight w:val="none"/>
        </w:rPr>
        <w:t xml:space="preserve">不再保证提供下载中标通知书服务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因未及时下载而造成的不利后果由中标人自行承担。</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29.2中标通知书将是合同的一个组成部分。对采购人和中标人均具有法律效力。中标通知书发出后，采购人改变中标结果的，或者中标人放弃中标项目的，应当依法承担法律责任。</w:t>
      </w:r>
      <w:r/>
    </w:p>
    <w:p>
      <w:pPr>
        <w:pStyle w:val="736"/>
        <w:ind w:left="0" w:right="0" w:firstLine="0"/>
        <w:jc w:val="left"/>
        <w:keepLines w:val="0"/>
        <w:keepNext w:val="0"/>
        <w:pageBreakBefore w:val="0"/>
        <w:spacing w:before="0" w:beforeAutospacing="0" w:after="0" w:afterAutospacing="0" w:line="360" w:lineRule="auto"/>
        <w:widowControl w:val="off"/>
        <w:rPr>
          <w:rFonts w:hint="eastAsia" w:ascii="宋体" w:hAnsi="宋体" w:eastAsia="宋体" w:cs="宋体"/>
          <w:b/>
          <w:color w:val="auto"/>
          <w:sz w:val="24"/>
          <w:szCs w:val="30"/>
          <w:highlight w:val="none"/>
        </w:rPr>
        <w:outlineLvl w:val="1"/>
      </w:pPr>
      <w:r/>
      <w:bookmarkStart w:id="171" w:name="_Toc120614220"/>
      <w:r/>
      <w:bookmarkStart w:id="172" w:name="_Toc513029236"/>
      <w:r/>
      <w:bookmarkStart w:id="173" w:name="_Toc20823308"/>
      <w:r/>
      <w:bookmarkStart w:id="174" w:name="_Toc16938552"/>
      <w:r>
        <w:rPr>
          <w:rFonts w:hint="eastAsia" w:ascii="宋体" w:hAnsi="宋体" w:eastAsia="宋体" w:cs="宋体"/>
          <w:b/>
          <w:color w:val="auto"/>
          <w:sz w:val="24"/>
          <w:szCs w:val="30"/>
          <w:highlight w:val="none"/>
        </w:rPr>
        <w:t xml:space="preserve">七、授予合同</w:t>
      </w:r>
      <w:bookmarkEnd w:id="171"/>
      <w:r/>
      <w:bookmarkEnd w:id="172"/>
      <w:bookmarkEnd w:id="173"/>
      <w:bookmarkEnd w:id="174"/>
      <w:r/>
    </w:p>
    <w:p>
      <w:pPr>
        <w:pStyle w:val="738"/>
        <w:ind w:left="0" w:right="0" w:firstLine="482"/>
        <w:jc w:val="left"/>
        <w:keepLines w:val="0"/>
        <w:keepNext w:val="0"/>
        <w:pageBreakBefore w:val="0"/>
        <w:spacing w:before="0" w:beforeAutospacing="0" w:after="0" w:afterAutospacing="0" w:line="360" w:lineRule="auto"/>
        <w:widowControl w:val="off"/>
        <w:rPr>
          <w:rFonts w:hint="eastAsia" w:ascii="宋体" w:hAnsi="宋体" w:eastAsia="宋体" w:cs="宋体"/>
          <w:bCs w:val="0"/>
          <w:color w:val="auto"/>
          <w:sz w:val="24"/>
          <w:highlight w:val="none"/>
        </w:rPr>
      </w:pPr>
      <w:r/>
      <w:bookmarkStart w:id="175" w:name="_Toc16938553"/>
      <w:r/>
      <w:bookmarkStart w:id="176" w:name="_Toc513029237"/>
      <w:r/>
      <w:bookmarkStart w:id="177" w:name="_Toc20823309"/>
      <w:r>
        <w:rPr>
          <w:rFonts w:hint="eastAsia" w:ascii="宋体" w:hAnsi="宋体" w:eastAsia="宋体" w:cs="宋体"/>
          <w:bCs w:val="0"/>
          <w:color w:val="auto"/>
          <w:sz w:val="24"/>
          <w:highlight w:val="none"/>
        </w:rPr>
        <w:t xml:space="preserve">30.签订合同</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eastAsia="宋体" w:cs="宋体"/>
          <w:color w:val="auto"/>
          <w:sz w:val="24"/>
          <w:szCs w:val="24"/>
          <w:highlight w:val="none"/>
        </w:rPr>
        <w:t xml:space="preserve">招标文件、中标人的投标文件及招标过程中有关澄清、承诺文件均应作为合同附件。</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30.2中标人非因不可抗力未履行招、投标文件和合同规定的义务，一经查实，</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将根据具体情况提请政府采购管理部门作出相应处理。</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738"/>
        <w:ind w:left="0" w:right="0" w:firstLine="482"/>
        <w:jc w:val="left"/>
        <w:keepLines w:val="0"/>
        <w:keepNext w:val="0"/>
        <w:pageBreakBefore w:val="0"/>
        <w:spacing w:before="0" w:beforeAutospacing="0" w:after="0" w:afterAutospacing="0" w:line="360" w:lineRule="auto"/>
        <w:widowControl w:val="off"/>
        <w:rPr>
          <w:rFonts w:hint="eastAsia" w:ascii="宋体" w:hAnsi="宋体" w:eastAsia="宋体" w:cs="宋体"/>
          <w:bCs w:val="0"/>
          <w:color w:val="auto"/>
          <w:sz w:val="24"/>
          <w:highlight w:val="none"/>
        </w:rPr>
      </w:pPr>
      <w:r>
        <w:rPr>
          <w:rFonts w:hint="eastAsia" w:ascii="宋体" w:hAnsi="宋体" w:eastAsia="宋体" w:cs="宋体"/>
          <w:bCs w:val="0"/>
          <w:color w:val="auto"/>
          <w:sz w:val="24"/>
          <w:highlight w:val="none"/>
        </w:rPr>
        <w:t xml:space="preserve">31.服务（包含与服务相关的货物）的追加</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w:t>
      </w:r>
      <w:r>
        <w:rPr>
          <w:rFonts w:hint="eastAsia" w:ascii="宋体" w:hAnsi="宋体" w:eastAsia="宋体" w:cs="宋体"/>
          <w:color w:val="auto"/>
          <w:sz w:val="24"/>
          <w:szCs w:val="24"/>
          <w:highlight w:val="none"/>
          <w:lang w:eastAsia="zh-CN"/>
        </w:rPr>
        <w:t xml:space="preserve">额的</w:t>
      </w:r>
      <w:r>
        <w:rPr>
          <w:rFonts w:hint="eastAsia" w:ascii="宋体" w:hAnsi="宋体" w:eastAsia="宋体" w:cs="宋体"/>
          <w:color w:val="auto"/>
          <w:sz w:val="24"/>
          <w:szCs w:val="24"/>
          <w:highlight w:val="none"/>
        </w:rPr>
        <w:t xml:space="preserve">10%。</w:t>
      </w:r>
      <w:r/>
    </w:p>
    <w:p>
      <w:pPr>
        <w:pStyle w:val="948"/>
        <w:ind w:left="0" w:right="0" w:firstLine="0"/>
        <w:jc w:val="left"/>
        <w:keepLines w:val="0"/>
        <w:keepNext w:val="0"/>
        <w:pageBreakBefore w:val="0"/>
        <w:spacing w:before="0" w:beforeAutospacing="0" w:after="0" w:afterAutospacing="0" w:line="360" w:lineRule="auto"/>
        <w:widowControl w:val="off"/>
        <w:rPr>
          <w:rFonts w:hint="eastAsia" w:ascii="宋体" w:hAnsi="宋体" w:eastAsia="宋体" w:cs="宋体"/>
          <w:b/>
          <w:bCs w:val="0"/>
          <w:color w:val="auto"/>
          <w:sz w:val="24"/>
          <w:highlight w:val="none"/>
          <w:lang w:val="en-US" w:eastAsia="zh-CN"/>
        </w:rPr>
        <w:outlineLvl w:val="1"/>
      </w:pPr>
      <w:r>
        <w:rPr>
          <w:rFonts w:hint="eastAsia" w:ascii="宋体" w:hAnsi="宋体" w:eastAsia="宋体" w:cs="宋体"/>
          <w:b/>
          <w:bCs w:val="0"/>
          <w:color w:val="auto"/>
          <w:sz w:val="24"/>
          <w:highlight w:val="none"/>
          <w:lang w:val="en-US" w:eastAsia="zh-CN"/>
        </w:rPr>
        <w:t xml:space="preserve">八、代理服务费</w:t>
      </w:r>
      <w:r/>
    </w:p>
    <w:p>
      <w:pPr>
        <w:pStyle w:val="746"/>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SA"/>
        </w:rPr>
        <w:outlineLvl w:val="0"/>
      </w:pPr>
      <w:r>
        <w:rPr>
          <w:rFonts w:hint="eastAsia" w:ascii="宋体" w:hAnsi="宋体" w:eastAsia="宋体" w:cs="宋体"/>
          <w:color w:val="auto"/>
          <w:sz w:val="24"/>
          <w:szCs w:val="24"/>
          <w:highlight w:val="none"/>
          <w:lang w:val="en-US" w:eastAsia="zh-CN" w:bidi="ar-SA"/>
        </w:rPr>
        <w:t xml:space="preserve">32.</w:t>
      </w:r>
      <w:bookmarkEnd w:id="175"/>
      <w:r/>
      <w:bookmarkEnd w:id="176"/>
      <w:r/>
      <w:bookmarkEnd w:id="177"/>
      <w:r/>
      <w:bookmarkStart w:id="178" w:name="_Toc20823314"/>
      <w:r/>
      <w:bookmarkStart w:id="179" w:name="_Toc479757207"/>
      <w:r/>
      <w:bookmarkStart w:id="180" w:name="_Toc513029242"/>
      <w:r/>
      <w:bookmarkStart w:id="181" w:name="_Toc16938558"/>
      <w:r/>
      <w:bookmarkStart w:id="182" w:name="_Toc120614221"/>
      <w:r>
        <w:rPr>
          <w:rFonts w:hint="eastAsia" w:ascii="宋体" w:hAnsi="宋体" w:eastAsia="宋体" w:cs="宋体"/>
          <w:color w:val="auto"/>
          <w:sz w:val="24"/>
          <w:highlight w:val="none"/>
          <w:shd w:val="clear" w:color="auto" w:fill="ffffff"/>
        </w:rPr>
        <w:t xml:space="preserve">招标代理服务费由</w:t>
      </w:r>
      <w:r>
        <w:rPr>
          <w:rFonts w:hint="eastAsia" w:ascii="宋体" w:hAnsi="宋体" w:cs="宋体"/>
          <w:color w:val="auto"/>
          <w:sz w:val="24"/>
          <w:highlight w:val="none"/>
          <w:shd w:val="clear" w:color="auto" w:fill="ffffff"/>
          <w:lang w:val="en-US" w:eastAsia="zh-CN"/>
        </w:rPr>
        <w:t xml:space="preserve">采购</w:t>
      </w:r>
      <w:r>
        <w:rPr>
          <w:rFonts w:hint="eastAsia" w:ascii="宋体" w:hAnsi="宋体" w:eastAsia="宋体" w:cs="宋体"/>
          <w:color w:val="auto"/>
          <w:sz w:val="24"/>
          <w:highlight w:val="none"/>
          <w:shd w:val="clear" w:color="auto" w:fill="ffffff"/>
        </w:rPr>
        <w:t xml:space="preserve">人支付</w:t>
      </w:r>
      <w:r>
        <w:rPr>
          <w:rFonts w:hint="eastAsia" w:ascii="宋体" w:hAnsi="宋体" w:eastAsia="宋体" w:cs="宋体"/>
          <w:bCs/>
          <w:color w:val="auto"/>
          <w:sz w:val="24"/>
          <w:highlight w:val="none"/>
        </w:rPr>
        <w:t xml:space="preserve">：代理费以中标金额为计费基础，按差额定率累进法计算，</w:t>
      </w:r>
      <w:r>
        <w:rPr>
          <w:rFonts w:hint="eastAsia" w:ascii="宋体" w:hAnsi="宋体" w:eastAsia="宋体" w:cs="宋体"/>
          <w:color w:val="auto"/>
          <w:sz w:val="24"/>
          <w:highlight w:val="none"/>
          <w:shd w:val="clear" w:color="auto" w:fill="ffffff"/>
        </w:rPr>
        <w:t xml:space="preserve">代理费（服务）收费标准：</w:t>
      </w:r>
      <w:r>
        <w:rPr>
          <w:rFonts w:hint="eastAsia" w:ascii="宋体" w:hAnsi="宋体" w:cs="宋体"/>
          <w:color w:val="auto"/>
          <w:sz w:val="24"/>
          <w:highlight w:val="none"/>
          <w:shd w:val="clear" w:color="auto" w:fill="ffffff"/>
          <w:lang w:val="en-US" w:eastAsia="zh-CN"/>
        </w:rPr>
        <w:t xml:space="preserve">中标</w:t>
      </w:r>
      <w:r>
        <w:rPr>
          <w:rFonts w:hint="eastAsia" w:ascii="宋体" w:hAnsi="宋体" w:eastAsia="宋体" w:cs="宋体"/>
          <w:color w:val="auto"/>
          <w:sz w:val="24"/>
          <w:highlight w:val="none"/>
          <w:shd w:val="clear" w:color="auto" w:fill="ffffff"/>
        </w:rPr>
        <w:t xml:space="preserve">金额</w:t>
      </w:r>
      <w:r>
        <w:rPr>
          <w:rFonts w:hint="eastAsia" w:ascii="宋体" w:hAnsi="宋体" w:eastAsia="宋体" w:cs="宋体"/>
          <w:color w:val="auto"/>
          <w:sz w:val="24"/>
          <w:highlight w:val="none"/>
          <w:shd w:val="clear" w:color="auto" w:fill="ffffff"/>
          <w:lang w:eastAsia="zh-CN"/>
        </w:rPr>
        <w:t xml:space="preserve">100万元以下</w:t>
      </w:r>
      <w:r>
        <w:rPr>
          <w:rFonts w:hint="eastAsia" w:ascii="宋体" w:hAnsi="宋体" w:eastAsia="宋体" w:cs="宋体"/>
          <w:color w:val="auto"/>
          <w:sz w:val="24"/>
          <w:highlight w:val="none"/>
          <w:shd w:val="clear" w:color="auto" w:fill="ffffff"/>
        </w:rPr>
        <w:t xml:space="preserve">费率为</w:t>
      </w:r>
      <w:r>
        <w:rPr>
          <w:rFonts w:hint="eastAsia" w:ascii="宋体" w:hAnsi="宋体" w:cs="宋体"/>
          <w:color w:val="auto"/>
          <w:sz w:val="24"/>
          <w:highlight w:val="none"/>
          <w:shd w:val="clear" w:color="auto" w:fill="ffffff"/>
          <w:lang w:val="en-US" w:eastAsia="zh-CN"/>
        </w:rPr>
        <w:t xml:space="preserve">中标</w:t>
      </w:r>
      <w:r>
        <w:rPr>
          <w:rFonts w:hint="eastAsia" w:ascii="宋体" w:hAnsi="宋体" w:eastAsia="宋体" w:cs="宋体"/>
          <w:color w:val="auto"/>
          <w:sz w:val="24"/>
          <w:highlight w:val="none"/>
          <w:shd w:val="clear" w:color="auto" w:fill="ffffff"/>
        </w:rPr>
        <w:t xml:space="preserve">金额的1.</w:t>
      </w:r>
      <w:r>
        <w:rPr>
          <w:rFonts w:hint="eastAsia" w:ascii="宋体" w:hAnsi="宋体" w:cs="宋体"/>
          <w:color w:val="auto"/>
          <w:sz w:val="24"/>
          <w:highlight w:val="none"/>
          <w:shd w:val="clear" w:color="auto" w:fill="ffffff"/>
          <w:lang w:val="en-US" w:eastAsia="zh-CN"/>
        </w:rPr>
        <w:t xml:space="preserve">05</w:t>
      </w:r>
      <w:r>
        <w:rPr>
          <w:rFonts w:hint="eastAsia" w:ascii="宋体" w:hAnsi="宋体" w:eastAsia="宋体" w:cs="宋体"/>
          <w:color w:val="auto"/>
          <w:sz w:val="24"/>
          <w:highlight w:val="none"/>
          <w:shd w:val="clear" w:color="auto" w:fill="ffffff"/>
        </w:rPr>
        <w:t xml:space="preserve">%，</w:t>
      </w:r>
      <w:r>
        <w:rPr>
          <w:rFonts w:hint="eastAsia" w:ascii="宋体" w:hAnsi="宋体" w:cs="宋体"/>
          <w:color w:val="auto"/>
          <w:sz w:val="24"/>
          <w:highlight w:val="none"/>
          <w:shd w:val="clear" w:color="auto" w:fill="ffffff"/>
          <w:lang w:val="en-US" w:eastAsia="zh-CN"/>
        </w:rPr>
        <w:t xml:space="preserve">中标金额100万元</w:t>
      </w:r>
      <w:r>
        <w:rPr>
          <w:rFonts w:hint="eastAsia" w:ascii="宋体" w:hAnsi="宋体" w:eastAsia="宋体" w:cs="宋体"/>
          <w:color w:val="auto"/>
          <w:sz w:val="24"/>
          <w:highlight w:val="none"/>
          <w:shd w:val="clear" w:color="auto" w:fill="ffffff"/>
          <w:lang w:eastAsia="zh-CN"/>
        </w:rPr>
        <w:t xml:space="preserve">—500万</w:t>
      </w:r>
      <w:r>
        <w:rPr>
          <w:rFonts w:hint="eastAsia" w:ascii="宋体" w:hAnsi="宋体" w:eastAsia="宋体" w:cs="宋体"/>
          <w:color w:val="auto"/>
          <w:sz w:val="24"/>
          <w:highlight w:val="none"/>
          <w:shd w:val="clear" w:color="auto" w:fill="ffffff"/>
        </w:rPr>
        <w:t xml:space="preserve">费率为</w:t>
      </w:r>
      <w:r>
        <w:rPr>
          <w:rFonts w:hint="eastAsia" w:ascii="宋体" w:hAnsi="宋体" w:cs="宋体"/>
          <w:color w:val="auto"/>
          <w:sz w:val="24"/>
          <w:highlight w:val="none"/>
          <w:shd w:val="clear" w:color="auto" w:fill="ffffff"/>
          <w:lang w:val="en-US" w:eastAsia="zh-CN"/>
        </w:rPr>
        <w:t xml:space="preserve">中标</w:t>
      </w:r>
      <w:r>
        <w:rPr>
          <w:rFonts w:hint="eastAsia" w:ascii="宋体" w:hAnsi="宋体" w:eastAsia="宋体" w:cs="宋体"/>
          <w:color w:val="auto"/>
          <w:sz w:val="24"/>
          <w:highlight w:val="none"/>
          <w:shd w:val="clear" w:color="auto" w:fill="ffffff"/>
        </w:rPr>
        <w:t xml:space="preserve">金额的0.</w:t>
      </w:r>
      <w:r>
        <w:rPr>
          <w:rFonts w:hint="eastAsia" w:ascii="宋体" w:hAnsi="宋体" w:cs="宋体"/>
          <w:color w:val="auto"/>
          <w:sz w:val="24"/>
          <w:highlight w:val="none"/>
          <w:shd w:val="clear" w:color="auto" w:fill="ffffff"/>
          <w:lang w:val="en-US" w:eastAsia="zh-CN"/>
        </w:rPr>
        <w:t xml:space="preserve">77</w:t>
      </w:r>
      <w:r>
        <w:rPr>
          <w:rFonts w:hint="eastAsia" w:ascii="宋体" w:hAnsi="宋体" w:eastAsia="宋体" w:cs="宋体"/>
          <w:color w:val="auto"/>
          <w:sz w:val="24"/>
          <w:highlight w:val="none"/>
          <w:shd w:val="clear" w:color="auto" w:fill="ffffff"/>
        </w:rPr>
        <w:t xml:space="preserve">%。</w:t>
      </w:r>
      <w:r/>
    </w:p>
    <w:p>
      <w:pPr>
        <w:ind w:left="0" w:right="0" w:firstLine="0"/>
        <w:jc w:val="center"/>
        <w:pageBreakBefore w:val="0"/>
        <w:spacing w:before="200" w:beforeAutospacing="0" w:after="200" w:afterAutospacing="0" w:line="240" w:lineRule="auto"/>
        <w:tabs>
          <w:tab w:val="left" w:pos="1440" w:leader="none"/>
        </w:tabs>
        <w:rPr>
          <w:rFonts w:hint="eastAsia" w:ascii="宋体" w:hAnsi="宋体" w:eastAsia="宋体" w:cs="宋体"/>
          <w:b/>
          <w:bCs/>
          <w:color w:val="auto"/>
          <w:sz w:val="24"/>
          <w:szCs w:val="36"/>
          <w:highlight w:val="none"/>
        </w:rPr>
        <w:outlineLvl w:val="0"/>
      </w:pPr>
      <w:r>
        <w:rPr>
          <w:rFonts w:hint="eastAsia" w:ascii="宋体" w:hAnsi="宋体" w:eastAsia="宋体" w:cs="宋体"/>
          <w:b/>
          <w:bCs/>
          <w:color w:val="auto"/>
          <w:sz w:val="24"/>
          <w:highlight w:val="none"/>
          <w:shd w:val="clear" w:color="ffffff" w:fill="d9d9d9"/>
        </w:rPr>
        <w:br w:type="page" w:clear="all"/>
      </w:r>
      <w:bookmarkStart w:id="183" w:name="_Toc29592"/>
      <w:r>
        <w:rPr>
          <w:rFonts w:hint="eastAsia" w:ascii="宋体" w:hAnsi="宋体" w:eastAsia="宋体" w:cs="宋体"/>
          <w:b/>
          <w:bCs/>
          <w:color w:val="auto"/>
          <w:sz w:val="30"/>
          <w:szCs w:val="30"/>
          <w:highlight w:val="none"/>
        </w:rPr>
        <w:t xml:space="preserve">第三章  合同</w:t>
      </w:r>
      <w:bookmarkEnd w:id="178"/>
      <w:r/>
      <w:bookmarkEnd w:id="179"/>
      <w:r/>
      <w:bookmarkEnd w:id="180"/>
      <w:r/>
      <w:bookmarkEnd w:id="181"/>
      <w:r/>
      <w:bookmarkEnd w:id="182"/>
      <w:r>
        <w:rPr>
          <w:rFonts w:hint="eastAsia" w:ascii="宋体" w:hAnsi="宋体" w:eastAsia="宋体" w:cs="宋体"/>
          <w:b/>
          <w:bCs/>
          <w:color w:val="auto"/>
          <w:sz w:val="30"/>
          <w:szCs w:val="30"/>
          <w:highlight w:val="none"/>
        </w:rPr>
        <w:t xml:space="preserve">文本</w:t>
      </w:r>
      <w:bookmarkEnd w:id="183"/>
      <w:r/>
      <w:r/>
    </w:p>
    <w:p>
      <w:pPr>
        <w:jc w:val="center"/>
        <w:spacing w:line="360" w:lineRule="auto"/>
        <w:rPr>
          <w:rFonts w:hint="eastAsia" w:ascii="宋体" w:hAnsi="宋体" w:eastAsia="宋体" w:cs="宋体"/>
          <w:b/>
          <w:sz w:val="28"/>
          <w:szCs w:val="28"/>
          <w:highlight w:val="none"/>
        </w:rPr>
        <w:outlineLvl w:val="0"/>
      </w:pPr>
      <w:r/>
      <w:bookmarkStart w:id="184" w:name="_Hlt16619369"/>
      <w:r/>
      <w:bookmarkEnd w:id="184"/>
      <w:r/>
      <w:bookmarkStart w:id="185" w:name="_Toc16938590"/>
      <w:r/>
      <w:bookmarkStart w:id="186" w:name="_Toc120614244"/>
      <w:r/>
      <w:bookmarkStart w:id="187" w:name="_Toc20823346"/>
      <w:r/>
      <w:bookmarkStart w:id="188" w:name="_Toc2602"/>
      <w:r/>
      <w:bookmarkStart w:id="189" w:name="_Toc479757211"/>
      <w:r/>
      <w:bookmarkStart w:id="190" w:name="_Toc462564139"/>
      <w:r>
        <w:rPr>
          <w:rFonts w:hint="eastAsia" w:ascii="宋体" w:hAnsi="宋体" w:eastAsia="宋体" w:cs="宋体"/>
          <w:b/>
          <w:sz w:val="28"/>
          <w:szCs w:val="28"/>
          <w:highlight w:val="none"/>
        </w:rPr>
        <w:t xml:space="preserve">合同书（格式文本）</w:t>
      </w:r>
      <w:r/>
    </w:p>
    <w:p>
      <w:pPr>
        <w:ind w:firstLine="482"/>
        <w:jc w:val="left"/>
        <w:spacing w:line="360" w:lineRule="auto"/>
        <w:rPr>
          <w:rFonts w:hint="eastAsia" w:ascii="宋体" w:hAnsi="宋体" w:eastAsia="宋体" w:cs="宋体"/>
          <w:b/>
          <w:sz w:val="28"/>
          <w:szCs w:val="28"/>
          <w:highlight w:val="none"/>
        </w:rPr>
      </w:pPr>
      <w:r>
        <w:rPr>
          <w:rFonts w:hint="eastAsia" w:ascii="宋体" w:hAnsi="宋体" w:eastAsia="宋体" w:cs="宋体"/>
          <w:b/>
          <w:sz w:val="24"/>
          <w:highlight w:val="none"/>
        </w:rPr>
        <w:t xml:space="preserve">根据《中华人民共和国政府采购法》及相关法规、《中华人民共和国民法典》，遵循平等、自愿、公平和诚实信用的原则，供需双方就项目（项目编号：   ）采购及有关事项协商一致，共同达成如下协议：</w:t>
      </w:r>
      <w:r/>
    </w:p>
    <w:p>
      <w:pPr>
        <w:spacing w:line="360" w:lineRule="auto"/>
        <w:rPr>
          <w:rFonts w:hint="eastAsia" w:ascii="宋体" w:hAnsi="宋体" w:eastAsia="宋体" w:cs="宋体"/>
          <w:bCs/>
          <w:sz w:val="24"/>
          <w:highlight w:val="none"/>
          <w:u w:val="single"/>
        </w:rPr>
      </w:pPr>
      <w:r>
        <w:rPr>
          <w:rFonts w:hint="eastAsia" w:ascii="宋体" w:hAnsi="宋体" w:eastAsia="宋体" w:cs="宋体"/>
          <w:bCs/>
          <w:sz w:val="24"/>
          <w:highlight w:val="none"/>
        </w:rPr>
        <w:t xml:space="preserve">需方（采购人）：</w:t>
      </w:r>
      <w:r>
        <w:rPr>
          <w:rFonts w:hint="eastAsia" w:ascii="宋体" w:hAnsi="宋体" w:eastAsia="宋体" w:cs="宋体"/>
          <w:bCs/>
          <w:sz w:val="24"/>
          <w:highlight w:val="none"/>
          <w:u w:val="single"/>
        </w:rPr>
        <w:t xml:space="preserve">无锡市药品安全检验检测中心</w:t>
      </w:r>
      <w:r/>
    </w:p>
    <w:p>
      <w:pPr>
        <w:spacing w:line="360" w:lineRule="auto"/>
        <w:rPr>
          <w:rFonts w:hint="eastAsia" w:ascii="宋体" w:hAnsi="宋体" w:eastAsia="宋体" w:cs="宋体"/>
          <w:bCs/>
          <w:sz w:val="24"/>
          <w:highlight w:val="none"/>
          <w:u w:val="single"/>
        </w:rPr>
      </w:pPr>
      <w:r>
        <w:rPr>
          <w:rFonts w:hint="eastAsia" w:ascii="宋体" w:hAnsi="宋体" w:eastAsia="宋体" w:cs="宋体"/>
          <w:bCs/>
          <w:sz w:val="24"/>
          <w:highlight w:val="none"/>
        </w:rPr>
        <w:t xml:space="preserve">供方（中标方）：</w:t>
      </w:r>
      <w:r>
        <w:rPr>
          <w:rFonts w:hint="eastAsia" w:ascii="宋体" w:hAnsi="宋体" w:eastAsia="宋体" w:cs="宋体"/>
          <w:bCs/>
          <w:sz w:val="24"/>
          <w:highlight w:val="none"/>
          <w:u w:val="single"/>
        </w:rPr>
        <w:t xml:space="preserve">                                  </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一、项目编号：</w:t>
      </w:r>
      <w:r>
        <w:rPr>
          <w:rStyle w:val="950"/>
          <w:rFonts w:hint="eastAsia" w:ascii="宋体" w:hAnsi="宋体" w:eastAsia="宋体" w:cs="宋体"/>
          <w:sz w:val="24"/>
          <w:szCs w:val="24"/>
          <w:highlight w:val="none"/>
          <w:u w:val="single"/>
        </w:rPr>
        <w:t xml:space="preserve">                              </w:t>
      </w:r>
      <w:r>
        <w:rPr>
          <w:rFonts w:hint="eastAsia" w:ascii="宋体" w:hAnsi="宋体" w:eastAsia="宋体" w:cs="宋体"/>
          <w:bCs/>
          <w:sz w:val="24"/>
          <w:highlight w:val="none"/>
        </w:rPr>
        <w:t xml:space="preserve">     </w:t>
      </w:r>
      <w:r/>
    </w:p>
    <w:p>
      <w:pPr>
        <w:ind w:firstLine="480"/>
        <w:spacing w:line="360" w:lineRule="auto"/>
        <w:tabs>
          <w:tab w:val="left" w:pos="210" w:leader="none"/>
          <w:tab w:val="left" w:pos="840" w:leader="none"/>
          <w:tab w:val="left" w:pos="1260"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二、项目名称：</w:t>
      </w:r>
      <w:r>
        <w:rPr>
          <w:rStyle w:val="950"/>
          <w:rFonts w:hint="eastAsia" w:ascii="宋体" w:hAnsi="宋体" w:eastAsia="宋体" w:cs="宋体"/>
          <w:sz w:val="24"/>
          <w:szCs w:val="24"/>
          <w:highlight w:val="none"/>
          <w:u w:val="single"/>
        </w:rPr>
        <w:t xml:space="preserve">                            </w:t>
      </w:r>
      <w:r/>
    </w:p>
    <w:p>
      <w:pPr>
        <w:ind w:left="420"/>
        <w:spacing w:line="360" w:lineRule="auto"/>
        <w:tabs>
          <w:tab w:val="left" w:pos="210" w:leader="none"/>
          <w:tab w:val="left" w:pos="840" w:leader="none"/>
          <w:tab w:val="left" w:pos="1260"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三、中标（成交）金额（含税）：</w:t>
      </w:r>
      <w:r>
        <w:rPr>
          <w:rFonts w:hint="eastAsia" w:ascii="宋体" w:hAnsi="宋体" w:eastAsia="宋体" w:cs="宋体"/>
          <w:bCs/>
          <w:sz w:val="24"/>
          <w:highlight w:val="none"/>
          <w:u w:val="single"/>
        </w:rPr>
        <w:t xml:space="preserve">        </w:t>
      </w:r>
      <w:r>
        <w:rPr>
          <w:rFonts w:hint="eastAsia" w:ascii="宋体" w:hAnsi="宋体" w:eastAsia="宋体" w:cs="宋体"/>
          <w:bCs/>
          <w:sz w:val="24"/>
          <w:highlight w:val="none"/>
        </w:rPr>
        <w:t xml:space="preserve">（大写）；</w:t>
      </w:r>
      <w:r>
        <w:rPr>
          <w:rFonts w:hint="eastAsia" w:ascii="宋体" w:hAnsi="宋体" w:eastAsia="宋体" w:cs="宋体"/>
          <w:bCs/>
          <w:sz w:val="24"/>
          <w:highlight w:val="none"/>
          <w:u w:val="single"/>
        </w:rPr>
        <w:t xml:space="preserve">            </w:t>
      </w:r>
      <w:r>
        <w:rPr>
          <w:rFonts w:hint="eastAsia" w:ascii="宋体" w:hAnsi="宋体" w:eastAsia="宋体" w:cs="宋体"/>
          <w:bCs/>
          <w:sz w:val="24"/>
          <w:highlight w:val="none"/>
        </w:rPr>
        <w:t xml:space="preserve">（小写）；</w:t>
      </w:r>
      <w:r/>
    </w:p>
    <w:p>
      <w:pPr>
        <w:ind w:firstLine="480"/>
        <w:spacing w:line="360" w:lineRule="auto"/>
        <w:tabs>
          <w:tab w:val="left" w:pos="210" w:leader="none"/>
          <w:tab w:val="left" w:pos="840" w:leader="none"/>
          <w:tab w:val="left" w:pos="1260" w:leader="none"/>
        </w:tabs>
        <w:rPr>
          <w:rFonts w:hint="eastAsia" w:ascii="宋体" w:hAnsi="宋体" w:eastAsia="宋体" w:cs="宋体"/>
          <w:sz w:val="24"/>
          <w:szCs w:val="24"/>
          <w:highlight w:val="none"/>
          <w:u w:val="single"/>
        </w:rPr>
      </w:pPr>
      <w:r>
        <w:rPr>
          <w:rFonts w:hint="eastAsia" w:ascii="宋体" w:hAnsi="宋体" w:eastAsia="宋体" w:cs="宋体"/>
          <w:bCs/>
          <w:sz w:val="24"/>
          <w:highlight w:val="none"/>
        </w:rPr>
        <w:t xml:space="preserve">四、服务内容：</w:t>
      </w:r>
      <w:r>
        <w:rPr>
          <w:rFonts w:hint="eastAsia" w:ascii="宋体" w:hAnsi="宋体" w:eastAsia="宋体" w:cs="宋体"/>
          <w:sz w:val="24"/>
          <w:szCs w:val="24"/>
          <w:highlight w:val="none"/>
          <w:u w:val="single"/>
        </w:rPr>
        <w:t xml:space="preserve">                           ；</w:t>
      </w:r>
      <w:r/>
    </w:p>
    <w:p>
      <w:pPr>
        <w:ind w:firstLine="480"/>
        <w:spacing w:line="360" w:lineRule="auto"/>
        <w:tabs>
          <w:tab w:val="left" w:pos="210" w:leader="none"/>
          <w:tab w:val="left" w:pos="840" w:leader="none"/>
          <w:tab w:val="left" w:pos="1260"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五、交货期或完工期：</w:t>
      </w:r>
      <w:r>
        <w:rPr>
          <w:rFonts w:hint="eastAsia" w:ascii="宋体" w:hAnsi="宋体" w:eastAsia="宋体" w:cs="宋体"/>
          <w:sz w:val="24"/>
          <w:szCs w:val="24"/>
          <w:highlight w:val="none"/>
          <w:u w:val="single"/>
        </w:rPr>
        <w:t xml:space="preserve">自合同签订生效起90天；</w:t>
      </w:r>
      <w:r/>
    </w:p>
    <w:p>
      <w:pPr>
        <w:ind w:firstLine="480"/>
        <w:spacing w:line="360" w:lineRule="auto"/>
        <w:tabs>
          <w:tab w:val="left" w:pos="210" w:leader="none"/>
          <w:tab w:val="left" w:pos="840" w:leader="none"/>
          <w:tab w:val="left" w:pos="1260"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六、合同书不可分割部分：</w:t>
      </w:r>
      <w:r/>
    </w:p>
    <w:p>
      <w:pPr>
        <w:ind w:firstLine="480"/>
        <w:spacing w:line="360" w:lineRule="auto"/>
        <w:tabs>
          <w:tab w:val="left" w:pos="210" w:leader="none"/>
          <w:tab w:val="left" w:pos="840" w:leader="none"/>
          <w:tab w:val="left" w:pos="1260"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招标（采购）文件、投标（报价）文件、合同条款及中标</w:t>
      </w:r>
      <w:r>
        <w:rPr>
          <w:rFonts w:hint="eastAsia" w:ascii="宋体" w:hAnsi="宋体" w:eastAsia="宋体" w:cs="宋体"/>
          <w:sz w:val="24"/>
          <w:highlight w:val="none"/>
        </w:rPr>
        <w:t xml:space="preserve">（成交）</w:t>
      </w:r>
      <w:r>
        <w:rPr>
          <w:rFonts w:hint="eastAsia" w:ascii="宋体" w:hAnsi="宋体" w:eastAsia="宋体" w:cs="宋体"/>
          <w:bCs/>
          <w:sz w:val="24"/>
          <w:highlight w:val="none"/>
        </w:rPr>
        <w:t xml:space="preserve">通知书，供方在投标（响应）、评标（评审）过程中所作</w:t>
      </w:r>
      <w:r>
        <w:rPr>
          <w:rFonts w:hint="eastAsia" w:ascii="宋体" w:hAnsi="宋体" w:eastAsia="宋体" w:cs="宋体"/>
          <w:bCs/>
          <w:sz w:val="24"/>
          <w:highlight w:val="none"/>
          <w:lang w:eastAsia="zh-CN"/>
        </w:rPr>
        <w:t xml:space="preserve">其他有关</w:t>
      </w:r>
      <w:r>
        <w:rPr>
          <w:rFonts w:hint="eastAsia" w:ascii="宋体" w:hAnsi="宋体" w:eastAsia="宋体" w:cs="宋体"/>
          <w:bCs/>
          <w:sz w:val="24"/>
          <w:highlight w:val="none"/>
        </w:rPr>
        <w:t xml:space="preserve">承诺、声明、书面澄清等均为合同不可分割的部分，与主合同具有同等法律效力。</w:t>
      </w:r>
      <w:r/>
    </w:p>
    <w:p>
      <w:pPr>
        <w:ind w:firstLine="480"/>
        <w:spacing w:line="360" w:lineRule="auto"/>
        <w:tabs>
          <w:tab w:val="left" w:pos="210" w:leader="none"/>
          <w:tab w:val="left" w:pos="735" w:leader="none"/>
          <w:tab w:val="left" w:pos="1155" w:leader="none"/>
        </w:tabs>
        <w:rPr>
          <w:rFonts w:hint="eastAsia" w:ascii="宋体" w:hAnsi="宋体" w:eastAsia="宋体" w:cs="宋体"/>
          <w:sz w:val="24"/>
          <w:highlight w:val="none"/>
        </w:rPr>
        <w:outlineLvl w:val="1"/>
      </w:pPr>
      <w:r>
        <w:rPr>
          <w:rFonts w:hint="eastAsia" w:ascii="宋体" w:hAnsi="宋体" w:eastAsia="宋体" w:cs="宋体"/>
          <w:sz w:val="24"/>
          <w:highlight w:val="none"/>
        </w:rPr>
        <w:t xml:space="preserve">七、合同书组成：</w:t>
      </w:r>
      <w:r/>
    </w:p>
    <w:p>
      <w:pPr>
        <w:ind w:firstLine="480"/>
        <w:spacing w:line="360" w:lineRule="auto"/>
        <w:tabs>
          <w:tab w:val="left" w:pos="210" w:leader="none"/>
          <w:tab w:val="left" w:pos="735" w:leader="none"/>
          <w:tab w:val="left" w:pos="1155" w:leader="none"/>
        </w:tabs>
        <w:rPr>
          <w:rFonts w:hint="eastAsia" w:ascii="宋体" w:hAnsi="宋体" w:eastAsia="宋体" w:cs="宋体"/>
          <w:bCs/>
          <w:sz w:val="24"/>
          <w:highlight w:val="none"/>
        </w:rPr>
      </w:pPr>
      <w:r>
        <w:rPr>
          <w:rFonts w:hint="eastAsia" w:ascii="宋体" w:hAnsi="宋体" w:eastAsia="宋体" w:cs="宋体"/>
          <w:sz w:val="24"/>
          <w:highlight w:val="none"/>
        </w:rPr>
        <w:t xml:space="preserve">合同书由格式条款</w:t>
      </w:r>
      <w:r>
        <w:rPr>
          <w:rFonts w:hint="eastAsia" w:ascii="宋体" w:hAnsi="宋体" w:eastAsia="宋体" w:cs="宋体"/>
          <w:bCs/>
          <w:sz w:val="24"/>
          <w:highlight w:val="none"/>
        </w:rPr>
        <w:t xml:space="preserve">和合同条款两部分组成。合同条款应当包含法定必备条款和采购需求的所有内容，并应与“合同书不可分割部分”的内容一致，包括但不限于</w:t>
      </w:r>
      <w:r>
        <w:rPr>
          <w:rFonts w:hint="eastAsia" w:ascii="宋体" w:hAnsi="宋体" w:eastAsia="宋体" w:cs="宋体"/>
          <w:sz w:val="24"/>
          <w:highlight w:val="none"/>
        </w:rPr>
        <w:t xml:space="preserve">合同类型，</w:t>
      </w:r>
      <w:r>
        <w:rPr>
          <w:rFonts w:hint="eastAsia" w:ascii="宋体" w:hAnsi="宋体" w:eastAsia="宋体" w:cs="宋体"/>
          <w:bCs/>
          <w:sz w:val="24"/>
          <w:highlight w:val="none"/>
        </w:rPr>
        <w:t xml:space="preserve">标的名称、采购标的质量、数量，履行时间、地点和方式，包装方式，履约保证金要求，价款或报酬、付款进度安排、</w:t>
      </w:r>
      <w:r>
        <w:rPr>
          <w:rFonts w:hint="eastAsia" w:ascii="宋体" w:hAnsi="宋体" w:eastAsia="宋体" w:cs="宋体"/>
          <w:sz w:val="24"/>
          <w:highlight w:val="none"/>
        </w:rPr>
        <w:t xml:space="preserve">与履约挂钩的资金支付条件及时间</w:t>
      </w:r>
      <w:r>
        <w:rPr>
          <w:rFonts w:hint="eastAsia" w:ascii="宋体" w:hAnsi="宋体" w:eastAsia="宋体" w:cs="宋体"/>
          <w:bCs/>
          <w:sz w:val="24"/>
          <w:highlight w:val="none"/>
        </w:rPr>
        <w:t xml:space="preserve">，交付标准和方法，质量保修范围和保修期，违约责任与解决争议的方法，供需双方权利与义务，合同分包要求等。</w:t>
      </w:r>
      <w:r/>
    </w:p>
    <w:p>
      <w:pPr>
        <w:ind w:firstLine="480"/>
        <w:spacing w:line="360" w:lineRule="auto"/>
        <w:tabs>
          <w:tab w:val="left" w:pos="210" w:leader="none"/>
          <w:tab w:val="left" w:pos="840" w:leader="none"/>
          <w:tab w:val="left" w:pos="1155" w:leader="none"/>
        </w:tabs>
        <w:rPr>
          <w:rFonts w:hint="eastAsia" w:ascii="宋体" w:hAnsi="宋体" w:eastAsia="宋体" w:cs="宋体"/>
          <w:bCs/>
          <w:sz w:val="24"/>
          <w:highlight w:val="none"/>
        </w:rPr>
        <w:outlineLvl w:val="1"/>
      </w:pPr>
      <w:r>
        <w:rPr>
          <w:rFonts w:hint="eastAsia" w:ascii="宋体" w:hAnsi="宋体" w:eastAsia="宋体" w:cs="宋体"/>
          <w:bCs/>
          <w:sz w:val="24"/>
          <w:highlight w:val="none"/>
        </w:rPr>
        <w:t xml:space="preserve">八、合同书生效及注意事项：</w:t>
      </w:r>
      <w:r/>
    </w:p>
    <w:p>
      <w:pPr>
        <w:ind w:firstLine="480"/>
        <w:spacing w:line="360" w:lineRule="auto"/>
        <w:tabs>
          <w:tab w:val="left" w:pos="210" w:leader="none"/>
          <w:tab w:val="left" w:pos="840" w:leader="none"/>
          <w:tab w:val="left" w:pos="115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合同书格式条款与合同条款共同组成完整合同书。采购人在确定中标</w:t>
      </w:r>
      <w:r>
        <w:rPr>
          <w:rFonts w:hint="eastAsia" w:ascii="宋体" w:hAnsi="宋体" w:eastAsia="宋体" w:cs="宋体"/>
          <w:sz w:val="24"/>
          <w:szCs w:val="24"/>
          <w:highlight w:val="none"/>
        </w:rPr>
        <w:t xml:space="preserve">人</w:t>
      </w:r>
      <w:r>
        <w:rPr>
          <w:rFonts w:hint="eastAsia" w:ascii="宋体" w:hAnsi="宋体" w:eastAsia="宋体" w:cs="宋体"/>
          <w:bCs/>
          <w:sz w:val="24"/>
          <w:highlight w:val="none"/>
        </w:rPr>
        <w:t xml:space="preserve">之日起</w:t>
      </w:r>
      <w:r>
        <w:rPr>
          <w:rFonts w:hint="eastAsia" w:ascii="宋体" w:hAnsi="宋体" w:eastAsia="宋体" w:cs="宋体"/>
          <w:bCs/>
          <w:sz w:val="24"/>
          <w:highlight w:val="none"/>
          <w:lang w:val="en-US" w:eastAsia="zh-CN"/>
        </w:rPr>
        <w:t xml:space="preserve">三十</w:t>
      </w:r>
      <w:r>
        <w:rPr>
          <w:rFonts w:hint="eastAsia" w:ascii="宋体" w:hAnsi="宋体" w:eastAsia="宋体" w:cs="宋体"/>
          <w:bCs/>
          <w:sz w:val="24"/>
          <w:highlight w:val="none"/>
        </w:rPr>
        <w:t xml:space="preserve">个日历天内，完成合同书签订工作。供需双方在合同书上确认签章后，合同即生效并经“</w:t>
      </w:r>
      <w:r>
        <w:rPr>
          <w:rFonts w:hint="eastAsia" w:ascii="宋体" w:hAnsi="宋体" w:eastAsia="宋体" w:cs="宋体"/>
          <w:bCs/>
          <w:sz w:val="24"/>
          <w:highlight w:val="none"/>
          <w:lang w:val="en-US" w:eastAsia="zh-CN"/>
        </w:rPr>
        <w:t xml:space="preserve">江苏政府采购网</w:t>
      </w:r>
      <w:r>
        <w:rPr>
          <w:rFonts w:hint="eastAsia" w:ascii="宋体" w:hAnsi="宋体" w:eastAsia="宋体" w:cs="宋体"/>
          <w:bCs/>
          <w:sz w:val="24"/>
          <w:highlight w:val="none"/>
        </w:rPr>
        <w:t xml:space="preserve">”进行公示。</w:t>
      </w:r>
      <w:r/>
    </w:p>
    <w:p>
      <w:pPr>
        <w:ind w:firstLine="480"/>
        <w:spacing w:line="360" w:lineRule="auto"/>
        <w:tabs>
          <w:tab w:val="left" w:pos="210" w:leader="none"/>
          <w:tab w:val="left" w:pos="840" w:leader="none"/>
          <w:tab w:val="left" w:pos="115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九、供需双方如有其他要求，可参照招标（采购）文件、投标（报价）文件（采购人不得向</w:t>
      </w:r>
      <w:r>
        <w:rPr>
          <w:rFonts w:hint="eastAsia" w:ascii="宋体" w:hAnsi="宋体" w:eastAsia="宋体" w:cs="宋体"/>
          <w:sz w:val="24"/>
          <w:szCs w:val="24"/>
          <w:highlight w:val="none"/>
        </w:rPr>
        <w:t xml:space="preserve">投标人</w:t>
      </w:r>
      <w:r>
        <w:rPr>
          <w:rFonts w:hint="eastAsia" w:ascii="宋体" w:hAnsi="宋体" w:eastAsia="宋体" w:cs="宋体"/>
          <w:bCs/>
          <w:sz w:val="24"/>
          <w:highlight w:val="none"/>
        </w:rPr>
        <w:t xml:space="preserve">提出超出采购文件以外的任何要求作为签订合同的条件，不得与中标人订立背离采购文件确定的合同文本以及采购标的、规格型号、采购金额、采购数量、技术和服务要求等实质性内容的协议），并在不违反本合同条款的前提下，供需双方自行拟定补充条款。</w:t>
      </w:r>
      <w:r/>
    </w:p>
    <w:p>
      <w:pPr>
        <w:ind w:firstLine="480"/>
        <w:spacing w:line="360" w:lineRule="auto"/>
        <w:tabs>
          <w:tab w:val="left" w:pos="210" w:leader="none"/>
          <w:tab w:val="left" w:pos="840" w:leader="none"/>
          <w:tab w:val="left" w:pos="115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十、根据《</w:t>
      </w:r>
      <w:r>
        <w:rPr>
          <w:rFonts w:hint="eastAsia" w:ascii="宋体" w:hAnsi="宋体" w:eastAsia="宋体" w:cs="宋体"/>
          <w:bCs/>
          <w:sz w:val="24"/>
          <w:highlight w:val="none"/>
          <w:lang w:eastAsia="zh-CN"/>
        </w:rPr>
        <w:t xml:space="preserve">中华人民共和国政府采购法</w:t>
      </w:r>
      <w:r>
        <w:rPr>
          <w:rFonts w:hint="eastAsia" w:ascii="宋体" w:hAnsi="宋体" w:eastAsia="宋体" w:cs="宋体"/>
          <w:bCs/>
          <w:sz w:val="24"/>
          <w:highlight w:val="none"/>
        </w:rPr>
        <w:t xml:space="preserve">》第四十九</w:t>
      </w:r>
      <w:r>
        <w:rPr>
          <w:rFonts w:hint="eastAsia" w:ascii="宋体" w:hAnsi="宋体" w:cs="宋体"/>
          <w:bCs/>
          <w:sz w:val="24"/>
          <w:highlight w:val="none"/>
          <w:lang w:eastAsia="zh-CN"/>
        </w:rPr>
        <w:t xml:space="preserve">、第</w:t>
      </w:r>
      <w:r>
        <w:rPr>
          <w:rFonts w:hint="eastAsia" w:ascii="宋体" w:hAnsi="宋体" w:eastAsia="宋体" w:cs="宋体"/>
          <w:bCs/>
          <w:sz w:val="24"/>
          <w:highlight w:val="none"/>
        </w:rPr>
        <w:t xml:space="preserve">五十条规定，供需双方不得擅自变更、中止或终止合同。</w:t>
      </w:r>
      <w:r/>
    </w:p>
    <w:p>
      <w:pPr>
        <w:spacing w:line="360" w:lineRule="auto"/>
        <w:rPr>
          <w:rFonts w:hint="eastAsia" w:ascii="宋体" w:hAnsi="宋体" w:eastAsia="宋体" w:cs="宋体"/>
          <w:bCs/>
          <w:sz w:val="24"/>
          <w:highlight w:val="none"/>
          <w:u w:val="single"/>
        </w:rPr>
      </w:pPr>
      <w:r>
        <w:rPr>
          <w:rFonts w:hint="eastAsia" w:ascii="宋体" w:hAnsi="宋体" w:eastAsia="宋体" w:cs="宋体"/>
          <w:bCs/>
          <w:sz w:val="24"/>
          <w:highlight w:val="none"/>
          <w:u w:val="single"/>
        </w:rPr>
      </w:r>
      <w:r/>
    </w:p>
    <w:p>
      <w:pPr>
        <w:jc w:val="left"/>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w:t>
      </w:r>
      <w:r>
        <w:rPr>
          <w:rFonts w:hint="eastAsia" w:ascii="宋体" w:hAnsi="宋体" w:eastAsia="宋体" w:cs="宋体"/>
          <w:b/>
          <w:bCs/>
          <w:sz w:val="24"/>
          <w:highlight w:val="none"/>
        </w:rPr>
        <w:t xml:space="preserve">备注：</w:t>
      </w:r>
      <w:r>
        <w:rPr>
          <w:rFonts w:hint="eastAsia" w:ascii="宋体" w:hAnsi="宋体" w:eastAsia="宋体" w:cs="宋体"/>
          <w:bCs/>
          <w:sz w:val="24"/>
          <w:highlight w:val="none"/>
        </w:rPr>
        <w:t xml:space="preserve">供需双方必须以本格式文本，按照合同条款拟订合同。</w:t>
      </w:r>
      <w:r/>
    </w:p>
    <w:p>
      <w:pPr>
        <w:jc w:val="center"/>
        <w:spacing w:line="360" w:lineRule="auto"/>
        <w:rPr>
          <w:rFonts w:hint="eastAsia" w:ascii="宋体" w:hAnsi="宋体" w:eastAsia="宋体" w:cs="宋体"/>
          <w:b/>
          <w:sz w:val="28"/>
          <w:szCs w:val="28"/>
          <w:highlight w:val="none"/>
        </w:rPr>
        <w:outlineLvl w:val="0"/>
      </w:pPr>
      <w:r>
        <w:rPr>
          <w:rFonts w:hint="eastAsia" w:ascii="宋体" w:hAnsi="宋体" w:eastAsia="宋体" w:cs="宋体"/>
          <w:b/>
          <w:sz w:val="28"/>
          <w:szCs w:val="28"/>
          <w:highlight w:val="none"/>
        </w:rPr>
      </w:r>
      <w:r/>
    </w:p>
    <w:p>
      <w:pPr>
        <w:pStyle w:val="738"/>
        <w:spacing w:line="360" w:lineRule="auto"/>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pStyle w:val="738"/>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pStyle w:val="738"/>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pStyle w:val="738"/>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pStyle w:val="738"/>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pStyle w:val="738"/>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rPr>
          <w:rFonts w:hint="eastAsia" w:ascii="宋体" w:hAnsi="宋体" w:eastAsia="宋体" w:cs="宋体"/>
          <w:highlight w:val="none"/>
        </w:rPr>
      </w:pPr>
      <w:r>
        <w:rPr>
          <w:rFonts w:hint="eastAsia" w:ascii="宋体" w:hAnsi="宋体" w:eastAsia="宋体" w:cs="宋体"/>
          <w:highlight w:val="none"/>
        </w:rPr>
      </w:r>
      <w:r/>
    </w:p>
    <w:p>
      <w:pPr>
        <w:jc w:val="center"/>
        <w:spacing w:line="360" w:lineRule="auto"/>
        <w:rPr>
          <w:rFonts w:hint="eastAsia" w:ascii="宋体" w:hAnsi="宋体" w:eastAsia="宋体" w:cs="宋体"/>
          <w:b/>
          <w:sz w:val="28"/>
          <w:szCs w:val="28"/>
          <w:highlight w:val="none"/>
        </w:rPr>
        <w:outlineLvl w:val="0"/>
      </w:pPr>
      <w:r>
        <w:rPr>
          <w:rFonts w:hint="eastAsia" w:ascii="宋体" w:hAnsi="宋体" w:eastAsia="宋体" w:cs="宋体"/>
          <w:b/>
          <w:sz w:val="28"/>
          <w:szCs w:val="28"/>
          <w:highlight w:val="none"/>
        </w:rPr>
        <w:t xml:space="preserve">合同条款</w:t>
      </w:r>
      <w:r/>
    </w:p>
    <w:p>
      <w:pPr>
        <w:ind w:firstLine="525"/>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（一）合同内容：</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w:t>
      </w:r>
      <w:r/>
    </w:p>
    <w:p>
      <w:pPr>
        <w:ind w:firstLine="525"/>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（二）采购数量：</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w:t>
      </w:r>
      <w:r/>
    </w:p>
    <w:p>
      <w:pPr>
        <w:ind w:firstLine="525"/>
        <w:spacing w:line="360" w:lineRule="auto"/>
        <w:rPr>
          <w:rFonts w:hint="eastAsia" w:ascii="宋体" w:hAnsi="宋体" w:eastAsia="宋体" w:cs="宋体"/>
          <w:bCs/>
          <w:sz w:val="24"/>
          <w:highlight w:val="none"/>
        </w:rPr>
      </w:pPr>
      <w:r>
        <w:rPr>
          <w:rFonts w:hint="eastAsia" w:ascii="宋体" w:hAnsi="宋体" w:eastAsia="宋体" w:cs="宋体"/>
          <w:bCs/>
          <w:sz w:val="24"/>
          <w:szCs w:val="24"/>
          <w:highlight w:val="none"/>
        </w:rPr>
        <w:t xml:space="preserve">（三）价格及支付：</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1.按此次中标价格执行，合同总标的额为</w:t>
      </w:r>
      <w:r>
        <w:rPr>
          <w:rFonts w:hint="eastAsia" w:ascii="宋体" w:hAnsi="宋体" w:eastAsia="宋体" w:cs="宋体"/>
          <w:bCs/>
          <w:sz w:val="24"/>
          <w:highlight w:val="none"/>
          <w:u w:val="single"/>
        </w:rPr>
        <w:t xml:space="preserve">             </w:t>
      </w:r>
      <w:r>
        <w:rPr>
          <w:rFonts w:hint="eastAsia" w:ascii="宋体" w:hAnsi="宋体" w:eastAsia="宋体" w:cs="宋体"/>
          <w:bCs/>
          <w:sz w:val="24"/>
          <w:highlight w:val="none"/>
        </w:rPr>
        <w:t xml:space="preserve">元。</w:t>
      </w:r>
      <w:r/>
    </w:p>
    <w:p>
      <w:pPr>
        <w:ind w:firstLine="42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Cs/>
          <w:sz w:val="24"/>
          <w:highlight w:val="none"/>
        </w:rPr>
        <w:t xml:space="preserve">2.付款方式：</w:t>
      </w:r>
      <w:r>
        <w:rPr>
          <w:rFonts w:hint="eastAsia" w:ascii="宋体" w:hAnsi="宋体" w:eastAsia="宋体" w:cs="宋体"/>
          <w:bCs/>
          <w:sz w:val="24"/>
          <w:highlight w:val="none"/>
          <w:u w:val="single"/>
        </w:rPr>
        <w:t xml:space="preserve">合同签订后预付合同金额的40%，货到安装、调试、人员培训完成后且项目验收合格后支付合同金额的60%。货到现场后，供方应向需方提交100%金额的税务发票。</w:t>
      </w:r>
      <w:r/>
    </w:p>
    <w:p>
      <w:pPr>
        <w:ind w:firstLine="480"/>
        <w:spacing w:line="360" w:lineRule="auto"/>
        <w:tabs>
          <w:tab w:val="left" w:pos="0" w:leader="none"/>
          <w:tab w:val="left" w:pos="1365" w:leader="none"/>
        </w:tabs>
        <w:rPr>
          <w:rFonts w:hint="eastAsia" w:ascii="宋体" w:hAnsi="宋体" w:eastAsia="宋体" w:cs="宋体"/>
          <w:bCs/>
          <w:sz w:val="24"/>
          <w:highlight w:val="none"/>
        </w:rPr>
      </w:pPr>
      <w:r>
        <w:rPr>
          <w:rFonts w:hint="eastAsia" w:ascii="宋体" w:hAnsi="宋体" w:eastAsia="宋体" w:cs="宋体"/>
          <w:bCs/>
          <w:sz w:val="24"/>
          <w:szCs w:val="24"/>
          <w:highlight w:val="none"/>
        </w:rPr>
        <w:t xml:space="preserve">（四）知识产权</w:t>
      </w:r>
      <w:r/>
    </w:p>
    <w:p>
      <w:pPr>
        <w:ind w:firstLine="480"/>
        <w:spacing w:line="360" w:lineRule="auto"/>
        <w:tabs>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供方应保证需方在使用其交付物、服务及其任何部分时不受到第三方关于侵犯专利权、商标权或软件著作权等知识产权的指控。任何第三方如果提出侵权指控，供方应承担可能发生的一切法律责任和费用。</w:t>
      </w:r>
      <w:r/>
    </w:p>
    <w:p>
      <w:pPr>
        <w:numPr>
          <w:ilvl w:val="0"/>
          <w:numId w:val="5"/>
        </w:numPr>
        <w:spacing w:line="360" w:lineRule="auto"/>
        <w:tabs>
          <w:tab w:val="left" w:pos="73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质量要求与检验：</w:t>
      </w:r>
      <w:r/>
    </w:p>
    <w:p>
      <w:pPr>
        <w:ind w:firstLine="520"/>
        <w:spacing w:line="360" w:lineRule="auto"/>
        <w:tabs>
          <w:tab w:val="left" w:pos="525" w:leader="none"/>
          <w:tab w:val="left" w:pos="1050" w:leader="none"/>
          <w:tab w:val="left" w:pos="1155" w:leader="none"/>
        </w:tabs>
        <w:rPr>
          <w:rFonts w:hint="eastAsia" w:ascii="宋体" w:hAnsi="宋体" w:eastAsia="宋体" w:cs="宋体"/>
          <w:bCs/>
          <w:sz w:val="24"/>
          <w:highlight w:val="none"/>
        </w:rPr>
      </w:pPr>
      <w:r>
        <w:rPr>
          <w:rFonts w:hint="eastAsia" w:ascii="宋体" w:hAnsi="宋体" w:cs="宋体"/>
          <w:bCs/>
          <w:sz w:val="24"/>
          <w:highlight w:val="none"/>
          <w:lang w:eastAsia="zh-CN"/>
        </w:rPr>
        <w:t xml:space="preserve">1.</w:t>
      </w:r>
      <w:r>
        <w:rPr>
          <w:rFonts w:hint="eastAsia" w:ascii="宋体" w:hAnsi="宋体" w:eastAsia="宋体" w:cs="宋体"/>
          <w:bCs/>
          <w:sz w:val="24"/>
          <w:highlight w:val="none"/>
        </w:rPr>
        <w:t xml:space="preserve">供方应严格按照招标文件的有关规定和供方投标文件提供合格的货物及服务。</w:t>
      </w:r>
      <w:r/>
    </w:p>
    <w:p>
      <w:pPr>
        <w:ind w:firstLine="520"/>
        <w:spacing w:line="360" w:lineRule="auto"/>
        <w:tabs>
          <w:tab w:val="left" w:pos="1050" w:leader="none"/>
          <w:tab w:val="left" w:pos="1155" w:leader="none"/>
        </w:tabs>
        <w:rPr>
          <w:rFonts w:hint="eastAsia" w:ascii="宋体" w:hAnsi="宋体" w:eastAsia="宋体" w:cs="宋体"/>
          <w:bCs/>
          <w:sz w:val="24"/>
          <w:highlight w:val="none"/>
        </w:rPr>
      </w:pPr>
      <w:r>
        <w:rPr>
          <w:rFonts w:hint="eastAsia" w:ascii="宋体" w:hAnsi="宋体" w:cs="宋体"/>
          <w:bCs/>
          <w:sz w:val="24"/>
          <w:highlight w:val="none"/>
          <w:lang w:eastAsia="zh-CN"/>
        </w:rPr>
        <w:t xml:space="preserve">2.</w:t>
      </w:r>
      <w:r>
        <w:rPr>
          <w:rFonts w:hint="eastAsia" w:ascii="宋体" w:hAnsi="宋体" w:eastAsia="宋体" w:cs="宋体"/>
          <w:bCs/>
          <w:sz w:val="24"/>
          <w:highlight w:val="none"/>
        </w:rPr>
        <w:t xml:space="preserve">如果任何被检验的货物或服务不符合质量要求，需方均可以拒绝接受，供方应及时更换被拒绝的货物或重新提供服务，且不得影响需方正常工作，费用由供方承担，如因更换或重作导致供方逾期交付货物的，供方还应承担逾期交付的违约责任。本规定并不免除供方在本合同项下的货物质量保证义务或其他义务。</w:t>
      </w:r>
      <w:r/>
    </w:p>
    <w:p>
      <w:pPr>
        <w:ind w:firstLine="520"/>
        <w:spacing w:line="360" w:lineRule="auto"/>
        <w:tabs>
          <w:tab w:val="left" w:pos="420" w:leader="none"/>
          <w:tab w:val="left" w:pos="1050" w:leader="none"/>
          <w:tab w:val="left" w:pos="1155" w:leader="none"/>
        </w:tabs>
        <w:rPr>
          <w:rFonts w:hint="eastAsia" w:ascii="宋体" w:hAnsi="宋体" w:eastAsia="宋体" w:cs="宋体"/>
          <w:bCs/>
          <w:sz w:val="24"/>
          <w:highlight w:val="none"/>
        </w:rPr>
      </w:pPr>
      <w:r>
        <w:rPr>
          <w:rFonts w:hint="eastAsia" w:ascii="宋体" w:hAnsi="宋体" w:cs="宋体"/>
          <w:bCs/>
          <w:sz w:val="24"/>
          <w:highlight w:val="none"/>
          <w:lang w:eastAsia="zh-CN"/>
        </w:rPr>
        <w:t xml:space="preserve">3.</w:t>
      </w:r>
      <w:r>
        <w:rPr>
          <w:rFonts w:hint="eastAsia" w:ascii="宋体" w:hAnsi="宋体" w:eastAsia="宋体" w:cs="宋体"/>
          <w:bCs/>
          <w:sz w:val="24"/>
          <w:highlight w:val="none"/>
        </w:rPr>
        <w:t xml:space="preserve">货物的到货验收包括：数量、外观、质量、性能、随机备件、装箱单、质量证书等随机资料及包装完整无破损。</w:t>
      </w:r>
      <w:r/>
    </w:p>
    <w:p>
      <w:pPr>
        <w:ind w:firstLine="520"/>
        <w:spacing w:line="360" w:lineRule="auto"/>
        <w:tabs>
          <w:tab w:val="left" w:pos="1050" w:leader="none"/>
          <w:tab w:val="left" w:pos="1155" w:leader="none"/>
        </w:tabs>
        <w:rPr>
          <w:rFonts w:hint="eastAsia" w:ascii="宋体" w:hAnsi="宋体" w:eastAsia="宋体" w:cs="宋体"/>
          <w:bCs/>
          <w:sz w:val="24"/>
          <w:highlight w:val="none"/>
        </w:rPr>
      </w:pPr>
      <w:r>
        <w:rPr>
          <w:rFonts w:hint="eastAsia" w:ascii="宋体" w:hAnsi="宋体" w:cs="宋体"/>
          <w:bCs/>
          <w:sz w:val="24"/>
          <w:highlight w:val="none"/>
          <w:lang w:eastAsia="zh-CN"/>
        </w:rPr>
        <w:t xml:space="preserve">4.</w:t>
      </w:r>
      <w:r>
        <w:rPr>
          <w:rFonts w:hint="eastAsia" w:ascii="宋体" w:hAnsi="宋体" w:eastAsia="宋体" w:cs="宋体"/>
          <w:bCs/>
          <w:sz w:val="24"/>
          <w:highlight w:val="none"/>
        </w:rPr>
        <w:t xml:space="preserve">货物和系统调试验收标准：按行业通行标准、厂方出厂标准、招标文件要求和供方投标文件的承诺，并不低于国家相关标准。</w:t>
      </w:r>
      <w:r/>
    </w:p>
    <w:p>
      <w:pPr>
        <w:ind w:firstLine="520"/>
        <w:spacing w:line="360" w:lineRule="auto"/>
        <w:tabs>
          <w:tab w:val="left" w:pos="1050" w:leader="none"/>
          <w:tab w:val="left" w:pos="1155" w:leader="none"/>
        </w:tabs>
        <w:rPr>
          <w:rFonts w:hint="eastAsia" w:ascii="宋体" w:hAnsi="宋体" w:eastAsia="宋体" w:cs="宋体"/>
          <w:bCs/>
          <w:sz w:val="24"/>
          <w:highlight w:val="none"/>
        </w:rPr>
      </w:pPr>
      <w:r>
        <w:rPr>
          <w:rFonts w:hint="eastAsia" w:ascii="宋体" w:hAnsi="宋体" w:cs="宋体"/>
          <w:bCs/>
          <w:sz w:val="24"/>
          <w:highlight w:val="none"/>
          <w:lang w:eastAsia="zh-CN"/>
        </w:rPr>
        <w:t xml:space="preserve">5.</w:t>
      </w:r>
      <w:r>
        <w:rPr>
          <w:rFonts w:hint="eastAsia" w:ascii="宋体" w:hAnsi="宋体" w:eastAsia="宋体" w:cs="宋体"/>
          <w:bCs/>
          <w:sz w:val="24"/>
          <w:highlight w:val="none"/>
        </w:rPr>
        <w:t xml:space="preserve">货物运到需方指定地点并经需方验证签收后，由于需方保管不善造成的质量问题，供方应负责修理，但有关费用由需方承担。</w:t>
      </w:r>
      <w:r/>
    </w:p>
    <w:p>
      <w:pPr>
        <w:ind w:firstLine="520"/>
        <w:spacing w:line="360" w:lineRule="auto"/>
        <w:tabs>
          <w:tab w:val="left" w:pos="1050" w:leader="none"/>
          <w:tab w:val="left" w:pos="115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6.经验收不合格的，供方应当按照需方要求在指定的合理期限内进行整改和完善，直至符合招标文件要求的相关标准。逾期不予整改或经整改仍不能符合相关要求，或者导致合同目的无法实现，需方有权依照法律程序解除合同，并追究供方的违约责任。</w:t>
      </w:r>
      <w:r/>
    </w:p>
    <w:p>
      <w:pPr>
        <w:ind w:firstLine="520"/>
        <w:spacing w:line="360" w:lineRule="auto"/>
        <w:tabs>
          <w:tab w:val="left" w:pos="1050" w:leader="none"/>
          <w:tab w:val="left" w:pos="115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7.需方不得擅自变更招投标文件约定的性能、指标等相关内容，如有变更应按《中华人民共和国政府采购法》、财政部《政府采购货物和服务招标投标管理办法》的相关程序执行。</w:t>
      </w:r>
      <w:r/>
    </w:p>
    <w:p>
      <w:pPr>
        <w:ind w:left="-2" w:firstLine="520"/>
        <w:spacing w:line="360" w:lineRule="auto"/>
        <w:rPr>
          <w:rFonts w:hint="eastAsia" w:ascii="宋体" w:hAnsi="宋体" w:eastAsia="宋体" w:cs="宋体"/>
          <w:bCs/>
          <w:sz w:val="24"/>
          <w:highlight w:val="none"/>
        </w:rPr>
      </w:pPr>
      <w:r>
        <w:rPr>
          <w:rFonts w:hint="eastAsia" w:ascii="宋体" w:hAnsi="宋体" w:eastAsia="宋体" w:cs="宋体"/>
          <w:bCs/>
          <w:sz w:val="24"/>
          <w:szCs w:val="24"/>
          <w:highlight w:val="none"/>
        </w:rPr>
        <w:t xml:space="preserve">（六）</w:t>
      </w:r>
      <w:r>
        <w:rPr>
          <w:rFonts w:hint="eastAsia" w:ascii="宋体" w:hAnsi="宋体" w:eastAsia="宋体" w:cs="宋体"/>
          <w:bCs/>
          <w:sz w:val="24"/>
          <w:highlight w:val="none"/>
        </w:rPr>
        <w:t xml:space="preserve">交货条件：</w:t>
      </w:r>
      <w:r/>
    </w:p>
    <w:p>
      <w:pPr>
        <w:ind w:firstLine="520"/>
        <w:spacing w:line="360" w:lineRule="auto"/>
        <w:tabs>
          <w:tab w:val="left" w:pos="1050" w:leader="none"/>
          <w:tab w:val="left" w:pos="1155" w:leader="none"/>
        </w:tabs>
        <w:rPr>
          <w:rFonts w:hint="eastAsia" w:ascii="宋体" w:hAnsi="宋体" w:eastAsia="宋体" w:cs="宋体"/>
          <w:bCs/>
          <w:sz w:val="24"/>
          <w:highlight w:val="none"/>
        </w:rPr>
      </w:pPr>
      <w:r>
        <w:rPr>
          <w:rFonts w:hint="eastAsia" w:ascii="宋体" w:hAnsi="宋体" w:cs="宋体"/>
          <w:bCs/>
          <w:sz w:val="24"/>
          <w:highlight w:val="none"/>
          <w:lang w:eastAsia="zh-CN"/>
        </w:rPr>
        <w:t xml:space="preserve">1.</w:t>
      </w:r>
      <w:r>
        <w:rPr>
          <w:rFonts w:hint="eastAsia" w:ascii="宋体" w:hAnsi="宋体" w:eastAsia="宋体" w:cs="宋体"/>
          <w:bCs/>
          <w:sz w:val="24"/>
          <w:highlight w:val="none"/>
        </w:rPr>
        <w:t xml:space="preserve">交货日期（或完工期）：自合同签订生效起90天。</w:t>
      </w:r>
      <w:r/>
    </w:p>
    <w:p>
      <w:pPr>
        <w:ind w:firstLine="520"/>
        <w:spacing w:line="360" w:lineRule="auto"/>
        <w:tabs>
          <w:tab w:val="left" w:pos="1050" w:leader="none"/>
          <w:tab w:val="left" w:pos="1155" w:leader="none"/>
        </w:tabs>
        <w:rPr>
          <w:rFonts w:hint="eastAsia" w:ascii="宋体" w:hAnsi="宋体" w:eastAsia="宋体" w:cs="宋体"/>
          <w:bCs/>
          <w:sz w:val="24"/>
          <w:highlight w:val="none"/>
        </w:rPr>
      </w:pPr>
      <w:r>
        <w:rPr>
          <w:rFonts w:hint="eastAsia" w:ascii="宋体" w:hAnsi="宋体" w:cs="宋体"/>
          <w:bCs/>
          <w:sz w:val="24"/>
          <w:highlight w:val="none"/>
          <w:lang w:eastAsia="zh-CN"/>
        </w:rPr>
        <w:t xml:space="preserve">2.</w:t>
      </w:r>
      <w:r>
        <w:rPr>
          <w:rFonts w:hint="eastAsia" w:ascii="宋体" w:hAnsi="宋体" w:eastAsia="宋体" w:cs="宋体"/>
          <w:bCs/>
          <w:sz w:val="24"/>
          <w:highlight w:val="none"/>
        </w:rPr>
        <w:t xml:space="preserve">供方在验收时应先用信函、传真、电子邮件等书面方式通知需方。</w:t>
      </w:r>
      <w:r/>
    </w:p>
    <w:p>
      <w:pPr>
        <w:ind w:firstLine="520"/>
        <w:spacing w:line="360" w:lineRule="auto"/>
        <w:tabs>
          <w:tab w:val="left" w:pos="1050" w:leader="none"/>
          <w:tab w:val="left" w:pos="1155" w:leader="none"/>
        </w:tabs>
        <w:rPr>
          <w:rFonts w:hint="eastAsia" w:ascii="宋体" w:hAnsi="宋体" w:eastAsia="宋体" w:cs="宋体"/>
          <w:bCs/>
          <w:sz w:val="24"/>
          <w:highlight w:val="none"/>
        </w:rPr>
      </w:pPr>
      <w:r>
        <w:rPr>
          <w:rFonts w:hint="eastAsia" w:ascii="宋体" w:hAnsi="宋体" w:cs="宋体"/>
          <w:bCs/>
          <w:sz w:val="24"/>
          <w:highlight w:val="none"/>
          <w:lang w:eastAsia="zh-CN"/>
        </w:rPr>
        <w:t xml:space="preserve">3.</w:t>
      </w:r>
      <w:r>
        <w:rPr>
          <w:rFonts w:hint="eastAsia" w:ascii="宋体" w:hAnsi="宋体" w:eastAsia="宋体" w:cs="宋体"/>
          <w:bCs/>
          <w:sz w:val="24"/>
          <w:highlight w:val="none"/>
        </w:rPr>
        <w:t xml:space="preserve">货物的外观、包装、运输应按国家有关规定或相关部颁标准执行。如因供方包装或运输不当等原因造成损坏或丢失，应由供方负责调换或补缺，如因此导致供方逾期交付货物的，供方还应承担逾期交付的违约责任。</w:t>
      </w:r>
      <w:r/>
    </w:p>
    <w:p>
      <w:pPr>
        <w:ind w:firstLine="520"/>
        <w:spacing w:line="360" w:lineRule="auto"/>
        <w:tabs>
          <w:tab w:val="left" w:pos="1050" w:leader="none"/>
          <w:tab w:val="left" w:pos="1155" w:leader="none"/>
        </w:tabs>
        <w:rPr>
          <w:rFonts w:hint="eastAsia" w:ascii="宋体" w:hAnsi="宋体" w:eastAsia="宋体" w:cs="宋体"/>
          <w:bCs/>
          <w:sz w:val="24"/>
          <w:highlight w:val="none"/>
        </w:rPr>
      </w:pPr>
      <w:r>
        <w:rPr>
          <w:rFonts w:hint="eastAsia" w:ascii="宋体" w:hAnsi="宋体" w:cs="宋体"/>
          <w:bCs/>
          <w:sz w:val="24"/>
          <w:highlight w:val="none"/>
          <w:lang w:eastAsia="zh-CN"/>
        </w:rPr>
        <w:t xml:space="preserve">4.</w:t>
      </w:r>
      <w:r>
        <w:rPr>
          <w:rFonts w:hint="eastAsia" w:ascii="宋体" w:hAnsi="宋体" w:eastAsia="宋体" w:cs="宋体"/>
          <w:bCs/>
          <w:sz w:val="24"/>
          <w:highlight w:val="none"/>
        </w:rPr>
        <w:t xml:space="preserve">货物交货时，所有货物必须带有货物质量检验合格证书、中文质保单、装箱单、中文货物安装使用说明书。其他附件所有部件必须原包装。</w:t>
      </w:r>
      <w:r/>
    </w:p>
    <w:p>
      <w:pPr>
        <w:ind w:firstLine="520"/>
        <w:spacing w:line="360" w:lineRule="auto"/>
        <w:tabs>
          <w:tab w:val="left" w:pos="1050" w:leader="none"/>
          <w:tab w:val="left" w:pos="1155" w:leader="none"/>
        </w:tabs>
        <w:rPr>
          <w:rFonts w:hint="eastAsia" w:ascii="宋体" w:hAnsi="宋体" w:eastAsia="宋体" w:cs="宋体"/>
          <w:bCs/>
          <w:sz w:val="24"/>
          <w:highlight w:val="none"/>
        </w:rPr>
      </w:pPr>
      <w:r>
        <w:rPr>
          <w:rFonts w:hint="eastAsia" w:ascii="宋体" w:hAnsi="宋体" w:cs="宋体"/>
          <w:bCs/>
          <w:sz w:val="24"/>
          <w:highlight w:val="none"/>
          <w:lang w:eastAsia="zh-CN"/>
        </w:rPr>
        <w:t xml:space="preserve">5.</w:t>
      </w:r>
      <w:r>
        <w:rPr>
          <w:rFonts w:hint="eastAsia" w:ascii="宋体" w:hAnsi="宋体" w:eastAsia="宋体" w:cs="宋体"/>
          <w:bCs/>
          <w:sz w:val="24"/>
          <w:highlight w:val="none"/>
        </w:rPr>
        <w:t xml:space="preserve">运输及到货地点：由供方负责办理运输并承担所有费用，直接送到需方指定地点，即：以合同书上的地点为准。</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szCs w:val="24"/>
          <w:highlight w:val="none"/>
        </w:rPr>
        <w:t xml:space="preserve">（七）</w:t>
      </w:r>
      <w:r>
        <w:rPr>
          <w:rFonts w:hint="eastAsia" w:ascii="宋体" w:hAnsi="宋体" w:eastAsia="宋体" w:cs="宋体"/>
          <w:bCs/>
          <w:sz w:val="24"/>
          <w:highlight w:val="none"/>
        </w:rPr>
        <w:t xml:space="preserve">安装调试培训及售后服务：</w:t>
      </w:r>
      <w:r/>
    </w:p>
    <w:p>
      <w:pPr>
        <w:ind w:firstLine="480"/>
        <w:spacing w:line="360" w:lineRule="auto"/>
        <w:tabs>
          <w:tab w:val="left" w:pos="525" w:leader="none"/>
          <w:tab w:val="left" w:pos="840" w:leader="none"/>
          <w:tab w:val="left" w:pos="945" w:leader="none"/>
          <w:tab w:val="left" w:pos="1050"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1.供应商应负责设备的运输、搬运、安装调试，直至验收合格，该过程所产生费用由供应商承担。</w:t>
      </w:r>
      <w:r/>
    </w:p>
    <w:p>
      <w:pPr>
        <w:ind w:firstLine="480"/>
        <w:rPr>
          <w:rFonts w:hint="eastAsia" w:ascii="宋体" w:hAnsi="宋体" w:eastAsia="宋体" w:cs="宋体"/>
          <w:bCs/>
          <w:sz w:val="24"/>
          <w:highlight w:val="none"/>
        </w:rPr>
      </w:pPr>
      <w:r>
        <w:rPr>
          <w:rFonts w:hint="eastAsia" w:ascii="宋体" w:hAnsi="宋体" w:cs="宋体"/>
          <w:bCs/>
          <w:sz w:val="24"/>
          <w:highlight w:val="none"/>
          <w:lang w:val="en-US" w:eastAsia="zh-CN"/>
        </w:rPr>
        <w:t xml:space="preserve">2.</w:t>
      </w:r>
      <w:r>
        <w:rPr>
          <w:rFonts w:hint="eastAsia" w:ascii="宋体" w:hAnsi="宋体" w:eastAsia="宋体" w:cs="宋体"/>
          <w:bCs/>
          <w:sz w:val="24"/>
          <w:highlight w:val="none"/>
        </w:rPr>
        <w:t xml:space="preserve">验收：设备按厂家产品验收标准、相关国家和行业标准进行验收。产品质量应达到设计要求，安装调试各项指标应符合技术参数。</w:t>
      </w:r>
      <w:r>
        <w:rPr>
          <w:rFonts w:hint="eastAsia" w:asciiTheme="minorEastAsia" w:hAnsiTheme="minorEastAsia" w:eastAsiaTheme="minorEastAsia" w:cstheme="minorEastAsia"/>
          <w:b w:val="0"/>
          <w:bCs w:val="0"/>
          <w:sz w:val="24"/>
          <w:szCs w:val="24"/>
          <w:highlight w:val="none"/>
          <w:lang w:val="en-US" w:eastAsia="zh-CN"/>
        </w:rPr>
        <w:t xml:space="preserve">若对设备质量存在异议，需方有权委托有相应资质的第三方检测机构进行检测，检测费用由供方承担。</w:t>
      </w:r>
      <w:r/>
    </w:p>
    <w:p>
      <w:pPr>
        <w:ind w:firstLine="480"/>
        <w:spacing w:line="360" w:lineRule="auto"/>
        <w:tabs>
          <w:tab w:val="left" w:pos="525" w:leader="none"/>
          <w:tab w:val="left" w:pos="840" w:leader="none"/>
          <w:tab w:val="left" w:pos="945" w:leader="none"/>
          <w:tab w:val="left" w:pos="1050"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3.质保期后的货物维护由双方协商再定。</w:t>
      </w:r>
      <w:r/>
    </w:p>
    <w:p>
      <w:pPr>
        <w:ind w:firstLine="480"/>
        <w:spacing w:line="360" w:lineRule="auto"/>
        <w:tabs>
          <w:tab w:val="left" w:pos="525" w:leader="none"/>
          <w:tab w:val="left" w:pos="840" w:leader="none"/>
          <w:tab w:val="left" w:pos="945" w:leader="none"/>
          <w:tab w:val="left" w:pos="1050"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4.需方应向供方现场调试的技术人员及维修人员提供方便条件，有关费用由供方负责。</w:t>
      </w:r>
      <w:r/>
    </w:p>
    <w:p>
      <w:pPr>
        <w:ind w:firstLine="480"/>
        <w:spacing w:line="360" w:lineRule="auto"/>
        <w:tabs>
          <w:tab w:val="left" w:pos="525" w:leader="none"/>
          <w:tab w:val="left" w:pos="840" w:leader="none"/>
          <w:tab w:val="left" w:pos="945" w:leader="none"/>
          <w:tab w:val="left" w:pos="1050"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5.需方如要求供方提供招标文件及供方投标文件以外的其他服务，其费用另定。</w:t>
      </w:r>
      <w:r/>
    </w:p>
    <w:p>
      <w:pPr>
        <w:ind w:firstLine="480"/>
        <w:spacing w:line="360" w:lineRule="auto"/>
        <w:tabs>
          <w:tab w:val="left" w:pos="525" w:leader="none"/>
          <w:tab w:val="left" w:pos="840" w:leader="none"/>
          <w:tab w:val="left" w:pos="945" w:leader="none"/>
          <w:tab w:val="left" w:pos="1050"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6.培训</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设备安装调试后须对仪器使用人员进行现场培训，直至使用人员能完全操作和维护。仪器设备安装后，应长时间无条件提供采购人需要的设备方法开发及应用资料。提供用户现场培训，为用户提供仪器的基本原理、操作、日常维护及基础分析仪器理论课程和相关的应用培训，后续根据用户需求提供上门针对性培训一次，以及4个厂家培训名额。</w:t>
      </w:r>
      <w:r/>
    </w:p>
    <w:p>
      <w:pPr>
        <w:ind w:firstLine="480"/>
        <w:spacing w:line="360" w:lineRule="auto"/>
        <w:tabs>
          <w:tab w:val="left" w:pos="525" w:leader="none"/>
          <w:tab w:val="left" w:pos="840" w:leader="none"/>
          <w:tab w:val="left" w:pos="945" w:leader="none"/>
          <w:tab w:val="left" w:pos="1050"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7.售后响应：仪器在调试通过后提供质保服务，质保期两年；在质保期内，所有服务及配件（除耗材外）全部免费。在质保期内，用户方在使用设备的过程中遇到的技术问题、故障等，接到报修后8小时内电话响应，如有需要72小时内上门，维修日程不超过7个工作日。</w:t>
      </w:r>
      <w:r/>
    </w:p>
    <w:p>
      <w:pPr>
        <w:ind w:firstLine="480"/>
        <w:spacing w:line="360" w:lineRule="auto"/>
        <w:tabs>
          <w:tab w:val="left" w:pos="525" w:leader="none"/>
          <w:tab w:val="left" w:pos="840" w:leader="none"/>
          <w:tab w:val="left" w:pos="945" w:leader="none"/>
          <w:tab w:val="left" w:pos="1050"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8.设备生产厂商应具有正规注册的办事处、维修站。应有专门负责的维修工程师。保修期后，厂商应保证长期供应零备件和正常的售后服务；如投标产品为进口产品，仪器制造商在国内的技术服务中心（包括维修中心）应当提供所有的服务，包括零配件及消耗品。厂家在国内应设有免费咨询电话。</w:t>
      </w:r>
      <w:r/>
    </w:p>
    <w:p>
      <w:pPr>
        <w:ind w:firstLine="480"/>
        <w:spacing w:line="360" w:lineRule="auto"/>
        <w:tabs>
          <w:tab w:val="left" w:pos="525" w:leader="none"/>
          <w:tab w:val="left" w:pos="840" w:leader="none"/>
          <w:tab w:val="left" w:pos="945" w:leader="none"/>
          <w:tab w:val="left" w:pos="1050" w:leader="none"/>
        </w:tabs>
        <w:rPr>
          <w:rFonts w:hint="eastAsia" w:ascii="宋体" w:hAnsi="宋体" w:eastAsia="宋体" w:cs="宋体"/>
          <w:bCs/>
          <w:sz w:val="24"/>
          <w:highlight w:val="none"/>
        </w:rPr>
      </w:pPr>
      <w:r>
        <w:rPr>
          <w:rFonts w:hint="eastAsia" w:ascii="宋体" w:hAnsi="宋体" w:eastAsia="宋体" w:cs="宋体"/>
          <w:bCs/>
          <w:sz w:val="24"/>
          <w:highlight w:val="none"/>
          <w:lang w:val="en-US" w:eastAsia="zh-CN"/>
        </w:rPr>
        <w:t xml:space="preserve">9.</w:t>
      </w:r>
      <w:r>
        <w:rPr>
          <w:rFonts w:hint="eastAsia" w:ascii="宋体" w:hAnsi="宋体" w:eastAsia="宋体" w:cs="宋体"/>
          <w:bCs/>
          <w:sz w:val="24"/>
          <w:highlight w:val="none"/>
        </w:rPr>
        <w:t xml:space="preserve">验证服务：提供仪器安装验收后3次设备验证服务。</w:t>
      </w:r>
      <w:r/>
    </w:p>
    <w:p>
      <w:pPr>
        <w:ind w:firstLine="480"/>
        <w:spacing w:line="360" w:lineRule="auto"/>
        <w:tabs>
          <w:tab w:val="left" w:pos="525" w:leader="none"/>
          <w:tab w:val="left" w:pos="840" w:leader="none"/>
          <w:tab w:val="left" w:pos="945" w:leader="none"/>
          <w:tab w:val="left" w:pos="1050" w:leader="none"/>
        </w:tabs>
        <w:rPr>
          <w:rFonts w:hint="eastAsia" w:ascii="宋体" w:hAnsi="宋体" w:eastAsia="宋体" w:cs="宋体"/>
          <w:bCs/>
          <w:sz w:val="24"/>
          <w:highlight w:val="none"/>
        </w:rPr>
      </w:pPr>
      <w:r>
        <w:rPr>
          <w:rFonts w:hint="eastAsia" w:ascii="宋体" w:hAnsi="宋体" w:cs="宋体"/>
          <w:bCs/>
          <w:sz w:val="24"/>
          <w:highlight w:val="none"/>
          <w:lang w:val="en-US" w:eastAsia="zh-CN"/>
        </w:rPr>
        <w:t xml:space="preserve">10</w:t>
      </w:r>
      <w:r>
        <w:rPr>
          <w:rFonts w:hint="eastAsia" w:ascii="宋体" w:hAnsi="宋体" w:eastAsia="宋体" w:cs="宋体"/>
          <w:bCs/>
          <w:sz w:val="24"/>
          <w:highlight w:val="none"/>
        </w:rPr>
        <w:t xml:space="preserve">.供方对本合同履行过程中所知悉的需方全部文件、资料、信息等负有保密义务。未经需方书面同意，供方不得擅自披露、泄露、使用或用于本合同约定之外的目的。</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szCs w:val="24"/>
          <w:highlight w:val="none"/>
        </w:rPr>
        <w:t xml:space="preserve">（八）</w:t>
      </w:r>
      <w:r>
        <w:rPr>
          <w:rFonts w:hint="eastAsia" w:ascii="宋体" w:hAnsi="宋体" w:eastAsia="宋体" w:cs="宋体"/>
          <w:bCs/>
          <w:sz w:val="24"/>
          <w:highlight w:val="none"/>
        </w:rPr>
        <w:t xml:space="preserve">违约责任：</w:t>
      </w:r>
      <w:r/>
    </w:p>
    <w:p>
      <w:pPr>
        <w:pStyle w:val="756"/>
        <w:ind w:left="0"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合同一方不履行合同义务或者履行合同义务不符合约定的，应当承担继续履行、采取补救措施或者赔偿损失等违约责任。</w:t>
      </w:r>
      <w:r/>
    </w:p>
    <w:p>
      <w:pPr>
        <w:ind w:firstLine="360"/>
        <w:spacing w:line="360" w:lineRule="auto"/>
        <w:tabs>
          <w:tab w:val="left" w:pos="525" w:leader="none"/>
          <w:tab w:val="left" w:pos="840" w:leader="none"/>
          <w:tab w:val="left" w:pos="945" w:leader="none"/>
          <w:tab w:val="left" w:pos="1050" w:leader="none"/>
          <w:tab w:val="left" w:pos="1839"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1.需方违约责任</w:t>
      </w:r>
      <w:r/>
    </w:p>
    <w:p>
      <w:pPr>
        <w:ind w:firstLine="360"/>
        <w:spacing w:line="360" w:lineRule="auto"/>
        <w:tabs>
          <w:tab w:val="left" w:pos="525" w:leader="none"/>
          <w:tab w:val="left" w:pos="840" w:leader="none"/>
          <w:tab w:val="left" w:pos="945" w:leader="none"/>
          <w:tab w:val="left" w:pos="1050" w:leader="none"/>
          <w:tab w:val="left" w:pos="1839"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需方违反合同约定，拒绝接受供方交付的合格标的物，需方应当承担供方交付的合格标的物给供方造成的损失。</w:t>
      </w:r>
      <w:r/>
    </w:p>
    <w:p>
      <w:pPr>
        <w:ind w:firstLine="360"/>
        <w:spacing w:line="360" w:lineRule="auto"/>
        <w:tabs>
          <w:tab w:val="left" w:pos="525" w:leader="none"/>
          <w:tab w:val="left" w:pos="840" w:leader="none"/>
          <w:tab w:val="left" w:pos="945" w:leader="none"/>
          <w:tab w:val="left" w:pos="1050" w:leader="none"/>
          <w:tab w:val="left" w:pos="1839"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2.供方违约责任</w:t>
      </w:r>
      <w:r/>
    </w:p>
    <w:p>
      <w:pPr>
        <w:ind w:firstLine="360"/>
        <w:spacing w:line="360" w:lineRule="auto"/>
        <w:tabs>
          <w:tab w:val="left" w:pos="525" w:leader="none"/>
          <w:tab w:val="left" w:pos="840" w:leader="none"/>
          <w:tab w:val="left" w:pos="945" w:leader="none"/>
          <w:tab w:val="left" w:pos="1050" w:leader="none"/>
          <w:tab w:val="left" w:pos="1839"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2.1在履行合同的过程中，如果供方遇到妨碍按时交货和提供服务的情况时，应及时以书面形式将拖延的事实、可能拖延的时间和原因通知需方。需方在收到供方通知后，应尽快对情况进行核实，并有权根据情况确定是否酌情延长交货时间以及是否收取逾期交货的违约金及损害赔偿金（如有），或依照法律程序解除部分或全部合同。延期应通过签订补充合同的方式由双方认可并履行。</w:t>
      </w:r>
      <w:r/>
    </w:p>
    <w:p>
      <w:pPr>
        <w:ind w:firstLine="480"/>
        <w:spacing w:line="360" w:lineRule="auto"/>
        <w:tabs>
          <w:tab w:val="left" w:pos="0" w:leader="none"/>
          <w:tab w:val="left" w:pos="525" w:leader="none"/>
          <w:tab w:val="left" w:pos="945" w:leader="none"/>
          <w:tab w:val="left" w:pos="229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2.2如供方逾期交货且未经需方同意延长交货时间，除不可抗力外，每逾期一日，供方应按照逾期交货金额的万分之五的标准累计计算向需方支付违约金。逾期超过20个工作日的，需方有权依照法律程序解除合同，需方如已支付费用的，供方全部返还，且供方应按照合同总价的30%向需方支付违约金，如给需方造成损失的，还应赔偿损失。</w:t>
      </w:r>
      <w:r/>
    </w:p>
    <w:p>
      <w:pPr>
        <w:ind w:firstLine="480"/>
        <w:spacing w:line="360" w:lineRule="auto"/>
        <w:tabs>
          <w:tab w:val="left" w:pos="105" w:leader="none"/>
          <w:tab w:val="left" w:pos="525" w:leader="none"/>
          <w:tab w:val="left" w:pos="945" w:leader="none"/>
          <w:tab w:val="left" w:pos="229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2.3供方如无不可抗力，又未履行招标文件、投标文件和合同条款的，一经查实，由供方赔偿由此给需方造成的损失，并按照合同总价的30%向需方支付违约金，因招、投标产生的其他责任及后果按招标文件的相关要求及处理方式执行。</w:t>
      </w:r>
      <w:r/>
    </w:p>
    <w:p>
      <w:pPr>
        <w:ind w:firstLine="480"/>
        <w:spacing w:line="360" w:lineRule="auto"/>
        <w:tabs>
          <w:tab w:val="left" w:pos="105" w:leader="none"/>
          <w:tab w:val="left" w:pos="525" w:leader="none"/>
          <w:tab w:val="left" w:pos="945" w:leader="none"/>
          <w:tab w:val="left" w:pos="229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2.4由于供方提供货物质量、安装存在问题或缺陷导致任何人身、财产损害的，供方应负责承担由此产生的责任，与需方无关。如不可避免地造成需方损失的，需方有权向供方追偿（该等损失包括但不限于损害赔偿金、需方为解决纠纷支付的律师费、诉讼费、差旅费等合理费用）。供方并应按照合同总价的20%向需方支付违约金，如给需方造成其他损失的，供方还应负责赔偿。</w:t>
      </w:r>
      <w:r/>
    </w:p>
    <w:p>
      <w:pPr>
        <w:ind w:firstLine="480"/>
        <w:spacing w:line="360" w:lineRule="auto"/>
        <w:tabs>
          <w:tab w:val="left" w:pos="105" w:leader="none"/>
          <w:tab w:val="left" w:pos="525" w:leader="none"/>
          <w:tab w:val="left" w:pos="945" w:leader="none"/>
          <w:tab w:val="left" w:pos="229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2.5质保期内，供方未能按约履行质保义务，每发生一次，应当向需方支付违约金，金额为质保实际发生金额的2倍。</w:t>
      </w:r>
      <w:r/>
    </w:p>
    <w:p>
      <w:pPr>
        <w:ind w:firstLine="480"/>
        <w:spacing w:line="360" w:lineRule="auto"/>
        <w:tabs>
          <w:tab w:val="left" w:pos="105" w:leader="none"/>
          <w:tab w:val="left" w:pos="525" w:leader="none"/>
          <w:tab w:val="left" w:pos="945" w:leader="none"/>
          <w:tab w:val="left" w:pos="229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2.6供方未能按约履行保密义务，应当向需方支付合同总价1%的违约金并赔偿由此给需方造成的全部损失。</w:t>
      </w:r>
      <w:r/>
    </w:p>
    <w:p>
      <w:pPr>
        <w:numPr>
          <w:ilvl w:val="0"/>
          <w:numId w:val="6"/>
        </w:numPr>
        <w:ind w:left="1241"/>
        <w:spacing w:line="360" w:lineRule="auto"/>
        <w:tabs>
          <w:tab w:val="left" w:pos="105" w:leader="none"/>
          <w:tab w:val="left" w:pos="525" w:leader="none"/>
          <w:tab w:val="left" w:pos="945" w:leader="none"/>
          <w:tab w:val="left" w:pos="1276"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不可抗力：</w:t>
      </w:r>
      <w:r/>
    </w:p>
    <w:p>
      <w:pPr>
        <w:ind w:firstLine="480"/>
        <w:spacing w:line="360" w:lineRule="auto"/>
        <w:tabs>
          <w:tab w:val="left" w:pos="105" w:leader="none"/>
          <w:tab w:val="left" w:pos="945" w:leader="none"/>
          <w:tab w:val="left" w:pos="1320"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1.如遭遇不可抗力事件，遭遇不可抗力的一方应尽快以书面形式将不可抗力的情况和原因通知另一方，并积极采取措施防止损失扩大。因不可抗力造成的损失，供、需双方按照法律规定处理。</w:t>
      </w:r>
      <w:r/>
    </w:p>
    <w:p>
      <w:pPr>
        <w:ind w:firstLine="480"/>
        <w:spacing w:line="360" w:lineRule="auto"/>
        <w:tabs>
          <w:tab w:val="left" w:pos="105" w:leader="none"/>
          <w:tab w:val="left" w:pos="945" w:leader="none"/>
          <w:tab w:val="left" w:pos="1320"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2.招标文件及合同中所述之“不可抗力”系指不可预见、不可避免、不可克服的事件。</w:t>
      </w:r>
      <w:r/>
    </w:p>
    <w:p>
      <w:pPr>
        <w:ind w:left="-2" w:firstLine="52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（十）合同生效及其他：</w:t>
      </w:r>
      <w:r/>
    </w:p>
    <w:p>
      <w:pPr>
        <w:numPr>
          <w:ilvl w:val="0"/>
          <w:numId w:val="7"/>
        </w:numPr>
        <w:ind w:left="0" w:firstLine="520"/>
        <w:spacing w:line="360" w:lineRule="auto"/>
        <w:tabs>
          <w:tab w:val="left" w:pos="0" w:leader="none"/>
          <w:tab w:val="left" w:pos="52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合同经供需双方代表签字并盖章后即生效。本合同一式</w:t>
      </w:r>
      <w:r>
        <w:rPr>
          <w:rFonts w:hint="eastAsia" w:ascii="宋体" w:hAnsi="宋体" w:eastAsia="宋体" w:cs="宋体"/>
          <w:bCs/>
          <w:sz w:val="24"/>
          <w:highlight w:val="none"/>
          <w:lang w:val="en-US" w:eastAsia="zh-CN"/>
        </w:rPr>
        <w:t xml:space="preserve">四</w:t>
      </w:r>
      <w:r>
        <w:rPr>
          <w:rFonts w:hint="eastAsia" w:ascii="宋体" w:hAnsi="宋体" w:eastAsia="宋体" w:cs="宋体"/>
          <w:bCs/>
          <w:sz w:val="24"/>
          <w:highlight w:val="none"/>
        </w:rPr>
        <w:t xml:space="preserve">份，需方执</w:t>
      </w:r>
      <w:r>
        <w:rPr>
          <w:rFonts w:hint="eastAsia" w:ascii="宋体" w:hAnsi="宋体" w:eastAsia="宋体" w:cs="宋体"/>
          <w:bCs/>
          <w:sz w:val="24"/>
          <w:highlight w:val="none"/>
          <w:lang w:val="en-US" w:eastAsia="zh-CN"/>
        </w:rPr>
        <w:t xml:space="preserve">二</w:t>
      </w:r>
      <w:r>
        <w:rPr>
          <w:rFonts w:hint="eastAsia" w:ascii="宋体" w:hAnsi="宋体" w:eastAsia="宋体" w:cs="宋体"/>
          <w:bCs/>
          <w:sz w:val="24"/>
          <w:highlight w:val="none"/>
        </w:rPr>
        <w:t xml:space="preserve">份，供方执</w:t>
      </w:r>
      <w:r>
        <w:rPr>
          <w:rFonts w:hint="eastAsia" w:ascii="宋体" w:hAnsi="宋体" w:eastAsia="宋体" w:cs="宋体"/>
          <w:bCs/>
          <w:sz w:val="24"/>
          <w:highlight w:val="none"/>
          <w:lang w:val="en-US" w:eastAsia="zh-CN"/>
        </w:rPr>
        <w:t xml:space="preserve">二</w:t>
      </w:r>
      <w:r>
        <w:rPr>
          <w:rFonts w:hint="eastAsia" w:ascii="宋体" w:hAnsi="宋体" w:eastAsia="宋体" w:cs="宋体"/>
          <w:bCs/>
          <w:sz w:val="24"/>
          <w:highlight w:val="none"/>
        </w:rPr>
        <w:t xml:space="preserve">份。</w:t>
      </w:r>
      <w:r/>
    </w:p>
    <w:p>
      <w:pPr>
        <w:numPr>
          <w:ilvl w:val="0"/>
          <w:numId w:val="7"/>
        </w:numPr>
        <w:ind w:left="0" w:firstLine="520"/>
        <w:spacing w:line="360" w:lineRule="auto"/>
        <w:tabs>
          <w:tab w:val="left" w:pos="0" w:leader="none"/>
          <w:tab w:val="left" w:pos="525" w:leader="none"/>
          <w:tab w:val="left" w:pos="945" w:leader="none"/>
        </w:tabs>
        <w:rPr>
          <w:rFonts w:hint="eastAsia" w:ascii="宋体" w:hAnsi="宋体" w:eastAsia="宋体" w:cs="宋体"/>
          <w:sz w:val="24"/>
          <w:highlight w:val="none"/>
        </w:rPr>
      </w:pPr>
      <w:r>
        <w:rPr>
          <w:rFonts w:hint="eastAsia" w:ascii="宋体" w:hAnsi="宋体" w:eastAsia="宋体" w:cs="宋体"/>
          <w:bCs/>
          <w:sz w:val="24"/>
          <w:highlight w:val="none"/>
        </w:rPr>
        <w:t xml:space="preserve">合同签订后供需双方即直接产生权利与义务的关系，合同执行过程中出现的问题应按照合同约定、法律法规的规定办理。在合同履行过程中，双方如有争议，</w:t>
      </w:r>
      <w:r>
        <w:rPr>
          <w:rFonts w:hint="eastAsia" w:ascii="宋体" w:hAnsi="宋体" w:eastAsia="宋体" w:cs="宋体"/>
          <w:sz w:val="24"/>
          <w:highlight w:val="none"/>
        </w:rPr>
        <w:t xml:space="preserve">由供需双方协商处理，若协商不成，</w:t>
      </w:r>
      <w:r>
        <w:rPr>
          <w:rFonts w:hint="eastAsia" w:ascii="宋体" w:hAnsi="宋体" w:eastAsia="宋体" w:cs="宋体"/>
          <w:bCs/>
          <w:sz w:val="24"/>
          <w:highlight w:val="none"/>
        </w:rPr>
        <w:t xml:space="preserve">可选择以下</w:t>
      </w:r>
      <w:r>
        <w:rPr>
          <w:rFonts w:hint="eastAsia" w:ascii="宋体" w:hAnsi="宋体" w:eastAsia="宋体" w:cs="宋体"/>
          <w:bCs/>
          <w:sz w:val="24"/>
          <w:highlight w:val="none"/>
          <w:u w:val="single"/>
        </w:rPr>
        <w:t xml:space="preserve">2</w:t>
      </w:r>
      <w:r>
        <w:rPr>
          <w:rFonts w:hint="eastAsia" w:ascii="宋体" w:hAnsi="宋体" w:eastAsia="宋体" w:cs="宋体"/>
          <w:bCs/>
          <w:sz w:val="24"/>
          <w:highlight w:val="none"/>
        </w:rPr>
        <w:t xml:space="preserve">方式处理：</w:t>
      </w:r>
      <w:r/>
    </w:p>
    <w:p>
      <w:pPr>
        <w:ind w:left="521"/>
        <w:spacing w:line="360" w:lineRule="auto"/>
        <w:tabs>
          <w:tab w:val="left" w:pos="525" w:leader="none"/>
          <w:tab w:val="left" w:pos="945" w:leader="none"/>
        </w:tabs>
        <w:rPr>
          <w:rFonts w:hint="eastAsia" w:ascii="宋体" w:hAnsi="宋体" w:eastAsia="宋体" w:cs="宋体"/>
          <w:sz w:val="24"/>
          <w:highlight w:val="none"/>
        </w:rPr>
      </w:pPr>
      <w:r>
        <w:rPr>
          <w:rFonts w:hint="eastAsia" w:ascii="宋体" w:hAnsi="宋体" w:cs="宋体"/>
          <w:bCs/>
          <w:sz w:val="24"/>
          <w:highlight w:val="none"/>
          <w:lang w:eastAsia="zh-CN"/>
        </w:rPr>
        <w:t xml:space="preserve">（1）</w:t>
      </w:r>
      <w:r>
        <w:rPr>
          <w:rFonts w:hint="eastAsia" w:ascii="宋体" w:hAnsi="宋体" w:eastAsia="宋体" w:cs="宋体"/>
          <w:sz w:val="24"/>
          <w:highlight w:val="none"/>
        </w:rPr>
        <w:t xml:space="preserve">向无锡仲裁委员会申请仲裁。</w:t>
      </w:r>
      <w:r/>
    </w:p>
    <w:p>
      <w:pPr>
        <w:ind w:left="521"/>
        <w:spacing w:line="360" w:lineRule="auto"/>
        <w:tabs>
          <w:tab w:val="left" w:pos="525" w:leader="none"/>
          <w:tab w:val="left" w:pos="945" w:leader="none"/>
        </w:tabs>
        <w:rPr>
          <w:rFonts w:hint="eastAsia" w:ascii="宋体" w:hAnsi="宋体" w:eastAsia="宋体" w:cs="宋体"/>
          <w:sz w:val="24"/>
          <w:highlight w:val="none"/>
        </w:rPr>
      </w:pPr>
      <w:r>
        <w:rPr>
          <w:rFonts w:hint="eastAsia" w:ascii="宋体" w:hAnsi="宋体" w:cs="宋体"/>
          <w:sz w:val="24"/>
          <w:highlight w:val="none"/>
          <w:lang w:eastAsia="zh-CN"/>
        </w:rPr>
        <w:t xml:space="preserve">（2）</w:t>
      </w:r>
      <w:r>
        <w:rPr>
          <w:rFonts w:hint="eastAsia" w:ascii="宋体" w:hAnsi="宋体" w:eastAsia="宋体" w:cs="宋体"/>
          <w:sz w:val="24"/>
          <w:highlight w:val="none"/>
        </w:rPr>
        <w:t xml:space="preserve">向需方所在地法院提起诉讼。</w:t>
      </w:r>
      <w:r/>
    </w:p>
    <w:p>
      <w:pPr>
        <w:numPr>
          <w:ilvl w:val="0"/>
          <w:numId w:val="7"/>
        </w:numPr>
        <w:ind w:left="0" w:firstLine="520"/>
        <w:spacing w:line="360" w:lineRule="auto"/>
        <w:tabs>
          <w:tab w:val="left" w:pos="0" w:leader="none"/>
          <w:tab w:val="left" w:pos="52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合同在执行过程中出现的未尽事宜，双方在不违背本合同和招标文件的原则下协商解决，协商结果以书面形式签订补充协议，且补充协议与本合同具有同等效力。</w:t>
      </w:r>
      <w:r/>
    </w:p>
    <w:p>
      <w:pPr>
        <w:numPr>
          <w:ilvl w:val="0"/>
          <w:numId w:val="7"/>
        </w:numPr>
        <w:ind w:left="0" w:firstLine="520"/>
        <w:spacing w:line="360" w:lineRule="auto"/>
        <w:tabs>
          <w:tab w:val="left" w:pos="0" w:leader="none"/>
          <w:tab w:val="left" w:pos="525" w:leader="none"/>
          <w:tab w:val="left" w:pos="945" w:leader="none"/>
        </w:tabs>
        <w:rPr>
          <w:rFonts w:hint="eastAsia" w:ascii="宋体" w:hAnsi="宋体" w:eastAsia="宋体" w:cs="宋体"/>
          <w:sz w:val="24"/>
          <w:highlight w:val="none"/>
        </w:rPr>
      </w:pPr>
      <w:r>
        <w:rPr>
          <w:rFonts w:hint="eastAsia" w:ascii="宋体" w:hAnsi="宋体" w:eastAsia="宋体" w:cs="宋体"/>
          <w:sz w:val="24"/>
          <w:highlight w:val="none"/>
        </w:rPr>
        <w:t xml:space="preserve">合同中未有约定的按照有关的法律法规以及国家行业标准或技术文件规定予以解决。</w:t>
      </w:r>
      <w:r/>
    </w:p>
    <w:p>
      <w:pPr>
        <w:numPr>
          <w:ilvl w:val="0"/>
          <w:numId w:val="7"/>
        </w:numPr>
        <w:ind w:left="0" w:firstLine="520"/>
        <w:spacing w:line="360" w:lineRule="auto"/>
        <w:tabs>
          <w:tab w:val="left" w:pos="0" w:leader="none"/>
          <w:tab w:val="left" w:pos="525" w:leader="none"/>
          <w:tab w:val="left" w:pos="945" w:leader="none"/>
        </w:tabs>
        <w:rPr>
          <w:rFonts w:hint="eastAsia" w:ascii="宋体" w:hAnsi="宋体" w:eastAsia="宋体" w:cs="宋体"/>
          <w:sz w:val="24"/>
          <w:highlight w:val="none"/>
        </w:rPr>
      </w:pPr>
      <w:r>
        <w:rPr>
          <w:rFonts w:hint="eastAsia" w:ascii="宋体" w:hAnsi="宋体" w:eastAsia="宋体" w:cs="宋体"/>
          <w:sz w:val="24"/>
          <w:highlight w:val="none"/>
        </w:rPr>
        <w:t xml:space="preserve">供需双方确认：对本合同条款及后果均已知悉，一致确认不存在欺诈、胁迫、乘人之危、重大误解、显失公平等任何可能导致合同无效或被撤销的情形。</w:t>
      </w:r>
      <w:r/>
    </w:p>
    <w:p>
      <w:pPr>
        <w:numPr>
          <w:ilvl w:val="0"/>
          <w:numId w:val="7"/>
        </w:numPr>
        <w:ind w:left="0" w:firstLine="520"/>
        <w:spacing w:line="360" w:lineRule="auto"/>
        <w:tabs>
          <w:tab w:val="left" w:pos="0" w:leader="none"/>
          <w:tab w:val="left" w:pos="525" w:leader="none"/>
          <w:tab w:val="left" w:pos="945" w:leader="none"/>
        </w:tabs>
        <w:rPr>
          <w:rFonts w:hint="eastAsia" w:ascii="宋体" w:hAnsi="宋体" w:eastAsia="宋体" w:cs="宋体"/>
          <w:sz w:val="24"/>
          <w:highlight w:val="none"/>
        </w:rPr>
      </w:pPr>
      <w:r>
        <w:rPr>
          <w:rFonts w:hint="eastAsia" w:ascii="宋体" w:hAnsi="宋体" w:eastAsia="宋体" w:cs="宋体"/>
          <w:sz w:val="24"/>
          <w:highlight w:val="none"/>
        </w:rPr>
        <w:t xml:space="preserve">廉政条约：供方不得给予需方相关工作人员回扣、佣金、有价证券、实物或</w:t>
      </w:r>
      <w:r>
        <w:rPr>
          <w:rFonts w:hint="eastAsia" w:ascii="宋体" w:hAnsi="宋体" w:cs="宋体"/>
          <w:sz w:val="24"/>
          <w:highlight w:val="none"/>
          <w:lang w:eastAsia="zh-CN"/>
        </w:rPr>
        <w:t xml:space="preserve">其他形式的</w:t>
      </w:r>
      <w:r>
        <w:rPr>
          <w:rFonts w:hint="eastAsia" w:ascii="宋体" w:hAnsi="宋体" w:eastAsia="宋体" w:cs="宋体"/>
          <w:sz w:val="24"/>
          <w:highlight w:val="none"/>
        </w:rPr>
        <w:t xml:space="preserve">利益，否则需方有权解除合同。本条款对双方具有永久约束力，不因合同其他条款无效或失效而丧失效力。</w:t>
      </w:r>
      <w:r/>
    </w:p>
    <w:p>
      <w:pPr>
        <w:numPr>
          <w:ilvl w:val="0"/>
          <w:numId w:val="0"/>
        </w:numPr>
        <w:spacing w:line="360" w:lineRule="auto"/>
        <w:tabs>
          <w:tab w:val="left" w:pos="0" w:leader="none"/>
          <w:tab w:val="left" w:pos="525" w:leader="none"/>
          <w:tab w:val="left" w:pos="945" w:leader="none"/>
        </w:tabs>
        <w:rPr>
          <w:rFonts w:hint="eastAsia" w:ascii="宋体" w:hAnsi="宋体" w:eastAsia="宋体" w:cs="宋体"/>
          <w:sz w:val="24"/>
          <w:highlight w:val="none"/>
        </w:rPr>
      </w:pPr>
      <w:r>
        <w:rPr>
          <w:rFonts w:hint="eastAsia" w:ascii="宋体" w:hAnsi="宋体" w:eastAsia="宋体" w:cs="宋体"/>
          <w:sz w:val="24"/>
          <w:highlight w:val="none"/>
        </w:rPr>
      </w:r>
      <w:r/>
    </w:p>
    <w:tbl>
      <w:tblPr>
        <w:tblStyle w:val="745"/>
        <w:tblW w:w="0" w:type="auto"/>
        <w:jc w:val="center"/>
        <w:tblLayout w:type="autofit"/>
        <w:tblCellMar>
          <w:left w:w="108" w:type="dxa"/>
          <w:top w:w="0" w:type="dxa"/>
          <w:right w:w="108" w:type="dxa"/>
          <w:bottom w:w="0" w:type="dxa"/>
        </w:tblCellMar>
        <w:tblLook w:val="04A0" w:firstRow="1" w:lastRow="0" w:firstColumn="1" w:lastColumn="0" w:noHBand="0" w:noVBand="1"/>
      </w:tblPr>
      <w:tblGrid>
        <w:gridCol w:w="4145"/>
        <w:gridCol w:w="4145"/>
      </w:tblGrid>
      <w:tr>
        <w:trPr>
          <w:jc w:val="center"/>
        </w:trPr>
        <w:tc>
          <w:tcPr>
            <w:tcW w:w="4145" w:type="dxa"/>
            <w:vAlign w:val="top"/>
            <w:textDirection w:val="lrTb"/>
            <w:noWrap w:val="false"/>
          </w:tcPr>
          <w:p>
            <w:pPr>
              <w:spacing w:line="360" w:lineRule="auto"/>
              <w:rPr>
                <w:rFonts w:hint="eastAsia" w:ascii="宋体" w:hAnsi="宋体" w:eastAsia="宋体" w:cs="宋体"/>
                <w:bCs/>
                <w:highlight w:val="none"/>
              </w:rPr>
            </w:pPr>
            <w:r>
              <w:rPr>
                <w:rFonts w:hint="eastAsia" w:ascii="宋体" w:hAnsi="宋体" w:eastAsia="宋体" w:cs="宋体"/>
                <w:bCs/>
                <w:sz w:val="24"/>
                <w:highlight w:val="none"/>
              </w:rPr>
              <w:t xml:space="preserve">需方（采购人）：（盖章）</w:t>
            </w:r>
            <w:r/>
          </w:p>
        </w:tc>
        <w:tc>
          <w:tcPr>
            <w:tcW w:w="4145" w:type="dxa"/>
            <w:vAlign w:val="top"/>
            <w:textDirection w:val="lrTb"/>
            <w:noWrap w:val="false"/>
          </w:tcPr>
          <w:p>
            <w:pPr>
              <w:spacing w:line="360" w:lineRule="auto"/>
              <w:rPr>
                <w:rFonts w:hint="eastAsia" w:ascii="宋体" w:hAnsi="宋体" w:eastAsia="宋体" w:cs="宋体"/>
                <w:bCs/>
                <w:highlight w:val="none"/>
              </w:rPr>
            </w:pPr>
            <w:r>
              <w:rPr>
                <w:rFonts w:hint="eastAsia" w:ascii="宋体" w:hAnsi="宋体" w:eastAsia="宋体" w:cs="宋体"/>
                <w:bCs/>
                <w:sz w:val="24"/>
                <w:highlight w:val="none"/>
              </w:rPr>
              <w:t xml:space="preserve">供方（中标方）：（盖章）</w:t>
            </w:r>
            <w:r/>
          </w:p>
        </w:tc>
      </w:tr>
      <w:tr>
        <w:trPr>
          <w:jc w:val="center"/>
        </w:trPr>
        <w:tc>
          <w:tcPr>
            <w:tcW w:w="4145" w:type="dxa"/>
            <w:vAlign w:val="top"/>
            <w:textDirection w:val="lrTb"/>
            <w:noWrap w:val="false"/>
          </w:tcPr>
          <w:p>
            <w:pPr>
              <w:spacing w:line="360" w:lineRule="auto"/>
              <w:rPr>
                <w:rFonts w:hint="eastAsia" w:ascii="宋体" w:hAnsi="宋体" w:eastAsia="宋体" w:cs="宋体"/>
                <w:bCs/>
                <w:highlight w:val="none"/>
              </w:rPr>
            </w:pPr>
            <w:r>
              <w:rPr>
                <w:rFonts w:hint="eastAsia" w:ascii="宋体" w:hAnsi="宋体" w:eastAsia="宋体" w:cs="宋体"/>
                <w:bCs/>
                <w:sz w:val="24"/>
                <w:highlight w:val="none"/>
              </w:rPr>
              <w:t xml:space="preserve">法定（授权）代表人：</w:t>
            </w:r>
            <w:r/>
          </w:p>
        </w:tc>
        <w:tc>
          <w:tcPr>
            <w:tcW w:w="4145" w:type="dxa"/>
            <w:vAlign w:val="top"/>
            <w:textDirection w:val="lrTb"/>
            <w:noWrap w:val="false"/>
          </w:tcPr>
          <w:p>
            <w:pPr>
              <w:spacing w:line="360" w:lineRule="auto"/>
              <w:rPr>
                <w:rFonts w:hint="eastAsia" w:ascii="宋体" w:hAnsi="宋体" w:eastAsia="宋体" w:cs="宋体"/>
                <w:bCs/>
                <w:highlight w:val="none"/>
              </w:rPr>
            </w:pPr>
            <w:r>
              <w:rPr>
                <w:rFonts w:hint="eastAsia" w:ascii="宋体" w:hAnsi="宋体" w:eastAsia="宋体" w:cs="宋体"/>
                <w:bCs/>
                <w:sz w:val="24"/>
                <w:highlight w:val="none"/>
              </w:rPr>
              <w:t xml:space="preserve">法定（授权）代表人：</w:t>
            </w:r>
            <w:r/>
          </w:p>
        </w:tc>
      </w:tr>
      <w:tr>
        <w:trPr>
          <w:jc w:val="center"/>
        </w:trPr>
        <w:tc>
          <w:tcPr>
            <w:tcW w:w="4145" w:type="dxa"/>
            <w:vAlign w:val="top"/>
            <w:textDirection w:val="lrTb"/>
            <w:noWrap w:val="false"/>
          </w:tcPr>
          <w:p>
            <w:pPr>
              <w:spacing w:line="360" w:lineRule="auto"/>
              <w:rPr>
                <w:rFonts w:hint="eastAsia" w:ascii="宋体" w:hAnsi="宋体" w:eastAsia="宋体" w:cs="宋体"/>
                <w:bCs/>
                <w:highlight w:val="none"/>
              </w:rPr>
            </w:pPr>
            <w:r>
              <w:rPr>
                <w:rFonts w:hint="eastAsia" w:ascii="宋体" w:hAnsi="宋体" w:eastAsia="宋体" w:cs="宋体"/>
                <w:bCs/>
                <w:sz w:val="24"/>
                <w:szCs w:val="24"/>
                <w:highlight w:val="none"/>
              </w:rPr>
              <w:t xml:space="preserve">地址：</w:t>
            </w:r>
            <w:r/>
          </w:p>
        </w:tc>
        <w:tc>
          <w:tcPr>
            <w:tcW w:w="4145" w:type="dxa"/>
            <w:vAlign w:val="top"/>
            <w:textDirection w:val="lrTb"/>
            <w:noWrap w:val="false"/>
          </w:tcPr>
          <w:p>
            <w:pPr>
              <w:spacing w:line="360" w:lineRule="auto"/>
              <w:rPr>
                <w:rFonts w:hint="eastAsia" w:ascii="宋体" w:hAnsi="宋体" w:eastAsia="宋体" w:cs="宋体"/>
                <w:bCs/>
                <w:highlight w:val="none"/>
              </w:rPr>
            </w:pPr>
            <w:r>
              <w:rPr>
                <w:rFonts w:hint="eastAsia" w:ascii="宋体" w:hAnsi="宋体" w:eastAsia="宋体" w:cs="宋体"/>
                <w:bCs/>
                <w:sz w:val="24"/>
                <w:szCs w:val="24"/>
                <w:highlight w:val="none"/>
              </w:rPr>
              <w:t xml:space="preserve">地址：</w:t>
            </w:r>
            <w:r/>
          </w:p>
        </w:tc>
      </w:tr>
      <w:tr>
        <w:trPr>
          <w:jc w:val="center"/>
        </w:trPr>
        <w:tc>
          <w:tcPr>
            <w:tcW w:w="4145" w:type="dxa"/>
            <w:vAlign w:val="top"/>
            <w:textDirection w:val="lrTb"/>
            <w:noWrap w:val="false"/>
          </w:tcPr>
          <w:p>
            <w:pPr>
              <w:ind w:firstLine="1200"/>
              <w:spacing w:line="360" w:lineRule="auto"/>
              <w:rPr>
                <w:rFonts w:hint="eastAsia" w:ascii="宋体" w:hAnsi="宋体" w:eastAsia="宋体" w:cs="宋体"/>
                <w:bCs/>
                <w:highlight w:val="none"/>
              </w:rPr>
            </w:pPr>
            <w:r>
              <w:rPr>
                <w:rFonts w:hint="eastAsia" w:ascii="宋体" w:hAnsi="宋体" w:eastAsia="宋体" w:cs="宋体"/>
                <w:bCs/>
                <w:sz w:val="24"/>
                <w:highlight w:val="none"/>
              </w:rPr>
              <w:t xml:space="preserve">年  月   日 </w:t>
            </w:r>
            <w:r/>
          </w:p>
        </w:tc>
        <w:tc>
          <w:tcPr>
            <w:tcW w:w="4145" w:type="dxa"/>
            <w:vAlign w:val="top"/>
            <w:textDirection w:val="lrTb"/>
            <w:noWrap w:val="false"/>
          </w:tcPr>
          <w:p>
            <w:pPr>
              <w:ind w:firstLine="2040"/>
              <w:spacing w:line="360" w:lineRule="auto"/>
              <w:rPr>
                <w:rFonts w:hint="eastAsia" w:ascii="宋体" w:hAnsi="宋体" w:eastAsia="宋体" w:cs="宋体"/>
                <w:bCs/>
                <w:highlight w:val="none"/>
              </w:rPr>
            </w:pPr>
            <w:r>
              <w:rPr>
                <w:rFonts w:hint="eastAsia" w:ascii="宋体" w:hAnsi="宋体" w:eastAsia="宋体" w:cs="宋体"/>
                <w:bCs/>
                <w:sz w:val="24"/>
                <w:highlight w:val="none"/>
              </w:rPr>
              <w:t xml:space="preserve">年  月  日</w:t>
            </w:r>
            <w:r/>
          </w:p>
        </w:tc>
      </w:tr>
      <w:tr>
        <w:trPr>
          <w:jc w:val="center"/>
        </w:trPr>
        <w:tc>
          <w:tcPr>
            <w:tcW w:w="4145" w:type="dxa"/>
            <w:vAlign w:val="top"/>
            <w:textDirection w:val="lrTb"/>
            <w:noWrap w:val="false"/>
          </w:tcPr>
          <w:p>
            <w:pPr>
              <w:spacing w:line="360" w:lineRule="auto"/>
              <w:rPr>
                <w:rFonts w:hint="eastAsia" w:ascii="宋体" w:hAnsi="宋体" w:eastAsia="宋体" w:cs="宋体"/>
                <w:bCs/>
                <w:highlight w:val="none"/>
              </w:rPr>
            </w:pPr>
            <w:r>
              <w:rPr>
                <w:rFonts w:hint="eastAsia" w:ascii="宋体" w:hAnsi="宋体" w:eastAsia="宋体" w:cs="宋体"/>
                <w:bCs/>
                <w:highlight w:val="none"/>
              </w:rPr>
            </w:r>
            <w:r/>
          </w:p>
        </w:tc>
        <w:tc>
          <w:tcPr>
            <w:tcW w:w="4145" w:type="dxa"/>
            <w:vAlign w:val="top"/>
            <w:textDirection w:val="lrTb"/>
            <w:noWrap w:val="false"/>
          </w:tcPr>
          <w:p>
            <w:pPr>
              <w:spacing w:line="360" w:lineRule="auto"/>
              <w:rPr>
                <w:rFonts w:hint="eastAsia" w:ascii="宋体" w:hAnsi="宋体" w:eastAsia="宋体" w:cs="宋体"/>
                <w:bCs/>
                <w:highlight w:val="none"/>
              </w:rPr>
            </w:pPr>
            <w:r>
              <w:rPr>
                <w:rFonts w:hint="eastAsia" w:ascii="宋体" w:hAnsi="宋体" w:eastAsia="宋体" w:cs="宋体"/>
                <w:bCs/>
                <w:sz w:val="24"/>
                <w:highlight w:val="none"/>
              </w:rPr>
              <w:t xml:space="preserve">供方户名：</w:t>
            </w:r>
            <w:r/>
          </w:p>
        </w:tc>
      </w:tr>
      <w:tr>
        <w:trPr>
          <w:jc w:val="center"/>
        </w:trPr>
        <w:tc>
          <w:tcPr>
            <w:tcW w:w="4145" w:type="dxa"/>
            <w:vAlign w:val="top"/>
            <w:textDirection w:val="lrTb"/>
            <w:noWrap w:val="false"/>
          </w:tcPr>
          <w:p>
            <w:pPr>
              <w:spacing w:line="360" w:lineRule="auto"/>
              <w:rPr>
                <w:rFonts w:hint="eastAsia" w:ascii="宋体" w:hAnsi="宋体" w:eastAsia="宋体" w:cs="宋体"/>
                <w:bCs/>
                <w:highlight w:val="none"/>
              </w:rPr>
            </w:pPr>
            <w:r>
              <w:rPr>
                <w:rFonts w:hint="eastAsia" w:ascii="宋体" w:hAnsi="宋体" w:eastAsia="宋体" w:cs="宋体"/>
                <w:bCs/>
                <w:highlight w:val="none"/>
              </w:rPr>
            </w:r>
            <w:r/>
          </w:p>
        </w:tc>
        <w:tc>
          <w:tcPr>
            <w:tcW w:w="4145" w:type="dxa"/>
            <w:vAlign w:val="top"/>
            <w:textDirection w:val="lrTb"/>
            <w:noWrap w:val="false"/>
          </w:tcPr>
          <w:p>
            <w:pPr>
              <w:spacing w:line="360" w:lineRule="auto"/>
              <w:rPr>
                <w:rFonts w:hint="eastAsia" w:ascii="宋体" w:hAnsi="宋体" w:eastAsia="宋体" w:cs="宋体"/>
                <w:bCs/>
                <w:highlight w:val="none"/>
                <w:u w:val="single"/>
              </w:rPr>
            </w:pPr>
            <w:r>
              <w:rPr>
                <w:rFonts w:hint="eastAsia" w:ascii="宋体" w:hAnsi="宋体" w:eastAsia="宋体" w:cs="宋体"/>
                <w:bCs/>
                <w:sz w:val="24"/>
                <w:highlight w:val="none"/>
              </w:rPr>
              <w:t xml:space="preserve">供方开户银行：</w:t>
            </w:r>
            <w:r/>
          </w:p>
          <w:p>
            <w:pPr>
              <w:spacing w:line="360" w:lineRule="auto"/>
              <w:rPr>
                <w:rFonts w:hint="eastAsia" w:ascii="宋体" w:hAnsi="宋体" w:eastAsia="宋体" w:cs="宋体"/>
                <w:bCs/>
                <w:highlight w:val="none"/>
              </w:rPr>
            </w:pPr>
            <w:r>
              <w:rPr>
                <w:rFonts w:hint="eastAsia" w:ascii="宋体" w:hAnsi="宋体" w:eastAsia="宋体" w:cs="宋体"/>
                <w:bCs/>
                <w:sz w:val="24"/>
                <w:highlight w:val="none"/>
              </w:rPr>
              <w:t xml:space="preserve">行      号：</w:t>
            </w:r>
            <w:r/>
          </w:p>
        </w:tc>
      </w:tr>
      <w:tr>
        <w:trPr>
          <w:jc w:val="center"/>
        </w:trPr>
        <w:tc>
          <w:tcPr>
            <w:tcW w:w="4145" w:type="dxa"/>
            <w:vAlign w:val="top"/>
            <w:textDirection w:val="lrTb"/>
            <w:noWrap w:val="false"/>
          </w:tcPr>
          <w:p>
            <w:pPr>
              <w:spacing w:line="360" w:lineRule="auto"/>
              <w:rPr>
                <w:rFonts w:hint="eastAsia" w:ascii="宋体" w:hAnsi="宋体" w:eastAsia="宋体" w:cs="宋体"/>
                <w:bCs/>
                <w:highlight w:val="none"/>
              </w:rPr>
            </w:pPr>
            <w:r>
              <w:rPr>
                <w:rFonts w:hint="eastAsia" w:ascii="宋体" w:hAnsi="宋体" w:eastAsia="宋体" w:cs="宋体"/>
                <w:bCs/>
                <w:highlight w:val="none"/>
              </w:rPr>
            </w:r>
            <w:r/>
          </w:p>
        </w:tc>
        <w:tc>
          <w:tcPr>
            <w:tcW w:w="4145" w:type="dxa"/>
            <w:vAlign w:val="top"/>
            <w:textDirection w:val="lrTb"/>
            <w:noWrap w:val="false"/>
          </w:tcPr>
          <w:p>
            <w:pPr>
              <w:spacing w:line="360" w:lineRule="auto"/>
              <w:rPr>
                <w:rFonts w:hint="eastAsia" w:ascii="宋体" w:hAnsi="宋体" w:eastAsia="宋体" w:cs="宋体"/>
                <w:bCs/>
                <w:highlight w:val="none"/>
              </w:rPr>
            </w:pPr>
            <w:r>
              <w:rPr>
                <w:rFonts w:hint="eastAsia" w:ascii="宋体" w:hAnsi="宋体" w:eastAsia="宋体" w:cs="宋体"/>
                <w:bCs/>
                <w:sz w:val="24"/>
                <w:highlight w:val="none"/>
              </w:rPr>
              <w:t xml:space="preserve">供方</w:t>
            </w:r>
            <w:r>
              <w:rPr>
                <w:rFonts w:hint="eastAsia" w:ascii="宋体" w:hAnsi="宋体" w:eastAsia="宋体" w:cs="宋体"/>
                <w:bCs/>
                <w:sz w:val="24"/>
                <w:highlight w:val="none"/>
                <w:lang w:eastAsia="zh-CN"/>
              </w:rPr>
              <w:t xml:space="preserve">账号</w:t>
            </w:r>
            <w:r>
              <w:rPr>
                <w:rFonts w:hint="eastAsia" w:ascii="宋体" w:hAnsi="宋体" w:eastAsia="宋体" w:cs="宋体"/>
                <w:bCs/>
                <w:sz w:val="24"/>
                <w:highlight w:val="none"/>
              </w:rPr>
              <w:t xml:space="preserve">：</w:t>
            </w:r>
            <w:r/>
          </w:p>
        </w:tc>
      </w:tr>
    </w:tbl>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ind w:left="0" w:right="0" w:firstLine="0"/>
        <w:jc w:val="center"/>
        <w:pageBreakBefore w:val="0"/>
        <w:spacing w:before="200" w:beforeAutospacing="0" w:after="200" w:afterAutospacing="0" w:line="240" w:lineRule="auto"/>
        <w:tabs>
          <w:tab w:val="left" w:pos="1440" w:leader="none"/>
        </w:tabs>
        <w:rPr>
          <w:rFonts w:hint="eastAsia" w:ascii="宋体" w:hAnsi="宋体" w:eastAsia="宋体" w:cs="宋体"/>
          <w:b/>
          <w:bCs/>
          <w:color w:val="auto"/>
          <w:sz w:val="30"/>
          <w:szCs w:val="30"/>
          <w:highlight w:val="none"/>
        </w:rPr>
        <w:outlineLvl w:val="0"/>
      </w:pPr>
      <w:r>
        <w:rPr>
          <w:rFonts w:hint="eastAsia" w:ascii="宋体" w:hAnsi="宋体" w:eastAsia="宋体" w:cs="宋体"/>
          <w:b/>
          <w:bCs/>
          <w:color w:val="auto"/>
          <w:sz w:val="30"/>
          <w:szCs w:val="30"/>
          <w:highlight w:val="none"/>
          <w:lang w:val="en-US" w:eastAsia="zh-CN"/>
        </w:rPr>
        <w:t xml:space="preserve">第四章 </w:t>
      </w:r>
      <w:r>
        <w:rPr>
          <w:rFonts w:hint="eastAsia" w:ascii="宋体" w:hAnsi="宋体" w:eastAsia="宋体" w:cs="宋体"/>
          <w:b/>
          <w:bCs/>
          <w:color w:val="auto"/>
          <w:sz w:val="30"/>
          <w:szCs w:val="30"/>
          <w:highlight w:val="none"/>
        </w:rPr>
        <w:t xml:space="preserve">采购需求</w:t>
      </w:r>
      <w:bookmarkEnd w:id="185"/>
      <w:r/>
      <w:bookmarkEnd w:id="186"/>
      <w:r/>
      <w:bookmarkEnd w:id="187"/>
      <w:r/>
      <w:bookmarkEnd w:id="188"/>
      <w:r/>
      <w:r/>
    </w:p>
    <w:p>
      <w:pPr>
        <w:pStyle w:val="790"/>
        <w:jc w:val="center"/>
        <w:spacing w:line="360" w:lineRule="auto"/>
        <w:rPr>
          <w:rFonts w:hint="eastAsia" w:asciiTheme="minorEastAsia" w:hAnsiTheme="minorEastAsia" w:eastAsiaTheme="minorEastAsia" w:cstheme="minorEastAsia"/>
          <w:b w:val="0"/>
          <w:bCs w:val="0"/>
          <w:sz w:val="24"/>
          <w:szCs w:val="24"/>
          <w:highlight w:val="none"/>
          <w:lang w:val="en-US" w:eastAsia="zh-CN"/>
        </w:rPr>
      </w:pPr>
      <w:r/>
      <w:bookmarkStart w:id="191" w:name="_Toc49090575"/>
      <w:r/>
      <w:bookmarkStart w:id="192" w:name="_Toc26554093"/>
      <w:r>
        <w:rPr>
          <w:rFonts w:hint="eastAsia" w:asciiTheme="minorEastAsia" w:hAnsiTheme="minorEastAsia" w:eastAsiaTheme="minorEastAsia" w:cstheme="minorEastAsia"/>
          <w:b w:val="0"/>
          <w:bCs w:val="0"/>
          <w:sz w:val="24"/>
          <w:szCs w:val="24"/>
          <w:highlight w:val="none"/>
          <w:lang w:val="en-US" w:eastAsia="zh-CN"/>
        </w:rPr>
        <w:t xml:space="preserve">技术参数及配置要求</w:t>
      </w:r>
      <w:r/>
    </w:p>
    <w:p>
      <w:pPr>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1.基本要求</w:t>
      </w:r>
      <w:r/>
    </w:p>
    <w:p>
      <w:pPr>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1.1仪器运行持久性：仪器连续运行≥99小时</w:t>
      </w:r>
      <w:r/>
    </w:p>
    <w:p>
      <w:pPr>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1.2工作条件及安全性要求符合中国有关标准或规定</w:t>
      </w:r>
      <w:r/>
    </w:p>
    <w:p>
      <w:pPr>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2.技术参数</w:t>
      </w:r>
      <w:r/>
    </w:p>
    <w:p>
      <w:pPr>
        <w:rPr>
          <w:rFonts w:hint="eastAsia" w:asciiTheme="minorEastAsia" w:hAnsiTheme="minorEastAsia" w:eastAsiaTheme="minorEastAsia" w:cstheme="minorEastAsia"/>
          <w:b w:val="0"/>
          <w:bCs w:val="0"/>
          <w:sz w:val="24"/>
          <w:szCs w:val="24"/>
          <w:highlight w:val="none"/>
        </w:rPr>
      </w:pPr>
      <w:r/>
      <w:bookmarkStart w:id="193" w:name="OLE_LINK3"/>
      <w:r>
        <w:rPr>
          <w:rFonts w:hint="eastAsia" w:asciiTheme="minorEastAsia" w:hAnsiTheme="minorEastAsia" w:eastAsiaTheme="minorEastAsia" w:cstheme="minorEastAsia"/>
          <w:b w:val="0"/>
          <w:bCs w:val="0"/>
          <w:sz w:val="24"/>
          <w:szCs w:val="24"/>
          <w:highlight w:val="none"/>
        </w:rPr>
        <w:t xml:space="preserve">2.1 ★</w:t>
      </w:r>
      <w:bookmarkStart w:id="194" w:name="OLE_LINK1"/>
      <w:r>
        <w:rPr>
          <w:rFonts w:hint="eastAsia" w:asciiTheme="minorEastAsia" w:hAnsiTheme="minorEastAsia" w:eastAsiaTheme="minorEastAsia" w:cstheme="minorEastAsia"/>
          <w:b w:val="0"/>
          <w:bCs w:val="0"/>
          <w:sz w:val="24"/>
          <w:szCs w:val="24"/>
          <w:highlight w:val="none"/>
        </w:rPr>
        <w:t xml:space="preserve">扩散池：12位，分两组，每组6个。所有扩散池在同一水平高度，可同时进行12个制剂单位的测试，按程序编辑自动同时进行排气泡、取样、补液及清洗。</w:t>
      </w:r>
      <w:bookmarkEnd w:id="194"/>
      <w:r/>
      <w:bookmarkEnd w:id="193"/>
      <w:r/>
    </w:p>
    <w:p>
      <w:pPr>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2.2</w:t>
      </w:r>
      <w:r>
        <w:rPr>
          <w:rFonts w:hint="eastAsia" w:asciiTheme="minorEastAsia" w:hAnsiTheme="minorEastAsia" w:eastAsiaTheme="minorEastAsia" w:cstheme="minorEastAsia"/>
          <w:b w:val="0"/>
          <w:bCs w:val="0"/>
          <w:sz w:val="24"/>
          <w:szCs w:val="24"/>
          <w:highlight w:val="none"/>
          <w:lang w:val="en-US" w:eastAsia="zh-CN"/>
        </w:rPr>
        <w:t xml:space="preserve"> </w:t>
      </w:r>
      <w:r>
        <w:rPr>
          <w:rFonts w:hint="eastAsia" w:asciiTheme="minorEastAsia" w:hAnsiTheme="minorEastAsia" w:eastAsiaTheme="minorEastAsia" w:cstheme="minorEastAsia"/>
          <w:b w:val="0"/>
          <w:bCs w:val="0"/>
          <w:sz w:val="24"/>
          <w:szCs w:val="24"/>
          <w:highlight w:val="none"/>
        </w:rPr>
        <w:t xml:space="preserve">★两组扩散池、取样泵控制模块和样品收集模块分别为独立模块，不得设置一体，避免相互干扰。</w:t>
      </w:r>
      <w:r/>
    </w:p>
    <w:p>
      <w:pPr>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2.3具有干加热模式，温度控制范围</w:t>
      </w:r>
      <w:r>
        <w:rPr>
          <w:rFonts w:hint="eastAsia" w:asciiTheme="minorEastAsia" w:hAnsiTheme="minorEastAsia" w:eastAsiaTheme="minorEastAsia" w:cstheme="minorEastAsia"/>
          <w:b w:val="0"/>
          <w:bCs w:val="0"/>
          <w:sz w:val="24"/>
          <w:szCs w:val="24"/>
          <w:highlight w:val="none"/>
          <w:lang w:eastAsia="zh-CN"/>
        </w:rPr>
        <w:t xml:space="preserve">：</w:t>
      </w:r>
      <w:r>
        <w:rPr>
          <w:rFonts w:hint="eastAsia" w:asciiTheme="minorEastAsia" w:hAnsiTheme="minorEastAsia" w:eastAsiaTheme="minorEastAsia" w:cstheme="minorEastAsia"/>
          <w:b w:val="0"/>
          <w:bCs w:val="0"/>
          <w:sz w:val="24"/>
          <w:szCs w:val="24"/>
          <w:highlight w:val="none"/>
        </w:rPr>
        <w:t xml:space="preserve">室温</w:t>
      </w:r>
      <w:r>
        <w:rPr>
          <w:rFonts w:hint="eastAsia" w:asciiTheme="minorEastAsia" w:hAnsiTheme="minorEastAsia" w:eastAsiaTheme="minorEastAsia" w:cstheme="minorEastAsia"/>
          <w:b w:val="0"/>
          <w:bCs w:val="0"/>
          <w:sz w:val="24"/>
          <w:szCs w:val="24"/>
          <w:highlight w:val="none"/>
          <w:lang w:eastAsia="zh-CN"/>
        </w:rPr>
        <w:t xml:space="preserve">～</w:t>
      </w:r>
      <w:r>
        <w:rPr>
          <w:rFonts w:hint="eastAsia" w:asciiTheme="minorEastAsia" w:hAnsiTheme="minorEastAsia" w:eastAsiaTheme="minorEastAsia" w:cstheme="minorEastAsia"/>
          <w:b w:val="0"/>
          <w:bCs w:val="0"/>
          <w:sz w:val="24"/>
          <w:szCs w:val="24"/>
          <w:highlight w:val="none"/>
        </w:rPr>
        <w:t xml:space="preserve">45℃，控温误差不超过0.3℃。</w:t>
      </w:r>
      <w:r/>
    </w:p>
    <w:p>
      <w:pPr>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2.4 扩散池标记清晰的编号，可配备不同型号转子和不同体积扩散池。</w:t>
      </w:r>
      <w:r/>
    </w:p>
    <w:p>
      <w:pPr>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2.5 配置给药池密封方式，保证密封性。</w:t>
      </w:r>
      <w:r/>
    </w:p>
    <w:p>
      <w:pPr>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2.6 ★每个扩散池配有独立温度传感器，扩散池的独立温度探头放置在接收池上部膜下位置，实现对溶媒介质及膜下的过程温度监控。</w:t>
      </w:r>
      <w:bookmarkStart w:id="195" w:name="_Hlk227910527"/>
      <w:r/>
      <w:r/>
    </w:p>
    <w:p>
      <w:pPr>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2.7 </w:t>
      </w:r>
      <w:bookmarkStart w:id="196" w:name="OLE_LINK2"/>
      <w:r>
        <w:rPr>
          <w:rFonts w:hint="eastAsia" w:asciiTheme="minorEastAsia" w:hAnsiTheme="minorEastAsia" w:eastAsiaTheme="minorEastAsia" w:cstheme="minorEastAsia"/>
          <w:b w:val="0"/>
          <w:bCs w:val="0"/>
          <w:sz w:val="24"/>
          <w:szCs w:val="24"/>
          <w:highlight w:val="none"/>
        </w:rPr>
        <w:t xml:space="preserve">★</w:t>
      </w:r>
      <w:bookmarkEnd w:id="196"/>
      <w:r>
        <w:rPr>
          <w:rFonts w:hint="eastAsia" w:asciiTheme="minorEastAsia" w:hAnsiTheme="minorEastAsia" w:eastAsiaTheme="minorEastAsia" w:cstheme="minorEastAsia"/>
          <w:b w:val="0"/>
          <w:bCs w:val="0"/>
          <w:sz w:val="24"/>
          <w:szCs w:val="24"/>
          <w:highlight w:val="none"/>
        </w:rPr>
        <w:t xml:space="preserve">独立温度探头需属于驻留固定式，不需要频繁插拔，避免后续漏液风险。</w:t>
      </w:r>
      <w:bookmarkEnd w:id="195"/>
      <w:r/>
    </w:p>
    <w:p>
      <w:pPr>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2.8 设备具备优良的全自动倾斜排气泡功能。</w:t>
      </w:r>
      <w:r/>
    </w:p>
    <w:p>
      <w:pPr>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2.9 配备高精度取样系统，具备取样过程可视化功能。</w:t>
      </w:r>
      <w:r/>
    </w:p>
    <w:p>
      <w:pPr>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2.10</w:t>
      </w:r>
      <w:r>
        <w:rPr>
          <w:rFonts w:hint="eastAsia" w:asciiTheme="minorEastAsia" w:hAnsiTheme="minorEastAsia" w:eastAsiaTheme="minorEastAsia" w:cstheme="minorEastAsia"/>
          <w:b w:val="0"/>
          <w:bCs w:val="0"/>
          <w:sz w:val="24"/>
          <w:szCs w:val="24"/>
          <w:highlight w:val="none"/>
          <w:lang w:val="en-US" w:eastAsia="zh-CN"/>
        </w:rPr>
        <w:t xml:space="preserve"> </w:t>
      </w:r>
      <w:r>
        <w:rPr>
          <w:rFonts w:hint="eastAsia" w:asciiTheme="minorEastAsia" w:hAnsiTheme="minorEastAsia" w:eastAsiaTheme="minorEastAsia" w:cstheme="minorEastAsia"/>
          <w:b w:val="0"/>
          <w:bCs w:val="0"/>
          <w:sz w:val="24"/>
          <w:szCs w:val="24"/>
          <w:highlight w:val="none"/>
        </w:rPr>
        <w:t xml:space="preserve">★配置外置开放式收集模块，方便观察取样情况。</w:t>
      </w:r>
      <w:r/>
    </w:p>
    <w:p>
      <w:pPr>
        <w:rPr>
          <w:rFonts w:hint="eastAsia" w:asciiTheme="minorEastAsia" w:hAnsiTheme="minorEastAsia" w:eastAsiaTheme="minorEastAsia" w:cstheme="minorEastAsia"/>
          <w:b w:val="0"/>
          <w:bCs w:val="0"/>
          <w:sz w:val="24"/>
          <w:szCs w:val="24"/>
          <w:highlight w:val="none"/>
        </w:rPr>
      </w:pPr>
      <w:r/>
      <w:bookmarkStart w:id="197" w:name="OLE_LINK5"/>
      <w:r>
        <w:rPr>
          <w:rFonts w:hint="eastAsia" w:asciiTheme="minorEastAsia" w:hAnsiTheme="minorEastAsia" w:eastAsiaTheme="minorEastAsia" w:cstheme="minorEastAsia"/>
          <w:b w:val="0"/>
          <w:bCs w:val="0"/>
          <w:sz w:val="24"/>
          <w:szCs w:val="24"/>
          <w:highlight w:val="none"/>
        </w:rPr>
        <w:t xml:space="preserve">2.11 </w:t>
      </w:r>
      <w:bookmarkStart w:id="198" w:name="OLE_LINK4"/>
      <w:r>
        <w:rPr>
          <w:rFonts w:hint="eastAsia" w:asciiTheme="minorEastAsia" w:hAnsiTheme="minorEastAsia" w:eastAsiaTheme="minorEastAsia" w:cstheme="minorEastAsia"/>
          <w:b w:val="0"/>
          <w:bCs w:val="0"/>
          <w:sz w:val="24"/>
          <w:szCs w:val="24"/>
          <w:highlight w:val="none"/>
        </w:rPr>
        <w:t xml:space="preserve">★收集模块可实现不少于20*12组样品收集。</w:t>
      </w:r>
      <w:bookmarkEnd w:id="198"/>
      <w:r/>
      <w:bookmarkEnd w:id="197"/>
      <w:r/>
    </w:p>
    <w:p>
      <w:pPr>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2.12 设备可切换6位，12位工作模式。在同时运行12位扩散池时，可实现20*12组样品收集。</w:t>
      </w:r>
      <w:r/>
    </w:p>
    <w:p>
      <w:pPr>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2.13 每组扩散池主机可实现≥</w:t>
      </w:r>
      <w:r>
        <w:rPr>
          <w:rFonts w:hint="eastAsia" w:asciiTheme="minorEastAsia" w:hAnsiTheme="minorEastAsia" w:eastAsiaTheme="minorEastAsia" w:cstheme="minorEastAsia"/>
          <w:b w:val="0"/>
          <w:bCs w:val="0"/>
          <w:color w:val="000000" w:themeColor="text1"/>
          <w:sz w:val="24"/>
          <w:szCs w:val="24"/>
          <w:highlight w:val="none"/>
          <w14:textFill>
            <w14:solidFill>
              <w14:schemeClr w14:val="tx1"/>
            </w14:solidFill>
          </w14:textFill>
        </w:rPr>
        <w:t xml:space="preserve">2区</w:t>
      </w:r>
      <w:r>
        <w:rPr>
          <w:rFonts w:hint="eastAsia" w:asciiTheme="minorEastAsia" w:hAnsiTheme="minorEastAsia" w:eastAsiaTheme="minorEastAsia" w:cstheme="minorEastAsia"/>
          <w:b w:val="0"/>
          <w:bCs w:val="0"/>
          <w:sz w:val="24"/>
          <w:szCs w:val="24"/>
          <w:highlight w:val="none"/>
        </w:rPr>
        <w:t xml:space="preserve">独立控速。</w:t>
      </w:r>
      <w:r/>
    </w:p>
    <w:p>
      <w:pPr>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2.14 取样方式需满足部分取样和全部取样。</w:t>
      </w:r>
      <w:r/>
    </w:p>
    <w:p>
      <w:pPr>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2.15 具有前置手动取样模块，可实现配置过滤装置。</w:t>
      </w:r>
      <w:r/>
    </w:p>
    <w:p>
      <w:pPr>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2.16 取样准确度要求：取样量1-10 mL，取样体积&gt;1 mL时，精度±0.1 mL。</w:t>
      </w:r>
      <w:r/>
    </w:p>
    <w:p>
      <w:pPr>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2.17 具备三级用户权限管理功能，系统参数根据权限设定，确保电子数据的有效性和可靠性，配置内置打印机实现相关控制参数的输出打印，打印内容包括温度、转速、时间点、取样量等。</w:t>
      </w:r>
      <w:r/>
    </w:p>
    <w:p>
      <w:pPr>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2.18 设备后续可升级为24位透皮扩散自动取样系统，并提供对应的成熟方案。</w:t>
      </w:r>
      <w:r/>
    </w:p>
    <w:p>
      <w:pPr>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2.19 扩散池与取样模块的管路外置可见，方便后期维修更换。</w:t>
      </w:r>
      <w:r/>
    </w:p>
    <w:p>
      <w:pPr>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2.20 装置配备环境温湿度监控模块，实时监控装置环境条件。</w:t>
      </w:r>
      <w:r/>
    </w:p>
    <w:p>
      <w:pPr>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2.21 挥发油/甲苯水分测定装置：内嵌≥7寸液晶触控屏控制，一次可做1</w:t>
      </w:r>
      <w:r>
        <w:rPr>
          <w:rFonts w:hint="eastAsia" w:asciiTheme="minorEastAsia" w:hAnsiTheme="minorEastAsia" w:eastAsiaTheme="minorEastAsia" w:cstheme="minorEastAsia"/>
          <w:b w:val="0"/>
          <w:bCs w:val="0"/>
          <w:sz w:val="24"/>
          <w:szCs w:val="24"/>
          <w:highlight w:val="none"/>
          <w:lang w:eastAsia="zh-CN"/>
        </w:rPr>
        <w:t xml:space="preserve">—</w:t>
      </w:r>
      <w:r>
        <w:rPr>
          <w:rFonts w:hint="eastAsia" w:asciiTheme="minorEastAsia" w:hAnsiTheme="minorEastAsia" w:eastAsiaTheme="minorEastAsia" w:cstheme="minorEastAsia"/>
          <w:b w:val="0"/>
          <w:bCs w:val="0"/>
          <w:sz w:val="24"/>
          <w:szCs w:val="24"/>
          <w:highlight w:val="none"/>
        </w:rPr>
        <w:t xml:space="preserve">4个样品，每单元可以独立控制，实现梯度程序控温，可接冷循系统，带自动排空功能，陶瓷加热器皿底部预留导液孔。</w:t>
      </w:r>
      <w:r/>
    </w:p>
    <w:p>
      <w:pPr>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2.22 黏度测定装置：转速：不少于200种转速，0.1--200RPM；主机测量范围：2000CP-1000000 CP；重现性：≤±0.2%, 精度：测量范围的+1.0%；传感器采用连续感应芯片实时感应；内置式选项</w:t>
      </w:r>
      <w:r>
        <w:rPr>
          <w:rFonts w:hint="eastAsia" w:asciiTheme="minorEastAsia" w:hAnsiTheme="minorEastAsia" w:eastAsiaTheme="minorEastAsia" w:cstheme="minorEastAsia"/>
          <w:b w:val="0"/>
          <w:bCs w:val="0"/>
          <w:sz w:val="24"/>
          <w:szCs w:val="24"/>
          <w:highlight w:val="none"/>
          <w:lang w:eastAsia="zh-CN"/>
        </w:rPr>
        <w:t xml:space="preserve">：</w:t>
      </w:r>
      <w:r>
        <w:rPr>
          <w:rFonts w:hint="eastAsia" w:asciiTheme="minorEastAsia" w:hAnsiTheme="minorEastAsia" w:eastAsiaTheme="minorEastAsia" w:cstheme="minorEastAsia"/>
          <w:b w:val="0"/>
          <w:bCs w:val="0"/>
          <w:sz w:val="24"/>
          <w:szCs w:val="24"/>
          <w:highlight w:val="none"/>
        </w:rPr>
        <w:t xml:space="preserve"> 定时测量、数据平均、可编程QC上下限/警报、用户自定义转速/转子列表、基于用户指令测试、数据比较屏幕显示；内部数据存储：150MB。</w:t>
      </w:r>
      <w:r/>
    </w:p>
    <w:p>
      <w:pPr>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3.配置要求</w:t>
      </w:r>
      <w:r/>
    </w:p>
    <w:p>
      <w:pPr>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3.1</w:t>
      </w:r>
      <w:r>
        <w:rPr>
          <w:rFonts w:hint="eastAsia" w:asciiTheme="minorEastAsia" w:hAnsiTheme="minorEastAsia" w:eastAsiaTheme="minorEastAsia" w:cstheme="minorEastAsia"/>
          <w:b w:val="0"/>
          <w:bCs w:val="0"/>
          <w:sz w:val="24"/>
          <w:szCs w:val="24"/>
          <w:highlight w:val="none"/>
          <w:lang w:val="en-US" w:eastAsia="zh-CN"/>
        </w:rPr>
        <w:t xml:space="preserve"> </w:t>
      </w:r>
      <w:r>
        <w:rPr>
          <w:rFonts w:hint="eastAsia" w:asciiTheme="minorEastAsia" w:hAnsiTheme="minorEastAsia" w:eastAsiaTheme="minorEastAsia" w:cstheme="minorEastAsia"/>
          <w:b w:val="0"/>
          <w:bCs w:val="0"/>
          <w:sz w:val="24"/>
          <w:szCs w:val="24"/>
          <w:highlight w:val="none"/>
        </w:rPr>
        <w:t xml:space="preserve">配置不少于240位液相小瓶取样架和试管架各一个。</w:t>
      </w:r>
      <w:r/>
    </w:p>
    <w:p>
      <w:pPr>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3.2 配置保护盖可用于扩散池保温、防尘和避光。</w:t>
      </w:r>
      <w:r/>
    </w:p>
    <w:p>
      <w:pPr>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3.3 配置包括（1）干加热透皮扩散仪主机2组：每组扩散池6个，搅拌子4×24个（全套不同规格）；（2）样品收集系统1套：包含取样收集模块，试管200支，试管架1个，液相小瓶架1个。</w:t>
      </w:r>
      <w:r/>
    </w:p>
    <w:p>
      <w:pPr>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3.4 挥发油/甲苯水分测定装置 ：主机1台，挥发油装置（含单口烧瓶）4套，甲苯水分装置（含单口烧瓶）4套。</w:t>
      </w:r>
      <w:r/>
    </w:p>
    <w:p>
      <w:pPr>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3.5黏度测定装置 ：主机 1台；1套6个转子 1套（含2-7号转子）；RTD温度探针 1个；转子护腿 1个；升降支架 1套；便携箱 1个；屏幕保护膜1个；SST套装（含T型转子和转接头）。</w:t>
      </w:r>
      <w:r/>
    </w:p>
    <w:p>
      <w:pPr>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4.售后、技术服务与培训</w:t>
      </w:r>
      <w:r/>
    </w:p>
    <w:p>
      <w:pPr>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4.1 安装、调试：供应商应负责设备的运输、搬运、安装调试，直至验收合格，该过程所产生费用由供应商承担。</w:t>
      </w:r>
      <w:r/>
    </w:p>
    <w:p>
      <w:pPr>
        <w:rPr>
          <w:rFonts w:hint="default"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rPr>
        <w:t xml:space="preserve">4.2 验收：设备按厂家产品验收标准、相关国家和行业标准进行验收。产品质量应达到设计要求，安装调试各项指标应符合技术参数。</w:t>
      </w:r>
      <w:r>
        <w:rPr>
          <w:rFonts w:hint="eastAsia" w:asciiTheme="minorEastAsia" w:hAnsiTheme="minorEastAsia" w:eastAsiaTheme="minorEastAsia" w:cstheme="minorEastAsia"/>
          <w:b w:val="0"/>
          <w:bCs w:val="0"/>
          <w:sz w:val="24"/>
          <w:szCs w:val="24"/>
          <w:highlight w:val="none"/>
          <w:lang w:val="en-US" w:eastAsia="zh-CN"/>
        </w:rPr>
        <w:t xml:space="preserve">若对设备质量存在异议，采购人有权委托有相应资质的第三方检测机构进行检测，检测费用由供应商承担。</w:t>
      </w:r>
      <w:r/>
    </w:p>
    <w:p>
      <w:pPr>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4.3 培训：设备安装调试后须对仪器使用人员进行现场培训，直至使用人员能完全操作和维护。仪器设备安装后，应长时间无条件提供采购人需要的设备方法开发及应用资料。提供用户现场培训，为用户提供仪器的基本原理、操作、日常维护及基础分析仪器理论课程和相关的应用培训，后续根据用户需求提供上门针对性培训一次，以及4个厂家培训名额。</w:t>
      </w:r>
      <w:r/>
    </w:p>
    <w:p>
      <w:pPr>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4.4 售后响应：仪器在调试通过后提供质保服务，质保期两年；在质保期内，所有服务及配件（除耗材外）全部免费。在质保期内，用户方在使用设备的过程中遇到的技术问题、故障等，接到报修后8小时内电话响应，如有需要72小时内上门，维修日程不超过7个工作日。</w:t>
      </w:r>
      <w:r/>
    </w:p>
    <w:p>
      <w:pPr>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4.5 设备生产厂商应具有正规注册的办事处、维修站。应有专门负责的维修工程师。保修期后，厂商应保证长期供应零备件和正常的售后服务；如投标产品为进口产品，仪器制造商在国内的技术服务中心（包括维修中心）应当提供所有的服务，包括零配件及消耗品。厂家在国内应设有免费咨询电话。</w:t>
      </w:r>
      <w:r/>
    </w:p>
    <w:p>
      <w:pPr>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4.6 验证服务：提供仪器安装验收后3次设备验证服务。</w:t>
      </w:r>
      <w:r/>
    </w:p>
    <w:p>
      <w:pPr>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5.到货期：自合同签订生效起90天。</w:t>
      </w:r>
      <w:r/>
    </w:p>
    <w:p>
      <w:pPr>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6.付款方式</w:t>
      </w:r>
      <w:r/>
    </w:p>
    <w:p>
      <w:pPr>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合同签订后预付合同金额的40%，货到安装、调试、人员培训完成后且项目验收合格后支付合同金额的60%。货到现场后，供方应向需方提交100%金额的税务发票。</w:t>
      </w:r>
      <w:r/>
    </w:p>
    <w:p>
      <w:pPr>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7.交货地点</w:t>
      </w:r>
      <w:r/>
    </w:p>
    <w:p>
      <w:pPr>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无锡市长江南路37号。用户不予物流对接，中标商负责设备运至指定实验室一楼大厅，负责配合工程师的拆箱搬运，若有物流与用户联系出现一次，或中标商、工程师拆装搬运时向用户提出配合的情况出现一次，直接视违约处理，所有损失由中标商全部承担。</w:t>
      </w:r>
      <w:r/>
    </w:p>
    <w:p>
      <w:pPr>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r>
      <w:r/>
    </w:p>
    <w:p>
      <w:pPr>
        <w:pStyle w:val="790"/>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r>
      <w:r/>
    </w:p>
    <w:p>
      <w:pPr>
        <w:pStyle w:val="790"/>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r>
      <w:r/>
    </w:p>
    <w:p>
      <w:pPr>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r>
      <w:r/>
    </w:p>
    <w:p>
      <w:pPr>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r>
      <w:r/>
    </w:p>
    <w:p>
      <w:pPr>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r>
      <w:r/>
    </w:p>
    <w:p>
      <w:pPr>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r>
      <w:r/>
    </w:p>
    <w:p>
      <w:pPr>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r>
      <w:r/>
    </w:p>
    <w:p>
      <w:pPr>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r>
      <w:r/>
    </w:p>
    <w:p>
      <w:pPr>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r>
      <w:r/>
    </w:p>
    <w:p>
      <w:pPr>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r>
      <w:r/>
    </w:p>
    <w:p>
      <w:pPr>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r>
      <w:r/>
    </w:p>
    <w:p>
      <w:pPr>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r>
      <w:r/>
    </w:p>
    <w:p>
      <w:pPr>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r>
      <w:r/>
    </w:p>
    <w:p>
      <w:pPr>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r>
      <w:r/>
    </w:p>
    <w:p>
      <w:pPr>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r>
      <w:r/>
    </w:p>
    <w:p>
      <w:pPr>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r>
      <w:r/>
    </w:p>
    <w:p>
      <w:pPr>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r>
      <w:r/>
    </w:p>
    <w:p>
      <w:pPr>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r>
      <w:r/>
    </w:p>
    <w:p>
      <w:pPr>
        <w:ind w:left="0" w:right="0" w:firstLine="482"/>
        <w:jc w:val="center"/>
        <w:pageBreakBefore w:val="0"/>
        <w:spacing w:beforeAutospacing="0" w:afterAutospacing="0" w:line="360" w:lineRule="auto"/>
        <w:tabs>
          <w:tab w:val="left" w:pos="525" w:leader="none"/>
          <w:tab w:val="left" w:pos="630" w:leader="none"/>
          <w:tab w:val="left" w:pos="735" w:leader="none"/>
          <w:tab w:val="left" w:pos="945" w:leader="none"/>
        </w:tabs>
        <w:rPr>
          <w:rFonts w:hint="eastAsia" w:ascii="宋体" w:hAnsi="宋体" w:eastAsia="宋体" w:cs="宋体"/>
          <w:b/>
          <w:color w:val="auto"/>
          <w:sz w:val="24"/>
          <w:szCs w:val="30"/>
          <w:highlight w:val="none"/>
          <w:u w:val="none"/>
        </w:rPr>
        <w:sectPr>
          <w:footerReference w:type="default" r:id="rId14"/>
          <w:footnotePr/>
          <w:endnotePr/>
          <w:type w:val="nextPage"/>
          <w:pgSz w:w="11906" w:h="16838" w:orient="portrait"/>
          <w:pgMar w:top="1440" w:right="1080" w:bottom="1440" w:left="1080" w:header="851" w:footer="907" w:gutter="0"/>
          <w:cols w:num="1" w:sep="0" w:space="720" w:equalWidth="1"/>
          <w:docGrid w:linePitch="360"/>
          <w:titlePg/>
        </w:sectPr>
      </w:pPr>
      <w:r>
        <w:rPr>
          <w:rFonts w:hint="eastAsia" w:ascii="宋体" w:hAnsi="宋体" w:eastAsia="宋体" w:cs="宋体"/>
          <w:b/>
          <w:color w:val="auto"/>
          <w:sz w:val="24"/>
          <w:szCs w:val="30"/>
          <w:highlight w:val="none"/>
          <w:u w:val="none"/>
        </w:rPr>
      </w:r>
      <w:r/>
    </w:p>
    <w:p>
      <w:pPr>
        <w:ind w:left="0" w:right="0" w:firstLine="482"/>
        <w:jc w:val="center"/>
        <w:pageBreakBefore w:val="0"/>
        <w:spacing w:beforeAutospacing="0" w:afterAutospacing="0" w:line="360" w:lineRule="auto"/>
        <w:tabs>
          <w:tab w:val="left" w:pos="525" w:leader="none"/>
          <w:tab w:val="left" w:pos="630" w:leader="none"/>
          <w:tab w:val="left" w:pos="735" w:leader="none"/>
          <w:tab w:val="left" w:pos="945" w:leader="none"/>
        </w:tabs>
        <w:rPr>
          <w:rFonts w:hint="eastAsia" w:ascii="宋体" w:hAnsi="宋体" w:eastAsia="宋体" w:cs="宋体"/>
          <w:b/>
          <w:bCs/>
          <w:color w:val="auto"/>
          <w:sz w:val="24"/>
          <w:szCs w:val="30"/>
          <w:highlight w:val="none"/>
        </w:rPr>
      </w:pPr>
      <w:r>
        <w:rPr>
          <w:rFonts w:hint="eastAsia" w:ascii="宋体" w:hAnsi="宋体" w:eastAsia="宋体" w:cs="宋体"/>
          <w:b/>
          <w:color w:val="auto"/>
          <w:sz w:val="24"/>
          <w:szCs w:val="30"/>
          <w:highlight w:val="none"/>
          <w:u w:val="none"/>
        </w:rPr>
        <w:t xml:space="preserve">第</w:t>
      </w:r>
      <w:r>
        <w:rPr>
          <w:rFonts w:hint="eastAsia" w:ascii="宋体" w:hAnsi="宋体" w:eastAsia="宋体" w:cs="宋体"/>
          <w:b/>
          <w:color w:val="auto"/>
          <w:sz w:val="24"/>
          <w:szCs w:val="30"/>
          <w:highlight w:val="none"/>
          <w:u w:val="none"/>
          <w:lang w:val="en-US" w:eastAsia="zh-CN"/>
        </w:rPr>
        <w:t xml:space="preserve">二</w:t>
      </w:r>
      <w:r>
        <w:rPr>
          <w:rFonts w:hint="eastAsia" w:ascii="宋体" w:hAnsi="宋体" w:eastAsia="宋体" w:cs="宋体"/>
          <w:b/>
          <w:color w:val="auto"/>
          <w:sz w:val="24"/>
          <w:szCs w:val="30"/>
          <w:highlight w:val="none"/>
          <w:u w:val="none"/>
        </w:rPr>
        <w:t xml:space="preserve">部分  政府采购政策（包括但不限于下列具体政策要求）</w:t>
      </w:r>
      <w:r/>
    </w:p>
    <w:p>
      <w:pPr>
        <w:numPr>
          <w:ilvl w:val="1"/>
          <w:numId w:val="8"/>
        </w:numPr>
        <w:ind w:left="0" w:right="0" w:firstLine="480"/>
        <w:jc w:val="left"/>
        <w:keepLines w:val="0"/>
        <w:keepNext w:val="0"/>
        <w:pageBreakBefore w:val="0"/>
        <w:spacing w:beforeAutospacing="0" w:afterAutospacing="0" w:line="360" w:lineRule="auto"/>
        <w:widowControl w:val="off"/>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本项目中如有</w:t>
      </w:r>
      <w:r>
        <w:rPr>
          <w:rFonts w:hint="eastAsia" w:ascii="宋体" w:hAnsi="宋体" w:eastAsia="宋体" w:cs="宋体"/>
          <w:bCs/>
          <w:color w:val="auto"/>
          <w:sz w:val="24"/>
          <w:szCs w:val="24"/>
          <w:highlight w:val="none"/>
          <w:lang w:eastAsia="zh-CN"/>
        </w:rPr>
        <w:t xml:space="preserve">涉及</w:t>
      </w:r>
      <w:r>
        <w:rPr>
          <w:rFonts w:hint="eastAsia" w:ascii="宋体" w:hAnsi="宋体" w:eastAsia="宋体" w:cs="宋体"/>
          <w:bCs/>
          <w:color w:val="auto"/>
          <w:sz w:val="24"/>
          <w:szCs w:val="24"/>
          <w:highlight w:val="none"/>
        </w:rPr>
        <w:t xml:space="preserve">商品包装、快递包装要求的，应当按《关于印发〈商品包装政府采购需求标准（试行）〉、〈快递包装政府采购需求标准（试行）〉的通知》（财办库〔2020〕123号）文件执行。采购人在招标（采购）文</w:t>
      </w:r>
      <w:r>
        <w:rPr>
          <w:rFonts w:hint="eastAsia" w:ascii="宋体" w:hAnsi="宋体" w:eastAsia="宋体" w:cs="宋体"/>
          <w:bCs/>
          <w:color w:val="auto"/>
          <w:sz w:val="24"/>
          <w:szCs w:val="24"/>
          <w:highlight w:val="none"/>
          <w:lang w:eastAsia="zh-CN"/>
        </w:rPr>
        <w:t xml:space="preserve">件中</w:t>
      </w:r>
      <w:r>
        <w:rPr>
          <w:rFonts w:hint="eastAsia" w:ascii="宋体" w:hAnsi="宋体" w:eastAsia="宋体" w:cs="宋体"/>
          <w:bCs/>
          <w:color w:val="auto"/>
          <w:sz w:val="24"/>
          <w:szCs w:val="24"/>
          <w:highlight w:val="none"/>
        </w:rPr>
        <w:t xml:space="preserve">对商品包装和快递包装提出具体要求的，在政府采购合同中应当载明对政府采购供应商提</w:t>
      </w:r>
      <w:r>
        <w:rPr>
          <w:rFonts w:hint="eastAsia" w:ascii="宋体" w:hAnsi="宋体" w:eastAsia="宋体" w:cs="宋体"/>
          <w:bCs/>
          <w:color w:val="auto"/>
          <w:sz w:val="24"/>
          <w:szCs w:val="24"/>
          <w:highlight w:val="none"/>
          <w:lang w:eastAsia="zh-CN"/>
        </w:rPr>
        <w:t xml:space="preserve">供的</w:t>
      </w:r>
      <w:r>
        <w:rPr>
          <w:rFonts w:hint="eastAsia" w:ascii="宋体" w:hAnsi="宋体" w:eastAsia="宋体" w:cs="宋体"/>
          <w:bCs/>
          <w:color w:val="auto"/>
          <w:sz w:val="24"/>
          <w:szCs w:val="24"/>
          <w:highlight w:val="none"/>
        </w:rPr>
        <w:t xml:space="preserve">产品及相关快递服务的具体包装要求和履约验收相关条款，中标（成交）供应商须严格执行，必要时应按照要求在履约验收环节出具检测报告。</w:t>
      </w:r>
      <w:r/>
    </w:p>
    <w:p>
      <w:pPr>
        <w:numPr>
          <w:ilvl w:val="1"/>
          <w:numId w:val="8"/>
        </w:numPr>
        <w:ind w:left="0" w:right="0" w:firstLine="480"/>
        <w:jc w:val="left"/>
        <w:keepLines w:val="0"/>
        <w:keepNext w:val="0"/>
        <w:pageBreakBefore w:val="0"/>
        <w:spacing w:beforeAutospacing="0" w:afterAutospacing="0" w:line="360" w:lineRule="auto"/>
        <w:widowControl w:val="off"/>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left="0" w:right="0" w:firstLine="480"/>
        <w:jc w:val="left"/>
        <w:keepLines w:val="0"/>
        <w:keepNext w:val="0"/>
        <w:pageBreakBefore w:val="0"/>
        <w:spacing w:beforeAutospacing="0" w:afterAutospacing="0" w:line="360" w:lineRule="auto"/>
        <w:widowControl w:val="off"/>
        <w:tabs>
          <w:tab w:val="left" w:pos="525" w:leader="none"/>
          <w:tab w:val="left" w:pos="630" w:leader="none"/>
          <w:tab w:val="left" w:pos="735" w:leader="none"/>
          <w:tab w:val="left" w:pos="945" w:leader="none"/>
          <w:tab w:val="left" w:pos="108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采购产品属于《节能产品政府采购品目清单</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环境标志产品政府采购品目清单》范围的，依据国家确定的认证机构出具的、处于有效期之内的节能、环境标志产品认证证书，对获得证书的产品依据品目清单和认证证书实施政府优先采购和强制采购。</w:t>
      </w:r>
      <w:r/>
    </w:p>
    <w:p>
      <w:pPr>
        <w:ind w:left="0" w:right="0" w:firstLine="480"/>
        <w:jc w:val="left"/>
        <w:keepLines w:val="0"/>
        <w:keepNext w:val="0"/>
        <w:pageBreakBefore w:val="0"/>
        <w:spacing w:beforeAutospacing="0" w:afterAutospacing="0" w:line="360" w:lineRule="auto"/>
        <w:widowControl w:val="off"/>
        <w:tabs>
          <w:tab w:val="left" w:pos="525" w:leader="none"/>
          <w:tab w:val="left" w:pos="630" w:leader="none"/>
          <w:tab w:val="left" w:pos="735" w:leader="none"/>
          <w:tab w:val="left" w:pos="945" w:leader="none"/>
          <w:tab w:val="left" w:pos="108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认证机构详见</w:t>
      </w:r>
      <w:r>
        <w:rPr>
          <w:rFonts w:hint="eastAsia" w:ascii="宋体" w:hAnsi="宋体" w:eastAsia="宋体" w:cs="宋体"/>
          <w:bCs/>
          <w:color w:val="auto"/>
          <w:sz w:val="24"/>
          <w:szCs w:val="24"/>
          <w:highlight w:val="none"/>
          <w:lang w:eastAsia="zh-CN"/>
        </w:rPr>
        <w:t xml:space="preserve">国家市场监督管理总局</w:t>
      </w:r>
      <w:r>
        <w:rPr>
          <w:rFonts w:hint="eastAsia" w:ascii="宋体" w:hAnsi="宋体" w:eastAsia="宋体" w:cs="宋体"/>
          <w:bCs/>
          <w:color w:val="auto"/>
          <w:sz w:val="24"/>
          <w:szCs w:val="24"/>
          <w:highlight w:val="none"/>
        </w:rPr>
        <w:t xml:space="preserve">发布的《参与实施政府采购节能产品认证机构名录》和《参与实施政府采购环境标志产品认证机构名录》。</w:t>
      </w:r>
      <w:r/>
    </w:p>
    <w:p>
      <w:pPr>
        <w:numPr>
          <w:ilvl w:val="1"/>
          <w:numId w:val="8"/>
        </w:numPr>
        <w:ind w:left="0" w:right="0" w:firstLine="480"/>
        <w:jc w:val="left"/>
        <w:keepLines w:val="0"/>
        <w:keepNext w:val="0"/>
        <w:pageBreakBefore w:val="0"/>
        <w:spacing w:beforeAutospacing="0" w:afterAutospacing="0" w:line="360" w:lineRule="auto"/>
        <w:widowControl w:val="off"/>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本项目中如有涉及采购数据中心相关设备、运维服务的，应当</w:t>
      </w:r>
      <w:r>
        <w:rPr>
          <w:rFonts w:hint="eastAsia" w:ascii="宋体" w:hAnsi="宋体" w:eastAsia="宋体" w:cs="宋体"/>
          <w:bCs/>
          <w:color w:val="auto"/>
          <w:sz w:val="24"/>
          <w:szCs w:val="24"/>
          <w:highlight w:val="none"/>
          <w:lang w:eastAsia="zh-CN"/>
        </w:rPr>
        <w:t xml:space="preserve">按照</w:t>
      </w:r>
      <w:r>
        <w:rPr>
          <w:rFonts w:hint="eastAsia" w:ascii="宋体" w:hAnsi="宋体" w:eastAsia="宋体" w:cs="宋体"/>
          <w:bCs/>
          <w:color w:val="auto"/>
          <w:sz w:val="24"/>
          <w:szCs w:val="24"/>
          <w:highlight w:val="none"/>
        </w:rPr>
        <w:t xml:space="preserve">《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8"/>
        </w:numPr>
        <w:ind w:left="0" w:right="0" w:firstLine="480"/>
        <w:jc w:val="left"/>
        <w:keepLines w:val="0"/>
        <w:keepNext w:val="0"/>
        <w:pageBreakBefore w:val="0"/>
        <w:spacing w:beforeAutospacing="0" w:afterAutospacing="0" w:line="360" w:lineRule="auto"/>
        <w:widowControl w:val="off"/>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有关中小企业政策，如落实政府采购政策需满足的资格要求以及落实政府采购政策的价格调整的相关内容可详见本文件其他章节。</w:t>
      </w:r>
      <w:r/>
    </w:p>
    <w:p>
      <w:pPr>
        <w:numPr>
          <w:ilvl w:val="1"/>
          <w:numId w:val="8"/>
        </w:numPr>
        <w:ind w:left="0" w:right="0" w:firstLine="480"/>
        <w:jc w:val="left"/>
        <w:keepLines w:val="0"/>
        <w:keepNext w:val="0"/>
        <w:pageBreakBefore w:val="0"/>
        <w:spacing w:beforeAutospacing="0" w:afterAutospacing="0" w:line="360" w:lineRule="auto"/>
        <w:widowControl w:val="off"/>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中标、</w:t>
      </w:r>
      <w:r>
        <w:rPr>
          <w:rFonts w:hint="eastAsia" w:ascii="宋体" w:hAnsi="宋体" w:eastAsia="宋体" w:cs="宋体"/>
          <w:bCs/>
          <w:color w:val="auto"/>
          <w:sz w:val="24"/>
          <w:szCs w:val="24"/>
          <w:highlight w:val="none"/>
          <w:lang w:eastAsia="zh-CN"/>
        </w:rPr>
        <w:t xml:space="preserve">中标人</w:t>
      </w:r>
      <w:r>
        <w:rPr>
          <w:rFonts w:hint="eastAsia" w:ascii="宋体" w:hAnsi="宋体" w:eastAsia="宋体" w:cs="宋体"/>
          <w:bCs/>
          <w:color w:val="auto"/>
          <w:sz w:val="24"/>
          <w:szCs w:val="24"/>
          <w:highlight w:val="none"/>
        </w:rPr>
        <w:t xml:space="preserve">可采用合同融资形式，中标人可凭政府采购合同办理融资贷款，详见政府采购网“政采贷”专栏。</w:t>
      </w:r>
      <w:r/>
    </w:p>
    <w:p>
      <w:pPr>
        <w:numPr>
          <w:ilvl w:val="1"/>
          <w:numId w:val="8"/>
        </w:numPr>
        <w:ind w:left="0" w:right="0" w:firstLine="480"/>
        <w:jc w:val="left"/>
        <w:keepLines w:val="0"/>
        <w:keepNext w:val="0"/>
        <w:pageBreakBefore w:val="0"/>
        <w:spacing w:beforeAutospacing="0" w:afterAutospacing="0" w:line="360" w:lineRule="auto"/>
        <w:widowControl w:val="off"/>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履约担保，是指由专业担保机构为中标、</w:t>
      </w:r>
      <w:r>
        <w:rPr>
          <w:rFonts w:hint="eastAsia" w:ascii="宋体" w:hAnsi="宋体" w:eastAsia="宋体" w:cs="宋体"/>
          <w:bCs/>
          <w:color w:val="auto"/>
          <w:sz w:val="24"/>
          <w:szCs w:val="24"/>
          <w:highlight w:val="none"/>
          <w:lang w:eastAsia="zh-CN"/>
        </w:rPr>
        <w:t xml:space="preserve">中标人</w:t>
      </w:r>
      <w:r>
        <w:rPr>
          <w:rFonts w:hint="eastAsia" w:ascii="宋体" w:hAnsi="宋体" w:eastAsia="宋体" w:cs="宋体"/>
          <w:bCs/>
          <w:color w:val="auto"/>
          <w:sz w:val="24"/>
          <w:szCs w:val="24"/>
          <w:highlight w:val="none"/>
        </w:rPr>
        <w:t xml:space="preserve">支付履约保证金的义务向采购人提供的保函担保。专业担保机构根据中标、</w:t>
      </w:r>
      <w:r>
        <w:rPr>
          <w:rFonts w:hint="eastAsia" w:ascii="宋体" w:hAnsi="宋体" w:eastAsia="宋体" w:cs="宋体"/>
          <w:bCs/>
          <w:color w:val="auto"/>
          <w:sz w:val="24"/>
          <w:szCs w:val="24"/>
          <w:highlight w:val="none"/>
          <w:lang w:eastAsia="zh-CN"/>
        </w:rPr>
        <w:t xml:space="preserve">中标人</w:t>
      </w:r>
      <w:r>
        <w:rPr>
          <w:rFonts w:hint="eastAsia" w:ascii="宋体" w:hAnsi="宋体" w:eastAsia="宋体" w:cs="宋体"/>
          <w:bCs/>
          <w:color w:val="auto"/>
          <w:sz w:val="24"/>
          <w:szCs w:val="24"/>
          <w:highlight w:val="none"/>
        </w:rPr>
        <w:t xml:space="preserve">的中标（成交）通知书为凭据，进行资信审查后出具保函</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中标、</w:t>
      </w:r>
      <w:r>
        <w:rPr>
          <w:rFonts w:hint="eastAsia" w:ascii="宋体" w:hAnsi="宋体" w:eastAsia="宋体" w:cs="宋体"/>
          <w:bCs/>
          <w:color w:val="auto"/>
          <w:sz w:val="24"/>
          <w:szCs w:val="24"/>
          <w:highlight w:val="none"/>
          <w:lang w:eastAsia="zh-CN"/>
        </w:rPr>
        <w:t xml:space="preserve">中标人</w:t>
      </w:r>
      <w:r>
        <w:rPr>
          <w:rFonts w:hint="eastAsia" w:ascii="宋体" w:hAnsi="宋体" w:eastAsia="宋体" w:cs="宋体"/>
          <w:bCs/>
          <w:color w:val="auto"/>
          <w:sz w:val="24"/>
          <w:szCs w:val="24"/>
          <w:highlight w:val="none"/>
        </w:rPr>
        <w:t xml:space="preserve">以保函形式缴纳履约保证金；供应商未按政府采购合同履行约定义务而应实际支付保证金的，由专业担保机构按照担保函约定履行担保责任。</w:t>
      </w:r>
      <w:r/>
    </w:p>
    <w:p>
      <w:pPr>
        <w:ind w:left="0" w:right="0" w:firstLine="480"/>
        <w:jc w:val="left"/>
        <w:keepLines w:val="0"/>
        <w:keepNext w:val="0"/>
        <w:pageBreakBefore w:val="0"/>
        <w:spacing w:beforeAutospacing="0" w:afterAutospacing="0" w:line="360" w:lineRule="auto"/>
        <w:widowControl w:val="off"/>
        <w:tabs>
          <w:tab w:val="left" w:pos="525" w:leader="none"/>
          <w:tab w:val="left" w:pos="630" w:leader="none"/>
          <w:tab w:val="left" w:pos="735" w:leader="none"/>
          <w:tab w:val="left" w:pos="945" w:leader="none"/>
          <w:tab w:val="left" w:pos="108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中标、</w:t>
      </w:r>
      <w:r>
        <w:rPr>
          <w:rFonts w:hint="eastAsia" w:ascii="宋体" w:hAnsi="宋体" w:eastAsia="宋体" w:cs="宋体"/>
          <w:bCs/>
          <w:color w:val="auto"/>
          <w:sz w:val="24"/>
          <w:szCs w:val="24"/>
          <w:highlight w:val="none"/>
          <w:lang w:eastAsia="zh-CN"/>
        </w:rPr>
        <w:t xml:space="preserve">中标人</w:t>
      </w:r>
      <w:r>
        <w:rPr>
          <w:rFonts w:hint="eastAsia" w:ascii="宋体" w:hAnsi="宋体" w:eastAsia="宋体" w:cs="宋体"/>
          <w:bCs/>
          <w:color w:val="auto"/>
          <w:sz w:val="24"/>
          <w:szCs w:val="24"/>
          <w:highlight w:val="none"/>
        </w:rPr>
        <w:t xml:space="preserve">可以采用电子履约保函形式，具体操作可登录江</w:t>
      </w:r>
      <w:r>
        <w:rPr>
          <w:rFonts w:hint="eastAsia" w:ascii="宋体" w:hAnsi="宋体" w:eastAsia="宋体" w:cs="宋体"/>
          <w:bCs/>
          <w:color w:val="auto"/>
          <w:sz w:val="24"/>
          <w:szCs w:val="24"/>
          <w:highlight w:val="none"/>
          <w:lang w:eastAsia="zh-CN"/>
        </w:rPr>
        <w:t xml:space="preserve">苏省</w:t>
      </w:r>
      <w:r>
        <w:rPr>
          <w:rFonts w:hint="eastAsia" w:ascii="宋体" w:hAnsi="宋体" w:eastAsia="宋体" w:cs="宋体"/>
          <w:bCs/>
          <w:color w:val="auto"/>
          <w:sz w:val="24"/>
          <w:szCs w:val="24"/>
          <w:highlight w:val="none"/>
        </w:rPr>
        <w:t xml:space="preserve">政府采购网的保险保函模块进行办理，也可通过无锡市政府采购网、“苏采云”系统链接访问（首次使用需注册）。</w:t>
      </w:r>
      <w:r/>
    </w:p>
    <w:p>
      <w:pPr>
        <w:numPr>
          <w:ilvl w:val="1"/>
          <w:numId w:val="8"/>
        </w:numPr>
        <w:ind w:left="0" w:right="0" w:firstLine="480"/>
        <w:jc w:val="left"/>
        <w:keepLines w:val="0"/>
        <w:keepNext w:val="0"/>
        <w:pageBreakBefore w:val="0"/>
        <w:spacing w:beforeAutospacing="0" w:afterAutospacing="0" w:line="360" w:lineRule="auto"/>
        <w:widowControl w:val="off"/>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本项目中如有涉及数据库、操作系统、通用服务器、工作站、一体式计算机、便携式计算机、台式计算机等七种软硬件的，投标人不得违反财政部、工信部共同发</w:t>
      </w:r>
      <w:r>
        <w:rPr>
          <w:rFonts w:hint="eastAsia" w:ascii="宋体" w:hAnsi="宋体" w:eastAsia="宋体" w:cs="宋体"/>
          <w:bCs/>
          <w:color w:val="auto"/>
          <w:sz w:val="24"/>
          <w:szCs w:val="24"/>
          <w:highlight w:val="none"/>
          <w:lang w:eastAsia="zh-CN"/>
        </w:rPr>
        <w:t xml:space="preserve">布的</w:t>
      </w:r>
      <w:r>
        <w:rPr>
          <w:rFonts w:hint="eastAsia" w:ascii="宋体" w:hAnsi="宋体" w:eastAsia="宋体" w:cs="宋体"/>
          <w:bCs/>
          <w:color w:val="auto"/>
          <w:sz w:val="24"/>
          <w:szCs w:val="24"/>
          <w:highlight w:val="none"/>
        </w:rPr>
        <w:t xml:space="preserve">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numPr>
          <w:ilvl w:val="1"/>
          <w:numId w:val="8"/>
        </w:numPr>
        <w:ind w:left="0" w:right="0" w:firstLine="480"/>
        <w:jc w:val="left"/>
        <w:keepLines w:val="0"/>
        <w:keepNext w:val="0"/>
        <w:pageBreakBefore w:val="0"/>
        <w:spacing w:beforeAutospacing="0" w:afterAutospacing="0" w:line="360" w:lineRule="auto"/>
        <w:widowControl w:val="off"/>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根据苏财办购〔2024〕1号相关要求，采购人应当严格按照政府采购法有关规定，在中标、成交通知书发出之日起30日内，按照采购文件确定的事项与中标、</w:t>
      </w:r>
      <w:r>
        <w:rPr>
          <w:rFonts w:hint="eastAsia" w:ascii="宋体" w:hAnsi="宋体" w:eastAsia="宋体" w:cs="宋体"/>
          <w:bCs/>
          <w:color w:val="auto"/>
          <w:sz w:val="24"/>
          <w:szCs w:val="24"/>
          <w:highlight w:val="none"/>
          <w:lang w:eastAsia="zh-CN"/>
        </w:rPr>
        <w:t xml:space="preserve">中标人</w:t>
      </w:r>
      <w:r>
        <w:rPr>
          <w:rFonts w:hint="eastAsia" w:ascii="宋体" w:hAnsi="宋体" w:eastAsia="宋体" w:cs="宋体"/>
          <w:bCs/>
          <w:color w:val="auto"/>
          <w:sz w:val="24"/>
          <w:szCs w:val="24"/>
          <w:highlight w:val="none"/>
        </w:rPr>
        <w:t xml:space="preserve">签订政府采购合同。采购人因不可抗力原因迟延签订合同的，应当自不可抗力事由消除之日起7日内完成合同签订事宜。</w:t>
      </w:r>
      <w:r/>
    </w:p>
    <w:p>
      <w:pPr>
        <w:pStyle w:val="777"/>
        <w:ind w:left="0" w:right="0" w:firstLine="480"/>
        <w:jc w:val="left"/>
        <w:keepLines w:val="0"/>
        <w:keepNext w:val="0"/>
        <w:spacing w:before="0" w:beforeAutospacing="0" w:after="0" w:afterAutospacing="0" w:line="360" w:lineRule="auto"/>
        <w:widowControl w:val="off"/>
        <w:tabs>
          <w:tab w:val="left" w:pos="525" w:leader="none"/>
          <w:tab w:val="left" w:pos="630" w:leader="none"/>
          <w:tab w:val="left" w:pos="736" w:leader="none"/>
          <w:tab w:val="left" w:pos="946" w:leader="none"/>
          <w:tab w:val="left" w:pos="1081" w:leader="none"/>
        </w:tabs>
        <w:rPr>
          <w:rFonts w:hint="eastAsia" w:ascii="宋体" w:hAnsi="宋体" w:eastAsia="宋体" w:cs="宋体"/>
          <w:bCs/>
          <w:color w:val="auto"/>
          <w:sz w:val="24"/>
          <w:szCs w:val="24"/>
          <w:highlight w:val="none"/>
          <w:lang w:val="e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Cs/>
          <w:color w:val="auto"/>
          <w:sz w:val="24"/>
          <w:szCs w:val="24"/>
          <w:highlight w:val="none"/>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pStyle w:val="777"/>
        <w:ind w:left="0" w:right="0" w:firstLine="480"/>
        <w:jc w:val="left"/>
        <w:keepLines w:val="0"/>
        <w:keepNext w:val="0"/>
        <w:spacing w:before="0" w:beforeAutospacing="0" w:after="0" w:afterAutospacing="0" w:line="360" w:lineRule="auto"/>
        <w:widowControl w:val="off"/>
        <w:tabs>
          <w:tab w:val="left" w:pos="525" w:leader="none"/>
          <w:tab w:val="left" w:pos="630" w:leader="none"/>
          <w:tab w:val="left" w:pos="736" w:leader="none"/>
          <w:tab w:val="left" w:pos="946" w:leader="none"/>
          <w:tab w:val="left" w:pos="1081" w:leader="none"/>
        </w:tabs>
        <w:rPr>
          <w:rFonts w:hint="eastAsia" w:ascii="宋体" w:hAnsi="宋体" w:eastAsia="宋体" w:cs="宋体"/>
          <w:color w:val="auto"/>
          <w:sz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采购人原则上应当自收到发票后10个工作日内将资金支付到合同约定的供应商账户。</w:t>
      </w:r>
      <w:r/>
    </w:p>
    <w:p>
      <w:pPr>
        <w:pStyle w:val="777"/>
        <w:ind w:left="0" w:right="0" w:firstLine="480"/>
        <w:jc w:val="left"/>
        <w:keepLines w:val="0"/>
        <w:keepNext w:val="0"/>
        <w:spacing w:before="0" w:beforeAutospacing="0" w:after="0" w:afterAutospacing="0" w:line="360" w:lineRule="auto"/>
        <w:widowControl w:val="off"/>
        <w:tabs>
          <w:tab w:val="left" w:pos="525" w:leader="none"/>
          <w:tab w:val="left" w:pos="630" w:leader="none"/>
          <w:tab w:val="left" w:pos="736" w:leader="none"/>
          <w:tab w:val="left" w:pos="946" w:leader="none"/>
          <w:tab w:val="left" w:pos="1081" w:leader="none"/>
        </w:tabs>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9.根据《国务院办公厅关于在政府采购中实施本国产品标准及相关政策的通知》</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国办发〔2025〕34号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和《关于贯彻落实〈国务院办公厅关于在政府采购中实施本国产品标准及相关政策的通知〉的意见》</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财库〔2025〕30号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777"/>
        <w:ind w:left="0" w:right="0" w:firstLine="480"/>
        <w:jc w:val="left"/>
        <w:keepLines w:val="0"/>
        <w:keepNext w:val="0"/>
        <w:spacing w:before="0" w:beforeAutospacing="0" w:after="0" w:afterAutospacing="0" w:line="360" w:lineRule="auto"/>
        <w:widowControl w:val="off"/>
        <w:tabs>
          <w:tab w:val="left" w:pos="525" w:leader="none"/>
          <w:tab w:val="left" w:pos="630" w:leader="none"/>
          <w:tab w:val="left" w:pos="736" w:leader="none"/>
          <w:tab w:val="left" w:pos="946" w:leader="none"/>
          <w:tab w:val="left" w:pos="1081" w:leader="none"/>
        </w:tabs>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val="en-US" w:eastAsia="zh-CN"/>
        </w:rPr>
        <w:t xml:space="preserve">10</w:t>
      </w:r>
      <w:r>
        <w:rPr>
          <w:rFonts w:hint="eastAsia" w:cs="宋体"/>
          <w:color w:val="auto"/>
          <w:sz w:val="24"/>
          <w:szCs w:val="24"/>
          <w:highlight w:val="none"/>
          <w:lang w:val="en-US" w:eastAsia="zh-CN"/>
        </w:rPr>
        <w:t xml:space="preserve">.</w:t>
      </w:r>
      <w:r>
        <w:rPr>
          <w:rFonts w:hint="eastAsia" w:ascii="宋体" w:hAnsi="宋体" w:cs="宋体"/>
          <w:sz w:val="24"/>
          <w:szCs w:val="24"/>
          <w:highlight w:val="none"/>
        </w:rPr>
        <w:t xml:space="preserve">根据《</w:t>
      </w:r>
      <w:r>
        <w:rPr>
          <w:rFonts w:ascii="宋体" w:hAnsi="宋体" w:cs="宋体"/>
          <w:sz w:val="24"/>
          <w:szCs w:val="24"/>
          <w:highlight w:val="none"/>
        </w:rPr>
        <w:t xml:space="preserve">关于在政府采购活动中对有关美国企业采取相关措施的通知</w:t>
      </w:r>
      <w:r>
        <w:rPr>
          <w:rFonts w:hint="eastAsia" w:ascii="宋体" w:hAnsi="宋体" w:cs="宋体"/>
          <w:sz w:val="24"/>
          <w:szCs w:val="24"/>
          <w:highlight w:val="none"/>
        </w:rPr>
        <w:t xml:space="preserve">》（</w:t>
      </w:r>
      <w:r>
        <w:rPr>
          <w:rFonts w:ascii="宋体" w:hAnsi="宋体" w:cs="宋体"/>
          <w:sz w:val="24"/>
          <w:szCs w:val="24"/>
          <w:highlight w:val="none"/>
        </w:rPr>
        <w:t xml:space="preserve">财库〔2026〕10号</w:t>
      </w:r>
      <w:r>
        <w:rPr>
          <w:rFonts w:hint="eastAsia" w:ascii="宋体" w:hAnsi="宋体" w:cs="宋体"/>
          <w:sz w:val="24"/>
          <w:szCs w:val="24"/>
          <w:highlight w:val="none"/>
        </w:rPr>
        <w:t xml:space="preserve">），</w:t>
      </w:r>
      <w:r>
        <w:rPr>
          <w:rFonts w:ascii="宋体" w:hAnsi="宋体" w:cs="宋体"/>
          <w:sz w:val="24"/>
          <w:szCs w:val="24"/>
          <w:highlight w:val="none"/>
        </w:rPr>
        <w:t xml:space="preserve">不</w:t>
      </w:r>
      <w:r>
        <w:rPr>
          <w:rFonts w:hint="eastAsia" w:ascii="宋体" w:hAnsi="宋体" w:cs="宋体"/>
          <w:sz w:val="24"/>
          <w:szCs w:val="24"/>
          <w:highlight w:val="none"/>
        </w:rPr>
        <w:t xml:space="preserve">接受</w:t>
      </w:r>
      <w:r>
        <w:rPr>
          <w:rFonts w:ascii="宋体" w:hAnsi="宋体" w:cs="宋体"/>
          <w:sz w:val="24"/>
          <w:szCs w:val="24"/>
          <w:highlight w:val="none"/>
        </w:rPr>
        <w:t xml:space="preserve">46家美国企业（不包括在华美资企业）生产的产品</w:t>
      </w:r>
      <w:r>
        <w:rPr>
          <w:rFonts w:hint="eastAsia" w:ascii="宋体" w:hAnsi="宋体" w:cs="宋体"/>
          <w:sz w:val="24"/>
          <w:szCs w:val="24"/>
          <w:highlight w:val="none"/>
          <w:lang w:eastAsia="zh-CN"/>
        </w:rPr>
        <w:t xml:space="preserve">。</w:t>
      </w:r>
      <w:r/>
    </w:p>
    <w:p>
      <w:pPr>
        <w:ind w:left="0" w:right="0" w:firstLine="0"/>
        <w:jc w:val="center"/>
        <w:pageBreakBefore w:val="0"/>
        <w:spacing w:before="200" w:beforeAutospacing="0" w:after="200" w:afterAutospacing="0" w:line="240" w:lineRule="auto"/>
        <w:tabs>
          <w:tab w:val="left" w:pos="1440" w:leader="none"/>
        </w:tabs>
        <w:rPr>
          <w:rFonts w:hint="eastAsia" w:ascii="宋体" w:hAnsi="宋体" w:eastAsia="宋体" w:cs="宋体"/>
          <w:b/>
          <w:bCs/>
          <w:color w:val="auto"/>
          <w:sz w:val="24"/>
          <w:szCs w:val="36"/>
          <w:highlight w:val="none"/>
          <w:lang w:val="en-US" w:eastAsia="zh-CN"/>
        </w:rPr>
        <w:outlineLvl w:val="0"/>
      </w:pPr>
      <w:r>
        <w:rPr>
          <w:rFonts w:hint="eastAsia" w:ascii="宋体" w:hAnsi="宋体" w:eastAsia="宋体" w:cs="宋体"/>
          <w:b/>
          <w:bCs/>
          <w:color w:val="auto"/>
          <w:sz w:val="24"/>
          <w:szCs w:val="24"/>
          <w:highlight w:val="none"/>
        </w:rPr>
        <w:br w:type="page" w:clear="all"/>
      </w:r>
      <w:bookmarkStart w:id="199" w:name="_Toc14501"/>
      <w:r/>
      <w:bookmarkStart w:id="200" w:name="_Toc120614281"/>
      <w:r>
        <w:rPr>
          <w:rFonts w:hint="eastAsia" w:ascii="宋体" w:hAnsi="宋体" w:eastAsia="宋体" w:cs="宋体"/>
          <w:b/>
          <w:bCs/>
          <w:color w:val="auto"/>
          <w:sz w:val="30"/>
          <w:szCs w:val="30"/>
          <w:highlight w:val="none"/>
          <w:lang w:val="en-US" w:eastAsia="zh-CN"/>
        </w:rPr>
        <w:t xml:space="preserve">第五章  评标方法与评标标准</w:t>
      </w:r>
      <w:bookmarkEnd w:id="199"/>
      <w:r/>
      <w:r/>
    </w:p>
    <w:p>
      <w:pPr>
        <w:pStyle w:val="832"/>
        <w:ind w:left="0" w:right="0" w:firstLine="482"/>
        <w:jc w:val="left"/>
        <w:pageBreakBefore w:val="0"/>
        <w:spacing w:before="0" w:beforeAutospacing="0" w:after="0" w:afterAutospacing="0" w:line="360" w:lineRule="auto"/>
        <w:rPr>
          <w:rFonts w:hint="eastAsia" w:ascii="宋体" w:hAnsi="宋体" w:eastAsia="宋体" w:cs="宋体"/>
          <w:b/>
          <w:color w:val="auto"/>
          <w:sz w:val="24"/>
          <w:szCs w:val="30"/>
          <w:highlight w:val="none"/>
        </w:rPr>
      </w:pPr>
      <w:r>
        <w:rPr>
          <w:rFonts w:hint="eastAsia" w:ascii="宋体" w:hAnsi="宋体" w:eastAsia="宋体" w:cs="宋体"/>
          <w:b/>
          <w:color w:val="auto"/>
          <w:sz w:val="24"/>
          <w:szCs w:val="30"/>
          <w:highlight w:val="none"/>
        </w:rPr>
        <w:t xml:space="preserve">第一部分  评标方法</w:t>
      </w:r>
      <w:r/>
    </w:p>
    <w:p>
      <w:pPr>
        <w:pStyle w:val="832"/>
        <w:ind w:left="0" w:right="0" w:firstLine="480"/>
        <w:jc w:val="left"/>
        <w:pageBreakBefore w:val="0"/>
        <w:spacing w:before="0" w:beforeAutospacing="0" w:after="0" w:after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投标人通过初审的，方可进入比较与评价程序。</w:t>
      </w:r>
      <w:r/>
    </w:p>
    <w:p>
      <w:pPr>
        <w:pStyle w:val="832"/>
        <w:ind w:left="0" w:right="0" w:firstLine="480"/>
        <w:jc w:val="left"/>
        <w:pageBreakBefore w:val="0"/>
        <w:spacing w:before="0" w:beforeAutospacing="0" w:after="0" w:after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比较与评价采用综合评分法。</w:t>
      </w:r>
      <w:r/>
    </w:p>
    <w:p>
      <w:pPr>
        <w:pStyle w:val="832"/>
        <w:ind w:left="0" w:right="0" w:firstLine="480"/>
        <w:jc w:val="left"/>
        <w:pageBreakBefore w:val="0"/>
        <w:spacing w:before="0" w:beforeAutospacing="0" w:after="0" w:afterAutospacing="0" w:line="360" w:lineRule="auto"/>
        <w:rPr>
          <w:rFonts w:hint="eastAsia" w:ascii="宋体" w:hAnsi="宋体" w:eastAsia="宋体" w:cs="宋体"/>
          <w:b/>
          <w:color w:val="auto"/>
          <w:sz w:val="24"/>
          <w:szCs w:val="30"/>
          <w:highlight w:val="none"/>
        </w:rPr>
      </w:pPr>
      <w:r>
        <w:rPr>
          <w:rFonts w:hint="eastAsia" w:ascii="宋体" w:hAnsi="宋体" w:eastAsia="宋体" w:cs="宋体"/>
          <w:bCs/>
          <w:color w:val="auto"/>
          <w:sz w:val="24"/>
          <w:highlight w:val="none"/>
        </w:rPr>
        <w:t xml:space="preserve">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3名中标候选人。</w:t>
      </w:r>
      <w:r/>
    </w:p>
    <w:p>
      <w:pPr>
        <w:pStyle w:val="832"/>
        <w:ind w:left="0" w:right="0" w:firstLine="482"/>
        <w:jc w:val="left"/>
        <w:pageBreakBefore w:val="0"/>
        <w:spacing w:before="0" w:beforeAutospacing="0" w:after="0" w:afterAutospacing="0" w:line="360" w:lineRule="auto"/>
        <w:rPr>
          <w:rFonts w:hint="eastAsia" w:ascii="宋体" w:hAnsi="宋体" w:eastAsia="宋体" w:cs="宋体"/>
          <w:b/>
          <w:color w:val="auto"/>
          <w:sz w:val="24"/>
          <w:szCs w:val="30"/>
          <w:highlight w:val="none"/>
        </w:rPr>
      </w:pPr>
      <w:r>
        <w:rPr>
          <w:rFonts w:hint="eastAsia" w:ascii="宋体" w:hAnsi="宋体" w:eastAsia="宋体" w:cs="宋体"/>
          <w:b/>
          <w:color w:val="auto"/>
          <w:sz w:val="24"/>
          <w:szCs w:val="30"/>
          <w:highlight w:val="none"/>
        </w:rPr>
        <w:t xml:space="preserve">第二部分  评标标准</w:t>
      </w:r>
      <w:r/>
    </w:p>
    <w:p>
      <w:pPr>
        <w:pStyle w:val="832"/>
        <w:ind w:left="0" w:right="0" w:firstLine="482"/>
        <w:jc w:val="left"/>
        <w:pageBreakBefore w:val="0"/>
        <w:spacing w:before="0" w:beforeAutospacing="0" w:after="0" w:afterAutospacing="0" w:line="360" w:lineRule="auto"/>
        <w:rPr>
          <w:rFonts w:hint="eastAsia" w:ascii="宋体" w:hAnsi="宋体" w:eastAsia="宋体" w:cs="宋体"/>
          <w:b/>
          <w:color w:val="auto"/>
          <w:sz w:val="24"/>
          <w:szCs w:val="28"/>
          <w:highlight w:val="none"/>
        </w:rPr>
      </w:pPr>
      <w:r>
        <w:rPr>
          <w:rFonts w:hint="eastAsia" w:ascii="宋体" w:hAnsi="宋体" w:eastAsia="宋体" w:cs="宋体"/>
          <w:b/>
          <w:color w:val="auto"/>
          <w:sz w:val="24"/>
          <w:szCs w:val="28"/>
          <w:highlight w:val="none"/>
        </w:rPr>
        <w:t xml:space="preserve">一、落实政府采购政策的价格调整</w:t>
      </w:r>
      <w:r/>
    </w:p>
    <w:p>
      <w:pPr>
        <w:ind w:left="0" w:right="0" w:firstLine="482"/>
        <w:jc w:val="left"/>
        <w:pageBreakBefore w:val="0"/>
        <w:spacing w:beforeAutospacing="0" w:afterAutospacing="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小微型企业价格扣除：专门面向中小/小微企业的项目不做价格扣除。</w:t>
      </w:r>
      <w:r/>
    </w:p>
    <w:p>
      <w:pPr>
        <w:ind w:left="0" w:right="0" w:firstLine="480"/>
        <w:jc w:val="left"/>
        <w:pageBreakBefore w:val="0"/>
        <w:spacing w:beforeAutospacing="0" w:afterAutospacing="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1.对小型和微型企业产品的价格给予10%的扣除，用扣除后的价格参与评审。参加投标的中小企业，应当按照《政府采购促进中小企业发展管理办法》（财库﹝2020﹞46 号）的规定提供《中小企业声明函》（中小企业划型标准详见《关于印发中小企业划型标准规定的通知》工信部联企业〔2011〕300号）。</w:t>
      </w:r>
      <w:r/>
    </w:p>
    <w:p>
      <w:pPr>
        <w:ind w:left="0" w:right="0" w:firstLine="480"/>
        <w:jc w:val="left"/>
        <w:pageBreakBefore w:val="0"/>
        <w:spacing w:beforeAutospacing="0" w:afterAutospacing="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2.监狱企业视同小型、微型企业，对其产品价格给予10%的扣除，用扣除后的价格参与评审。参加投标的监狱企业，应当按照《关于政府采购支持监狱企业发展有关问题的通知》（财库</w:t>
      </w:r>
      <w:r>
        <w:rPr>
          <w:rFonts w:hint="eastAsia" w:ascii="宋体" w:hAnsi="宋体" w:eastAsia="宋体" w:cs="宋体"/>
          <w:bCs/>
          <w:color w:val="auto"/>
          <w:sz w:val="24"/>
          <w:szCs w:val="24"/>
          <w:highlight w:val="none"/>
          <w:lang w:eastAsia="zh-CN"/>
        </w:rPr>
        <w:t xml:space="preserve">〔2014〕68号</w:t>
      </w:r>
      <w:r>
        <w:rPr>
          <w:rFonts w:hint="eastAsia" w:ascii="宋体" w:hAnsi="宋体" w:eastAsia="宋体" w:cs="宋体"/>
          <w:bCs/>
          <w:color w:val="auto"/>
          <w:sz w:val="24"/>
          <w:szCs w:val="24"/>
          <w:highlight w:val="none"/>
        </w:rPr>
        <w:t xml:space="preserve">）的规定提供由省级以上监狱管理局、戒毒管理局</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含新疆生产建设兵团</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出具的属于监狱企业的证明文件扫描件。</w:t>
      </w:r>
      <w:r/>
    </w:p>
    <w:p>
      <w:pPr>
        <w:ind w:left="0" w:right="0" w:firstLine="480"/>
        <w:jc w:val="left"/>
        <w:pageBreakBefore w:val="0"/>
        <w:spacing w:beforeAutospacing="0" w:afterAutospacing="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left="0" w:right="0" w:firstLine="480"/>
        <w:jc w:val="left"/>
        <w:pageBreakBefore w:val="0"/>
        <w:spacing w:beforeAutospacing="0" w:afterAutospacing="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4.残疾人福利单位、监狱企业属于小型、微型企业的，不重复享受政策。</w:t>
      </w:r>
      <w:r/>
    </w:p>
    <w:p>
      <w:pPr>
        <w:ind w:left="0" w:right="0" w:firstLine="480"/>
        <w:jc w:val="left"/>
        <w:pageBreakBefore w:val="0"/>
        <w:spacing w:beforeAutospacing="0" w:afterAutospacing="0"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5.本国产品的价格扣除</w:t>
      </w:r>
      <w:r/>
    </w:p>
    <w:p>
      <w:pPr>
        <w:ind w:left="0" w:right="0" w:firstLine="480"/>
        <w:jc w:val="left"/>
        <w:pageBreakBefore w:val="0"/>
        <w:spacing w:beforeAutospacing="0" w:afterAutospacing="0"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5.1本项目依法对本国产品给予价格评审优惠，对本国产品的报价给予20%的价格扣除，用扣除后的价格参与评审。</w:t>
      </w:r>
      <w:r/>
    </w:p>
    <w:p>
      <w:pPr>
        <w:ind w:left="0" w:right="0" w:firstLine="480"/>
        <w:jc w:val="left"/>
        <w:pageBreakBefore w:val="0"/>
        <w:spacing w:beforeAutospacing="0" w:afterAutospacing="0"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5.2本国产品标准、本国产品标准的适用范围、对本国产品的支持政策等详见《国务院办公厅关于在政府采购中实施本国产品标准及相关政策的通知》（国办发〔2025〕34号）。</w:t>
      </w:r>
      <w:r/>
    </w:p>
    <w:p>
      <w:pPr>
        <w:pStyle w:val="777"/>
        <w:ind w:left="0" w:right="0" w:firstLine="480"/>
        <w:jc w:val="left"/>
        <w:keepLines w:val="0"/>
        <w:keepNext w:val="0"/>
        <w:spacing w:before="0" w:beforeAutospacing="0" w:after="0" w:afterAutospacing="0" w:line="360" w:lineRule="auto"/>
        <w:widowControl w:val="off"/>
        <w:tabs>
          <w:tab w:val="left" w:pos="525" w:leader="none"/>
          <w:tab w:val="left" w:pos="630" w:leader="none"/>
          <w:tab w:val="left" w:pos="736" w:leader="none"/>
          <w:tab w:val="left" w:pos="946" w:leader="none"/>
          <w:tab w:val="left" w:pos="1081" w:leader="none"/>
        </w:tabs>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color w:val="auto"/>
          <w:sz w:val="24"/>
          <w:szCs w:val="24"/>
          <w:highlight w:val="none"/>
          <w:lang w:val="en-US" w:eastAsia="zh-CN"/>
        </w:rPr>
        <w:t xml:space="preserve">6.</w:t>
      </w:r>
      <w:r>
        <w:rPr>
          <w:rFonts w:hint="eastAsia" w:ascii="宋体" w:hAnsi="宋体" w:cs="宋体"/>
          <w:sz w:val="24"/>
          <w:szCs w:val="24"/>
          <w:highlight w:val="none"/>
        </w:rPr>
        <w:t xml:space="preserve">根据《</w:t>
      </w:r>
      <w:r>
        <w:rPr>
          <w:rFonts w:ascii="宋体" w:hAnsi="宋体" w:cs="宋体"/>
          <w:sz w:val="24"/>
          <w:szCs w:val="24"/>
          <w:highlight w:val="none"/>
        </w:rPr>
        <w:t xml:space="preserve">关于在政府采购活动中对有关美国企业采取相关措施的通知</w:t>
      </w:r>
      <w:r>
        <w:rPr>
          <w:rFonts w:hint="eastAsia" w:ascii="宋体" w:hAnsi="宋体" w:cs="宋体"/>
          <w:sz w:val="24"/>
          <w:szCs w:val="24"/>
          <w:highlight w:val="none"/>
        </w:rPr>
        <w:t xml:space="preserve">》（</w:t>
      </w:r>
      <w:r>
        <w:rPr>
          <w:rFonts w:ascii="宋体" w:hAnsi="宋体" w:cs="宋体"/>
          <w:sz w:val="24"/>
          <w:szCs w:val="24"/>
          <w:highlight w:val="none"/>
        </w:rPr>
        <w:t xml:space="preserve">财库〔2026〕10号</w:t>
      </w:r>
      <w:r>
        <w:rPr>
          <w:rFonts w:hint="eastAsia" w:ascii="宋体" w:hAnsi="宋体" w:cs="宋体"/>
          <w:sz w:val="24"/>
          <w:szCs w:val="24"/>
          <w:highlight w:val="none"/>
        </w:rPr>
        <w:t xml:space="preserve">），</w:t>
      </w:r>
      <w:r>
        <w:rPr>
          <w:rFonts w:ascii="宋体" w:hAnsi="宋体" w:cs="宋体"/>
          <w:sz w:val="24"/>
          <w:szCs w:val="24"/>
          <w:highlight w:val="none"/>
        </w:rPr>
        <w:t xml:space="preserve">不</w:t>
      </w:r>
      <w:r>
        <w:rPr>
          <w:rFonts w:hint="eastAsia" w:ascii="宋体" w:hAnsi="宋体" w:cs="宋体"/>
          <w:sz w:val="24"/>
          <w:szCs w:val="24"/>
          <w:highlight w:val="none"/>
        </w:rPr>
        <w:t xml:space="preserve">接受</w:t>
      </w:r>
      <w:r>
        <w:rPr>
          <w:rFonts w:ascii="宋体" w:hAnsi="宋体" w:cs="宋体"/>
          <w:sz w:val="24"/>
          <w:szCs w:val="24"/>
          <w:highlight w:val="none"/>
        </w:rPr>
        <w:t xml:space="preserve">46家美国企业（不包括在华美资企业）生产的产品</w:t>
      </w:r>
      <w:r>
        <w:rPr>
          <w:rFonts w:hint="eastAsia" w:ascii="宋体" w:hAnsi="宋体" w:cs="宋体"/>
          <w:sz w:val="24"/>
          <w:szCs w:val="24"/>
          <w:highlight w:val="none"/>
          <w:lang w:eastAsia="zh-CN"/>
        </w:rPr>
        <w:t xml:space="preserve">。</w:t>
      </w:r>
      <w:r/>
    </w:p>
    <w:p>
      <w:pPr>
        <w:ind w:left="0" w:right="0" w:firstLine="480"/>
        <w:jc w:val="left"/>
        <w:keepLines w:val="0"/>
        <w:keepNext w:val="0"/>
        <w:pageBreakBefore w:val="0"/>
        <w:spacing w:beforeAutospacing="0" w:afterAutospacing="0" w:line="360" w:lineRule="auto"/>
        <w:tabs>
          <w:tab w:val="left" w:pos="945" w:leader="none"/>
          <w:tab w:val="left" w:pos="1155" w:leader="none"/>
          <w:tab w:val="left" w:pos="3823" w:leader="none"/>
        </w:tabs>
        <w:rPr>
          <w:rFonts w:hint="eastAsia" w:ascii="宋体" w:hAnsi="宋体" w:eastAsia="宋体" w:cs="宋体"/>
          <w:b/>
          <w:color w:val="auto"/>
          <w:sz w:val="24"/>
          <w:szCs w:val="28"/>
          <w:highlight w:val="none"/>
        </w:rPr>
      </w:pPr>
      <w:r>
        <w:rPr>
          <w:rFonts w:hint="eastAsia" w:ascii="宋体" w:hAnsi="宋体" w:eastAsia="宋体" w:cs="宋体"/>
          <w:color w:val="auto"/>
          <w:sz w:val="24"/>
          <w:highlight w:val="none"/>
          <w:shd w:val="clear" w:color="ffffff" w:fill="d9d9d9"/>
        </w:rPr>
        <w:br w:type="page" w:clear="all"/>
      </w:r>
      <w:r>
        <w:rPr>
          <w:rFonts w:hint="eastAsia" w:ascii="宋体" w:hAnsi="宋体" w:eastAsia="宋体" w:cs="宋体"/>
          <w:b/>
          <w:color w:val="auto"/>
          <w:sz w:val="24"/>
          <w:szCs w:val="28"/>
          <w:highlight w:val="none"/>
        </w:rPr>
        <w:t xml:space="preserve">二、评分标准</w:t>
      </w:r>
      <w:r/>
    </w:p>
    <w:p>
      <w:pPr>
        <w:pStyle w:val="832"/>
        <w:ind w:left="0" w:right="0" w:firstLine="482"/>
        <w:jc w:val="left"/>
        <w:keepLines w:val="0"/>
        <w:keepNext w:val="0"/>
        <w:pageBreakBefore w:val="0"/>
        <w:spacing w:before="0" w:beforeAutospacing="0" w:after="0" w:afterAutospacing="0" w:line="360" w:lineRule="auto"/>
        <w:rPr>
          <w:rFonts w:hint="eastAsia" w:ascii="宋体" w:hAnsi="宋体" w:eastAsia="宋体" w:cs="宋体"/>
          <w:b/>
          <w:color w:val="auto"/>
          <w:sz w:val="24"/>
          <w:szCs w:val="28"/>
          <w:highlight w:val="none"/>
          <w:lang w:val="en-US" w:eastAsia="zh-CN"/>
        </w:rPr>
      </w:pPr>
      <w:r>
        <w:rPr>
          <w:rFonts w:hint="eastAsia" w:ascii="宋体" w:hAnsi="宋体" w:eastAsia="宋体" w:cs="宋体"/>
          <w:b/>
          <w:color w:val="auto"/>
          <w:sz w:val="24"/>
          <w:szCs w:val="28"/>
          <w:highlight w:val="none"/>
        </w:rPr>
        <w:t xml:space="preserve">（一）</w:t>
      </w:r>
      <w:r>
        <w:rPr>
          <w:rFonts w:hint="eastAsia" w:ascii="宋体" w:hAnsi="宋体" w:eastAsia="宋体" w:cs="宋体"/>
          <w:b/>
          <w:color w:val="auto"/>
          <w:sz w:val="24"/>
          <w:szCs w:val="28"/>
          <w:highlight w:val="none"/>
          <w:lang w:val="en-US" w:eastAsia="zh-CN"/>
        </w:rPr>
        <w:t xml:space="preserve">报价部分（</w:t>
      </w:r>
      <w:r>
        <w:rPr>
          <w:rFonts w:hint="eastAsia" w:ascii="宋体" w:hAnsi="宋体" w:cs="宋体"/>
          <w:b/>
          <w:color w:val="auto"/>
          <w:sz w:val="24"/>
          <w:szCs w:val="28"/>
          <w:highlight w:val="none"/>
          <w:lang w:val="en-US" w:eastAsia="zh-CN"/>
        </w:rPr>
        <w:t xml:space="preserve">30</w:t>
      </w:r>
      <w:r>
        <w:rPr>
          <w:rFonts w:hint="eastAsia" w:ascii="宋体" w:hAnsi="宋体" w:eastAsia="宋体" w:cs="宋体"/>
          <w:b/>
          <w:color w:val="auto"/>
          <w:sz w:val="24"/>
          <w:szCs w:val="28"/>
          <w:highlight w:val="none"/>
          <w:lang w:val="en-US" w:eastAsia="zh-CN"/>
        </w:rPr>
        <w:t xml:space="preserve">分）</w:t>
      </w:r>
      <w:r>
        <w:rPr>
          <w:rFonts w:hint="eastAsia" w:ascii="宋体" w:hAnsi="宋体" w:eastAsia="宋体" w:cs="宋体"/>
          <w:b/>
          <w:color w:val="auto"/>
          <w:sz w:val="24"/>
          <w:szCs w:val="28"/>
          <w:highlight w:val="none"/>
        </w:rPr>
        <w:t xml:space="preserve">：</w:t>
      </w:r>
      <w:r/>
    </w:p>
    <w:p>
      <w:pPr>
        <w:numPr>
          <w:ilvl w:val="4"/>
          <w:numId w:val="0"/>
        </w:numPr>
        <w:ind w:left="0" w:right="0" w:firstLine="482"/>
        <w:jc w:val="left"/>
        <w:keepLines w:val="0"/>
        <w:keepNext w:val="0"/>
        <w:pageBreakBefore w:val="0"/>
        <w:spacing w:beforeAutospacing="0" w:afterAutospacing="0" w:line="360" w:lineRule="auto"/>
        <w:tabs>
          <w:tab w:val="left" w:pos="525" w:leader="none"/>
          <w:tab w:val="left" w:pos="945" w:leader="none"/>
          <w:tab w:val="left" w:pos="1155" w:leader="none"/>
          <w:tab w:val="left" w:pos="3823"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1.</w:t>
      </w:r>
      <w:r>
        <w:rPr>
          <w:rFonts w:hint="eastAsia" w:ascii="宋体" w:hAnsi="宋体" w:eastAsia="宋体" w:cs="宋体"/>
          <w:b/>
          <w:bCs/>
          <w:color w:val="auto"/>
          <w:sz w:val="24"/>
          <w:szCs w:val="24"/>
          <w:highlight w:val="none"/>
        </w:rPr>
        <w:t xml:space="preserve">价格（</w:t>
      </w:r>
      <w:r>
        <w:rPr>
          <w:rFonts w:hint="eastAsia" w:ascii="宋体" w:hAnsi="宋体" w:cs="宋体"/>
          <w:b/>
          <w:bCs/>
          <w:color w:val="auto"/>
          <w:sz w:val="24"/>
          <w:szCs w:val="24"/>
          <w:highlight w:val="none"/>
          <w:lang w:val="en-US" w:eastAsia="zh-CN"/>
        </w:rPr>
        <w:t xml:space="preserve">30</w:t>
      </w:r>
      <w:r>
        <w:rPr>
          <w:rFonts w:hint="eastAsia" w:ascii="宋体" w:hAnsi="宋体" w:eastAsia="宋体" w:cs="宋体"/>
          <w:b/>
          <w:bCs/>
          <w:color w:val="auto"/>
          <w:sz w:val="24"/>
          <w:szCs w:val="24"/>
          <w:highlight w:val="none"/>
        </w:rPr>
        <w:t xml:space="preserve">分）：</w:t>
      </w:r>
      <w:r/>
    </w:p>
    <w:p>
      <w:pPr>
        <w:ind w:left="0" w:right="0" w:firstLine="480"/>
        <w:jc w:val="left"/>
        <w:keepLines w:val="0"/>
        <w:keepNext w:val="0"/>
        <w:pageBreakBefore w:val="0"/>
        <w:spacing w:beforeAutospacing="0" w:afterAutospacing="0" w:line="360" w:lineRule="auto"/>
        <w:widowControl w:val="off"/>
        <w:tabs>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采用低价优先法计算，即满足招标文件要求且投标价格最低的投标报价为评标基准价，其价格分为满分。其他投标人的价格分统一按照下列公式计算：投标报价得分=</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评标基准价／投标报价</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×价格权值×100。</w:t>
      </w:r>
      <w:r/>
    </w:p>
    <w:p>
      <w:pPr>
        <w:ind w:left="0" w:right="0" w:firstLine="480"/>
        <w:jc w:val="left"/>
        <w:keepLines w:val="0"/>
        <w:keepNext w:val="0"/>
        <w:pageBreakBefore w:val="0"/>
        <w:spacing w:beforeAutospacing="0" w:afterAutospacing="0" w:line="360" w:lineRule="auto"/>
        <w:widowControl w:val="off"/>
        <w:tabs>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关于价格扣除详见本章第二部分“一、落实政府采购政策的价格调整”。</w:t>
      </w:r>
      <w:r/>
    </w:p>
    <w:p>
      <w:pPr>
        <w:pStyle w:val="777"/>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auto"/>
          <w:sz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评审过程中出现下列情形之一的，评审委员会应当启动异常低价投标（响应）审查程序：</w:t>
      </w:r>
      <w:r/>
    </w:p>
    <w:p>
      <w:pPr>
        <w:pStyle w:val="777"/>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auto"/>
          <w:sz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1.评标委员会认为</w:t>
      </w:r>
      <w:r>
        <w:rPr>
          <w:rFonts w:hint="eastAsia"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的投标总报价或者分项报价明显低于其他通过符合性审查</w:t>
      </w:r>
      <w:r>
        <w:rPr>
          <w:rFonts w:hint="eastAsia"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的报价的，有可能影响货物质量或者不能诚信履约的，评标委员会将要求其在评标现场合理的时间内（1小时内）提供书面说明，必要时提交相关证明材料；</w:t>
      </w:r>
      <w:r>
        <w:rPr>
          <w:rFonts w:hint="eastAsia"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不能证明其报价合理性的，评标委员会将其作为无效投标处理；</w:t>
      </w:r>
      <w:r>
        <w:rPr>
          <w:rFonts w:hint="eastAsia"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的投标总报价或者分项报价为0元的，评标委员会应当将其作为无效投标处理。</w:t>
      </w:r>
      <w:r/>
    </w:p>
    <w:p>
      <w:pPr>
        <w:pStyle w:val="777"/>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2.评审过程中出现下列情形之一的，评审委员会应当启动异常低价投标（响应）审查程序</w:t>
      </w:r>
      <w:r>
        <w:rPr>
          <w:rFonts w:hint="eastAsia" w:ascii="宋体" w:hAnsi="宋体" w:eastAsia="宋体" w:cs="宋体"/>
          <w:color w:val="auto"/>
          <w:sz w:val="24"/>
          <w:szCs w:val="24"/>
          <w:highlight w:val="none"/>
        </w:rPr>
        <w:t xml:space="preserve">：（1）投标（响应）报价低于全部通过符合性审查供应商投标（响应）报价平均值50%的，即投标（响应）报价〈全部通过符合性审查供应商投标（响应）报价平均值×50%；（2）投标（响应）报价低于通过符合性审查的次低报价供应商投标（响应）报价50%的，即投标（响应）报价〈通过符合性审查的次低报价供应商投标（响应）报价×50%；（3）投标（响应）报价低于采购项目最高限价45%的，即投标（响应）报价〈采购项目最高限价×45%；（4）评审委员会基于专业判断，认为供应商报价过低，有可能影响产品质量或者不能诚信履约的其他情形。</w:t>
      </w:r>
      <w:r/>
    </w:p>
    <w:p>
      <w:pPr>
        <w:pStyle w:val="777"/>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3.启动异常低价投标（响应）审查后，评审委员会应当要求相关供应商在评标现场合理的时间内，提供项目具体成本测算等与报价合理性相关的书面说明及相关证明材料，并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pStyle w:val="777"/>
        <w:ind w:left="0" w:right="0" w:firstLine="482"/>
        <w:jc w:val="left"/>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rPr>
        <w:t xml:space="preserve">特别说明：以上报价符合性审查需</w:t>
      </w:r>
      <w:r>
        <w:rPr>
          <w:rFonts w:hint="eastAsia" w:cs="宋体"/>
          <w:b/>
          <w:bCs/>
          <w:color w:val="auto"/>
          <w:sz w:val="24"/>
          <w:szCs w:val="24"/>
          <w:highlight w:val="none"/>
          <w:lang w:eastAsia="zh-CN"/>
        </w:rPr>
        <w:t xml:space="preserve">投标人</w:t>
      </w:r>
      <w:r>
        <w:rPr>
          <w:rFonts w:hint="eastAsia" w:ascii="宋体" w:hAnsi="宋体" w:eastAsia="宋体" w:cs="宋体"/>
          <w:b/>
          <w:bCs/>
          <w:color w:val="auto"/>
          <w:sz w:val="24"/>
          <w:szCs w:val="24"/>
          <w:highlight w:val="none"/>
        </w:rPr>
        <w:t xml:space="preserve">上传：1.开标一览表；</w:t>
      </w:r>
      <w:r>
        <w:rPr>
          <w:rFonts w:hint="eastAsia"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.明细报价表；</w:t>
      </w:r>
      <w:r>
        <w:rPr>
          <w:rFonts w:hint="eastAsia"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异常低价相关证明材料（如有，提供项目具体成本测算等与报价合理性相关的书面说明及相关证明材料，对投标（响应）价格作出解释，否则引起的一切后果包括废标，由投标人自行承担）。由评标委员会在投标报价评审阶段进行审查，以确定是否满足符合性审查的要求。</w:t>
      </w:r>
      <w:r/>
    </w:p>
    <w:p>
      <w:pPr>
        <w:pStyle w:val="832"/>
        <w:ind w:left="0" w:right="0" w:firstLine="482"/>
        <w:jc w:val="left"/>
        <w:keepLines w:val="0"/>
        <w:keepNext w:val="0"/>
        <w:pageBreakBefore w:val="0"/>
        <w:spacing w:before="0" w:beforeAutospacing="0" w:after="0" w:afterAutospacing="0" w:line="360" w:lineRule="auto"/>
        <w:rPr>
          <w:rFonts w:hint="eastAsia" w:ascii="宋体" w:hAnsi="宋体" w:eastAsia="宋体" w:cs="宋体"/>
          <w:b/>
          <w:color w:val="auto"/>
          <w:sz w:val="24"/>
          <w:szCs w:val="28"/>
          <w:highlight w:val="none"/>
        </w:rPr>
      </w:pPr>
      <w:r>
        <w:rPr>
          <w:rFonts w:hint="eastAsia" w:ascii="宋体" w:hAnsi="宋体" w:eastAsia="宋体" w:cs="宋体"/>
          <w:b/>
          <w:color w:val="auto"/>
          <w:sz w:val="24"/>
          <w:szCs w:val="28"/>
          <w:highlight w:val="none"/>
          <w:lang w:val="en-US" w:eastAsia="zh-CN"/>
        </w:rPr>
        <w:t xml:space="preserve">（二）商务部分（1</w:t>
      </w:r>
      <w:r>
        <w:rPr>
          <w:rFonts w:hint="eastAsia" w:ascii="宋体" w:hAnsi="宋体" w:cs="宋体"/>
          <w:b/>
          <w:color w:val="auto"/>
          <w:sz w:val="24"/>
          <w:szCs w:val="28"/>
          <w:highlight w:val="none"/>
          <w:lang w:val="en-US" w:eastAsia="zh-CN"/>
        </w:rPr>
        <w:t xml:space="preserve">2</w:t>
      </w:r>
      <w:r>
        <w:rPr>
          <w:rFonts w:hint="eastAsia" w:ascii="宋体" w:hAnsi="宋体" w:eastAsia="宋体" w:cs="宋体"/>
          <w:b/>
          <w:color w:val="auto"/>
          <w:sz w:val="24"/>
          <w:szCs w:val="28"/>
          <w:highlight w:val="none"/>
          <w:lang w:val="en-US" w:eastAsia="zh-CN"/>
        </w:rPr>
        <w:t xml:space="preserve">分）</w:t>
      </w:r>
      <w:r>
        <w:rPr>
          <w:rFonts w:hint="eastAsia" w:ascii="宋体" w:hAnsi="宋体" w:eastAsia="宋体" w:cs="宋体"/>
          <w:b/>
          <w:color w:val="auto"/>
          <w:sz w:val="24"/>
          <w:szCs w:val="28"/>
          <w:highlight w:val="none"/>
        </w:rPr>
        <w:t xml:space="preserve">：</w:t>
      </w:r>
      <w:r/>
    </w:p>
    <w:tbl>
      <w:tblPr>
        <w:tblStyle w:val="745"/>
        <w:tblpPr w:horzAnchor="text" w:tblpXSpec="left" w:vertAnchor="text" w:tblpY="1" w:leftFromText="180" w:topFromText="0" w:rightFromText="180" w:bottomFromText="0"/>
        <w:tblW w:w="979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36"/>
        <w:gridCol w:w="780"/>
        <w:gridCol w:w="936"/>
        <w:gridCol w:w="3670"/>
        <w:gridCol w:w="3468"/>
      </w:tblGrid>
      <w:tr>
        <w:trPr>
          <w:trHeight w:val="0"/>
          <w:tblHeader/>
        </w:trPr>
        <w:tc>
          <w:tcPr>
            <w:tcW w:w="936" w:type="dxa"/>
            <w:vAlign w:val="center"/>
            <w:textDirection w:val="lrTb"/>
            <w:noWrap w:val="false"/>
          </w:tcPr>
          <w:p>
            <w:pPr>
              <w:ind w:left="0" w:right="0" w:firstLine="0"/>
              <w:jc w:val="center"/>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序号</w:t>
            </w:r>
            <w:r/>
          </w:p>
        </w:tc>
        <w:tc>
          <w:tcPr>
            <w:tcW w:w="780" w:type="dxa"/>
            <w:vAlign w:val="center"/>
            <w:textDirection w:val="lrTb"/>
            <w:noWrap w:val="false"/>
          </w:tcPr>
          <w:p>
            <w:pPr>
              <w:ind w:left="0" w:right="0" w:firstLine="0"/>
              <w:jc w:val="center"/>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评分项目</w:t>
            </w:r>
            <w:r/>
          </w:p>
        </w:tc>
        <w:tc>
          <w:tcPr>
            <w:tcW w:w="0" w:type="auto"/>
            <w:vAlign w:val="center"/>
            <w:textDirection w:val="lrTb"/>
            <w:noWrap w:val="false"/>
          </w:tcPr>
          <w:p>
            <w:pPr>
              <w:ind w:left="0" w:right="0" w:firstLine="0"/>
              <w:jc w:val="center"/>
              <w:keepLines w:val="0"/>
              <w:keepNext w:val="0"/>
              <w:pageBreakBefore w:val="0"/>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分值</w:t>
            </w:r>
            <w:r/>
          </w:p>
        </w:tc>
        <w:tc>
          <w:tcPr>
            <w:tcW w:w="0" w:type="auto"/>
            <w:vAlign w:val="center"/>
            <w:textDirection w:val="lrTb"/>
            <w:noWrap w:val="false"/>
          </w:tcPr>
          <w:p>
            <w:pPr>
              <w:ind w:left="0" w:right="0" w:firstLine="0"/>
              <w:jc w:val="center"/>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评分标准</w:t>
            </w:r>
            <w:r/>
          </w:p>
        </w:tc>
        <w:tc>
          <w:tcPr>
            <w:tcW w:w="3468" w:type="dxa"/>
            <w:vAlign w:val="center"/>
            <w:textDirection w:val="lrTb"/>
            <w:noWrap w:val="false"/>
          </w:tcPr>
          <w:p>
            <w:pPr>
              <w:ind w:left="0" w:right="0" w:firstLine="0"/>
              <w:jc w:val="center"/>
              <w:keepLines w:val="0"/>
              <w:keepNext w:val="0"/>
              <w:pageBreakBefore w:val="0"/>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备注</w:t>
            </w:r>
            <w:r/>
          </w:p>
        </w:tc>
      </w:tr>
      <w:tr>
        <w:trPr>
          <w:trHeight w:val="0"/>
        </w:trPr>
        <w:tc>
          <w:tcPr>
            <w:tcW w:w="936" w:type="dxa"/>
            <w:vAlign w:val="center"/>
            <w:textDirection w:val="lrTb"/>
            <w:noWrap w:val="false"/>
          </w:tcPr>
          <w:p>
            <w:pPr>
              <w:ind w:left="0" w:right="0" w:firstLine="0"/>
              <w:jc w:val="center"/>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p>
        </w:tc>
        <w:tc>
          <w:tcPr>
            <w:tcW w:w="780" w:type="dxa"/>
            <w:vAlign w:val="center"/>
            <w:textDirection w:val="lrTb"/>
            <w:noWrap w:val="false"/>
          </w:tcPr>
          <w:p>
            <w:pPr>
              <w:ind w:left="0" w:right="0" w:firstLine="0"/>
              <w:jc w:val="center"/>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bCs/>
                <w:color w:val="auto"/>
                <w:sz w:val="24"/>
                <w:szCs w:val="24"/>
                <w:highlight w:val="none"/>
              </w:rPr>
              <w:t xml:space="preserve">企业业绩</w:t>
            </w:r>
            <w:r/>
          </w:p>
        </w:tc>
        <w:tc>
          <w:tcPr>
            <w:tcW w:w="0" w:type="auto"/>
            <w:vAlign w:val="center"/>
            <w:textDirection w:val="lrTb"/>
            <w:noWrap w:val="false"/>
          </w:tcPr>
          <w:p>
            <w:pPr>
              <w:ind w:left="0" w:right="0" w:firstLine="0"/>
              <w:jc w:val="center"/>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p>
        </w:tc>
        <w:tc>
          <w:tcPr>
            <w:tcW w:w="0" w:type="auto"/>
            <w:vAlign w:val="center"/>
            <w:textDirection w:val="lrTb"/>
            <w:noWrap w:val="false"/>
          </w:tcPr>
          <w:p>
            <w:pPr>
              <w:ind w:left="0" w:right="0" w:firstLine="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bCs/>
                <w:color w:val="auto"/>
                <w:sz w:val="24"/>
                <w:szCs w:val="24"/>
                <w:highlight w:val="none"/>
              </w:rPr>
              <w:t xml:space="preserve">投标人自2023年4月1日至今承担过类似项目，类似项目是指参加过本次采购的同类产品提供一个合同得2分，最高不超过4分。</w:t>
            </w:r>
            <w:r/>
          </w:p>
        </w:tc>
        <w:tc>
          <w:tcPr>
            <w:tcW w:w="3468" w:type="dxa"/>
            <w:vAlign w:val="center"/>
            <w:textDirection w:val="lrTb"/>
            <w:noWrap w:val="false"/>
          </w:tcPr>
          <w:p>
            <w:pPr>
              <w:ind w:left="0" w:right="0" w:firstLine="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以采购合同为准，</w:t>
            </w:r>
            <w:r>
              <w:rPr>
                <w:rFonts w:hint="eastAsia" w:ascii="宋体" w:hAnsi="宋体" w:cs="宋体"/>
                <w:bCs/>
                <w:color w:val="auto"/>
                <w:sz w:val="24"/>
                <w:szCs w:val="24"/>
                <w:highlight w:val="none"/>
                <w:lang w:val="en-US" w:eastAsia="zh-CN"/>
              </w:rPr>
              <w:t xml:space="preserve">时间</w:t>
            </w:r>
            <w:r>
              <w:rPr>
                <w:rFonts w:hint="eastAsia" w:ascii="宋体" w:hAnsi="宋体" w:eastAsia="宋体" w:cs="宋体"/>
                <w:bCs/>
                <w:color w:val="auto"/>
                <w:sz w:val="24"/>
                <w:szCs w:val="24"/>
                <w:highlight w:val="none"/>
              </w:rPr>
              <w:t xml:space="preserve">以合同签订日期为准</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提供有效合同原件扫描件并加盖公章</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未提供或提供不齐者不得分。</w:t>
            </w:r>
            <w:r/>
          </w:p>
        </w:tc>
      </w:tr>
      <w:tr>
        <w:trPr>
          <w:trHeight w:val="0"/>
        </w:trPr>
        <w:tc>
          <w:tcPr>
            <w:tcW w:w="936" w:type="dxa"/>
            <w:vAlign w:val="center"/>
            <w:textDirection w:val="lrTb"/>
            <w:noWrap w:val="false"/>
          </w:tcPr>
          <w:p>
            <w:pPr>
              <w:ind w:left="0" w:right="0" w:firstLine="0"/>
              <w:jc w:val="center"/>
              <w:pageBreakBefore w:val="0"/>
              <w:spacing w:line="360" w:lineRule="auto"/>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p>
        </w:tc>
        <w:tc>
          <w:tcPr>
            <w:tcW w:w="780" w:type="dxa"/>
            <w:vAlign w:val="center"/>
            <w:textDirection w:val="lrTb"/>
            <w:noWrap w:val="false"/>
          </w:tcPr>
          <w:p>
            <w:pPr>
              <w:ind w:left="0" w:right="0" w:firstLine="0"/>
              <w:jc w:val="center"/>
              <w:keepLines w:val="0"/>
              <w:keepNext w:val="0"/>
              <w:pageBreakBefore w:val="0"/>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权威认证</w:t>
            </w:r>
            <w:r/>
          </w:p>
        </w:tc>
        <w:tc>
          <w:tcPr>
            <w:tcW w:w="0" w:type="auto"/>
            <w:vAlign w:val="center"/>
            <w:textDirection w:val="lrTb"/>
            <w:noWrap w:val="false"/>
          </w:tcPr>
          <w:p>
            <w:pPr>
              <w:ind w:left="0" w:right="0" w:firstLine="0"/>
              <w:jc w:val="center"/>
              <w:keepLines w:val="0"/>
              <w:keepNext w:val="0"/>
              <w:pageBreakBefore w:val="0"/>
              <w:spacing w:line="360" w:lineRule="auto"/>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p>
        </w:tc>
        <w:tc>
          <w:tcPr>
            <w:tcW w:w="0" w:type="auto"/>
            <w:vAlign w:val="center"/>
            <w:textDirection w:val="lrTb"/>
            <w:noWrap w:val="false"/>
          </w:tcPr>
          <w:p>
            <w:pPr>
              <w:ind w:left="0" w:right="0" w:firstLine="0"/>
              <w:jc w:val="left"/>
              <w:keepLines w:val="0"/>
              <w:keepNext w:val="0"/>
              <w:pageBreakBefore w:val="0"/>
              <w:spacing w:line="360" w:lineRule="auto"/>
              <w:widowControl/>
              <w:rPr>
                <w:rFonts w:hint="eastAsia" w:ascii="宋体" w:hAnsi="宋体" w:eastAsia="宋体" w:cs="宋体"/>
                <w:bCs/>
                <w:color w:val="auto"/>
                <w:sz w:val="24"/>
                <w:szCs w:val="24"/>
                <w:highlight w:val="none"/>
                <w:lang w:val="en-US" w:eastAsia="zh-CN"/>
              </w:rPr>
            </w:pPr>
            <w:r>
              <w:rPr>
                <w:rFonts w:hint="eastAsia" w:ascii="宋体" w:hAnsi="宋体" w:cs="宋体"/>
                <w:spacing w:val="-2"/>
                <w:sz w:val="24"/>
                <w:szCs w:val="24"/>
                <w:highlight w:val="none"/>
              </w:rPr>
              <w:t xml:space="preserve">投标人或投标产品制造商具有有效期内的质量管理体系、环境认证体系，凭相关证书复印件每项得1分，最高2分</w:t>
            </w:r>
            <w:r>
              <w:rPr>
                <w:rFonts w:hint="eastAsia" w:ascii="宋体" w:hAnsi="宋体" w:cs="宋体"/>
                <w:spacing w:val="-2"/>
                <w:sz w:val="24"/>
                <w:szCs w:val="24"/>
                <w:highlight w:val="none"/>
                <w:lang w:val="en-US" w:eastAsia="zh-CN"/>
              </w:rPr>
              <w:t xml:space="preserve">。</w:t>
            </w:r>
            <w:r/>
          </w:p>
        </w:tc>
        <w:tc>
          <w:tcPr>
            <w:tcW w:w="3468" w:type="dxa"/>
            <w:vAlign w:val="center"/>
            <w:textDirection w:val="lrTb"/>
            <w:noWrap w:val="false"/>
          </w:tcPr>
          <w:p>
            <w:pPr>
              <w:ind w:left="0" w:right="0" w:firstLine="0"/>
              <w:jc w:val="left"/>
              <w:keepLines w:val="0"/>
              <w:keepNext w:val="0"/>
              <w:pageBreakBefore w:val="0"/>
              <w:spacing w:line="360" w:lineRule="auto"/>
              <w:widowControl/>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投标时提供证书原件扫描件并加盖公章</w:t>
            </w:r>
            <w:r>
              <w:rPr>
                <w:rFonts w:hint="eastAsia" w:ascii="宋体" w:hAnsi="宋体" w:cs="宋体"/>
                <w:bCs/>
                <w:color w:val="auto"/>
                <w:sz w:val="24"/>
                <w:szCs w:val="24"/>
                <w:highlight w:val="none"/>
                <w:lang w:val="en-US" w:eastAsia="zh-CN"/>
              </w:rPr>
              <w:t xml:space="preserve">放入</w:t>
            </w:r>
            <w:r>
              <w:rPr>
                <w:rFonts w:hint="eastAsia" w:ascii="宋体" w:hAnsi="宋体" w:eastAsia="宋体" w:cs="宋体"/>
                <w:bCs/>
                <w:color w:val="auto"/>
                <w:sz w:val="24"/>
                <w:szCs w:val="24"/>
                <w:highlight w:val="none"/>
              </w:rPr>
              <w:t xml:space="preserve">投标文件</w:t>
            </w:r>
            <w:r>
              <w:rPr>
                <w:rFonts w:hint="eastAsia" w:ascii="宋体" w:hAnsi="宋体" w:cs="宋体"/>
                <w:bCs/>
                <w:color w:val="auto"/>
                <w:sz w:val="24"/>
                <w:szCs w:val="24"/>
                <w:highlight w:val="none"/>
                <w:lang w:val="en-US" w:eastAsia="zh-CN"/>
              </w:rPr>
              <w:t xml:space="preserve">中。</w:t>
            </w:r>
            <w:r/>
          </w:p>
        </w:tc>
      </w:tr>
      <w:tr>
        <w:trPr>
          <w:trHeight w:val="0"/>
        </w:trPr>
        <w:tc>
          <w:tcPr>
            <w:tcW w:w="936" w:type="dxa"/>
            <w:vAlign w:val="center"/>
            <w:textDirection w:val="lrTb"/>
            <w:noWrap w:val="false"/>
          </w:tcPr>
          <w:p>
            <w:pPr>
              <w:ind w:left="0" w:right="0" w:firstLine="0"/>
              <w:jc w:val="center"/>
              <w:pageBreakBefore w:val="0"/>
              <w:spacing w:line="360" w:lineRule="auto"/>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p>
        </w:tc>
        <w:tc>
          <w:tcPr>
            <w:tcW w:w="780" w:type="dxa"/>
            <w:vAlign w:val="center"/>
            <w:textDirection w:val="lrTb"/>
            <w:noWrap w:val="false"/>
          </w:tcPr>
          <w:p>
            <w:pPr>
              <w:ind w:left="0" w:right="0" w:firstLine="0"/>
              <w:jc w:val="center"/>
              <w:keepLines w:val="0"/>
              <w:keepNext w:val="0"/>
              <w:pageBreakBefore w:val="0"/>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质保期比较</w:t>
            </w:r>
            <w:r/>
          </w:p>
        </w:tc>
        <w:tc>
          <w:tcPr>
            <w:tcW w:w="0" w:type="auto"/>
            <w:vAlign w:val="center"/>
            <w:textDirection w:val="lrTb"/>
            <w:noWrap w:val="false"/>
          </w:tcPr>
          <w:p>
            <w:pPr>
              <w:ind w:left="0" w:right="0" w:firstLine="0"/>
              <w:jc w:val="center"/>
              <w:keepLines w:val="0"/>
              <w:keepNext w:val="0"/>
              <w:pageBreakBefore w:val="0"/>
              <w:spacing w:line="360" w:lineRule="auto"/>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p>
        </w:tc>
        <w:tc>
          <w:tcPr>
            <w:tcW w:w="0" w:type="auto"/>
            <w:vAlign w:val="center"/>
            <w:textDirection w:val="lrTb"/>
            <w:noWrap w:val="false"/>
          </w:tcPr>
          <w:p>
            <w:pPr>
              <w:ind w:left="0" w:right="0" w:firstLine="0"/>
              <w:jc w:val="left"/>
              <w:keepLines w:val="0"/>
              <w:keepNext w:val="0"/>
              <w:pageBreakBefore w:val="0"/>
              <w:spacing w:line="360" w:lineRule="auto"/>
              <w:widowControl/>
              <w:rPr>
                <w:rFonts w:hint="eastAsia" w:ascii="宋体" w:hAnsi="宋体" w:eastAsia="宋体" w:cs="宋体"/>
                <w:spacing w:val="-2"/>
                <w:sz w:val="24"/>
                <w:szCs w:val="24"/>
                <w:highlight w:val="none"/>
                <w:lang w:eastAsia="zh-CN"/>
              </w:rPr>
            </w:pPr>
            <w:r>
              <w:rPr>
                <w:rFonts w:hint="eastAsia" w:ascii="宋体" w:hAnsi="宋体" w:eastAsia="宋体" w:cs="宋体"/>
                <w:spacing w:val="-2"/>
                <w:sz w:val="24"/>
                <w:szCs w:val="24"/>
                <w:highlight w:val="none"/>
              </w:rPr>
              <w:t xml:space="preserve">满足采购文件质保期要求得1分，每增加</w:t>
            </w:r>
            <w:r>
              <w:rPr>
                <w:rFonts w:hint="eastAsia" w:ascii="宋体" w:hAnsi="宋体" w:eastAsia="宋体" w:cs="宋体"/>
                <w:spacing w:val="-2"/>
                <w:sz w:val="24"/>
                <w:szCs w:val="24"/>
                <w:highlight w:val="none"/>
                <w:lang w:val="en-US" w:eastAsia="zh-CN"/>
              </w:rPr>
              <w:t xml:space="preserve">1</w:t>
            </w:r>
            <w:r>
              <w:rPr>
                <w:rFonts w:hint="eastAsia" w:ascii="宋体" w:hAnsi="宋体" w:eastAsia="宋体" w:cs="宋体"/>
                <w:spacing w:val="-2"/>
                <w:sz w:val="24"/>
                <w:szCs w:val="24"/>
                <w:highlight w:val="none"/>
              </w:rPr>
              <w:t xml:space="preserve">年加1.5分，满分4分</w:t>
            </w:r>
            <w:r>
              <w:rPr>
                <w:rFonts w:hint="eastAsia" w:ascii="宋体" w:hAnsi="宋体" w:eastAsia="宋体" w:cs="宋体"/>
                <w:spacing w:val="-2"/>
                <w:sz w:val="24"/>
                <w:szCs w:val="24"/>
                <w:highlight w:val="none"/>
                <w:lang w:eastAsia="zh-CN"/>
              </w:rPr>
              <w:t xml:space="preserve">。</w:t>
            </w:r>
            <w:r/>
          </w:p>
        </w:tc>
        <w:tc>
          <w:tcPr>
            <w:tcW w:w="3468" w:type="dxa"/>
            <w:vAlign w:val="center"/>
            <w:textDirection w:val="lrTb"/>
            <w:noWrap w:val="false"/>
          </w:tcPr>
          <w:p>
            <w:pPr>
              <w:ind w:left="0" w:right="0" w:firstLine="0"/>
              <w:jc w:val="left"/>
              <w:keepLines w:val="0"/>
              <w:keepNext w:val="0"/>
              <w:pageBreakBefore w:val="0"/>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投标时提供原件扫描件并加盖公章</w:t>
            </w:r>
            <w:r>
              <w:rPr>
                <w:rFonts w:hint="eastAsia" w:ascii="宋体" w:hAnsi="宋体" w:cs="宋体"/>
                <w:bCs/>
                <w:color w:val="auto"/>
                <w:sz w:val="24"/>
                <w:szCs w:val="24"/>
                <w:highlight w:val="none"/>
                <w:lang w:val="en-US" w:eastAsia="zh-CN"/>
              </w:rPr>
              <w:t xml:space="preserve">放入</w:t>
            </w:r>
            <w:r>
              <w:rPr>
                <w:rFonts w:hint="eastAsia" w:ascii="宋体" w:hAnsi="宋体" w:eastAsia="宋体" w:cs="宋体"/>
                <w:bCs/>
                <w:color w:val="auto"/>
                <w:sz w:val="24"/>
                <w:szCs w:val="24"/>
                <w:highlight w:val="none"/>
              </w:rPr>
              <w:t xml:space="preserve">投标文件</w:t>
            </w:r>
            <w:r>
              <w:rPr>
                <w:rFonts w:hint="eastAsia" w:ascii="宋体" w:hAnsi="宋体" w:cs="宋体"/>
                <w:bCs/>
                <w:color w:val="auto"/>
                <w:sz w:val="24"/>
                <w:szCs w:val="24"/>
                <w:highlight w:val="none"/>
                <w:lang w:val="en-US" w:eastAsia="zh-CN"/>
              </w:rPr>
              <w:t xml:space="preserve">中。</w:t>
            </w:r>
            <w:r/>
          </w:p>
        </w:tc>
      </w:tr>
      <w:tr>
        <w:trPr>
          <w:trHeight w:val="0"/>
        </w:trPr>
        <w:tc>
          <w:tcPr>
            <w:tcW w:w="936" w:type="dxa"/>
            <w:vAlign w:val="center"/>
            <w:textDirection w:val="lrTb"/>
            <w:noWrap w:val="false"/>
          </w:tcPr>
          <w:p>
            <w:pPr>
              <w:ind w:left="0" w:right="0" w:firstLine="0"/>
              <w:jc w:val="center"/>
              <w:pageBreakBefore w:val="0"/>
              <w:spacing w:line="360" w:lineRule="auto"/>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p>
        </w:tc>
        <w:tc>
          <w:tcPr>
            <w:tcW w:w="780" w:type="dxa"/>
            <w:vAlign w:val="center"/>
            <w:textDirection w:val="lrTb"/>
            <w:noWrap w:val="false"/>
          </w:tcPr>
          <w:p>
            <w:pPr>
              <w:ind w:left="0" w:right="0" w:firstLine="0"/>
              <w:jc w:val="center"/>
              <w:keepLines w:val="0"/>
              <w:keepNext w:val="0"/>
              <w:pageBreakBefore w:val="0"/>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品牌授权资质</w:t>
            </w:r>
            <w:r/>
          </w:p>
        </w:tc>
        <w:tc>
          <w:tcPr>
            <w:tcW w:w="936" w:type="dxa"/>
            <w:vAlign w:val="center"/>
            <w:textDirection w:val="lrTb"/>
            <w:noWrap w:val="false"/>
          </w:tcPr>
          <w:p>
            <w:pPr>
              <w:ind w:left="0" w:right="0" w:firstLine="0"/>
              <w:jc w:val="center"/>
              <w:keepLines w:val="0"/>
              <w:keepNext w:val="0"/>
              <w:pageBreakBefore w:val="0"/>
              <w:spacing w:line="360" w:lineRule="auto"/>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p>
        </w:tc>
        <w:tc>
          <w:tcPr>
            <w:tcW w:w="3670" w:type="dxa"/>
            <w:vAlign w:val="center"/>
            <w:textDirection w:val="lrTb"/>
            <w:noWrap w:val="false"/>
          </w:tcPr>
          <w:p>
            <w:pPr>
              <w:ind w:left="0" w:right="0" w:firstLine="0"/>
              <w:jc w:val="left"/>
              <w:keepLines w:val="0"/>
              <w:keepNext w:val="0"/>
              <w:pageBreakBefore w:val="0"/>
              <w:spacing w:line="360" w:lineRule="auto"/>
              <w:widowControl/>
              <w:rPr>
                <w:rFonts w:hint="eastAsia" w:ascii="宋体" w:hAnsi="宋体" w:eastAsia="宋体" w:cs="宋体"/>
                <w:spacing w:val="-2"/>
                <w:sz w:val="24"/>
                <w:szCs w:val="24"/>
                <w:highlight w:val="none"/>
                <w:lang w:val="en-US" w:eastAsia="zh-CN"/>
              </w:rPr>
            </w:pPr>
            <w:r>
              <w:rPr>
                <w:rFonts w:hint="eastAsia" w:ascii="宋体" w:hAnsi="宋体" w:eastAsia="宋体" w:cs="宋体"/>
                <w:spacing w:val="-2"/>
                <w:sz w:val="24"/>
                <w:szCs w:val="24"/>
                <w:highlight w:val="none"/>
              </w:rPr>
              <w:t xml:space="preserve">投标产品取得厂家授权书的得2分</w:t>
            </w:r>
            <w:r>
              <w:rPr>
                <w:rFonts w:hint="eastAsia" w:ascii="宋体" w:hAnsi="宋体" w:eastAsia="宋体" w:cs="宋体"/>
                <w:spacing w:val="-2"/>
                <w:sz w:val="24"/>
                <w:szCs w:val="24"/>
                <w:highlight w:val="none"/>
                <w:lang w:eastAsia="zh-CN"/>
              </w:rPr>
              <w:t xml:space="preserve">。</w:t>
            </w:r>
            <w:r/>
          </w:p>
        </w:tc>
        <w:tc>
          <w:tcPr>
            <w:tcW w:w="3468" w:type="dxa"/>
            <w:vAlign w:val="center"/>
            <w:textDirection w:val="lrTb"/>
            <w:noWrap w:val="false"/>
          </w:tcPr>
          <w:p>
            <w:pPr>
              <w:ind w:left="0" w:right="0" w:firstLine="0"/>
              <w:jc w:val="left"/>
              <w:keepLines w:val="0"/>
              <w:keepNext w:val="0"/>
              <w:pageBreakBefore w:val="0"/>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投标时提供授权书原件或公证件扫描件并加盖公章</w:t>
            </w:r>
            <w:r>
              <w:rPr>
                <w:rFonts w:hint="eastAsia" w:ascii="宋体" w:hAnsi="宋体" w:cs="宋体"/>
                <w:bCs/>
                <w:color w:val="auto"/>
                <w:sz w:val="24"/>
                <w:szCs w:val="24"/>
                <w:highlight w:val="none"/>
                <w:lang w:val="en-US" w:eastAsia="zh-CN"/>
              </w:rPr>
              <w:t xml:space="preserve">放入</w:t>
            </w:r>
            <w:r>
              <w:rPr>
                <w:rFonts w:hint="eastAsia" w:ascii="宋体" w:hAnsi="宋体" w:eastAsia="宋体" w:cs="宋体"/>
                <w:bCs/>
                <w:color w:val="auto"/>
                <w:sz w:val="24"/>
                <w:szCs w:val="24"/>
                <w:highlight w:val="none"/>
              </w:rPr>
              <w:t xml:space="preserve">投标文件</w:t>
            </w:r>
            <w:r>
              <w:rPr>
                <w:rFonts w:hint="eastAsia" w:ascii="宋体" w:hAnsi="宋体" w:cs="宋体"/>
                <w:bCs/>
                <w:color w:val="auto"/>
                <w:sz w:val="24"/>
                <w:szCs w:val="24"/>
                <w:highlight w:val="none"/>
                <w:lang w:val="en-US" w:eastAsia="zh-CN"/>
              </w:rPr>
              <w:t xml:space="preserve">中。</w:t>
            </w:r>
            <w:r/>
          </w:p>
        </w:tc>
      </w:tr>
    </w:tbl>
    <w:p>
      <w:pPr>
        <w:pStyle w:val="832"/>
        <w:ind w:left="0" w:right="0" w:firstLine="482"/>
        <w:jc w:val="left"/>
        <w:keepLines w:val="0"/>
        <w:keepNext w:val="0"/>
        <w:pageBreakBefore w:val="0"/>
        <w:spacing w:before="0" w:beforeAutospacing="0" w:after="0" w:afterAutospacing="0" w:line="360" w:lineRule="auto"/>
        <w:rPr>
          <w:rFonts w:hint="eastAsia" w:ascii="宋体" w:hAnsi="宋体" w:eastAsia="宋体" w:cs="宋体"/>
          <w:b/>
          <w:color w:val="auto"/>
          <w:sz w:val="24"/>
          <w:szCs w:val="28"/>
          <w:highlight w:val="none"/>
          <w:u w:val="single"/>
          <w:lang w:val="en-US" w:eastAsia="zh-CN"/>
        </w:rPr>
      </w:pPr>
      <w:r>
        <w:rPr>
          <w:rFonts w:hint="eastAsia" w:ascii="宋体" w:hAnsi="宋体" w:eastAsia="宋体" w:cs="宋体"/>
          <w:b/>
          <w:color w:val="auto"/>
          <w:sz w:val="24"/>
          <w:szCs w:val="28"/>
          <w:highlight w:val="none"/>
          <w:lang w:val="en-US" w:eastAsia="zh-CN"/>
        </w:rPr>
        <w:t xml:space="preserve">（三）技术方案（</w:t>
      </w:r>
      <w:r>
        <w:rPr>
          <w:rFonts w:hint="eastAsia" w:ascii="宋体" w:hAnsi="宋体" w:cs="宋体"/>
          <w:b/>
          <w:color w:val="auto"/>
          <w:sz w:val="24"/>
          <w:szCs w:val="28"/>
          <w:highlight w:val="none"/>
          <w:lang w:val="en-US" w:eastAsia="zh-CN"/>
        </w:rPr>
        <w:t xml:space="preserve">58</w:t>
      </w:r>
      <w:r>
        <w:rPr>
          <w:rFonts w:hint="eastAsia" w:ascii="宋体" w:hAnsi="宋体" w:eastAsia="宋体" w:cs="宋体"/>
          <w:b/>
          <w:color w:val="auto"/>
          <w:sz w:val="24"/>
          <w:szCs w:val="28"/>
          <w:highlight w:val="none"/>
          <w:lang w:val="en-US" w:eastAsia="zh-CN"/>
        </w:rPr>
        <w:t xml:space="preserve">分）</w:t>
      </w:r>
      <w:r/>
    </w:p>
    <w:tbl>
      <w:tblPr>
        <w:tblStyle w:val="745"/>
        <w:tblpPr w:horzAnchor="text" w:tblpXSpec="left" w:vertAnchor="text" w:tblpY="1" w:leftFromText="180" w:topFromText="0" w:rightFromText="180" w:bottomFromText="0"/>
        <w:tblW w:w="996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92"/>
        <w:gridCol w:w="667"/>
        <w:gridCol w:w="492"/>
        <w:gridCol w:w="4621"/>
        <w:gridCol w:w="3690"/>
      </w:tblGrid>
      <w:tr>
        <w:trPr>
          <w:trHeight w:val="0"/>
          <w:tblHeader/>
        </w:trPr>
        <w:tc>
          <w:tcPr>
            <w:tcW w:w="0" w:type="auto"/>
            <w:vAlign w:val="center"/>
            <w:textDirection w:val="lrTb"/>
            <w:noWrap w:val="false"/>
          </w:tcPr>
          <w:p>
            <w:pPr>
              <w:ind w:left="0" w:right="0" w:firstLine="0"/>
              <w:jc w:val="center"/>
              <w:keepNex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W w:w="0" w:type="auto"/>
            <w:vAlign w:val="center"/>
            <w:textDirection w:val="lrTb"/>
            <w:noWrap w:val="false"/>
          </w:tcPr>
          <w:p>
            <w:pPr>
              <w:ind w:left="0" w:right="0" w:firstLine="0"/>
              <w:jc w:val="center"/>
              <w:keepNex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评分项目</w:t>
            </w:r>
            <w:r/>
          </w:p>
        </w:tc>
        <w:tc>
          <w:tcPr>
            <w:tcW w:w="0" w:type="auto"/>
            <w:vAlign w:val="center"/>
            <w:textDirection w:val="lrTb"/>
            <w:noWrap w:val="false"/>
          </w:tcPr>
          <w:p>
            <w:pPr>
              <w:ind w:left="0" w:right="0" w:firstLine="0"/>
              <w:jc w:val="center"/>
              <w:keepNex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分值</w:t>
            </w:r>
            <w:r/>
          </w:p>
        </w:tc>
        <w:tc>
          <w:tcPr>
            <w:tcW w:w="4621" w:type="dxa"/>
            <w:vAlign w:val="center"/>
            <w:textDirection w:val="lrTb"/>
            <w:noWrap w:val="false"/>
          </w:tcPr>
          <w:p>
            <w:pPr>
              <w:ind w:left="0" w:right="0" w:firstLine="0"/>
              <w:jc w:val="center"/>
              <w:keepNex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评分标准</w:t>
            </w:r>
            <w:r/>
          </w:p>
        </w:tc>
        <w:tc>
          <w:tcPr>
            <w:tcW w:w="3690" w:type="dxa"/>
            <w:vAlign w:val="center"/>
            <w:textDirection w:val="lrTb"/>
            <w:noWrap w:val="false"/>
          </w:tcPr>
          <w:p>
            <w:pPr>
              <w:ind w:left="0" w:right="0" w:firstLine="0"/>
              <w:jc w:val="center"/>
              <w:keepNex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备注</w:t>
            </w:r>
            <w:r/>
          </w:p>
        </w:tc>
      </w:tr>
      <w:tr>
        <w:trPr>
          <w:trHeight w:val="0"/>
        </w:trPr>
        <w:tc>
          <w:tcPr>
            <w:tcW w:w="0" w:type="auto"/>
            <w:vAlign w:val="center"/>
            <w:textDirection w:val="lrTb"/>
            <w:noWrap w:val="false"/>
          </w:tcPr>
          <w:p>
            <w:pPr>
              <w:ind w:left="0" w:right="0" w:firstLine="0"/>
              <w:jc w:val="center"/>
              <w:keepNex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0" w:type="auto"/>
            <w:vAlign w:val="center"/>
            <w:textDirection w:val="lrTb"/>
            <w:noWrap w:val="false"/>
          </w:tcPr>
          <w:p>
            <w:pPr>
              <w:ind w:left="0" w:right="0" w:firstLine="0"/>
              <w:jc w:val="center"/>
              <w:keepNex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技术规格及性能</w:t>
            </w:r>
            <w:r/>
          </w:p>
        </w:tc>
        <w:tc>
          <w:tcPr>
            <w:tcW w:w="0" w:type="auto"/>
            <w:vAlign w:val="center"/>
            <w:textDirection w:val="lrTb"/>
            <w:noWrap w:val="false"/>
          </w:tcPr>
          <w:p>
            <w:pPr>
              <w:ind w:left="0" w:right="0" w:firstLine="0"/>
              <w:jc w:val="center"/>
              <w:keepNex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w:t>
            </w:r>
            <w:r>
              <w:rPr>
                <w:rFonts w:hint="eastAsia" w:ascii="宋体" w:hAnsi="宋体" w:cs="宋体"/>
                <w:color w:val="auto"/>
                <w:sz w:val="24"/>
                <w:szCs w:val="24"/>
                <w:highlight w:val="none"/>
                <w:lang w:val="en-US" w:eastAsia="zh-CN"/>
              </w:rPr>
              <w:t xml:space="preserve">1</w:t>
            </w:r>
            <w:r/>
          </w:p>
        </w:tc>
        <w:tc>
          <w:tcPr>
            <w:tcW w:w="4621" w:type="dxa"/>
            <w:vAlign w:val="center"/>
            <w:textDirection w:val="lrTb"/>
            <w:noWrap w:val="false"/>
          </w:tcPr>
          <w:p>
            <w:pPr>
              <w:ind w:left="0" w:right="0" w:firstLine="0"/>
              <w:jc w:val="left"/>
              <w:keepLines w:val="0"/>
              <w:keepNext/>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bCs/>
                <w:sz w:val="24"/>
                <w:szCs w:val="24"/>
                <w:highlight w:val="none"/>
                <w:lang w:bidi="ar"/>
              </w:rPr>
              <w:t xml:space="preserve">所购仪器技术参数响应情况占4</w:t>
            </w:r>
            <w:r>
              <w:rPr>
                <w:rFonts w:hint="eastAsia" w:ascii="宋体" w:hAnsi="宋体" w:cs="宋体"/>
                <w:bCs/>
                <w:sz w:val="24"/>
                <w:szCs w:val="24"/>
                <w:highlight w:val="none"/>
                <w:lang w:val="en-US" w:eastAsia="zh-CN" w:bidi="ar"/>
              </w:rPr>
              <w:t xml:space="preserve">1</w:t>
            </w:r>
            <w:r>
              <w:rPr>
                <w:rFonts w:hint="eastAsia" w:ascii="宋体" w:hAnsi="宋体" w:eastAsia="宋体" w:cs="宋体"/>
                <w:bCs/>
                <w:sz w:val="24"/>
                <w:szCs w:val="24"/>
                <w:highlight w:val="none"/>
                <w:lang w:bidi="ar"/>
              </w:rPr>
              <w:t xml:space="preserve">分，具体由评委根据投标人的投标文件中产品情况、《投标分项报价表》《技术参数偏离表》《商务条款偏离表》等有关资料打分。其中：完全满足招标文件及技术参数要求的得分；招标文件中标注“★”的内容为关键参数要求，有一项负偏离的，扣2.5分。其他参数为常规参数，有负偏离的，则每项扣2分，扣完为止。</w:t>
            </w:r>
            <w:r/>
          </w:p>
        </w:tc>
        <w:tc>
          <w:tcPr>
            <w:tcW w:w="3690" w:type="dxa"/>
            <w:vAlign w:val="center"/>
            <w:textDirection w:val="lrTb"/>
            <w:noWrap w:val="false"/>
          </w:tcPr>
          <w:p>
            <w:pPr>
              <w:ind w:left="0" w:right="0" w:firstLine="0"/>
              <w:jc w:val="left"/>
              <w:keepNext/>
              <w:spacing w:line="360" w:lineRule="auto"/>
              <w:tabs>
                <w:tab w:val="left" w:pos="298" w:leader="none"/>
              </w:tabs>
              <w:rPr>
                <w:rFonts w:hint="eastAsia" w:ascii="宋体" w:hAnsi="宋体" w:eastAsia="宋体" w:cs="宋体"/>
                <w:b/>
                <w:sz w:val="24"/>
                <w:szCs w:val="24"/>
                <w:highlight w:val="none"/>
                <w:lang w:bidi="ar"/>
              </w:rPr>
            </w:pPr>
            <w:r>
              <w:rPr>
                <w:rFonts w:hint="eastAsia" w:ascii="宋体" w:hAnsi="宋体" w:eastAsia="宋体" w:cs="宋体"/>
                <w:b/>
                <w:sz w:val="24"/>
                <w:szCs w:val="24"/>
                <w:highlight w:val="none"/>
                <w:lang w:bidi="ar"/>
              </w:rPr>
              <w:t xml:space="preserve">注：投标产品技术指标在技术偏差表中，星号技术指标（★）为关键性参数，必须提供相关证明材料（如产品说明书、产品彩页、相关检测报告等相关证明性技术材料</w:t>
            </w:r>
            <w:r>
              <w:rPr>
                <w:rFonts w:hint="eastAsia" w:ascii="宋体" w:hAnsi="宋体" w:eastAsia="宋体" w:cs="宋体"/>
                <w:b/>
                <w:bCs w:val="0"/>
                <w:color w:val="auto"/>
                <w:sz w:val="24"/>
                <w:szCs w:val="24"/>
                <w:highlight w:val="none"/>
                <w:lang w:bidi="ar"/>
              </w:rPr>
              <w:t xml:space="preserve">，加盖制造商公章，不提供或者提供的证明材</w:t>
            </w:r>
            <w:r>
              <w:rPr>
                <w:rFonts w:hint="eastAsia" w:ascii="宋体" w:hAnsi="宋体" w:eastAsia="宋体" w:cs="宋体"/>
                <w:b/>
                <w:sz w:val="24"/>
                <w:szCs w:val="24"/>
                <w:highlight w:val="none"/>
                <w:lang w:bidi="ar"/>
              </w:rPr>
              <w:t xml:space="preserve">料不全则视为负偏离）。</w:t>
            </w:r>
            <w:r/>
          </w:p>
          <w:p>
            <w:pPr>
              <w:ind w:left="0" w:right="0" w:firstLine="0"/>
              <w:jc w:val="left"/>
              <w:keepNext/>
              <w:spacing w:line="360" w:lineRule="auto"/>
              <w:tabs>
                <w:tab w:val="left" w:pos="298" w:leader="none"/>
              </w:tabs>
              <w:rPr>
                <w:rFonts w:hint="eastAsia" w:ascii="宋体" w:hAnsi="宋体" w:eastAsia="宋体" w:cs="宋体"/>
                <w:color w:val="auto"/>
                <w:sz w:val="24"/>
                <w:szCs w:val="24"/>
                <w:highlight w:val="none"/>
              </w:rPr>
            </w:pPr>
            <w:r>
              <w:rPr>
                <w:rFonts w:hint="eastAsia" w:ascii="宋体" w:hAnsi="宋体" w:eastAsia="宋体" w:cs="宋体"/>
                <w:b/>
                <w:bCs w:val="0"/>
                <w:sz w:val="24"/>
                <w:szCs w:val="24"/>
                <w:highlight w:val="none"/>
                <w:lang w:bidi="ar"/>
              </w:rPr>
              <w:t xml:space="preserve">投标人须对照招标文件“采购需求”中技术参数要求逐条列出并对比，其中“投标货物技术指标描述”一栏须详细说明投标产品的具体量化参数，如照抄招标文件要求或只写“完全响应”等字样的均不得分。</w:t>
            </w:r>
            <w:r/>
          </w:p>
        </w:tc>
      </w:tr>
      <w:tr>
        <w:trPr>
          <w:trHeight w:val="0"/>
        </w:trPr>
        <w:tc>
          <w:tcPr>
            <w:tcW w:w="0" w:type="auto"/>
            <w:vAlign w:val="center"/>
            <w:textDirection w:val="lrTb"/>
            <w:noWrap w:val="false"/>
          </w:tcPr>
          <w:p>
            <w:pPr>
              <w:ind w:left="0" w:right="0" w:firstLine="0"/>
              <w:jc w:val="center"/>
              <w:keepNex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p>
        </w:tc>
        <w:tc>
          <w:tcPr>
            <w:tcW w:w="0" w:type="auto"/>
            <w:vAlign w:val="center"/>
            <w:textDirection w:val="lrTb"/>
            <w:noWrap w:val="false"/>
          </w:tcPr>
          <w:p>
            <w:pPr>
              <w:ind w:left="0" w:right="0" w:firstLine="0"/>
              <w:jc w:val="center"/>
              <w:keepNext/>
              <w:spacing w:line="360" w:lineRule="auto"/>
              <w:rPr>
                <w:rFonts w:hint="eastAsia" w:ascii="宋体" w:hAnsi="宋体" w:eastAsia="宋体" w:cs="宋体"/>
                <w:color w:val="auto"/>
                <w:sz w:val="24"/>
                <w:szCs w:val="24"/>
                <w:highlight w:val="none"/>
              </w:rPr>
            </w:pPr>
            <w:r>
              <w:rPr>
                <w:rFonts w:hint="eastAsia" w:ascii="宋体" w:hAnsi="宋体" w:eastAsia="宋体" w:cs="宋体"/>
                <w:b w:val="0"/>
                <w:bCs w:val="0"/>
                <w:sz w:val="24"/>
                <w:szCs w:val="24"/>
                <w:highlight w:val="none"/>
                <w:lang w:bidi="ar"/>
              </w:rPr>
              <w:t xml:space="preserve">供</w:t>
            </w:r>
            <w:r>
              <w:rPr>
                <w:rFonts w:hint="eastAsia" w:ascii="宋体" w:hAnsi="宋体" w:eastAsia="宋体" w:cs="宋体"/>
                <w:sz w:val="24"/>
                <w:szCs w:val="24"/>
                <w:highlight w:val="none"/>
                <w:lang w:bidi="ar"/>
              </w:rPr>
              <w:t xml:space="preserve">货措施</w:t>
            </w:r>
            <w:r/>
          </w:p>
        </w:tc>
        <w:tc>
          <w:tcPr>
            <w:tcW w:w="0" w:type="auto"/>
            <w:vAlign w:val="center"/>
            <w:textDirection w:val="lrTb"/>
            <w:noWrap w:val="false"/>
          </w:tcPr>
          <w:p>
            <w:pPr>
              <w:ind w:left="0" w:right="0" w:firstLine="0"/>
              <w:jc w:val="center"/>
              <w:keepNext/>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p>
        </w:tc>
        <w:tc>
          <w:tcPr>
            <w:tcW w:w="4621" w:type="dxa"/>
            <w:vAlign w:val="center"/>
            <w:textDirection w:val="lrTb"/>
            <w:noWrap w:val="false"/>
          </w:tcPr>
          <w:p>
            <w:pPr>
              <w:numPr>
                <w:ilvl w:val="-1"/>
                <w:numId w:val="0"/>
              </w:numPr>
              <w:ind w:left="0" w:right="0" w:firstLine="0"/>
              <w:jc w:val="left"/>
              <w:keepNex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根据投标人建议的配送、安装、调试、验收方法或方案先进合理进行评审。</w:t>
            </w:r>
            <w:r/>
          </w:p>
          <w:p>
            <w:pPr>
              <w:numPr>
                <w:ilvl w:val="-1"/>
                <w:numId w:val="0"/>
              </w:numPr>
              <w:ind w:left="0" w:right="0" w:firstLine="0"/>
              <w:jc w:val="left"/>
              <w:keepNex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方案清晰、合理、详细、全面、针对性强、可行性强的，得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分；</w:t>
            </w:r>
            <w:r/>
          </w:p>
          <w:p>
            <w:pPr>
              <w:numPr>
                <w:ilvl w:val="-1"/>
                <w:numId w:val="0"/>
              </w:numPr>
              <w:ind w:left="0" w:right="0" w:firstLine="0"/>
              <w:jc w:val="left"/>
              <w:keepNex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方案较清晰、较合理、较详细、较全面、针对性较强、可行性较强的，得2分；</w:t>
            </w:r>
            <w:r/>
          </w:p>
          <w:p>
            <w:pPr>
              <w:numPr>
                <w:ilvl w:val="-1"/>
                <w:numId w:val="0"/>
              </w:numPr>
              <w:ind w:left="0" w:right="0" w:firstLine="0"/>
              <w:jc w:val="left"/>
              <w:keepNex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方案清晰度、合理性、详细性、全面性、针对性、可行性均一般的，得1分；</w:t>
            </w:r>
            <w:r/>
          </w:p>
          <w:p>
            <w:pPr>
              <w:numPr>
                <w:ilvl w:val="-1"/>
                <w:numId w:val="0"/>
              </w:numPr>
              <w:ind w:left="0" w:right="0" w:firstLine="0"/>
              <w:jc w:val="left"/>
              <w:keepNex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未提供方案或不满足项目需求书要求的得0分。</w:t>
            </w:r>
            <w:r/>
          </w:p>
        </w:tc>
        <w:tc>
          <w:tcPr>
            <w:tcW w:w="3690" w:type="dxa"/>
            <w:vAlign w:val="center"/>
            <w:textDirection w:val="lrTb"/>
            <w:noWrap w:val="false"/>
          </w:tcPr>
          <w:p>
            <w:pPr>
              <w:ind w:left="0" w:right="0" w:firstLine="0"/>
              <w:jc w:val="left"/>
              <w:keepNex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0"/>
        </w:trPr>
        <w:tc>
          <w:tcPr>
            <w:tcW w:w="0" w:type="auto"/>
            <w:vAlign w:val="center"/>
            <w:textDirection w:val="lrTb"/>
            <w:noWrap w:val="false"/>
          </w:tcPr>
          <w:p>
            <w:pPr>
              <w:ind w:left="0" w:right="0" w:firstLine="0"/>
              <w:jc w:val="center"/>
              <w:keepNex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p>
        </w:tc>
        <w:tc>
          <w:tcPr>
            <w:tcW w:w="0" w:type="auto"/>
            <w:vAlign w:val="center"/>
            <w:textDirection w:val="lrTb"/>
            <w:noWrap w:val="false"/>
          </w:tcPr>
          <w:p>
            <w:pPr>
              <w:ind w:left="0" w:right="0" w:firstLine="0"/>
              <w:jc w:val="center"/>
              <w:keepNext/>
              <w:spacing w:line="360" w:lineRule="auto"/>
              <w:rPr>
                <w:rFonts w:hint="eastAsia" w:ascii="宋体" w:hAnsi="宋体" w:eastAsia="宋体" w:cs="宋体"/>
                <w:color w:val="auto"/>
                <w:sz w:val="24"/>
                <w:szCs w:val="24"/>
                <w:highlight w:val="none"/>
              </w:rPr>
            </w:pPr>
            <w:r>
              <w:rPr>
                <w:rFonts w:hint="eastAsia" w:ascii="宋体" w:hAnsi="宋体" w:eastAsia="宋体" w:cs="宋体"/>
                <w:sz w:val="24"/>
                <w:szCs w:val="24"/>
                <w:highlight w:val="none"/>
                <w:lang w:bidi="ar"/>
              </w:rPr>
              <w:t xml:space="preserve">培训及技术方案</w:t>
            </w:r>
            <w:r/>
          </w:p>
        </w:tc>
        <w:tc>
          <w:tcPr>
            <w:tcW w:w="0" w:type="auto"/>
            <w:vAlign w:val="center"/>
            <w:textDirection w:val="lrTb"/>
            <w:noWrap w:val="false"/>
          </w:tcPr>
          <w:p>
            <w:pPr>
              <w:ind w:left="0" w:right="0" w:firstLine="0"/>
              <w:jc w:val="center"/>
              <w:keepNext/>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p>
        </w:tc>
        <w:tc>
          <w:tcPr>
            <w:tcW w:w="4621" w:type="dxa"/>
            <w:vAlign w:val="center"/>
            <w:textDirection w:val="lrTb"/>
            <w:noWrap w:val="false"/>
          </w:tcPr>
          <w:p>
            <w:pPr>
              <w:ind w:left="0" w:right="0" w:firstLine="0"/>
              <w:jc w:val="left"/>
              <w:keepNex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根据投标人培训及技术方案内容合理，计划详细程度进行评审。</w:t>
            </w:r>
            <w:r/>
          </w:p>
          <w:p>
            <w:pPr>
              <w:ind w:left="0" w:right="0" w:firstLine="0"/>
              <w:jc w:val="left"/>
              <w:keepNex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方案清晰、合理、详细、全面、针对性强、可行性强的，得</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分；</w:t>
            </w:r>
            <w:r/>
          </w:p>
          <w:p>
            <w:pPr>
              <w:ind w:left="0" w:right="0" w:firstLine="0"/>
              <w:jc w:val="left"/>
              <w:keepNex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方案较清晰、较合理、较详细、较全面、针对性较强、可行性较强的，得2分；</w:t>
            </w:r>
            <w:r/>
          </w:p>
          <w:p>
            <w:pPr>
              <w:ind w:left="0" w:right="0" w:firstLine="0"/>
              <w:jc w:val="left"/>
              <w:keepNex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方案清晰度、合理性、详细性、全面性、针对性、可行性均一般的，得1分；</w:t>
            </w:r>
            <w:r/>
          </w:p>
          <w:p>
            <w:pPr>
              <w:ind w:left="0" w:right="0" w:firstLine="0"/>
              <w:jc w:val="left"/>
              <w:keepNex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未提供方案或不满足项目需求书要求的得0分。</w:t>
            </w:r>
            <w:r/>
          </w:p>
        </w:tc>
        <w:tc>
          <w:tcPr>
            <w:tcW w:w="3690" w:type="dxa"/>
            <w:vAlign w:val="center"/>
            <w:textDirection w:val="lrTb"/>
            <w:noWrap w:val="false"/>
          </w:tcPr>
          <w:p>
            <w:pPr>
              <w:ind w:left="0" w:right="0" w:firstLine="0"/>
              <w:jc w:val="center"/>
              <w:keepNex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r>
        <w:trPr>
          <w:trHeight w:val="0"/>
        </w:trPr>
        <w:tc>
          <w:tcPr>
            <w:tcW w:w="0" w:type="auto"/>
            <w:vAlign w:val="center"/>
            <w:textDirection w:val="lrTb"/>
            <w:noWrap w:val="false"/>
          </w:tcPr>
          <w:p>
            <w:pPr>
              <w:ind w:left="0" w:right="0" w:firstLine="0"/>
              <w:jc w:val="center"/>
              <w:keepNex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p>
        </w:tc>
        <w:tc>
          <w:tcPr>
            <w:tcW w:w="0" w:type="auto"/>
            <w:vAlign w:val="center"/>
            <w:textDirection w:val="lrTb"/>
            <w:noWrap w:val="false"/>
          </w:tcPr>
          <w:p>
            <w:pPr>
              <w:ind w:left="0" w:right="0" w:firstLine="0"/>
              <w:jc w:val="center"/>
              <w:keepNext/>
              <w:spacing w:line="360" w:lineRule="auto"/>
              <w:rPr>
                <w:rFonts w:hint="eastAsia" w:ascii="宋体" w:hAnsi="宋体" w:eastAsia="宋体" w:cs="宋体"/>
                <w:bCs/>
                <w:color w:val="auto"/>
                <w:sz w:val="24"/>
                <w:szCs w:val="24"/>
                <w:highlight w:val="none"/>
              </w:rPr>
            </w:pPr>
            <w:r>
              <w:rPr>
                <w:rFonts w:hint="eastAsia" w:ascii="宋体" w:hAnsi="宋体" w:eastAsia="宋体" w:cs="宋体"/>
                <w:sz w:val="24"/>
                <w:szCs w:val="24"/>
                <w:highlight w:val="none"/>
                <w:lang w:bidi="ar"/>
              </w:rPr>
              <w:t xml:space="preserve">售后服务方案</w:t>
            </w:r>
            <w:r/>
          </w:p>
        </w:tc>
        <w:tc>
          <w:tcPr>
            <w:tcW w:w="0" w:type="auto"/>
            <w:vAlign w:val="center"/>
            <w:textDirection w:val="lrTb"/>
            <w:noWrap w:val="false"/>
          </w:tcPr>
          <w:p>
            <w:pPr>
              <w:ind w:left="0" w:right="0" w:firstLine="0"/>
              <w:jc w:val="center"/>
              <w:keepNext/>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w:t>
            </w:r>
            <w:r/>
          </w:p>
        </w:tc>
        <w:tc>
          <w:tcPr>
            <w:tcW w:w="4621" w:type="dxa"/>
            <w:vAlign w:val="center"/>
            <w:textDirection w:val="lrTb"/>
            <w:noWrap w:val="false"/>
          </w:tcPr>
          <w:p>
            <w:pPr>
              <w:ind w:left="0" w:right="0" w:firstLine="0"/>
              <w:jc w:val="left"/>
              <w:keepNex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①响应与咨询（技术支持）（2分）：根据用户方在使用设备的过程中遇到的技术问题、故障时，投标人的响应时间进行评审。</w:t>
            </w:r>
            <w:r/>
          </w:p>
          <w:p>
            <w:pPr>
              <w:ind w:left="0" w:right="0" w:firstLine="0"/>
              <w:jc w:val="left"/>
              <w:keepNex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方案清晰、合理、详细、全面、针对性强、可行性强的，得2分；</w:t>
            </w:r>
            <w:r/>
          </w:p>
          <w:p>
            <w:pPr>
              <w:ind w:left="0" w:right="0" w:firstLine="0"/>
              <w:jc w:val="left"/>
              <w:keepNex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方案较清晰、较合理、较详细、较全面、针对性较强、可行性较强的或方案清晰度、合理性、详细性、全面性、针对性、可行性均一般的，得1分；</w:t>
            </w:r>
            <w:r/>
          </w:p>
          <w:p>
            <w:pPr>
              <w:ind w:left="0" w:right="0" w:firstLine="0"/>
              <w:jc w:val="left"/>
              <w:keepNex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未提供方案或不满足项目需求书要求的得0分。</w:t>
            </w:r>
            <w:r/>
          </w:p>
          <w:p>
            <w:pPr>
              <w:ind w:left="0" w:right="0" w:firstLine="0"/>
              <w:jc w:val="left"/>
              <w:keepNex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②维修维保（</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分）：根据投标人服务体系、维保队伍体系、备品备件优惠情况、质保期外维修服务内容进行评审。</w:t>
            </w:r>
            <w:r/>
          </w:p>
          <w:p>
            <w:pPr>
              <w:ind w:left="0" w:right="0" w:firstLine="0"/>
              <w:jc w:val="left"/>
              <w:keepNex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方案清晰、合理、详细、全面、针对性强、可行性较强的，得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w:t>
            </w:r>
            <w:r/>
          </w:p>
          <w:p>
            <w:pPr>
              <w:ind w:left="0" w:right="0" w:firstLine="0"/>
              <w:jc w:val="left"/>
              <w:keepNex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方案清晰度、合理性、详细性、全面性、针对性、可行性均一般的，得1分；</w:t>
            </w:r>
            <w:r/>
          </w:p>
          <w:p>
            <w:pPr>
              <w:ind w:left="0" w:right="0" w:firstLine="0"/>
              <w:jc w:val="left"/>
              <w:keepNex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未提供方案或不满足项目需求书要求的得0分。</w:t>
            </w:r>
            <w:r/>
          </w:p>
          <w:p>
            <w:pPr>
              <w:ind w:left="0" w:right="0" w:firstLine="0"/>
              <w:jc w:val="left"/>
              <w:keepNex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③针对客户检测应用场景提供合理化建议（3分）：根据投标人合理化建议方案进行评审。</w:t>
            </w:r>
            <w:r/>
          </w:p>
          <w:p>
            <w:pPr>
              <w:ind w:left="0" w:right="0" w:firstLine="0"/>
              <w:jc w:val="left"/>
              <w:keepNex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方案清晰、合理、详细、全面、针对性强、可行性强的，得3分；</w:t>
            </w:r>
            <w:r/>
          </w:p>
          <w:p>
            <w:pPr>
              <w:ind w:left="0" w:right="0" w:firstLine="0"/>
              <w:jc w:val="left"/>
              <w:keepNex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方案清晰度、合理性、详细性、全面性、针对性、可行性均一般的，得1分；</w:t>
            </w:r>
            <w:r/>
          </w:p>
          <w:p>
            <w:pPr>
              <w:ind w:left="0" w:right="0" w:firstLine="0"/>
              <w:jc w:val="left"/>
              <w:keepNex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未提供方案或不满足项目需求书要求的得0分。</w:t>
            </w:r>
            <w:r/>
          </w:p>
        </w:tc>
        <w:tc>
          <w:tcPr>
            <w:tcW w:w="3690" w:type="dxa"/>
            <w:vAlign w:val="center"/>
            <w:textDirection w:val="lrTb"/>
            <w:noWrap w:val="false"/>
          </w:tcPr>
          <w:p>
            <w:pPr>
              <w:ind w:left="0" w:right="0" w:firstLine="0"/>
              <w:jc w:val="center"/>
              <w:keepNex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pStyle w:val="820"/>
        <w:ind w:left="0" w:right="0" w:firstLine="480"/>
        <w:jc w:val="left"/>
        <w:pageBreakBefore w:val="0"/>
        <w:spacing w:beforeAutospacing="0" w:afterAutospacing="0" w:line="360" w:lineRule="auto"/>
        <w:rPr>
          <w:rFonts w:hint="eastAsia" w:ascii="宋体" w:hAnsi="宋体" w:eastAsia="宋体" w:cs="宋体"/>
          <w:color w:val="auto"/>
          <w:sz w:val="24"/>
          <w:highlight w:val="none"/>
        </w:rPr>
        <w:sectPr>
          <w:footnotePr/>
          <w:endnotePr/>
          <w:type w:val="nextPage"/>
          <w:pgSz w:w="11906" w:h="16838" w:orient="portrait"/>
          <w:pgMar w:top="1440" w:right="1080" w:bottom="1440" w:left="1080" w:header="851" w:footer="907" w:gutter="0"/>
          <w:cols w:num="1" w:sep="0" w:space="720" w:equalWidth="1"/>
          <w:docGrid w:linePitch="360"/>
          <w:titlePg/>
        </w:sectPr>
      </w:pPr>
      <w:r>
        <w:rPr>
          <w:rFonts w:hint="eastAsia" w:ascii="宋体" w:hAnsi="宋体" w:eastAsia="宋体" w:cs="宋体"/>
          <w:color w:val="auto"/>
          <w:sz w:val="24"/>
          <w:highlight w:val="none"/>
        </w:rPr>
      </w:r>
      <w:r/>
    </w:p>
    <w:p>
      <w:pPr>
        <w:ind w:left="0" w:right="0" w:firstLine="0"/>
        <w:jc w:val="center"/>
        <w:pageBreakBefore w:val="0"/>
        <w:spacing w:before="200" w:beforeAutospacing="0" w:after="200" w:afterAutospacing="0" w:line="240" w:lineRule="auto"/>
        <w:rPr>
          <w:rFonts w:hint="eastAsia" w:ascii="宋体" w:hAnsi="宋体" w:eastAsia="宋体" w:cs="宋体"/>
          <w:b/>
          <w:bCs w:val="0"/>
          <w:color w:val="auto"/>
          <w:sz w:val="30"/>
          <w:szCs w:val="30"/>
          <w:highlight w:val="none"/>
        </w:rPr>
        <w:outlineLvl w:val="0"/>
      </w:pPr>
      <w:r/>
      <w:bookmarkStart w:id="201" w:name="_Toc25872"/>
      <w:r>
        <w:rPr>
          <w:rFonts w:hint="eastAsia" w:ascii="宋体" w:hAnsi="宋体" w:eastAsia="宋体" w:cs="宋体"/>
          <w:b/>
          <w:bCs w:val="0"/>
          <w:color w:val="auto"/>
          <w:sz w:val="30"/>
          <w:szCs w:val="30"/>
          <w:highlight w:val="none"/>
        </w:rPr>
        <w:t xml:space="preserve">第六章  </w:t>
      </w:r>
      <w:bookmarkEnd w:id="191"/>
      <w:r/>
      <w:bookmarkEnd w:id="192"/>
      <w:r/>
      <w:bookmarkEnd w:id="200"/>
      <w:r>
        <w:rPr>
          <w:rFonts w:hint="eastAsia" w:ascii="宋体" w:hAnsi="宋体" w:eastAsia="宋体" w:cs="宋体"/>
          <w:b/>
          <w:bCs w:val="0"/>
          <w:color w:val="auto"/>
          <w:sz w:val="30"/>
          <w:szCs w:val="30"/>
          <w:highlight w:val="none"/>
        </w:rPr>
        <w:t xml:space="preserve">投标文件内容与格式</w:t>
      </w:r>
      <w:bookmarkEnd w:id="201"/>
      <w:r/>
      <w:r/>
    </w:p>
    <w:p>
      <w:pPr>
        <w:pStyle w:val="832"/>
        <w:ind w:left="0" w:right="0" w:firstLine="482"/>
        <w:jc w:val="left"/>
        <w:pageBreakBefore w:val="0"/>
        <w:spacing w:before="0" w:beforeAutospacing="0" w:after="0" w:afterAutospacing="0" w:line="360" w:lineRule="auto"/>
        <w:rPr>
          <w:rFonts w:hint="eastAsia" w:ascii="宋体" w:hAnsi="宋体" w:eastAsia="宋体" w:cs="宋体"/>
          <w:b/>
          <w:color w:val="auto"/>
          <w:sz w:val="24"/>
          <w:szCs w:val="30"/>
          <w:highlight w:val="none"/>
        </w:rPr>
      </w:pPr>
      <w:r/>
      <w:bookmarkStart w:id="202" w:name="_Hlt26671244"/>
      <w:r/>
      <w:bookmarkEnd w:id="202"/>
      <w:r/>
      <w:bookmarkStart w:id="203" w:name="_Hlt26955039"/>
      <w:r/>
      <w:bookmarkEnd w:id="203"/>
      <w:r/>
      <w:bookmarkStart w:id="204" w:name="_Toc120614282"/>
      <w:r/>
      <w:bookmarkStart w:id="205" w:name="_Toc49090576"/>
      <w:r/>
      <w:bookmarkStart w:id="206" w:name="_Toc26554094"/>
      <w:r>
        <w:rPr>
          <w:rFonts w:hint="eastAsia" w:ascii="宋体" w:hAnsi="宋体" w:eastAsia="宋体" w:cs="宋体"/>
          <w:b/>
          <w:color w:val="auto"/>
          <w:sz w:val="24"/>
          <w:szCs w:val="30"/>
          <w:highlight w:val="none"/>
        </w:rPr>
        <w:t xml:space="preserve">第一部分  投标文件内容</w:t>
      </w:r>
      <w:r/>
    </w:p>
    <w:p>
      <w:pPr>
        <w:pStyle w:val="832"/>
        <w:ind w:left="0" w:right="0" w:firstLine="482"/>
        <w:jc w:val="left"/>
        <w:pageBreakBefore w:val="0"/>
        <w:spacing w:before="0" w:beforeAutospacing="0" w:after="0" w:afterAutospacing="0" w:line="360" w:lineRule="auto"/>
        <w:rPr>
          <w:rFonts w:hint="eastAsia" w:ascii="宋体" w:hAnsi="宋体" w:eastAsia="宋体" w:cs="宋体"/>
          <w:b/>
          <w:color w:val="auto"/>
          <w:sz w:val="24"/>
          <w:szCs w:val="28"/>
          <w:highlight w:val="none"/>
        </w:rPr>
      </w:pPr>
      <w:r>
        <w:rPr>
          <w:rFonts w:hint="eastAsia" w:ascii="宋体" w:hAnsi="宋体" w:eastAsia="宋体" w:cs="宋体"/>
          <w:b/>
          <w:color w:val="auto"/>
          <w:sz w:val="24"/>
          <w:szCs w:val="28"/>
          <w:highlight w:val="none"/>
        </w:rPr>
        <w:t xml:space="preserve">一、资格证明文件</w:t>
      </w:r>
      <w:r/>
    </w:p>
    <w:tbl>
      <w:tblPr>
        <w:tblStyle w:val="745"/>
        <w:tblW w:w="92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832"/>
              <w:ind w:firstLine="0"/>
              <w:jc w:val="center"/>
              <w:keepLines w:val="0"/>
              <w:keepNext w:val="0"/>
              <w:pageBreakBefore w:val="0"/>
              <w:spacing w:before="0" w:after="0"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序号</w:t>
            </w:r>
            <w:r/>
          </w:p>
        </w:tc>
        <w:tc>
          <w:tcPr>
            <w:tcW w:w="6104" w:type="dxa"/>
            <w:vAlign w:val="center"/>
            <w:textDirection w:val="lrTb"/>
            <w:noWrap w:val="false"/>
          </w:tcPr>
          <w:p>
            <w:pPr>
              <w:pStyle w:val="832"/>
              <w:jc w:val="center"/>
              <w:keepLines w:val="0"/>
              <w:keepNext w:val="0"/>
              <w:pageBreakBefore w:val="0"/>
              <w:spacing w:before="0" w:after="0"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评审项及评审要求</w:t>
            </w:r>
            <w:r/>
          </w:p>
        </w:tc>
        <w:tc>
          <w:tcPr>
            <w:tcW w:w="2449" w:type="dxa"/>
            <w:vAlign w:val="center"/>
            <w:textDirection w:val="lrTb"/>
            <w:noWrap w:val="false"/>
          </w:tcPr>
          <w:p>
            <w:pPr>
              <w:pStyle w:val="832"/>
              <w:ind w:firstLine="0"/>
              <w:jc w:val="center"/>
              <w:keepLines w:val="0"/>
              <w:keepNext w:val="0"/>
              <w:pageBreakBefore w:val="0"/>
              <w:spacing w:before="0" w:after="0"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审查因素</w:t>
            </w:r>
            <w:r/>
          </w:p>
        </w:tc>
      </w:tr>
      <w:tr>
        <w:trPr>
          <w:jc w:val="center"/>
          <w:trHeight w:val="1335"/>
        </w:trPr>
        <w:tc>
          <w:tcPr>
            <w:tcW w:w="719" w:type="dxa"/>
            <w:vAlign w:val="center"/>
            <w:textDirection w:val="lrTb"/>
            <w:noWrap w:val="false"/>
          </w:tcPr>
          <w:p>
            <w:pPr>
              <w:pStyle w:val="832"/>
              <w:ind w:firstLine="0"/>
              <w:jc w:val="center"/>
              <w:keepLines w:val="0"/>
              <w:keepNext w:val="0"/>
              <w:pageBreakBefore w:val="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w:t>
            </w:r>
            <w:r/>
          </w:p>
        </w:tc>
        <w:tc>
          <w:tcPr>
            <w:tcW w:w="6104" w:type="dxa"/>
            <w:vAlign w:val="center"/>
            <w:textDirection w:val="lrTb"/>
            <w:noWrap w:val="false"/>
          </w:tcPr>
          <w:p>
            <w:pPr>
              <w:pStyle w:val="832"/>
              <w:ind w:firstLine="0"/>
              <w:jc w:val="both"/>
              <w:keepLines w:val="0"/>
              <w:keepNext w:val="0"/>
              <w:pageBreakBefore w:val="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具有独立承担民事责任能力的投标人营业执照或相关部门的登记证明文件扫描件（投标人</w:t>
            </w:r>
            <w:r>
              <w:rPr>
                <w:rFonts w:hint="eastAsia" w:ascii="宋体" w:hAnsi="宋体" w:eastAsia="宋体" w:cs="宋体"/>
                <w:color w:val="auto"/>
                <w:highlight w:val="none"/>
                <w:lang w:eastAsia="zh-CN"/>
              </w:rPr>
              <w:t xml:space="preserve">如</w:t>
            </w:r>
            <w:r>
              <w:rPr>
                <w:rFonts w:hint="eastAsia" w:ascii="宋体" w:hAnsi="宋体" w:eastAsia="宋体" w:cs="宋体"/>
                <w:color w:val="auto"/>
                <w:highlight w:val="none"/>
              </w:rPr>
              <w:t xml:space="preserve">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832"/>
              <w:ind w:firstLine="0"/>
              <w:keepLines w:val="0"/>
              <w:keepNext w:val="0"/>
              <w:pageBreakBefore w:val="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通用资格要求，详见第一章《投标邀请》</w:t>
            </w:r>
            <w:r/>
          </w:p>
        </w:tc>
      </w:tr>
      <w:tr>
        <w:trPr>
          <w:jc w:val="center"/>
          <w:trHeight w:val="812"/>
        </w:trPr>
        <w:tc>
          <w:tcPr>
            <w:tcW w:w="719" w:type="dxa"/>
            <w:vAlign w:val="center"/>
            <w:textDirection w:val="lrTb"/>
            <w:noWrap w:val="false"/>
          </w:tcPr>
          <w:p>
            <w:pPr>
              <w:pStyle w:val="832"/>
              <w:ind w:firstLine="0"/>
              <w:jc w:val="center"/>
              <w:keepLines w:val="0"/>
              <w:keepNext w:val="0"/>
              <w:pageBreakBefore w:val="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w:t>
            </w:r>
            <w:r/>
          </w:p>
        </w:tc>
        <w:tc>
          <w:tcPr>
            <w:tcW w:w="6104" w:type="dxa"/>
            <w:vAlign w:val="center"/>
            <w:textDirection w:val="lrTb"/>
            <w:noWrap w:val="false"/>
          </w:tcPr>
          <w:p>
            <w:pPr>
              <w:pStyle w:val="832"/>
              <w:ind w:firstLine="0"/>
              <w:jc w:val="both"/>
              <w:keepLines w:val="0"/>
              <w:keepNext w:val="0"/>
              <w:pageBreakBefore w:val="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《授权委托书》（给定格式；投标人如是自然人情形的，可不提供）。</w:t>
            </w:r>
            <w:r/>
          </w:p>
        </w:tc>
        <w:tc>
          <w:tcPr>
            <w:tcW w:w="2449" w:type="dxa"/>
            <w:vAlign w:val="center"/>
            <w:vMerge w:val="continue"/>
            <w:textDirection w:val="lrTb"/>
            <w:noWrap w:val="false"/>
          </w:tcPr>
          <w:p>
            <w:pPr>
              <w:pStyle w:val="832"/>
              <w:ind w:firstLine="0"/>
              <w:keepLines w:val="0"/>
              <w:keepNext w:val="0"/>
              <w:pageBreakBefore w:val="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1684"/>
        </w:trPr>
        <w:tc>
          <w:tcPr>
            <w:tcW w:w="719" w:type="dxa"/>
            <w:vAlign w:val="center"/>
            <w:textDirection w:val="lrTb"/>
            <w:noWrap w:val="false"/>
          </w:tcPr>
          <w:p>
            <w:pPr>
              <w:pStyle w:val="832"/>
              <w:ind w:firstLine="0"/>
              <w:jc w:val="center"/>
              <w:keepLines w:val="0"/>
              <w:keepNext w:val="0"/>
              <w:pageBreakBefore w:val="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w:t>
            </w:r>
            <w:r/>
          </w:p>
        </w:tc>
        <w:tc>
          <w:tcPr>
            <w:tcW w:w="6104" w:type="dxa"/>
            <w:vAlign w:val="center"/>
            <w:textDirection w:val="lrTb"/>
            <w:noWrap w:val="false"/>
          </w:tcPr>
          <w:p>
            <w:pPr>
              <w:pStyle w:val="832"/>
              <w:ind w:firstLine="0"/>
              <w:jc w:val="both"/>
              <w:keepLines w:val="0"/>
              <w:keepNext w:val="0"/>
              <w:pageBreakBefore w:val="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投标人近</w:t>
            </w:r>
            <w:r>
              <w:rPr>
                <w:rFonts w:hint="eastAsia" w:ascii="宋体" w:hAnsi="宋体" w:eastAsia="宋体" w:cs="宋体"/>
                <w:color w:val="auto"/>
                <w:highlight w:val="none"/>
                <w:lang w:val="en-US" w:eastAsia="zh-CN"/>
              </w:rPr>
              <w:t xml:space="preserve">三个月</w:t>
            </w:r>
            <w:r>
              <w:rPr>
                <w:rFonts w:hint="eastAsia" w:ascii="宋体" w:hAnsi="宋体" w:eastAsia="宋体" w:cs="宋体"/>
                <w:color w:val="auto"/>
                <w:highlight w:val="none"/>
              </w:rPr>
              <w:t xml:space="preserve">中任意一个月份</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不含投标当月</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的财务报</w:t>
            </w:r>
            <w:r>
              <w:rPr>
                <w:rFonts w:hint="eastAsia" w:ascii="宋体" w:hAnsi="宋体" w:eastAsia="宋体" w:cs="宋体"/>
                <w:color w:val="auto"/>
                <w:highlight w:val="none"/>
                <w:lang w:val="en-US" w:eastAsia="zh-CN"/>
              </w:rPr>
              <w:t xml:space="preserve">表</w:t>
            </w:r>
            <w:r>
              <w:rPr>
                <w:rFonts w:hint="eastAsia" w:ascii="宋体" w:hAnsi="宋体" w:eastAsia="宋体" w:cs="宋体"/>
                <w:color w:val="auto"/>
                <w:highlight w:val="none"/>
              </w:rPr>
              <w:t xml:space="preserve">（资产负债表和利润表）或由会计师事务所出具的近两年中任意一个年度的审计报告和所附已</w:t>
            </w:r>
            <w:r>
              <w:rPr>
                <w:rFonts w:hint="eastAsia" w:ascii="宋体" w:hAnsi="宋体" w:eastAsia="宋体" w:cs="宋体"/>
                <w:color w:val="auto"/>
                <w:highlight w:val="none"/>
                <w:lang w:eastAsia="zh-CN"/>
              </w:rPr>
              <w:t xml:space="preserve">审计</w:t>
            </w:r>
            <w:r>
              <w:rPr>
                <w:rFonts w:hint="eastAsia" w:ascii="宋体" w:hAnsi="宋体" w:eastAsia="宋体" w:cs="宋体"/>
                <w:color w:val="auto"/>
                <w:highlight w:val="none"/>
              </w:rPr>
              <w:t xml:space="preserve">财务报告（投标人如是自然人情形的，没有经审计的财务报告的，可以提供银行出具的资信证明）</w:t>
            </w:r>
            <w:r>
              <w:rPr>
                <w:rStyle w:val="789"/>
                <w:rFonts w:hint="eastAsia" w:ascii="宋体" w:hAnsi="宋体" w:eastAsia="宋体" w:cs="宋体"/>
                <w:color w:val="auto"/>
                <w:sz w:val="24"/>
                <w:szCs w:val="24"/>
                <w:highlight w:val="none"/>
              </w:rPr>
              <w:t xml:space="preserve">。</w:t>
            </w:r>
            <w:r/>
          </w:p>
        </w:tc>
        <w:tc>
          <w:tcPr>
            <w:tcW w:w="2449" w:type="dxa"/>
            <w:vAlign w:val="center"/>
            <w:vMerge w:val="continue"/>
            <w:textDirection w:val="lrTb"/>
            <w:noWrap w:val="false"/>
          </w:tcPr>
          <w:p>
            <w:pPr>
              <w:pStyle w:val="832"/>
              <w:ind w:firstLine="0"/>
              <w:keepLines w:val="0"/>
              <w:keepNext w:val="0"/>
              <w:pageBreakBefore w:val="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963"/>
        </w:trPr>
        <w:tc>
          <w:tcPr>
            <w:tcW w:w="719" w:type="dxa"/>
            <w:vAlign w:val="center"/>
            <w:textDirection w:val="lrTb"/>
            <w:noWrap w:val="false"/>
          </w:tcPr>
          <w:p>
            <w:pPr>
              <w:pStyle w:val="832"/>
              <w:ind w:firstLine="0"/>
              <w:jc w:val="center"/>
              <w:keepLines w:val="0"/>
              <w:keepNext w:val="0"/>
              <w:pageBreakBefore w:val="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w:t>
            </w:r>
            <w:r/>
          </w:p>
        </w:tc>
        <w:tc>
          <w:tcPr>
            <w:tcW w:w="6104" w:type="dxa"/>
            <w:vAlign w:val="center"/>
            <w:textDirection w:val="lrTb"/>
            <w:noWrap w:val="false"/>
          </w:tcPr>
          <w:p>
            <w:pPr>
              <w:pStyle w:val="832"/>
              <w:ind w:firstLine="0"/>
              <w:jc w:val="both"/>
              <w:keepLines w:val="0"/>
              <w:keepNext w:val="0"/>
              <w:pageBreakBefore w:val="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投标人近</w:t>
            </w:r>
            <w:r>
              <w:rPr>
                <w:rFonts w:hint="eastAsia" w:ascii="宋体" w:hAnsi="宋体" w:eastAsia="宋体" w:cs="宋体"/>
                <w:color w:val="auto"/>
                <w:highlight w:val="none"/>
                <w:lang w:val="en-US" w:eastAsia="zh-CN"/>
              </w:rPr>
              <w:t xml:space="preserve">三个月</w:t>
            </w:r>
            <w:r>
              <w:rPr>
                <w:rFonts w:hint="eastAsia" w:ascii="宋体" w:hAnsi="宋体" w:eastAsia="宋体" w:cs="宋体"/>
                <w:color w:val="auto"/>
                <w:highlight w:val="none"/>
              </w:rPr>
              <w:t xml:space="preserve">中任意一个月份</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不含投标当月</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的依法缴纳税收的相关材料（提供相关主管部门证明或银行代扣证明）。</w:t>
            </w:r>
            <w:r/>
          </w:p>
        </w:tc>
        <w:tc>
          <w:tcPr>
            <w:tcW w:w="2449" w:type="dxa"/>
            <w:vAlign w:val="center"/>
            <w:vMerge w:val="continue"/>
            <w:textDirection w:val="lrTb"/>
            <w:noWrap w:val="false"/>
          </w:tcPr>
          <w:p>
            <w:pPr>
              <w:pStyle w:val="832"/>
              <w:ind w:firstLine="0"/>
              <w:keepLines w:val="0"/>
              <w:keepNext w:val="0"/>
              <w:pageBreakBefore w:val="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1023"/>
        </w:trPr>
        <w:tc>
          <w:tcPr>
            <w:tcW w:w="719" w:type="dxa"/>
            <w:vAlign w:val="center"/>
            <w:textDirection w:val="lrTb"/>
            <w:noWrap w:val="false"/>
          </w:tcPr>
          <w:p>
            <w:pPr>
              <w:pStyle w:val="832"/>
              <w:ind w:firstLine="0"/>
              <w:jc w:val="center"/>
              <w:keepLines w:val="0"/>
              <w:keepNext w:val="0"/>
              <w:pageBreakBefore w:val="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w:t>
            </w:r>
            <w:r/>
          </w:p>
        </w:tc>
        <w:tc>
          <w:tcPr>
            <w:tcW w:w="6104" w:type="dxa"/>
            <w:vAlign w:val="center"/>
            <w:textDirection w:val="lrTb"/>
            <w:noWrap w:val="false"/>
          </w:tcPr>
          <w:p>
            <w:pPr>
              <w:pStyle w:val="832"/>
              <w:ind w:firstLine="0"/>
              <w:jc w:val="both"/>
              <w:keepLines w:val="0"/>
              <w:keepNext w:val="0"/>
              <w:pageBreakBefore w:val="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投标人近</w:t>
            </w:r>
            <w:r>
              <w:rPr>
                <w:rFonts w:hint="eastAsia" w:ascii="宋体" w:hAnsi="宋体" w:eastAsia="宋体" w:cs="宋体"/>
                <w:color w:val="auto"/>
                <w:highlight w:val="none"/>
                <w:lang w:val="en-US" w:eastAsia="zh-CN"/>
              </w:rPr>
              <w:t xml:space="preserve">三个月</w:t>
            </w:r>
            <w:r>
              <w:rPr>
                <w:rFonts w:hint="eastAsia" w:ascii="宋体" w:hAnsi="宋体" w:eastAsia="宋体" w:cs="宋体"/>
                <w:color w:val="auto"/>
                <w:highlight w:val="none"/>
              </w:rPr>
              <w:t xml:space="preserve">中任意一个月份</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不含投标当月</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的依法缴纳社会保障资金的相关材料（提供相关主管部门证明或银行代扣证明）。</w:t>
            </w:r>
            <w:r/>
          </w:p>
        </w:tc>
        <w:tc>
          <w:tcPr>
            <w:tcW w:w="2449" w:type="dxa"/>
            <w:vAlign w:val="center"/>
            <w:vMerge w:val="continue"/>
            <w:textDirection w:val="lrTb"/>
            <w:noWrap w:val="false"/>
          </w:tcPr>
          <w:p>
            <w:pPr>
              <w:pStyle w:val="832"/>
              <w:ind w:firstLine="0"/>
              <w:keepLines w:val="0"/>
              <w:keepNext w:val="0"/>
              <w:pageBreakBefore w:val="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705"/>
        </w:trPr>
        <w:tc>
          <w:tcPr>
            <w:tcBorders>
              <w:bottom w:val="single" w:color="auto" w:sz="4" w:space="0"/>
            </w:tcBorders>
            <w:tcW w:w="719" w:type="dxa"/>
            <w:vAlign w:val="center"/>
            <w:textDirection w:val="lrTb"/>
            <w:noWrap w:val="false"/>
          </w:tcPr>
          <w:p>
            <w:pPr>
              <w:pStyle w:val="832"/>
              <w:ind w:firstLine="0"/>
              <w:jc w:val="center"/>
              <w:keepLines w:val="0"/>
              <w:keepNext w:val="0"/>
              <w:pageBreakBefore w:val="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w:t>
            </w:r>
            <w:r/>
          </w:p>
        </w:tc>
        <w:tc>
          <w:tcPr>
            <w:tcBorders>
              <w:bottom w:val="single" w:color="auto" w:sz="4" w:space="0"/>
            </w:tcBorders>
            <w:tcW w:w="6104" w:type="dxa"/>
            <w:vAlign w:val="center"/>
            <w:textDirection w:val="lrTb"/>
            <w:noWrap w:val="false"/>
          </w:tcPr>
          <w:p>
            <w:pPr>
              <w:pStyle w:val="832"/>
              <w:ind w:firstLine="0"/>
              <w:jc w:val="both"/>
              <w:keepLines w:val="0"/>
              <w:keepNext w:val="0"/>
              <w:pageBreakBefore w:val="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《资格声明函》（给定格式）。</w:t>
            </w:r>
            <w:r/>
          </w:p>
        </w:tc>
        <w:tc>
          <w:tcPr>
            <w:tcW w:w="2449" w:type="dxa"/>
            <w:vAlign w:val="center"/>
            <w:vMerge w:val="continue"/>
            <w:textDirection w:val="lrTb"/>
            <w:noWrap w:val="false"/>
          </w:tcPr>
          <w:p>
            <w:pPr>
              <w:pStyle w:val="832"/>
              <w:ind w:firstLine="0"/>
              <w:keepLines w:val="0"/>
              <w:keepNext w:val="0"/>
              <w:pageBreakBefore w:val="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700"/>
        </w:trPr>
        <w:tc>
          <w:tcPr>
            <w:tcW w:w="719" w:type="dxa"/>
            <w:vAlign w:val="center"/>
            <w:textDirection w:val="lrTb"/>
            <w:noWrap w:val="false"/>
          </w:tcPr>
          <w:p>
            <w:pPr>
              <w:pStyle w:val="832"/>
              <w:ind w:firstLine="0"/>
              <w:jc w:val="center"/>
              <w:keepLines w:val="0"/>
              <w:keepNext w:val="0"/>
              <w:pageBreakBefore w:val="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7</w:t>
            </w:r>
            <w:r/>
          </w:p>
        </w:tc>
        <w:tc>
          <w:tcPr>
            <w:tcW w:w="6104" w:type="dxa"/>
            <w:vAlign w:val="center"/>
            <w:textDirection w:val="lrTb"/>
            <w:noWrap w:val="false"/>
          </w:tcPr>
          <w:p>
            <w:pP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落实政府采购政策需满足的资格要求的证明文件（如有）。</w:t>
            </w:r>
            <w:r/>
          </w:p>
        </w:tc>
        <w:tc>
          <w:tcPr>
            <w:tcW w:w="2449" w:type="dxa"/>
            <w:vAlign w:val="center"/>
            <w:vMerge w:val="continue"/>
            <w:textDirection w:val="lrTb"/>
            <w:noWrap w:val="false"/>
          </w:tcPr>
          <w:p>
            <w:pPr>
              <w:pStyle w:val="832"/>
              <w:ind w:firstLine="0"/>
              <w:keepLines w:val="0"/>
              <w:keepNext w:val="0"/>
              <w:pageBreakBefore w:val="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726"/>
        </w:trPr>
        <w:tc>
          <w:tcPr>
            <w:tcW w:w="719" w:type="dxa"/>
            <w:vAlign w:val="center"/>
            <w:textDirection w:val="lrTb"/>
            <w:noWrap w:val="false"/>
          </w:tcPr>
          <w:p>
            <w:pPr>
              <w:pStyle w:val="832"/>
              <w:ind w:firstLine="0"/>
              <w:jc w:val="center"/>
              <w:keepLines w:val="0"/>
              <w:keepNext w:val="0"/>
              <w:pageBreakBefore w:val="0"/>
              <w:spacing w:before="0" w:after="0"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8</w:t>
            </w:r>
            <w:r/>
          </w:p>
        </w:tc>
        <w:tc>
          <w:tcPr>
            <w:tcW w:w="6104" w:type="dxa"/>
            <w:vAlign w:val="center"/>
            <w:textDirection w:val="lrTb"/>
            <w:noWrap w:val="false"/>
          </w:tcPr>
          <w:p>
            <w:pPr>
              <w:pStyle w:val="832"/>
              <w:ind w:firstLine="0"/>
              <w:jc w:val="both"/>
              <w:keepLines w:val="0"/>
              <w:keepNext w:val="0"/>
              <w:pageBreakBefore w:val="0"/>
              <w:spacing w:before="0" w:after="0"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本项目要求的特定资格证明</w:t>
            </w:r>
            <w:r>
              <w:rPr>
                <w:rFonts w:hint="eastAsia" w:ascii="宋体" w:hAnsi="宋体" w:eastAsia="宋体" w:cs="宋体"/>
                <w:color w:val="auto"/>
                <w:highlight w:val="none"/>
              </w:rPr>
              <w:t xml:space="preserve">文件（</w:t>
            </w:r>
            <w:r>
              <w:rPr>
                <w:rFonts w:hint="eastAsia" w:ascii="宋体" w:hAnsi="宋体" w:eastAsia="宋体" w:cs="宋体"/>
                <w:bCs/>
                <w:color w:val="auto"/>
                <w:highlight w:val="none"/>
              </w:rPr>
              <w:t xml:space="preserve">如有</w:t>
            </w:r>
            <w:r>
              <w:rPr>
                <w:rFonts w:hint="eastAsia" w:ascii="宋体" w:hAnsi="宋体" w:eastAsia="宋体" w:cs="宋体"/>
                <w:color w:val="auto"/>
                <w:highlight w:val="none"/>
              </w:rPr>
              <w:t xml:space="preserve">）。</w:t>
            </w:r>
            <w:r/>
          </w:p>
        </w:tc>
        <w:tc>
          <w:tcPr>
            <w:tcW w:w="2449" w:type="dxa"/>
            <w:vAlign w:val="center"/>
            <w:textDirection w:val="lrTb"/>
            <w:noWrap w:val="false"/>
          </w:tcPr>
          <w:p>
            <w:pPr>
              <w:pStyle w:val="832"/>
              <w:ind w:firstLine="0"/>
              <w:keepLines w:val="0"/>
              <w:keepNext w:val="0"/>
              <w:pageBreakBefore w:val="0"/>
              <w:spacing w:before="0" w:after="0" w:line="360" w:lineRule="auto"/>
              <w:rPr>
                <w:rFonts w:hint="eastAsia" w:ascii="宋体" w:hAnsi="宋体" w:eastAsia="宋体" w:cs="宋体"/>
                <w:bCs/>
                <w:color w:val="auto"/>
                <w:highlight w:val="none"/>
              </w:rPr>
            </w:pPr>
            <w:r>
              <w:rPr>
                <w:rFonts w:hint="eastAsia" w:ascii="宋体" w:hAnsi="宋体" w:eastAsia="宋体" w:cs="宋体"/>
                <w:color w:val="auto"/>
                <w:highlight w:val="none"/>
              </w:rPr>
              <w:t xml:space="preserve">特定资格要求，详见第一章《投标邀请》</w:t>
            </w:r>
            <w:r/>
          </w:p>
        </w:tc>
      </w:tr>
    </w:tbl>
    <w:p>
      <w:pPr>
        <w:ind w:left="0" w:right="0" w:firstLine="480"/>
        <w:jc w:val="left"/>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w:t>
      </w:r>
      <w:r/>
    </w:p>
    <w:p>
      <w:pPr>
        <w:numPr>
          <w:ilvl w:val="0"/>
          <w:numId w:val="9"/>
        </w:numPr>
        <w:ind w:left="0" w:right="0" w:firstLine="480"/>
        <w:jc w:val="left"/>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上述资格证明文件1～6项必须全部按要求提供（有给定格式的，必须按给定格式的要求正确填报并提供，相应格式见本章第二部分），否则投标文件无效。如遇年检、换证，则必须提供法定年检、换证单位出具的有效证明扫描件。其中第3、4、5项如遇有国家相关政策规定可不具备的（如依法享受缓缴、免缴税收、社会保障资金等），必须提供相关政策规定或相关单位出具的有效证明扫描件；如因新成立</w:t>
      </w:r>
      <w:r>
        <w:rPr>
          <w:rFonts w:hint="eastAsia" w:ascii="宋体" w:hAnsi="宋体" w:eastAsia="宋体" w:cs="宋体"/>
          <w:color w:val="auto"/>
          <w:sz w:val="24"/>
          <w:szCs w:val="24"/>
          <w:highlight w:val="none"/>
          <w:lang w:val="en-US" w:eastAsia="zh-CN"/>
        </w:rPr>
        <w:t xml:space="preserve">却又</w:t>
      </w:r>
      <w:r>
        <w:rPr>
          <w:rFonts w:hint="eastAsia" w:ascii="宋体" w:hAnsi="宋体" w:eastAsia="宋体" w:cs="宋体"/>
          <w:color w:val="auto"/>
          <w:sz w:val="24"/>
          <w:szCs w:val="24"/>
          <w:highlight w:val="none"/>
        </w:rPr>
        <w:t xml:space="preserve">无法提供的，可以不提供。</w:t>
      </w:r>
      <w:r/>
    </w:p>
    <w:p>
      <w:pPr>
        <w:ind w:left="0" w:right="0" w:firstLine="480"/>
        <w:jc w:val="left"/>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9"/>
        </w:numPr>
        <w:ind w:left="0" w:right="0" w:firstLine="480"/>
        <w:jc w:val="left"/>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上述资格证明文件第7项，如本项目有落实政府采购政策需满足的资格要求的（详见第一章《投标邀请》），必须提供相应证明文件，否则投标文件无效。</w:t>
      </w:r>
      <w:r/>
    </w:p>
    <w:p>
      <w:pPr>
        <w:ind w:left="0" w:right="0" w:firstLine="480"/>
        <w:jc w:val="left"/>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专门面向中小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w:t>
      </w:r>
      <w:r/>
    </w:p>
    <w:p>
      <w:pPr>
        <w:numPr>
          <w:ilvl w:val="0"/>
          <w:numId w:val="9"/>
        </w:numPr>
        <w:ind w:left="0" w:right="0" w:firstLine="480"/>
        <w:jc w:val="left"/>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上述资格证明文件第8项，如本项目有特定资格要求的（详见第一章《投标邀请》），须提供相应的特定资格证明文件。</w:t>
      </w:r>
      <w:r/>
    </w:p>
    <w:p>
      <w:pPr>
        <w:ind w:left="0" w:right="0" w:firstLine="480"/>
        <w:jc w:val="left"/>
        <w:pageBreakBefore w:val="0"/>
        <w:spacing w:beforeAutospacing="0" w:afterAutospacing="0" w:line="360" w:lineRule="auto"/>
        <w:rPr>
          <w:rFonts w:hint="eastAsia" w:ascii="宋体" w:hAnsi="宋体" w:eastAsia="宋体" w:cs="宋体"/>
          <w:b/>
          <w:color w:val="auto"/>
          <w:sz w:val="24"/>
          <w:szCs w:val="28"/>
          <w:highlight w:val="none"/>
        </w:rPr>
      </w:pPr>
      <w:r>
        <w:rPr>
          <w:rFonts w:hint="eastAsia" w:ascii="宋体" w:hAnsi="宋体" w:eastAsia="宋体" w:cs="宋体"/>
          <w:color w:val="auto"/>
          <w:sz w:val="24"/>
          <w:highlight w:val="none"/>
        </w:rPr>
        <w:br w:type="page" w:clear="all"/>
      </w:r>
      <w:r>
        <w:rPr>
          <w:rFonts w:hint="eastAsia" w:ascii="宋体" w:hAnsi="宋体" w:eastAsia="宋体" w:cs="宋体"/>
          <w:b/>
          <w:color w:val="auto"/>
          <w:sz w:val="24"/>
          <w:szCs w:val="28"/>
          <w:highlight w:val="none"/>
        </w:rPr>
        <w:t xml:space="preserve">二、符合性证明文件及其他证明文件</w:t>
      </w:r>
      <w:r/>
    </w:p>
    <w:tbl>
      <w:tblPr>
        <w:tblStyle w:val="74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832"/>
              <w:ind w:firstLine="0"/>
              <w:jc w:val="center"/>
              <w:pageBreakBefore w:val="0"/>
              <w:spacing w:before="0" w:after="0"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序号</w:t>
            </w:r>
            <w:r/>
          </w:p>
        </w:tc>
        <w:tc>
          <w:tcPr>
            <w:tcW w:w="6095" w:type="dxa"/>
            <w:vAlign w:val="center"/>
            <w:textDirection w:val="lrTb"/>
            <w:noWrap w:val="false"/>
          </w:tcPr>
          <w:p>
            <w:pPr>
              <w:pStyle w:val="832"/>
              <w:ind w:firstLine="0"/>
              <w:jc w:val="center"/>
              <w:pageBreakBefore w:val="0"/>
              <w:spacing w:before="0" w:after="0"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评审项及评审要求</w:t>
            </w:r>
            <w:r/>
          </w:p>
        </w:tc>
        <w:tc>
          <w:tcPr>
            <w:tcW w:w="1979" w:type="dxa"/>
            <w:vAlign w:val="center"/>
            <w:textDirection w:val="lrTb"/>
            <w:noWrap w:val="false"/>
          </w:tcPr>
          <w:p>
            <w:pPr>
              <w:pStyle w:val="832"/>
              <w:ind w:firstLine="0"/>
              <w:jc w:val="center"/>
              <w:pageBreakBefore w:val="0"/>
              <w:spacing w:before="0" w:after="0"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审查因素</w:t>
            </w:r>
            <w:r/>
          </w:p>
        </w:tc>
      </w:tr>
      <w:tr>
        <w:trPr>
          <w:jc w:val="center"/>
          <w:trHeight w:val="567"/>
        </w:trPr>
        <w:tc>
          <w:tcPr>
            <w:tcW w:w="823" w:type="dxa"/>
            <w:vAlign w:val="center"/>
            <w:textDirection w:val="lrTb"/>
            <w:noWrap w:val="false"/>
          </w:tcPr>
          <w:p>
            <w:pPr>
              <w:pStyle w:val="832"/>
              <w:ind w:firstLine="0"/>
              <w:jc w:val="center"/>
              <w:pageBreakBefore w:val="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w:t>
            </w:r>
            <w:r/>
          </w:p>
        </w:tc>
        <w:tc>
          <w:tcPr>
            <w:tcW w:w="6095" w:type="dxa"/>
            <w:vAlign w:val="center"/>
            <w:textDirection w:val="lrTb"/>
            <w:noWrap w:val="false"/>
          </w:tcPr>
          <w:p>
            <w:pPr>
              <w:pStyle w:val="832"/>
              <w:ind w:firstLine="0"/>
              <w:jc w:val="both"/>
              <w:pageBreakBefore w:val="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投标函（给定格式）</w:t>
            </w:r>
            <w:r/>
          </w:p>
        </w:tc>
        <w:tc>
          <w:tcPr>
            <w:tcW w:w="1979" w:type="dxa"/>
            <w:vAlign w:val="center"/>
            <w:vMerge w:val="restart"/>
            <w:textDirection w:val="lrTb"/>
            <w:noWrap w:val="false"/>
          </w:tcPr>
          <w:p>
            <w:pPr>
              <w:pStyle w:val="832"/>
              <w:ind w:firstLine="0"/>
              <w:jc w:val="both"/>
              <w:pageBreakBefore w:val="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符合性证明文件</w:t>
            </w:r>
            <w:r/>
          </w:p>
        </w:tc>
      </w:tr>
      <w:tr>
        <w:trPr>
          <w:jc w:val="center"/>
          <w:trHeight w:val="567"/>
        </w:trPr>
        <w:tc>
          <w:tcPr>
            <w:tcW w:w="823" w:type="dxa"/>
            <w:vAlign w:val="center"/>
            <w:textDirection w:val="lrTb"/>
            <w:noWrap w:val="false"/>
          </w:tcPr>
          <w:p>
            <w:pPr>
              <w:pStyle w:val="832"/>
              <w:ind w:firstLine="0"/>
              <w:jc w:val="center"/>
              <w:pageBreakBefore w:val="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w:t>
            </w:r>
            <w:r/>
          </w:p>
        </w:tc>
        <w:tc>
          <w:tcPr>
            <w:tcW w:w="6095" w:type="dxa"/>
            <w:vAlign w:val="center"/>
            <w:textDirection w:val="lrTb"/>
            <w:noWrap w:val="false"/>
          </w:tcPr>
          <w:p>
            <w:pPr>
              <w:pStyle w:val="832"/>
              <w:ind w:firstLine="0"/>
              <w:jc w:val="both"/>
              <w:pageBreakBefore w:val="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承诺书（给定格式）</w:t>
            </w:r>
            <w:r/>
          </w:p>
        </w:tc>
        <w:tc>
          <w:tcPr>
            <w:tcW w:w="1979" w:type="dxa"/>
            <w:vAlign w:val="center"/>
            <w:vMerge w:val="continue"/>
            <w:textDirection w:val="lrTb"/>
            <w:noWrap w:val="false"/>
          </w:tcPr>
          <w:p>
            <w:pPr>
              <w:pStyle w:val="832"/>
              <w:ind w:firstLine="0"/>
              <w:jc w:val="both"/>
              <w:pageBreakBefore w:val="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567"/>
        </w:trPr>
        <w:tc>
          <w:tcPr>
            <w:tcW w:w="823" w:type="dxa"/>
            <w:vAlign w:val="center"/>
            <w:textDirection w:val="lrTb"/>
            <w:noWrap w:val="false"/>
          </w:tcPr>
          <w:p>
            <w:pPr>
              <w:pStyle w:val="832"/>
              <w:ind w:firstLine="0"/>
              <w:jc w:val="center"/>
              <w:pageBreakBefore w:val="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w:t>
            </w:r>
            <w:r/>
          </w:p>
        </w:tc>
        <w:tc>
          <w:tcPr>
            <w:tcW w:w="6095" w:type="dxa"/>
            <w:vAlign w:val="center"/>
            <w:textDirection w:val="lrTb"/>
            <w:noWrap w:val="false"/>
          </w:tcPr>
          <w:p>
            <w:pPr>
              <w:pStyle w:val="832"/>
              <w:ind w:firstLine="0"/>
              <w:jc w:val="both"/>
              <w:pageBreakBefore w:val="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开标一览表（给定格式）</w:t>
            </w:r>
            <w:r/>
          </w:p>
        </w:tc>
        <w:tc>
          <w:tcPr>
            <w:tcW w:w="1979" w:type="dxa"/>
            <w:vAlign w:val="center"/>
            <w:vMerge w:val="continue"/>
            <w:textDirection w:val="lrTb"/>
            <w:noWrap w:val="false"/>
          </w:tcPr>
          <w:p>
            <w:pPr>
              <w:pStyle w:val="832"/>
              <w:ind w:firstLine="0"/>
              <w:jc w:val="both"/>
              <w:pageBreakBefore w:val="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567"/>
        </w:trPr>
        <w:tc>
          <w:tcPr>
            <w:tcW w:w="823" w:type="dxa"/>
            <w:vAlign w:val="center"/>
            <w:textDirection w:val="lrTb"/>
            <w:noWrap w:val="false"/>
          </w:tcPr>
          <w:p>
            <w:pPr>
              <w:pStyle w:val="832"/>
              <w:ind w:firstLine="0"/>
              <w:jc w:val="center"/>
              <w:pageBreakBefore w:val="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w:t>
            </w:r>
            <w:r/>
          </w:p>
        </w:tc>
        <w:tc>
          <w:tcPr>
            <w:tcW w:w="6095" w:type="dxa"/>
            <w:vAlign w:val="center"/>
            <w:textDirection w:val="lrTb"/>
            <w:noWrap w:val="false"/>
          </w:tcPr>
          <w:p>
            <w:pPr>
              <w:pStyle w:val="832"/>
              <w:ind w:firstLine="0"/>
              <w:jc w:val="both"/>
              <w:pageBreakBefore w:val="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分项报价表（给定格式）</w:t>
            </w:r>
            <w:r/>
          </w:p>
        </w:tc>
        <w:tc>
          <w:tcPr>
            <w:tcW w:w="1979" w:type="dxa"/>
            <w:vAlign w:val="center"/>
            <w:vMerge w:val="continue"/>
            <w:textDirection w:val="lrTb"/>
            <w:noWrap w:val="false"/>
          </w:tcPr>
          <w:p>
            <w:pPr>
              <w:pStyle w:val="832"/>
              <w:ind w:firstLine="0"/>
              <w:jc w:val="both"/>
              <w:pageBreakBefore w:val="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567"/>
        </w:trPr>
        <w:tc>
          <w:tcPr>
            <w:tcW w:w="823" w:type="dxa"/>
            <w:vAlign w:val="center"/>
            <w:textDirection w:val="lrTb"/>
            <w:noWrap w:val="false"/>
          </w:tcPr>
          <w:p>
            <w:pPr>
              <w:pStyle w:val="832"/>
              <w:ind w:firstLine="0"/>
              <w:jc w:val="center"/>
              <w:pageBreakBefore w:val="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w:t>
            </w:r>
            <w:r/>
          </w:p>
        </w:tc>
        <w:tc>
          <w:tcPr>
            <w:tcW w:w="6095" w:type="dxa"/>
            <w:vAlign w:val="center"/>
            <w:textDirection w:val="lrTb"/>
            <w:noWrap w:val="false"/>
          </w:tcPr>
          <w:p>
            <w:pPr>
              <w:pStyle w:val="832"/>
              <w:ind w:firstLine="0"/>
              <w:jc w:val="both"/>
              <w:pageBreakBefore w:val="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投标偏离表（给定格式）</w:t>
            </w:r>
            <w:r/>
          </w:p>
        </w:tc>
        <w:tc>
          <w:tcPr>
            <w:tcW w:w="1979" w:type="dxa"/>
            <w:vAlign w:val="center"/>
            <w:vMerge w:val="continue"/>
            <w:textDirection w:val="lrTb"/>
            <w:noWrap w:val="false"/>
          </w:tcPr>
          <w:p>
            <w:pPr>
              <w:pStyle w:val="832"/>
              <w:ind w:firstLine="0"/>
              <w:jc w:val="both"/>
              <w:pageBreakBefore w:val="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567"/>
        </w:trPr>
        <w:tc>
          <w:tcPr>
            <w:tcW w:w="823" w:type="dxa"/>
            <w:vAlign w:val="center"/>
            <w:textDirection w:val="lrTb"/>
            <w:noWrap w:val="false"/>
          </w:tcPr>
          <w:p>
            <w:pPr>
              <w:pStyle w:val="832"/>
              <w:ind w:firstLine="0"/>
              <w:jc w:val="center"/>
              <w:pageBreakBefore w:val="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w:t>
            </w:r>
            <w:r/>
          </w:p>
        </w:tc>
        <w:tc>
          <w:tcPr>
            <w:tcW w:w="6095" w:type="dxa"/>
            <w:vAlign w:val="center"/>
            <w:textDirection w:val="lrTb"/>
            <w:noWrap w:val="false"/>
          </w:tcPr>
          <w:p>
            <w:pPr>
              <w:pStyle w:val="832"/>
              <w:ind w:firstLine="0"/>
              <w:jc w:val="both"/>
              <w:pageBreakBefore w:val="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《采购需求》中如有要求须提供的证明文件</w:t>
            </w:r>
            <w:r/>
          </w:p>
        </w:tc>
        <w:tc>
          <w:tcPr>
            <w:tcW w:w="1979" w:type="dxa"/>
            <w:vAlign w:val="center"/>
            <w:vMerge w:val="continue"/>
            <w:textDirection w:val="lrTb"/>
            <w:noWrap w:val="false"/>
          </w:tcPr>
          <w:p>
            <w:pPr>
              <w:pStyle w:val="832"/>
              <w:ind w:firstLine="0"/>
              <w:jc w:val="both"/>
              <w:pageBreakBefore w:val="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567"/>
        </w:trPr>
        <w:tc>
          <w:tcPr>
            <w:tcW w:w="823" w:type="dxa"/>
            <w:vAlign w:val="center"/>
            <w:textDirection w:val="lrTb"/>
            <w:noWrap w:val="false"/>
          </w:tcPr>
          <w:p>
            <w:pPr>
              <w:pStyle w:val="832"/>
              <w:ind w:firstLine="0"/>
              <w:jc w:val="center"/>
              <w:pageBreakBefore w:val="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7</w:t>
            </w:r>
            <w:r/>
          </w:p>
        </w:tc>
        <w:tc>
          <w:tcPr>
            <w:tcW w:w="6095" w:type="dxa"/>
            <w:vAlign w:val="center"/>
            <w:textDirection w:val="lrTb"/>
            <w:noWrap w:val="false"/>
          </w:tcPr>
          <w:p>
            <w:pPr>
              <w:pStyle w:val="832"/>
              <w:ind w:firstLine="0"/>
              <w:jc w:val="both"/>
              <w:pageBreakBefore w:val="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《评标方法与评标标准》中涉及的证明文件</w:t>
            </w:r>
            <w:r/>
          </w:p>
        </w:tc>
        <w:tc>
          <w:tcPr>
            <w:tcW w:w="1979" w:type="dxa"/>
            <w:vAlign w:val="center"/>
            <w:vMerge w:val="restart"/>
            <w:textDirection w:val="lrTb"/>
            <w:noWrap w:val="false"/>
          </w:tcPr>
          <w:p>
            <w:pPr>
              <w:pStyle w:val="832"/>
              <w:ind w:firstLine="0"/>
              <w:jc w:val="both"/>
              <w:pageBreakBefore w:val="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其他证明文件</w:t>
            </w:r>
            <w:r/>
          </w:p>
        </w:tc>
      </w:tr>
      <w:tr>
        <w:trPr>
          <w:jc w:val="center"/>
          <w:trHeight w:val="567"/>
        </w:trPr>
        <w:tc>
          <w:tcPr>
            <w:tcW w:w="823" w:type="dxa"/>
            <w:vAlign w:val="center"/>
            <w:textDirection w:val="lrTb"/>
            <w:noWrap w:val="false"/>
          </w:tcPr>
          <w:p>
            <w:pPr>
              <w:pStyle w:val="832"/>
              <w:ind w:firstLine="0"/>
              <w:jc w:val="center"/>
              <w:pageBreakBefore w:val="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8</w:t>
            </w:r>
            <w:r/>
          </w:p>
        </w:tc>
        <w:tc>
          <w:tcPr>
            <w:tcW w:w="6095" w:type="dxa"/>
            <w:vAlign w:val="center"/>
            <w:textDirection w:val="lrTb"/>
            <w:noWrap w:val="false"/>
          </w:tcPr>
          <w:p>
            <w:pPr>
              <w:pStyle w:val="832"/>
              <w:ind w:firstLine="0"/>
              <w:jc w:val="both"/>
              <w:pageBreakBefore w:val="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其他投标人认为应附的文件（如有，自拟并自行添加）</w:t>
            </w:r>
            <w:r/>
          </w:p>
        </w:tc>
        <w:tc>
          <w:tcPr>
            <w:tcW w:w="1979" w:type="dxa"/>
            <w:vAlign w:val="top"/>
            <w:vMerge w:val="continue"/>
            <w:textDirection w:val="lrTb"/>
            <w:noWrap w:val="false"/>
          </w:tcPr>
          <w:p>
            <w:pPr>
              <w:pStyle w:val="832"/>
              <w:ind w:firstLine="0"/>
              <w:pageBreakBefore w:val="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bl>
    <w:p>
      <w:pPr>
        <w:ind w:left="0" w:right="0" w:firstLine="480"/>
        <w:jc w:val="left"/>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w:t>
      </w:r>
      <w:r/>
    </w:p>
    <w:p>
      <w:pPr>
        <w:numPr>
          <w:ilvl w:val="0"/>
          <w:numId w:val="10"/>
        </w:numPr>
        <w:ind w:left="0" w:right="0" w:firstLine="480"/>
        <w:jc w:val="left"/>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上述符合性证明文件及其他证明文件1～6项必须按要求全部提供（有给定格式的，必须按给定格式的要求正确填报并提供，相应格式见本章第二部分），否则投标文件无效。</w:t>
      </w:r>
      <w:r/>
    </w:p>
    <w:p>
      <w:pPr>
        <w:ind w:left="0" w:right="0" w:firstLine="480"/>
        <w:jc w:val="left"/>
        <w:pageBreakBefore w:val="0"/>
        <w:spacing w:beforeAutospacing="0" w:afterAutospacing="0" w:line="360" w:lineRule="auto"/>
        <w:rPr>
          <w:rFonts w:hint="eastAsia" w:ascii="宋体" w:hAnsi="宋体" w:eastAsia="宋体" w:cs="宋体"/>
          <w:b/>
          <w:color w:val="auto"/>
          <w:sz w:val="24"/>
          <w:szCs w:val="30"/>
          <w:highlight w:val="none"/>
        </w:rPr>
      </w:pPr>
      <w:r>
        <w:rPr>
          <w:rFonts w:hint="eastAsia" w:ascii="宋体" w:hAnsi="宋体" w:eastAsia="宋体" w:cs="宋体"/>
          <w:color w:val="auto"/>
          <w:sz w:val="24"/>
          <w:szCs w:val="24"/>
          <w:highlight w:val="none"/>
        </w:rPr>
        <w:br w:type="page" w:clear="all"/>
      </w:r>
      <w:r>
        <w:rPr>
          <w:rFonts w:hint="eastAsia" w:ascii="宋体" w:hAnsi="宋体" w:eastAsia="宋体" w:cs="宋体"/>
          <w:b/>
          <w:color w:val="auto"/>
          <w:sz w:val="24"/>
          <w:szCs w:val="30"/>
          <w:highlight w:val="none"/>
        </w:rPr>
        <w:t xml:space="preserve">第二部分  投标文件格式</w:t>
      </w:r>
      <w:r/>
    </w:p>
    <w:p>
      <w:pPr>
        <w:pStyle w:val="832"/>
        <w:ind w:firstLine="0"/>
        <w:jc w:val="center"/>
        <w:pageBreakBefore w:val="0"/>
        <w:spacing w:before="0" w:after="0" w:line="360" w:lineRule="exact"/>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一、封面格式（参考格式）：</w:t>
      </w:r>
      <w:r/>
    </w:p>
    <w:p>
      <w:pPr>
        <w:jc w:val="center"/>
        <w:pageBreakBefore w:val="0"/>
        <w:spacing w:line="360" w:lineRule="auto"/>
        <w:rPr>
          <w:rFonts w:hint="eastAsia" w:ascii="宋体" w:hAnsi="宋体" w:eastAsia="宋体" w:cs="宋体"/>
          <w:bCs/>
          <w:color w:val="auto"/>
          <w:sz w:val="72"/>
          <w:szCs w:val="72"/>
          <w:highlight w:val="none"/>
          <w:lang w:val="en-US" w:eastAsia="zh-CN"/>
        </w:rPr>
      </w:pPr>
      <w:r>
        <w:rPr>
          <w:rFonts w:hint="eastAsia" w:ascii="宋体" w:hAnsi="宋体" w:eastAsia="宋体" w:cs="宋体"/>
          <w:bCs/>
          <w:color w:val="auto"/>
          <w:sz w:val="72"/>
          <w:szCs w:val="72"/>
          <w:highlight w:val="none"/>
          <w:lang w:val="en-US" w:eastAsia="zh-CN"/>
        </w:rPr>
      </w:r>
      <w:r/>
    </w:p>
    <w:p>
      <w:pPr>
        <w:jc w:val="center"/>
        <w:pageBreakBefore w:val="0"/>
        <w:spacing w:line="360" w:lineRule="auto"/>
        <w:rPr>
          <w:rFonts w:hint="eastAsia" w:ascii="宋体" w:hAnsi="宋体" w:eastAsia="宋体" w:cs="宋体"/>
          <w:bCs/>
          <w:color w:val="auto"/>
          <w:sz w:val="72"/>
          <w:szCs w:val="72"/>
          <w:highlight w:val="none"/>
          <w:lang w:val="en-US" w:eastAsia="zh-CN"/>
        </w:rPr>
      </w:pPr>
      <w:r/>
      <w:bookmarkStart w:id="225" w:name="_GoBack"/>
      <w:r/>
      <w:bookmarkEnd w:id="225"/>
      <w:r/>
      <w:r/>
    </w:p>
    <w:p>
      <w:pPr>
        <w:jc w:val="center"/>
        <w:pageBreakBefore w:val="0"/>
        <w:spacing w:line="360" w:lineRule="auto"/>
        <w:rPr>
          <w:rFonts w:hint="eastAsia" w:ascii="宋体" w:hAnsi="宋体" w:eastAsia="宋体" w:cs="宋体"/>
          <w:bCs/>
          <w:color w:val="auto"/>
          <w:sz w:val="72"/>
          <w:szCs w:val="72"/>
          <w:highlight w:val="none"/>
          <w:lang w:val="en-US" w:eastAsia="zh-CN"/>
        </w:rPr>
      </w:pPr>
      <w:r>
        <w:rPr>
          <w:rFonts w:hint="eastAsia" w:ascii="宋体" w:hAnsi="宋体" w:eastAsia="宋体" w:cs="宋体"/>
          <w:bCs/>
          <w:color w:val="auto"/>
          <w:sz w:val="72"/>
          <w:szCs w:val="72"/>
          <w:highlight w:val="none"/>
          <w:lang w:val="en-US" w:eastAsia="zh-CN"/>
        </w:rPr>
        <w:t xml:space="preserve">投标文件</w:t>
      </w:r>
      <w:r/>
    </w:p>
    <w:p>
      <w:pPr>
        <w:jc w:val="center"/>
        <w:pageBreakBefore w:val="0"/>
        <w:spacing w:line="360" w:lineRule="auto"/>
        <w:rPr>
          <w:rFonts w:hint="eastAsia" w:ascii="宋体" w:hAnsi="宋体" w:eastAsia="宋体" w:cs="宋体"/>
          <w:bCs/>
          <w:color w:val="auto"/>
          <w:sz w:val="72"/>
          <w:szCs w:val="72"/>
          <w:highlight w:val="none"/>
          <w:lang w:val="en-US" w:eastAsia="zh-CN"/>
        </w:rPr>
      </w:pPr>
      <w:r>
        <w:rPr>
          <w:rFonts w:hint="eastAsia" w:ascii="宋体" w:hAnsi="宋体" w:eastAsia="宋体" w:cs="宋体"/>
          <w:bCs/>
          <w:color w:val="auto"/>
          <w:sz w:val="72"/>
          <w:szCs w:val="72"/>
          <w:highlight w:val="none"/>
          <w:lang w:val="en-US" w:eastAsia="zh-CN"/>
        </w:rPr>
      </w:r>
      <w:r/>
    </w:p>
    <w:p>
      <w:pPr>
        <w:jc w:val="center"/>
        <w:pageBreakBefore w:val="0"/>
        <w:spacing w:line="360" w:lineRule="auto"/>
        <w:rPr>
          <w:rFonts w:hint="eastAsia" w:ascii="宋体" w:hAnsi="宋体" w:eastAsia="宋体" w:cs="宋体"/>
          <w:bCs/>
          <w:color w:val="auto"/>
          <w:sz w:val="72"/>
          <w:szCs w:val="72"/>
          <w:highlight w:val="none"/>
          <w:lang w:val="en-US" w:eastAsia="zh-CN"/>
        </w:rPr>
      </w:pPr>
      <w:r>
        <w:rPr>
          <w:rFonts w:hint="eastAsia" w:ascii="宋体" w:hAnsi="宋体" w:eastAsia="宋体" w:cs="宋体"/>
          <w:bCs/>
          <w:color w:val="auto"/>
          <w:sz w:val="72"/>
          <w:szCs w:val="72"/>
          <w:highlight w:val="none"/>
          <w:lang w:val="en-US" w:eastAsia="zh-CN"/>
        </w:rPr>
      </w:r>
      <w:r/>
    </w:p>
    <w:p>
      <w:pPr>
        <w:jc w:val="center"/>
        <w:pageBreakBefore w:val="0"/>
        <w:spacing w:line="360" w:lineRule="auto"/>
        <w:rPr>
          <w:rFonts w:hint="eastAsia" w:ascii="宋体" w:hAnsi="宋体" w:eastAsia="宋体" w:cs="宋体"/>
          <w:bCs/>
          <w:color w:val="auto"/>
          <w:sz w:val="72"/>
          <w:szCs w:val="72"/>
          <w:highlight w:val="none"/>
          <w:lang w:val="en-US" w:eastAsia="zh-CN"/>
        </w:rPr>
      </w:pPr>
      <w:r>
        <w:rPr>
          <w:rFonts w:hint="eastAsia" w:ascii="宋体" w:hAnsi="宋体" w:eastAsia="宋体" w:cs="宋体"/>
          <w:bCs/>
          <w:color w:val="auto"/>
          <w:sz w:val="72"/>
          <w:szCs w:val="72"/>
          <w:highlight w:val="none"/>
          <w:lang w:val="en-US" w:eastAsia="zh-CN"/>
        </w:rPr>
      </w:r>
      <w:r/>
    </w:p>
    <w:p>
      <w:pPr>
        <w:ind w:firstLine="1800"/>
        <w:jc w:val="left"/>
        <w:pageBreakBefore w:val="0"/>
        <w:spacing w:line="360" w:lineRule="auto"/>
        <w:rPr>
          <w:rFonts w:hint="eastAsia" w:ascii="宋体" w:hAnsi="宋体" w:eastAsia="宋体" w:cs="宋体"/>
          <w:bCs/>
          <w:color w:val="auto"/>
          <w:sz w:val="32"/>
          <w:szCs w:val="32"/>
          <w:highlight w:val="none"/>
          <w:lang w:eastAsia="zh-CN"/>
        </w:rPr>
      </w:pPr>
      <w:r>
        <w:rPr>
          <w:rFonts w:hint="eastAsia" w:ascii="宋体" w:hAnsi="宋体" w:eastAsia="宋体" w:cs="宋体"/>
          <w:bCs/>
          <w:color w:val="auto"/>
          <w:sz w:val="30"/>
          <w:szCs w:val="30"/>
          <w:highlight w:val="none"/>
        </w:rPr>
        <w:t xml:space="preserve">项目编号：</w:t>
      </w:r>
      <w:r>
        <w:rPr>
          <w:rFonts w:hint="eastAsia" w:ascii="宋体" w:hAnsi="宋体" w:cs="宋体"/>
          <w:bCs/>
          <w:color w:val="auto"/>
          <w:sz w:val="32"/>
          <w:szCs w:val="32"/>
          <w:highlight w:val="none"/>
          <w:lang w:eastAsia="zh-CN"/>
        </w:rPr>
        <w:t xml:space="preserve">JSZC-320200-JXCG-G2026-0018</w:t>
      </w:r>
      <w:r/>
    </w:p>
    <w:p>
      <w:pPr>
        <w:ind w:left="3289" w:hanging="1500"/>
        <w:jc w:val="left"/>
        <w:pageBreakBefore w:val="0"/>
        <w:spacing w:line="360" w:lineRule="auto"/>
        <w:rPr>
          <w:rFonts w:hint="eastAsia" w:ascii="宋体" w:hAnsi="宋体" w:eastAsia="宋体" w:cs="宋体"/>
          <w:bCs/>
          <w:color w:val="auto"/>
          <w:sz w:val="30"/>
          <w:szCs w:val="30"/>
          <w:highlight w:val="none"/>
          <w:lang w:eastAsia="zh-CN"/>
        </w:rPr>
      </w:pPr>
      <w:r>
        <w:rPr>
          <w:rFonts w:hint="eastAsia" w:ascii="宋体" w:hAnsi="宋体" w:eastAsia="宋体" w:cs="宋体"/>
          <w:bCs/>
          <w:color w:val="auto"/>
          <w:sz w:val="30"/>
          <w:szCs w:val="30"/>
          <w:highlight w:val="none"/>
        </w:rPr>
        <w:t xml:space="preserve">项目名称：</w:t>
      </w:r>
      <w:r>
        <w:rPr>
          <w:rFonts w:hint="eastAsia" w:ascii="宋体" w:hAnsi="宋体" w:cs="宋体"/>
          <w:bCs/>
          <w:color w:val="auto"/>
          <w:sz w:val="30"/>
          <w:szCs w:val="30"/>
          <w:highlight w:val="none"/>
          <w:lang w:eastAsia="zh-CN"/>
        </w:rPr>
        <w:t xml:space="preserve">2026年仪器设备专项购置（干加热自动透皮系统）</w:t>
      </w:r>
      <w:r/>
    </w:p>
    <w:p>
      <w:pPr>
        <w:ind w:firstLine="1800"/>
        <w:pageBreakBefore w:val="0"/>
        <w:spacing w:line="360" w:lineRule="auto"/>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t xml:space="preserve">投 标 人：</w:t>
      </w:r>
      <w:r/>
    </w:p>
    <w:p>
      <w:pPr>
        <w:ind w:firstLine="1800"/>
        <w:pageBreakBefore w:val="0"/>
        <w:spacing w:line="360" w:lineRule="auto"/>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t xml:space="preserve">日    期：</w:t>
      </w:r>
      <w:r/>
    </w:p>
    <w:p>
      <w:pPr>
        <w:ind w:left="0" w:right="0" w:firstLine="480"/>
        <w:jc w:val="center"/>
        <w:pageBreakBefore w:val="0"/>
        <w:spacing w:beforeAutospacing="0" w:afterAutospacing="0" w:line="360" w:lineRule="auto"/>
        <w:rPr>
          <w:rFonts w:hint="eastAsia" w:ascii="宋体" w:hAnsi="宋体" w:eastAsia="宋体" w:cs="宋体"/>
          <w:b/>
          <w:color w:val="auto"/>
          <w:sz w:val="30"/>
          <w:szCs w:val="30"/>
          <w:highlight w:val="none"/>
        </w:rPr>
      </w:pPr>
      <w:r>
        <w:rPr>
          <w:rFonts w:hint="eastAsia" w:ascii="宋体" w:hAnsi="宋体" w:eastAsia="宋体" w:cs="宋体"/>
          <w:bCs/>
          <w:color w:val="auto"/>
          <w:sz w:val="24"/>
          <w:szCs w:val="30"/>
          <w:highlight w:val="none"/>
        </w:rPr>
        <w:br w:type="page" w:clear="all"/>
      </w:r>
      <w:r>
        <w:rPr>
          <w:rFonts w:hint="eastAsia" w:ascii="宋体" w:hAnsi="宋体" w:eastAsia="宋体" w:cs="宋体"/>
          <w:b/>
          <w:color w:val="auto"/>
          <w:sz w:val="30"/>
          <w:szCs w:val="30"/>
          <w:highlight w:val="none"/>
        </w:rPr>
        <w:t xml:space="preserve">二、授权委托书（给定格式）：</w:t>
      </w:r>
      <w:r/>
    </w:p>
    <w:p>
      <w:pPr>
        <w:ind w:left="0" w:right="0" w:firstLine="480"/>
        <w:jc w:val="center"/>
        <w:pageBreakBefore w:val="0"/>
        <w:spacing w:beforeAutospacing="0" w:afterAutospacing="0" w:line="360" w:lineRule="auto"/>
        <w:rPr>
          <w:rFonts w:hint="eastAsia" w:ascii="宋体" w:hAnsi="宋体" w:eastAsia="宋体" w:cs="宋体"/>
          <w:color w:val="auto"/>
          <w:sz w:val="24"/>
          <w:highlight w:val="none"/>
          <w:shd w:val="clear" w:color="ffffff" w:fill="d9d9d9"/>
        </w:rPr>
        <w:outlineLvl w:val="0"/>
      </w:pPr>
      <w:r/>
      <w:bookmarkStart w:id="207" w:name="_Toc19688"/>
      <w:r>
        <w:rPr>
          <w:rFonts w:hint="eastAsia" w:ascii="宋体" w:hAnsi="宋体" w:eastAsia="宋体" w:cs="宋体"/>
          <w:bCs/>
          <w:color w:val="auto"/>
          <w:sz w:val="24"/>
          <w:szCs w:val="28"/>
          <w:highlight w:val="none"/>
        </w:rPr>
        <w:t xml:space="preserve">授权委托书</w:t>
      </w:r>
      <w:bookmarkEnd w:id="207"/>
      <w:r/>
      <w:r/>
    </w:p>
    <w:p>
      <w:pPr>
        <w:pStyle w:val="830"/>
        <w:ind w:left="0" w:right="0" w:firstLine="480"/>
        <w:jc w:val="left"/>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我公司（单位）针对</w:t>
      </w:r>
      <w:r>
        <w:rPr>
          <w:rFonts w:hint="eastAsia" w:ascii="宋体" w:hAnsi="宋体" w:cs="宋体"/>
          <w:bCs/>
          <w:color w:val="auto"/>
          <w:sz w:val="24"/>
          <w:szCs w:val="24"/>
          <w:highlight w:val="none"/>
          <w:lang w:eastAsia="zh-CN"/>
        </w:rPr>
        <w:t xml:space="preserve">JSZC-320200-JXCG-G2026-0018</w:t>
      </w:r>
      <w:r>
        <w:rPr>
          <w:rFonts w:hint="eastAsia" w:ascii="宋体" w:hAnsi="宋体" w:eastAsia="宋体" w:cs="宋体"/>
          <w:bCs/>
          <w:color w:val="auto"/>
          <w:sz w:val="24"/>
          <w:szCs w:val="24"/>
          <w:highlight w:val="none"/>
        </w:rPr>
        <w:t xml:space="preserve">项目，兹授权：</w:t>
      </w:r>
      <w:r/>
    </w:p>
    <w:p>
      <w:pPr>
        <w:pStyle w:val="830"/>
        <w:ind w:left="0" w:right="0" w:firstLine="480"/>
        <w:jc w:val="left"/>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被授权人的姓名：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；性别：</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；职务：</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pStyle w:val="830"/>
        <w:ind w:left="0" w:right="0" w:firstLine="480"/>
        <w:jc w:val="left"/>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被授权人的身份证号码：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；联系方式：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pStyle w:val="830"/>
        <w:ind w:left="0" w:right="0" w:firstLine="480"/>
        <w:jc w:val="left"/>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为我方合法代理人，以本单位名义全权处理</w:t>
      </w:r>
      <w:r>
        <w:rPr>
          <w:rFonts w:hint="eastAsia" w:ascii="宋体" w:hAnsi="宋体" w:eastAsia="宋体" w:cs="宋体"/>
          <w:bCs/>
          <w:color w:val="auto"/>
          <w:sz w:val="24"/>
          <w:szCs w:val="24"/>
          <w:highlight w:val="none"/>
        </w:rPr>
        <w:t xml:space="preserve">针对本次项目的投标、参与开标、评标、签约等具体工作，并签署全部有关的文件、协议及合同以及其他</w:t>
      </w:r>
      <w:r>
        <w:rPr>
          <w:rFonts w:hint="eastAsia" w:ascii="宋体" w:hAnsi="宋体" w:eastAsia="宋体" w:cs="宋体"/>
          <w:color w:val="auto"/>
          <w:sz w:val="24"/>
          <w:szCs w:val="24"/>
          <w:highlight w:val="none"/>
        </w:rPr>
        <w:t xml:space="preserve">一切与该项目采购有关的事务。</w:t>
      </w:r>
      <w:r/>
    </w:p>
    <w:p>
      <w:pPr>
        <w:pStyle w:val="830"/>
        <w:ind w:left="0" w:right="0" w:firstLine="480"/>
        <w:jc w:val="left"/>
        <w:pageBreakBefore w:val="0"/>
        <w:spacing w:beforeAutospacing="0" w:afterAutospacing="0"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本授权委托书自授权之日起生效，</w:t>
      </w:r>
      <w:r>
        <w:rPr>
          <w:rFonts w:hint="eastAsia" w:ascii="宋体" w:hAnsi="宋体" w:eastAsia="宋体" w:cs="宋体"/>
          <w:bCs/>
          <w:color w:val="auto"/>
          <w:sz w:val="24"/>
          <w:szCs w:val="24"/>
          <w:highlight w:val="none"/>
        </w:rPr>
        <w:t xml:space="preserve">在撤销授权的书面通知送达你处以前，本授权书一直有效，被授权人签署的所有文件（在</w:t>
      </w:r>
      <w:r>
        <w:rPr>
          <w:rFonts w:hint="eastAsia" w:ascii="宋体" w:hAnsi="宋体" w:eastAsia="宋体" w:cs="宋体"/>
          <w:color w:val="auto"/>
          <w:sz w:val="24"/>
          <w:szCs w:val="24"/>
          <w:highlight w:val="none"/>
        </w:rPr>
        <w:t xml:space="preserve">授权委托</w:t>
      </w:r>
      <w:r>
        <w:rPr>
          <w:rFonts w:hint="eastAsia" w:ascii="宋体" w:hAnsi="宋体" w:eastAsia="宋体" w:cs="宋体"/>
          <w:bCs/>
          <w:color w:val="auto"/>
          <w:sz w:val="24"/>
          <w:szCs w:val="24"/>
          <w:highlight w:val="none"/>
        </w:rPr>
        <w:t xml:space="preserve">书有效期内签署的）不因授权的撤销而失效。</w:t>
      </w:r>
      <w:r/>
    </w:p>
    <w:p>
      <w:pPr>
        <w:pStyle w:val="830"/>
        <w:ind w:left="0" w:right="0" w:firstLine="480"/>
        <w:jc w:val="left"/>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特此授权委托。</w:t>
      </w:r>
      <w:r/>
    </w:p>
    <w:p>
      <w:pPr>
        <w:pStyle w:val="830"/>
        <w:ind w:left="0" w:right="0" w:firstLine="480"/>
        <w:jc w:val="left"/>
        <w:pageBreakBefore w:val="0"/>
        <w:spacing w:beforeAutospacing="0" w:afterAutospacing="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授权日期：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                     投标人名称</w:t>
      </w:r>
      <w:r>
        <w:rPr>
          <w:rFonts w:hint="eastAsia" w:ascii="宋体" w:hAnsi="宋体" w:eastAsia="宋体" w:cs="宋体"/>
          <w:bCs/>
          <w:color w:val="auto"/>
          <w:sz w:val="24"/>
          <w:szCs w:val="24"/>
          <w:highlight w:val="none"/>
        </w:rPr>
        <w:t xml:space="preserve">（盖章）</w:t>
      </w:r>
      <w:r>
        <w:rPr>
          <w:rFonts w:hint="eastAsia" w:ascii="宋体" w:hAnsi="宋体" w:eastAsia="宋体" w:cs="宋体"/>
          <w:color w:val="auto"/>
          <w:sz w:val="24"/>
          <w:szCs w:val="24"/>
          <w:highlight w:val="none"/>
        </w:rPr>
        <w:t xml:space="preserve">：</w:t>
      </w:r>
      <w:r/>
    </w:p>
    <w:p>
      <w:pPr>
        <w:pStyle w:val="830"/>
        <w:ind w:left="0" w:right="0" w:firstLine="480"/>
        <w:jc w:val="left"/>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法定代表人签字：</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被授权人签字：</w:t>
      </w:r>
      <w:r>
        <w:rPr>
          <w:rFonts w:hint="eastAsia" w:ascii="宋体" w:hAnsi="宋体" w:eastAsia="宋体" w:cs="宋体"/>
          <w:color w:val="auto"/>
          <w:sz w:val="24"/>
          <w:szCs w:val="24"/>
          <w:highlight w:val="none"/>
          <w:u w:val="single"/>
        </w:rPr>
        <w:t xml:space="preserve">        </w:t>
      </w:r>
      <w:r/>
    </w:p>
    <w:p>
      <w:pPr>
        <w:pStyle w:val="830"/>
        <w:ind w:left="0" w:right="0" w:firstLine="482"/>
        <w:jc w:val="left"/>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highlight w:val="none"/>
          <w:lang w:eastAsia="zh-CN"/>
        </w:rPr>
        <w:t xml:space="preserve">（</w:t>
      </w:r>
      <w:r>
        <w:rPr>
          <w:rFonts w:hint="eastAsia" w:ascii="宋体" w:hAnsi="宋体" w:eastAsia="宋体" w:cs="宋体"/>
          <w:b/>
          <w:color w:val="auto"/>
          <w:sz w:val="24"/>
          <w:highlight w:val="none"/>
        </w:rPr>
        <w:t xml:space="preserve">被授权人身份证原件扫描件附后</w:t>
      </w:r>
      <w:r>
        <w:rPr>
          <w:rFonts w:hint="eastAsia" w:ascii="宋体" w:hAnsi="宋体" w:eastAsia="宋体" w:cs="宋体"/>
          <w:b/>
          <w:color w:val="auto"/>
          <w:sz w:val="24"/>
          <w:highlight w:val="none"/>
          <w:lang w:eastAsia="zh-CN"/>
        </w:rPr>
        <w:t xml:space="preserve">）</w:t>
      </w:r>
      <w:r/>
    </w:p>
    <w:p>
      <w:pPr>
        <w:pStyle w:val="830"/>
        <w:ind w:left="0" w:right="0" w:firstLine="480"/>
        <w:jc w:val="left"/>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w:t>
      </w:r>
      <w:r/>
    </w:p>
    <w:p>
      <w:pPr>
        <w:pStyle w:val="830"/>
        <w:numPr>
          <w:ilvl w:val="0"/>
          <w:numId w:val="11"/>
        </w:numPr>
        <w:ind w:left="0" w:right="0" w:firstLine="480"/>
        <w:jc w:val="left"/>
        <w:pageBreakBefore w:val="0"/>
        <w:spacing w:beforeAutospacing="0" w:afterAutospacing="0"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若投标人为事业单位或其他组织或分支机构（仅限招标文件注明允许分支机构投标情形的），则法定代表人处的签字人可为单位负责人。</w:t>
      </w:r>
      <w:r/>
    </w:p>
    <w:p>
      <w:pPr>
        <w:pStyle w:val="830"/>
        <w:numPr>
          <w:ilvl w:val="0"/>
          <w:numId w:val="11"/>
        </w:numPr>
        <w:ind w:left="0" w:right="0" w:firstLine="480"/>
        <w:jc w:val="left"/>
        <w:pageBreakBefore w:val="0"/>
        <w:spacing w:beforeAutospacing="0" w:afterAutospacing="0"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当被授权人为法定代表人（或上述情况的单位负责人）时，只需在法定代表人处签字即可。</w:t>
      </w:r>
      <w:r/>
    </w:p>
    <w:p>
      <w:pPr>
        <w:pStyle w:val="830"/>
        <w:numPr>
          <w:ilvl w:val="0"/>
          <w:numId w:val="11"/>
        </w:numPr>
        <w:ind w:left="0" w:right="0" w:firstLine="480"/>
        <w:jc w:val="left"/>
        <w:pageBreakBefore w:val="0"/>
        <w:spacing w:beforeAutospacing="0" w:afterAutospacing="0"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供应商为自然人情形的，可不提供本《授权委托书》。</w:t>
      </w:r>
      <w:r/>
    </w:p>
    <w:p>
      <w:pPr>
        <w:pStyle w:val="830"/>
        <w:numPr>
          <w:ilvl w:val="0"/>
          <w:numId w:val="11"/>
        </w:numPr>
        <w:ind w:left="0" w:right="0" w:firstLine="480"/>
        <w:jc w:val="left"/>
        <w:pageBreakBefore w:val="0"/>
        <w:spacing w:beforeAutospacing="0" w:afterAutospacing="0" w:line="360" w:lineRule="auto"/>
        <w:rPr>
          <w:rFonts w:hint="eastAsia" w:ascii="宋体" w:hAnsi="宋体" w:eastAsia="宋体" w:cs="宋体"/>
          <w:color w:val="auto"/>
          <w:sz w:val="24"/>
          <w:szCs w:val="20"/>
          <w:highlight w:val="none"/>
        </w:rPr>
      </w:pPr>
      <w:r>
        <w:rPr>
          <w:rFonts w:hint="eastAsia" w:ascii="宋体" w:hAnsi="宋体" w:eastAsia="宋体" w:cs="宋体"/>
          <w:bCs/>
          <w:color w:val="auto"/>
          <w:sz w:val="24"/>
          <w:szCs w:val="24"/>
          <w:highlight w:val="none"/>
        </w:rPr>
        <w:t xml:space="preserve">被授权人为外籍、港、澳、台地区人士的，其身份证明须提供有效的护照或港澳同胞来往内地通行证、台湾同胞来往大陆通行证，或</w:t>
      </w:r>
      <w:r>
        <w:rPr>
          <w:rFonts w:hint="eastAsia" w:ascii="宋体" w:hAnsi="宋体" w:eastAsia="宋体" w:cs="宋体"/>
          <w:bCs/>
          <w:color w:val="auto"/>
          <w:sz w:val="24"/>
          <w:szCs w:val="24"/>
          <w:highlight w:val="none"/>
          <w:lang w:eastAsia="zh-CN"/>
        </w:rPr>
        <w:t xml:space="preserve">其他</w:t>
      </w:r>
      <w:r>
        <w:rPr>
          <w:rFonts w:hint="eastAsia" w:ascii="宋体" w:hAnsi="宋体" w:eastAsia="宋体" w:cs="宋体"/>
          <w:bCs/>
          <w:color w:val="auto"/>
          <w:sz w:val="24"/>
          <w:szCs w:val="24"/>
          <w:highlight w:val="none"/>
        </w:rPr>
        <w:t xml:space="preserve">可在中国大陆有效居留的许可证明。</w:t>
      </w:r>
      <w:r/>
    </w:p>
    <w:p>
      <w:pPr>
        <w:pStyle w:val="830"/>
        <w:ind w:left="0" w:right="0" w:firstLine="480"/>
        <w:jc w:val="center"/>
        <w:pageBreakBefore w:val="0"/>
        <w:spacing w:beforeAutospacing="0" w:afterAutospacing="0" w:line="360" w:lineRule="auto"/>
        <w:rPr>
          <w:rFonts w:hint="eastAsia" w:ascii="宋体" w:hAnsi="宋体" w:eastAsia="宋体" w:cs="宋体"/>
          <w:b/>
          <w:color w:val="auto"/>
          <w:sz w:val="30"/>
          <w:szCs w:val="30"/>
          <w:highlight w:val="none"/>
        </w:rPr>
      </w:pPr>
      <w:r>
        <w:rPr>
          <w:rFonts w:hint="eastAsia" w:ascii="宋体" w:hAnsi="宋体" w:eastAsia="宋体" w:cs="宋体"/>
          <w:bCs/>
          <w:color w:val="auto"/>
          <w:sz w:val="24"/>
          <w:szCs w:val="24"/>
          <w:highlight w:val="none"/>
        </w:rPr>
        <w:br w:type="page" w:clear="all"/>
      </w:r>
      <w:r>
        <w:rPr>
          <w:rFonts w:hint="eastAsia" w:ascii="宋体" w:hAnsi="宋体" w:eastAsia="宋体" w:cs="宋体"/>
          <w:b/>
          <w:color w:val="auto"/>
          <w:sz w:val="30"/>
          <w:szCs w:val="30"/>
          <w:highlight w:val="none"/>
        </w:rPr>
        <w:t xml:space="preserve">三、资格声明函（给定格式）：</w:t>
      </w:r>
      <w:r/>
    </w:p>
    <w:p>
      <w:pPr>
        <w:ind w:left="0" w:right="0" w:firstLine="480"/>
        <w:jc w:val="center"/>
        <w:pageBreakBefore w:val="0"/>
        <w:spacing w:beforeAutospacing="0" w:afterAutospacing="0" w:line="360" w:lineRule="auto"/>
        <w:rPr>
          <w:rFonts w:hint="eastAsia" w:ascii="宋体" w:hAnsi="宋体" w:eastAsia="宋体" w:cs="宋体"/>
          <w:bCs/>
          <w:color w:val="auto"/>
          <w:sz w:val="24"/>
          <w:szCs w:val="24"/>
          <w:highlight w:val="none"/>
        </w:rPr>
        <w:outlineLvl w:val="0"/>
      </w:pPr>
      <w:r/>
      <w:bookmarkStart w:id="208" w:name="报价方关于资格的声明函（格式）"/>
      <w:r/>
      <w:bookmarkEnd w:id="208"/>
      <w:r/>
      <w:bookmarkStart w:id="209" w:name="_Toc20488"/>
      <w:r>
        <w:rPr>
          <w:rFonts w:hint="eastAsia" w:ascii="宋体" w:hAnsi="宋体" w:eastAsia="宋体" w:cs="宋体"/>
          <w:bCs/>
          <w:color w:val="auto"/>
          <w:sz w:val="24"/>
          <w:szCs w:val="28"/>
          <w:highlight w:val="none"/>
        </w:rPr>
        <w:t xml:space="preserve">资格声明函</w:t>
      </w:r>
      <w:bookmarkEnd w:id="209"/>
      <w:r/>
      <w:r/>
    </w:p>
    <w:p>
      <w:pPr>
        <w:ind w:left="0" w:right="0" w:firstLine="480"/>
        <w:jc w:val="left"/>
        <w:pageBreakBefore w:val="0"/>
        <w:spacing w:beforeAutospacing="0" w:afterAutospacing="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江苏建协全过程工程咨询有限公司</w:t>
      </w:r>
      <w:r>
        <w:rPr>
          <w:rFonts w:hint="eastAsia" w:ascii="宋体" w:hAnsi="宋体" w:eastAsia="宋体" w:cs="宋体"/>
          <w:bCs/>
          <w:color w:val="auto"/>
          <w:sz w:val="24"/>
          <w:szCs w:val="24"/>
          <w:highlight w:val="none"/>
        </w:rPr>
        <w:t xml:space="preserve">：</w:t>
      </w:r>
      <w:r/>
    </w:p>
    <w:p>
      <w:pPr>
        <w:ind w:left="0" w:right="0" w:firstLine="480"/>
        <w:jc w:val="left"/>
        <w:pageBreakBefore w:val="0"/>
        <w:spacing w:beforeAutospacing="0" w:afterAutospacing="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我公司（单位）针对本次项目</w:t>
      </w:r>
      <w:r>
        <w:rPr>
          <w:rFonts w:hint="eastAsia" w:ascii="宋体" w:hAnsi="宋体" w:cs="宋体"/>
          <w:bCs/>
          <w:color w:val="auto"/>
          <w:sz w:val="24"/>
          <w:szCs w:val="24"/>
          <w:highlight w:val="none"/>
          <w:lang w:eastAsia="zh-CN"/>
        </w:rPr>
        <w:t xml:space="preserve">JSZC-320200-JXCG-G2026-0018</w:t>
      </w:r>
      <w:r>
        <w:rPr>
          <w:rFonts w:hint="eastAsia" w:ascii="宋体" w:hAnsi="宋体" w:eastAsia="宋体" w:cs="宋体"/>
          <w:bCs/>
          <w:color w:val="auto"/>
          <w:sz w:val="24"/>
          <w:szCs w:val="24"/>
          <w:highlight w:val="none"/>
        </w:rPr>
        <w:t xml:space="preserve">进行投标，</w:t>
      </w:r>
      <w:r>
        <w:rPr>
          <w:rFonts w:hint="eastAsia" w:ascii="宋体" w:hAnsi="宋体" w:eastAsia="宋体" w:cs="宋体"/>
          <w:bCs/>
          <w:color w:val="auto"/>
          <w:sz w:val="24"/>
          <w:szCs w:val="24"/>
          <w:highlight w:val="none"/>
          <w:lang w:eastAsia="zh-CN"/>
        </w:rPr>
        <w:t xml:space="preserve">并作</w:t>
      </w:r>
      <w:r>
        <w:rPr>
          <w:rFonts w:hint="eastAsia" w:ascii="宋体" w:hAnsi="宋体" w:eastAsia="宋体" w:cs="宋体"/>
          <w:bCs/>
          <w:color w:val="auto"/>
          <w:sz w:val="24"/>
          <w:szCs w:val="24"/>
          <w:highlight w:val="none"/>
        </w:rPr>
        <w:t xml:space="preserve">如下声明</w:t>
      </w:r>
      <w:r/>
    </w:p>
    <w:p>
      <w:pPr>
        <w:ind w:left="0" w:right="0" w:firstLine="480"/>
        <w:jc w:val="left"/>
        <w:pageBreakBefore w:val="0"/>
        <w:spacing w:beforeAutospacing="0" w:afterAutospacing="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1.我公司（单位</w:t>
      </w:r>
      <w:r>
        <w:rPr>
          <w:rFonts w:hint="eastAsia" w:ascii="宋体" w:hAnsi="宋体" w:cs="宋体"/>
          <w:bCs/>
          <w:color w:val="auto"/>
          <w:sz w:val="24"/>
          <w:szCs w:val="24"/>
          <w:highlight w:val="none"/>
          <w:lang w:eastAsia="zh-CN"/>
        </w:rPr>
        <w:t xml:space="preserve">）在</w:t>
      </w:r>
      <w:r>
        <w:rPr>
          <w:rFonts w:hint="eastAsia" w:ascii="宋体" w:hAnsi="宋体" w:eastAsia="宋体" w:cs="宋体"/>
          <w:bCs/>
          <w:color w:val="auto"/>
          <w:sz w:val="24"/>
          <w:szCs w:val="24"/>
          <w:highlight w:val="none"/>
        </w:rPr>
        <w:t xml:space="preserve">参加本次项目政府采购活动前三年内，在经营活动中没有重大违法（因违法经营受到刑事处罚或者责令停产停业、吊销许可证或者执照、较大数额罚款等行政处罚）记录。</w:t>
      </w:r>
      <w:r/>
    </w:p>
    <w:p>
      <w:pPr>
        <w:ind w:left="0" w:right="0" w:firstLine="480"/>
        <w:jc w:val="left"/>
        <w:pageBreakBefore w:val="0"/>
        <w:spacing w:beforeAutospacing="0" w:afterAutospacing="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2.本公司（单位）具备本次项目履行合同所必需的设备和专业技术能力。</w:t>
      </w:r>
      <w:r/>
    </w:p>
    <w:p>
      <w:pPr>
        <w:ind w:left="0" w:right="0" w:firstLine="480"/>
        <w:jc w:val="left"/>
        <w:pageBreakBefore w:val="0"/>
        <w:spacing w:beforeAutospacing="0" w:afterAutospacing="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3.本公司（单位）无被“信用中国”网站（www.creditchina.gov.cn）、中国政府采购网</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www.ccgp.gov.cn</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列入失信被执行人、</w:t>
      </w:r>
      <w:r>
        <w:rPr>
          <w:rFonts w:hint="eastAsia" w:ascii="宋体" w:hAnsi="宋体" w:eastAsia="宋体" w:cs="宋体"/>
          <w:bCs/>
          <w:color w:val="auto"/>
          <w:sz w:val="24"/>
          <w:szCs w:val="24"/>
          <w:highlight w:val="none"/>
          <w:lang w:eastAsia="zh-CN"/>
        </w:rPr>
        <w:t xml:space="preserve">重大税收违法失信主体名单</w:t>
      </w:r>
      <w:r>
        <w:rPr>
          <w:rFonts w:hint="eastAsia" w:ascii="宋体" w:hAnsi="宋体" w:eastAsia="宋体" w:cs="宋体"/>
          <w:bCs/>
          <w:color w:val="auto"/>
          <w:sz w:val="24"/>
          <w:szCs w:val="24"/>
          <w:highlight w:val="none"/>
        </w:rPr>
        <w:t xml:space="preserve">、政府采购严重失信行为记录名单及其他不符合《中华人民共和国政府采购法》第二十二条规定条件的信用记录。</w:t>
      </w:r>
      <w:r/>
    </w:p>
    <w:p>
      <w:pPr>
        <w:ind w:left="0" w:right="0" w:firstLine="480"/>
        <w:jc w:val="left"/>
        <w:pageBreakBefore w:val="0"/>
        <w:spacing w:beforeAutospacing="0" w:afterAutospacing="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我公司（单位）针对本次项目的上述声明以及投标文件中所有关于投标资格的文件、证明、陈述均是真实的、准确的。若有违背，我公司（单位）愿意承担由此而产生的一切后果。</w:t>
      </w:r>
      <w:r/>
    </w:p>
    <w:p>
      <w:pPr>
        <w:ind w:left="0" w:right="0" w:firstLine="480"/>
        <w:jc w:val="left"/>
        <w:pageBreakBefore w:val="0"/>
        <w:spacing w:beforeAutospacing="0" w:afterAutospacing="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left="0" w:right="0" w:firstLine="480"/>
        <w:jc w:val="left"/>
        <w:pageBreakBefore w:val="0"/>
        <w:spacing w:beforeAutospacing="0" w:afterAutospacing="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投标人名称（盖章）：</w:t>
      </w:r>
      <w:r/>
    </w:p>
    <w:p>
      <w:pPr>
        <w:ind w:left="0" w:right="0" w:firstLine="480"/>
        <w:jc w:val="center"/>
        <w:pageBreakBefore w:val="0"/>
        <w:spacing w:beforeAutospacing="0" w:afterAutospacing="0" w:line="360" w:lineRule="auto"/>
        <w:rPr>
          <w:rFonts w:hint="eastAsia" w:ascii="宋体" w:hAnsi="宋体" w:eastAsia="宋体" w:cs="宋体"/>
          <w:b/>
          <w:color w:val="auto"/>
          <w:sz w:val="24"/>
          <w:szCs w:val="28"/>
          <w:highlight w:val="none"/>
        </w:rPr>
      </w:pPr>
      <w:r>
        <w:rPr>
          <w:rFonts w:hint="eastAsia" w:ascii="宋体" w:hAnsi="宋体" w:eastAsia="宋体" w:cs="宋体"/>
          <w:bCs/>
          <w:color w:val="auto"/>
          <w:sz w:val="24"/>
          <w:szCs w:val="24"/>
          <w:highlight w:val="none"/>
        </w:rPr>
        <w:br w:type="page" w:clear="all"/>
      </w:r>
      <w:r>
        <w:rPr>
          <w:rFonts w:hint="eastAsia" w:ascii="宋体" w:hAnsi="宋体" w:eastAsia="宋体" w:cs="宋体"/>
          <w:b/>
          <w:color w:val="auto"/>
          <w:sz w:val="30"/>
          <w:szCs w:val="30"/>
          <w:highlight w:val="none"/>
          <w:lang w:val="en-US" w:eastAsia="zh-CN" w:bidi="ar-SA"/>
        </w:rPr>
        <w:t xml:space="preserve">四、中小企业声明函（给定格式）：</w:t>
      </w:r>
      <w:r/>
    </w:p>
    <w:p>
      <w:pPr>
        <w:ind w:left="0" w:right="0" w:firstLine="482"/>
        <w:jc w:val="center"/>
        <w:pageBreakBefore w:val="0"/>
        <w:spacing w:beforeAutospacing="0" w:afterAutospacing="0" w:line="360" w:lineRule="auto"/>
        <w:rPr>
          <w:rFonts w:hint="eastAsia" w:ascii="宋体" w:hAnsi="宋体" w:eastAsia="宋体" w:cs="宋体"/>
          <w:b/>
          <w:color w:val="auto"/>
          <w:sz w:val="24"/>
          <w:szCs w:val="28"/>
          <w:highlight w:val="none"/>
        </w:rPr>
      </w:pPr>
      <w:r>
        <w:rPr>
          <w:rFonts w:hint="eastAsia" w:ascii="宋体" w:hAnsi="宋体" w:eastAsia="宋体" w:cs="宋体"/>
          <w:b/>
          <w:color w:val="auto"/>
          <w:sz w:val="24"/>
          <w:szCs w:val="28"/>
          <w:highlight w:val="none"/>
        </w:rPr>
        <w:t xml:space="preserve">中小企业声明函（</w:t>
      </w:r>
      <w:r>
        <w:rPr>
          <w:rFonts w:hint="eastAsia" w:ascii="宋体" w:hAnsi="宋体" w:cs="宋体"/>
          <w:b/>
          <w:color w:val="auto"/>
          <w:sz w:val="24"/>
          <w:szCs w:val="28"/>
          <w:highlight w:val="none"/>
          <w:lang w:val="en-US" w:eastAsia="zh-CN"/>
        </w:rPr>
        <w:t xml:space="preserve">货物</w:t>
      </w:r>
      <w:r>
        <w:rPr>
          <w:rFonts w:hint="eastAsia" w:ascii="宋体" w:hAnsi="宋体" w:eastAsia="宋体" w:cs="宋体"/>
          <w:b/>
          <w:color w:val="auto"/>
          <w:sz w:val="24"/>
          <w:szCs w:val="28"/>
          <w:highlight w:val="none"/>
        </w:rPr>
        <w:t xml:space="preserve">）</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本公司（联合体）郑重声明，根据《政府采购促进中小企业发展管理办法》（财库﹝2020﹞46 号）的规定，本公司 （联合体）参加</w:t>
      </w:r>
      <w:r>
        <w:rPr>
          <w:rFonts w:hint="eastAsia" w:ascii="宋体" w:hAnsi="宋体" w:eastAsia="宋体" w:cs="宋体"/>
          <w:bCs/>
          <w:sz w:val="24"/>
          <w:szCs w:val="24"/>
          <w:highlight w:val="none"/>
          <w:u w:val="single"/>
        </w:rPr>
        <w:t xml:space="preserve">（单位名称）</w:t>
      </w:r>
      <w:r>
        <w:rPr>
          <w:rFonts w:hint="eastAsia" w:ascii="宋体" w:hAnsi="宋体" w:eastAsia="宋体" w:cs="宋体"/>
          <w:bCs/>
          <w:sz w:val="24"/>
          <w:szCs w:val="24"/>
          <w:highlight w:val="none"/>
        </w:rPr>
        <w:t xml:space="preserve">的</w:t>
      </w:r>
      <w:r>
        <w:rPr>
          <w:rFonts w:hint="eastAsia" w:ascii="宋体" w:hAnsi="宋体" w:eastAsia="宋体" w:cs="宋体"/>
          <w:bCs/>
          <w:sz w:val="24"/>
          <w:szCs w:val="24"/>
          <w:highlight w:val="none"/>
          <w:u w:val="single"/>
        </w:rPr>
        <w:t xml:space="preserve">（项目名称）</w:t>
      </w:r>
      <w:r>
        <w:rPr>
          <w:rFonts w:hint="eastAsia" w:ascii="宋体" w:hAnsi="宋体" w:eastAsia="宋体" w:cs="宋体"/>
          <w:bCs/>
          <w:sz w:val="24"/>
          <w:szCs w:val="24"/>
          <w:highlight w:val="none"/>
        </w:rPr>
        <w:t xml:space="preserve">采购活动，提供的货物全部由符合政策要求的中小企业制造。相关企业 （含联合体中的中小企业、签订分包意向协议的中小企业）的具体情况如下：</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 </w:t>
      </w:r>
      <w:r>
        <w:rPr>
          <w:rFonts w:hint="eastAsia" w:ascii="宋体" w:hAnsi="宋体" w:eastAsia="宋体" w:cs="宋体"/>
          <w:bCs/>
          <w:sz w:val="24"/>
          <w:szCs w:val="24"/>
          <w:highlight w:val="none"/>
          <w:u w:val="single"/>
        </w:rPr>
        <w:t xml:space="preserve">（标的名称） </w:t>
      </w:r>
      <w:r>
        <w:rPr>
          <w:rFonts w:hint="eastAsia" w:ascii="宋体" w:hAnsi="宋体" w:eastAsia="宋体" w:cs="宋体"/>
          <w:bCs/>
          <w:sz w:val="24"/>
          <w:szCs w:val="24"/>
          <w:highlight w:val="none"/>
        </w:rPr>
        <w:t xml:space="preserve">，属于</w:t>
      </w:r>
      <w:r>
        <w:rPr>
          <w:rFonts w:hint="eastAsia" w:ascii="宋体" w:hAnsi="宋体" w:eastAsia="宋体" w:cs="宋体"/>
          <w:bCs/>
          <w:sz w:val="24"/>
          <w:szCs w:val="24"/>
          <w:highlight w:val="none"/>
          <w:u w:val="single"/>
        </w:rPr>
        <w:t xml:space="preserve">（招标文件中明确的所属行业） 行业</w:t>
      </w:r>
      <w:r>
        <w:rPr>
          <w:rFonts w:hint="eastAsia" w:ascii="宋体" w:hAnsi="宋体" w:eastAsia="宋体" w:cs="宋体"/>
          <w:bCs/>
          <w:sz w:val="24"/>
          <w:szCs w:val="24"/>
          <w:highlight w:val="none"/>
        </w:rPr>
        <w:t xml:space="preserve">；制造商为</w:t>
      </w:r>
      <w:r>
        <w:rPr>
          <w:rFonts w:hint="eastAsia" w:ascii="宋体" w:hAnsi="宋体" w:eastAsia="宋体" w:cs="宋体"/>
          <w:bCs/>
          <w:sz w:val="24"/>
          <w:szCs w:val="24"/>
          <w:highlight w:val="none"/>
          <w:u w:val="single"/>
        </w:rPr>
        <w:t xml:space="preserve">（企业名称）</w:t>
      </w:r>
      <w:r>
        <w:rPr>
          <w:rFonts w:hint="eastAsia" w:ascii="宋体" w:hAnsi="宋体" w:eastAsia="宋体" w:cs="宋体"/>
          <w:bCs/>
          <w:sz w:val="24"/>
          <w:szCs w:val="24"/>
          <w:highlight w:val="none"/>
        </w:rPr>
        <w:t xml:space="preserve">，从业人员</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人，营业收入为</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万元，资产总额为</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万元，属于</w:t>
      </w:r>
      <w:r>
        <w:rPr>
          <w:rFonts w:hint="eastAsia" w:ascii="宋体" w:hAnsi="宋体" w:eastAsia="宋体" w:cs="宋体"/>
          <w:bCs/>
          <w:sz w:val="24"/>
          <w:szCs w:val="24"/>
          <w:highlight w:val="none"/>
          <w:u w:val="single"/>
        </w:rPr>
        <w:t xml:space="preserve">（中型企业、小 型企业、微型企业）</w:t>
      </w:r>
      <w:r>
        <w:rPr>
          <w:rFonts w:hint="eastAsia" w:ascii="宋体" w:hAnsi="宋体" w:eastAsia="宋体" w:cs="宋体"/>
          <w:bCs/>
          <w:sz w:val="24"/>
          <w:szCs w:val="24"/>
          <w:highlight w:val="none"/>
        </w:rPr>
        <w:t xml:space="preserve">；</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w:t>
      </w:r>
      <w:r>
        <w:rPr>
          <w:rFonts w:hint="eastAsia" w:ascii="宋体" w:hAnsi="宋体" w:eastAsia="宋体" w:cs="宋体"/>
          <w:bCs/>
          <w:sz w:val="24"/>
          <w:szCs w:val="24"/>
          <w:highlight w:val="none"/>
          <w:u w:val="single"/>
        </w:rPr>
        <w:t xml:space="preserve"> （标的名称） </w:t>
      </w:r>
      <w:r>
        <w:rPr>
          <w:rFonts w:hint="eastAsia" w:ascii="宋体" w:hAnsi="宋体" w:eastAsia="宋体" w:cs="宋体"/>
          <w:bCs/>
          <w:sz w:val="24"/>
          <w:szCs w:val="24"/>
          <w:highlight w:val="none"/>
        </w:rPr>
        <w:t xml:space="preserve">，属于</w:t>
      </w:r>
      <w:r>
        <w:rPr>
          <w:rFonts w:hint="eastAsia" w:ascii="宋体" w:hAnsi="宋体" w:eastAsia="宋体" w:cs="宋体"/>
          <w:bCs/>
          <w:sz w:val="24"/>
          <w:szCs w:val="24"/>
          <w:highlight w:val="none"/>
          <w:u w:val="single"/>
        </w:rPr>
        <w:t xml:space="preserve">（招标文件中明确的所属行业） 行业</w:t>
      </w:r>
      <w:r>
        <w:rPr>
          <w:rFonts w:hint="eastAsia" w:ascii="宋体" w:hAnsi="宋体" w:eastAsia="宋体" w:cs="宋体"/>
          <w:bCs/>
          <w:sz w:val="24"/>
          <w:szCs w:val="24"/>
          <w:highlight w:val="none"/>
        </w:rPr>
        <w:t xml:space="preserve">；制造商为</w:t>
      </w:r>
      <w:r>
        <w:rPr>
          <w:rFonts w:hint="eastAsia" w:ascii="宋体" w:hAnsi="宋体" w:eastAsia="宋体" w:cs="宋体"/>
          <w:bCs/>
          <w:sz w:val="24"/>
          <w:szCs w:val="24"/>
          <w:highlight w:val="none"/>
          <w:u w:val="single"/>
        </w:rPr>
        <w:t xml:space="preserve">（企业名称）</w:t>
      </w:r>
      <w:r>
        <w:rPr>
          <w:rFonts w:hint="eastAsia" w:ascii="宋体" w:hAnsi="宋体" w:eastAsia="宋体" w:cs="宋体"/>
          <w:bCs/>
          <w:sz w:val="24"/>
          <w:szCs w:val="24"/>
          <w:highlight w:val="none"/>
        </w:rPr>
        <w:t xml:space="preserve">，从业人员</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人，营业收入为</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万元，资产总额为</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万元，属于</w:t>
      </w:r>
      <w:r>
        <w:rPr>
          <w:rFonts w:hint="eastAsia" w:ascii="宋体" w:hAnsi="宋体" w:eastAsia="宋体" w:cs="宋体"/>
          <w:bCs/>
          <w:sz w:val="24"/>
          <w:szCs w:val="24"/>
          <w:highlight w:val="none"/>
          <w:u w:val="single"/>
        </w:rPr>
        <w:t xml:space="preserve">（中型企业、小 型企业、微型企业）</w:t>
      </w:r>
      <w:r>
        <w:rPr>
          <w:rFonts w:hint="eastAsia" w:ascii="宋体" w:hAnsi="宋体" w:eastAsia="宋体" w:cs="宋体"/>
          <w:bCs/>
          <w:sz w:val="24"/>
          <w:szCs w:val="24"/>
          <w:highlight w:val="none"/>
        </w:rPr>
        <w:t xml:space="preserve">；</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本企业对上述声明内容的真实性负责。如有虚假，将依法承担相应责任。 </w:t>
      </w:r>
      <w:r/>
    </w:p>
    <w:p>
      <w:pPr>
        <w:ind w:firstLine="480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企业名称（盖章）：</w:t>
      </w:r>
      <w:r/>
    </w:p>
    <w:p>
      <w:pPr>
        <w:ind w:firstLine="480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日　　　　　　期：</w:t>
      </w:r>
      <w:r/>
    </w:p>
    <w:p>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ind w:firstLine="420"/>
        <w:spacing w:line="360" w:lineRule="auto"/>
        <w:rPr>
          <w:rFonts w:hint="eastAsia" w:ascii="宋体" w:hAnsi="宋体" w:eastAsia="宋体" w:cs="宋体"/>
          <w:highlight w:val="none"/>
        </w:rPr>
      </w:pPr>
      <w:r>
        <w:rPr>
          <w:rFonts w:hint="eastAsia" w:ascii="宋体" w:hAnsi="宋体" w:eastAsia="宋体" w:cs="宋体"/>
          <w:highlight w:val="none"/>
        </w:rPr>
        <w:t xml:space="preserve">注：（1）项目技术要求中如对本项目标的及其所属行业进行逐一列明的，投标人须根据项目技术要求中所列明的标的及其所属行业逐一进行填报。根据本《中小企业声明函》类型，项目属性为货物类的，</w:t>
      </w:r>
      <w:r>
        <w:rPr>
          <w:rFonts w:hint="eastAsia" w:ascii="宋体" w:hAnsi="宋体" w:eastAsia="宋体" w:cs="宋体"/>
          <w:highlight w:val="none"/>
          <w:lang w:eastAsia="zh-CN"/>
        </w:rPr>
        <w:t xml:space="preserve">只需</w:t>
      </w:r>
      <w:r>
        <w:rPr>
          <w:rFonts w:hint="eastAsia" w:ascii="宋体" w:hAnsi="宋体" w:eastAsia="宋体" w:cs="宋体"/>
          <w:highlight w:val="none"/>
        </w:rPr>
        <w:t xml:space="preserve">按项目技术要求中的货物部分标的及其所属行业逐一进行填报，“企业名称”应填报为该项货物的制造商。专门面向中小企业的项目投标人未按上述要求逐一进行填报的将被视为无效投标文件；非专门面向中小企业的项目投标人未按上述要求逐一进行填报的将不进行中、小、微型企业认定。</w:t>
      </w:r>
      <w:r/>
    </w:p>
    <w:p>
      <w:pPr>
        <w:ind w:firstLine="420"/>
        <w:spacing w:line="360" w:lineRule="auto"/>
        <w:rPr>
          <w:rFonts w:hint="eastAsia" w:ascii="宋体" w:hAnsi="宋体" w:eastAsia="宋体" w:cs="宋体"/>
          <w:highlight w:val="none"/>
        </w:rPr>
      </w:pPr>
      <w:r>
        <w:rPr>
          <w:rFonts w:hint="eastAsia" w:ascii="宋体" w:hAnsi="宋体" w:cs="宋体"/>
          <w:highlight w:val="none"/>
          <w:lang w:eastAsia="zh-CN"/>
        </w:rPr>
        <w:t xml:space="preserve">（2）</w:t>
      </w:r>
      <w:r>
        <w:rPr>
          <w:rFonts w:hint="eastAsia" w:ascii="宋体" w:hAnsi="宋体" w:eastAsia="宋体" w:cs="宋体"/>
          <w:highlight w:val="none"/>
        </w:rPr>
        <w:t xml:space="preserve">从业人员、营业收入、资产总额填报上一年度数据，无上一年度数据的新成立企业可不填报。</w:t>
      </w:r>
      <w:r/>
    </w:p>
    <w:p>
      <w:pPr>
        <w:ind w:firstLine="420"/>
        <w:spacing w:line="360" w:lineRule="auto"/>
        <w:rPr>
          <w:rFonts w:hint="eastAsia" w:ascii="宋体" w:hAnsi="宋体" w:eastAsia="宋体" w:cs="宋体"/>
          <w:highlight w:val="none"/>
        </w:rPr>
      </w:pPr>
      <w:r>
        <w:rPr>
          <w:rFonts w:hint="eastAsia" w:ascii="宋体" w:hAnsi="宋体" w:eastAsia="宋体" w:cs="宋体"/>
          <w:highlight w:val="none"/>
        </w:rPr>
        <w:t xml:space="preserve">（3）在货物采购项目中，供应商提供的货物既有中小企业制造货物，也有大型企业制造</w:t>
      </w:r>
      <w:r>
        <w:rPr>
          <w:rFonts w:hint="eastAsia" w:ascii="宋体" w:hAnsi="宋体" w:eastAsia="宋体" w:cs="宋体"/>
          <w:highlight w:val="none"/>
          <w:lang w:eastAsia="zh-CN"/>
        </w:rPr>
        <w:t xml:space="preserve">货物</w:t>
      </w:r>
      <w:r>
        <w:rPr>
          <w:rFonts w:hint="eastAsia" w:ascii="宋体" w:hAnsi="宋体" w:eastAsia="宋体" w:cs="宋体"/>
          <w:highlight w:val="none"/>
        </w:rPr>
        <w:t xml:space="preserve">的，不享受本办法规定的中小企业扶持政策。</w:t>
      </w:r>
      <w:r/>
    </w:p>
    <w:p>
      <w:pPr>
        <w:ind w:firstLine="420"/>
        <w:spacing w:line="360" w:lineRule="auto"/>
        <w:rPr>
          <w:rFonts w:hint="eastAsia" w:ascii="宋体" w:hAnsi="宋体" w:eastAsia="宋体" w:cs="宋体"/>
          <w:highlight w:val="none"/>
        </w:rPr>
      </w:pPr>
      <w:r>
        <w:rPr>
          <w:rFonts w:hint="eastAsia" w:ascii="宋体" w:hAnsi="宋体" w:eastAsia="宋体" w:cs="宋体"/>
          <w:highlight w:val="none"/>
        </w:rPr>
        <w:t xml:space="preserve">（4）中标供应商的《中小企业声明函》将随中标公告进行公示。供应商按照本办法规定提供声明函内容不实的，属于提供虚假材料谋取中标、成交</w:t>
      </w:r>
      <w:r>
        <w:rPr>
          <w:rFonts w:hint="eastAsia" w:ascii="宋体" w:hAnsi="宋体" w:eastAsia="宋体" w:cs="宋体"/>
          <w:highlight w:val="none"/>
          <w:lang w:eastAsia="zh-CN"/>
        </w:rPr>
        <w:t xml:space="preserve">，可</w:t>
      </w:r>
      <w:r>
        <w:rPr>
          <w:rFonts w:hint="eastAsia" w:ascii="宋体" w:hAnsi="宋体" w:eastAsia="宋体" w:cs="宋体"/>
          <w:highlight w:val="none"/>
        </w:rPr>
        <w:t xml:space="preserve">依照《中华人民共和国政府采购法》等国家有关规定追究相应责任。</w:t>
      </w:r>
      <w:r/>
    </w:p>
    <w:p>
      <w:pPr>
        <w:jc w:val="center"/>
        <w:pageBreakBefore w:val="0"/>
        <w:spacing w:line="360" w:lineRule="auto"/>
        <w:rPr>
          <w:rFonts w:hint="eastAsia" w:ascii="宋体" w:hAnsi="宋体" w:eastAsia="宋体" w:cs="宋体"/>
          <w:b/>
          <w:color w:val="auto"/>
          <w:sz w:val="24"/>
          <w:highlight w:val="none"/>
        </w:rPr>
      </w:pPr>
      <w:r>
        <w:rPr>
          <w:rFonts w:hint="eastAsia" w:ascii="宋体" w:hAnsi="宋体" w:eastAsia="宋体" w:cs="宋体"/>
          <w:color w:val="00b050"/>
          <w:highlight w:val="none"/>
        </w:rPr>
        <w:br w:type="page" w:clear="all"/>
      </w:r>
      <w:r>
        <w:rPr>
          <w:rFonts w:hint="eastAsia" w:ascii="宋体" w:hAnsi="宋体" w:eastAsia="宋体" w:cs="宋体"/>
          <w:b/>
          <w:color w:val="auto"/>
          <w:sz w:val="30"/>
          <w:szCs w:val="30"/>
          <w:highlight w:val="none"/>
          <w:lang w:val="en-US" w:eastAsia="zh-CN"/>
        </w:rPr>
        <w:t xml:space="preserve">五、残疾人福利性单位声明函（给定格式）：</w:t>
      </w:r>
      <w:r/>
    </w:p>
    <w:p>
      <w:pPr>
        <w:ind w:left="0" w:right="0" w:firstLine="480"/>
        <w:jc w:val="center"/>
        <w:pageBreakBefore w:val="0"/>
        <w:spacing w:beforeAutospacing="0" w:afterAutospacing="0" w:line="360" w:lineRule="auto"/>
        <w:rPr>
          <w:rFonts w:hint="eastAsia" w:ascii="宋体" w:hAnsi="宋体" w:eastAsia="宋体" w:cs="宋体"/>
          <w:bCs/>
          <w:color w:val="auto"/>
          <w:sz w:val="24"/>
          <w:szCs w:val="28"/>
          <w:highlight w:val="none"/>
        </w:rPr>
      </w:pPr>
      <w:r>
        <w:rPr>
          <w:rFonts w:hint="eastAsia" w:ascii="宋体" w:hAnsi="宋体" w:eastAsia="宋体" w:cs="宋体"/>
          <w:bCs/>
          <w:color w:val="auto"/>
          <w:sz w:val="24"/>
          <w:szCs w:val="28"/>
          <w:highlight w:val="none"/>
        </w:rPr>
        <w:t xml:space="preserve">残疾人福利性单位声明函</w:t>
      </w:r>
      <w:r/>
    </w:p>
    <w:p>
      <w:pPr>
        <w:ind w:left="0" w:right="0" w:firstLine="480"/>
        <w:jc w:val="left"/>
        <w:pageBreakBefore w:val="0"/>
        <w:spacing w:beforeAutospacing="0" w:afterAutospacing="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本单位郑重声明，根据《财政部 民政部 中国残疾人联合会关于促进残疾人就业政府采购政策的通知》（财库</w:t>
      </w:r>
      <w:r>
        <w:rPr>
          <w:rFonts w:hint="eastAsia" w:ascii="宋体" w:hAnsi="宋体" w:eastAsia="宋体" w:cs="宋体"/>
          <w:bCs/>
          <w:color w:val="auto"/>
          <w:sz w:val="24"/>
          <w:szCs w:val="24"/>
          <w:highlight w:val="none"/>
          <w:lang w:eastAsia="zh-CN"/>
        </w:rPr>
        <w:t xml:space="preserve">〔2017〕141号</w:t>
      </w:r>
      <w:r>
        <w:rPr>
          <w:rFonts w:hint="eastAsia" w:ascii="宋体" w:hAnsi="宋体" w:eastAsia="宋体" w:cs="宋体"/>
          <w:bCs/>
          <w:color w:val="auto"/>
          <w:sz w:val="24"/>
          <w:szCs w:val="24"/>
          <w:highlight w:val="none"/>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left="0" w:right="0" w:firstLine="480"/>
        <w:jc w:val="left"/>
        <w:pageBreakBefore w:val="0"/>
        <w:spacing w:beforeAutospacing="0" w:afterAutospacing="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本单位对上述声明的真实性负责。如有虚假，将依法承担相应责任。</w:t>
      </w:r>
      <w:r/>
    </w:p>
    <w:p>
      <w:pPr>
        <w:ind w:left="0" w:right="0" w:firstLine="480"/>
        <w:jc w:val="left"/>
        <w:pageBreakBefore w:val="0"/>
        <w:spacing w:beforeAutospacing="0" w:afterAutospacing="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left="0" w:right="0" w:firstLine="480"/>
        <w:jc w:val="left"/>
        <w:pageBreakBefore w:val="0"/>
        <w:spacing w:beforeAutospacing="0" w:afterAutospacing="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left="0" w:right="0" w:firstLine="480"/>
        <w:jc w:val="left"/>
        <w:pageBreakBefore w:val="0"/>
        <w:spacing w:beforeAutospacing="0" w:afterAutospacing="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单位名称（盖章）：</w:t>
      </w:r>
      <w:r/>
    </w:p>
    <w:p>
      <w:pPr>
        <w:ind w:left="0" w:right="0" w:firstLine="480"/>
        <w:jc w:val="left"/>
        <w:pageBreakBefore w:val="0"/>
        <w:spacing w:beforeAutospacing="0" w:afterAutospacing="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日  期：</w:t>
      </w:r>
      <w:r/>
    </w:p>
    <w:p>
      <w:pPr>
        <w:ind w:left="0" w:right="0" w:firstLine="480"/>
        <w:jc w:val="center"/>
        <w:pageBreakBefore w:val="0"/>
        <w:spacing w:beforeAutospacing="0" w:afterAutospacing="0" w:line="360" w:lineRule="auto"/>
        <w:rPr>
          <w:rFonts w:hint="eastAsia" w:ascii="宋体" w:hAnsi="宋体" w:eastAsia="宋体" w:cs="宋体"/>
          <w:bCs/>
          <w:color w:val="auto"/>
          <w:sz w:val="24"/>
          <w:szCs w:val="24"/>
          <w:highlight w:val="none"/>
        </w:rPr>
        <w:sectPr>
          <w:footnotePr/>
          <w:endnotePr/>
          <w:type w:val="nextPage"/>
          <w:pgSz w:w="11906" w:h="16838" w:orient="portrait"/>
          <w:pgMar w:top="1440" w:right="1080" w:bottom="1440" w:left="1080" w:header="851" w:footer="907" w:gutter="0"/>
          <w:cols w:num="1" w:sep="0" w:space="720" w:equalWidth="1"/>
          <w:docGrid w:linePitch="360"/>
          <w:titlePg/>
        </w:sectPr>
      </w:pPr>
      <w:r>
        <w:rPr>
          <w:rFonts w:hint="eastAsia" w:ascii="宋体" w:hAnsi="宋体" w:eastAsia="宋体" w:cs="宋体"/>
          <w:bCs/>
          <w:color w:val="auto"/>
          <w:sz w:val="24"/>
          <w:szCs w:val="24"/>
          <w:highlight w:val="none"/>
        </w:rPr>
      </w:r>
      <w:r/>
    </w:p>
    <w:p>
      <w:pPr>
        <w:numPr>
          <w:ilvl w:val="0"/>
          <w:numId w:val="12"/>
        </w:numPr>
        <w:jc w:val="center"/>
        <w:pageBreakBefore w:val="0"/>
        <w:spacing w:line="360" w:lineRule="auto"/>
        <w:rPr>
          <w:rFonts w:hint="eastAsia"/>
          <w:highlight w:val="none"/>
          <w:lang w:val="en-US" w:eastAsia="zh-CN"/>
        </w:rPr>
      </w:pPr>
      <w:r>
        <w:rPr>
          <w:rFonts w:hint="eastAsia" w:ascii="宋体" w:hAnsi="宋体" w:eastAsia="宋体" w:cs="宋体"/>
          <w:b/>
          <w:color w:val="auto"/>
          <w:sz w:val="30"/>
          <w:szCs w:val="30"/>
          <w:highlight w:val="none"/>
          <w:lang w:val="en-US" w:eastAsia="zh-CN"/>
        </w:rPr>
        <w:t xml:space="preserve">关于符合本国产品标准的声明函：</w:t>
      </w:r>
      <w:r/>
    </w:p>
    <w:p>
      <w:pPr>
        <w:ind w:left="0" w:right="0" w:firstLine="480"/>
        <w:jc w:val="left"/>
        <w:pageBreakBefore w:val="0"/>
        <w:spacing w:beforeAutospacing="0" w:afterAutospacing="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80"/>
        <w:jc w:val="left"/>
        <w:pageBreakBefore w:val="0"/>
        <w:spacing w:beforeAutospacing="0" w:afterAutospacing="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1.（产品名称</w:t>
      </w:r>
      <w:r>
        <w:rPr>
          <w:rFonts w:hint="default" w:ascii="Times New Roman" w:hAnsi="Times New Roman" w:eastAsia="宋体" w:cs="Times New Roman"/>
          <w:color w:val="333333"/>
          <w:sz w:val="24"/>
          <w:szCs w:val="24"/>
          <w:highlight w:val="none"/>
          <w:shd w:val="clear" w:color="auto" w:fill="ffffff"/>
        </w:rPr>
        <w:t xml:space="preserve">1）</w:t>
      </w:r>
      <w:r>
        <w:rPr>
          <w:rFonts w:hint="default" w:ascii="Times New Roman" w:hAnsi="Times New Roman" w:eastAsia="宋体" w:cs="Times New Roman"/>
          <w:color w:val="333333"/>
          <w:sz w:val="24"/>
          <w:szCs w:val="24"/>
          <w:highlight w:val="none"/>
          <w:shd w:val="clear" w:color="auto" w:fill="ffffff"/>
          <w:vertAlign w:val="superscript"/>
        </w:rPr>
        <w:t xml:space="preserve">1</w:t>
      </w:r>
      <w:r>
        <w:rPr>
          <w:rFonts w:hint="eastAsia" w:ascii="宋体" w:hAnsi="宋体" w:eastAsia="宋体" w:cs="宋体"/>
          <w:bCs/>
          <w:color w:val="auto"/>
          <w:sz w:val="24"/>
          <w:szCs w:val="24"/>
          <w:highlight w:val="none"/>
        </w:rPr>
        <w:t xml:space="preserve">，生产厂为（厂名</w:t>
      </w:r>
      <w:r>
        <w:rPr>
          <w:rFonts w:hint="default" w:ascii="Times New Roman" w:hAnsi="Times New Roman" w:eastAsia="宋体" w:cs="Times New Roman"/>
          <w:color w:val="333333"/>
          <w:sz w:val="24"/>
          <w:szCs w:val="24"/>
          <w:highlight w:val="none"/>
          <w:shd w:val="clear" w:color="auto" w:fill="ffffff"/>
        </w:rPr>
        <w:t xml:space="preserve">）</w:t>
      </w:r>
      <w:r>
        <w:rPr>
          <w:rFonts w:hint="default" w:ascii="Times New Roman" w:hAnsi="Times New Roman" w:eastAsia="宋体" w:cs="Times New Roman"/>
          <w:color w:val="333333"/>
          <w:sz w:val="24"/>
          <w:szCs w:val="24"/>
          <w:highlight w:val="none"/>
          <w:shd w:val="clear" w:color="auto" w:fill="ffffff"/>
          <w:vertAlign w:val="superscript"/>
        </w:rPr>
        <w:t xml:space="preserve">2</w:t>
      </w:r>
      <w:r>
        <w:rPr>
          <w:rFonts w:hint="eastAsia" w:ascii="宋体" w:hAnsi="宋体" w:eastAsia="宋体" w:cs="宋体"/>
          <w:bCs/>
          <w:color w:val="auto"/>
          <w:sz w:val="24"/>
          <w:szCs w:val="24"/>
          <w:highlight w:val="none"/>
        </w:rPr>
        <w:t xml:space="preserve">，厂址为（生产厂址）。（产品名称1）的中国境内生产的组件成本占比≥（规定比例）</w:t>
      </w:r>
      <w:r>
        <w:rPr>
          <w:rFonts w:hint="default" w:ascii="Times New Roman" w:hAnsi="Times New Roman" w:eastAsia="宋体" w:cs="Times New Roman"/>
          <w:color w:val="333333"/>
          <w:sz w:val="21"/>
          <w:szCs w:val="21"/>
          <w:highlight w:val="none"/>
          <w:shd w:val="clear" w:color="auto" w:fill="ffffff"/>
          <w:vertAlign w:val="superscript"/>
        </w:rPr>
        <w:t xml:space="preserve">3</w:t>
      </w:r>
      <w:r>
        <w:rPr>
          <w:rFonts w:hint="eastAsia" w:ascii="宋体" w:hAnsi="宋体" w:eastAsia="宋体" w:cs="宋体"/>
          <w:bCs/>
          <w:color w:val="auto"/>
          <w:sz w:val="24"/>
          <w:szCs w:val="24"/>
          <w:highlight w:val="none"/>
        </w:rPr>
        <w:t xml:space="preserve">。（产品名称1）的（关键组件）</w:t>
      </w:r>
      <w:r>
        <w:rPr>
          <w:rFonts w:hint="default" w:ascii="Times New Roman" w:hAnsi="Times New Roman" w:eastAsia="宋体" w:cs="Times New Roman"/>
          <w:color w:val="333333"/>
          <w:sz w:val="21"/>
          <w:szCs w:val="21"/>
          <w:highlight w:val="none"/>
          <w:shd w:val="clear" w:color="auto" w:fill="ffffff"/>
          <w:vertAlign w:val="superscript"/>
        </w:rPr>
        <w:t xml:space="preserve">4</w:t>
      </w:r>
      <w:r>
        <w:rPr>
          <w:rFonts w:hint="eastAsia" w:ascii="宋体" w:hAnsi="宋体" w:eastAsia="宋体" w:cs="宋体"/>
          <w:bCs/>
          <w:color w:val="auto"/>
          <w:sz w:val="24"/>
          <w:szCs w:val="24"/>
          <w:highlight w:val="none"/>
        </w:rPr>
        <w:t xml:space="preserve">在中国境内生产。（产品名称1）的（关键工序）</w:t>
      </w:r>
      <w:r>
        <w:rPr>
          <w:rFonts w:hint="default" w:ascii="Times New Roman" w:hAnsi="Times New Roman" w:eastAsia="宋体" w:cs="Times New Roman"/>
          <w:color w:val="333333"/>
          <w:sz w:val="21"/>
          <w:szCs w:val="21"/>
          <w:highlight w:val="none"/>
          <w:shd w:val="clear" w:color="auto" w:fill="ffffff"/>
          <w:vertAlign w:val="superscript"/>
        </w:rPr>
        <w:t xml:space="preserve">5</w:t>
      </w:r>
      <w:r>
        <w:rPr>
          <w:rFonts w:hint="eastAsia" w:ascii="宋体" w:hAnsi="宋体" w:eastAsia="宋体" w:cs="宋体"/>
          <w:bCs/>
          <w:color w:val="auto"/>
          <w:sz w:val="24"/>
          <w:szCs w:val="24"/>
          <w:highlight w:val="none"/>
        </w:rPr>
        <w:t xml:space="preserve">在中国境内完成。</w:t>
      </w:r>
      <w:r/>
    </w:p>
    <w:p>
      <w:pPr>
        <w:ind w:left="0" w:right="0" w:firstLine="480"/>
        <w:jc w:val="left"/>
        <w:pageBreakBefore w:val="0"/>
        <w:spacing w:beforeAutospacing="0" w:afterAutospacing="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产品名称2），生产厂为（厂名），厂址为（生产厂址）。（产品名称2）的中国境内生产的组件成本占比≥（规定比例）。（产品名称2）的（关键组件）在中国境内生产。（产品名称2）的（关键工序）在中国境内完成。</w:t>
      </w:r>
      <w:r/>
    </w:p>
    <w:p>
      <w:pPr>
        <w:ind w:left="0" w:right="0" w:firstLine="480"/>
        <w:jc w:val="left"/>
        <w:pageBreakBefore w:val="0"/>
        <w:spacing w:beforeAutospacing="0" w:afterAutospacing="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p>
    <w:p>
      <w:pPr>
        <w:ind w:left="0" w:right="0" w:firstLine="480"/>
        <w:jc w:val="left"/>
        <w:pageBreakBefore w:val="0"/>
        <w:spacing w:beforeAutospacing="0" w:afterAutospacing="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本公司（单位）对上述声明内容的真实性负责。如有虚假，愿承担相应法律责任。</w:t>
      </w:r>
      <w:r/>
    </w:p>
    <w:p>
      <w:pPr>
        <w:ind w:left="0" w:right="0" w:firstLine="480"/>
        <w:jc w:val="left"/>
        <w:pageBreakBefore w:val="0"/>
        <w:spacing w:beforeAutospacing="0" w:afterAutospacing="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left="0" w:right="0" w:firstLine="480"/>
        <w:jc w:val="right"/>
        <w:pageBreakBefore w:val="0"/>
        <w:spacing w:beforeAutospacing="0" w:afterAutospacing="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公司（单位）名称（盖章）：　        </w:t>
      </w:r>
      <w:r/>
    </w:p>
    <w:p>
      <w:pPr>
        <w:ind w:left="0" w:right="0" w:firstLine="480"/>
        <w:jc w:val="right"/>
        <w:pageBreakBefore w:val="0"/>
        <w:spacing w:beforeAutospacing="0" w:afterAutospacing="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日期：　     年　  月　  日         </w:t>
      </w:r>
      <w:r/>
    </w:p>
    <w:p>
      <w:pPr>
        <w:ind w:left="0" w:right="0" w:firstLine="480"/>
        <w:jc w:val="left"/>
        <w:pageBreakBefore w:val="0"/>
        <w:spacing w:beforeAutospacing="0" w:afterAutospacing="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__________________</w:t>
      </w:r>
      <w:r/>
    </w:p>
    <w:p>
      <w:pPr>
        <w:ind w:left="0" w:right="0" w:firstLine="480"/>
        <w:jc w:val="left"/>
        <w:pageBreakBefore w:val="0"/>
        <w:spacing w:beforeAutospacing="0" w:afterAutospacing="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1.产品如有型号，请在“产品名称”栏一并填写。</w:t>
      </w:r>
      <w:r/>
    </w:p>
    <w:p>
      <w:pPr>
        <w:ind w:left="0" w:right="0" w:firstLine="480"/>
        <w:jc w:val="left"/>
        <w:pageBreakBefore w:val="0"/>
        <w:spacing w:beforeAutospacing="0" w:afterAutospacing="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2.生产厂名与厂址应与生产厂营业执照载明的相关信息保持一致。</w:t>
      </w:r>
      <w:r/>
    </w:p>
    <w:p>
      <w:pPr>
        <w:ind w:left="0" w:right="0" w:firstLine="480"/>
        <w:jc w:val="left"/>
        <w:pageBreakBefore w:val="0"/>
        <w:spacing w:beforeAutospacing="0" w:afterAutospacing="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3.该产品的中国境内生产的组件成本占比相关要求实施前，“规定比例”栏可不填，下同。</w:t>
      </w:r>
      <w:r/>
    </w:p>
    <w:p>
      <w:pPr>
        <w:ind w:left="0" w:right="0" w:firstLine="480"/>
        <w:jc w:val="left"/>
        <w:pageBreakBefore w:val="0"/>
        <w:spacing w:beforeAutospacing="0" w:afterAutospacing="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4.该产品的关键组件要求实施前，“关键组件”栏可不填，下同。</w:t>
      </w:r>
      <w:r/>
    </w:p>
    <w:p>
      <w:pPr>
        <w:ind w:left="0" w:right="0" w:firstLine="480"/>
        <w:jc w:val="left"/>
        <w:pageBreakBefore w:val="0"/>
        <w:spacing w:beforeAutospacing="0" w:afterAutospacing="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5.该产品的关键工序要求实施前，“关键工序”栏可不填，下同。</w:t>
      </w:r>
      <w:r/>
    </w:p>
    <w:p>
      <w:pPr>
        <w:numPr>
          <w:ilvl w:val="0"/>
          <w:numId w:val="12"/>
        </w:numPr>
        <w:jc w:val="center"/>
        <w:pageBreakBefore w:val="0"/>
        <w:spacing w:line="360" w:lineRule="auto"/>
        <w:rPr>
          <w:rFonts w:hint="eastAsia" w:ascii="宋体" w:hAnsi="宋体" w:eastAsia="宋体" w:cs="宋体"/>
          <w:b/>
          <w:color w:val="auto"/>
          <w:sz w:val="24"/>
          <w:szCs w:val="30"/>
          <w:highlight w:val="none"/>
        </w:rPr>
      </w:pPr>
      <w:r>
        <w:rPr>
          <w:rFonts w:hint="eastAsia" w:ascii="宋体" w:hAnsi="宋体" w:eastAsia="宋体" w:cs="宋体"/>
          <w:bCs/>
          <w:color w:val="auto"/>
          <w:sz w:val="24"/>
          <w:szCs w:val="24"/>
          <w:highlight w:val="none"/>
        </w:rPr>
        <w:br w:type="page" w:clear="all"/>
      </w:r>
      <w:r>
        <w:rPr>
          <w:rFonts w:hint="eastAsia" w:ascii="宋体" w:hAnsi="宋体" w:eastAsia="宋体" w:cs="宋体"/>
          <w:b/>
          <w:color w:val="auto"/>
          <w:sz w:val="30"/>
          <w:szCs w:val="30"/>
          <w:highlight w:val="none"/>
          <w:lang w:val="en-US" w:eastAsia="zh-CN"/>
        </w:rPr>
        <w:t xml:space="preserve">投标函（给定格式）：</w:t>
      </w:r>
      <w:r/>
    </w:p>
    <w:p>
      <w:pPr>
        <w:ind w:left="0" w:right="0" w:firstLine="480"/>
        <w:jc w:val="center"/>
        <w:pageBreakBefore w:val="0"/>
        <w:spacing w:beforeAutospacing="0" w:afterAutospacing="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8"/>
          <w:highlight w:val="none"/>
        </w:rPr>
        <w:t xml:space="preserve">投标函</w:t>
      </w:r>
      <w:r/>
    </w:p>
    <w:p>
      <w:pPr>
        <w:ind w:left="0" w:right="0" w:firstLine="480"/>
        <w:jc w:val="left"/>
        <w:pageBreakBefore w:val="0"/>
        <w:spacing w:beforeAutospacing="0" w:afterAutospacing="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致</w:t>
      </w:r>
      <w:r>
        <w:rPr>
          <w:rFonts w:hint="eastAsia" w:ascii="宋体" w:hAnsi="宋体" w:eastAsia="宋体" w:cs="宋体"/>
          <w:bCs/>
          <w:color w:val="auto"/>
          <w:sz w:val="24"/>
          <w:szCs w:val="24"/>
          <w:highlight w:val="none"/>
          <w:lang w:eastAsia="zh-CN"/>
        </w:rPr>
        <w:t xml:space="preserve">：江苏建协全过程工程咨询有限公司</w:t>
      </w:r>
      <w:r/>
    </w:p>
    <w:p>
      <w:pPr>
        <w:numPr>
          <w:ilvl w:val="0"/>
          <w:numId w:val="13"/>
        </w:numPr>
        <w:ind w:left="0" w:right="0" w:firstLine="480"/>
        <w:jc w:val="left"/>
        <w:pageBreakBefore w:val="0"/>
        <w:spacing w:beforeAutospacing="0" w:afterAutospacing="0" w:line="360" w:lineRule="auto"/>
        <w:tabs>
          <w:tab w:val="left" w:pos="0" w:leader="none"/>
          <w:tab w:val="left" w:pos="315" w:leader="none"/>
          <w:tab w:val="left" w:pos="525" w:leader="none"/>
          <w:tab w:val="clear" w:pos="552"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我方收到贵方</w:t>
      </w:r>
      <w:r>
        <w:rPr>
          <w:rFonts w:hint="eastAsia" w:ascii="宋体" w:hAnsi="宋体" w:cs="宋体"/>
          <w:bCs/>
          <w:color w:val="auto"/>
          <w:sz w:val="24"/>
          <w:szCs w:val="24"/>
          <w:highlight w:val="none"/>
          <w:lang w:eastAsia="zh-CN"/>
        </w:rPr>
        <w:t xml:space="preserve">JSZC-320200-JXCG-G2026-0018</w:t>
      </w:r>
      <w:r>
        <w:rPr>
          <w:rFonts w:hint="eastAsia" w:ascii="宋体" w:hAnsi="宋体" w:eastAsia="宋体" w:cs="宋体"/>
          <w:bCs/>
          <w:color w:val="auto"/>
          <w:sz w:val="24"/>
          <w:szCs w:val="24"/>
          <w:highlight w:val="none"/>
        </w:rPr>
        <w:t xml:space="preserve">招标文件，经仔细阅读和研究，我方决定参加此项目的投标。</w:t>
      </w:r>
      <w:r/>
    </w:p>
    <w:p>
      <w:pPr>
        <w:numPr>
          <w:ilvl w:val="0"/>
          <w:numId w:val="13"/>
        </w:numPr>
        <w:ind w:left="0" w:right="0" w:firstLine="480"/>
        <w:jc w:val="left"/>
        <w:pageBreakBefore w:val="0"/>
        <w:spacing w:beforeAutospacing="0" w:afterAutospacing="0" w:line="360" w:lineRule="auto"/>
        <w:tabs>
          <w:tab w:val="left" w:pos="315" w:leader="none"/>
          <w:tab w:val="clear" w:pos="552" w:leader="none"/>
          <w:tab w:val="left" w:pos="840" w:leader="none"/>
          <w:tab w:val="left" w:pos="945" w:leader="none"/>
          <w:tab w:val="left" w:pos="1050"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我方愿意按照招标文件的一切要求，提供本项目的投标，投标总价见《开标一览表》。</w:t>
      </w:r>
      <w:r/>
    </w:p>
    <w:p>
      <w:pPr>
        <w:numPr>
          <w:ilvl w:val="0"/>
          <w:numId w:val="13"/>
        </w:numPr>
        <w:ind w:left="0" w:right="0" w:firstLine="480"/>
        <w:jc w:val="left"/>
        <w:pageBreakBefore w:val="0"/>
        <w:spacing w:beforeAutospacing="0" w:afterAutospacing="0" w:line="360" w:lineRule="auto"/>
        <w:tabs>
          <w:tab w:val="left" w:pos="0" w:leader="none"/>
          <w:tab w:val="left" w:pos="315" w:leader="none"/>
          <w:tab w:val="left" w:pos="525" w:leader="none"/>
          <w:tab w:val="clear" w:pos="552" w:leader="none"/>
          <w:tab w:val="left" w:pos="840" w:leader="none"/>
          <w:tab w:val="left" w:pos="945" w:leader="none"/>
          <w:tab w:val="left" w:pos="1050" w:leader="none"/>
        </w:tabs>
        <w:rPr>
          <w:rStyle w:val="787"/>
          <w:rFonts w:hint="eastAsia" w:ascii="宋体" w:hAnsi="宋体" w:eastAsia="宋体" w:cs="宋体"/>
          <w:bCs/>
          <w:color w:val="auto"/>
          <w:sz w:val="24"/>
          <w:highlight w:val="none"/>
        </w:rPr>
      </w:pPr>
      <w:r>
        <w:rPr>
          <w:rFonts w:hint="eastAsia" w:ascii="宋体" w:hAnsi="宋体" w:eastAsia="宋体" w:cs="宋体"/>
          <w:bCs/>
          <w:color w:val="auto"/>
          <w:sz w:val="24"/>
          <w:szCs w:val="24"/>
          <w:highlight w:val="none"/>
        </w:rPr>
        <w:t xml:space="preserve">我方愿意提供</w:t>
      </w:r>
      <w:r>
        <w:rPr>
          <w:rFonts w:hint="eastAsia" w:ascii="宋体" w:hAnsi="宋体" w:eastAsia="宋体" w:cs="宋体"/>
          <w:bCs/>
          <w:color w:val="auto"/>
          <w:sz w:val="24"/>
          <w:szCs w:val="24"/>
          <w:highlight w:val="none"/>
          <w:lang w:eastAsia="zh-CN"/>
        </w:rPr>
        <w:t xml:space="preserve">江苏建协全过程工程咨询有限公司</w:t>
      </w:r>
      <w:r>
        <w:rPr>
          <w:rFonts w:hint="eastAsia" w:ascii="宋体" w:hAnsi="宋体" w:eastAsia="宋体" w:cs="宋体"/>
          <w:bCs/>
          <w:color w:val="auto"/>
          <w:sz w:val="24"/>
          <w:szCs w:val="24"/>
          <w:highlight w:val="none"/>
        </w:rPr>
        <w:t xml:space="preserve">在招标文件中要求的文件、资料。</w:t>
      </w:r>
      <w:r/>
    </w:p>
    <w:p>
      <w:pPr>
        <w:numPr>
          <w:ilvl w:val="0"/>
          <w:numId w:val="13"/>
        </w:numPr>
        <w:ind w:left="0" w:right="0" w:firstLine="480"/>
        <w:jc w:val="left"/>
        <w:pageBreakBefore w:val="0"/>
        <w:spacing w:beforeAutospacing="0" w:afterAutospacing="0" w:line="360" w:lineRule="auto"/>
        <w:tabs>
          <w:tab w:val="left" w:pos="0" w:leader="none"/>
          <w:tab w:val="left" w:pos="315" w:leader="none"/>
          <w:tab w:val="left" w:pos="525" w:leader="none"/>
          <w:tab w:val="clear" w:pos="552"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我方同意</w:t>
      </w:r>
      <w:r>
        <w:rPr>
          <w:rFonts w:hint="eastAsia" w:ascii="宋体" w:hAnsi="宋体" w:eastAsia="宋体" w:cs="宋体"/>
          <w:bCs/>
          <w:color w:val="auto"/>
          <w:sz w:val="24"/>
          <w:szCs w:val="24"/>
          <w:highlight w:val="none"/>
          <w:lang w:eastAsia="zh-CN"/>
        </w:rPr>
        <w:t xml:space="preserve">按照</w:t>
      </w:r>
      <w:r>
        <w:rPr>
          <w:rFonts w:hint="eastAsia" w:ascii="宋体" w:hAnsi="宋体" w:eastAsia="宋体" w:cs="宋体"/>
          <w:bCs/>
          <w:color w:val="auto"/>
          <w:sz w:val="24"/>
          <w:szCs w:val="24"/>
          <w:highlight w:val="none"/>
        </w:rPr>
        <w:t xml:space="preserve">招标文件中的规定，从规定的开标日期起遵循本投标文件，并在规定的投标有效期期满之前均具有约束力。</w:t>
      </w:r>
      <w:r/>
    </w:p>
    <w:p>
      <w:pPr>
        <w:numPr>
          <w:ilvl w:val="0"/>
          <w:numId w:val="13"/>
        </w:numPr>
        <w:ind w:left="0" w:right="0" w:firstLine="480"/>
        <w:jc w:val="left"/>
        <w:pageBreakBefore w:val="0"/>
        <w:spacing w:beforeAutospacing="0" w:afterAutospacing="0" w:line="360" w:lineRule="auto"/>
        <w:tabs>
          <w:tab w:val="left" w:pos="0" w:leader="none"/>
          <w:tab w:val="left" w:pos="315" w:leader="none"/>
          <w:tab w:val="left" w:pos="525" w:leader="none"/>
          <w:tab w:val="clear" w:pos="552"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如果我方的投标文件被接受，我方将履行招标文件中规定的每一项要求，按期、按质、按量，完成交货任务。</w:t>
      </w:r>
      <w:r/>
    </w:p>
    <w:p>
      <w:pPr>
        <w:numPr>
          <w:ilvl w:val="0"/>
          <w:numId w:val="13"/>
        </w:numPr>
        <w:ind w:left="0" w:right="0" w:firstLine="480"/>
        <w:jc w:val="left"/>
        <w:pageBreakBefore w:val="0"/>
        <w:spacing w:beforeAutospacing="0" w:afterAutospacing="0" w:line="360" w:lineRule="auto"/>
        <w:tabs>
          <w:tab w:val="left" w:pos="0" w:leader="none"/>
          <w:tab w:val="left" w:pos="315" w:leader="none"/>
          <w:tab w:val="left" w:pos="525" w:leader="none"/>
          <w:tab w:val="clear" w:pos="552"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我方完全同意招标文件规定的决定中标者的方式。</w:t>
      </w:r>
      <w:r/>
    </w:p>
    <w:p>
      <w:pPr>
        <w:numPr>
          <w:ilvl w:val="0"/>
          <w:numId w:val="13"/>
        </w:numPr>
        <w:ind w:left="0" w:right="0" w:firstLine="480"/>
        <w:jc w:val="left"/>
        <w:pageBreakBefore w:val="0"/>
        <w:spacing w:beforeAutospacing="0" w:afterAutospacing="0" w:line="360" w:lineRule="auto"/>
        <w:tabs>
          <w:tab w:val="left" w:pos="0" w:leader="none"/>
          <w:tab w:val="left" w:pos="315" w:leader="none"/>
          <w:tab w:val="left" w:pos="525" w:leader="none"/>
          <w:tab w:val="clear" w:pos="552"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我方愿意遵守《中华人民共和国政府采购法》，并</w:t>
      </w:r>
      <w:r>
        <w:rPr>
          <w:rFonts w:hint="eastAsia" w:ascii="宋体" w:hAnsi="宋体" w:eastAsia="宋体" w:cs="宋体"/>
          <w:bCs/>
          <w:color w:val="auto"/>
          <w:sz w:val="24"/>
          <w:szCs w:val="24"/>
          <w:highlight w:val="none"/>
          <w:lang w:eastAsia="zh-CN"/>
        </w:rPr>
        <w:t xml:space="preserve">按照</w:t>
      </w:r>
      <w:r>
        <w:rPr>
          <w:rFonts w:hint="eastAsia" w:ascii="宋体" w:hAnsi="宋体" w:eastAsia="宋体" w:cs="宋体"/>
          <w:bCs/>
          <w:color w:val="auto"/>
          <w:sz w:val="24"/>
          <w:szCs w:val="24"/>
          <w:highlight w:val="none"/>
        </w:rPr>
        <w:t xml:space="preserve">《中华人民共和国民法典》、财政部《政府采购货物和服务招标投标管理办法》等相关法律法规</w:t>
      </w:r>
      <w:r>
        <w:rPr>
          <w:rFonts w:hint="eastAsia" w:ascii="宋体" w:hAnsi="宋体" w:eastAsia="宋体" w:cs="宋体"/>
          <w:color w:val="auto"/>
          <w:sz w:val="24"/>
          <w:szCs w:val="24"/>
          <w:highlight w:val="none"/>
        </w:rPr>
        <w:t xml:space="preserve">和</w:t>
      </w:r>
      <w:r>
        <w:rPr>
          <w:rFonts w:hint="eastAsia" w:ascii="宋体" w:hAnsi="宋体" w:eastAsia="宋体" w:cs="宋体"/>
          <w:bCs/>
          <w:color w:val="auto"/>
          <w:sz w:val="24"/>
          <w:szCs w:val="24"/>
          <w:highlight w:val="none"/>
        </w:rPr>
        <w:t xml:space="preserve">合同条款履行自己的全部责任。</w:t>
      </w:r>
      <w:r/>
    </w:p>
    <w:p>
      <w:pPr>
        <w:numPr>
          <w:ilvl w:val="0"/>
          <w:numId w:val="13"/>
        </w:numPr>
        <w:ind w:left="0" w:right="0" w:firstLine="480"/>
        <w:jc w:val="left"/>
        <w:pageBreakBefore w:val="0"/>
        <w:spacing w:beforeAutospacing="0" w:afterAutospacing="0" w:line="360" w:lineRule="auto"/>
        <w:tabs>
          <w:tab w:val="left" w:pos="0" w:leader="none"/>
          <w:tab w:val="left" w:pos="315" w:leader="none"/>
          <w:tab w:val="left" w:pos="525" w:leader="none"/>
          <w:tab w:val="clear" w:pos="552"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我方已详细审核全部招标文件及其有效补充文件，我们知道必须放弃提出含糊不清或误解问题的权利。</w:t>
      </w:r>
      <w:r/>
    </w:p>
    <w:p>
      <w:pPr>
        <w:numPr>
          <w:ilvl w:val="0"/>
          <w:numId w:val="13"/>
        </w:numPr>
        <w:ind w:left="0" w:right="0" w:firstLine="480"/>
        <w:jc w:val="left"/>
        <w:pageBreakBefore w:val="0"/>
        <w:spacing w:beforeAutospacing="0" w:afterAutospacing="0" w:line="360" w:lineRule="auto"/>
        <w:tabs>
          <w:tab w:val="left" w:pos="0" w:leader="none"/>
          <w:tab w:val="left" w:pos="315" w:leader="none"/>
          <w:tab w:val="left" w:pos="525" w:leader="none"/>
          <w:tab w:val="clear" w:pos="552"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如我方在投标截止期后撤回投标及中标后拒绝遵守投标承诺或拒绝在规定的时间内与采购人签订合同，则接受政府采购监督管理部门的处理。</w:t>
      </w:r>
      <w:r/>
    </w:p>
    <w:p>
      <w:pPr>
        <w:numPr>
          <w:ilvl w:val="0"/>
          <w:numId w:val="13"/>
        </w:numPr>
        <w:ind w:left="0" w:right="0" w:firstLine="480"/>
        <w:jc w:val="left"/>
        <w:pageBreakBefore w:val="0"/>
        <w:spacing w:beforeAutospacing="0" w:afterAutospacing="0" w:line="360" w:lineRule="auto"/>
        <w:tabs>
          <w:tab w:val="left" w:pos="0" w:leader="none"/>
          <w:tab w:val="left" w:pos="315" w:leader="none"/>
          <w:tab w:val="left" w:pos="525" w:leader="none"/>
          <w:tab w:val="clear" w:pos="552"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如果我方被确定为中标供应商，我方愿意按采购人要求</w:t>
      </w:r>
      <w:r>
        <w:rPr>
          <w:rFonts w:hint="eastAsia" w:ascii="宋体" w:hAnsi="宋体" w:eastAsia="宋体" w:cs="宋体"/>
          <w:bCs/>
          <w:color w:val="auto"/>
          <w:sz w:val="24"/>
          <w:szCs w:val="24"/>
          <w:highlight w:val="none"/>
          <w:lang w:eastAsia="zh-CN"/>
        </w:rPr>
        <w:t xml:space="preserve">缴纳</w:t>
      </w:r>
      <w:r>
        <w:rPr>
          <w:rFonts w:hint="eastAsia" w:ascii="宋体" w:hAnsi="宋体" w:eastAsia="宋体" w:cs="宋体"/>
          <w:bCs/>
          <w:color w:val="auto"/>
          <w:sz w:val="24"/>
          <w:szCs w:val="24"/>
          <w:highlight w:val="none"/>
        </w:rPr>
        <w:t xml:space="preserve">履约保证金。且我方如无不可抗力，又未履行招标文件、投标文件和合同条款的，一经查实，我方愿意赔偿由此而造成的一切损失，并同意接受按招标文件的相关要求对我方进行的处理。</w:t>
      </w:r>
      <w:r/>
    </w:p>
    <w:p>
      <w:pPr>
        <w:numPr>
          <w:ilvl w:val="0"/>
          <w:numId w:val="13"/>
        </w:numPr>
        <w:ind w:left="0" w:right="0" w:firstLine="480"/>
        <w:jc w:val="left"/>
        <w:pageBreakBefore w:val="0"/>
        <w:spacing w:beforeAutospacing="0" w:afterAutospacing="0" w:line="360" w:lineRule="auto"/>
        <w:tabs>
          <w:tab w:val="left" w:pos="0" w:leader="none"/>
          <w:tab w:val="left" w:pos="315" w:leader="none"/>
          <w:tab w:val="left" w:pos="525" w:leader="none"/>
          <w:tab w:val="clear" w:pos="552"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我方决不提供虚假材料谋取中标、决不采取不正当手段诋毁、排挤其他供应商、决不与采购人、</w:t>
      </w:r>
      <w:r>
        <w:rPr>
          <w:rFonts w:hint="eastAsia" w:ascii="宋体" w:hAnsi="宋体" w:eastAsia="宋体" w:cs="宋体"/>
          <w:bCs/>
          <w:color w:val="auto"/>
          <w:sz w:val="24"/>
          <w:szCs w:val="24"/>
          <w:highlight w:val="none"/>
          <w:lang w:eastAsia="zh-CN"/>
        </w:rPr>
        <w:t xml:space="preserve">其他</w:t>
      </w:r>
      <w:r>
        <w:rPr>
          <w:rFonts w:hint="eastAsia" w:ascii="宋体" w:hAnsi="宋体" w:eastAsia="宋体" w:cs="宋体"/>
          <w:bCs/>
          <w:color w:val="auto"/>
          <w:sz w:val="24"/>
          <w:szCs w:val="24"/>
          <w:highlight w:val="none"/>
        </w:rPr>
        <w:t xml:space="preserve">供应商或者</w:t>
      </w:r>
      <w:r>
        <w:rPr>
          <w:rFonts w:hint="eastAsia" w:ascii="宋体" w:hAnsi="宋体" w:eastAsia="宋体" w:cs="宋体"/>
          <w:bCs/>
          <w:color w:val="auto"/>
          <w:sz w:val="24"/>
          <w:szCs w:val="24"/>
          <w:highlight w:val="none"/>
          <w:lang w:eastAsia="zh-CN"/>
        </w:rPr>
        <w:t xml:space="preserve">代理机构</w:t>
      </w:r>
      <w:r>
        <w:rPr>
          <w:rFonts w:hint="eastAsia" w:ascii="宋体" w:hAnsi="宋体" w:eastAsia="宋体" w:cs="宋体"/>
          <w:bCs/>
          <w:color w:val="auto"/>
          <w:sz w:val="24"/>
          <w:szCs w:val="24"/>
          <w:highlight w:val="none"/>
        </w:rPr>
        <w:t xml:space="preserve">恶意串通、决不向采购人、</w:t>
      </w:r>
      <w:r>
        <w:rPr>
          <w:rFonts w:hint="eastAsia" w:ascii="宋体" w:hAnsi="宋体" w:eastAsia="宋体" w:cs="宋体"/>
          <w:bCs/>
          <w:color w:val="auto"/>
          <w:sz w:val="24"/>
          <w:szCs w:val="24"/>
          <w:highlight w:val="none"/>
          <w:lang w:eastAsia="zh-CN"/>
        </w:rPr>
        <w:t xml:space="preserve">代理机构</w:t>
      </w:r>
      <w:r>
        <w:rPr>
          <w:rFonts w:hint="eastAsia" w:ascii="宋体" w:hAnsi="宋体" w:eastAsia="宋体" w:cs="宋体"/>
          <w:bCs/>
          <w:color w:val="auto"/>
          <w:sz w:val="24"/>
          <w:szCs w:val="24"/>
          <w:highlight w:val="none"/>
        </w:rPr>
        <w:t xml:space="preserve">工作人员和评委进行商业贿赂、决不在采购过程中与采购人进行协商谈判、决不拒绝有关部门监督检查或提供虚假情况，如有违反，无条件接受贵方及相关管理部门的处罚。</w:t>
      </w:r>
      <w:r/>
    </w:p>
    <w:p>
      <w:pPr>
        <w:ind w:left="0" w:right="0" w:firstLine="480"/>
        <w:jc w:val="left"/>
        <w:pageBreakBefore w:val="0"/>
        <w:spacing w:beforeAutospacing="0" w:afterAutospacing="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电话：</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 ；传真：</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；邮编：</w:t>
      </w:r>
      <w:r>
        <w:rPr>
          <w:rFonts w:hint="eastAsia" w:ascii="宋体" w:hAnsi="宋体" w:eastAsia="宋体" w:cs="宋体"/>
          <w:bCs/>
          <w:color w:val="auto"/>
          <w:sz w:val="24"/>
          <w:szCs w:val="24"/>
          <w:highlight w:val="none"/>
          <w:u w:val="single"/>
        </w:rPr>
        <w:t xml:space="preserve">               </w:t>
      </w:r>
      <w:r/>
    </w:p>
    <w:p>
      <w:pPr>
        <w:ind w:left="0" w:right="0" w:firstLine="480"/>
        <w:jc w:val="left"/>
        <w:pageBreakBefore w:val="0"/>
        <w:spacing w:beforeAutospacing="0" w:afterAutospacing="0" w:line="360" w:lineRule="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通讯地址：</w:t>
      </w:r>
      <w:r>
        <w:rPr>
          <w:rFonts w:hint="eastAsia" w:ascii="宋体" w:hAnsi="宋体" w:eastAsia="宋体" w:cs="宋体"/>
          <w:bCs/>
          <w:color w:val="auto"/>
          <w:sz w:val="24"/>
          <w:szCs w:val="24"/>
          <w:highlight w:val="none"/>
          <w:u w:val="single"/>
        </w:rPr>
        <w:t xml:space="preserve">                                                        </w:t>
      </w:r>
      <w:r/>
    </w:p>
    <w:p>
      <w:pPr>
        <w:ind w:left="0" w:right="0" w:firstLine="480"/>
        <w:jc w:val="left"/>
        <w:pageBreakBefore w:val="0"/>
        <w:spacing w:beforeAutospacing="0" w:afterAutospacing="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投标人名称（盖章）：</w:t>
      </w:r>
      <w:r/>
    </w:p>
    <w:p>
      <w:pPr>
        <w:pageBreakBefore w:val="0"/>
        <w:spacing w:line="360" w:lineRule="auto"/>
        <w:rPr>
          <w:rFonts w:hint="eastAsia" w:ascii="宋体" w:hAnsi="宋体" w:eastAsia="宋体" w:cs="宋体"/>
          <w:b/>
          <w:color w:val="auto"/>
          <w:sz w:val="24"/>
          <w:highlight w:val="none"/>
        </w:rPr>
      </w:pPr>
      <w:r>
        <w:rPr>
          <w:rFonts w:hint="eastAsia" w:ascii="宋体" w:hAnsi="宋体" w:eastAsia="宋体" w:cs="宋体"/>
          <w:bCs/>
          <w:color w:val="auto"/>
          <w:sz w:val="24"/>
          <w:szCs w:val="24"/>
          <w:highlight w:val="none"/>
        </w:rPr>
        <w:br w:type="page" w:clear="all"/>
      </w:r>
      <w:r/>
    </w:p>
    <w:p>
      <w:pPr>
        <w:numPr>
          <w:ilvl w:val="0"/>
          <w:numId w:val="12"/>
        </w:numPr>
        <w:jc w:val="center"/>
        <w:pageBreakBefore w:val="0"/>
        <w:spacing w:line="360" w:lineRule="auto"/>
        <w:rPr>
          <w:rFonts w:hint="eastAsia" w:ascii="宋体" w:hAnsi="宋体" w:eastAsia="宋体" w:cs="宋体"/>
          <w:b/>
          <w:color w:val="auto"/>
          <w:sz w:val="30"/>
          <w:szCs w:val="30"/>
          <w:highlight w:val="none"/>
          <w:lang w:val="en-US" w:eastAsia="zh-CN"/>
        </w:rPr>
      </w:pPr>
      <w:r/>
      <w:bookmarkStart w:id="210" w:name="_Toc20701"/>
      <w:r>
        <w:rPr>
          <w:rFonts w:hint="eastAsia" w:ascii="宋体" w:hAnsi="宋体" w:eastAsia="宋体" w:cs="宋体"/>
          <w:b/>
          <w:color w:val="auto"/>
          <w:sz w:val="30"/>
          <w:szCs w:val="30"/>
          <w:highlight w:val="none"/>
          <w:lang w:val="en-US" w:eastAsia="zh-CN"/>
        </w:rPr>
        <w:t xml:space="preserve">开标一览表</w:t>
      </w:r>
      <w:bookmarkEnd w:id="210"/>
      <w:r/>
      <w:r/>
    </w:p>
    <w:p>
      <w:pPr>
        <w:pageBreakBefore w:val="0"/>
        <w:spacing w:line="360" w:lineRule="auto"/>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项目编号：</w:t>
      </w:r>
      <w:r>
        <w:rPr>
          <w:rFonts w:hint="eastAsia" w:ascii="宋体" w:hAnsi="宋体" w:cs="宋体"/>
          <w:bCs/>
          <w:color w:val="auto"/>
          <w:sz w:val="24"/>
          <w:szCs w:val="24"/>
          <w:highlight w:val="none"/>
          <w:lang w:eastAsia="zh-CN"/>
        </w:rPr>
        <w:t xml:space="preserve">JSZC-320200-JXCG-G2026-0018</w:t>
      </w:r>
      <w:r>
        <w:rPr>
          <w:rFonts w:hint="eastAsia" w:ascii="宋体" w:hAnsi="宋体" w:eastAsia="宋体" w:cs="宋体"/>
          <w:bCs/>
          <w:color w:val="auto"/>
          <w:sz w:val="24"/>
          <w:szCs w:val="24"/>
          <w:highlight w:val="none"/>
          <w:lang w:val="en-US" w:eastAsia="zh-CN"/>
        </w:rPr>
        <w:t xml:space="preserve">               </w:t>
      </w:r>
      <w:r>
        <w:rPr>
          <w:rFonts w:hint="eastAsia" w:ascii="宋体" w:hAnsi="宋体" w:cs="宋体"/>
          <w:bCs/>
          <w:color w:val="auto"/>
          <w:sz w:val="24"/>
          <w:szCs w:val="24"/>
          <w:highlight w:val="none"/>
          <w:lang w:val="en-US" w:eastAsia="zh-CN"/>
        </w:rPr>
        <w:t xml:space="preserve">                        </w:t>
      </w:r>
      <w:r/>
    </w:p>
    <w:tbl>
      <w:tblPr>
        <w:tblStyle w:val="745"/>
        <w:tblW w:w="8885" w:type="dxa"/>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442"/>
        <w:gridCol w:w="4443"/>
      </w:tblGrid>
      <w:tr>
        <w:trPr>
          <w:cantSplit/>
          <w:trHeight w:val="1160"/>
        </w:trPr>
        <w:tc>
          <w:tcPr>
            <w:tcW w:w="4442" w:type="dxa"/>
            <w:vAlign w:val="center"/>
            <w:textDirection w:val="lrTb"/>
            <w:noWrap w:val="false"/>
          </w:tcPr>
          <w:p>
            <w:pPr>
              <w:jc w:val="lef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项目名称</w:t>
            </w:r>
            <w:r/>
          </w:p>
        </w:tc>
        <w:tc>
          <w:tcPr>
            <w:tcW w:w="4443" w:type="dxa"/>
            <w:vAlign w:val="center"/>
            <w:textDirection w:val="lrTb"/>
            <w:noWrap w:val="false"/>
          </w:tcPr>
          <w:p>
            <w:pPr>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投标总报价</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元</w:t>
            </w:r>
            <w:r>
              <w:rPr>
                <w:rFonts w:hint="eastAsia" w:ascii="宋体" w:hAnsi="宋体" w:eastAsia="宋体" w:cs="宋体"/>
                <w:b/>
                <w:bCs/>
                <w:color w:val="000000"/>
                <w:sz w:val="24"/>
                <w:szCs w:val="24"/>
                <w:highlight w:val="none"/>
                <w:lang w:eastAsia="zh-CN"/>
              </w:rPr>
              <w:t xml:space="preserve">）</w:t>
            </w:r>
            <w:r/>
          </w:p>
        </w:tc>
      </w:tr>
      <w:tr>
        <w:trPr>
          <w:cantSplit/>
          <w:trHeight w:val="1160"/>
        </w:trPr>
        <w:tc>
          <w:tcPr>
            <w:tcW w:w="4442" w:type="dxa"/>
            <w:vAlign w:val="center"/>
            <w:textDirection w:val="lrTb"/>
            <w:noWrap w:val="false"/>
          </w:tcPr>
          <w:p>
            <w:pPr>
              <w:pStyle w:val="858"/>
              <w:jc w:val="left"/>
              <w:spacing w:line="400" w:lineRule="exact"/>
              <w:rPr>
                <w:rFonts w:hint="default" w:ascii="宋体" w:hAnsi="宋体" w:eastAsia="宋体" w:cs="宋体"/>
                <w:sz w:val="24"/>
                <w:szCs w:val="24"/>
                <w:highlight w:val="none"/>
                <w:shd w:val="clear" w:color="auto" w:fill="ffffff"/>
                <w:lang w:val="en-US" w:eastAsia="zh-CN"/>
              </w:rPr>
            </w:pPr>
            <w:r>
              <w:rPr>
                <w:rFonts w:hint="eastAsia" w:hAnsi="宋体" w:cs="宋体"/>
                <w:sz w:val="24"/>
                <w:szCs w:val="24"/>
                <w:highlight w:val="none"/>
                <w:shd w:val="clear" w:color="auto" w:fill="ffffff"/>
                <w:lang w:val="en-US" w:eastAsia="zh-CN"/>
              </w:rPr>
              <w:t xml:space="preserve">干加热自动透皮系统采购 项目</w:t>
            </w:r>
            <w:r/>
          </w:p>
        </w:tc>
        <w:tc>
          <w:tcPr>
            <w:tcW w:w="4443" w:type="dxa"/>
            <w:vAlign w:val="center"/>
            <w:textDirection w:val="lrTb"/>
            <w:noWrap w:val="false"/>
          </w:tcPr>
          <w:p>
            <w:pPr>
              <w:pStyle w:val="858"/>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rPr>
              <w:t xml:space="preserve">小写</w:t>
            </w:r>
            <w:r>
              <w:rPr>
                <w:rFonts w:hint="eastAsia" w:ascii="宋体" w:hAnsi="宋体" w:eastAsia="宋体" w:cs="宋体"/>
                <w:b/>
                <w:bCs/>
                <w:color w:val="000000"/>
                <w:sz w:val="24"/>
                <w:szCs w:val="24"/>
                <w:highlight w:val="none"/>
                <w:lang w:eastAsia="zh-CN"/>
              </w:rPr>
              <w:t xml:space="preserve">：</w:t>
            </w:r>
            <w:r>
              <w:rPr>
                <w:rFonts w:hint="eastAsia" w:hAnsi="宋体" w:cs="宋体"/>
                <w:b/>
                <w:bCs/>
                <w:color w:val="000000"/>
                <w:sz w:val="24"/>
                <w:szCs w:val="24"/>
                <w:highlight w:val="none"/>
                <w:lang w:val="en-US" w:eastAsia="zh-CN"/>
              </w:rPr>
              <w:t xml:space="preserve">     </w:t>
            </w:r>
            <w:r>
              <w:rPr>
                <w:rFonts w:hint="eastAsia" w:ascii="宋体" w:hAnsi="宋体" w:eastAsia="宋体" w:cs="宋体"/>
                <w:bCs/>
                <w:color w:val="000000"/>
                <w:sz w:val="24"/>
                <w:szCs w:val="24"/>
                <w:highlight w:val="none"/>
                <w:lang w:val="en-US" w:eastAsia="zh-CN"/>
              </w:rPr>
              <w:t xml:space="preserve">元</w:t>
            </w:r>
            <w:r/>
          </w:p>
          <w:p>
            <w:pPr>
              <w:pStyle w:val="858"/>
              <w:rPr>
                <w:rFonts w:hint="eastAsia" w:ascii="宋体" w:hAnsi="宋体" w:eastAsia="宋体" w:cs="宋体"/>
                <w:b/>
                <w:color w:val="000000"/>
                <w:szCs w:val="24"/>
                <w:highlight w:val="none"/>
              </w:rPr>
            </w:pPr>
            <w:r>
              <w:rPr>
                <w:rFonts w:hint="eastAsia" w:ascii="宋体" w:hAnsi="宋体" w:eastAsia="宋体" w:cs="宋体"/>
                <w:b/>
                <w:bCs/>
                <w:color w:val="000000"/>
                <w:sz w:val="24"/>
                <w:szCs w:val="24"/>
                <w:highlight w:val="none"/>
                <w:lang w:val="en-US" w:eastAsia="zh-CN"/>
              </w:rPr>
              <w:t xml:space="preserve">大写：</w:t>
            </w:r>
            <w:r>
              <w:rPr>
                <w:rFonts w:hint="eastAsia" w:hAnsi="宋体" w:cs="宋体"/>
                <w:b/>
                <w:bCs/>
                <w:color w:val="000000"/>
                <w:sz w:val="24"/>
                <w:szCs w:val="24"/>
                <w:highlight w:val="none"/>
                <w:lang w:val="en-US" w:eastAsia="zh-CN"/>
              </w:rPr>
              <w:t xml:space="preserve">     </w:t>
            </w:r>
            <w:r>
              <w:rPr>
                <w:rFonts w:hint="eastAsia" w:ascii="宋体" w:hAnsi="宋体" w:eastAsia="宋体" w:cs="宋体"/>
                <w:bCs/>
                <w:color w:val="000000"/>
                <w:sz w:val="24"/>
                <w:szCs w:val="24"/>
                <w:highlight w:val="none"/>
                <w:lang w:val="en-US" w:eastAsia="zh-CN"/>
              </w:rPr>
              <w:t xml:space="preserve">元</w:t>
            </w:r>
            <w:r/>
          </w:p>
        </w:tc>
      </w:tr>
      <w:tr>
        <w:trPr>
          <w:cantSplit/>
          <w:trHeight w:val="1160"/>
        </w:trPr>
        <w:tc>
          <w:tcPr>
            <w:tcW w:w="4442" w:type="dxa"/>
            <w:vAlign w:val="center"/>
            <w:textDirection w:val="lrTb"/>
            <w:noWrap w:val="false"/>
          </w:tcPr>
          <w:p>
            <w:pPr>
              <w:jc w:val="left"/>
              <w:rPr>
                <w:rFonts w:hint="eastAsia" w:ascii="宋体" w:hAnsi="宋体" w:eastAsia="宋体" w:cs="宋体"/>
                <w:bCs/>
                <w:color w:val="000000"/>
                <w:sz w:val="24"/>
                <w:szCs w:val="24"/>
                <w:highlight w:val="none"/>
                <w:lang w:eastAsia="zh-CN"/>
              </w:rPr>
            </w:pPr>
            <w:r>
              <w:rPr>
                <w:rFonts w:hint="eastAsia" w:ascii="宋体" w:hAnsi="宋体" w:eastAsia="宋体" w:cs="宋体"/>
                <w:sz w:val="24"/>
                <w:szCs w:val="28"/>
                <w:highlight w:val="none"/>
              </w:rPr>
              <w:t xml:space="preserve">供货期</w:t>
            </w:r>
            <w:r>
              <w:rPr>
                <w:rFonts w:hint="eastAsia" w:ascii="宋体" w:hAnsi="宋体" w:eastAsia="宋体" w:cs="宋体"/>
                <w:sz w:val="24"/>
                <w:szCs w:val="28"/>
                <w:highlight w:val="none"/>
                <w:lang w:eastAsia="zh-CN"/>
              </w:rPr>
              <w:t xml:space="preserve">：</w:t>
            </w:r>
            <w:r/>
          </w:p>
        </w:tc>
        <w:tc>
          <w:tcPr>
            <w:tcW w:w="4443" w:type="dxa"/>
            <w:vAlign w:val="center"/>
            <w:textDirection w:val="lrTb"/>
            <w:noWrap w:val="false"/>
          </w:tcPr>
          <w:p>
            <w:pPr>
              <w:rPr>
                <w:rFonts w:hint="eastAsia" w:ascii="宋体" w:hAnsi="宋体" w:eastAsia="宋体" w:cs="宋体"/>
                <w:sz w:val="24"/>
                <w:szCs w:val="28"/>
                <w:highlight w:val="none"/>
              </w:rPr>
            </w:pPr>
            <w:r>
              <w:rPr>
                <w:rFonts w:hint="eastAsia" w:ascii="宋体" w:hAnsi="宋体" w:eastAsia="宋体" w:cs="宋体"/>
                <w:sz w:val="24"/>
                <w:szCs w:val="28"/>
                <w:highlight w:val="none"/>
              </w:rPr>
            </w:r>
            <w:r/>
          </w:p>
        </w:tc>
      </w:tr>
      <w:tr>
        <w:trPr>
          <w:cantSplit/>
          <w:trHeight w:val="932"/>
        </w:trPr>
        <w:tc>
          <w:tcPr>
            <w:tcW w:w="4442" w:type="dxa"/>
            <w:vAlign w:val="center"/>
            <w:textDirection w:val="lrTb"/>
            <w:noWrap w:val="false"/>
          </w:tcPr>
          <w:p>
            <w:pPr>
              <w:jc w:val="left"/>
              <w:rPr>
                <w:rFonts w:hint="eastAsia" w:ascii="宋体" w:hAnsi="宋体" w:eastAsia="宋体" w:cs="宋体"/>
                <w:sz w:val="24"/>
                <w:szCs w:val="28"/>
                <w:highlight w:val="none"/>
                <w:lang w:eastAsia="zh-CN"/>
              </w:rPr>
            </w:pPr>
            <w:r>
              <w:rPr>
                <w:rFonts w:hint="eastAsia" w:ascii="宋体" w:hAnsi="宋体" w:eastAsia="宋体" w:cs="宋体"/>
                <w:sz w:val="24"/>
                <w:szCs w:val="28"/>
                <w:highlight w:val="none"/>
              </w:rPr>
              <w:t xml:space="preserve">质量标准</w:t>
            </w:r>
            <w:r>
              <w:rPr>
                <w:rFonts w:hint="eastAsia" w:ascii="宋体" w:hAnsi="宋体" w:eastAsia="宋体" w:cs="宋体"/>
                <w:sz w:val="24"/>
                <w:szCs w:val="28"/>
                <w:highlight w:val="none"/>
                <w:lang w:eastAsia="zh-CN"/>
              </w:rPr>
              <w:t xml:space="preserve">：</w:t>
            </w:r>
            <w:r/>
          </w:p>
        </w:tc>
        <w:tc>
          <w:tcPr>
            <w:tcW w:w="4443" w:type="dxa"/>
            <w:vAlign w:val="center"/>
            <w:textDirection w:val="lrTb"/>
            <w:noWrap w:val="false"/>
          </w:tcPr>
          <w:p>
            <w:pPr>
              <w:rPr>
                <w:rFonts w:hint="eastAsia" w:ascii="宋体" w:hAnsi="宋体" w:eastAsia="宋体" w:cs="宋体"/>
                <w:sz w:val="24"/>
                <w:szCs w:val="28"/>
                <w:highlight w:val="none"/>
              </w:rPr>
            </w:pPr>
            <w:r>
              <w:rPr>
                <w:rFonts w:hint="eastAsia" w:ascii="宋体" w:hAnsi="宋体" w:eastAsia="宋体" w:cs="宋体"/>
                <w:sz w:val="24"/>
                <w:szCs w:val="28"/>
                <w:highlight w:val="none"/>
              </w:rPr>
            </w:r>
            <w:r/>
          </w:p>
        </w:tc>
      </w:tr>
      <w:tr>
        <w:trPr>
          <w:cantSplit/>
          <w:trHeight w:val="1068"/>
        </w:trPr>
        <w:tc>
          <w:tcPr>
            <w:tcW w:w="4442" w:type="dxa"/>
            <w:vAlign w:val="center"/>
            <w:textDirection w:val="lrTb"/>
            <w:noWrap w:val="false"/>
          </w:tcPr>
          <w:p>
            <w:pPr>
              <w:jc w:val="left"/>
              <w:rPr>
                <w:rFonts w:hint="eastAsia" w:ascii="宋体" w:hAnsi="宋体" w:eastAsia="宋体" w:cs="宋体"/>
                <w:sz w:val="24"/>
                <w:szCs w:val="28"/>
                <w:highlight w:val="none"/>
                <w:lang w:eastAsia="zh-CN"/>
              </w:rPr>
            </w:pPr>
            <w:r>
              <w:rPr>
                <w:rFonts w:hint="eastAsia" w:ascii="宋体" w:hAnsi="宋体" w:eastAsia="宋体" w:cs="宋体"/>
                <w:sz w:val="24"/>
                <w:szCs w:val="28"/>
                <w:highlight w:val="none"/>
              </w:rPr>
              <w:t xml:space="preserve">质量违约金</w:t>
            </w:r>
            <w:r>
              <w:rPr>
                <w:rFonts w:hint="eastAsia" w:ascii="宋体" w:hAnsi="宋体" w:eastAsia="宋体" w:cs="宋体"/>
                <w:sz w:val="24"/>
                <w:szCs w:val="28"/>
                <w:highlight w:val="none"/>
                <w:lang w:eastAsia="zh-CN"/>
              </w:rPr>
              <w:t xml:space="preserve">：</w:t>
            </w:r>
            <w:r/>
          </w:p>
        </w:tc>
        <w:tc>
          <w:tcPr>
            <w:tcW w:w="4443" w:type="dxa"/>
            <w:vAlign w:val="center"/>
            <w:textDirection w:val="lrTb"/>
            <w:noWrap w:val="false"/>
          </w:tcPr>
          <w:p>
            <w:pPr>
              <w:rPr>
                <w:rFonts w:hint="eastAsia" w:ascii="宋体" w:hAnsi="宋体" w:eastAsia="宋体" w:cs="宋体"/>
                <w:sz w:val="24"/>
                <w:szCs w:val="28"/>
                <w:highlight w:val="none"/>
              </w:rPr>
            </w:pPr>
            <w:r>
              <w:rPr>
                <w:rFonts w:hint="eastAsia" w:ascii="宋体" w:hAnsi="宋体" w:eastAsia="宋体" w:cs="宋体"/>
                <w:sz w:val="24"/>
                <w:szCs w:val="28"/>
                <w:highlight w:val="none"/>
              </w:rPr>
            </w:r>
            <w:r/>
          </w:p>
        </w:tc>
      </w:tr>
      <w:tr>
        <w:trPr>
          <w:cantSplit/>
          <w:trHeight w:val="973"/>
        </w:trPr>
        <w:tc>
          <w:tcPr>
            <w:tcW w:w="4442" w:type="dxa"/>
            <w:vAlign w:val="center"/>
            <w:textDirection w:val="lrTb"/>
            <w:noWrap w:val="false"/>
          </w:tcPr>
          <w:p>
            <w:pPr>
              <w:jc w:val="left"/>
              <w:rPr>
                <w:rFonts w:hint="eastAsia" w:ascii="宋体" w:hAnsi="宋体" w:eastAsia="宋体" w:cs="宋体"/>
                <w:sz w:val="24"/>
                <w:szCs w:val="28"/>
                <w:highlight w:val="none"/>
                <w:lang w:eastAsia="zh-CN"/>
              </w:rPr>
            </w:pPr>
            <w:r>
              <w:rPr>
                <w:rFonts w:hint="eastAsia" w:ascii="宋体" w:hAnsi="宋体" w:eastAsia="宋体" w:cs="宋体"/>
                <w:sz w:val="24"/>
                <w:szCs w:val="28"/>
                <w:highlight w:val="none"/>
              </w:rPr>
              <w:t xml:space="preserve">免费质保期</w:t>
            </w:r>
            <w:r>
              <w:rPr>
                <w:rFonts w:hint="eastAsia" w:ascii="宋体" w:hAnsi="宋体" w:eastAsia="宋体" w:cs="宋体"/>
                <w:sz w:val="24"/>
                <w:szCs w:val="28"/>
                <w:highlight w:val="none"/>
                <w:lang w:eastAsia="zh-CN"/>
              </w:rPr>
              <w:t xml:space="preserve">：</w:t>
            </w:r>
            <w:r/>
          </w:p>
        </w:tc>
        <w:tc>
          <w:tcPr>
            <w:tcW w:w="4443" w:type="dxa"/>
            <w:vAlign w:val="center"/>
            <w:textDirection w:val="lrTb"/>
            <w:noWrap w:val="false"/>
          </w:tcPr>
          <w:p>
            <w:pPr>
              <w:rPr>
                <w:rFonts w:hint="eastAsia" w:ascii="宋体" w:hAnsi="宋体" w:eastAsia="宋体" w:cs="宋体"/>
                <w:sz w:val="24"/>
                <w:szCs w:val="28"/>
                <w:highlight w:val="none"/>
              </w:rPr>
            </w:pPr>
            <w:r>
              <w:rPr>
                <w:rFonts w:hint="eastAsia" w:ascii="宋体" w:hAnsi="宋体" w:eastAsia="宋体" w:cs="宋体"/>
                <w:sz w:val="24"/>
                <w:szCs w:val="28"/>
                <w:highlight w:val="none"/>
              </w:rPr>
            </w:r>
            <w:r/>
          </w:p>
        </w:tc>
      </w:tr>
      <w:tr>
        <w:trPr>
          <w:cantSplit/>
          <w:trHeight w:val="779"/>
        </w:trPr>
        <w:tc>
          <w:tcPr>
            <w:tcW w:w="4442" w:type="dxa"/>
            <w:vAlign w:val="center"/>
            <w:textDirection w:val="lrTb"/>
            <w:noWrap w:val="false"/>
          </w:tcPr>
          <w:p>
            <w:pPr>
              <w:jc w:val="left"/>
              <w:rPr>
                <w:rFonts w:hint="eastAsia" w:ascii="宋体" w:hAnsi="宋体" w:eastAsia="宋体" w:cs="宋体"/>
                <w:sz w:val="24"/>
                <w:szCs w:val="28"/>
                <w:highlight w:val="none"/>
                <w:lang w:eastAsia="zh-CN"/>
              </w:rPr>
            </w:pPr>
            <w:r>
              <w:rPr>
                <w:rFonts w:hint="eastAsia" w:ascii="宋体" w:hAnsi="宋体" w:eastAsia="宋体" w:cs="宋体"/>
                <w:sz w:val="24"/>
                <w:szCs w:val="28"/>
                <w:highlight w:val="none"/>
              </w:rPr>
              <w:t xml:space="preserve">维修响应时间</w:t>
            </w:r>
            <w:r>
              <w:rPr>
                <w:rFonts w:hint="eastAsia" w:ascii="宋体" w:hAnsi="宋体" w:eastAsia="宋体" w:cs="宋体"/>
                <w:sz w:val="24"/>
                <w:szCs w:val="28"/>
                <w:highlight w:val="none"/>
                <w:lang w:eastAsia="zh-CN"/>
              </w:rPr>
              <w:t xml:space="preserve">：</w:t>
            </w:r>
            <w:r/>
          </w:p>
        </w:tc>
        <w:tc>
          <w:tcPr>
            <w:tcW w:w="4443" w:type="dxa"/>
            <w:vAlign w:val="center"/>
            <w:textDirection w:val="lrTb"/>
            <w:noWrap w:val="false"/>
          </w:tcPr>
          <w:p>
            <w:pPr>
              <w:rPr>
                <w:rFonts w:hint="eastAsia" w:ascii="宋体" w:hAnsi="宋体" w:eastAsia="宋体" w:cs="宋体"/>
                <w:sz w:val="24"/>
                <w:szCs w:val="28"/>
                <w:highlight w:val="none"/>
              </w:rPr>
            </w:pPr>
            <w:r>
              <w:rPr>
                <w:rFonts w:hint="eastAsia" w:ascii="宋体" w:hAnsi="宋体" w:eastAsia="宋体" w:cs="宋体"/>
                <w:sz w:val="24"/>
                <w:szCs w:val="28"/>
                <w:highlight w:val="none"/>
              </w:rPr>
            </w:r>
            <w:r/>
          </w:p>
        </w:tc>
      </w:tr>
    </w:tbl>
    <w:p>
      <w:pPr>
        <w:ind w:right="480"/>
        <w:jc w:val="right"/>
        <w:spacing w:line="360" w:lineRule="auto"/>
        <w:tabs>
          <w:tab w:val="left" w:pos="7140" w:leader="none"/>
        </w:tabs>
        <w:rPr>
          <w:color w:val="auto"/>
          <w:sz w:val="24"/>
          <w:szCs w:val="21"/>
          <w:highlight w:val="none"/>
        </w:rPr>
      </w:pPr>
      <w:r>
        <w:rPr>
          <w:rFonts w:hint="eastAsia"/>
          <w:color w:val="auto"/>
          <w:sz w:val="24"/>
          <w:szCs w:val="21"/>
          <w:highlight w:val="none"/>
        </w:rPr>
        <w:t xml:space="preserve">法定代表人或授权代表签字：</w:t>
      </w:r>
      <w:r/>
    </w:p>
    <w:p>
      <w:pPr>
        <w:ind w:right="120"/>
        <w:jc w:val="center"/>
        <w:spacing w:line="360" w:lineRule="auto"/>
        <w:tabs>
          <w:tab w:val="left" w:pos="7140" w:leader="none"/>
        </w:tabs>
        <w:rPr>
          <w:color w:val="auto"/>
          <w:sz w:val="24"/>
          <w:szCs w:val="21"/>
          <w:highlight w:val="none"/>
        </w:rPr>
      </w:pPr>
      <w:r>
        <w:rPr>
          <w:rFonts w:hint="eastAsia"/>
          <w:color w:val="auto"/>
          <w:sz w:val="24"/>
          <w:szCs w:val="21"/>
          <w:highlight w:val="none"/>
          <w:lang w:val="en-US" w:eastAsia="zh-CN"/>
        </w:rPr>
        <w:t xml:space="preserve">                                                                    </w:t>
      </w:r>
      <w:r>
        <w:rPr>
          <w:rFonts w:hint="eastAsia"/>
          <w:color w:val="auto"/>
          <w:sz w:val="24"/>
          <w:szCs w:val="21"/>
          <w:highlight w:val="none"/>
        </w:rPr>
        <w:t xml:space="preserve">日期：年月</w:t>
      </w:r>
      <w:r>
        <w:rPr>
          <w:rFonts w:hint="eastAsia"/>
          <w:color w:val="auto"/>
          <w:sz w:val="24"/>
          <w:szCs w:val="21"/>
          <w:highlight w:val="none"/>
          <w:lang w:val="en-US" w:eastAsia="zh-CN"/>
        </w:rPr>
        <w:t xml:space="preserve"> </w:t>
      </w:r>
      <w:r>
        <w:rPr>
          <w:rFonts w:hint="eastAsia"/>
          <w:color w:val="auto"/>
          <w:sz w:val="24"/>
          <w:szCs w:val="21"/>
          <w:highlight w:val="none"/>
        </w:rPr>
        <w:t xml:space="preserve">日</w:t>
      </w:r>
      <w:r/>
    </w:p>
    <w:p>
      <w:pPr>
        <w:jc w:val="center"/>
        <w:spacing w:line="360" w:lineRule="auto"/>
        <w:rPr>
          <w:rFonts w:hint="eastAsia" w:hAnsi="宋体"/>
          <w:b/>
          <w:color w:val="auto"/>
          <w:sz w:val="24"/>
          <w:szCs w:val="24"/>
          <w:highlight w:val="none"/>
        </w:rPr>
        <w:outlineLvl w:val="0"/>
      </w:pPr>
      <w:r>
        <w:rPr>
          <w:rFonts w:hint="eastAsia" w:hAnsi="宋体"/>
          <w:b/>
          <w:color w:val="auto"/>
          <w:sz w:val="24"/>
          <w:szCs w:val="24"/>
          <w:highlight w:val="none"/>
        </w:rPr>
      </w:r>
      <w:r/>
    </w:p>
    <w:p>
      <w:pPr>
        <w:jc w:val="center"/>
        <w:spacing w:line="360" w:lineRule="auto"/>
        <w:rPr>
          <w:rFonts w:hint="eastAsia" w:hAnsi="宋体"/>
          <w:b/>
          <w:color w:val="auto"/>
          <w:sz w:val="24"/>
          <w:szCs w:val="24"/>
          <w:highlight w:val="none"/>
        </w:rPr>
        <w:outlineLvl w:val="0"/>
      </w:pPr>
      <w:r>
        <w:rPr>
          <w:rFonts w:hint="eastAsia" w:hAnsi="宋体"/>
          <w:b/>
          <w:color w:val="auto"/>
          <w:sz w:val="24"/>
          <w:szCs w:val="24"/>
          <w:highlight w:val="none"/>
        </w:rPr>
      </w:r>
      <w:r/>
    </w:p>
    <w:p>
      <w:pPr>
        <w:jc w:val="center"/>
        <w:spacing w:line="360" w:lineRule="auto"/>
        <w:rPr>
          <w:rFonts w:hint="eastAsia" w:hAnsi="宋体"/>
          <w:b/>
          <w:color w:val="auto"/>
          <w:sz w:val="24"/>
          <w:szCs w:val="24"/>
          <w:highlight w:val="none"/>
        </w:rPr>
        <w:outlineLvl w:val="0"/>
      </w:pPr>
      <w:r>
        <w:rPr>
          <w:rFonts w:hint="eastAsia" w:hAnsi="宋体"/>
          <w:b/>
          <w:color w:val="auto"/>
          <w:sz w:val="24"/>
          <w:szCs w:val="24"/>
          <w:highlight w:val="none"/>
        </w:rPr>
      </w:r>
      <w:r/>
    </w:p>
    <w:p>
      <w:pPr>
        <w:jc w:val="center"/>
        <w:spacing w:line="360" w:lineRule="auto"/>
        <w:rPr>
          <w:rFonts w:hint="eastAsia" w:hAnsi="宋体"/>
          <w:b/>
          <w:color w:val="auto"/>
          <w:sz w:val="24"/>
          <w:szCs w:val="24"/>
          <w:highlight w:val="none"/>
        </w:rPr>
        <w:outlineLvl w:val="0"/>
      </w:pPr>
      <w:r>
        <w:rPr>
          <w:rFonts w:hint="eastAsia" w:hAnsi="宋体"/>
          <w:b/>
          <w:color w:val="auto"/>
          <w:sz w:val="24"/>
          <w:szCs w:val="24"/>
          <w:highlight w:val="none"/>
        </w:rPr>
      </w:r>
      <w:r/>
    </w:p>
    <w:p>
      <w:pPr>
        <w:jc w:val="center"/>
        <w:spacing w:line="360" w:lineRule="auto"/>
        <w:rPr>
          <w:rFonts w:hint="eastAsia" w:hAnsi="宋体"/>
          <w:b/>
          <w:color w:val="auto"/>
          <w:sz w:val="24"/>
          <w:szCs w:val="24"/>
          <w:highlight w:val="none"/>
        </w:rPr>
        <w:outlineLvl w:val="0"/>
      </w:pPr>
      <w:r>
        <w:rPr>
          <w:rFonts w:hint="eastAsia" w:hAnsi="宋体"/>
          <w:b/>
          <w:color w:val="auto"/>
          <w:sz w:val="24"/>
          <w:szCs w:val="24"/>
          <w:highlight w:val="none"/>
        </w:rPr>
      </w:r>
      <w:r/>
    </w:p>
    <w:p>
      <w:pPr>
        <w:jc w:val="center"/>
        <w:spacing w:line="360" w:lineRule="auto"/>
        <w:rPr>
          <w:rFonts w:hint="eastAsia" w:hAnsi="宋体"/>
          <w:b/>
          <w:color w:val="auto"/>
          <w:sz w:val="24"/>
          <w:szCs w:val="24"/>
          <w:highlight w:val="none"/>
        </w:rPr>
        <w:outlineLvl w:val="0"/>
      </w:pPr>
      <w:r>
        <w:rPr>
          <w:rFonts w:hint="eastAsia" w:hAnsi="宋体"/>
          <w:b/>
          <w:color w:val="auto"/>
          <w:sz w:val="24"/>
          <w:szCs w:val="24"/>
          <w:highlight w:val="none"/>
        </w:rPr>
      </w:r>
      <w:r/>
    </w:p>
    <w:p>
      <w:pPr>
        <w:jc w:val="center"/>
        <w:spacing w:line="360" w:lineRule="auto"/>
        <w:rPr>
          <w:rFonts w:hint="eastAsia" w:hAnsi="宋体"/>
          <w:b/>
          <w:color w:val="auto"/>
          <w:sz w:val="24"/>
          <w:szCs w:val="24"/>
          <w:highlight w:val="none"/>
        </w:rPr>
        <w:outlineLvl w:val="0"/>
      </w:pPr>
      <w:r>
        <w:rPr>
          <w:rFonts w:hint="eastAsia" w:hAnsi="宋体"/>
          <w:b/>
          <w:color w:val="auto"/>
          <w:sz w:val="24"/>
          <w:szCs w:val="24"/>
          <w:highlight w:val="none"/>
        </w:rPr>
      </w:r>
      <w:r/>
    </w:p>
    <w:p>
      <w:pPr>
        <w:jc w:val="center"/>
        <w:spacing w:line="360" w:lineRule="auto"/>
        <w:rPr>
          <w:rFonts w:hint="eastAsia" w:hAnsi="宋体"/>
          <w:b/>
          <w:color w:val="auto"/>
          <w:sz w:val="24"/>
          <w:szCs w:val="24"/>
          <w:highlight w:val="none"/>
        </w:rPr>
        <w:outlineLvl w:val="0"/>
      </w:pPr>
      <w:r>
        <w:rPr>
          <w:rFonts w:hint="eastAsia" w:hAnsi="宋体"/>
          <w:b/>
          <w:color w:val="auto"/>
          <w:sz w:val="24"/>
          <w:szCs w:val="24"/>
          <w:highlight w:val="none"/>
        </w:rPr>
      </w:r>
      <w:r/>
    </w:p>
    <w:p>
      <w:pPr>
        <w:jc w:val="center"/>
        <w:spacing w:line="360" w:lineRule="auto"/>
        <w:rPr>
          <w:rFonts w:hint="eastAsia" w:hAnsi="宋体"/>
          <w:b/>
          <w:color w:val="auto"/>
          <w:sz w:val="24"/>
          <w:szCs w:val="24"/>
          <w:highlight w:val="none"/>
        </w:rPr>
        <w:outlineLvl w:val="0"/>
      </w:pPr>
      <w:r>
        <w:rPr>
          <w:rFonts w:hint="eastAsia" w:hAnsi="宋体"/>
          <w:b/>
          <w:color w:val="auto"/>
          <w:sz w:val="24"/>
          <w:szCs w:val="24"/>
          <w:highlight w:val="none"/>
        </w:rPr>
      </w:r>
      <w:r/>
    </w:p>
    <w:p>
      <w:pPr>
        <w:jc w:val="center"/>
        <w:spacing w:line="360" w:lineRule="auto"/>
        <w:rPr>
          <w:rFonts w:hint="eastAsia" w:hAnsi="宋体"/>
          <w:b/>
          <w:color w:val="auto"/>
          <w:sz w:val="24"/>
          <w:szCs w:val="24"/>
          <w:highlight w:val="none"/>
        </w:rPr>
        <w:outlineLvl w:val="0"/>
      </w:pPr>
      <w:r>
        <w:rPr>
          <w:rFonts w:hint="eastAsia" w:hAnsi="宋体"/>
          <w:b/>
          <w:color w:val="auto"/>
          <w:sz w:val="24"/>
          <w:szCs w:val="24"/>
          <w:highlight w:val="none"/>
        </w:rPr>
      </w:r>
      <w:r/>
    </w:p>
    <w:p>
      <w:pPr>
        <w:numPr>
          <w:ilvl w:val="0"/>
          <w:numId w:val="12"/>
        </w:numPr>
        <w:jc w:val="center"/>
        <w:pageBreakBefore w:val="0"/>
        <w:spacing w:line="360" w:lineRule="auto"/>
        <w:rPr>
          <w:rFonts w:hint="eastAsia" w:ascii="宋体" w:hAnsi="宋体" w:eastAsia="宋体" w:cs="宋体"/>
          <w:b/>
          <w:color w:val="auto"/>
          <w:sz w:val="30"/>
          <w:szCs w:val="30"/>
          <w:highlight w:val="none"/>
          <w:lang w:val="en-US" w:eastAsia="zh-CN"/>
        </w:rPr>
      </w:pPr>
      <w:r>
        <w:rPr>
          <w:rFonts w:hint="eastAsia" w:ascii="宋体" w:hAnsi="宋体" w:eastAsia="宋体" w:cs="宋体"/>
          <w:b/>
          <w:color w:val="auto"/>
          <w:sz w:val="30"/>
          <w:szCs w:val="30"/>
          <w:highlight w:val="none"/>
          <w:lang w:val="en-US" w:eastAsia="zh-CN"/>
        </w:rPr>
        <w:t xml:space="preserve">明细报价表</w:t>
      </w:r>
      <w:r/>
    </w:p>
    <w:p>
      <w:pPr>
        <w:jc w:val="left"/>
        <w:spacing w:line="360" w:lineRule="auto"/>
        <w:rPr>
          <w:highlight w:val="none"/>
        </w:rPr>
      </w:pPr>
      <w:r>
        <w:rPr>
          <w:rFonts w:hint="eastAsia" w:ascii="宋体" w:hAnsi="宋体" w:eastAsia="宋体" w:cs="宋体"/>
          <w:bCs/>
          <w:color w:val="000000"/>
          <w:sz w:val="24"/>
          <w:szCs w:val="24"/>
          <w:highlight w:val="none"/>
        </w:rPr>
        <w:t xml:space="preserve">项目编号：</w:t>
      </w:r>
      <w:r/>
    </w:p>
    <w:tbl>
      <w:tblPr>
        <w:tblStyle w:val="745"/>
        <w:tblW w:w="99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420"/>
        <w:gridCol w:w="1050"/>
        <w:gridCol w:w="945"/>
        <w:gridCol w:w="3045"/>
        <w:gridCol w:w="599"/>
        <w:gridCol w:w="1276"/>
        <w:gridCol w:w="992"/>
        <w:gridCol w:w="709"/>
        <w:gridCol w:w="939"/>
      </w:tblGrid>
      <w:tr>
        <w:trPr>
          <w:cantSplit/>
          <w:jc w:val="center"/>
          <w:trHeight w:val="495"/>
        </w:trPr>
        <w:tc>
          <w:tcPr>
            <w:tcMar>
              <w:left w:w="15" w:type="dxa"/>
              <w:top w:w="15" w:type="dxa"/>
              <w:right w:w="15" w:type="dxa"/>
              <w:bottom w:w="0" w:type="dxa"/>
            </w:tcMar>
            <w:tcW w:w="420" w:type="dxa"/>
            <w:vAlign w:val="center"/>
            <w:textDirection w:val="lrTb"/>
            <w:noWrap/>
          </w:tcPr>
          <w:p>
            <w:pPr>
              <w:jc w:val="center"/>
              <w:spacing w:before="5"/>
              <w:rPr>
                <w:rFonts w:hint="eastAsia" w:ascii="宋体" w:hAnsi="宋体" w:eastAsia="宋体" w:cs="宋体"/>
                <w:sz w:val="18"/>
                <w:highlight w:val="none"/>
              </w:rPr>
            </w:pPr>
            <w:r>
              <w:rPr>
                <w:rFonts w:hint="eastAsia" w:ascii="宋体" w:hAnsi="宋体" w:eastAsia="宋体" w:cs="宋体"/>
                <w:sz w:val="18"/>
                <w:highlight w:val="none"/>
              </w:rPr>
              <w:t xml:space="preserve">序号</w:t>
            </w:r>
            <w:r/>
          </w:p>
        </w:tc>
        <w:tc>
          <w:tcPr>
            <w:tcMar>
              <w:left w:w="15" w:type="dxa"/>
              <w:top w:w="15" w:type="dxa"/>
              <w:right w:w="15" w:type="dxa"/>
              <w:bottom w:w="0" w:type="dxa"/>
            </w:tcMar>
            <w:tcW w:w="1050" w:type="dxa"/>
            <w:vAlign w:val="center"/>
            <w:textDirection w:val="lrTb"/>
            <w:noWrap/>
          </w:tcPr>
          <w:p>
            <w:pPr>
              <w:jc w:val="center"/>
              <w:spacing w:before="5"/>
              <w:rPr>
                <w:rFonts w:hint="eastAsia" w:ascii="宋体" w:hAnsi="宋体" w:eastAsia="宋体" w:cs="宋体"/>
                <w:sz w:val="18"/>
                <w:highlight w:val="none"/>
                <w:u w:val="none"/>
              </w:rPr>
            </w:pPr>
            <w:r>
              <w:rPr>
                <w:rFonts w:hint="eastAsia" w:ascii="宋体" w:hAnsi="宋体" w:eastAsia="宋体" w:cs="宋体"/>
                <w:sz w:val="18"/>
                <w:highlight w:val="none"/>
              </w:rPr>
              <w:t xml:space="preserve">名称</w:t>
            </w:r>
            <w:r/>
          </w:p>
        </w:tc>
        <w:tc>
          <w:tcPr>
            <w:tcMar>
              <w:left w:w="15" w:type="dxa"/>
              <w:top w:w="15" w:type="dxa"/>
              <w:right w:w="15" w:type="dxa"/>
              <w:bottom w:w="0" w:type="dxa"/>
            </w:tcMar>
            <w:tcW w:w="945" w:type="dxa"/>
            <w:vAlign w:val="center"/>
            <w:textDirection w:val="lrTb"/>
            <w:noWrap/>
          </w:tcPr>
          <w:p>
            <w:pPr>
              <w:jc w:val="center"/>
              <w:spacing w:before="5"/>
              <w:rPr>
                <w:rFonts w:hint="eastAsia" w:ascii="宋体" w:hAnsi="宋体" w:eastAsia="宋体" w:cs="宋体"/>
                <w:sz w:val="18"/>
                <w:highlight w:val="none"/>
                <w:u w:val="none"/>
              </w:rPr>
            </w:pPr>
            <w:r>
              <w:rPr>
                <w:rFonts w:hint="eastAsia" w:ascii="宋体" w:hAnsi="宋体" w:eastAsia="宋体" w:cs="宋体"/>
                <w:sz w:val="18"/>
                <w:highlight w:val="none"/>
                <w:u w:val="none"/>
              </w:rPr>
              <w:t xml:space="preserve">品牌型号</w:t>
            </w:r>
            <w:r/>
          </w:p>
        </w:tc>
        <w:tc>
          <w:tcPr>
            <w:tcMar>
              <w:left w:w="15" w:type="dxa"/>
              <w:top w:w="15" w:type="dxa"/>
              <w:right w:w="15" w:type="dxa"/>
              <w:bottom w:w="0" w:type="dxa"/>
            </w:tcMar>
            <w:tcW w:w="3045" w:type="dxa"/>
            <w:vAlign w:val="center"/>
            <w:textDirection w:val="lrTb"/>
            <w:noWrap/>
          </w:tcPr>
          <w:p>
            <w:pPr>
              <w:jc w:val="center"/>
              <w:spacing w:before="5"/>
              <w:rPr>
                <w:rFonts w:hint="eastAsia" w:ascii="宋体" w:hAnsi="宋体" w:eastAsia="宋体" w:cs="宋体"/>
                <w:sz w:val="18"/>
                <w:highlight w:val="none"/>
              </w:rPr>
            </w:pPr>
            <w:r>
              <w:rPr>
                <w:rFonts w:hint="eastAsia" w:ascii="宋体" w:hAnsi="宋体" w:eastAsia="宋体" w:cs="宋体"/>
                <w:sz w:val="18"/>
                <w:highlight w:val="none"/>
                <w:u w:val="none"/>
              </w:rPr>
              <w:t xml:space="preserve">性能指标</w:t>
            </w:r>
            <w:r/>
          </w:p>
        </w:tc>
        <w:tc>
          <w:tcPr>
            <w:tcMar>
              <w:left w:w="15" w:type="dxa"/>
              <w:top w:w="15" w:type="dxa"/>
              <w:right w:w="15" w:type="dxa"/>
              <w:bottom w:w="0" w:type="dxa"/>
            </w:tcMar>
            <w:tcW w:w="599" w:type="dxa"/>
            <w:vAlign w:val="center"/>
            <w:textDirection w:val="lrTb"/>
            <w:noWrap w:val="false"/>
          </w:tcPr>
          <w:p>
            <w:pPr>
              <w:jc w:val="center"/>
              <w:spacing w:before="5"/>
              <w:rPr>
                <w:rFonts w:hint="eastAsia" w:ascii="宋体" w:hAnsi="宋体" w:eastAsia="宋体" w:cs="宋体"/>
                <w:sz w:val="18"/>
                <w:highlight w:val="none"/>
              </w:rPr>
            </w:pPr>
            <w:r>
              <w:rPr>
                <w:rFonts w:hint="eastAsia" w:ascii="宋体" w:hAnsi="宋体" w:eastAsia="宋体" w:cs="宋体"/>
                <w:sz w:val="18"/>
                <w:highlight w:val="none"/>
              </w:rPr>
              <w:t xml:space="preserve">数量</w:t>
            </w:r>
            <w:r/>
          </w:p>
        </w:tc>
        <w:tc>
          <w:tcPr>
            <w:tcW w:w="1276" w:type="dxa"/>
            <w:vAlign w:val="center"/>
            <w:textDirection w:val="lrTb"/>
            <w:noWrap w:val="false"/>
          </w:tcPr>
          <w:p>
            <w:pPr>
              <w:jc w:val="center"/>
              <w:spacing w:before="5"/>
              <w:rPr>
                <w:rFonts w:hint="eastAsia" w:ascii="宋体" w:hAnsi="宋体" w:eastAsia="宋体" w:cs="宋体"/>
                <w:sz w:val="18"/>
                <w:highlight w:val="none"/>
              </w:rPr>
            </w:pPr>
            <w:r>
              <w:rPr>
                <w:rFonts w:hint="eastAsia" w:ascii="宋体" w:hAnsi="宋体" w:eastAsia="宋体" w:cs="宋体"/>
                <w:sz w:val="18"/>
                <w:highlight w:val="none"/>
              </w:rPr>
              <w:t xml:space="preserve">产地</w:t>
            </w:r>
            <w:r/>
          </w:p>
        </w:tc>
        <w:tc>
          <w:tcPr>
            <w:tcMar>
              <w:left w:w="15" w:type="dxa"/>
              <w:top w:w="15" w:type="dxa"/>
              <w:right w:w="15" w:type="dxa"/>
              <w:bottom w:w="0" w:type="dxa"/>
            </w:tcMar>
            <w:tcW w:w="992" w:type="dxa"/>
            <w:vAlign w:val="center"/>
            <w:textDirection w:val="lrTb"/>
            <w:noWrap/>
          </w:tcPr>
          <w:p>
            <w:pPr>
              <w:jc w:val="center"/>
              <w:spacing w:before="5"/>
              <w:rPr>
                <w:rFonts w:hint="eastAsia" w:ascii="宋体" w:hAnsi="宋体" w:eastAsia="宋体" w:cs="宋体"/>
                <w:sz w:val="18"/>
                <w:highlight w:val="none"/>
              </w:rPr>
            </w:pPr>
            <w:r>
              <w:rPr>
                <w:rFonts w:hint="eastAsia" w:ascii="宋体" w:hAnsi="宋体" w:eastAsia="宋体" w:cs="宋体"/>
                <w:sz w:val="18"/>
                <w:highlight w:val="none"/>
              </w:rPr>
              <w:t xml:space="preserve">质保期</w:t>
            </w:r>
            <w:r/>
          </w:p>
        </w:tc>
        <w:tc>
          <w:tcPr>
            <w:tcW w:w="709" w:type="dxa"/>
            <w:vAlign w:val="center"/>
            <w:textDirection w:val="lrTb"/>
            <w:noWrap w:val="false"/>
          </w:tcPr>
          <w:p>
            <w:pPr>
              <w:jc w:val="center"/>
              <w:spacing w:before="5"/>
              <w:rPr>
                <w:rFonts w:hint="eastAsia" w:ascii="宋体" w:hAnsi="宋体" w:eastAsia="宋体" w:cs="宋体"/>
                <w:sz w:val="18"/>
                <w:highlight w:val="none"/>
              </w:rPr>
            </w:pPr>
            <w:r>
              <w:rPr>
                <w:rFonts w:hint="eastAsia" w:ascii="宋体" w:hAnsi="宋体" w:eastAsia="宋体" w:cs="宋体"/>
                <w:sz w:val="18"/>
                <w:highlight w:val="none"/>
              </w:rPr>
              <w:t xml:space="preserve">单报价</w:t>
            </w:r>
            <w:r/>
          </w:p>
        </w:tc>
        <w:tc>
          <w:tcPr>
            <w:tcW w:w="939" w:type="dxa"/>
            <w:vAlign w:val="center"/>
            <w:textDirection w:val="lrTb"/>
            <w:noWrap w:val="false"/>
          </w:tcPr>
          <w:p>
            <w:pPr>
              <w:jc w:val="center"/>
              <w:spacing w:before="5"/>
              <w:rPr>
                <w:rFonts w:hint="eastAsia" w:ascii="宋体" w:hAnsi="宋体" w:eastAsia="宋体" w:cs="宋体"/>
                <w:sz w:val="18"/>
                <w:highlight w:val="none"/>
              </w:rPr>
            </w:pPr>
            <w:r>
              <w:rPr>
                <w:rFonts w:hint="eastAsia" w:ascii="宋体" w:hAnsi="宋体" w:eastAsia="宋体" w:cs="宋体"/>
                <w:sz w:val="18"/>
                <w:highlight w:val="none"/>
              </w:rPr>
              <w:t xml:space="preserve">分项总报价</w:t>
            </w:r>
            <w:r/>
          </w:p>
        </w:tc>
      </w:tr>
      <w:tr>
        <w:trPr>
          <w:cantSplit/>
          <w:jc w:val="center"/>
          <w:trHeight w:val="717"/>
        </w:trPr>
        <w:tc>
          <w:tcPr>
            <w:tcMar>
              <w:left w:w="15" w:type="dxa"/>
              <w:top w:w="15" w:type="dxa"/>
              <w:right w:w="15" w:type="dxa"/>
              <w:bottom w:w="0" w:type="dxa"/>
            </w:tcMar>
            <w:tcW w:w="420" w:type="dxa"/>
            <w:vAlign w:val="center"/>
            <w:textDirection w:val="lrTb"/>
            <w:noWrap/>
          </w:tcPr>
          <w:p>
            <w:pPr>
              <w:pStyle w:val="767"/>
              <w:spacing w:before="5"/>
              <w:tabs>
                <w:tab w:val="clear" w:pos="4153" w:leader="none"/>
                <w:tab w:val="clear" w:pos="8306" w:leader="none"/>
              </w:tabs>
              <w:rPr>
                <w:rFonts w:hint="eastAsia" w:ascii="宋体" w:hAnsi="宋体" w:eastAsia="宋体" w:cs="宋体"/>
                <w:color w:val="000000"/>
                <w:highlight w:val="none"/>
              </w:rPr>
              <w:pBdr>
                <w:bottom w:val="none" w:color="auto" w:sz="0" w:space="0"/>
              </w:pBdr>
            </w:pPr>
            <w:r>
              <w:rPr>
                <w:rFonts w:hint="eastAsia" w:ascii="宋体" w:hAnsi="宋体" w:eastAsia="宋体" w:cs="宋体"/>
                <w:color w:val="000000"/>
                <w:highlight w:val="none"/>
              </w:rPr>
              <w:t xml:space="preserve">1</w:t>
            </w:r>
            <w:r/>
          </w:p>
        </w:tc>
        <w:tc>
          <w:tcPr>
            <w:tcMar>
              <w:left w:w="15" w:type="dxa"/>
              <w:top w:w="15" w:type="dxa"/>
              <w:right w:w="15" w:type="dxa"/>
              <w:bottom w:w="0" w:type="dxa"/>
            </w:tcMar>
            <w:tcW w:w="1050" w:type="dxa"/>
            <w:vAlign w:val="center"/>
            <w:textDirection w:val="lrTb"/>
            <w:noWrap/>
          </w:tcPr>
          <w:p>
            <w:pPr>
              <w:pStyle w:val="767"/>
              <w:tabs>
                <w:tab w:val="clear" w:pos="4153" w:leader="none"/>
                <w:tab w:val="clear" w:pos="8306" w:leader="none"/>
              </w:tabs>
              <w:rPr>
                <w:rFonts w:hint="eastAsia" w:ascii="宋体" w:hAnsi="宋体" w:eastAsia="宋体" w:cs="宋体"/>
                <w:bCs/>
                <w:color w:val="000000"/>
                <w:highlight w:val="none"/>
              </w:rPr>
              <w:pBdr>
                <w:bottom w:val="none" w:color="auto" w:sz="0" w:space="0"/>
              </w:pBdr>
            </w:pPr>
            <w:r>
              <w:rPr>
                <w:rFonts w:hint="eastAsia" w:ascii="宋体" w:hAnsi="宋体" w:eastAsia="宋体" w:cs="宋体"/>
                <w:bCs/>
                <w:color w:val="000000"/>
                <w:highlight w:val="none"/>
              </w:rPr>
            </w:r>
            <w:r/>
          </w:p>
        </w:tc>
        <w:tc>
          <w:tcPr>
            <w:tcMar>
              <w:left w:w="15" w:type="dxa"/>
              <w:top w:w="15" w:type="dxa"/>
              <w:right w:w="15" w:type="dxa"/>
              <w:bottom w:w="0" w:type="dxa"/>
            </w:tcMar>
            <w:tcW w:w="945" w:type="dxa"/>
            <w:vAlign w:val="center"/>
            <w:textDirection w:val="lrTb"/>
            <w:noWrap w:val="false"/>
          </w:tcPr>
          <w:p>
            <w:pPr>
              <w:pStyle w:val="767"/>
              <w:tabs>
                <w:tab w:val="clear" w:pos="4153" w:leader="none"/>
                <w:tab w:val="clear" w:pos="8306" w:leader="none"/>
              </w:tabs>
              <w:rPr>
                <w:rFonts w:hint="eastAsia" w:ascii="宋体" w:hAnsi="宋体" w:eastAsia="宋体" w:cs="宋体"/>
                <w:bCs/>
                <w:color w:val="000000"/>
                <w:highlight w:val="none"/>
              </w:rPr>
              <w:pBdr>
                <w:bottom w:val="none" w:color="auto" w:sz="0" w:space="0"/>
              </w:pBdr>
            </w:pPr>
            <w:r>
              <w:rPr>
                <w:rFonts w:hint="eastAsia" w:ascii="宋体" w:hAnsi="宋体" w:eastAsia="宋体" w:cs="宋体"/>
                <w:bCs/>
                <w:color w:val="000000"/>
                <w:highlight w:val="none"/>
              </w:rPr>
            </w:r>
            <w:r/>
          </w:p>
        </w:tc>
        <w:tc>
          <w:tcPr>
            <w:tcMar>
              <w:left w:w="15" w:type="dxa"/>
              <w:top w:w="15" w:type="dxa"/>
              <w:right w:w="15" w:type="dxa"/>
              <w:bottom w:w="0" w:type="dxa"/>
            </w:tcMar>
            <w:tcW w:w="3045" w:type="dxa"/>
            <w:vAlign w:val="top"/>
            <w:textDirection w:val="lrTb"/>
            <w:noWrap w:val="false"/>
          </w:tcPr>
          <w:p>
            <w:pPr>
              <w:jc w:val="center"/>
              <w:rPr>
                <w:rFonts w:hint="eastAsia" w:ascii="宋体" w:hAnsi="宋体" w:eastAsia="宋体" w:cs="宋体"/>
                <w:bCs/>
                <w:color w:val="000000"/>
                <w:sz w:val="18"/>
                <w:highlight w:val="none"/>
              </w:rPr>
            </w:pPr>
            <w:r>
              <w:rPr>
                <w:rFonts w:hint="eastAsia" w:ascii="宋体" w:hAnsi="宋体" w:eastAsia="宋体" w:cs="宋体"/>
                <w:bCs/>
                <w:color w:val="000000"/>
                <w:sz w:val="18"/>
                <w:highlight w:val="none"/>
              </w:rPr>
            </w:r>
            <w:r/>
          </w:p>
        </w:tc>
        <w:tc>
          <w:tcPr>
            <w:tcMar>
              <w:left w:w="15" w:type="dxa"/>
              <w:top w:w="15" w:type="dxa"/>
              <w:right w:w="15" w:type="dxa"/>
              <w:bottom w:w="0" w:type="dxa"/>
            </w:tcMar>
            <w:tcW w:w="599" w:type="dxa"/>
            <w:vAlign w:val="center"/>
            <w:textDirection w:val="lrTb"/>
            <w:noWrap w:val="false"/>
          </w:tcPr>
          <w:p>
            <w:pPr>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highlight w:val="none"/>
              </w:rPr>
              <w:t xml:space="preserve">　</w:t>
            </w:r>
            <w:r/>
          </w:p>
        </w:tc>
        <w:tc>
          <w:tcPr>
            <w:tcW w:w="1276" w:type="dxa"/>
            <w:vAlign w:val="center"/>
            <w:textDirection w:val="lrTb"/>
            <w:noWrap w:val="false"/>
          </w:tcPr>
          <w:p>
            <w:pPr>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c>
          <w:tcPr>
            <w:tcMar>
              <w:left w:w="15" w:type="dxa"/>
              <w:top w:w="15" w:type="dxa"/>
              <w:right w:w="15" w:type="dxa"/>
              <w:bottom w:w="0" w:type="dxa"/>
            </w:tcMar>
            <w:tcW w:w="992" w:type="dxa"/>
            <w:vAlign w:val="center"/>
            <w:textDirection w:val="lrTb"/>
            <w:noWrap/>
          </w:tcPr>
          <w:p>
            <w:pPr>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highlight w:val="none"/>
              </w:rPr>
              <w:t xml:space="preserve">　</w:t>
            </w:r>
            <w:r/>
          </w:p>
        </w:tc>
        <w:tc>
          <w:tcPr>
            <w:tcW w:w="709" w:type="dxa"/>
            <w:vAlign w:val="center"/>
            <w:textDirection w:val="lrTb"/>
            <w:noWrap w:val="false"/>
          </w:tcPr>
          <w:p>
            <w:pPr>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c>
          <w:tcPr>
            <w:tcW w:w="939" w:type="dxa"/>
            <w:vAlign w:val="center"/>
            <w:textDirection w:val="lrTb"/>
            <w:noWrap w:val="false"/>
          </w:tcPr>
          <w:p>
            <w:pPr>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r>
      <w:tr>
        <w:trPr>
          <w:cantSplit/>
          <w:jc w:val="center"/>
          <w:trHeight w:val="898"/>
        </w:trPr>
        <w:tc>
          <w:tcPr>
            <w:tcMar>
              <w:left w:w="15" w:type="dxa"/>
              <w:top w:w="15" w:type="dxa"/>
              <w:right w:w="15" w:type="dxa"/>
              <w:bottom w:w="0" w:type="dxa"/>
            </w:tcMar>
            <w:tcW w:w="420" w:type="dxa"/>
            <w:vAlign w:val="center"/>
            <w:textDirection w:val="lrTb"/>
            <w:noWrap/>
          </w:tcPr>
          <w:p>
            <w:pPr>
              <w:jc w:val="center"/>
              <w:rPr>
                <w:rFonts w:hint="eastAsia" w:ascii="宋体" w:hAnsi="宋体" w:eastAsia="宋体" w:cs="宋体"/>
                <w:color w:val="000000"/>
                <w:sz w:val="18"/>
                <w:highlight w:val="none"/>
              </w:rPr>
            </w:pPr>
            <w:r>
              <w:rPr>
                <w:rFonts w:hint="eastAsia" w:ascii="宋体" w:hAnsi="宋体" w:eastAsia="宋体" w:cs="宋体"/>
                <w:color w:val="000000"/>
                <w:sz w:val="18"/>
                <w:highlight w:val="none"/>
              </w:rPr>
              <w:t xml:space="preserve">2</w:t>
            </w:r>
            <w:r/>
          </w:p>
        </w:tc>
        <w:tc>
          <w:tcPr>
            <w:tcMar>
              <w:left w:w="15" w:type="dxa"/>
              <w:top w:w="15" w:type="dxa"/>
              <w:right w:w="15" w:type="dxa"/>
              <w:bottom w:w="0" w:type="dxa"/>
            </w:tcMar>
            <w:tcW w:w="1050" w:type="dxa"/>
            <w:vAlign w:val="center"/>
            <w:textDirection w:val="lrTb"/>
            <w:noWrap/>
          </w:tcPr>
          <w:p>
            <w:pPr>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Mar>
              <w:left w:w="15" w:type="dxa"/>
              <w:top w:w="15" w:type="dxa"/>
              <w:right w:w="15" w:type="dxa"/>
              <w:bottom w:w="0" w:type="dxa"/>
            </w:tcMar>
            <w:tcW w:w="945" w:type="dxa"/>
            <w:vAlign w:val="center"/>
            <w:textDirection w:val="lrTb"/>
            <w:noWrap w:val="false"/>
          </w:tcPr>
          <w:p>
            <w:pPr>
              <w:pStyle w:val="767"/>
              <w:tabs>
                <w:tab w:val="clear" w:pos="4153" w:leader="none"/>
                <w:tab w:val="clear" w:pos="8306" w:leader="none"/>
              </w:tabs>
              <w:rPr>
                <w:rFonts w:hint="eastAsia" w:ascii="宋体" w:hAnsi="宋体" w:eastAsia="宋体" w:cs="宋体"/>
                <w:bCs/>
                <w:color w:val="000000"/>
                <w:highlight w:val="none"/>
              </w:rPr>
              <w:pBdr>
                <w:bottom w:val="none" w:color="auto" w:sz="0" w:space="0"/>
              </w:pBdr>
            </w:pPr>
            <w:r>
              <w:rPr>
                <w:rFonts w:hint="eastAsia" w:ascii="宋体" w:hAnsi="宋体" w:eastAsia="宋体" w:cs="宋体"/>
                <w:bCs/>
                <w:color w:val="000000"/>
                <w:highlight w:val="none"/>
              </w:rPr>
            </w:r>
            <w:r/>
          </w:p>
        </w:tc>
        <w:tc>
          <w:tcPr>
            <w:tcMar>
              <w:left w:w="15" w:type="dxa"/>
              <w:top w:w="15" w:type="dxa"/>
              <w:right w:w="15" w:type="dxa"/>
              <w:bottom w:w="0" w:type="dxa"/>
            </w:tcMar>
            <w:tcW w:w="3045" w:type="dxa"/>
            <w:vAlign w:val="center"/>
            <w:textDirection w:val="lrTb"/>
            <w:noWrap w:val="false"/>
          </w:tcPr>
          <w:p>
            <w:pPr>
              <w:jc w:val="center"/>
              <w:rPr>
                <w:rFonts w:hint="eastAsia" w:ascii="宋体" w:hAnsi="宋体" w:eastAsia="宋体" w:cs="宋体"/>
                <w:bCs/>
                <w:color w:val="000000"/>
                <w:sz w:val="18"/>
                <w:highlight w:val="none"/>
              </w:rPr>
            </w:pPr>
            <w:r>
              <w:rPr>
                <w:rFonts w:hint="eastAsia" w:ascii="宋体" w:hAnsi="宋体" w:eastAsia="宋体" w:cs="宋体"/>
                <w:bCs/>
                <w:color w:val="000000"/>
                <w:sz w:val="18"/>
                <w:highlight w:val="none"/>
              </w:rPr>
            </w:r>
            <w:r/>
          </w:p>
        </w:tc>
        <w:tc>
          <w:tcPr>
            <w:tcMar>
              <w:left w:w="15" w:type="dxa"/>
              <w:top w:w="15" w:type="dxa"/>
              <w:right w:w="15" w:type="dxa"/>
              <w:bottom w:w="0" w:type="dxa"/>
            </w:tcMar>
            <w:tcW w:w="599" w:type="dxa"/>
            <w:vAlign w:val="center"/>
            <w:textDirection w:val="lrTb"/>
            <w:noWrap w:val="false"/>
          </w:tcPr>
          <w:p>
            <w:pPr>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highlight w:val="none"/>
              </w:rPr>
              <w:t xml:space="preserve">　</w:t>
            </w:r>
            <w:r/>
          </w:p>
        </w:tc>
        <w:tc>
          <w:tcPr>
            <w:tcW w:w="1276" w:type="dxa"/>
            <w:vAlign w:val="center"/>
            <w:textDirection w:val="lrTb"/>
            <w:noWrap w:val="false"/>
          </w:tcPr>
          <w:p>
            <w:pPr>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c>
          <w:tcPr>
            <w:tcMar>
              <w:left w:w="15" w:type="dxa"/>
              <w:top w:w="15" w:type="dxa"/>
              <w:right w:w="15" w:type="dxa"/>
              <w:bottom w:w="0" w:type="dxa"/>
            </w:tcMar>
            <w:tcW w:w="992" w:type="dxa"/>
            <w:vAlign w:val="center"/>
            <w:textDirection w:val="lrTb"/>
            <w:noWrap/>
          </w:tcPr>
          <w:p>
            <w:pPr>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highlight w:val="none"/>
              </w:rPr>
              <w:t xml:space="preserve">　</w:t>
            </w:r>
            <w:r/>
          </w:p>
        </w:tc>
        <w:tc>
          <w:tcPr>
            <w:tcW w:w="709" w:type="dxa"/>
            <w:vAlign w:val="center"/>
            <w:textDirection w:val="lrTb"/>
            <w:noWrap w:val="false"/>
          </w:tcPr>
          <w:p>
            <w:pPr>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c>
          <w:tcPr>
            <w:tcW w:w="939" w:type="dxa"/>
            <w:vAlign w:val="center"/>
            <w:textDirection w:val="lrTb"/>
            <w:noWrap w:val="false"/>
          </w:tcPr>
          <w:p>
            <w:pPr>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r>
      <w:tr>
        <w:trPr>
          <w:cantSplit/>
          <w:jc w:val="center"/>
          <w:trHeight w:val="898"/>
        </w:trPr>
        <w:tc>
          <w:tcPr>
            <w:tcMar>
              <w:left w:w="15" w:type="dxa"/>
              <w:top w:w="15" w:type="dxa"/>
              <w:right w:w="15" w:type="dxa"/>
              <w:bottom w:w="0" w:type="dxa"/>
            </w:tcMar>
            <w:tcW w:w="420" w:type="dxa"/>
            <w:vAlign w:val="center"/>
            <w:textDirection w:val="lrTb"/>
            <w:noWrap/>
          </w:tcPr>
          <w:p>
            <w:pPr>
              <w:jc w:val="center"/>
              <w:rPr>
                <w:rFonts w:hint="eastAsia" w:ascii="宋体" w:hAnsi="宋体" w:eastAsia="宋体" w:cs="宋体"/>
                <w:color w:val="000000"/>
                <w:sz w:val="18"/>
                <w:highlight w:val="none"/>
              </w:rPr>
            </w:pPr>
            <w:r>
              <w:rPr>
                <w:rFonts w:hint="eastAsia" w:ascii="宋体" w:hAnsi="宋体" w:eastAsia="宋体" w:cs="宋体"/>
                <w:color w:val="000000"/>
                <w:sz w:val="18"/>
                <w:highlight w:val="none"/>
              </w:rPr>
            </w:r>
            <w:r/>
          </w:p>
        </w:tc>
        <w:tc>
          <w:tcPr>
            <w:tcMar>
              <w:left w:w="15" w:type="dxa"/>
              <w:top w:w="15" w:type="dxa"/>
              <w:right w:w="15" w:type="dxa"/>
              <w:bottom w:w="0" w:type="dxa"/>
            </w:tcMar>
            <w:tcW w:w="1050" w:type="dxa"/>
            <w:vAlign w:val="center"/>
            <w:textDirection w:val="lrTb"/>
            <w:noWrap/>
          </w:tcPr>
          <w:p>
            <w:pPr>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w:t>
            </w:r>
            <w:r/>
          </w:p>
        </w:tc>
        <w:tc>
          <w:tcPr>
            <w:tcMar>
              <w:left w:w="15" w:type="dxa"/>
              <w:top w:w="15" w:type="dxa"/>
              <w:right w:w="15" w:type="dxa"/>
              <w:bottom w:w="0" w:type="dxa"/>
            </w:tcMar>
            <w:tcW w:w="945" w:type="dxa"/>
            <w:vAlign w:val="center"/>
            <w:textDirection w:val="lrTb"/>
            <w:noWrap w:val="false"/>
          </w:tcPr>
          <w:p>
            <w:pPr>
              <w:pStyle w:val="767"/>
              <w:tabs>
                <w:tab w:val="clear" w:pos="4153" w:leader="none"/>
                <w:tab w:val="clear" w:pos="8306" w:leader="none"/>
              </w:tabs>
              <w:rPr>
                <w:rFonts w:hint="eastAsia" w:ascii="宋体" w:hAnsi="宋体" w:eastAsia="宋体" w:cs="宋体"/>
                <w:bCs/>
                <w:color w:val="000000"/>
                <w:highlight w:val="none"/>
              </w:rPr>
              <w:pBdr>
                <w:bottom w:val="none" w:color="auto" w:sz="0" w:space="0"/>
              </w:pBdr>
            </w:pPr>
            <w:r>
              <w:rPr>
                <w:rFonts w:hint="eastAsia" w:ascii="宋体" w:hAnsi="宋体" w:eastAsia="宋体" w:cs="宋体"/>
                <w:bCs/>
                <w:color w:val="000000"/>
                <w:highlight w:val="none"/>
              </w:rPr>
            </w:r>
            <w:r/>
          </w:p>
        </w:tc>
        <w:tc>
          <w:tcPr>
            <w:tcMar>
              <w:left w:w="15" w:type="dxa"/>
              <w:top w:w="15" w:type="dxa"/>
              <w:right w:w="15" w:type="dxa"/>
              <w:bottom w:w="0" w:type="dxa"/>
            </w:tcMar>
            <w:tcW w:w="3045" w:type="dxa"/>
            <w:vAlign w:val="center"/>
            <w:textDirection w:val="lrTb"/>
            <w:noWrap w:val="false"/>
          </w:tcPr>
          <w:p>
            <w:pPr>
              <w:jc w:val="center"/>
              <w:rPr>
                <w:rFonts w:hint="eastAsia" w:ascii="宋体" w:hAnsi="宋体" w:eastAsia="宋体" w:cs="宋体"/>
                <w:bCs/>
                <w:color w:val="000000"/>
                <w:sz w:val="18"/>
                <w:highlight w:val="none"/>
              </w:rPr>
            </w:pPr>
            <w:r>
              <w:rPr>
                <w:rFonts w:hint="eastAsia" w:ascii="宋体" w:hAnsi="宋体" w:eastAsia="宋体" w:cs="宋体"/>
                <w:bCs/>
                <w:color w:val="000000"/>
                <w:sz w:val="18"/>
                <w:highlight w:val="none"/>
              </w:rPr>
            </w:r>
            <w:r/>
          </w:p>
        </w:tc>
        <w:tc>
          <w:tcPr>
            <w:tcMar>
              <w:left w:w="15" w:type="dxa"/>
              <w:top w:w="15" w:type="dxa"/>
              <w:right w:w="15" w:type="dxa"/>
              <w:bottom w:w="0" w:type="dxa"/>
            </w:tcMar>
            <w:tcW w:w="599" w:type="dxa"/>
            <w:vAlign w:val="center"/>
            <w:textDirection w:val="lrTb"/>
            <w:noWrap w:val="false"/>
          </w:tcPr>
          <w:p>
            <w:pPr>
              <w:jc w:val="center"/>
              <w:rPr>
                <w:rFonts w:hint="eastAsia" w:ascii="宋体" w:hAnsi="宋体" w:eastAsia="宋体" w:cs="宋体"/>
                <w:b/>
                <w:bCs/>
                <w:color w:val="000000"/>
                <w:highlight w:val="none"/>
              </w:rPr>
            </w:pPr>
            <w:r>
              <w:rPr>
                <w:rFonts w:hint="eastAsia" w:ascii="宋体" w:hAnsi="宋体" w:eastAsia="宋体" w:cs="宋体"/>
                <w:b/>
                <w:bCs/>
                <w:color w:val="000000"/>
                <w:highlight w:val="none"/>
              </w:rPr>
            </w:r>
            <w:r/>
          </w:p>
        </w:tc>
        <w:tc>
          <w:tcPr>
            <w:tcW w:w="1276" w:type="dxa"/>
            <w:vAlign w:val="center"/>
            <w:textDirection w:val="lrTb"/>
            <w:noWrap w:val="false"/>
          </w:tcPr>
          <w:p>
            <w:pPr>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c>
          <w:tcPr>
            <w:tcMar>
              <w:left w:w="15" w:type="dxa"/>
              <w:top w:w="15" w:type="dxa"/>
              <w:right w:w="15" w:type="dxa"/>
              <w:bottom w:w="0" w:type="dxa"/>
            </w:tcMar>
            <w:tcW w:w="992" w:type="dxa"/>
            <w:vAlign w:val="center"/>
            <w:textDirection w:val="lrTb"/>
            <w:noWrap/>
          </w:tcPr>
          <w:p>
            <w:pPr>
              <w:jc w:val="center"/>
              <w:rPr>
                <w:rFonts w:hint="eastAsia" w:ascii="宋体" w:hAnsi="宋体" w:eastAsia="宋体" w:cs="宋体"/>
                <w:b/>
                <w:bCs/>
                <w:color w:val="000000"/>
                <w:highlight w:val="none"/>
              </w:rPr>
            </w:pPr>
            <w:r>
              <w:rPr>
                <w:rFonts w:hint="eastAsia" w:ascii="宋体" w:hAnsi="宋体" w:eastAsia="宋体" w:cs="宋体"/>
                <w:b/>
                <w:bCs/>
                <w:color w:val="000000"/>
                <w:highlight w:val="none"/>
              </w:rPr>
            </w:r>
            <w:r/>
          </w:p>
        </w:tc>
        <w:tc>
          <w:tcPr>
            <w:tcW w:w="709" w:type="dxa"/>
            <w:vAlign w:val="center"/>
            <w:textDirection w:val="lrTb"/>
            <w:noWrap w:val="false"/>
          </w:tcPr>
          <w:p>
            <w:pPr>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c>
          <w:tcPr>
            <w:tcW w:w="939" w:type="dxa"/>
            <w:vAlign w:val="center"/>
            <w:textDirection w:val="lrTb"/>
            <w:noWrap w:val="false"/>
          </w:tcPr>
          <w:p>
            <w:pPr>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r>
    </w:tbl>
    <w:p>
      <w:pPr>
        <w:spacing w:before="5" w:line="560" w:lineRule="atLeast"/>
        <w:rPr>
          <w:rFonts w:hint="eastAsia" w:ascii="宋体" w:hAnsi="宋体" w:eastAsia="宋体" w:cs="宋体"/>
          <w:b/>
          <w:bCs/>
          <w:color w:val="000000"/>
          <w:sz w:val="24"/>
          <w:szCs w:val="24"/>
          <w:highlight w:val="none"/>
        </w:rPr>
      </w:pPr>
      <w:r/>
      <w:bookmarkStart w:id="211" w:name="_Toc16687"/>
      <w:r>
        <w:rPr>
          <w:rFonts w:hint="eastAsia" w:ascii="宋体" w:hAnsi="宋体" w:eastAsia="宋体" w:cs="宋体"/>
          <w:b/>
          <w:bCs/>
          <w:color w:val="000000"/>
          <w:sz w:val="24"/>
          <w:szCs w:val="24"/>
          <w:highlight w:val="none"/>
        </w:rPr>
        <w:t xml:space="preserve">投标人名称（盖章）：</w:t>
      </w:r>
      <w:r/>
    </w:p>
    <w:p>
      <w:pPr>
        <w:spacing w:line="400" w:lineRule="exact"/>
        <w:rPr>
          <w:rFonts w:hint="eastAsia" w:ascii="宋体" w:hAnsi="宋体" w:eastAsia="宋体" w:cs="宋体"/>
          <w:b/>
          <w:highlight w:val="none"/>
        </w:rPr>
        <w:outlineLvl w:val="0"/>
      </w:pPr>
      <w:r>
        <w:rPr>
          <w:rFonts w:hint="eastAsia" w:ascii="宋体" w:hAnsi="宋体" w:eastAsia="宋体" w:cs="宋体"/>
          <w:b/>
          <w:highlight w:val="none"/>
        </w:rPr>
      </w:r>
      <w:r/>
    </w:p>
    <w:p>
      <w:pPr>
        <w:spacing w:line="400" w:lineRule="exact"/>
        <w:rPr>
          <w:rFonts w:hint="eastAsia" w:ascii="宋体" w:hAnsi="宋体" w:eastAsia="宋体" w:cs="宋体"/>
          <w:b/>
          <w:highlight w:val="none"/>
        </w:rPr>
        <w:outlineLvl w:val="0"/>
      </w:pPr>
      <w:r>
        <w:rPr>
          <w:rFonts w:hint="eastAsia" w:ascii="宋体" w:hAnsi="宋体" w:eastAsia="宋体" w:cs="宋体"/>
          <w:b/>
          <w:highlight w:val="none"/>
        </w:rPr>
      </w:r>
      <w:r/>
    </w:p>
    <w:p>
      <w:pPr>
        <w:spacing w:line="400" w:lineRule="exact"/>
        <w:rPr>
          <w:rFonts w:hint="eastAsia" w:ascii="宋体" w:hAnsi="宋体" w:eastAsia="宋体" w:cs="宋体"/>
          <w:b/>
          <w:highlight w:val="none"/>
        </w:rPr>
        <w:outlineLvl w:val="0"/>
      </w:pPr>
      <w:r>
        <w:rPr>
          <w:rFonts w:hint="eastAsia" w:ascii="宋体" w:hAnsi="宋体" w:eastAsia="宋体" w:cs="宋体"/>
          <w:b/>
          <w:highlight w:val="none"/>
        </w:rPr>
      </w:r>
      <w:r/>
    </w:p>
    <w:p>
      <w:pPr>
        <w:spacing w:line="400" w:lineRule="exact"/>
        <w:rPr>
          <w:rFonts w:hint="eastAsia" w:ascii="宋体" w:hAnsi="宋体" w:eastAsia="宋体" w:cs="宋体"/>
          <w:bCs/>
          <w:highlight w:val="none"/>
        </w:rPr>
        <w:outlineLvl w:val="0"/>
      </w:pPr>
      <w:r>
        <w:rPr>
          <w:rFonts w:hint="eastAsia" w:ascii="宋体" w:hAnsi="宋体" w:eastAsia="宋体" w:cs="宋体"/>
          <w:b/>
          <w:highlight w:val="none"/>
        </w:rPr>
        <w:t xml:space="preserve">注：</w:t>
      </w:r>
      <w:r>
        <w:rPr>
          <w:rFonts w:hint="eastAsia" w:ascii="宋体" w:hAnsi="宋体" w:eastAsia="宋体" w:cs="宋体"/>
          <w:bCs/>
          <w:highlight w:val="none"/>
        </w:rPr>
        <w:t xml:space="preserve">（1）投标</w:t>
      </w:r>
      <w:r>
        <w:rPr>
          <w:rFonts w:hint="eastAsia" w:ascii="宋体" w:hAnsi="宋体" w:eastAsia="宋体" w:cs="宋体"/>
          <w:bCs/>
          <w:highlight w:val="none"/>
          <w:lang w:eastAsia="zh-CN"/>
        </w:rPr>
        <w:t xml:space="preserve">人为</w:t>
      </w:r>
      <w:r>
        <w:rPr>
          <w:rFonts w:hint="eastAsia" w:ascii="宋体" w:hAnsi="宋体" w:eastAsia="宋体" w:cs="宋体"/>
          <w:bCs/>
          <w:highlight w:val="none"/>
        </w:rPr>
        <w:t xml:space="preserve">本项目提供的货物全部由符合政策要求的中小企业制造的，须提供按格式填写的《中小企业声明函》（货物）（《中小企业声明函》（货物）相应内容须与上表填列内容保持一致）；或提供由省级以上监狱管理局、戒毒管理局</w:t>
      </w:r>
      <w:r>
        <w:rPr>
          <w:rFonts w:hint="eastAsia" w:ascii="宋体" w:hAnsi="宋体" w:eastAsia="宋体" w:cs="宋体"/>
          <w:bCs/>
          <w:highlight w:val="none"/>
          <w:lang w:eastAsia="zh-CN"/>
        </w:rPr>
        <w:t xml:space="preserve">（</w:t>
      </w:r>
      <w:r>
        <w:rPr>
          <w:rFonts w:hint="eastAsia" w:ascii="宋体" w:hAnsi="宋体" w:eastAsia="宋体" w:cs="宋体"/>
          <w:bCs/>
          <w:highlight w:val="none"/>
        </w:rPr>
        <w:t xml:space="preserve">含新疆生产建设兵团</w:t>
      </w:r>
      <w:r>
        <w:rPr>
          <w:rFonts w:hint="eastAsia" w:ascii="宋体" w:hAnsi="宋体" w:eastAsia="宋体" w:cs="宋体"/>
          <w:bCs/>
          <w:highlight w:val="none"/>
          <w:lang w:eastAsia="zh-CN"/>
        </w:rPr>
        <w:t xml:space="preserve">）</w:t>
      </w:r>
      <w:r>
        <w:rPr>
          <w:rFonts w:hint="eastAsia" w:ascii="宋体" w:hAnsi="宋体" w:eastAsia="宋体" w:cs="宋体"/>
          <w:bCs/>
          <w:highlight w:val="none"/>
        </w:rPr>
        <w:t xml:space="preserve">出具的投标人属于监狱企业的证明文件复印件；或提供投标人《残疾人福利性单位声明函》。如未按要求填写和提供有效证明或相关内容表述不清的，不得享受价格扣除。投标人对所报相关数据的真实性负责，</w:t>
      </w:r>
      <w:r>
        <w:rPr>
          <w:rFonts w:hint="eastAsia" w:ascii="宋体" w:hAnsi="宋体" w:eastAsia="宋体" w:cs="宋体"/>
          <w:bCs/>
          <w:highlight w:val="none"/>
          <w:lang w:eastAsia="zh-CN"/>
        </w:rPr>
        <w:t xml:space="preserve">江苏建协全过程工程咨询有限公司</w:t>
      </w:r>
      <w:r>
        <w:rPr>
          <w:rFonts w:hint="eastAsia" w:ascii="宋体" w:hAnsi="宋体" w:eastAsia="宋体" w:cs="宋体"/>
          <w:bCs/>
          <w:highlight w:val="none"/>
        </w:rPr>
        <w:t xml:space="preserve">有权将相关内容进行公示；</w:t>
      </w:r>
      <w:bookmarkEnd w:id="211"/>
      <w:r/>
      <w:r/>
    </w:p>
    <w:p>
      <w:pPr>
        <w:ind w:firstLine="315"/>
        <w:spacing w:line="400" w:lineRule="exact"/>
        <w:rPr>
          <w:rFonts w:hint="eastAsia" w:ascii="宋体" w:hAnsi="宋体" w:eastAsia="宋体" w:cs="宋体"/>
          <w:bCs/>
          <w:highlight w:val="none"/>
        </w:rPr>
        <w:outlineLvl w:val="0"/>
      </w:pPr>
      <w:r/>
      <w:bookmarkStart w:id="212" w:name="_Toc9082"/>
      <w:r>
        <w:rPr>
          <w:rFonts w:hint="eastAsia" w:ascii="宋体" w:hAnsi="宋体" w:cs="宋体"/>
          <w:bCs/>
          <w:highlight w:val="none"/>
          <w:lang w:eastAsia="zh-CN"/>
        </w:rPr>
        <w:t xml:space="preserve">（2）</w:t>
      </w:r>
      <w:r>
        <w:rPr>
          <w:rFonts w:hint="eastAsia" w:ascii="宋体" w:hAnsi="宋体" w:eastAsia="宋体" w:cs="宋体"/>
          <w:bCs/>
          <w:highlight w:val="none"/>
        </w:rPr>
        <w:t xml:space="preserve">投标人应当根据“采购需求”的内容在上表中详细填写；</w:t>
      </w:r>
      <w:bookmarkEnd w:id="212"/>
      <w:r/>
      <w:r/>
    </w:p>
    <w:p>
      <w:pPr>
        <w:ind w:firstLine="315"/>
        <w:spacing w:line="400" w:lineRule="exact"/>
        <w:rPr>
          <w:rFonts w:hint="eastAsia" w:ascii="宋体" w:hAnsi="宋体" w:eastAsia="宋体" w:cs="宋体"/>
          <w:bCs/>
          <w:highlight w:val="none"/>
        </w:rPr>
        <w:outlineLvl w:val="0"/>
      </w:pPr>
      <w:r/>
      <w:bookmarkStart w:id="213" w:name="_Toc32706"/>
      <w:r>
        <w:rPr>
          <w:rFonts w:hint="eastAsia" w:ascii="宋体" w:hAnsi="宋体" w:cs="宋体"/>
          <w:bCs/>
          <w:highlight w:val="none"/>
          <w:lang w:eastAsia="zh-CN"/>
        </w:rPr>
        <w:t xml:space="preserve">（3）</w:t>
      </w:r>
      <w:r>
        <w:rPr>
          <w:rFonts w:hint="eastAsia" w:ascii="宋体" w:hAnsi="宋体" w:eastAsia="宋体" w:cs="宋体"/>
          <w:bCs/>
          <w:highlight w:val="none"/>
        </w:rPr>
        <w:t xml:space="preserve">表格不够可自行延长。</w:t>
      </w:r>
      <w:bookmarkEnd w:id="213"/>
      <w:r/>
      <w:r/>
    </w:p>
    <w:p>
      <w:pPr>
        <w:jc w:val="center"/>
        <w:spacing w:line="360" w:lineRule="auto"/>
        <w:rPr>
          <w:rFonts w:hAnsi="宋体"/>
          <w:b/>
          <w:color w:val="auto"/>
          <w:sz w:val="24"/>
          <w:szCs w:val="24"/>
          <w:highlight w:val="none"/>
        </w:rPr>
        <w:sectPr>
          <w:footnotePr/>
          <w:endnotePr/>
          <w:type w:val="nextPage"/>
          <w:pgSz w:w="11906" w:h="16838" w:orient="portrait"/>
          <w:pgMar w:top="1440" w:right="1080" w:bottom="1440" w:left="1080" w:header="851" w:footer="907" w:gutter="0"/>
          <w:cols w:num="1" w:sep="0" w:space="720" w:equalWidth="1"/>
          <w:docGrid w:linePitch="360"/>
          <w:titlePg/>
        </w:sectPr>
        <w:outlineLvl w:val="0"/>
      </w:pPr>
      <w:r>
        <w:rPr>
          <w:rFonts w:hAnsi="宋体"/>
          <w:b/>
          <w:color w:val="auto"/>
          <w:sz w:val="24"/>
          <w:szCs w:val="24"/>
          <w:highlight w:val="none"/>
        </w:rPr>
      </w:r>
      <w:bookmarkEnd w:id="204"/>
      <w:bookmarkEnd w:id="205"/>
      <w:bookmarkEnd w:id="206"/>
      <w:r/>
    </w:p>
    <w:p>
      <w:pPr>
        <w:numPr>
          <w:ilvl w:val="0"/>
          <w:numId w:val="12"/>
        </w:numPr>
        <w:jc w:val="center"/>
        <w:pageBreakBefore w:val="0"/>
        <w:spacing w:line="360" w:lineRule="auto"/>
        <w:rPr>
          <w:rFonts w:hint="eastAsia" w:ascii="宋体" w:hAnsi="宋体" w:eastAsia="宋体" w:cs="宋体"/>
          <w:b/>
          <w:color w:val="auto"/>
          <w:sz w:val="30"/>
          <w:szCs w:val="30"/>
          <w:highlight w:val="none"/>
          <w:lang w:val="en-US" w:eastAsia="zh-CN"/>
        </w:rPr>
      </w:pPr>
      <w:r/>
      <w:bookmarkStart w:id="214" w:name="_Toc120614284"/>
      <w:r>
        <w:rPr>
          <w:rFonts w:hint="eastAsia" w:ascii="宋体" w:hAnsi="宋体" w:eastAsia="宋体" w:cs="宋体"/>
          <w:b/>
          <w:color w:val="auto"/>
          <w:sz w:val="30"/>
          <w:szCs w:val="30"/>
          <w:highlight w:val="none"/>
          <w:lang w:val="en-US" w:eastAsia="zh-CN"/>
        </w:rPr>
        <w:t xml:space="preserve">投标偏离表（给定格式）：</w:t>
      </w:r>
      <w:r/>
    </w:p>
    <w:p>
      <w:pPr>
        <w:ind w:firstLine="490"/>
        <w:jc w:val="center"/>
        <w:pageBreakBefore w:val="0"/>
        <w:spacing w:line="360" w:lineRule="auto"/>
        <w:rPr>
          <w:rFonts w:hint="eastAsia" w:ascii="宋体" w:hAnsi="宋体" w:eastAsia="宋体" w:cs="宋体"/>
          <w:bCs/>
          <w:color w:val="auto"/>
          <w:sz w:val="28"/>
          <w:szCs w:val="28"/>
          <w:highlight w:val="none"/>
        </w:rPr>
        <w:outlineLvl w:val="9"/>
      </w:pPr>
      <w:r>
        <w:rPr>
          <w:rFonts w:hint="eastAsia" w:ascii="宋体" w:hAnsi="宋体" w:eastAsia="宋体" w:cs="宋体"/>
          <w:bCs/>
          <w:color w:val="auto"/>
          <w:sz w:val="28"/>
          <w:szCs w:val="28"/>
          <w:highlight w:val="none"/>
        </w:rPr>
      </w:r>
      <w:r/>
    </w:p>
    <w:p>
      <w:pPr>
        <w:ind w:firstLine="490"/>
        <w:jc w:val="center"/>
        <w:pageBreakBefore w:val="0"/>
        <w:spacing w:line="360" w:lineRule="auto"/>
        <w:rPr>
          <w:rFonts w:hint="eastAsia" w:ascii="宋体" w:hAnsi="宋体" w:eastAsia="宋体" w:cs="宋体"/>
          <w:bCs/>
          <w:color w:val="auto"/>
          <w:sz w:val="28"/>
          <w:szCs w:val="28"/>
          <w:highlight w:val="none"/>
        </w:rPr>
        <w:outlineLvl w:val="0"/>
      </w:pPr>
      <w:r/>
      <w:bookmarkStart w:id="215" w:name="_Toc19104"/>
      <w:r>
        <w:rPr>
          <w:rFonts w:hint="eastAsia" w:ascii="宋体" w:hAnsi="宋体" w:eastAsia="宋体" w:cs="宋体"/>
          <w:bCs/>
          <w:color w:val="auto"/>
          <w:sz w:val="28"/>
          <w:szCs w:val="28"/>
          <w:highlight w:val="none"/>
        </w:rPr>
        <w:t xml:space="preserve">投标偏离表</w:t>
      </w:r>
      <w:bookmarkEnd w:id="215"/>
      <w:r/>
      <w:r/>
    </w:p>
    <w:p>
      <w:pPr>
        <w:jc w:val="left"/>
        <w:pageBreakBefore w:val="0"/>
        <w:spacing w:line="36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项目编号：</w:t>
      </w:r>
      <w:r>
        <w:rPr>
          <w:rFonts w:hint="eastAsia" w:ascii="宋体" w:hAnsi="宋体" w:cs="宋体"/>
          <w:color w:val="auto"/>
          <w:sz w:val="24"/>
          <w:szCs w:val="24"/>
          <w:highlight w:val="none"/>
          <w:shd w:val="clear" w:color="auto" w:fill="ffffff"/>
          <w:lang w:eastAsia="zh-CN"/>
        </w:rPr>
        <w:t xml:space="preserve">JSZC-320200-JXCG-G2026-0018</w:t>
      </w:r>
      <w:r/>
    </w:p>
    <w:p>
      <w:pPr>
        <w:jc w:val="both"/>
        <w:pageBreakBefore w:val="0"/>
        <w:spacing w:line="360" w:lineRule="auto"/>
        <w:rPr>
          <w:rFonts w:hint="eastAsia" w:ascii="宋体" w:hAnsi="宋体" w:eastAsia="宋体" w:cs="宋体"/>
          <w:bCs/>
          <w:color w:val="auto"/>
          <w:sz w:val="28"/>
          <w:szCs w:val="28"/>
          <w:highlight w:val="none"/>
        </w:rPr>
        <w:outlineLvl w:val="9"/>
      </w:pPr>
      <w:r>
        <w:rPr>
          <w:rFonts w:hint="eastAsia" w:ascii="宋体" w:hAnsi="宋体" w:eastAsia="宋体" w:cs="宋体"/>
          <w:bCs/>
          <w:color w:val="auto"/>
          <w:sz w:val="28"/>
          <w:szCs w:val="28"/>
          <w:highlight w:val="none"/>
        </w:rPr>
      </w:r>
      <w:r/>
    </w:p>
    <w:tbl>
      <w:tblPr>
        <w:tblStyle w:val="745"/>
        <w:tblW w:w="9885" w:type="dxa"/>
        <w:jc w:val="center"/>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tcPr>
          <w:p>
            <w:pPr>
              <w:jc w:val="center"/>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名称</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采购要求</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实报内容</w:t>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jc w:val="center"/>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偏离说明</w:t>
            </w:r>
            <w:r/>
          </w:p>
        </w:tc>
      </w:tr>
      <w:tr>
        <w:trPr>
          <w:cantSplit/>
          <w:jc w:val="center"/>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tcPr>
          <w:p>
            <w:pPr>
              <w:jc w:val="center"/>
              <w:pageBreakBefore w:val="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pageBreakBefore w:val="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pageBreakBefore w:val="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jc w:val="center"/>
              <w:pageBreakBefore w:val="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r>
            <w:r/>
          </w:p>
        </w:tc>
      </w:tr>
    </w:tbl>
    <w:p>
      <w:pPr>
        <w:jc w:val="right"/>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Cs/>
          <w:color w:val="auto"/>
          <w:sz w:val="24"/>
          <w:szCs w:val="24"/>
          <w:highlight w:val="none"/>
        </w:rPr>
        <w:t xml:space="preserve">投标人名称（盖章）：</w:t>
      </w:r>
      <w:r/>
    </w:p>
    <w:p>
      <w:pPr>
        <w:pageBreakBefore w:val="0"/>
        <w:spacing w:line="360" w:lineRule="auto"/>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ind w:firstLine="420"/>
        <w:pageBreakBefore w:val="0"/>
        <w:spacing w:line="360" w:lineRule="auto"/>
        <w:rPr>
          <w:rFonts w:hint="eastAsia" w:ascii="宋体" w:hAnsi="宋体" w:eastAsia="宋体" w:cs="宋体"/>
          <w:bCs/>
          <w:color w:val="auto"/>
          <w:sz w:val="24"/>
          <w:szCs w:val="24"/>
          <w:highlight w:val="none"/>
        </w:rPr>
        <w:outlineLvl w:val="0"/>
      </w:pPr>
      <w:r/>
      <w:bookmarkStart w:id="216" w:name="_Toc20309"/>
      <w:r>
        <w:rPr>
          <w:rFonts w:hint="eastAsia" w:ascii="宋体" w:hAnsi="宋体" w:eastAsia="宋体" w:cs="宋体"/>
          <w:bCs/>
          <w:color w:val="auto"/>
          <w:sz w:val="24"/>
          <w:szCs w:val="24"/>
          <w:highlight w:val="none"/>
        </w:rPr>
        <w:t xml:space="preserve">注：（1）本表不得删除；</w:t>
      </w:r>
      <w:bookmarkEnd w:id="216"/>
      <w:r/>
      <w:r/>
    </w:p>
    <w:p>
      <w:pPr>
        <w:ind w:firstLine="420"/>
        <w:pageBreakBefore w:val="0"/>
        <w:spacing w:line="360" w:lineRule="auto"/>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   </w:t>
      </w:r>
      <w:bookmarkStart w:id="217" w:name="_Toc17406"/>
      <w:r>
        <w:rPr>
          <w:rFonts w:hint="eastAsia" w:ascii="宋体" w:hAnsi="宋体" w:eastAsia="宋体" w:cs="宋体"/>
          <w:bCs/>
          <w:color w:val="auto"/>
          <w:sz w:val="24"/>
          <w:szCs w:val="24"/>
          <w:highlight w:val="none"/>
          <w:lang w:eastAsia="zh-CN"/>
        </w:rPr>
        <w:t xml:space="preserve">（2）</w:t>
      </w:r>
      <w:r>
        <w:rPr>
          <w:rFonts w:hint="eastAsia" w:ascii="宋体" w:hAnsi="宋体" w:eastAsia="宋体" w:cs="宋体"/>
          <w:bCs/>
          <w:color w:val="auto"/>
          <w:sz w:val="24"/>
          <w:szCs w:val="24"/>
          <w:highlight w:val="none"/>
        </w:rPr>
        <w:t xml:space="preserve">如无任何技术偏离，请于本表 “偏离说明”中注明“无偏离”；</w:t>
      </w:r>
      <w:bookmarkEnd w:id="217"/>
      <w:r/>
      <w:r/>
    </w:p>
    <w:p>
      <w:pPr>
        <w:ind w:firstLine="420"/>
        <w:pageBreakBefore w:val="0"/>
        <w:spacing w:line="360" w:lineRule="auto"/>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   </w:t>
      </w:r>
      <w:bookmarkStart w:id="218" w:name="_Toc1430"/>
      <w:r>
        <w:rPr>
          <w:rFonts w:hint="eastAsia" w:ascii="宋体" w:hAnsi="宋体" w:eastAsia="宋体" w:cs="宋体"/>
          <w:bCs/>
          <w:color w:val="auto"/>
          <w:sz w:val="24"/>
          <w:szCs w:val="24"/>
          <w:highlight w:val="none"/>
          <w:lang w:eastAsia="zh-CN"/>
        </w:rPr>
        <w:t xml:space="preserve">（3）</w:t>
      </w:r>
      <w:r>
        <w:rPr>
          <w:rFonts w:hint="eastAsia" w:ascii="宋体" w:hAnsi="宋体" w:eastAsia="宋体" w:cs="宋体"/>
          <w:bCs/>
          <w:color w:val="auto"/>
          <w:sz w:val="24"/>
          <w:szCs w:val="24"/>
          <w:highlight w:val="none"/>
        </w:rPr>
        <w:t xml:space="preserve">如有技术偏离项，请于本表中列明偏离内容，如需要可自行延长，其余无偏离内容</w:t>
      </w:r>
      <w:r>
        <w:rPr>
          <w:rFonts w:hint="eastAsia" w:ascii="宋体" w:hAnsi="宋体" w:eastAsia="宋体" w:cs="宋体"/>
          <w:bCs/>
          <w:color w:val="auto"/>
          <w:sz w:val="24"/>
          <w:szCs w:val="24"/>
          <w:highlight w:val="none"/>
          <w:lang w:eastAsia="zh-CN"/>
        </w:rPr>
        <w:t xml:space="preserve">无需</w:t>
      </w:r>
      <w:r>
        <w:rPr>
          <w:rFonts w:hint="eastAsia" w:ascii="宋体" w:hAnsi="宋体" w:eastAsia="宋体" w:cs="宋体"/>
          <w:bCs/>
          <w:color w:val="auto"/>
          <w:sz w:val="24"/>
          <w:szCs w:val="24"/>
          <w:highlight w:val="none"/>
        </w:rPr>
        <w:t xml:space="preserve">赘述。</w:t>
      </w:r>
      <w:bookmarkEnd w:id="189"/>
      <w:r/>
      <w:bookmarkEnd w:id="190"/>
      <w:r/>
      <w:bookmarkEnd w:id="214"/>
      <w:r/>
      <w:bookmarkEnd w:id="218"/>
      <w:r/>
      <w:bookmarkStart w:id="219" w:name="_Hlt26671374"/>
      <w:r/>
      <w:bookmarkEnd w:id="219"/>
      <w:r/>
      <w:bookmarkStart w:id="220" w:name="_格式2__法定代表人授权书"/>
      <w:r/>
      <w:bookmarkEnd w:id="220"/>
      <w:r/>
      <w:bookmarkStart w:id="221" w:name="_Hlt26955066"/>
      <w:r/>
      <w:bookmarkEnd w:id="221"/>
      <w:r/>
      <w:bookmarkStart w:id="222" w:name="_Hlt26609389"/>
      <w:r/>
      <w:bookmarkEnd w:id="222"/>
      <w:r/>
      <w:r/>
    </w:p>
    <w:p>
      <w:pPr>
        <w:ind w:firstLine="420"/>
        <w:pageBreakBefore w:val="0"/>
        <w:spacing w:line="36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r>
      <w:r/>
    </w:p>
    <w:p>
      <w:pPr>
        <w:ind w:firstLine="420"/>
        <w:pageBreakBefore w:val="0"/>
        <w:spacing w:line="36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r>
      <w:r/>
    </w:p>
    <w:p>
      <w:pPr>
        <w:pageBreakBefore w:val="0"/>
        <w:spacing w:line="360" w:lineRule="auto"/>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pageBreakBefore w:val="0"/>
        <w:spacing w:line="360" w:lineRule="auto"/>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pageBreakBefore w:val="0"/>
        <w:spacing w:line="360" w:lineRule="auto"/>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pageBreakBefore w:val="0"/>
        <w:spacing w:line="360" w:lineRule="auto"/>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pageBreakBefore w:val="0"/>
        <w:spacing w:line="360" w:lineRule="auto"/>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pageBreakBefore w:val="0"/>
        <w:spacing w:line="360" w:lineRule="auto"/>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pageBreakBefore w:val="0"/>
        <w:spacing w:line="360" w:lineRule="auto"/>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pageBreakBefore w:val="0"/>
        <w:spacing w:line="360" w:lineRule="auto"/>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pageBreakBefore w:val="0"/>
        <w:spacing w:line="360" w:lineRule="auto"/>
        <w:rPr>
          <w:rFonts w:hint="eastAsia" w:ascii="宋体" w:hAnsi="宋体" w:eastAsia="宋体" w:cs="宋体"/>
          <w:b/>
          <w:color w:val="auto"/>
          <w:sz w:val="30"/>
          <w:szCs w:val="30"/>
          <w:highlight w:val="none"/>
        </w:rPr>
        <w:outlineLvl w:val="0"/>
      </w:pPr>
      <w:r/>
      <w:bookmarkStart w:id="223" w:name="_Toc10817"/>
      <w:r/>
      <w:r/>
    </w:p>
    <w:p>
      <w:pPr>
        <w:numPr>
          <w:ilvl w:val="0"/>
          <w:numId w:val="12"/>
        </w:numPr>
        <w:jc w:val="center"/>
        <w:pageBreakBefore w:val="0"/>
        <w:spacing w:line="360" w:lineRule="auto"/>
        <w:rPr>
          <w:rFonts w:hint="eastAsia" w:ascii="宋体" w:hAnsi="宋体" w:eastAsia="宋体" w:cs="宋体"/>
          <w:b/>
          <w:color w:val="auto"/>
          <w:sz w:val="30"/>
          <w:szCs w:val="30"/>
          <w:highlight w:val="none"/>
          <w:lang w:val="en-US" w:eastAsia="zh-CN"/>
        </w:rPr>
      </w:pPr>
      <w:r>
        <w:rPr>
          <w:rFonts w:hint="eastAsia" w:ascii="宋体" w:hAnsi="宋体" w:eastAsia="宋体" w:cs="宋体"/>
          <w:b/>
          <w:color w:val="auto"/>
          <w:sz w:val="30"/>
          <w:szCs w:val="30"/>
          <w:highlight w:val="none"/>
          <w:lang w:val="en-US" w:eastAsia="zh-CN"/>
        </w:rPr>
        <w:t xml:space="preserve">项目人员配置清单（格式）</w:t>
      </w:r>
      <w:bookmarkEnd w:id="223"/>
      <w:r/>
      <w:r/>
    </w:p>
    <w:p>
      <w:pPr>
        <w:pageBreakBefore w:val="0"/>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jc w:val="center"/>
        <w:pageBreakBefore w:val="0"/>
        <w:spacing w:line="360" w:lineRule="auto"/>
        <w:rPr>
          <w:rFonts w:hint="eastAsia" w:ascii="宋体" w:hAnsi="宋体" w:eastAsia="宋体" w:cs="宋体"/>
          <w:bCs/>
          <w:color w:val="auto"/>
          <w:sz w:val="28"/>
          <w:szCs w:val="28"/>
          <w:highlight w:val="none"/>
        </w:rPr>
        <w:outlineLvl w:val="0"/>
      </w:pPr>
      <w:r/>
      <w:bookmarkStart w:id="224" w:name="_Toc26456"/>
      <w:r>
        <w:rPr>
          <w:rFonts w:hint="eastAsia" w:ascii="宋体" w:hAnsi="宋体" w:eastAsia="宋体" w:cs="宋体"/>
          <w:bCs/>
          <w:color w:val="auto"/>
          <w:sz w:val="28"/>
          <w:szCs w:val="28"/>
          <w:highlight w:val="none"/>
        </w:rPr>
        <w:t xml:space="preserve">项目人员配置清单</w:t>
      </w:r>
      <w:bookmarkEnd w:id="224"/>
      <w:r/>
      <w:r/>
    </w:p>
    <w:p>
      <w:pPr>
        <w:jc w:val="center"/>
        <w:pageBreakBefore w:val="0"/>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项目编号：</w:t>
      </w:r>
      <w:r>
        <w:rPr>
          <w:rFonts w:hint="eastAsia" w:ascii="宋体" w:hAnsi="宋体" w:cs="宋体"/>
          <w:color w:val="auto"/>
          <w:sz w:val="24"/>
          <w:szCs w:val="24"/>
          <w:highlight w:val="none"/>
          <w:shd w:val="clear" w:color="auto" w:fill="ffffff"/>
          <w:lang w:eastAsia="zh-CN"/>
        </w:rPr>
        <w:t xml:space="preserve">JSZC-320200-JXCG-G2026-0018</w:t>
      </w:r>
      <w:r/>
    </w:p>
    <w:tbl>
      <w:tblPr>
        <w:tblStyle w:val="953"/>
        <w:tblW w:w="9958"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40"/>
        <w:gridCol w:w="1343"/>
        <w:gridCol w:w="1343"/>
        <w:gridCol w:w="2734"/>
        <w:gridCol w:w="3198"/>
      </w:tblGrid>
      <w:tr>
        <w:trPr>
          <w:jc w:val="center"/>
          <w:trHeight w:val="0"/>
          <w:tblHeader/>
        </w:trPr>
        <w:tc>
          <w:tcPr>
            <w:tcBorders>
              <w:top w:val="single" w:color="auto" w:sz="12" w:space="0"/>
            </w:tcBorders>
            <w:tcW w:w="0" w:type="auto"/>
            <w:vAlign w:val="center"/>
            <w:textDirection w:val="lrTb"/>
            <w:noWrap w:val="false"/>
          </w:tcPr>
          <w:p>
            <w:pPr>
              <w:ind w:left="0" w:right="0" w:firstLine="0"/>
              <w:jc w:val="center"/>
              <w:rPr>
                <w:rFonts w:hint="eastAsia" w:ascii="宋体" w:hAnsi="宋体" w:eastAsia="宋体" w:cs="宋体"/>
                <w:b/>
                <w:color w:val="auto"/>
                <w:sz w:val="24"/>
                <w:highlight w:val="none"/>
              </w:rPr>
            </w:pPr>
            <w:r>
              <w:rPr>
                <w:rFonts w:hint="eastAsia" w:ascii="宋体" w:hAnsi="宋体" w:eastAsia="宋体" w:cs="宋体"/>
                <w:b/>
                <w:color w:val="000000"/>
                <w:sz w:val="24"/>
                <w:highlight w:val="none"/>
              </w:rPr>
              <w:t xml:space="preserve">序号</w:t>
            </w:r>
            <w:r/>
          </w:p>
        </w:tc>
        <w:tc>
          <w:tcPr>
            <w:tcBorders>
              <w:top w:val="single" w:color="auto" w:sz="12" w:space="0"/>
            </w:tcBorders>
            <w:tcW w:w="0" w:type="auto"/>
            <w:vAlign w:val="center"/>
            <w:textDirection w:val="lrTb"/>
            <w:noWrap w:val="false"/>
          </w:tcPr>
          <w:p>
            <w:pPr>
              <w:ind w:left="0" w:right="0" w:firstLine="0"/>
              <w:jc w:val="center"/>
              <w:rPr>
                <w:rFonts w:hint="eastAsia" w:ascii="宋体" w:hAnsi="宋体" w:eastAsia="宋体" w:cs="宋体"/>
                <w:b/>
                <w:color w:val="auto"/>
                <w:sz w:val="24"/>
                <w:highlight w:val="none"/>
              </w:rPr>
            </w:pPr>
            <w:r>
              <w:rPr>
                <w:rFonts w:hint="eastAsia" w:ascii="宋体" w:hAnsi="宋体" w:eastAsia="宋体" w:cs="宋体"/>
                <w:b/>
                <w:color w:val="000000"/>
                <w:sz w:val="24"/>
                <w:highlight w:val="none"/>
              </w:rPr>
              <w:t xml:space="preserve">姓名</w:t>
            </w:r>
            <w:r/>
          </w:p>
        </w:tc>
        <w:tc>
          <w:tcPr>
            <w:tcBorders>
              <w:top w:val="single" w:color="auto" w:sz="12" w:space="0"/>
            </w:tcBorders>
            <w:tcW w:w="0" w:type="auto"/>
            <w:vAlign w:val="center"/>
            <w:textDirection w:val="lrTb"/>
            <w:noWrap w:val="false"/>
          </w:tcPr>
          <w:p>
            <w:pPr>
              <w:ind w:left="0" w:right="0" w:firstLine="0"/>
              <w:jc w:val="center"/>
              <w:rPr>
                <w:rFonts w:hint="eastAsia" w:ascii="宋体" w:hAnsi="宋体" w:eastAsia="宋体" w:cs="宋体"/>
                <w:b/>
                <w:color w:val="auto"/>
                <w:sz w:val="24"/>
                <w:highlight w:val="none"/>
              </w:rPr>
            </w:pPr>
            <w:r>
              <w:rPr>
                <w:rFonts w:hint="eastAsia" w:ascii="宋体" w:hAnsi="宋体" w:eastAsia="宋体" w:cs="宋体"/>
                <w:b/>
                <w:color w:val="000000"/>
                <w:sz w:val="24"/>
                <w:highlight w:val="none"/>
              </w:rPr>
              <w:t xml:space="preserve">年龄</w:t>
            </w:r>
            <w:r/>
          </w:p>
        </w:tc>
        <w:tc>
          <w:tcPr>
            <w:tcBorders>
              <w:top w:val="single" w:color="auto" w:sz="12" w:space="0"/>
            </w:tcBorders>
            <w:tcW w:w="0" w:type="auto"/>
            <w:vAlign w:val="center"/>
            <w:textDirection w:val="lrTb"/>
            <w:noWrap w:val="false"/>
          </w:tcPr>
          <w:p>
            <w:pPr>
              <w:ind w:left="0" w:right="0" w:firstLine="0"/>
              <w:jc w:val="center"/>
              <w:rPr>
                <w:rFonts w:hint="eastAsia" w:ascii="宋体" w:hAnsi="宋体" w:eastAsia="宋体" w:cs="宋体"/>
                <w:b/>
                <w:color w:val="auto"/>
                <w:sz w:val="24"/>
                <w:highlight w:val="none"/>
              </w:rPr>
            </w:pPr>
            <w:r>
              <w:rPr>
                <w:rFonts w:hint="eastAsia" w:ascii="宋体" w:hAnsi="宋体" w:eastAsia="宋体" w:cs="宋体"/>
                <w:b/>
                <w:color w:val="000000"/>
                <w:sz w:val="24"/>
                <w:highlight w:val="none"/>
              </w:rPr>
              <w:t xml:space="preserve">本项目职责</w:t>
            </w:r>
            <w:r/>
          </w:p>
        </w:tc>
        <w:tc>
          <w:tcPr>
            <w:tcBorders>
              <w:top w:val="single" w:color="auto" w:sz="12" w:space="0"/>
            </w:tcBorders>
            <w:tcW w:w="3198" w:type="dxa"/>
            <w:vAlign w:val="center"/>
            <w:textDirection w:val="lrTb"/>
            <w:noWrap w:val="false"/>
          </w:tcPr>
          <w:p>
            <w:pPr>
              <w:ind w:left="0" w:right="0" w:firstLine="0"/>
              <w:jc w:val="center"/>
              <w:rPr>
                <w:rFonts w:hint="eastAsia" w:ascii="宋体" w:hAnsi="宋体" w:eastAsia="宋体" w:cs="宋体"/>
                <w:b/>
                <w:color w:val="auto"/>
                <w:sz w:val="24"/>
                <w:highlight w:val="none"/>
              </w:rPr>
            </w:pPr>
            <w:r>
              <w:rPr>
                <w:rFonts w:hint="eastAsia" w:ascii="宋体" w:hAnsi="宋体" w:eastAsia="宋体" w:cs="宋体"/>
                <w:b/>
                <w:color w:val="000000"/>
                <w:sz w:val="24"/>
                <w:highlight w:val="none"/>
              </w:rPr>
              <w:t xml:space="preserve">人员证书名称</w:t>
            </w:r>
            <w:r/>
          </w:p>
        </w:tc>
      </w:tr>
      <w:tr>
        <w:trPr>
          <w:jc w:val="center"/>
          <w:trHeight w:val="0"/>
        </w:trPr>
        <w:tc>
          <w:tcPr>
            <w:tcW w:w="0" w:type="auto"/>
            <w:vAlign w:val="center"/>
            <w:textDirection w:val="lrTb"/>
            <w:noWrap w:val="false"/>
          </w:tcPr>
          <w:p>
            <w:pPr>
              <w:ind w:left="0" w:right="0" w:firstLine="0"/>
              <w:jc w:val="center"/>
              <w:pageBreakBefore w:val="0"/>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0" w:type="auto"/>
            <w:vAlign w:val="center"/>
            <w:textDirection w:val="lrTb"/>
            <w:noWrap w:val="false"/>
          </w:tcPr>
          <w:p>
            <w:pPr>
              <w:ind w:left="0" w:right="0" w:firstLine="0"/>
              <w:jc w:val="center"/>
              <w:pageBreakBefore w:val="0"/>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0" w:type="auto"/>
            <w:vAlign w:val="center"/>
            <w:textDirection w:val="lrTb"/>
            <w:noWrap w:val="false"/>
          </w:tcPr>
          <w:p>
            <w:pPr>
              <w:ind w:left="0" w:right="0" w:firstLine="0"/>
              <w:jc w:val="center"/>
              <w:pageBreakBefore w:val="0"/>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0" w:type="auto"/>
            <w:vAlign w:val="center"/>
            <w:textDirection w:val="lrTb"/>
            <w:noWrap w:val="false"/>
          </w:tcPr>
          <w:p>
            <w:pPr>
              <w:ind w:left="0" w:right="0" w:firstLine="0"/>
              <w:jc w:val="center"/>
              <w:pageBreakBefore w:val="0"/>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3198" w:type="dxa"/>
            <w:vAlign w:val="center"/>
            <w:textDirection w:val="lrTb"/>
            <w:noWrap w:val="false"/>
          </w:tcPr>
          <w:p>
            <w:pPr>
              <w:ind w:left="0" w:right="0" w:firstLine="0"/>
              <w:jc w:val="center"/>
              <w:pageBreakBefore w:val="0"/>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0"/>
        </w:trPr>
        <w:tc>
          <w:tcPr>
            <w:tcW w:w="0" w:type="auto"/>
            <w:vAlign w:val="center"/>
            <w:textDirection w:val="lrTb"/>
            <w:noWrap w:val="false"/>
          </w:tcPr>
          <w:p>
            <w:pPr>
              <w:ind w:left="0" w:right="0" w:firstLine="0"/>
              <w:jc w:val="center"/>
              <w:pageBreakBefore w:val="0"/>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0" w:type="auto"/>
            <w:vAlign w:val="center"/>
            <w:textDirection w:val="lrTb"/>
            <w:noWrap w:val="false"/>
          </w:tcPr>
          <w:p>
            <w:pPr>
              <w:ind w:left="0" w:right="0" w:firstLine="0"/>
              <w:jc w:val="center"/>
              <w:pageBreakBefore w:val="0"/>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0" w:type="auto"/>
            <w:vAlign w:val="center"/>
            <w:textDirection w:val="lrTb"/>
            <w:noWrap w:val="false"/>
          </w:tcPr>
          <w:p>
            <w:pPr>
              <w:ind w:left="0" w:right="0" w:firstLine="0"/>
              <w:jc w:val="center"/>
              <w:pageBreakBefore w:val="0"/>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0" w:type="auto"/>
            <w:vAlign w:val="center"/>
            <w:textDirection w:val="lrTb"/>
            <w:noWrap w:val="false"/>
          </w:tcPr>
          <w:p>
            <w:pPr>
              <w:ind w:left="0" w:right="0" w:firstLine="0"/>
              <w:jc w:val="center"/>
              <w:pageBreakBefore w:val="0"/>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3198" w:type="dxa"/>
            <w:vAlign w:val="center"/>
            <w:textDirection w:val="lrTb"/>
            <w:noWrap w:val="false"/>
          </w:tcPr>
          <w:p>
            <w:pPr>
              <w:ind w:left="0" w:right="0" w:firstLine="0"/>
              <w:jc w:val="center"/>
              <w:pageBreakBefore w:val="0"/>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0"/>
        </w:trPr>
        <w:tc>
          <w:tcPr>
            <w:tcW w:w="0" w:type="auto"/>
            <w:vAlign w:val="center"/>
            <w:textDirection w:val="lrTb"/>
            <w:noWrap w:val="false"/>
          </w:tcPr>
          <w:p>
            <w:pPr>
              <w:ind w:left="0" w:right="0" w:firstLine="0"/>
              <w:jc w:val="center"/>
              <w:pageBreakBefore w:val="0"/>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0" w:type="auto"/>
            <w:vAlign w:val="center"/>
            <w:textDirection w:val="lrTb"/>
            <w:noWrap w:val="false"/>
          </w:tcPr>
          <w:p>
            <w:pPr>
              <w:ind w:left="0" w:right="0" w:firstLine="0"/>
              <w:jc w:val="center"/>
              <w:pageBreakBefore w:val="0"/>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0" w:type="auto"/>
            <w:vAlign w:val="center"/>
            <w:textDirection w:val="lrTb"/>
            <w:noWrap w:val="false"/>
          </w:tcPr>
          <w:p>
            <w:pPr>
              <w:ind w:left="0" w:right="0" w:firstLine="0"/>
              <w:jc w:val="center"/>
              <w:pageBreakBefore w:val="0"/>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0" w:type="auto"/>
            <w:vAlign w:val="center"/>
            <w:textDirection w:val="lrTb"/>
            <w:noWrap w:val="false"/>
          </w:tcPr>
          <w:p>
            <w:pPr>
              <w:ind w:left="0" w:right="0" w:firstLine="0"/>
              <w:jc w:val="center"/>
              <w:pageBreakBefore w:val="0"/>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3198" w:type="dxa"/>
            <w:vAlign w:val="center"/>
            <w:textDirection w:val="lrTb"/>
            <w:noWrap w:val="false"/>
          </w:tcPr>
          <w:p>
            <w:pPr>
              <w:ind w:left="0" w:right="0" w:firstLine="0"/>
              <w:jc w:val="center"/>
              <w:pageBreakBefore w:val="0"/>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0"/>
        </w:trPr>
        <w:tc>
          <w:tcPr>
            <w:tcW w:w="0" w:type="auto"/>
            <w:vAlign w:val="center"/>
            <w:textDirection w:val="lrTb"/>
            <w:noWrap w:val="false"/>
          </w:tcPr>
          <w:p>
            <w:pPr>
              <w:ind w:left="0" w:right="0" w:firstLine="0"/>
              <w:jc w:val="center"/>
              <w:pageBreakBefore w:val="0"/>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0" w:type="auto"/>
            <w:vAlign w:val="center"/>
            <w:textDirection w:val="lrTb"/>
            <w:noWrap w:val="false"/>
          </w:tcPr>
          <w:p>
            <w:pPr>
              <w:ind w:left="0" w:right="0" w:firstLine="0"/>
              <w:jc w:val="center"/>
              <w:pageBreakBefore w:val="0"/>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0" w:type="auto"/>
            <w:vAlign w:val="center"/>
            <w:textDirection w:val="lrTb"/>
            <w:noWrap w:val="false"/>
          </w:tcPr>
          <w:p>
            <w:pPr>
              <w:ind w:left="0" w:right="0" w:firstLine="0"/>
              <w:jc w:val="center"/>
              <w:pageBreakBefore w:val="0"/>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0" w:type="auto"/>
            <w:vAlign w:val="center"/>
            <w:textDirection w:val="lrTb"/>
            <w:noWrap w:val="false"/>
          </w:tcPr>
          <w:p>
            <w:pPr>
              <w:ind w:left="0" w:right="0" w:firstLine="0"/>
              <w:jc w:val="center"/>
              <w:pageBreakBefore w:val="0"/>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3198" w:type="dxa"/>
            <w:vAlign w:val="center"/>
            <w:textDirection w:val="lrTb"/>
            <w:noWrap w:val="false"/>
          </w:tcPr>
          <w:p>
            <w:pPr>
              <w:ind w:left="0" w:right="0" w:firstLine="0"/>
              <w:jc w:val="center"/>
              <w:pageBreakBefore w:val="0"/>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0"/>
        </w:trPr>
        <w:tc>
          <w:tcPr>
            <w:tcW w:w="0" w:type="auto"/>
            <w:vAlign w:val="center"/>
            <w:textDirection w:val="lrTb"/>
            <w:noWrap w:val="false"/>
          </w:tcPr>
          <w:p>
            <w:pPr>
              <w:ind w:left="0" w:right="0" w:firstLine="0"/>
              <w:jc w:val="center"/>
              <w:pageBreakBefore w:val="0"/>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0" w:type="auto"/>
            <w:vAlign w:val="center"/>
            <w:textDirection w:val="lrTb"/>
            <w:noWrap w:val="false"/>
          </w:tcPr>
          <w:p>
            <w:pPr>
              <w:ind w:left="0" w:right="0" w:firstLine="0"/>
              <w:jc w:val="center"/>
              <w:pageBreakBefore w:val="0"/>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0" w:type="auto"/>
            <w:vAlign w:val="center"/>
            <w:textDirection w:val="lrTb"/>
            <w:noWrap w:val="false"/>
          </w:tcPr>
          <w:p>
            <w:pPr>
              <w:ind w:left="0" w:right="0" w:firstLine="0"/>
              <w:jc w:val="center"/>
              <w:pageBreakBefore w:val="0"/>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0" w:type="auto"/>
            <w:vAlign w:val="center"/>
            <w:textDirection w:val="lrTb"/>
            <w:noWrap w:val="false"/>
          </w:tcPr>
          <w:p>
            <w:pPr>
              <w:ind w:left="0" w:right="0" w:firstLine="0"/>
              <w:jc w:val="center"/>
              <w:pageBreakBefore w:val="0"/>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3198" w:type="dxa"/>
            <w:vAlign w:val="center"/>
            <w:textDirection w:val="lrTb"/>
            <w:noWrap w:val="false"/>
          </w:tcPr>
          <w:p>
            <w:pPr>
              <w:ind w:left="0" w:right="0" w:firstLine="0"/>
              <w:jc w:val="center"/>
              <w:pageBreakBefore w:val="0"/>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0"/>
        </w:trPr>
        <w:tc>
          <w:tcPr>
            <w:tcW w:w="0" w:type="auto"/>
            <w:vAlign w:val="center"/>
            <w:textDirection w:val="lrTb"/>
            <w:noWrap w:val="false"/>
          </w:tcPr>
          <w:p>
            <w:pPr>
              <w:ind w:left="0" w:right="0" w:firstLine="0"/>
              <w:jc w:val="center"/>
              <w:pageBreakBefore w:val="0"/>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0" w:type="auto"/>
            <w:vAlign w:val="center"/>
            <w:textDirection w:val="lrTb"/>
            <w:noWrap w:val="false"/>
          </w:tcPr>
          <w:p>
            <w:pPr>
              <w:ind w:left="0" w:right="0" w:firstLine="0"/>
              <w:jc w:val="center"/>
              <w:pageBreakBefore w:val="0"/>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0" w:type="auto"/>
            <w:vAlign w:val="center"/>
            <w:textDirection w:val="lrTb"/>
            <w:noWrap w:val="false"/>
          </w:tcPr>
          <w:p>
            <w:pPr>
              <w:ind w:left="0" w:right="0" w:firstLine="0"/>
              <w:jc w:val="center"/>
              <w:pageBreakBefore w:val="0"/>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0" w:type="auto"/>
            <w:vAlign w:val="center"/>
            <w:textDirection w:val="lrTb"/>
            <w:noWrap w:val="false"/>
          </w:tcPr>
          <w:p>
            <w:pPr>
              <w:ind w:left="0" w:right="0" w:firstLine="0"/>
              <w:jc w:val="center"/>
              <w:pageBreakBefore w:val="0"/>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3198" w:type="dxa"/>
            <w:vAlign w:val="center"/>
            <w:textDirection w:val="lrTb"/>
            <w:noWrap w:val="false"/>
          </w:tcPr>
          <w:p>
            <w:pPr>
              <w:ind w:left="0" w:right="0" w:firstLine="0"/>
              <w:jc w:val="center"/>
              <w:pageBreakBefore w:val="0"/>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0"/>
        </w:trPr>
        <w:tc>
          <w:tcPr>
            <w:tcW w:w="0" w:type="auto"/>
            <w:vAlign w:val="center"/>
            <w:textDirection w:val="lrTb"/>
            <w:noWrap w:val="false"/>
          </w:tcPr>
          <w:p>
            <w:pPr>
              <w:ind w:left="0" w:right="0" w:firstLine="0"/>
              <w:jc w:val="center"/>
              <w:pageBreakBefore w:val="0"/>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0" w:type="auto"/>
            <w:vAlign w:val="center"/>
            <w:textDirection w:val="lrTb"/>
            <w:noWrap w:val="false"/>
          </w:tcPr>
          <w:p>
            <w:pPr>
              <w:ind w:left="0" w:right="0" w:firstLine="0"/>
              <w:jc w:val="center"/>
              <w:pageBreakBefore w:val="0"/>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0" w:type="auto"/>
            <w:vAlign w:val="center"/>
            <w:textDirection w:val="lrTb"/>
            <w:noWrap w:val="false"/>
          </w:tcPr>
          <w:p>
            <w:pPr>
              <w:ind w:left="0" w:right="0" w:firstLine="0"/>
              <w:jc w:val="center"/>
              <w:pageBreakBefore w:val="0"/>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0" w:type="auto"/>
            <w:vAlign w:val="center"/>
            <w:textDirection w:val="lrTb"/>
            <w:noWrap w:val="false"/>
          </w:tcPr>
          <w:p>
            <w:pPr>
              <w:ind w:left="0" w:right="0" w:firstLine="0"/>
              <w:jc w:val="center"/>
              <w:pageBreakBefore w:val="0"/>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3198" w:type="dxa"/>
            <w:vAlign w:val="center"/>
            <w:textDirection w:val="lrTb"/>
            <w:noWrap w:val="false"/>
          </w:tcPr>
          <w:p>
            <w:pPr>
              <w:ind w:left="0" w:right="0" w:firstLine="0"/>
              <w:jc w:val="center"/>
              <w:pageBreakBefore w:val="0"/>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0"/>
        </w:trPr>
        <w:tc>
          <w:tcPr>
            <w:tcBorders>
              <w:bottom w:val="single" w:color="auto" w:sz="12" w:space="0"/>
            </w:tcBorders>
            <w:tcW w:w="1340" w:type="dxa"/>
            <w:vAlign w:val="center"/>
            <w:textDirection w:val="lrTb"/>
            <w:noWrap w:val="false"/>
          </w:tcPr>
          <w:p>
            <w:pPr>
              <w:ind w:left="0" w:right="0" w:firstLine="0"/>
              <w:jc w:val="center"/>
              <w:pageBreakBefore w:val="0"/>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bottom w:val="single" w:color="auto" w:sz="12" w:space="0"/>
            </w:tcBorders>
            <w:tcW w:w="1343" w:type="dxa"/>
            <w:vAlign w:val="center"/>
            <w:textDirection w:val="lrTb"/>
            <w:noWrap w:val="false"/>
          </w:tcPr>
          <w:p>
            <w:pPr>
              <w:ind w:left="0" w:right="0" w:firstLine="0"/>
              <w:jc w:val="center"/>
              <w:pageBreakBefore w:val="0"/>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bottom w:val="single" w:color="auto" w:sz="12" w:space="0"/>
            </w:tcBorders>
            <w:tcW w:w="1343" w:type="dxa"/>
            <w:vAlign w:val="center"/>
            <w:textDirection w:val="lrTb"/>
            <w:noWrap w:val="false"/>
          </w:tcPr>
          <w:p>
            <w:pPr>
              <w:ind w:left="0" w:right="0" w:firstLine="0"/>
              <w:jc w:val="center"/>
              <w:pageBreakBefore w:val="0"/>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bottom w:val="single" w:color="auto" w:sz="12" w:space="0"/>
            </w:tcBorders>
            <w:tcW w:w="2734" w:type="dxa"/>
            <w:vAlign w:val="center"/>
            <w:textDirection w:val="lrTb"/>
            <w:noWrap w:val="false"/>
          </w:tcPr>
          <w:p>
            <w:pPr>
              <w:ind w:left="0" w:right="0" w:firstLine="0"/>
              <w:jc w:val="center"/>
              <w:pageBreakBefore w:val="0"/>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bottom w:val="single" w:color="auto" w:sz="12" w:space="0"/>
            </w:tcBorders>
            <w:tcW w:w="3198" w:type="dxa"/>
            <w:vAlign w:val="center"/>
            <w:textDirection w:val="lrTb"/>
            <w:noWrap w:val="false"/>
          </w:tcPr>
          <w:p>
            <w:pPr>
              <w:ind w:left="0" w:right="0" w:firstLine="0"/>
              <w:jc w:val="center"/>
              <w:pageBreakBefore w:val="0"/>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jc w:val="right"/>
        <w:pageBreakBefore w:val="0"/>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Cs/>
          <w:color w:val="auto"/>
          <w:sz w:val="24"/>
          <w:szCs w:val="24"/>
          <w:highlight w:val="none"/>
        </w:rPr>
        <w:t xml:space="preserve">投标人名称（盖章）</w:t>
      </w:r>
      <w:r>
        <w:rPr>
          <w:rFonts w:hint="eastAsia" w:ascii="宋体" w:hAnsi="宋体" w:eastAsia="宋体" w:cs="宋体"/>
          <w:bCs/>
          <w:color w:val="auto"/>
          <w:sz w:val="24"/>
          <w:szCs w:val="24"/>
          <w:highlight w:val="none"/>
          <w:lang w:eastAsia="zh-CN"/>
        </w:rPr>
        <w:t xml:space="preserve">：</w:t>
      </w:r>
      <w:r/>
    </w:p>
    <w:p>
      <w:pPr>
        <w:pageBreakBefore w:val="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r>
      <w:r/>
    </w:p>
    <w:p>
      <w:pPr>
        <w:pageBreakBefore w:val="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r>
      <w:r/>
    </w:p>
    <w:p>
      <w:pPr>
        <w:pageBreakBefore w:val="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r>
      <w:r/>
    </w:p>
    <w:p>
      <w:pPr>
        <w:pageBreakBefore w:val="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注：</w:t>
      </w:r>
      <w:r/>
    </w:p>
    <w:p>
      <w:pPr>
        <w:pageBreakBefore w:val="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1.表格不够可自行延长。</w:t>
      </w:r>
      <w:r/>
    </w:p>
    <w:p>
      <w:pPr>
        <w:pageBreakBefore w:val="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lang w:val="en-US" w:eastAsia="zh-CN"/>
        </w:rPr>
        <w:t xml:space="preserve">2.</w:t>
      </w:r>
      <w:r>
        <w:rPr>
          <w:rFonts w:hint="eastAsia" w:ascii="宋体" w:hAnsi="宋体" w:eastAsia="宋体" w:cs="宋体"/>
          <w:bCs/>
          <w:color w:val="auto"/>
          <w:highlight w:val="none"/>
        </w:rPr>
        <w:t xml:space="preserve">提供人员证书原件</w:t>
      </w:r>
      <w:r>
        <w:rPr>
          <w:rFonts w:hint="eastAsia" w:ascii="宋体" w:hAnsi="宋体" w:eastAsia="宋体" w:cs="宋体"/>
          <w:bCs/>
          <w:color w:val="auto"/>
          <w:highlight w:val="none"/>
          <w:lang w:val="en-US" w:eastAsia="zh-CN"/>
        </w:rPr>
        <w:t xml:space="preserve">扫描件及投标人</w:t>
      </w:r>
      <w:r>
        <w:rPr>
          <w:rFonts w:hint="eastAsia" w:ascii="宋体" w:hAnsi="宋体" w:eastAsia="宋体" w:cs="宋体"/>
          <w:bCs/>
          <w:color w:val="auto"/>
          <w:highlight w:val="none"/>
        </w:rPr>
        <w:t xml:space="preserve">为其缴纳的</w:t>
      </w:r>
      <w:r>
        <w:rPr>
          <w:rFonts w:hint="eastAsia" w:ascii="宋体" w:hAnsi="宋体" w:eastAsia="宋体" w:cs="宋体"/>
          <w:bCs/>
          <w:color w:val="auto"/>
          <w:highlight w:val="none"/>
          <w:lang w:val="zh-CN"/>
        </w:rPr>
        <w:t xml:space="preserve">2026年2月—2026年4月中任意一个月份</w:t>
      </w:r>
      <w:r>
        <w:rPr>
          <w:rFonts w:hint="eastAsia" w:ascii="宋体" w:hAnsi="宋体" w:eastAsia="宋体" w:cs="宋体"/>
          <w:bCs/>
          <w:color w:val="auto"/>
          <w:highlight w:val="none"/>
        </w:rPr>
        <w:t xml:space="preserve">社保证明上传至投标文件中。</w:t>
      </w:r>
      <w:r/>
    </w:p>
    <w:p>
      <w:pPr>
        <w:pStyle w:val="791"/>
        <w:ind w:left="0" w:firstLine="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791"/>
        <w:ind w:left="0" w:firstLine="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ageBreakBefore w:val="0"/>
        <w:spacing w:line="360" w:lineRule="auto"/>
        <w:rPr>
          <w:rFonts w:hint="eastAsia" w:ascii="宋体" w:hAnsi="宋体" w:eastAsia="宋体" w:cs="宋体"/>
          <w:b/>
          <w:color w:val="auto"/>
          <w:sz w:val="30"/>
          <w:szCs w:val="30"/>
          <w:highlight w:val="none"/>
          <w:lang w:val="en-US" w:eastAsia="zh-CN"/>
        </w:rPr>
        <w:outlineLvl w:val="0"/>
      </w:pPr>
      <w:r>
        <w:rPr>
          <w:rFonts w:hint="eastAsia" w:ascii="宋体" w:hAnsi="宋体" w:eastAsia="宋体" w:cs="宋体"/>
          <w:b/>
          <w:color w:val="auto"/>
          <w:sz w:val="30"/>
          <w:szCs w:val="30"/>
          <w:highlight w:val="none"/>
          <w:lang w:val="en-US" w:eastAsia="zh-CN"/>
        </w:rPr>
      </w:r>
      <w:r/>
    </w:p>
    <w:p>
      <w:pPr>
        <w:pageBreakBefore w:val="0"/>
        <w:spacing w:line="360" w:lineRule="auto"/>
        <w:rPr>
          <w:rFonts w:hint="eastAsia" w:ascii="宋体" w:hAnsi="宋体" w:eastAsia="宋体" w:cs="宋体"/>
          <w:b/>
          <w:color w:val="auto"/>
          <w:sz w:val="30"/>
          <w:szCs w:val="30"/>
          <w:highlight w:val="none"/>
          <w:lang w:val="en-US" w:eastAsia="zh-CN"/>
        </w:rPr>
        <w:outlineLvl w:val="0"/>
      </w:pPr>
      <w:r>
        <w:rPr>
          <w:rFonts w:hint="eastAsia" w:ascii="宋体" w:hAnsi="宋体" w:eastAsia="宋体" w:cs="宋体"/>
          <w:b/>
          <w:color w:val="auto"/>
          <w:sz w:val="30"/>
          <w:szCs w:val="30"/>
          <w:highlight w:val="none"/>
          <w:lang w:val="en-US" w:eastAsia="zh-CN"/>
        </w:rPr>
      </w:r>
      <w:r/>
    </w:p>
    <w:p>
      <w:pPr>
        <w:pStyle w:val="738"/>
        <w:rPr>
          <w:rFonts w:hint="eastAsia" w:ascii="宋体" w:hAnsi="宋体" w:eastAsia="宋体" w:cs="宋体"/>
          <w:b/>
          <w:color w:val="auto"/>
          <w:sz w:val="30"/>
          <w:szCs w:val="30"/>
          <w:highlight w:val="none"/>
          <w:lang w:val="en-US" w:eastAsia="zh-CN"/>
        </w:rPr>
      </w:pPr>
      <w:r>
        <w:rPr>
          <w:rFonts w:hint="eastAsia" w:ascii="宋体" w:hAnsi="宋体" w:eastAsia="宋体" w:cs="宋体"/>
          <w:b/>
          <w:color w:val="auto"/>
          <w:sz w:val="30"/>
          <w:szCs w:val="30"/>
          <w:highlight w:val="none"/>
          <w:lang w:val="en-US" w:eastAsia="zh-CN"/>
        </w:rPr>
      </w:r>
      <w:r/>
    </w:p>
    <w:p>
      <w:pPr>
        <w:pageBreakBefore w:val="0"/>
        <w:spacing w:line="360" w:lineRule="auto"/>
        <w:rPr>
          <w:rFonts w:hint="eastAsia" w:ascii="宋体" w:hAnsi="宋体" w:eastAsia="宋体" w:cs="宋体"/>
          <w:highlight w:val="none"/>
        </w:rPr>
      </w:pPr>
      <w:r>
        <w:rPr>
          <w:rFonts w:hint="eastAsia" w:ascii="宋体" w:hAnsi="宋体" w:eastAsia="宋体" w:cs="宋体"/>
          <w:highlight w:val="none"/>
        </w:rPr>
      </w:r>
      <w:r/>
    </w:p>
    <w:p>
      <w:pPr>
        <w:numPr>
          <w:ilvl w:val="0"/>
          <w:numId w:val="12"/>
        </w:numPr>
        <w:jc w:val="center"/>
        <w:pageBreakBefore w:val="0"/>
        <w:spacing w:line="360" w:lineRule="auto"/>
        <w:rPr>
          <w:rFonts w:hint="eastAsia" w:ascii="宋体" w:hAnsi="宋体" w:eastAsia="宋体" w:cs="宋体"/>
          <w:b/>
          <w:color w:val="auto"/>
          <w:sz w:val="30"/>
          <w:szCs w:val="30"/>
          <w:highlight w:val="none"/>
          <w:lang w:val="en-US" w:eastAsia="zh-CN"/>
        </w:rPr>
      </w:pPr>
      <w:r>
        <w:rPr>
          <w:rFonts w:hint="eastAsia" w:ascii="宋体" w:hAnsi="宋体" w:eastAsia="宋体" w:cs="宋体"/>
          <w:b/>
          <w:color w:val="auto"/>
          <w:sz w:val="30"/>
          <w:szCs w:val="30"/>
          <w:highlight w:val="none"/>
          <w:lang w:val="en-US" w:eastAsia="zh-CN"/>
        </w:rPr>
        <w:t xml:space="preserve">其他</w:t>
      </w:r>
      <w:r/>
    </w:p>
    <w:p>
      <w:pPr>
        <w:pageBreakBefore w:val="0"/>
        <w:spacing w:line="360" w:lineRule="auto"/>
        <w:rPr>
          <w:rFonts w:hint="eastAsia" w:ascii="宋体" w:hAnsi="宋体" w:eastAsia="宋体" w:cs="宋体"/>
          <w:b w:val="0"/>
          <w:bCs/>
          <w:color w:val="auto"/>
          <w:sz w:val="24"/>
          <w:szCs w:val="24"/>
          <w:highlight w:val="none"/>
          <w:lang w:val="en-US" w:eastAsia="zh-CN"/>
        </w:rPr>
        <w:outlineLvl w:val="0"/>
      </w:pPr>
      <w:r>
        <w:rPr>
          <w:rFonts w:hint="eastAsia" w:ascii="宋体" w:hAnsi="宋体" w:eastAsia="宋体" w:cs="宋体"/>
          <w:b w:val="0"/>
          <w:bCs/>
          <w:color w:val="auto"/>
          <w:sz w:val="24"/>
          <w:szCs w:val="24"/>
          <w:highlight w:val="none"/>
          <w:lang w:val="en-US" w:eastAsia="zh-CN"/>
        </w:rPr>
        <w:t xml:space="preserve">投标人认为有必要提供的声明和文件，如有自拟并自行添加。</w:t>
      </w:r>
      <w:r/>
    </w:p>
    <w:p>
      <w:pPr>
        <w:pageBreakBefore w:val="0"/>
        <w:spacing w:line="360" w:lineRule="auto"/>
        <w:rPr>
          <w:rFonts w:hint="eastAsia" w:ascii="宋体" w:hAnsi="宋体" w:eastAsia="宋体" w:cs="宋体"/>
          <w:highlight w:val="none"/>
        </w:rPr>
      </w:pPr>
      <w:r>
        <w:rPr>
          <w:rFonts w:hint="eastAsia" w:ascii="宋体" w:hAnsi="宋体" w:eastAsia="宋体" w:cs="宋体"/>
          <w:highlight w:val="none"/>
        </w:rPr>
      </w:r>
      <w:r/>
    </w:p>
    <w:p>
      <w:pPr>
        <w:pageBreakBefore w:val="0"/>
        <w:spacing w:line="360" w:lineRule="auto"/>
        <w:rPr>
          <w:rFonts w:hint="eastAsia" w:ascii="宋体" w:hAnsi="宋体" w:eastAsia="宋体" w:cs="宋体"/>
          <w:highlight w:val="none"/>
        </w:rPr>
      </w:pPr>
      <w:r>
        <w:rPr>
          <w:rFonts w:hint="eastAsia" w:ascii="宋体" w:hAnsi="宋体" w:eastAsia="宋体" w:cs="宋体"/>
          <w:highlight w:val="none"/>
        </w:rPr>
      </w:r>
      <w:r/>
    </w:p>
    <w:sectPr>
      <w:footnotePr/>
      <w:endnotePr/>
      <w:type w:val="nextPage"/>
      <w:pgSz w:w="11906" w:h="16838" w:orient="portrait"/>
      <w:pgMar w:top="1440" w:right="1080" w:bottom="1440" w:left="1080"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方正黑体_GBK">
    <w:panose1 w:val="020B0503020202020204"/>
  </w:font>
  <w:font w:name="Tahoma">
    <w:panose1 w:val="020B0604030504040204"/>
  </w:font>
  <w:font w:name="华文楷体">
    <w:panose1 w:val="02010600040101010101"/>
  </w:font>
  <w:font w:name="Wingdings">
    <w:panose1 w:val="05000000000000000000"/>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5"/>
      <w:jc w:val="center"/>
      <w:rPr>
        <w:rFonts w:hint="eastAsia"/>
      </w:rPr>
    </w:pPr>
    <w:r>
      <w:rPr>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5"/>
      <w:jc w:val="center"/>
      <w:rPr>
        <w:rFonts w:hint="eastAsia"/>
      </w:rPr>
    </w:pPr>
    <w:r>
      <w:rPr>
        <w:sz w:val="20"/>
      </w:rPr>
      <w:t xml:space="preserve"> </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65"/>
                          </w:pPr>
                          <w:r>
                            <w:fldChar w:fldCharType="begin"/>
                          </w:r>
                          <w:r>
                            <w:instrText xml:space="preserve"> PAGE  \* MERGEFORMAT </w:instrText>
                          </w:r>
                          <w:r>
                            <w:fldChar w:fldCharType="separate"/>
                          </w:r>
                          <w:r>
                            <w:t xml:space="preserve">１</w:t>
                          </w:r>
                          <w:r>
                            <w:fldChar w:fldCharType="end"/>
                          </w:r>
                          <w:r/>
                        </w:p>
                      </w:txbxContent>
                    </wps:txbx>
                    <wps:bodyPr vert="horz" wrap="none" lIns="0" tIns="0" rIns="0" bIns="0" anchor="t" anchorCtr="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765"/>
                    </w:pPr>
                    <w:r>
                      <w:fldChar w:fldCharType="begin"/>
                    </w:r>
                    <w:r>
                      <w:instrText xml:space="preserve"> PAGE  \* MERGEFORMAT </w:instrText>
                    </w:r>
                    <w:r>
                      <w:fldChar w:fldCharType="separate"/>
                    </w:r>
                    <w:r>
                      <w:t xml:space="preserve">１</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5"/>
      <w:jc w:val="center"/>
      <w:rPr>
        <w:rFonts w:hint="eastAsia"/>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5"/>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sz w:val="20"/>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7"/>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7"/>
      <w:ind w:firstLine="36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315" w:hanging="31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nothing"/>
      <w:lvlText w:val="%2."/>
      <w:lvlJc w:val="left"/>
      <w:pPr>
        <w:ind w:left="780" w:hanging="360"/>
      </w:pPr>
      <w:rPr>
        <w:rFonts w:hint="eastAsia" w:cs="Times New Roman"/>
        <w:color w:val="auto"/>
      </w:rPr>
    </w:lvl>
    <w:lvl w:ilvl="2">
      <w:start w:val="1"/>
      <w:numFmt w:val="lowerRoman"/>
      <w:isLgl w:val="false"/>
      <w:suff w:val="tab"/>
      <w:lvlText w:val="%3."/>
      <w:lvlJc w:val="right"/>
      <w:pPr>
        <w:ind w:left="1260" w:hanging="420"/>
        <w:tabs>
          <w:tab w:val="left" w:pos="1260" w:leader="none"/>
        </w:tabs>
      </w:pPr>
      <w:rPr>
        <w:rFonts w:hint="eastAsia" w:cs="Times New Roman"/>
      </w:rPr>
    </w:lvl>
    <w:lvl w:ilvl="3">
      <w:start w:val="1"/>
      <w:numFmt w:val="decimal"/>
      <w:isLgl w:val="false"/>
      <w:suff w:val="tab"/>
      <w:lvlText w:val="%4."/>
      <w:lvlJc w:val="left"/>
      <w:pPr>
        <w:ind w:left="1680" w:hanging="420"/>
        <w:tabs>
          <w:tab w:val="left" w:pos="1680" w:leader="none"/>
        </w:tabs>
      </w:pPr>
      <w:rPr>
        <w:rFonts w:hint="eastAsia" w:cs="Times New Roman"/>
      </w:rPr>
    </w:lvl>
    <w:lvl w:ilvl="4">
      <w:start w:val="1"/>
      <w:numFmt w:val="lowerLetter"/>
      <w:isLgl w:val="false"/>
      <w:suff w:val="tab"/>
      <w:lvlText w:val="%5)"/>
      <w:lvlJc w:val="left"/>
      <w:pPr>
        <w:ind w:left="2100" w:hanging="420"/>
        <w:tabs>
          <w:tab w:val="left" w:pos="2100" w:leader="none"/>
        </w:tabs>
      </w:pPr>
      <w:rPr>
        <w:rFonts w:hint="eastAsia" w:cs="Times New Roman"/>
      </w:rPr>
    </w:lvl>
    <w:lvl w:ilvl="5">
      <w:start w:val="1"/>
      <w:numFmt w:val="lowerRoman"/>
      <w:isLgl w:val="false"/>
      <w:suff w:val="tab"/>
      <w:lvlText w:val="%6."/>
      <w:lvlJc w:val="right"/>
      <w:pPr>
        <w:ind w:left="2520" w:hanging="420"/>
        <w:tabs>
          <w:tab w:val="left" w:pos="2520" w:leader="none"/>
        </w:tabs>
      </w:pPr>
      <w:rPr>
        <w:rFonts w:hint="eastAsia" w:cs="Times New Roman"/>
      </w:rPr>
    </w:lvl>
    <w:lvl w:ilvl="6">
      <w:start w:val="1"/>
      <w:numFmt w:val="decimal"/>
      <w:isLgl w:val="false"/>
      <w:suff w:val="tab"/>
      <w:lvlText w:val="%7."/>
      <w:lvlJc w:val="left"/>
      <w:pPr>
        <w:ind w:left="2940" w:hanging="420"/>
        <w:tabs>
          <w:tab w:val="left" w:pos="2940" w:leader="none"/>
        </w:tabs>
      </w:pPr>
      <w:rPr>
        <w:rFonts w:hint="eastAsia" w:cs="Times New Roman"/>
      </w:rPr>
    </w:lvl>
    <w:lvl w:ilvl="7">
      <w:start w:val="1"/>
      <w:numFmt w:val="lowerLetter"/>
      <w:isLgl w:val="false"/>
      <w:suff w:val="tab"/>
      <w:lvlText w:val="%8)"/>
      <w:lvlJc w:val="left"/>
      <w:pPr>
        <w:ind w:left="3360" w:hanging="420"/>
        <w:tabs>
          <w:tab w:val="left" w:pos="3360" w:leader="none"/>
        </w:tabs>
      </w:pPr>
      <w:rPr>
        <w:rFonts w:hint="eastAsia" w:cs="Times New Roman"/>
      </w:rPr>
    </w:lvl>
    <w:lvl w:ilvl="8">
      <w:start w:val="1"/>
      <w:numFmt w:val="lowerRoman"/>
      <w:isLgl w:val="false"/>
      <w:suff w:val="tab"/>
      <w:lvlText w:val="%9."/>
      <w:lvlJc w:val="right"/>
      <w:pPr>
        <w:ind w:left="3780" w:hanging="420"/>
        <w:tabs>
          <w:tab w:val="left" w:pos="3780" w:leader="none"/>
        </w:tabs>
      </w:pPr>
      <w:rPr>
        <w:rFonts w:hint="eastAsia" w:cs="Times New Roman"/>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824"/>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9"/>
      <w:numFmt w:val="japaneseCounting"/>
      <w:isLgl w:val="false"/>
      <w:suff w:val="tab"/>
      <w:lvlText w:val="（%1）"/>
      <w:lvlJc w:val="left"/>
      <w:pPr>
        <w:ind w:left="1287" w:hanging="720"/>
      </w:pPr>
      <w:rPr>
        <w:rFonts w:hint="default"/>
        <w:color w:val="auto"/>
      </w:rPr>
    </w:lvl>
    <w:lvl w:ilvl="1">
      <w:start w:val="1"/>
      <w:numFmt w:val="lowerLetter"/>
      <w:isLgl w:val="false"/>
      <w:suff w:val="tab"/>
      <w:lvlText w:val="%2)"/>
      <w:lvlJc w:val="left"/>
      <w:pPr>
        <w:ind w:left="1407" w:hanging="420"/>
      </w:pPr>
    </w:lvl>
    <w:lvl w:ilvl="2">
      <w:start w:val="1"/>
      <w:numFmt w:val="lowerRoman"/>
      <w:isLgl w:val="false"/>
      <w:suff w:val="tab"/>
      <w:lvlText w:val="%3."/>
      <w:lvlJc w:val="right"/>
      <w:pPr>
        <w:ind w:left="1827" w:hanging="420"/>
      </w:pPr>
    </w:lvl>
    <w:lvl w:ilvl="3">
      <w:start w:val="1"/>
      <w:numFmt w:val="decimal"/>
      <w:isLgl w:val="false"/>
      <w:suff w:val="tab"/>
      <w:lvlText w:val="%4."/>
      <w:lvlJc w:val="left"/>
      <w:pPr>
        <w:ind w:left="2247" w:hanging="420"/>
      </w:pPr>
    </w:lvl>
    <w:lvl w:ilvl="4">
      <w:start w:val="1"/>
      <w:numFmt w:val="lowerLetter"/>
      <w:isLgl w:val="false"/>
      <w:suff w:val="tab"/>
      <w:lvlText w:val="%5)"/>
      <w:lvlJc w:val="left"/>
      <w:pPr>
        <w:ind w:left="2667" w:hanging="420"/>
      </w:pPr>
    </w:lvl>
    <w:lvl w:ilvl="5">
      <w:start w:val="1"/>
      <w:numFmt w:val="lowerRoman"/>
      <w:isLgl w:val="false"/>
      <w:suff w:val="tab"/>
      <w:lvlText w:val="%6."/>
      <w:lvlJc w:val="right"/>
      <w:pPr>
        <w:ind w:left="3087" w:hanging="420"/>
      </w:pPr>
    </w:lvl>
    <w:lvl w:ilvl="6">
      <w:start w:val="1"/>
      <w:numFmt w:val="decimal"/>
      <w:isLgl w:val="false"/>
      <w:suff w:val="tab"/>
      <w:lvlText w:val="%7."/>
      <w:lvlJc w:val="left"/>
      <w:pPr>
        <w:ind w:left="3507" w:hanging="420"/>
      </w:pPr>
    </w:lvl>
    <w:lvl w:ilvl="7">
      <w:start w:val="1"/>
      <w:numFmt w:val="lowerLetter"/>
      <w:isLgl w:val="false"/>
      <w:suff w:val="tab"/>
      <w:lvlText w:val="%8)"/>
      <w:lvlJc w:val="left"/>
      <w:pPr>
        <w:ind w:left="3927" w:hanging="420"/>
      </w:pPr>
    </w:lvl>
    <w:lvl w:ilvl="8">
      <w:start w:val="1"/>
      <w:numFmt w:val="lowerRoman"/>
      <w:isLgl w:val="false"/>
      <w:suff w:val="tab"/>
      <w:lvlText w:val="%9."/>
      <w:lvlJc w:val="right"/>
      <w:pPr>
        <w:ind w:left="4347" w:hanging="420"/>
      </w:pPr>
    </w:lvl>
  </w:abstractNum>
  <w:abstractNum w:abstractNumId="6">
    <w:multiLevelType w:val="hybridMultilevel"/>
    <w:lvl w:ilvl="0">
      <w:start w:val="5"/>
      <w:numFmt w:val="japaneseCounting"/>
      <w:isLgl w:val="false"/>
      <w:suff w:val="tab"/>
      <w:lvlText w:val="（%1）"/>
      <w:lvlJc w:val="left"/>
      <w:pPr>
        <w:ind w:left="720" w:hanging="720"/>
      </w:pPr>
      <w:rPr>
        <w:rFonts w:hint="default"/>
        <w:color w:val="auto"/>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
    <w:multiLevelType w:val="hybridMultilevel"/>
    <w:lvl w:ilvl="0">
      <w:start w:val="6"/>
      <w:numFmt w:val="chineseCounting"/>
      <w:isLgl w:val="false"/>
      <w:suff w:val="nothing"/>
      <w:lvlText w:val="%1、"/>
      <w:lvlJc w:val="left"/>
      <w:pPr/>
      <w:rPr>
        <w:rFonts w:hint="eastAsia"/>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841"/>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9">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740"/>
      <w:isLgl w:val="false"/>
      <w:suff w:val="nothing"/>
      <w:lvlText w:val=""/>
      <w:lvlJc w:val="left"/>
      <w:pPr>
        <w:ind w:left="0" w:firstLine="0"/>
      </w:pPr>
      <w:rPr>
        <w:rFonts w:hint="eastAsia"/>
      </w:rPr>
    </w:lvl>
    <w:lvl w:ilvl="6">
      <w:start w:val="1"/>
      <w:numFmt w:val="none"/>
      <w:pStyle w:val="741"/>
      <w:isLgl w:val="false"/>
      <w:suff w:val="nothing"/>
      <w:lvlText w:val=""/>
      <w:lvlJc w:val="left"/>
      <w:pPr>
        <w:ind w:left="0" w:firstLine="0"/>
      </w:pPr>
      <w:rPr>
        <w:rFonts w:hint="eastAsia"/>
      </w:rPr>
    </w:lvl>
    <w:lvl w:ilvl="7">
      <w:start w:val="1"/>
      <w:numFmt w:val="none"/>
      <w:pStyle w:val="742"/>
      <w:isLgl w:val="false"/>
      <w:suff w:val="nothing"/>
      <w:lvlText w:val=""/>
      <w:lvlJc w:val="left"/>
      <w:pPr>
        <w:ind w:left="0" w:firstLine="0"/>
      </w:pPr>
      <w:rPr>
        <w:rFonts w:hint="eastAsia"/>
      </w:rPr>
    </w:lvl>
    <w:lvl w:ilvl="8">
      <w:start w:val="1"/>
      <w:numFmt w:val="none"/>
      <w:pStyle w:val="743"/>
      <w:isLgl w:val="false"/>
      <w:suff w:val="nothing"/>
      <w:lvlText w:val=""/>
      <w:lvlJc w:val="left"/>
      <w:pPr>
        <w:ind w:left="0" w:firstLine="0"/>
      </w:pPr>
      <w:rPr>
        <w:rFonts w:hint="eastAsia"/>
      </w:rPr>
    </w:lvl>
  </w:abstractNum>
  <w:abstractNum w:abstractNumId="10">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auto"/>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hint="default"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1">
    <w:multiLevelType w:val="hybridMultilevel"/>
    <w:lvl w:ilvl="0">
      <w:start w:val="1"/>
      <w:numFmt w:val="bullet"/>
      <w:pStyle w:val="760"/>
      <w:isLgl w:val="false"/>
      <w:suff w:val="tab"/>
      <w:lvlText w:val=""/>
      <w:lvlJc w:val="left"/>
      <w:pPr>
        <w:ind w:left="2040" w:hanging="360"/>
        <w:tabs>
          <w:tab w:val="left" w:pos="204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9"/>
  </w:num>
  <w:num w:numId="2">
    <w:abstractNumId w:val="11"/>
  </w:num>
  <w:num w:numId="3">
    <w:abstractNumId w:val="4"/>
  </w:num>
  <w:num w:numId="4">
    <w:abstractNumId w:val="8"/>
  </w:num>
  <w:num w:numId="5">
    <w:abstractNumId w:val="6"/>
  </w:num>
  <w:num w:numId="6">
    <w:abstractNumId w:val="5"/>
  </w:num>
  <w:num w:numId="7">
    <w:abstractNumId w:val="1"/>
  </w:num>
  <w:num w:numId="8">
    <w:abstractNumId w:val="2"/>
  </w:num>
  <w:num w:numId="9">
    <w:abstractNumId w:val="3"/>
  </w:num>
  <w:num w:numId="10">
    <w:abstractNumId w:val="12"/>
  </w:num>
  <w:num w:numId="11">
    <w:abstractNumId w:val="0"/>
  </w:num>
  <w:num w:numId="12">
    <w:abstractNumId w:val="7"/>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44"/>
    <w:link w:val="735"/>
    <w:uiPriority w:val="9"/>
    <w:rPr>
      <w:rFonts w:ascii="Arial" w:hAnsi="Arial" w:eastAsia="Arial" w:cs="Arial"/>
      <w:sz w:val="40"/>
      <w:szCs w:val="40"/>
    </w:rPr>
  </w:style>
  <w:style w:type="character" w:styleId="15">
    <w:name w:val="Heading 2 Char"/>
    <w:basedOn w:val="744"/>
    <w:link w:val="736"/>
    <w:uiPriority w:val="9"/>
    <w:rPr>
      <w:rFonts w:ascii="Arial" w:hAnsi="Arial" w:eastAsia="Arial" w:cs="Arial"/>
      <w:sz w:val="34"/>
    </w:rPr>
  </w:style>
  <w:style w:type="character" w:styleId="17">
    <w:name w:val="Heading 3 Char"/>
    <w:basedOn w:val="744"/>
    <w:link w:val="737"/>
    <w:uiPriority w:val="9"/>
    <w:rPr>
      <w:rFonts w:ascii="Arial" w:hAnsi="Arial" w:eastAsia="Arial" w:cs="Arial"/>
      <w:sz w:val="30"/>
      <w:szCs w:val="30"/>
    </w:rPr>
  </w:style>
  <w:style w:type="character" w:styleId="19">
    <w:name w:val="Heading 4 Char"/>
    <w:basedOn w:val="744"/>
    <w:link w:val="738"/>
    <w:uiPriority w:val="9"/>
    <w:rPr>
      <w:rFonts w:ascii="Arial" w:hAnsi="Arial" w:eastAsia="Arial" w:cs="Arial"/>
      <w:b/>
      <w:bCs/>
      <w:sz w:val="26"/>
      <w:szCs w:val="26"/>
    </w:rPr>
  </w:style>
  <w:style w:type="character" w:styleId="21">
    <w:name w:val="Heading 5 Char"/>
    <w:basedOn w:val="744"/>
    <w:link w:val="739"/>
    <w:uiPriority w:val="9"/>
    <w:rPr>
      <w:rFonts w:ascii="Arial" w:hAnsi="Arial" w:eastAsia="Arial" w:cs="Arial"/>
      <w:b/>
      <w:bCs/>
      <w:sz w:val="24"/>
      <w:szCs w:val="24"/>
    </w:rPr>
  </w:style>
  <w:style w:type="character" w:styleId="23">
    <w:name w:val="Heading 6 Char"/>
    <w:basedOn w:val="744"/>
    <w:link w:val="740"/>
    <w:uiPriority w:val="9"/>
    <w:rPr>
      <w:rFonts w:ascii="Arial" w:hAnsi="Arial" w:eastAsia="Arial" w:cs="Arial"/>
      <w:b/>
      <w:bCs/>
      <w:sz w:val="22"/>
      <w:szCs w:val="22"/>
    </w:rPr>
  </w:style>
  <w:style w:type="character" w:styleId="25">
    <w:name w:val="Heading 7 Char"/>
    <w:basedOn w:val="744"/>
    <w:link w:val="741"/>
    <w:uiPriority w:val="9"/>
    <w:rPr>
      <w:rFonts w:ascii="Arial" w:hAnsi="Arial" w:eastAsia="Arial" w:cs="Arial"/>
      <w:b/>
      <w:bCs/>
      <w:i/>
      <w:iCs/>
      <w:sz w:val="22"/>
      <w:szCs w:val="22"/>
    </w:rPr>
  </w:style>
  <w:style w:type="character" w:styleId="27">
    <w:name w:val="Heading 8 Char"/>
    <w:basedOn w:val="744"/>
    <w:link w:val="742"/>
    <w:uiPriority w:val="9"/>
    <w:rPr>
      <w:rFonts w:ascii="Arial" w:hAnsi="Arial" w:eastAsia="Arial" w:cs="Arial"/>
      <w:i/>
      <w:iCs/>
      <w:sz w:val="22"/>
      <w:szCs w:val="22"/>
    </w:rPr>
  </w:style>
  <w:style w:type="character" w:styleId="29">
    <w:name w:val="Heading 9 Char"/>
    <w:basedOn w:val="744"/>
    <w:link w:val="743"/>
    <w:uiPriority w:val="9"/>
    <w:rPr>
      <w:rFonts w:ascii="Arial" w:hAnsi="Arial" w:eastAsia="Arial" w:cs="Arial"/>
      <w:i/>
      <w:iCs/>
      <w:sz w:val="21"/>
      <w:szCs w:val="21"/>
    </w:rPr>
  </w:style>
  <w:style w:type="paragraph" w:styleId="33">
    <w:name w:val="Title"/>
    <w:basedOn w:val="734"/>
    <w:next w:val="734"/>
    <w:link w:val="34"/>
    <w:uiPriority w:val="10"/>
    <w:qFormat/>
    <w:pPr>
      <w:contextualSpacing/>
      <w:spacing w:before="300" w:after="200"/>
    </w:pPr>
    <w:rPr>
      <w:sz w:val="48"/>
      <w:szCs w:val="48"/>
    </w:rPr>
  </w:style>
  <w:style w:type="character" w:styleId="34">
    <w:name w:val="Title Char"/>
    <w:basedOn w:val="744"/>
    <w:link w:val="33"/>
    <w:uiPriority w:val="10"/>
    <w:rPr>
      <w:sz w:val="48"/>
      <w:szCs w:val="48"/>
    </w:rPr>
  </w:style>
  <w:style w:type="paragraph" w:styleId="35">
    <w:name w:val="Subtitle"/>
    <w:basedOn w:val="734"/>
    <w:next w:val="734"/>
    <w:link w:val="36"/>
    <w:uiPriority w:val="11"/>
    <w:qFormat/>
    <w:pPr>
      <w:spacing w:before="200" w:after="200"/>
    </w:pPr>
    <w:rPr>
      <w:sz w:val="24"/>
      <w:szCs w:val="24"/>
    </w:rPr>
  </w:style>
  <w:style w:type="character" w:styleId="36">
    <w:name w:val="Subtitle Char"/>
    <w:basedOn w:val="744"/>
    <w:link w:val="35"/>
    <w:uiPriority w:val="11"/>
    <w:rPr>
      <w:sz w:val="24"/>
      <w:szCs w:val="24"/>
    </w:rPr>
  </w:style>
  <w:style w:type="paragraph" w:styleId="37">
    <w:name w:val="Quote"/>
    <w:basedOn w:val="734"/>
    <w:next w:val="734"/>
    <w:link w:val="38"/>
    <w:uiPriority w:val="29"/>
    <w:qFormat/>
    <w:pPr>
      <w:ind w:left="720" w:right="720"/>
    </w:pPr>
    <w:rPr>
      <w:i/>
    </w:rPr>
  </w:style>
  <w:style w:type="character" w:styleId="38">
    <w:name w:val="Quote Char"/>
    <w:link w:val="37"/>
    <w:uiPriority w:val="29"/>
    <w:rPr>
      <w:i/>
    </w:rPr>
  </w:style>
  <w:style w:type="character" w:styleId="40">
    <w:name w:val="Intense Quote Char"/>
    <w:link w:val="941"/>
    <w:uiPriority w:val="30"/>
    <w:rPr>
      <w:i/>
    </w:rPr>
  </w:style>
  <w:style w:type="character" w:styleId="42">
    <w:name w:val="Header Char"/>
    <w:basedOn w:val="744"/>
    <w:link w:val="767"/>
    <w:uiPriority w:val="99"/>
  </w:style>
  <w:style w:type="character" w:styleId="44">
    <w:name w:val="Footer Char"/>
    <w:basedOn w:val="744"/>
    <w:link w:val="765"/>
    <w:uiPriority w:val="99"/>
  </w:style>
  <w:style w:type="paragraph" w:styleId="45">
    <w:name w:val="Caption"/>
    <w:basedOn w:val="734"/>
    <w:next w:val="734"/>
    <w:uiPriority w:val="35"/>
    <w:semiHidden/>
    <w:unhideWhenUsed/>
    <w:qFormat/>
    <w:pPr>
      <w:spacing w:line="276" w:lineRule="auto"/>
    </w:pPr>
    <w:rPr>
      <w:b/>
      <w:bCs/>
      <w:color w:val="4f81bd" w:themeColor="accent1"/>
      <w:sz w:val="18"/>
      <w:szCs w:val="18"/>
    </w:rPr>
  </w:style>
  <w:style w:type="character" w:styleId="46">
    <w:name w:val="Caption Char"/>
    <w:basedOn w:val="45"/>
    <w:link w:val="765"/>
    <w:uiPriority w:val="99"/>
  </w:style>
  <w:style w:type="table" w:styleId="48">
    <w:name w:val="Table Grid Light"/>
    <w:basedOn w:val="74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4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4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4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4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4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4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4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4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4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4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4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4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4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4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4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4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4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4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4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4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4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4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4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4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4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4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4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4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4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4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4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4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4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7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7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7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7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7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74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4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4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4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4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4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4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74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4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4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4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4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4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4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4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4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4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4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4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4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4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4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4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4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4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4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4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4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4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4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74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74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74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74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74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74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4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74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74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74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74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74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74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4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4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4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4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4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4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4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4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74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74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74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74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74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74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4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74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74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74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74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74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7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7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7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7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7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7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74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4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74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74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74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74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74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74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4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4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4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4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4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4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73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44"/>
    <w:uiPriority w:val="99"/>
    <w:unhideWhenUsed/>
    <w:rPr>
      <w:vertAlign w:val="superscript"/>
    </w:rPr>
  </w:style>
  <w:style w:type="paragraph" w:styleId="177">
    <w:name w:val="endnote text"/>
    <w:basedOn w:val="73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44"/>
    <w:uiPriority w:val="99"/>
    <w:semiHidden/>
    <w:unhideWhenUsed/>
    <w:rPr>
      <w:vertAlign w:val="superscript"/>
    </w:rPr>
  </w:style>
  <w:style w:type="paragraph" w:styleId="189">
    <w:name w:val="TOC Heading"/>
    <w:uiPriority w:val="39"/>
    <w:unhideWhenUsed/>
  </w:style>
  <w:style w:type="paragraph" w:styleId="734" w:default="1">
    <w:name w:val="Normal"/>
    <w:next w:val="738"/>
    <w:uiPriority w:val="0"/>
    <w:qFormat/>
    <w:pPr>
      <w:jc w:val="both"/>
      <w:widowControl w:val="off"/>
    </w:pPr>
    <w:rPr>
      <w:rFonts w:ascii="Times New Roman" w:hAnsi="Times New Roman" w:eastAsia="宋体" w:cs="Times New Roman"/>
      <w:sz w:val="21"/>
      <w:szCs w:val="21"/>
      <w:lang w:val="en-US" w:eastAsia="zh-CN" w:bidi="ar-SA"/>
    </w:rPr>
  </w:style>
  <w:style w:type="paragraph" w:styleId="735">
    <w:name w:val="Heading 1"/>
    <w:basedOn w:val="734"/>
    <w:next w:val="734"/>
    <w:link w:val="794"/>
    <w:uiPriority w:val="9"/>
    <w:qFormat/>
    <w:pPr>
      <w:jc w:val="center"/>
      <w:keepNext/>
      <w:outlineLvl w:val="0"/>
    </w:pPr>
    <w:rPr>
      <w:rFonts w:ascii="楷体_GB2312" w:eastAsia="楷体_GB2312"/>
      <w:sz w:val="28"/>
      <w:szCs w:val="28"/>
    </w:rPr>
  </w:style>
  <w:style w:type="paragraph" w:styleId="736">
    <w:name w:val="Heading 2"/>
    <w:basedOn w:val="734"/>
    <w:next w:val="746"/>
    <w:link w:val="795"/>
    <w:uiPriority w:val="0"/>
    <w:qFormat/>
    <w:pPr>
      <w:jc w:val="center"/>
      <w:keepLines/>
      <w:keepNext/>
      <w:spacing w:before="260" w:after="260" w:line="416" w:lineRule="auto"/>
      <w:outlineLvl w:val="1"/>
    </w:pPr>
    <w:rPr>
      <w:rFonts w:ascii="Arial" w:hAnsi="Arial" w:eastAsia="幼圆"/>
      <w:b/>
      <w:bCs/>
      <w:sz w:val="44"/>
      <w:szCs w:val="44"/>
    </w:rPr>
  </w:style>
  <w:style w:type="paragraph" w:styleId="737">
    <w:name w:val="Heading 3"/>
    <w:basedOn w:val="734"/>
    <w:next w:val="734"/>
    <w:link w:val="797"/>
    <w:uiPriority w:val="0"/>
    <w:qFormat/>
    <w:pPr>
      <w:keepLines/>
      <w:keepNext/>
      <w:spacing w:before="260" w:after="260" w:line="416" w:lineRule="auto"/>
      <w:outlineLvl w:val="2"/>
    </w:pPr>
    <w:rPr>
      <w:b/>
      <w:bCs/>
      <w:sz w:val="32"/>
      <w:szCs w:val="32"/>
    </w:rPr>
  </w:style>
  <w:style w:type="paragraph" w:styleId="738">
    <w:name w:val="Heading 4"/>
    <w:basedOn w:val="734"/>
    <w:next w:val="734"/>
    <w:link w:val="793"/>
    <w:uiPriority w:val="9"/>
    <w:qFormat/>
    <w:pPr>
      <w:keepLines/>
      <w:keepNext/>
      <w:spacing w:before="280" w:after="290" w:line="376" w:lineRule="auto"/>
      <w:outlineLvl w:val="3"/>
    </w:pPr>
    <w:rPr>
      <w:rFonts w:ascii="Arial" w:hAnsi="Arial" w:eastAsia="黑体"/>
      <w:b/>
      <w:bCs/>
      <w:sz w:val="28"/>
      <w:szCs w:val="28"/>
    </w:rPr>
  </w:style>
  <w:style w:type="paragraph" w:styleId="739">
    <w:name w:val="Heading 5"/>
    <w:basedOn w:val="734"/>
    <w:next w:val="746"/>
    <w:link w:val="798"/>
    <w:uiPriority w:val="0"/>
    <w:qFormat/>
    <w:pPr>
      <w:keepNext/>
      <w:outlineLvl w:val="4"/>
    </w:pPr>
    <w:rPr>
      <w:rFonts w:ascii="宋体"/>
      <w:color w:val="000000"/>
      <w:sz w:val="28"/>
      <w:szCs w:val="28"/>
    </w:rPr>
  </w:style>
  <w:style w:type="paragraph" w:styleId="740">
    <w:name w:val="Heading 6"/>
    <w:basedOn w:val="734"/>
    <w:next w:val="734"/>
    <w:link w:val="799"/>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741">
    <w:name w:val="Heading 7"/>
    <w:basedOn w:val="734"/>
    <w:next w:val="734"/>
    <w:link w:val="800"/>
    <w:uiPriority w:val="0"/>
    <w:qFormat/>
    <w:pPr>
      <w:numPr>
        <w:ilvl w:val="6"/>
        <w:numId w:val="1"/>
      </w:numPr>
      <w:keepLines/>
      <w:keepNext/>
      <w:spacing w:before="240" w:after="64" w:line="320" w:lineRule="auto"/>
      <w:outlineLvl w:val="6"/>
    </w:pPr>
    <w:rPr>
      <w:b/>
      <w:bCs/>
      <w:sz w:val="24"/>
      <w:szCs w:val="24"/>
    </w:rPr>
  </w:style>
  <w:style w:type="paragraph" w:styleId="742">
    <w:name w:val="Heading 8"/>
    <w:basedOn w:val="734"/>
    <w:next w:val="734"/>
    <w:link w:val="801"/>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743">
    <w:name w:val="Heading 9"/>
    <w:basedOn w:val="734"/>
    <w:next w:val="734"/>
    <w:link w:val="802"/>
    <w:uiPriority w:val="0"/>
    <w:qFormat/>
    <w:pPr>
      <w:numPr>
        <w:ilvl w:val="8"/>
        <w:numId w:val="1"/>
      </w:numPr>
      <w:keepLines/>
      <w:keepNext/>
      <w:spacing w:before="240" w:after="64" w:line="320" w:lineRule="auto"/>
      <w:outlineLvl w:val="8"/>
    </w:pPr>
    <w:rPr>
      <w:rFonts w:ascii="Arial" w:hAnsi="Arial" w:eastAsia="黑体"/>
      <w:sz w:val="20"/>
    </w:rPr>
  </w:style>
  <w:style w:type="character" w:styleId="744" w:default="1">
    <w:name w:val="Default Paragraph Font"/>
    <w:uiPriority w:val="1"/>
    <w:unhideWhenUsed/>
    <w:qFormat/>
  </w:style>
  <w:style w:type="table" w:styleId="745" w:default="1">
    <w:name w:val="Normal Table"/>
    <w:uiPriority w:val="99"/>
    <w:unhideWhenUsed/>
    <w:qFormat/>
    <w:tblPr>
      <w:tblCellMar>
        <w:left w:w="108" w:type="dxa"/>
        <w:top w:w="0" w:type="dxa"/>
        <w:right w:w="108" w:type="dxa"/>
        <w:bottom w:w="0" w:type="dxa"/>
      </w:tblCellMar>
    </w:tblPr>
  </w:style>
  <w:style w:type="paragraph" w:styleId="746">
    <w:name w:val="Normal Indent"/>
    <w:basedOn w:val="734"/>
    <w:link w:val="796"/>
    <w:uiPriority w:val="0"/>
    <w:qFormat/>
    <w:pPr>
      <w:ind w:firstLine="420"/>
    </w:pPr>
    <w:rPr>
      <w:sz w:val="20"/>
    </w:rPr>
  </w:style>
  <w:style w:type="paragraph" w:styleId="747">
    <w:name w:val="List 3"/>
    <w:basedOn w:val="734"/>
    <w:uiPriority w:val="0"/>
    <w:qFormat/>
    <w:pPr>
      <w:ind w:left="100" w:hanging="200"/>
    </w:pPr>
  </w:style>
  <w:style w:type="paragraph" w:styleId="748">
    <w:name w:val="toc 7"/>
    <w:basedOn w:val="734"/>
    <w:next w:val="734"/>
    <w:uiPriority w:val="0"/>
    <w:semiHidden/>
    <w:qFormat/>
    <w:pPr>
      <w:ind w:left="1260"/>
      <w:jc w:val="left"/>
    </w:pPr>
  </w:style>
  <w:style w:type="paragraph" w:styleId="749">
    <w:name w:val="Document Map"/>
    <w:basedOn w:val="734"/>
    <w:link w:val="803"/>
    <w:uiPriority w:val="0"/>
    <w:semiHidden/>
    <w:qFormat/>
    <w:pPr>
      <w:shd w:val="clear" w:color="auto" w:fill="000080"/>
    </w:pPr>
    <w:rPr>
      <w:sz w:val="20"/>
    </w:rPr>
  </w:style>
  <w:style w:type="paragraph" w:styleId="750">
    <w:name w:val="annotation text"/>
    <w:basedOn w:val="734"/>
    <w:link w:val="804"/>
    <w:uiPriority w:val="99"/>
    <w:semiHidden/>
    <w:qFormat/>
    <w:pPr>
      <w:jc w:val="left"/>
    </w:pPr>
    <w:rPr>
      <w:sz w:val="20"/>
    </w:rPr>
  </w:style>
  <w:style w:type="paragraph" w:styleId="751">
    <w:name w:val="Body Text 3"/>
    <w:basedOn w:val="734"/>
    <w:link w:val="805"/>
    <w:uiPriority w:val="0"/>
    <w:qFormat/>
    <w:rPr>
      <w:rFonts w:ascii="仿宋_GB2312" w:hAnsi="Arial" w:eastAsia="仿宋_GB2312"/>
      <w:sz w:val="32"/>
      <w:szCs w:val="32"/>
    </w:rPr>
  </w:style>
  <w:style w:type="paragraph" w:styleId="752">
    <w:name w:val="Body Text"/>
    <w:basedOn w:val="734"/>
    <w:next w:val="734"/>
    <w:link w:val="806"/>
    <w:uiPriority w:val="99"/>
    <w:qFormat/>
    <w:rPr>
      <w:rFonts w:ascii="楷体_GB2312" w:hAnsi="Arial" w:eastAsia="楷体_GB2312"/>
      <w:sz w:val="28"/>
      <w:szCs w:val="28"/>
    </w:rPr>
  </w:style>
  <w:style w:type="paragraph" w:styleId="753">
    <w:name w:val="Body Text Indent"/>
    <w:basedOn w:val="734"/>
    <w:link w:val="807"/>
    <w:uiPriority w:val="99"/>
    <w:qFormat/>
    <w:pPr>
      <w:ind w:firstLine="645"/>
    </w:pPr>
    <w:rPr>
      <w:rFonts w:ascii="楷体_GB2312" w:eastAsia="楷体_GB2312"/>
      <w:sz w:val="32"/>
      <w:szCs w:val="32"/>
    </w:rPr>
  </w:style>
  <w:style w:type="paragraph" w:styleId="754">
    <w:name w:val="List 2"/>
    <w:basedOn w:val="734"/>
    <w:uiPriority w:val="0"/>
    <w:qFormat/>
    <w:pPr>
      <w:ind w:left="100" w:hanging="200"/>
    </w:pPr>
  </w:style>
  <w:style w:type="paragraph" w:styleId="755">
    <w:name w:val="Block Text"/>
    <w:basedOn w:val="734"/>
    <w:uiPriority w:val="0"/>
    <w:qFormat/>
    <w:pPr>
      <w:ind w:left="420" w:right="33"/>
      <w:jc w:val="left"/>
    </w:pPr>
    <w:rPr>
      <w:sz w:val="24"/>
      <w:szCs w:val="20"/>
    </w:rPr>
  </w:style>
  <w:style w:type="paragraph" w:styleId="756">
    <w:name w:val="index 4"/>
    <w:basedOn w:val="734"/>
    <w:next w:val="734"/>
    <w:uiPriority w:val="99"/>
    <w:qFormat/>
    <w:pPr>
      <w:ind w:left="600"/>
    </w:pPr>
    <w:rPr>
      <w:rFonts w:ascii="Calibri" w:hAnsi="Calibri" w:eastAsia="宋体" w:cs="Times New Roman"/>
      <w:szCs w:val="24"/>
    </w:rPr>
  </w:style>
  <w:style w:type="paragraph" w:styleId="757">
    <w:name w:val="toc 5"/>
    <w:basedOn w:val="734"/>
    <w:next w:val="734"/>
    <w:uiPriority w:val="0"/>
    <w:semiHidden/>
    <w:qFormat/>
    <w:pPr>
      <w:ind w:left="840"/>
      <w:jc w:val="left"/>
    </w:pPr>
  </w:style>
  <w:style w:type="paragraph" w:styleId="758">
    <w:name w:val="toc 3"/>
    <w:basedOn w:val="734"/>
    <w:next w:val="734"/>
    <w:uiPriority w:val="0"/>
    <w:semiHidden/>
    <w:qFormat/>
    <w:pPr>
      <w:ind w:left="420"/>
      <w:jc w:val="left"/>
    </w:pPr>
    <w:rPr>
      <w:i/>
      <w:iCs/>
      <w:szCs w:val="24"/>
    </w:rPr>
  </w:style>
  <w:style w:type="paragraph" w:styleId="759">
    <w:name w:val="Plain Text"/>
    <w:basedOn w:val="734"/>
    <w:link w:val="808"/>
    <w:uiPriority w:val="0"/>
    <w:qFormat/>
    <w:rPr>
      <w:rFonts w:ascii="宋体" w:hAnsi="Courier New"/>
      <w:sz w:val="20"/>
    </w:rPr>
  </w:style>
  <w:style w:type="paragraph" w:styleId="760">
    <w:name w:val="List Bullet 5"/>
    <w:basedOn w:val="734"/>
    <w:uiPriority w:val="99"/>
    <w:semiHidden/>
    <w:unhideWhenUsed/>
    <w:qFormat/>
    <w:pPr>
      <w:numPr>
        <w:ilvl w:val="0"/>
        <w:numId w:val="2"/>
      </w:numPr>
    </w:pPr>
  </w:style>
  <w:style w:type="paragraph" w:styleId="761">
    <w:name w:val="toc 8"/>
    <w:basedOn w:val="734"/>
    <w:next w:val="734"/>
    <w:uiPriority w:val="0"/>
    <w:semiHidden/>
    <w:qFormat/>
    <w:pPr>
      <w:ind w:left="1470"/>
      <w:jc w:val="left"/>
    </w:pPr>
  </w:style>
  <w:style w:type="paragraph" w:styleId="762">
    <w:name w:val="Date"/>
    <w:basedOn w:val="734"/>
    <w:next w:val="734"/>
    <w:link w:val="809"/>
    <w:uiPriority w:val="0"/>
    <w:qFormat/>
    <w:rPr>
      <w:sz w:val="24"/>
      <w:szCs w:val="24"/>
    </w:rPr>
  </w:style>
  <w:style w:type="paragraph" w:styleId="763">
    <w:name w:val="Body Text Indent 2"/>
    <w:basedOn w:val="734"/>
    <w:link w:val="810"/>
    <w:uiPriority w:val="0"/>
    <w:qFormat/>
    <w:pPr>
      <w:ind w:left="630" w:firstLine="645"/>
    </w:pPr>
    <w:rPr>
      <w:rFonts w:ascii="Arial" w:hAnsi="Arial" w:eastAsia="仿宋_GB2312"/>
      <w:sz w:val="32"/>
      <w:szCs w:val="32"/>
    </w:rPr>
  </w:style>
  <w:style w:type="paragraph" w:styleId="764">
    <w:name w:val="Balloon Text"/>
    <w:basedOn w:val="734"/>
    <w:link w:val="811"/>
    <w:uiPriority w:val="0"/>
    <w:qFormat/>
    <w:rPr>
      <w:sz w:val="18"/>
      <w:szCs w:val="18"/>
    </w:rPr>
  </w:style>
  <w:style w:type="paragraph" w:styleId="765">
    <w:name w:val="Footer"/>
    <w:basedOn w:val="734"/>
    <w:link w:val="812"/>
    <w:uiPriority w:val="0"/>
    <w:qFormat/>
    <w:pPr>
      <w:jc w:val="left"/>
      <w:tabs>
        <w:tab w:val="center" w:pos="4153" w:leader="none"/>
        <w:tab w:val="right" w:pos="8306" w:leader="none"/>
      </w:tabs>
    </w:pPr>
    <w:rPr>
      <w:sz w:val="18"/>
      <w:szCs w:val="18"/>
    </w:rPr>
  </w:style>
  <w:style w:type="paragraph" w:styleId="766">
    <w:name w:val="envelope return"/>
    <w:basedOn w:val="734"/>
    <w:uiPriority w:val="99"/>
    <w:unhideWhenUsed/>
    <w:qFormat/>
    <w:rPr>
      <w:rFonts w:hint="eastAsia" w:ascii="Arial" w:hAnsi="Arial" w:eastAsia="宋体" w:cs="Times New Roman"/>
      <w:sz w:val="24"/>
      <w:szCs w:val="24"/>
    </w:rPr>
  </w:style>
  <w:style w:type="paragraph" w:styleId="767">
    <w:name w:val="Header"/>
    <w:basedOn w:val="734"/>
    <w:link w:val="813"/>
    <w:uiPriority w:val="0"/>
    <w:qFormat/>
    <w:pPr>
      <w:jc w:val="center"/>
      <w:tabs>
        <w:tab w:val="center" w:pos="4153" w:leader="none"/>
        <w:tab w:val="right" w:pos="8306" w:leader="none"/>
      </w:tabs>
      <w:pBdr>
        <w:bottom w:val="single" w:color="auto" w:sz="6" w:space="1"/>
      </w:pBdr>
    </w:pPr>
    <w:rPr>
      <w:sz w:val="18"/>
      <w:szCs w:val="18"/>
    </w:rPr>
  </w:style>
  <w:style w:type="paragraph" w:styleId="768">
    <w:name w:val="toc 1"/>
    <w:basedOn w:val="734"/>
    <w:next w:val="734"/>
    <w:uiPriority w:val="0"/>
    <w:semiHidden/>
    <w:qFormat/>
    <w:pPr>
      <w:jc w:val="left"/>
      <w:spacing w:before="120" w:after="120" w:line="400" w:lineRule="exact"/>
      <w:tabs>
        <w:tab w:val="right" w:pos="8720" w:leader="dot"/>
      </w:tabs>
    </w:pPr>
    <w:rPr>
      <w:rFonts w:ascii="宋体" w:hAnsi="宋体"/>
      <w:caps/>
      <w:sz w:val="24"/>
      <w:szCs w:val="24"/>
    </w:rPr>
  </w:style>
  <w:style w:type="paragraph" w:styleId="769">
    <w:name w:val="toc 4"/>
    <w:basedOn w:val="734"/>
    <w:next w:val="734"/>
    <w:uiPriority w:val="0"/>
    <w:semiHidden/>
    <w:qFormat/>
    <w:pPr>
      <w:ind w:left="630"/>
      <w:jc w:val="left"/>
    </w:pPr>
  </w:style>
  <w:style w:type="paragraph" w:styleId="770">
    <w:name w:val="List"/>
    <w:basedOn w:val="734"/>
    <w:uiPriority w:val="0"/>
    <w:qFormat/>
    <w:pPr>
      <w:ind w:left="200" w:hanging="200"/>
    </w:pPr>
  </w:style>
  <w:style w:type="paragraph" w:styleId="771">
    <w:name w:val="toc 6"/>
    <w:basedOn w:val="734"/>
    <w:next w:val="734"/>
    <w:uiPriority w:val="0"/>
    <w:semiHidden/>
    <w:qFormat/>
    <w:pPr>
      <w:ind w:left="1050"/>
      <w:jc w:val="left"/>
    </w:pPr>
  </w:style>
  <w:style w:type="paragraph" w:styleId="772">
    <w:name w:val="Body Text Indent 3"/>
    <w:basedOn w:val="734"/>
    <w:link w:val="814"/>
    <w:uiPriority w:val="0"/>
    <w:qFormat/>
    <w:pPr>
      <w:ind w:left="645" w:firstLine="645"/>
    </w:pPr>
    <w:rPr>
      <w:rFonts w:ascii="Arial" w:hAnsi="Arial" w:eastAsia="仿宋_GB2312"/>
      <w:color w:val="ffff00"/>
      <w:sz w:val="32"/>
      <w:szCs w:val="32"/>
    </w:rPr>
  </w:style>
  <w:style w:type="paragraph" w:styleId="773">
    <w:name w:val="table of figures"/>
    <w:basedOn w:val="734"/>
    <w:next w:val="734"/>
    <w:uiPriority w:val="0"/>
    <w:semiHidden/>
    <w:qFormat/>
    <w:pPr>
      <w:ind w:left="840" w:hanging="420"/>
    </w:pPr>
  </w:style>
  <w:style w:type="paragraph" w:styleId="774">
    <w:name w:val="toc 2"/>
    <w:basedOn w:val="734"/>
    <w:next w:val="734"/>
    <w:uiPriority w:val="0"/>
    <w:semiHidden/>
    <w:qFormat/>
    <w:pPr>
      <w:ind w:left="210"/>
      <w:jc w:val="left"/>
    </w:pPr>
    <w:rPr>
      <w:smallCaps/>
      <w:szCs w:val="24"/>
    </w:rPr>
  </w:style>
  <w:style w:type="paragraph" w:styleId="775">
    <w:name w:val="toc 9"/>
    <w:basedOn w:val="734"/>
    <w:next w:val="734"/>
    <w:uiPriority w:val="0"/>
    <w:semiHidden/>
    <w:qFormat/>
    <w:pPr>
      <w:ind w:left="1680"/>
      <w:jc w:val="left"/>
    </w:pPr>
  </w:style>
  <w:style w:type="paragraph" w:styleId="776">
    <w:name w:val="Body Text 2"/>
    <w:basedOn w:val="734"/>
    <w:link w:val="815"/>
    <w:uiPriority w:val="0"/>
    <w:qFormat/>
    <w:pPr>
      <w:jc w:val="center"/>
      <w:widowControl/>
    </w:pPr>
    <w:rPr>
      <w:rFonts w:ascii="楷体_GB2312" w:eastAsia="楷体_GB2312"/>
      <w:sz w:val="28"/>
      <w:szCs w:val="28"/>
    </w:rPr>
  </w:style>
  <w:style w:type="paragraph" w:styleId="777">
    <w:name w:val="Normal (Web)"/>
    <w:basedOn w:val="734"/>
    <w:uiPriority w:val="99"/>
    <w:qFormat/>
    <w:pPr>
      <w:jc w:val="left"/>
      <w:spacing w:before="100" w:beforeAutospacing="1" w:after="100" w:afterAutospacing="1"/>
      <w:widowControl/>
    </w:pPr>
    <w:rPr>
      <w:rFonts w:ascii="宋体" w:hAnsi="宋体" w:cs="宋体"/>
      <w:sz w:val="24"/>
      <w:szCs w:val="24"/>
    </w:rPr>
  </w:style>
  <w:style w:type="paragraph" w:styleId="778">
    <w:name w:val="index 1"/>
    <w:basedOn w:val="734"/>
    <w:next w:val="734"/>
    <w:uiPriority w:val="0"/>
    <w:semiHidden/>
    <w:qFormat/>
    <w:pPr>
      <w:spacing w:line="240" w:lineRule="atLeast"/>
    </w:pPr>
    <w:rPr>
      <w:b/>
      <w:bCs/>
    </w:rPr>
  </w:style>
  <w:style w:type="paragraph" w:styleId="779">
    <w:name w:val="annotation subject"/>
    <w:basedOn w:val="750"/>
    <w:next w:val="750"/>
    <w:link w:val="816"/>
    <w:uiPriority w:val="0"/>
    <w:qFormat/>
    <w:rPr>
      <w:b/>
      <w:bCs/>
    </w:rPr>
  </w:style>
  <w:style w:type="paragraph" w:styleId="780">
    <w:name w:val="Body Text First Indent"/>
    <w:basedOn w:val="752"/>
    <w:link w:val="817"/>
    <w:uiPriority w:val="99"/>
    <w:qFormat/>
    <w:pPr>
      <w:ind w:firstLine="200"/>
      <w:spacing w:line="360" w:lineRule="auto"/>
    </w:pPr>
    <w:rPr>
      <w:rFonts w:ascii="仿宋_GB2312" w:eastAsia="仿宋_GB2312"/>
      <w:sz w:val="30"/>
      <w:szCs w:val="30"/>
    </w:rPr>
  </w:style>
  <w:style w:type="paragraph" w:styleId="781">
    <w:name w:val="Body Text First Indent 2"/>
    <w:basedOn w:val="753"/>
    <w:next w:val="780"/>
    <w:link w:val="818"/>
    <w:uiPriority w:val="99"/>
    <w:qFormat/>
    <w:pPr>
      <w:ind w:firstLine="420"/>
      <w:spacing w:line="360" w:lineRule="auto"/>
    </w:pPr>
    <w:rPr>
      <w:rFonts w:ascii="宋体" w:hAnsi="宋体" w:eastAsia="宋体"/>
      <w:szCs w:val="20"/>
    </w:rPr>
  </w:style>
  <w:style w:type="table" w:styleId="782">
    <w:name w:val="Table Grid"/>
    <w:basedOn w:val="745"/>
    <w:uiPriority w:val="0"/>
    <w:qFormat/>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83">
    <w:name w:val="Strong"/>
    <w:basedOn w:val="744"/>
    <w:uiPriority w:val="0"/>
    <w:qFormat/>
    <w:rPr>
      <w:b/>
      <w:bCs/>
    </w:rPr>
  </w:style>
  <w:style w:type="character" w:styleId="784">
    <w:name w:val="page number"/>
    <w:uiPriority w:val="0"/>
    <w:qFormat/>
  </w:style>
  <w:style w:type="character" w:styleId="785">
    <w:name w:val="FollowedHyperlink"/>
    <w:uiPriority w:val="99"/>
    <w:qFormat/>
    <w:rPr>
      <w:color w:val="800080"/>
      <w:u w:val="single"/>
    </w:rPr>
  </w:style>
  <w:style w:type="character" w:styleId="786">
    <w:name w:val="Emphasis"/>
    <w:basedOn w:val="744"/>
    <w:uiPriority w:val="20"/>
    <w:qFormat/>
    <w:rPr>
      <w:i/>
    </w:rPr>
  </w:style>
  <w:style w:type="character" w:styleId="787">
    <w:name w:val="HTML Typewriter"/>
    <w:uiPriority w:val="99"/>
    <w:qFormat/>
    <w:rPr>
      <w:rFonts w:ascii="宋体" w:hAnsi="宋体" w:eastAsia="宋体" w:cs="宋体"/>
      <w:sz w:val="24"/>
      <w:szCs w:val="24"/>
    </w:rPr>
  </w:style>
  <w:style w:type="character" w:styleId="788">
    <w:name w:val="Hyperlink"/>
    <w:uiPriority w:val="99"/>
    <w:qFormat/>
    <w:rPr>
      <w:color w:val="0000ff"/>
      <w:u w:val="single"/>
    </w:rPr>
  </w:style>
  <w:style w:type="character" w:styleId="789">
    <w:name w:val="annotation reference"/>
    <w:uiPriority w:val="0"/>
    <w:qFormat/>
    <w:rPr>
      <w:sz w:val="21"/>
      <w:szCs w:val="21"/>
    </w:rPr>
  </w:style>
  <w:style w:type="paragraph" w:styleId="790" w:customStyle="1">
    <w:name w:val="段"/>
    <w:next w:val="734"/>
    <w:uiPriority w:val="0"/>
    <w:qFormat/>
    <w:pPr>
      <w:ind w:firstLine="200"/>
      <w:jc w:val="both"/>
    </w:pPr>
    <w:rPr>
      <w:rFonts w:ascii="宋体" w:hAnsi="Times New Roman" w:eastAsia="宋体" w:cs="Times New Roman"/>
      <w:sz w:val="21"/>
      <w:lang w:val="en-US" w:eastAsia="zh-CN" w:bidi="ar-SA"/>
    </w:rPr>
  </w:style>
  <w:style w:type="paragraph" w:styleId="791" w:customStyle="1">
    <w:name w:val="正文缩进11"/>
    <w:basedOn w:val="734"/>
    <w:uiPriority w:val="0"/>
    <w:unhideWhenUsed/>
    <w:qFormat/>
    <w:pPr>
      <w:ind w:firstLine="420"/>
    </w:pPr>
    <w:rPr>
      <w:szCs w:val="24"/>
    </w:rPr>
  </w:style>
  <w:style w:type="paragraph" w:styleId="792" w:customStyle="1">
    <w:name w:val="TOC Heading1"/>
    <w:next w:val="734"/>
    <w:uiPriority w:val="0"/>
    <w:qFormat/>
    <w:rPr>
      <w:rFonts w:ascii="Times New Roman" w:hAnsi="Times New Roman" w:eastAsia="宋体" w:cs="Times New Roman"/>
      <w:sz w:val="32"/>
      <w:lang w:val="en-US" w:eastAsia="zh-CN" w:bidi="ar-SA"/>
    </w:rPr>
  </w:style>
  <w:style w:type="character" w:styleId="793" w:customStyle="1">
    <w:name w:val="标题 4 Char"/>
    <w:link w:val="738"/>
    <w:uiPriority w:val="9"/>
    <w:qFormat/>
    <w:rPr>
      <w:rFonts w:ascii="Arial" w:hAnsi="Arial" w:eastAsia="黑体" w:cs="Arial"/>
      <w:b/>
      <w:bCs/>
      <w:sz w:val="28"/>
      <w:szCs w:val="28"/>
    </w:rPr>
  </w:style>
  <w:style w:type="character" w:styleId="794" w:customStyle="1">
    <w:name w:val="标题 1 Char"/>
    <w:link w:val="735"/>
    <w:uiPriority w:val="9"/>
    <w:qFormat/>
    <w:rPr>
      <w:rFonts w:ascii="楷体_GB2312" w:hAnsi="Times New Roman" w:eastAsia="楷体_GB2312" w:cs="Times New Roman"/>
      <w:sz w:val="28"/>
      <w:szCs w:val="28"/>
    </w:rPr>
  </w:style>
  <w:style w:type="character" w:styleId="795" w:customStyle="1">
    <w:name w:val="标题 2 Char"/>
    <w:link w:val="736"/>
    <w:uiPriority w:val="0"/>
    <w:qFormat/>
    <w:rPr>
      <w:rFonts w:ascii="Arial" w:hAnsi="Arial" w:eastAsia="幼圆" w:cs="Arial"/>
      <w:b/>
      <w:bCs/>
      <w:sz w:val="44"/>
      <w:szCs w:val="44"/>
    </w:rPr>
  </w:style>
  <w:style w:type="character" w:styleId="796" w:customStyle="1">
    <w:name w:val="正文缩进 Char"/>
    <w:link w:val="746"/>
    <w:uiPriority w:val="0"/>
    <w:qFormat/>
    <w:rPr>
      <w:rFonts w:ascii="Times New Roman" w:hAnsi="Times New Roman" w:eastAsia="宋体" w:cs="Times New Roman"/>
      <w:szCs w:val="21"/>
    </w:rPr>
  </w:style>
  <w:style w:type="character" w:styleId="797" w:customStyle="1">
    <w:name w:val="标题 3 Char"/>
    <w:link w:val="737"/>
    <w:uiPriority w:val="0"/>
    <w:qFormat/>
    <w:rPr>
      <w:rFonts w:ascii="Times New Roman" w:hAnsi="Times New Roman" w:eastAsia="宋体" w:cs="Times New Roman"/>
      <w:b/>
      <w:bCs/>
      <w:sz w:val="32"/>
      <w:szCs w:val="32"/>
    </w:rPr>
  </w:style>
  <w:style w:type="character" w:styleId="798" w:customStyle="1">
    <w:name w:val="标题 5 Char"/>
    <w:link w:val="739"/>
    <w:uiPriority w:val="0"/>
    <w:qFormat/>
    <w:rPr>
      <w:rFonts w:ascii="宋体" w:hAnsi="Times New Roman" w:eastAsia="宋体" w:cs="Times New Roman"/>
      <w:color w:val="000000"/>
      <w:sz w:val="28"/>
      <w:szCs w:val="28"/>
    </w:rPr>
  </w:style>
  <w:style w:type="character" w:styleId="799" w:customStyle="1">
    <w:name w:val="标题 6 Char"/>
    <w:link w:val="740"/>
    <w:uiPriority w:val="0"/>
    <w:qFormat/>
    <w:rPr>
      <w:rFonts w:ascii="Arial" w:hAnsi="Arial" w:eastAsia="黑体" w:cs="Times New Roman"/>
      <w:b/>
      <w:bCs/>
      <w:sz w:val="24"/>
      <w:szCs w:val="24"/>
    </w:rPr>
  </w:style>
  <w:style w:type="character" w:styleId="800" w:customStyle="1">
    <w:name w:val="标题 7 Char"/>
    <w:link w:val="741"/>
    <w:uiPriority w:val="0"/>
    <w:qFormat/>
    <w:rPr>
      <w:rFonts w:ascii="Times New Roman" w:hAnsi="Times New Roman" w:eastAsia="宋体" w:cs="Times New Roman"/>
      <w:b/>
      <w:bCs/>
      <w:sz w:val="24"/>
      <w:szCs w:val="24"/>
    </w:rPr>
  </w:style>
  <w:style w:type="character" w:styleId="801" w:customStyle="1">
    <w:name w:val="标题 8 Char"/>
    <w:link w:val="742"/>
    <w:uiPriority w:val="0"/>
    <w:qFormat/>
    <w:rPr>
      <w:rFonts w:ascii="Arial" w:hAnsi="Arial" w:eastAsia="黑体" w:cs="Times New Roman"/>
      <w:sz w:val="24"/>
      <w:szCs w:val="24"/>
    </w:rPr>
  </w:style>
  <w:style w:type="character" w:styleId="802" w:customStyle="1">
    <w:name w:val="标题 9 Char"/>
    <w:link w:val="743"/>
    <w:uiPriority w:val="0"/>
    <w:qFormat/>
    <w:rPr>
      <w:rFonts w:ascii="Arial" w:hAnsi="Arial" w:eastAsia="黑体" w:cs="Times New Roman"/>
      <w:szCs w:val="21"/>
    </w:rPr>
  </w:style>
  <w:style w:type="character" w:styleId="803" w:customStyle="1">
    <w:name w:val="文档结构图 Char"/>
    <w:link w:val="749"/>
    <w:uiPriority w:val="0"/>
    <w:semiHidden/>
    <w:qFormat/>
    <w:rPr>
      <w:rFonts w:ascii="Times New Roman" w:hAnsi="Times New Roman" w:eastAsia="宋体" w:cs="Times New Roman"/>
      <w:szCs w:val="21"/>
      <w:shd w:val="clear" w:color="auto" w:fill="000080"/>
    </w:rPr>
  </w:style>
  <w:style w:type="character" w:styleId="804" w:customStyle="1">
    <w:name w:val="批注文字 Char"/>
    <w:link w:val="750"/>
    <w:uiPriority w:val="99"/>
    <w:semiHidden/>
    <w:qFormat/>
    <w:rPr>
      <w:rFonts w:ascii="Times New Roman" w:hAnsi="Times New Roman" w:eastAsia="宋体" w:cs="Times New Roman"/>
      <w:szCs w:val="21"/>
    </w:rPr>
  </w:style>
  <w:style w:type="character" w:styleId="805" w:customStyle="1">
    <w:name w:val="正文文本 3 Char"/>
    <w:link w:val="751"/>
    <w:uiPriority w:val="0"/>
    <w:qFormat/>
    <w:rPr>
      <w:rFonts w:ascii="仿宋_GB2312" w:hAnsi="Arial" w:eastAsia="仿宋_GB2312" w:cs="Times New Roman"/>
      <w:sz w:val="32"/>
      <w:szCs w:val="32"/>
    </w:rPr>
  </w:style>
  <w:style w:type="character" w:styleId="806" w:customStyle="1">
    <w:name w:val="正文文本 Char"/>
    <w:link w:val="752"/>
    <w:uiPriority w:val="0"/>
    <w:qFormat/>
    <w:rPr>
      <w:rFonts w:ascii="楷体_GB2312" w:hAnsi="Arial" w:eastAsia="楷体_GB2312" w:cs="Times New Roman"/>
      <w:sz w:val="28"/>
      <w:szCs w:val="28"/>
    </w:rPr>
  </w:style>
  <w:style w:type="character" w:styleId="807" w:customStyle="1">
    <w:name w:val="正文文本缩进 Char"/>
    <w:link w:val="753"/>
    <w:uiPriority w:val="0"/>
    <w:qFormat/>
    <w:rPr>
      <w:rFonts w:ascii="楷体_GB2312" w:hAnsi="Times New Roman" w:eastAsia="楷体_GB2312" w:cs="Times New Roman"/>
      <w:sz w:val="32"/>
      <w:szCs w:val="32"/>
    </w:rPr>
  </w:style>
  <w:style w:type="character" w:styleId="808" w:customStyle="1">
    <w:name w:val="纯文本 Char"/>
    <w:link w:val="759"/>
    <w:uiPriority w:val="0"/>
    <w:qFormat/>
    <w:rPr>
      <w:rFonts w:ascii="宋体" w:hAnsi="Courier New" w:eastAsia="宋体" w:cs="Courier New"/>
      <w:szCs w:val="21"/>
    </w:rPr>
  </w:style>
  <w:style w:type="character" w:styleId="809" w:customStyle="1">
    <w:name w:val="日期 Char"/>
    <w:link w:val="762"/>
    <w:uiPriority w:val="0"/>
    <w:qFormat/>
    <w:rPr>
      <w:rFonts w:ascii="Times New Roman" w:hAnsi="Times New Roman" w:eastAsia="宋体" w:cs="Times New Roman"/>
      <w:sz w:val="24"/>
      <w:szCs w:val="24"/>
    </w:rPr>
  </w:style>
  <w:style w:type="character" w:styleId="810" w:customStyle="1">
    <w:name w:val="正文文本缩进 2 Char"/>
    <w:link w:val="763"/>
    <w:uiPriority w:val="0"/>
    <w:qFormat/>
    <w:rPr>
      <w:rFonts w:ascii="Arial" w:hAnsi="Arial" w:eastAsia="仿宋_GB2312" w:cs="Arial"/>
      <w:sz w:val="32"/>
      <w:szCs w:val="32"/>
    </w:rPr>
  </w:style>
  <w:style w:type="character" w:styleId="811" w:customStyle="1">
    <w:name w:val="批注框文本 Char"/>
    <w:link w:val="764"/>
    <w:uiPriority w:val="0"/>
    <w:qFormat/>
    <w:rPr>
      <w:rFonts w:ascii="Times New Roman" w:hAnsi="Times New Roman" w:eastAsia="宋体" w:cs="Times New Roman"/>
      <w:sz w:val="18"/>
      <w:szCs w:val="18"/>
    </w:rPr>
  </w:style>
  <w:style w:type="character" w:styleId="812" w:customStyle="1">
    <w:name w:val="页脚 Char"/>
    <w:link w:val="765"/>
    <w:uiPriority w:val="0"/>
    <w:qFormat/>
    <w:rPr>
      <w:rFonts w:ascii="Times New Roman" w:hAnsi="Times New Roman" w:eastAsia="宋体" w:cs="Times New Roman"/>
      <w:sz w:val="18"/>
      <w:szCs w:val="18"/>
    </w:rPr>
  </w:style>
  <w:style w:type="character" w:styleId="813" w:customStyle="1">
    <w:name w:val="页眉 Char"/>
    <w:link w:val="767"/>
    <w:uiPriority w:val="0"/>
    <w:qFormat/>
    <w:rPr>
      <w:rFonts w:ascii="Times New Roman" w:hAnsi="Times New Roman" w:eastAsia="宋体" w:cs="Times New Roman"/>
      <w:sz w:val="18"/>
      <w:szCs w:val="18"/>
    </w:rPr>
  </w:style>
  <w:style w:type="character" w:styleId="814" w:customStyle="1">
    <w:name w:val="正文文本缩进 3 Char"/>
    <w:link w:val="772"/>
    <w:uiPriority w:val="0"/>
    <w:qFormat/>
    <w:rPr>
      <w:rFonts w:ascii="Arial" w:hAnsi="Arial" w:eastAsia="仿宋_GB2312" w:cs="Arial"/>
      <w:color w:val="ffff00"/>
      <w:sz w:val="32"/>
      <w:szCs w:val="32"/>
    </w:rPr>
  </w:style>
  <w:style w:type="character" w:styleId="815" w:customStyle="1">
    <w:name w:val="正文文本 2 Char"/>
    <w:link w:val="776"/>
    <w:uiPriority w:val="0"/>
    <w:qFormat/>
    <w:rPr>
      <w:rFonts w:ascii="楷体_GB2312" w:hAnsi="Times New Roman" w:eastAsia="楷体_GB2312" w:cs="Times New Roman"/>
      <w:sz w:val="28"/>
      <w:szCs w:val="28"/>
    </w:rPr>
  </w:style>
  <w:style w:type="character" w:styleId="816" w:customStyle="1">
    <w:name w:val="批注主题 Char"/>
    <w:link w:val="779"/>
    <w:uiPriority w:val="0"/>
    <w:qFormat/>
    <w:rPr>
      <w:rFonts w:ascii="Times New Roman" w:hAnsi="Times New Roman" w:eastAsia="宋体" w:cs="Times New Roman"/>
      <w:b/>
      <w:bCs/>
      <w:szCs w:val="21"/>
    </w:rPr>
  </w:style>
  <w:style w:type="character" w:styleId="817" w:customStyle="1">
    <w:name w:val="正文首行缩进 Char"/>
    <w:link w:val="780"/>
    <w:uiPriority w:val="0"/>
    <w:qFormat/>
    <w:rPr>
      <w:rFonts w:ascii="仿宋_GB2312" w:hAnsi="Times New Roman" w:eastAsia="仿宋_GB2312" w:cs="Times New Roman"/>
      <w:sz w:val="30"/>
      <w:szCs w:val="30"/>
    </w:rPr>
  </w:style>
  <w:style w:type="character" w:styleId="818" w:customStyle="1">
    <w:name w:val="正文首行缩进 2 Char"/>
    <w:link w:val="781"/>
    <w:uiPriority w:val="0"/>
    <w:qFormat/>
    <w:rPr>
      <w:rFonts w:ascii="宋体" w:hAnsi="宋体" w:eastAsia="宋体" w:cs="Times New Roman"/>
      <w:sz w:val="32"/>
      <w:szCs w:val="20"/>
    </w:rPr>
  </w:style>
  <w:style w:type="paragraph" w:styleId="819" w:customStyle="1">
    <w:name w:val="toc 11"/>
    <w:next w:val="734"/>
    <w:uiPriority w:val="0"/>
    <w:qFormat/>
    <w:pPr>
      <w:jc w:val="both"/>
    </w:pPr>
    <w:rPr>
      <w:rFonts w:ascii="Times New Roman" w:hAnsi="Times New Roman" w:eastAsia="宋体" w:cs="Times New Roman"/>
      <w:sz w:val="21"/>
      <w:lang w:val="en-US" w:eastAsia="zh-CN" w:bidi="ar-SA"/>
    </w:rPr>
  </w:style>
  <w:style w:type="paragraph" w:styleId="820"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character" w:styleId="821" w:customStyle="1">
    <w:name w:val="页码1"/>
    <w:uiPriority w:val="0"/>
    <w:qFormat/>
    <w:rPr>
      <w:sz w:val="21"/>
      <w:szCs w:val="21"/>
      <w:lang w:val="en-US" w:eastAsia="zh-CN" w:bidi="ar-SA"/>
    </w:rPr>
  </w:style>
  <w:style w:type="character" w:styleId="822" w:customStyle="1">
    <w:name w:val="font5 Char"/>
    <w:uiPriority w:val="0"/>
    <w:qFormat/>
    <w:rPr>
      <w:rFonts w:ascii="宋体" w:hAnsi="宋体" w:eastAsia="宋体"/>
      <w:sz w:val="28"/>
      <w:szCs w:val="28"/>
      <w:lang w:val="en-US" w:eastAsia="zh-CN" w:bidi="ar-SA"/>
    </w:rPr>
  </w:style>
  <w:style w:type="character" w:styleId="823" w:customStyle="1">
    <w:name w:val="二级目录 Char"/>
    <w:link w:val="824"/>
    <w:uiPriority w:val="0"/>
    <w:qFormat/>
    <w:rPr>
      <w:b/>
      <w:sz w:val="30"/>
      <w:szCs w:val="28"/>
      <w:lang w:val="en-US" w:eastAsia="zh-CN" w:bidi="ar-SA"/>
    </w:rPr>
  </w:style>
  <w:style w:type="paragraph" w:styleId="824" w:customStyle="1">
    <w:name w:val="二级目录"/>
    <w:next w:val="734"/>
    <w:link w:val="823"/>
    <w:uiPriority w:val="0"/>
    <w:qFormat/>
    <w:pPr>
      <w:numPr>
        <w:ilvl w:val="0"/>
        <w:numId w:val="3"/>
      </w:numPr>
      <w:tabs>
        <w:tab w:val="left" w:pos="1145" w:leader="none"/>
      </w:tabs>
      <w:outlineLvl w:val="1"/>
    </w:pPr>
    <w:rPr>
      <w:rFonts w:ascii="Times New Roman" w:hAnsi="Times New Roman" w:eastAsia="宋体" w:cs="Times New Roman"/>
      <w:b/>
      <w:sz w:val="30"/>
      <w:szCs w:val="28"/>
      <w:lang w:val="en-US" w:eastAsia="zh-CN" w:bidi="ar-SA"/>
    </w:rPr>
  </w:style>
  <w:style w:type="character" w:styleId="825" w:customStyle="1">
    <w:name w:val="列出段落 Char"/>
    <w:link w:val="826"/>
    <w:uiPriority w:val="0"/>
    <w:qFormat/>
    <w:rPr>
      <w:rFonts w:ascii="Calibri" w:hAnsi="Calibri"/>
      <w:sz w:val="24"/>
      <w:szCs w:val="24"/>
      <w:lang w:eastAsia="en-US" w:bidi="en-US"/>
    </w:rPr>
  </w:style>
  <w:style w:type="paragraph" w:styleId="826" w:customStyle="1">
    <w:name w:val="列出段落1"/>
    <w:basedOn w:val="734"/>
    <w:link w:val="825"/>
    <w:uiPriority w:val="0"/>
    <w:qFormat/>
    <w:pPr>
      <w:contextualSpacing/>
      <w:ind w:left="720"/>
      <w:jc w:val="left"/>
      <w:widowControl/>
    </w:pPr>
    <w:rPr>
      <w:rFonts w:ascii="Calibri" w:hAnsi="Calibri"/>
      <w:sz w:val="24"/>
      <w:szCs w:val="24"/>
      <w:lang w:eastAsia="en-US" w:bidi="en-US"/>
    </w:rPr>
  </w:style>
  <w:style w:type="paragraph" w:styleId="827" w:customStyle="1">
    <w:name w:val="Body Text(ch)"/>
    <w:basedOn w:val="734"/>
    <w:next w:val="752"/>
    <w:uiPriority w:val="0"/>
    <w:qFormat/>
    <w:pPr>
      <w:spacing w:after="120"/>
    </w:pPr>
    <w:rPr>
      <w:rFonts w:ascii="宋体" w:hAnsi="Arial"/>
      <w:bCs/>
      <w:iCs/>
      <w:szCs w:val="24"/>
    </w:rPr>
  </w:style>
  <w:style w:type="paragraph" w:styleId="828" w:customStyle="1">
    <w:name w:val="xl27"/>
    <w:basedOn w:val="73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829" w:customStyle="1">
    <w:name w:val="xl26"/>
    <w:basedOn w:val="73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830" w:customStyle="1">
    <w:name w:val="Char"/>
    <w:basedOn w:val="734"/>
    <w:uiPriority w:val="0"/>
    <w:qFormat/>
    <w:pPr>
      <w:ind w:firstLine="200"/>
      <w:tabs>
        <w:tab w:val="left" w:pos="360" w:leader="none"/>
      </w:tabs>
    </w:pPr>
    <w:rPr>
      <w:sz w:val="28"/>
      <w:szCs w:val="30"/>
    </w:rPr>
  </w:style>
  <w:style w:type="paragraph" w:styleId="831" w:customStyle="1">
    <w:name w:val=" Char"/>
    <w:basedOn w:val="749"/>
    <w:uiPriority w:val="0"/>
    <w:qFormat/>
    <w:rPr>
      <w:rFonts w:ascii="Tahoma" w:hAnsi="Tahoma"/>
      <w:sz w:val="24"/>
      <w:szCs w:val="24"/>
    </w:rPr>
  </w:style>
  <w:style w:type="paragraph" w:styleId="832" w:customStyle="1">
    <w:name w:val="普通正文"/>
    <w:basedOn w:val="734"/>
    <w:uiPriority w:val="0"/>
    <w:qFormat/>
    <w:pPr>
      <w:ind w:firstLine="480"/>
      <w:jc w:val="left"/>
      <w:spacing w:before="120" w:after="120" w:line="360" w:lineRule="auto"/>
    </w:pPr>
    <w:rPr>
      <w:rFonts w:ascii="Arial" w:hAnsi="Arial"/>
      <w:sz w:val="24"/>
      <w:szCs w:val="24"/>
    </w:rPr>
  </w:style>
  <w:style w:type="paragraph" w:styleId="833" w:customStyle="1">
    <w:name w:val="table_lines"/>
    <w:basedOn w:val="734"/>
    <w:uiPriority w:val="0"/>
    <w:qFormat/>
    <w:pPr>
      <w:jc w:val="left"/>
      <w:widowControl/>
    </w:pPr>
    <w:rPr>
      <w:sz w:val="20"/>
      <w:szCs w:val="20"/>
      <w:lang w:val="de-DE" w:eastAsia="de-DE"/>
    </w:rPr>
  </w:style>
  <w:style w:type="paragraph" w:styleId="834" w:customStyle="1">
    <w:name w:val="附录1"/>
    <w:uiPriority w:val="0"/>
    <w:qFormat/>
    <w:pPr>
      <w:numPr>
        <w:ilvl w:val="0"/>
        <w:numId w:val="3"/>
      </w:numPr>
      <w:spacing w:before="240" w:line="600" w:lineRule="atLeast"/>
    </w:pPr>
    <w:rPr>
      <w:rFonts w:ascii="Times New Roman" w:hAnsi="Times New Roman" w:eastAsia="宋体" w:cs="Times New Roman"/>
      <w:b/>
      <w:i/>
      <w:sz w:val="28"/>
      <w:lang w:val="en-US" w:eastAsia="zh-CN" w:bidi="ar-SA"/>
    </w:rPr>
  </w:style>
  <w:style w:type="paragraph" w:styleId="835" w:customStyle="1">
    <w:name w:val="font7"/>
    <w:basedOn w:val="734"/>
    <w:uiPriority w:val="0"/>
    <w:qFormat/>
    <w:pPr>
      <w:jc w:val="left"/>
      <w:spacing w:before="100" w:beforeAutospacing="1" w:after="100" w:afterAutospacing="1"/>
      <w:widowControl/>
    </w:pPr>
    <w:rPr>
      <w:rFonts w:hint="eastAsia" w:ascii="宋体" w:hAnsi="宋体"/>
      <w:sz w:val="18"/>
      <w:szCs w:val="18"/>
    </w:rPr>
  </w:style>
  <w:style w:type="paragraph" w:styleId="836" w:customStyle="1">
    <w:name w:val=" Char Char Char Char"/>
    <w:basedOn w:val="749"/>
    <w:uiPriority w:val="0"/>
    <w:qFormat/>
    <w:pPr>
      <w:spacing w:line="360" w:lineRule="auto"/>
    </w:pPr>
    <w:rPr>
      <w:rFonts w:ascii="Tahoma" w:hAnsi="Tahoma"/>
      <w:sz w:val="24"/>
      <w:szCs w:val="24"/>
    </w:rPr>
  </w:style>
  <w:style w:type="paragraph" w:styleId="837">
    <w:name w:val="List Paragraph"/>
    <w:basedOn w:val="734"/>
    <w:uiPriority w:val="99"/>
    <w:qFormat/>
    <w:pPr>
      <w:contextualSpacing/>
      <w:ind w:left="720"/>
      <w:jc w:val="left"/>
      <w:widowControl/>
    </w:pPr>
    <w:rPr>
      <w:rFonts w:ascii="Calibri" w:hAnsi="Calibri"/>
      <w:sz w:val="24"/>
      <w:szCs w:val="24"/>
      <w:lang w:eastAsia="en-US" w:bidi="en-US"/>
    </w:rPr>
  </w:style>
  <w:style w:type="paragraph" w:styleId="838" w:customStyle="1">
    <w:name w:val="4"/>
    <w:basedOn w:val="734"/>
    <w:next w:val="772"/>
    <w:uiPriority w:val="0"/>
    <w:qFormat/>
    <w:pPr>
      <w:ind w:firstLine="420"/>
      <w:spacing w:line="360" w:lineRule="auto"/>
    </w:pPr>
    <w:rPr>
      <w:color w:val="ff0000"/>
      <w:sz w:val="24"/>
      <w:szCs w:val="24"/>
    </w:rPr>
  </w:style>
  <w:style w:type="paragraph" w:styleId="839" w:customStyle="1">
    <w:name w:val="普通 (Web)"/>
    <w:basedOn w:val="734"/>
    <w:uiPriority w:val="0"/>
    <w:qFormat/>
    <w:pPr>
      <w:jc w:val="left"/>
      <w:spacing w:before="100" w:beforeAutospacing="1" w:after="100" w:afterAutospacing="1"/>
      <w:widowControl/>
    </w:pPr>
    <w:rPr>
      <w:rFonts w:ascii="宋体" w:hAnsi="宋体"/>
      <w:sz w:val="24"/>
      <w:szCs w:val="24"/>
    </w:rPr>
  </w:style>
  <w:style w:type="paragraph" w:styleId="840" w:customStyle="1">
    <w:name w:val=" Char Char Char Char Char Char Char Char Char Char"/>
    <w:basedOn w:val="734"/>
    <w:uiPriority w:val="0"/>
    <w:qFormat/>
    <w:pPr>
      <w:spacing w:line="360" w:lineRule="auto"/>
    </w:pPr>
    <w:rPr>
      <w:sz w:val="24"/>
      <w:szCs w:val="20"/>
    </w:rPr>
  </w:style>
  <w:style w:type="paragraph" w:styleId="841" w:customStyle="1">
    <w:name w:val="样式1"/>
    <w:basedOn w:val="734"/>
    <w:uiPriority w:val="0"/>
    <w:qFormat/>
    <w:pPr>
      <w:numPr>
        <w:ilvl w:val="0"/>
        <w:numId w:val="4"/>
      </w:numPr>
    </w:pPr>
    <w:rPr>
      <w:rFonts w:ascii="宋体" w:hAnsi="宋体"/>
    </w:rPr>
  </w:style>
  <w:style w:type="paragraph" w:styleId="842" w:customStyle="1">
    <w:name w:val="font6"/>
    <w:basedOn w:val="734"/>
    <w:uiPriority w:val="0"/>
    <w:qFormat/>
    <w:pPr>
      <w:jc w:val="left"/>
      <w:spacing w:before="100" w:beforeAutospacing="1" w:after="100" w:afterAutospacing="1"/>
      <w:widowControl/>
    </w:pPr>
    <w:rPr>
      <w:rFonts w:hint="eastAsia" w:ascii="宋体" w:hAnsi="宋体"/>
      <w:sz w:val="28"/>
      <w:szCs w:val="28"/>
      <w:u w:val="single"/>
    </w:rPr>
  </w:style>
  <w:style w:type="paragraph" w:styleId="843" w:customStyle="1">
    <w:name w:val="xl25"/>
    <w:basedOn w:val="734"/>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44" w:customStyle="1">
    <w:name w:val="图标"/>
    <w:basedOn w:val="734"/>
    <w:next w:val="734"/>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845" w:customStyle="1">
    <w:name w:val="标题3"/>
    <w:basedOn w:val="734"/>
    <w:next w:val="734"/>
    <w:uiPriority w:val="0"/>
    <w:qFormat/>
    <w:pPr>
      <w:ind w:firstLine="624"/>
      <w:spacing w:line="590" w:lineRule="atLeast"/>
    </w:pPr>
    <w:rPr>
      <w:rFonts w:ascii="方正黑体_GBK" w:eastAsia="方正黑体_GBK"/>
      <w:sz w:val="32"/>
      <w:szCs w:val="32"/>
    </w:rPr>
  </w:style>
  <w:style w:type="paragraph" w:styleId="846" w:customStyle="1">
    <w:name w:val="xl24"/>
    <w:basedOn w:val="73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847" w:customStyle="1">
    <w:name w:val="xl29"/>
    <w:basedOn w:val="734"/>
    <w:uiPriority w:val="0"/>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848" w:customStyle="1">
    <w:name w:val="Char Char Char Char Char Char Char Char"/>
    <w:basedOn w:val="734"/>
    <w:uiPriority w:val="0"/>
    <w:qFormat/>
    <w:pPr>
      <w:jc w:val="left"/>
      <w:spacing w:after="160" w:line="240" w:lineRule="exact"/>
      <w:widowControl/>
    </w:pPr>
    <w:rPr>
      <w:rFonts w:ascii="Verdana" w:hAnsi="Verdana"/>
      <w:sz w:val="20"/>
      <w:szCs w:val="20"/>
      <w:lang w:eastAsia="en-US"/>
    </w:rPr>
  </w:style>
  <w:style w:type="paragraph" w:styleId="849" w:customStyle="1">
    <w:name w:val="xl28"/>
    <w:basedOn w:val="734"/>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850" w:customStyle="1">
    <w:name w:val=" Char Char Char Char Char Char Char Char"/>
    <w:basedOn w:val="734"/>
    <w:uiPriority w:val="0"/>
    <w:qFormat/>
    <w:pPr>
      <w:jc w:val="left"/>
      <w:spacing w:after="160" w:line="240" w:lineRule="exact"/>
      <w:widowControl/>
    </w:pPr>
    <w:rPr>
      <w:rFonts w:ascii="Verdana" w:hAnsi="Verdana"/>
      <w:sz w:val="20"/>
      <w:szCs w:val="20"/>
      <w:lang w:eastAsia="en-US"/>
    </w:rPr>
  </w:style>
  <w:style w:type="paragraph" w:styleId="851" w:customStyle="1">
    <w:name w:val="xl30"/>
    <w:basedOn w:val="734"/>
    <w:uiPriority w:val="0"/>
    <w:qFormat/>
    <w:pPr>
      <w:jc w:val="center"/>
      <w:spacing w:before="100" w:beforeAutospacing="1" w:after="100" w:afterAutospacing="1"/>
      <w:widowControl/>
    </w:pPr>
    <w:rPr>
      <w:rFonts w:ascii="宋体" w:hAnsi="宋体"/>
      <w:b/>
      <w:bCs/>
      <w:sz w:val="36"/>
      <w:szCs w:val="36"/>
    </w:rPr>
  </w:style>
  <w:style w:type="paragraph" w:styleId="852" w:customStyle="1">
    <w:name w:val="Char Char Char Char"/>
    <w:basedOn w:val="749"/>
    <w:uiPriority w:val="0"/>
    <w:qFormat/>
    <w:pPr>
      <w:spacing w:line="360" w:lineRule="auto"/>
    </w:pPr>
    <w:rPr>
      <w:rFonts w:ascii="Tahoma" w:hAnsi="Tahoma"/>
      <w:sz w:val="24"/>
      <w:szCs w:val="24"/>
    </w:rPr>
  </w:style>
  <w:style w:type="paragraph" w:styleId="853" w:customStyle="1">
    <w:name w:val="table_1stline"/>
    <w:basedOn w:val="734"/>
    <w:uiPriority w:val="0"/>
    <w:qFormat/>
    <w:pPr>
      <w:jc w:val="left"/>
      <w:spacing w:before="120"/>
      <w:widowControl/>
    </w:pPr>
    <w:rPr>
      <w:bCs/>
      <w:sz w:val="20"/>
      <w:szCs w:val="20"/>
      <w:lang w:val="de-DE" w:eastAsia="de-DE"/>
    </w:rPr>
  </w:style>
  <w:style w:type="paragraph" w:styleId="854" w:customStyle="1">
    <w:name w:val="font5"/>
    <w:basedOn w:val="734"/>
    <w:uiPriority w:val="0"/>
    <w:qFormat/>
    <w:pPr>
      <w:jc w:val="left"/>
      <w:spacing w:before="100" w:beforeAutospacing="1" w:after="100" w:afterAutospacing="1"/>
      <w:widowControl/>
    </w:pPr>
    <w:rPr>
      <w:rFonts w:hint="eastAsia" w:ascii="宋体" w:hAnsi="宋体"/>
      <w:sz w:val="28"/>
      <w:szCs w:val="28"/>
    </w:rPr>
  </w:style>
  <w:style w:type="paragraph" w:styleId="855" w:customStyle="1">
    <w:name w:val="标题1"/>
    <w:basedOn w:val="734"/>
    <w:next w:val="734"/>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856" w:customStyle="1">
    <w:name w:val="_Style 117"/>
    <w:uiPriority w:val="99"/>
    <w:semiHidden/>
    <w:qFormat/>
    <w:rPr>
      <w:rFonts w:ascii="Times New Roman" w:hAnsi="Times New Roman" w:eastAsia="宋体" w:cs="Times New Roman"/>
      <w:sz w:val="21"/>
      <w:szCs w:val="21"/>
      <w:lang w:val="en-US" w:eastAsia="zh-CN" w:bidi="ar-SA"/>
    </w:rPr>
  </w:style>
  <w:style w:type="paragraph" w:styleId="857">
    <w:name w:val="No Spacing"/>
    <w:uiPriority w:val="99"/>
    <w:qFormat/>
    <w:pPr>
      <w:jc w:val="both"/>
      <w:widowControl w:val="off"/>
    </w:pPr>
    <w:rPr>
      <w:rFonts w:ascii="Times New Roman" w:hAnsi="Times New Roman" w:eastAsia="宋体" w:cs="Times New Roman"/>
      <w:sz w:val="21"/>
      <w:szCs w:val="21"/>
      <w:lang w:val="en-US" w:eastAsia="zh-CN" w:bidi="ar-SA"/>
    </w:rPr>
  </w:style>
  <w:style w:type="paragraph" w:styleId="858" w:customStyle="1">
    <w:name w:val="普通文字"/>
    <w:basedOn w:val="734"/>
    <w:next w:val="734"/>
    <w:uiPriority w:val="99"/>
    <w:qFormat/>
    <w:rPr>
      <w:rFonts w:ascii="宋体" w:hAnsi="Times New Roman" w:eastAsia="宋体" w:cs="Times New Roman"/>
      <w:sz w:val="24"/>
      <w:szCs w:val="20"/>
      <w:u w:val="none"/>
    </w:rPr>
  </w:style>
  <w:style w:type="paragraph" w:styleId="859" w:customStyle="1">
    <w:name w:val="目录 111"/>
    <w:basedOn w:val="734"/>
    <w:next w:val="734"/>
    <w:uiPriority w:val="39"/>
    <w:unhideWhenUsed/>
    <w:qFormat/>
    <w:pPr>
      <w:jc w:val="left"/>
      <w:spacing w:after="100" w:line="259" w:lineRule="auto"/>
      <w:widowControl/>
    </w:pPr>
    <w:rPr>
      <w:rFonts w:ascii="Calibri" w:hAnsi="Calibri" w:eastAsia="宋体"/>
      <w:sz w:val="22"/>
      <w:szCs w:val="22"/>
    </w:rPr>
  </w:style>
  <w:style w:type="character" w:styleId="860" w:customStyle="1">
    <w:name w:val="font11"/>
    <w:uiPriority w:val="0"/>
    <w:qFormat/>
    <w:rPr>
      <w:rFonts w:hint="eastAsia" w:ascii="宋体" w:hAnsi="宋体" w:eastAsia="宋体" w:cs="宋体"/>
      <w:color w:val="000000"/>
      <w:sz w:val="20"/>
      <w:szCs w:val="20"/>
      <w:u w:val="none"/>
    </w:rPr>
  </w:style>
  <w:style w:type="paragraph" w:styleId="861" w:customStyle="1">
    <w:name w:val="msonormal"/>
    <w:basedOn w:val="734"/>
    <w:uiPriority w:val="0"/>
    <w:qFormat/>
    <w:pPr>
      <w:jc w:val="left"/>
      <w:spacing w:before="100" w:beforeAutospacing="1" w:after="100" w:afterAutospacing="1"/>
      <w:widowControl/>
    </w:pPr>
    <w:rPr>
      <w:rFonts w:ascii="宋体" w:hAnsi="宋体" w:cs="宋体"/>
      <w:sz w:val="24"/>
      <w:szCs w:val="24"/>
    </w:rPr>
  </w:style>
  <w:style w:type="paragraph" w:styleId="862" w:customStyle="1">
    <w:name w:val="xl66"/>
    <w:basedOn w:val="734"/>
    <w:uiPriority w:val="0"/>
    <w:qFormat/>
    <w:pPr>
      <w:jc w:val="left"/>
      <w:spacing w:before="100" w:beforeAutospacing="1" w:after="100" w:afterAutospacing="1"/>
      <w:widowControl/>
    </w:pPr>
    <w:rPr>
      <w:rFonts w:ascii="宋体" w:hAnsi="宋体" w:cs="宋体"/>
      <w:sz w:val="22"/>
      <w:szCs w:val="22"/>
    </w:rPr>
  </w:style>
  <w:style w:type="paragraph" w:styleId="863" w:customStyle="1">
    <w:name w:val="xl67"/>
    <w:basedOn w:val="734"/>
    <w:uiPriority w:val="0"/>
    <w:qFormat/>
    <w:pPr>
      <w:jc w:val="left"/>
      <w:spacing w:before="100" w:beforeAutospacing="1" w:after="100" w:afterAutospacing="1"/>
      <w:widowControl/>
    </w:pPr>
    <w:rPr>
      <w:rFonts w:ascii="宋体" w:hAnsi="宋体" w:cs="宋体"/>
      <w:color w:val="000000"/>
      <w:sz w:val="22"/>
      <w:szCs w:val="22"/>
    </w:rPr>
  </w:style>
  <w:style w:type="paragraph" w:styleId="864" w:customStyle="1">
    <w:name w:val="xl68"/>
    <w:basedOn w:val="734"/>
    <w:uiPriority w:val="0"/>
    <w:qFormat/>
    <w:pPr>
      <w:jc w:val="center"/>
      <w:spacing w:before="100" w:beforeAutospacing="1" w:after="100" w:afterAutospacing="1"/>
      <w:widowControl/>
    </w:pPr>
    <w:rPr>
      <w:rFonts w:ascii="宋体" w:hAnsi="宋体" w:cs="宋体"/>
      <w:sz w:val="22"/>
      <w:szCs w:val="22"/>
    </w:rPr>
  </w:style>
  <w:style w:type="paragraph" w:styleId="865" w:customStyle="1">
    <w:name w:val="xl69"/>
    <w:basedOn w:val="734"/>
    <w:uiPriority w:val="0"/>
    <w:qFormat/>
    <w:pPr>
      <w:jc w:val="center"/>
      <w:spacing w:before="100" w:beforeAutospacing="1" w:after="100" w:afterAutospacing="1"/>
      <w:widowControl/>
    </w:pPr>
    <w:rPr>
      <w:rFonts w:ascii="宋体" w:hAnsi="宋体" w:cs="宋体"/>
      <w:sz w:val="18"/>
      <w:szCs w:val="18"/>
    </w:rPr>
  </w:style>
  <w:style w:type="paragraph" w:styleId="866" w:customStyle="1">
    <w:name w:val="xl70"/>
    <w:basedOn w:val="734"/>
    <w:uiPriority w:val="0"/>
    <w:qFormat/>
    <w:pPr>
      <w:jc w:val="center"/>
      <w:spacing w:before="100" w:beforeAutospacing="1" w:after="100" w:afterAutospacing="1"/>
      <w:widowControl/>
    </w:pPr>
    <w:rPr>
      <w:rFonts w:ascii="宋体" w:hAnsi="宋体" w:cs="宋体"/>
      <w:color w:val="000000"/>
      <w:sz w:val="22"/>
      <w:szCs w:val="22"/>
    </w:rPr>
  </w:style>
  <w:style w:type="paragraph" w:styleId="867" w:customStyle="1">
    <w:name w:val="xl71"/>
    <w:basedOn w:val="73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2"/>
      <w:szCs w:val="22"/>
    </w:rPr>
  </w:style>
  <w:style w:type="paragraph" w:styleId="868" w:customStyle="1">
    <w:name w:val="xl72"/>
    <w:basedOn w:val="73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869" w:customStyle="1">
    <w:name w:val="xl73"/>
    <w:basedOn w:val="734"/>
    <w:uiPriority w:val="0"/>
    <w:qFormat/>
    <w:pPr>
      <w:jc w:val="center"/>
      <w:spacing w:before="100" w:beforeAutospacing="1" w:after="100" w:afterAutospacing="1"/>
      <w:shd w:val="clear" w:color="000000" w:fill="a9d08e"/>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870" w:customStyle="1">
    <w:name w:val="xl74"/>
    <w:basedOn w:val="73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871" w:customStyle="1">
    <w:name w:val="xl75"/>
    <w:basedOn w:val="73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872" w:customStyle="1">
    <w:name w:val="xl76"/>
    <w:basedOn w:val="734"/>
    <w:uiPriority w:val="0"/>
    <w:qFormat/>
    <w:pPr>
      <w:jc w:val="center"/>
      <w:spacing w:before="100" w:beforeAutospacing="1" w:after="100" w:afterAutospacing="1"/>
      <w:shd w:val="clear" w:color="000000" w:fill="ef949f"/>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873" w:customStyle="1">
    <w:name w:val="xl77"/>
    <w:basedOn w:val="73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874" w:customStyle="1">
    <w:name w:val="xl78"/>
    <w:basedOn w:val="73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875" w:customStyle="1">
    <w:name w:val="xl79"/>
    <w:basedOn w:val="73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876" w:customStyle="1">
    <w:name w:val="xl80"/>
    <w:basedOn w:val="734"/>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sz w:val="18"/>
      <w:szCs w:val="18"/>
    </w:rPr>
  </w:style>
  <w:style w:type="paragraph" w:styleId="877" w:customStyle="1">
    <w:name w:val="xl81"/>
    <w:basedOn w:val="73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878" w:customStyle="1">
    <w:name w:val="xl82"/>
    <w:basedOn w:val="734"/>
    <w:uiPriority w:val="0"/>
    <w:qFormat/>
    <w:pPr>
      <w:jc w:val="left"/>
      <w:spacing w:before="100" w:beforeAutospacing="1" w:after="100" w:afterAutospacing="1"/>
      <w:shd w:val="clear" w:color="000000" w:fill="ef949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879" w:customStyle="1">
    <w:name w:val="xl83"/>
    <w:basedOn w:val="73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880" w:customStyle="1">
    <w:name w:val="xl84"/>
    <w:basedOn w:val="73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881" w:customStyle="1">
    <w:name w:val="xl85"/>
    <w:basedOn w:val="73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882" w:customStyle="1">
    <w:name w:val="xl86"/>
    <w:basedOn w:val="73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883" w:customStyle="1">
    <w:name w:val="xl87"/>
    <w:basedOn w:val="73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884" w:customStyle="1">
    <w:name w:val="xl88"/>
    <w:basedOn w:val="73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885" w:customStyle="1">
    <w:name w:val="xl89"/>
    <w:basedOn w:val="734"/>
    <w:uiPriority w:val="0"/>
    <w:qFormat/>
    <w:pPr>
      <w:jc w:val="center"/>
      <w:spacing w:before="100" w:beforeAutospacing="1" w:after="100" w:afterAutospacing="1"/>
      <w:widowControl/>
      <w:pBdr>
        <w:top w:val="single" w:color="auto" w:sz="4" w:space="0"/>
        <w:bottom w:val="single" w:color="auto" w:sz="4" w:space="0"/>
      </w:pBdr>
    </w:pPr>
    <w:rPr>
      <w:rFonts w:ascii="宋体" w:hAnsi="宋体" w:cs="宋体"/>
      <w:sz w:val="18"/>
      <w:szCs w:val="18"/>
    </w:rPr>
  </w:style>
  <w:style w:type="paragraph" w:styleId="886" w:customStyle="1">
    <w:name w:val="xl90"/>
    <w:basedOn w:val="734"/>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18"/>
      <w:szCs w:val="18"/>
    </w:rPr>
  </w:style>
  <w:style w:type="paragraph" w:styleId="887" w:customStyle="1">
    <w:name w:val="xl91"/>
    <w:basedOn w:val="73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888" w:customStyle="1">
    <w:name w:val="xl92"/>
    <w:basedOn w:val="73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889" w:customStyle="1">
    <w:name w:val="xl93"/>
    <w:basedOn w:val="734"/>
    <w:uiPriority w:val="0"/>
    <w:qFormat/>
    <w:pPr>
      <w:jc w:val="left"/>
      <w:spacing w:before="100" w:beforeAutospacing="1" w:after="100" w:afterAutospacing="1"/>
      <w:shd w:val="clear" w:color="000000" w:fill="ef949f"/>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890" w:customStyle="1">
    <w:name w:val="xl94"/>
    <w:basedOn w:val="73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891" w:customStyle="1">
    <w:name w:val="xl95"/>
    <w:basedOn w:val="734"/>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18"/>
      <w:szCs w:val="18"/>
    </w:rPr>
  </w:style>
  <w:style w:type="paragraph" w:styleId="892" w:customStyle="1">
    <w:name w:val="xl96"/>
    <w:basedOn w:val="734"/>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color w:val="000000"/>
      <w:sz w:val="18"/>
      <w:szCs w:val="18"/>
    </w:rPr>
  </w:style>
  <w:style w:type="paragraph" w:styleId="893" w:customStyle="1">
    <w:name w:val="xl97"/>
    <w:basedOn w:val="73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894" w:customStyle="1">
    <w:name w:val="xl98"/>
    <w:basedOn w:val="73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895" w:customStyle="1">
    <w:name w:val="xl99"/>
    <w:basedOn w:val="73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896" w:customStyle="1">
    <w:name w:val="xl100"/>
    <w:basedOn w:val="73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897" w:customStyle="1">
    <w:name w:val="xl101"/>
    <w:basedOn w:val="73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898" w:customStyle="1">
    <w:name w:val="xl102"/>
    <w:basedOn w:val="73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899" w:customStyle="1">
    <w:name w:val="xl103"/>
    <w:basedOn w:val="734"/>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18"/>
      <w:szCs w:val="18"/>
    </w:rPr>
  </w:style>
  <w:style w:type="paragraph" w:styleId="900" w:customStyle="1">
    <w:name w:val="xl104"/>
    <w:basedOn w:val="734"/>
    <w:uiPriority w:val="0"/>
    <w:qFormat/>
    <w:pPr>
      <w:jc w:val="center"/>
      <w:spacing w:before="100" w:beforeAutospacing="1" w:after="100" w:afterAutospacing="1"/>
      <w:widowControl/>
      <w:pBdr>
        <w:top w:val="single" w:color="auto" w:sz="4" w:space="0"/>
      </w:pBdr>
    </w:pPr>
    <w:rPr>
      <w:rFonts w:ascii="宋体" w:hAnsi="宋体" w:cs="宋体"/>
      <w:sz w:val="18"/>
      <w:szCs w:val="18"/>
    </w:rPr>
  </w:style>
  <w:style w:type="paragraph" w:styleId="901" w:customStyle="1">
    <w:name w:val="xl105"/>
    <w:basedOn w:val="734"/>
    <w:uiPriority w:val="0"/>
    <w:qFormat/>
    <w:pPr>
      <w:jc w:val="center"/>
      <w:spacing w:before="100" w:beforeAutospacing="1" w:after="100" w:afterAutospacing="1"/>
      <w:shd w:val="clear" w:color="000000" w:fill="ef949f"/>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902" w:customStyle="1">
    <w:name w:val="xl106"/>
    <w:basedOn w:val="73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903" w:customStyle="1">
    <w:name w:val="xl107"/>
    <w:basedOn w:val="73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2"/>
      <w:szCs w:val="22"/>
    </w:rPr>
  </w:style>
  <w:style w:type="paragraph" w:styleId="904" w:customStyle="1">
    <w:name w:val="xl108"/>
    <w:basedOn w:val="734"/>
    <w:uiPriority w:val="0"/>
    <w:qFormat/>
    <w:pPr>
      <w:jc w:val="left"/>
      <w:spacing w:before="100" w:beforeAutospacing="1" w:after="100" w:afterAutospacing="1"/>
      <w:shd w:val="clear" w:color="000000" w:fill="a9d08e"/>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905" w:customStyle="1">
    <w:name w:val="xl109"/>
    <w:basedOn w:val="734"/>
    <w:uiPriority w:val="0"/>
    <w:qFormat/>
    <w:pPr>
      <w:jc w:val="left"/>
      <w:spacing w:before="100" w:beforeAutospacing="1" w:after="100" w:afterAutospacing="1"/>
      <w:shd w:val="clear" w:color="000000" w:fill="ef949f"/>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906" w:customStyle="1">
    <w:name w:val="xl110"/>
    <w:basedOn w:val="734"/>
    <w:uiPriority w:val="0"/>
    <w:qFormat/>
    <w:pPr>
      <w:jc w:val="left"/>
      <w:spacing w:before="100" w:beforeAutospacing="1" w:after="100" w:afterAutospacing="1"/>
      <w:shd w:val="clear" w:color="000000" w:fill="ef949f"/>
      <w:widowControl/>
      <w:pBdr>
        <w:top w:val="single" w:color="auto" w:sz="4" w:space="0"/>
        <w:bottom w:val="single" w:color="auto" w:sz="4" w:space="0"/>
        <w:right w:val="single" w:color="auto" w:sz="4" w:space="0"/>
      </w:pBdr>
    </w:pPr>
    <w:rPr>
      <w:rFonts w:ascii="宋体" w:hAnsi="宋体" w:cs="宋体"/>
      <w:b/>
      <w:bCs/>
      <w:sz w:val="22"/>
      <w:szCs w:val="22"/>
    </w:rPr>
  </w:style>
  <w:style w:type="paragraph" w:styleId="907" w:customStyle="1">
    <w:name w:val="xl111"/>
    <w:basedOn w:val="734"/>
    <w:uiPriority w:val="0"/>
    <w:qFormat/>
    <w:pPr>
      <w:jc w:val="left"/>
      <w:spacing w:before="100" w:beforeAutospacing="1" w:after="100" w:afterAutospacing="1"/>
      <w:shd w:val="clear" w:color="000000" w:fill="ef949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908" w:customStyle="1">
    <w:name w:val="xl112"/>
    <w:basedOn w:val="73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09" w:customStyle="1">
    <w:name w:val="xl113"/>
    <w:basedOn w:val="734"/>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18"/>
      <w:szCs w:val="18"/>
    </w:rPr>
  </w:style>
  <w:style w:type="paragraph" w:styleId="910" w:customStyle="1">
    <w:name w:val="xl114"/>
    <w:basedOn w:val="734"/>
    <w:uiPriority w:val="0"/>
    <w:qFormat/>
    <w:pPr>
      <w:jc w:val="left"/>
      <w:spacing w:before="100" w:beforeAutospacing="1" w:after="100" w:afterAutospacing="1"/>
      <w:shd w:val="clear" w:color="000000" w:fill="ef949f"/>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911" w:customStyle="1">
    <w:name w:val="xl115"/>
    <w:basedOn w:val="734"/>
    <w:uiPriority w:val="0"/>
    <w:qFormat/>
    <w:pPr>
      <w:jc w:val="left"/>
      <w:spacing w:before="100" w:beforeAutospacing="1" w:after="100" w:afterAutospacing="1"/>
      <w:shd w:val="clear" w:color="000000" w:fill="ef949f"/>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912" w:customStyle="1">
    <w:name w:val="xl116"/>
    <w:basedOn w:val="734"/>
    <w:uiPriority w:val="0"/>
    <w:qFormat/>
    <w:pPr>
      <w:jc w:val="left"/>
      <w:spacing w:before="100" w:beforeAutospacing="1" w:after="100" w:afterAutospacing="1"/>
      <w:shd w:val="clear" w:color="000000" w:fill="ef949f"/>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913" w:customStyle="1">
    <w:name w:val="xl117"/>
    <w:basedOn w:val="73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914" w:customStyle="1">
    <w:name w:val="xl118"/>
    <w:basedOn w:val="734"/>
    <w:uiPriority w:val="0"/>
    <w:qFormat/>
    <w:pPr>
      <w:jc w:val="left"/>
      <w:spacing w:before="100" w:beforeAutospacing="1" w:after="100" w:afterAutospacing="1"/>
      <w:widowControl/>
    </w:pPr>
    <w:rPr>
      <w:rFonts w:ascii="宋体" w:hAnsi="宋体" w:cs="宋体"/>
      <w:sz w:val="24"/>
      <w:szCs w:val="24"/>
    </w:rPr>
  </w:style>
  <w:style w:type="paragraph" w:styleId="915" w:customStyle="1">
    <w:name w:val="xl119"/>
    <w:basedOn w:val="734"/>
    <w:uiPriority w:val="0"/>
    <w:qFormat/>
    <w:pPr>
      <w:jc w:val="center"/>
      <w:spacing w:before="100" w:beforeAutospacing="1" w:after="100" w:afterAutospacing="1"/>
      <w:shd w:val="clear" w:color="000000" w:fill="ef949f"/>
      <w:widowControl/>
      <w:pBdr>
        <w:top w:val="single" w:color="auto" w:sz="4" w:space="0"/>
        <w:left w:val="single" w:color="auto" w:sz="4" w:space="0"/>
        <w:bottom w:val="single" w:color="auto" w:sz="4" w:space="0"/>
      </w:pBdr>
    </w:pPr>
    <w:rPr>
      <w:rFonts w:ascii="宋体" w:hAnsi="宋体" w:cs="宋体"/>
      <w:b/>
      <w:bCs/>
      <w:sz w:val="24"/>
      <w:szCs w:val="24"/>
    </w:rPr>
  </w:style>
  <w:style w:type="paragraph" w:styleId="916" w:customStyle="1">
    <w:name w:val="xl120"/>
    <w:basedOn w:val="734"/>
    <w:uiPriority w:val="0"/>
    <w:qFormat/>
    <w:pPr>
      <w:jc w:val="center"/>
      <w:spacing w:before="100" w:beforeAutospacing="1" w:after="100" w:afterAutospacing="1"/>
      <w:shd w:val="clear" w:color="000000" w:fill="ef949f"/>
      <w:widowControl/>
      <w:pBdr>
        <w:top w:val="single" w:color="auto" w:sz="4" w:space="0"/>
        <w:bottom w:val="single" w:color="auto" w:sz="4" w:space="0"/>
      </w:pBdr>
    </w:pPr>
    <w:rPr>
      <w:rFonts w:ascii="宋体" w:hAnsi="宋体" w:cs="宋体"/>
      <w:b/>
      <w:bCs/>
      <w:sz w:val="24"/>
      <w:szCs w:val="24"/>
    </w:rPr>
  </w:style>
  <w:style w:type="paragraph" w:styleId="917" w:customStyle="1">
    <w:name w:val="xl121"/>
    <w:basedOn w:val="734"/>
    <w:uiPriority w:val="0"/>
    <w:qFormat/>
    <w:pPr>
      <w:jc w:val="center"/>
      <w:spacing w:before="100" w:beforeAutospacing="1" w:after="100" w:afterAutospacing="1"/>
      <w:shd w:val="clear" w:color="000000" w:fill="ef949f"/>
      <w:widowControl/>
      <w:pBdr>
        <w:top w:val="single" w:color="auto" w:sz="4" w:space="0"/>
        <w:bottom w:val="single" w:color="auto" w:sz="4" w:space="0"/>
        <w:right w:val="single" w:color="auto" w:sz="4" w:space="0"/>
      </w:pBdr>
    </w:pPr>
    <w:rPr>
      <w:rFonts w:ascii="宋体" w:hAnsi="宋体" w:cs="宋体"/>
      <w:b/>
      <w:bCs/>
      <w:sz w:val="24"/>
      <w:szCs w:val="24"/>
    </w:rPr>
  </w:style>
  <w:style w:type="paragraph" w:styleId="918" w:customStyle="1">
    <w:name w:val="xl122"/>
    <w:basedOn w:val="734"/>
    <w:uiPriority w:val="0"/>
    <w:qFormat/>
    <w:pPr>
      <w:jc w:val="center"/>
      <w:spacing w:before="100" w:beforeAutospacing="1" w:after="100" w:afterAutospacing="1"/>
      <w:shd w:val="clear" w:color="000000" w:fill="ef949f"/>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919" w:customStyle="1">
    <w:name w:val="xl123"/>
    <w:basedOn w:val="734"/>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4"/>
      <w:szCs w:val="24"/>
    </w:rPr>
  </w:style>
  <w:style w:type="paragraph" w:styleId="920" w:customStyle="1">
    <w:name w:val="xl124"/>
    <w:basedOn w:val="734"/>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24"/>
      <w:szCs w:val="24"/>
    </w:rPr>
  </w:style>
  <w:style w:type="paragraph" w:styleId="921" w:customStyle="1">
    <w:name w:val="xl125"/>
    <w:basedOn w:val="734"/>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color w:val="000000"/>
      <w:sz w:val="18"/>
      <w:szCs w:val="18"/>
    </w:rPr>
  </w:style>
  <w:style w:type="paragraph" w:styleId="922" w:customStyle="1">
    <w:name w:val="xl126"/>
    <w:basedOn w:val="73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color w:val="000000"/>
      <w:sz w:val="18"/>
      <w:szCs w:val="18"/>
    </w:rPr>
  </w:style>
  <w:style w:type="paragraph" w:styleId="923" w:customStyle="1">
    <w:name w:val="xl127"/>
    <w:basedOn w:val="734"/>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color w:val="000000"/>
      <w:sz w:val="20"/>
      <w:szCs w:val="20"/>
    </w:rPr>
  </w:style>
  <w:style w:type="paragraph" w:styleId="924" w:customStyle="1">
    <w:name w:val="xl128"/>
    <w:basedOn w:val="73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color w:val="000000"/>
      <w:sz w:val="20"/>
      <w:szCs w:val="20"/>
    </w:rPr>
  </w:style>
  <w:style w:type="paragraph" w:styleId="925" w:customStyle="1">
    <w:name w:val="xl129"/>
    <w:basedOn w:val="734"/>
    <w:uiPriority w:val="0"/>
    <w:qFormat/>
    <w:pPr>
      <w:jc w:val="center"/>
      <w:spacing w:before="100" w:beforeAutospacing="1" w:after="100" w:afterAutospacing="1"/>
      <w:shd w:val="clear" w:color="000000" w:fill="ef949f"/>
      <w:widowControl/>
      <w:pBdr>
        <w:top w:val="single" w:color="auto" w:sz="4" w:space="0"/>
        <w:left w:val="single" w:color="auto" w:sz="4" w:space="0"/>
        <w:bottom w:val="single" w:color="auto" w:sz="4" w:space="0"/>
      </w:pBdr>
    </w:pPr>
    <w:rPr>
      <w:rFonts w:ascii="宋体" w:hAnsi="宋体" w:cs="宋体"/>
      <w:b/>
      <w:bCs/>
      <w:sz w:val="18"/>
      <w:szCs w:val="18"/>
    </w:rPr>
  </w:style>
  <w:style w:type="paragraph" w:styleId="926" w:customStyle="1">
    <w:name w:val="xl130"/>
    <w:basedOn w:val="734"/>
    <w:uiPriority w:val="0"/>
    <w:qFormat/>
    <w:pPr>
      <w:jc w:val="center"/>
      <w:spacing w:before="100" w:beforeAutospacing="1" w:after="100" w:afterAutospacing="1"/>
      <w:shd w:val="clear" w:color="000000" w:fill="ef949f"/>
      <w:widowControl/>
      <w:pBdr>
        <w:top w:val="single" w:color="auto" w:sz="4" w:space="0"/>
        <w:bottom w:val="single" w:color="auto" w:sz="4" w:space="0"/>
        <w:right w:val="single" w:color="auto" w:sz="4" w:space="0"/>
      </w:pBdr>
    </w:pPr>
    <w:rPr>
      <w:rFonts w:ascii="宋体" w:hAnsi="宋体" w:cs="宋体"/>
      <w:b/>
      <w:bCs/>
      <w:sz w:val="18"/>
      <w:szCs w:val="18"/>
    </w:rPr>
  </w:style>
  <w:style w:type="paragraph" w:styleId="927" w:customStyle="1">
    <w:name w:val="xl131"/>
    <w:basedOn w:val="734"/>
    <w:uiPriority w:val="0"/>
    <w:qFormat/>
    <w:pPr>
      <w:jc w:val="center"/>
      <w:spacing w:before="100" w:beforeAutospacing="1" w:after="100" w:afterAutospacing="1"/>
      <w:shd w:val="clear" w:color="000000" w:fill="ef949f"/>
      <w:widowControl/>
      <w:pBdr>
        <w:top w:val="single" w:color="auto" w:sz="4" w:space="0"/>
        <w:left w:val="single" w:color="auto" w:sz="4" w:space="0"/>
        <w:bottom w:val="single" w:color="auto" w:sz="4" w:space="0"/>
      </w:pBdr>
    </w:pPr>
    <w:rPr>
      <w:rFonts w:ascii="宋体" w:hAnsi="宋体" w:cs="宋体"/>
      <w:b/>
      <w:bCs/>
      <w:sz w:val="22"/>
      <w:szCs w:val="22"/>
    </w:rPr>
  </w:style>
  <w:style w:type="paragraph" w:styleId="928" w:customStyle="1">
    <w:name w:val="xl132"/>
    <w:basedOn w:val="734"/>
    <w:uiPriority w:val="0"/>
    <w:qFormat/>
    <w:pPr>
      <w:jc w:val="center"/>
      <w:spacing w:before="100" w:beforeAutospacing="1" w:after="100" w:afterAutospacing="1"/>
      <w:shd w:val="clear" w:color="000000" w:fill="ef949f"/>
      <w:widowControl/>
      <w:pBdr>
        <w:top w:val="single" w:color="auto" w:sz="4" w:space="0"/>
        <w:bottom w:val="single" w:color="auto" w:sz="4" w:space="0"/>
        <w:right w:val="single" w:color="auto" w:sz="4" w:space="0"/>
      </w:pBdr>
    </w:pPr>
    <w:rPr>
      <w:rFonts w:ascii="宋体" w:hAnsi="宋体" w:cs="宋体"/>
      <w:b/>
      <w:bCs/>
      <w:sz w:val="22"/>
      <w:szCs w:val="22"/>
    </w:rPr>
  </w:style>
  <w:style w:type="paragraph" w:styleId="929" w:customStyle="1">
    <w:name w:val="xl133"/>
    <w:basedOn w:val="734"/>
    <w:uiPriority w:val="0"/>
    <w:qFormat/>
    <w:pPr>
      <w:jc w:val="center"/>
      <w:spacing w:before="100" w:beforeAutospacing="1" w:after="100" w:afterAutospacing="1"/>
      <w:shd w:val="clear" w:color="000000" w:fill="ef949f"/>
      <w:widowControl/>
      <w:pBdr>
        <w:top w:val="single" w:color="auto" w:sz="4" w:space="0"/>
        <w:left w:val="single" w:color="auto" w:sz="4" w:space="0"/>
        <w:bottom w:val="single" w:color="auto" w:sz="4" w:space="0"/>
      </w:pBdr>
    </w:pPr>
    <w:rPr>
      <w:rFonts w:ascii="宋体" w:hAnsi="宋体" w:cs="宋体"/>
      <w:b/>
      <w:bCs/>
      <w:sz w:val="22"/>
      <w:szCs w:val="22"/>
    </w:rPr>
  </w:style>
  <w:style w:type="paragraph" w:styleId="930" w:customStyle="1">
    <w:name w:val="xl134"/>
    <w:basedOn w:val="734"/>
    <w:uiPriority w:val="0"/>
    <w:qFormat/>
    <w:pPr>
      <w:jc w:val="center"/>
      <w:spacing w:before="100" w:beforeAutospacing="1" w:after="100" w:afterAutospacing="1"/>
      <w:shd w:val="clear" w:color="000000" w:fill="ef949f"/>
      <w:widowControl/>
      <w:pBdr>
        <w:top w:val="single" w:color="auto" w:sz="4" w:space="0"/>
        <w:bottom w:val="single" w:color="auto" w:sz="4" w:space="0"/>
      </w:pBdr>
    </w:pPr>
    <w:rPr>
      <w:rFonts w:ascii="宋体" w:hAnsi="宋体" w:cs="宋体"/>
      <w:b/>
      <w:bCs/>
      <w:sz w:val="22"/>
      <w:szCs w:val="22"/>
    </w:rPr>
  </w:style>
  <w:style w:type="paragraph" w:styleId="931" w:customStyle="1">
    <w:name w:val="xl135"/>
    <w:basedOn w:val="734"/>
    <w:uiPriority w:val="0"/>
    <w:qFormat/>
    <w:pPr>
      <w:jc w:val="center"/>
      <w:spacing w:before="100" w:beforeAutospacing="1" w:after="100" w:afterAutospacing="1"/>
      <w:shd w:val="clear" w:color="000000" w:fill="ef949f"/>
      <w:widowControl/>
      <w:pBdr>
        <w:top w:val="single" w:color="auto" w:sz="4" w:space="0"/>
        <w:bottom w:val="single" w:color="auto" w:sz="4" w:space="0"/>
        <w:right w:val="single" w:color="auto" w:sz="4" w:space="0"/>
      </w:pBdr>
    </w:pPr>
    <w:rPr>
      <w:rFonts w:ascii="宋体" w:hAnsi="宋体" w:cs="宋体"/>
      <w:b/>
      <w:bCs/>
      <w:sz w:val="22"/>
      <w:szCs w:val="22"/>
    </w:rPr>
  </w:style>
  <w:style w:type="paragraph" w:styleId="932" w:customStyle="1">
    <w:name w:val="xl136"/>
    <w:basedOn w:val="734"/>
    <w:uiPriority w:val="0"/>
    <w:qFormat/>
    <w:pPr>
      <w:jc w:val="center"/>
      <w:spacing w:before="100" w:beforeAutospacing="1" w:after="100" w:afterAutospacing="1"/>
      <w:shd w:val="clear" w:color="000000" w:fill="a9d08e"/>
      <w:widowControl/>
      <w:pBdr>
        <w:top w:val="single" w:color="auto" w:sz="4" w:space="0"/>
        <w:left w:val="single" w:color="auto" w:sz="4" w:space="0"/>
        <w:bottom w:val="single" w:color="auto" w:sz="4" w:space="0"/>
      </w:pBdr>
    </w:pPr>
    <w:rPr>
      <w:rFonts w:ascii="宋体" w:hAnsi="宋体" w:cs="宋体"/>
      <w:b/>
      <w:bCs/>
      <w:sz w:val="24"/>
      <w:szCs w:val="24"/>
    </w:rPr>
  </w:style>
  <w:style w:type="paragraph" w:styleId="933" w:customStyle="1">
    <w:name w:val="xl137"/>
    <w:basedOn w:val="734"/>
    <w:uiPriority w:val="0"/>
    <w:qFormat/>
    <w:pPr>
      <w:jc w:val="center"/>
      <w:spacing w:before="100" w:beforeAutospacing="1" w:after="100" w:afterAutospacing="1"/>
      <w:shd w:val="clear" w:color="000000" w:fill="a9d08e"/>
      <w:widowControl/>
      <w:pBdr>
        <w:top w:val="single" w:color="auto" w:sz="4" w:space="0"/>
        <w:bottom w:val="single" w:color="auto" w:sz="4" w:space="0"/>
        <w:right w:val="single" w:color="auto" w:sz="4" w:space="0"/>
      </w:pBdr>
    </w:pPr>
    <w:rPr>
      <w:rFonts w:ascii="宋体" w:hAnsi="宋体" w:cs="宋体"/>
      <w:b/>
      <w:bCs/>
      <w:sz w:val="24"/>
      <w:szCs w:val="24"/>
    </w:rPr>
  </w:style>
  <w:style w:type="character" w:styleId="934" w:customStyle="1">
    <w:name w:val="font101"/>
    <w:uiPriority w:val="0"/>
    <w:qFormat/>
    <w:rPr>
      <w:rFonts w:hint="default" w:ascii="Times New Roman" w:hAnsi="Times New Roman" w:cs="Times New Roman"/>
      <w:color w:val="000000"/>
      <w:sz w:val="22"/>
      <w:szCs w:val="22"/>
      <w:u w:val="none"/>
    </w:rPr>
  </w:style>
  <w:style w:type="character" w:styleId="935" w:customStyle="1">
    <w:name w:val="font71"/>
    <w:uiPriority w:val="0"/>
    <w:qFormat/>
    <w:rPr>
      <w:rFonts w:hint="eastAsia" w:ascii="宋体" w:hAnsi="宋体" w:eastAsia="宋体" w:cs="宋体"/>
      <w:color w:val="000000"/>
      <w:sz w:val="20"/>
      <w:szCs w:val="20"/>
      <w:u w:val="none"/>
    </w:rPr>
  </w:style>
  <w:style w:type="character" w:styleId="936" w:customStyle="1">
    <w:name w:val="font31"/>
    <w:uiPriority w:val="0"/>
    <w:qFormat/>
    <w:rPr>
      <w:rFonts w:hint="eastAsia" w:ascii="宋体" w:hAnsi="宋体" w:eastAsia="宋体" w:cs="宋体"/>
      <w:b/>
      <w:bCs/>
      <w:color w:val="000000"/>
      <w:sz w:val="22"/>
      <w:szCs w:val="22"/>
      <w:u w:val="none"/>
    </w:rPr>
  </w:style>
  <w:style w:type="character" w:styleId="937" w:customStyle="1">
    <w:name w:val="font01"/>
    <w:uiPriority w:val="0"/>
    <w:qFormat/>
    <w:rPr>
      <w:rFonts w:hint="eastAsia" w:ascii="宋体" w:hAnsi="宋体" w:eastAsia="宋体" w:cs="宋体"/>
      <w:color w:val="000000"/>
      <w:sz w:val="24"/>
      <w:szCs w:val="24"/>
      <w:u w:val="none"/>
    </w:rPr>
  </w:style>
  <w:style w:type="paragraph" w:styleId="938" w:customStyle="1">
    <w:name w:val="正文文本首行缩进 21"/>
    <w:basedOn w:val="753"/>
    <w:uiPriority w:val="0"/>
    <w:qFormat/>
    <w:pPr>
      <w:ind w:left="420" w:firstLine="420"/>
      <w:spacing w:after="120"/>
    </w:pPr>
    <w:rPr>
      <w:rFonts w:ascii="Calibri" w:hAnsi="Calibri" w:eastAsia="宋体" w:cs="Times New Roman"/>
      <w:sz w:val="21"/>
      <w:szCs w:val="24"/>
      <w:lang w:val="en-US" w:eastAsia="zh-CN"/>
    </w:rPr>
  </w:style>
  <w:style w:type="paragraph" w:styleId="939" w:customStyle="1">
    <w:name w:val="页眉1"/>
    <w:basedOn w:val="734"/>
    <w:uiPriority w:val="99"/>
    <w:qFormat/>
    <w:pPr>
      <w:jc w:val="center"/>
      <w:tabs>
        <w:tab w:val="center" w:pos="4153" w:leader="none"/>
        <w:tab w:val="right" w:pos="8306" w:leader="none"/>
      </w:tabs>
      <w:pBdr>
        <w:bottom w:val="single" w:color="000000" w:sz="6" w:space="1"/>
      </w:pBdr>
    </w:pPr>
    <w:rPr>
      <w:sz w:val="18"/>
      <w:szCs w:val="18"/>
    </w:rPr>
  </w:style>
  <w:style w:type="paragraph" w:styleId="940" w:customStyle="1">
    <w:name w:val="页脚1"/>
    <w:basedOn w:val="734"/>
    <w:next w:val="941"/>
    <w:uiPriority w:val="0"/>
    <w:qFormat/>
    <w:pPr>
      <w:jc w:val="left"/>
      <w:tabs>
        <w:tab w:val="center" w:pos="4153" w:leader="none"/>
        <w:tab w:val="right" w:pos="8306" w:leader="none"/>
      </w:tabs>
    </w:pPr>
    <w:rPr>
      <w:sz w:val="18"/>
      <w:szCs w:val="18"/>
    </w:rPr>
  </w:style>
  <w:style w:type="paragraph" w:styleId="941">
    <w:name w:val="Intense Quote"/>
    <w:basedOn w:val="734"/>
    <w:next w:val="73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2" w:customStyle="1">
    <w:name w:val="font121"/>
    <w:basedOn w:val="744"/>
    <w:uiPriority w:val="0"/>
    <w:qFormat/>
    <w:rPr>
      <w:rFonts w:hint="eastAsia" w:ascii="宋体" w:hAnsi="宋体" w:eastAsia="宋体" w:cs="宋体"/>
      <w:color w:val="000000"/>
      <w:sz w:val="18"/>
      <w:szCs w:val="18"/>
      <w:u w:val="none"/>
    </w:rPr>
  </w:style>
  <w:style w:type="character" w:styleId="943" w:customStyle="1">
    <w:name w:val="font281"/>
    <w:basedOn w:val="744"/>
    <w:uiPriority w:val="0"/>
    <w:qFormat/>
    <w:rPr>
      <w:rFonts w:hint="eastAsia" w:ascii="宋体" w:hAnsi="宋体" w:eastAsia="宋体" w:cs="宋体"/>
      <w:b/>
      <w:bCs/>
      <w:color w:val="000000"/>
      <w:sz w:val="18"/>
      <w:szCs w:val="18"/>
      <w:u w:val="none"/>
    </w:rPr>
  </w:style>
  <w:style w:type="character" w:styleId="944" w:customStyle="1">
    <w:name w:val="font61"/>
    <w:basedOn w:val="744"/>
    <w:uiPriority w:val="0"/>
    <w:qFormat/>
    <w:rPr>
      <w:rFonts w:hint="eastAsia" w:ascii="宋体" w:hAnsi="宋体" w:eastAsia="宋体" w:cs="宋体"/>
      <w:b/>
      <w:bCs/>
      <w:color w:val="000000"/>
      <w:sz w:val="22"/>
      <w:szCs w:val="22"/>
      <w:u w:val="none"/>
    </w:rPr>
  </w:style>
  <w:style w:type="paragraph" w:styleId="945" w:customStyle="1">
    <w:name w:val="首行缩进"/>
    <w:uiPriority w:val="0"/>
    <w:qFormat/>
    <w:pPr>
      <w:ind w:firstLine="480"/>
      <w:jc w:val="both"/>
      <w:widowControl w:val="off"/>
    </w:pPr>
    <w:rPr>
      <w:rFonts w:ascii="Times New Roman" w:hAnsi="Times New Roman" w:eastAsia="宋体" w:cs="Times New Roman"/>
      <w:sz w:val="21"/>
      <w:lang w:val="zh-CN" w:eastAsia="zh-CN" w:bidi="ar-SA"/>
    </w:rPr>
  </w:style>
  <w:style w:type="paragraph" w:styleId="946" w:customStyle="1">
    <w:name w:val="WPSOffice手动目录 1"/>
    <w:uiPriority w:val="0"/>
    <w:qFormat/>
    <w:rPr>
      <w:rFonts w:ascii="Times New Roman" w:hAnsi="Times New Roman" w:eastAsia="宋体" w:cs="Times New Roman"/>
      <w:sz w:val="20"/>
      <w:szCs w:val="20"/>
    </w:rPr>
  </w:style>
  <w:style w:type="paragraph" w:styleId="947" w:customStyle="1">
    <w:name w:val="_Style 1"/>
    <w:basedOn w:val="734"/>
    <w:uiPriority w:val="99"/>
    <w:qFormat/>
    <w:pPr>
      <w:ind w:firstLine="420"/>
    </w:pPr>
    <w:rPr>
      <w:rFonts w:ascii="Calibri" w:hAnsi="Calibri"/>
      <w:szCs w:val="22"/>
    </w:rPr>
  </w:style>
  <w:style w:type="paragraph" w:styleId="948" w:customStyle="1">
    <w:name w:val="标题 41"/>
    <w:basedOn w:val="734"/>
    <w:next w:val="949"/>
    <w:uiPriority w:val="0"/>
    <w:qFormat/>
    <w:pPr>
      <w:keepLines/>
      <w:keepNext/>
      <w:spacing w:before="280" w:after="290" w:line="376" w:lineRule="auto"/>
      <w:outlineLvl w:val="3"/>
    </w:pPr>
    <w:rPr>
      <w:rFonts w:ascii="Arial" w:hAnsi="Arial" w:eastAsia="黑体"/>
      <w:b/>
      <w:bCs/>
      <w:sz w:val="28"/>
      <w:szCs w:val="28"/>
    </w:rPr>
  </w:style>
  <w:style w:type="paragraph" w:styleId="949" w:customStyle="1">
    <w:name w:val="正文缩进1"/>
    <w:basedOn w:val="734"/>
    <w:uiPriority w:val="0"/>
    <w:qFormat/>
    <w:pPr>
      <w:ind w:firstLine="420"/>
    </w:pPr>
    <w:rPr>
      <w:sz w:val="20"/>
    </w:rPr>
  </w:style>
  <w:style w:type="character" w:styleId="950" w:customStyle="1">
    <w:name w:val="NormalCharacter"/>
    <w:link w:val="951"/>
    <w:uiPriority w:val="99"/>
    <w:qFormat/>
    <w:rPr>
      <w:sz w:val="20"/>
    </w:rPr>
  </w:style>
  <w:style w:type="paragraph" w:styleId="951" w:customStyle="1">
    <w:name w:val="UserStyle_4"/>
    <w:basedOn w:val="734"/>
    <w:link w:val="950"/>
    <w:uiPriority w:val="99"/>
    <w:qFormat/>
    <w:rPr>
      <w:sz w:val="20"/>
    </w:rPr>
  </w:style>
  <w:style w:type="paragraph" w:styleId="952" w:customStyle="1">
    <w:name w:val="列出段落2"/>
    <w:basedOn w:val="734"/>
    <w:uiPriority w:val="99"/>
    <w:qFormat/>
    <w:pPr>
      <w:ind w:firstLine="420"/>
    </w:pPr>
  </w:style>
  <w:style w:type="table" w:styleId="953" w:customStyle="1">
    <w:name w:val="普通表格1"/>
    <w:uiPriority w:val="99"/>
    <w:unhideWhenUsed/>
    <w:qFormat/>
    <w:tblPr>
      <w:tblCellMar>
        <w:left w:w="108" w:type="dxa"/>
        <w:top w:w="0" w:type="dxa"/>
        <w:right w:w="108" w:type="dxa"/>
        <w:bottom w:w="0" w:type="dxa"/>
      </w:tblCellMar>
    </w:tblPr>
  </w:style>
  <w:style w:type="paragraph" w:styleId="954" w:customStyle="1">
    <w:name w:val="标题 31"/>
    <w:basedOn w:val="734"/>
    <w:next w:val="734"/>
    <w:uiPriority w:val="0"/>
    <w:qFormat/>
    <w:pPr>
      <w:keepLines/>
      <w:keepNext/>
      <w:spacing w:before="260" w:after="260" w:line="416" w:lineRule="auto"/>
      <w:outlineLvl w:val="2"/>
    </w:pPr>
    <w:rPr>
      <w:rFonts w:ascii="黑体" w:eastAsia="黑体"/>
      <w:b/>
      <w:bCs/>
      <w:sz w:val="32"/>
      <w:szCs w:val="32"/>
    </w:rPr>
  </w:style>
  <w:style w:type="paragraph" w:styleId="955" w:customStyle="1">
    <w:name w:val="*正文"/>
    <w:basedOn w:val="734"/>
    <w:uiPriority w:val="0"/>
    <w:qFormat/>
    <w:rPr>
      <w:rFonts w:ascii="宋体" w:hAnsi="宋体"/>
      <w:sz w:val="24"/>
      <w:lang w:val="zh-CN"/>
    </w:rPr>
  </w:style>
  <w:style w:type="table" w:styleId="956" w:customStyle="1">
    <w:name w:val="Table Normal"/>
    <w:uiPriority w:val="0"/>
    <w:unhideWhenUsed/>
    <w:qFormat/>
    <w:tblPr>
      <w:tblCellMar>
        <w:left w:w="0" w:type="dxa"/>
        <w:top w:w="0" w:type="dxa"/>
        <w:right w:w="0" w:type="dxa"/>
        <w:bottom w:w="0" w:type="dxa"/>
      </w:tblCellMar>
    </w:tblPr>
  </w:style>
  <w:style w:type="character" w:styleId="957" w:customStyle="1">
    <w:name w:val="font51"/>
    <w:basedOn w:val="744"/>
    <w:uiPriority w:val="0"/>
    <w:qFormat/>
    <w:rPr>
      <w:rFonts w:ascii="仿宋_GB2312" w:hAnsi="仿宋_GB2312" w:eastAsia="仿宋_GB2312" w:cs="仿宋_GB2312"/>
      <w:color w:val="000000"/>
      <w:sz w:val="30"/>
      <w:szCs w:val="30"/>
      <w:u w:val="none"/>
    </w:rPr>
  </w:style>
  <w:style w:type="character" w:styleId="958" w:customStyle="1">
    <w:name w:val="font81"/>
    <w:basedOn w:val="744"/>
    <w:uiPriority w:val="0"/>
    <w:qFormat/>
    <w:rPr>
      <w:rFonts w:ascii="黑体" w:hAnsi="宋体" w:eastAsia="黑体" w:cs="黑体"/>
      <w:color w:val="000000"/>
      <w:sz w:val="30"/>
      <w:szCs w:val="30"/>
      <w:u w:val="none"/>
    </w:rPr>
  </w:style>
  <w:style w:type="character" w:styleId="959" w:customStyle="1">
    <w:name w:val="font91"/>
    <w:basedOn w:val="744"/>
    <w:uiPriority w:val="0"/>
    <w:qFormat/>
    <w:rPr>
      <w:rFonts w:hint="default" w:ascii="Times New Roman" w:hAnsi="Times New Roman" w:cs="Times New Roman"/>
      <w:color w:val="000000"/>
      <w:sz w:val="30"/>
      <w:szCs w:val="30"/>
      <w:u w:val="none"/>
    </w:rPr>
  </w:style>
  <w:style w:type="character" w:styleId="960" w:customStyle="1">
    <w:name w:val="font111"/>
    <w:basedOn w:val="744"/>
    <w:uiPriority w:val="0"/>
    <w:qFormat/>
    <w:rPr>
      <w:rFonts w:hint="default" w:ascii="Arial" w:hAnsi="Arial" w:cs="Arial"/>
      <w:color w:val="000000"/>
      <w:sz w:val="15"/>
      <w:szCs w:val="15"/>
      <w:u w:val="none"/>
    </w:rPr>
  </w:style>
  <w:style w:type="character" w:styleId="961" w:customStyle="1">
    <w:name w:val="font122"/>
    <w:basedOn w:val="744"/>
    <w:uiPriority w:val="0"/>
    <w:qFormat/>
    <w:rPr>
      <w:rFonts w:hint="default" w:ascii="Arial" w:hAnsi="Arial" w:cs="Arial"/>
      <w:color w:val="000000"/>
      <w:sz w:val="13"/>
      <w:szCs w:val="13"/>
      <w:u w:val="none"/>
    </w:rPr>
  </w:style>
  <w:style w:type="numbering" w:styleId="782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d90a496e-f58e-4a1e-95d4-9ab63723c7a7</errorID>
      <errorWord>“.</errorWord>
      <group>L1_Punc</group>
      <groupName>标点问题</groupName>
      <ability>L2_Punc_CN</ability>
      <abilityName>标点符号问题</abilityName>
      <candidateList>
        <item>“</item>
      </candidateList>
      <explain/>
      <paraID>3E1256D3</paraID>
      <start>145</start>
      <end>147</end>
      <status>unmodified</status>
      <modifiedWord/>
      <trackRevisions>false</trackRevisions>
    </reviewItem>
    <reviewItem>
      <errorID>331ae720-d1f3-49da-889b-1ee95e5f7a07</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 434D048</paraID>
      <start>100</start>
      <end>104</end>
      <status>unmodified</status>
      <modifiedWord/>
      <trackRevisions>false</trackRevisions>
    </reviewItem>
    <reviewItem>
      <errorID>050aea47-1363-4277-86c4-250988415cb9</errorID>
      <errorWord>金额100万</errorWord>
      <group>L1_Word</group>
      <groupName>字词问题</groupName>
      <ability>L2_Typo</ability>
      <abilityName>字词错误</abilityName>
      <candidateList>
        <item>金额100万元</item>
      </candidateList>
      <explain/>
      <paraID>4C355D27</paraID>
      <start>81</start>
      <end>88</end>
      <status>modified</status>
      <modifiedWord>金额100万元</modifiedWord>
      <trackRevisions>false</trackRevisions>
    </reviewItem>
    <reviewItem>
      <errorID>bf0f40c3-8f38-4964-85ec-e7b1967f34d4</errorID>
      <errorWord>、</errorWord>
      <group>L1_Word</group>
      <groupName>字词问题</groupName>
      <ability>L2_Typo</ability>
      <abilityName>字词错误</abilityName>
      <candidateList>
        <item>、第</item>
      </candidateList>
      <explain/>
      <paraID>29948409</paraID>
      <start>22</start>
      <end>24</end>
      <status>modified</status>
      <modifiedWord>、第</modifiedWord>
      <trackRevisions>false</trackRevisions>
    </reviewItem>
    <reviewItem>
      <errorID>dcfecd24-5da3-4bee-b2be-e99e7241bddb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779D603E</paraID>
      <start>0</start>
      <end>3</end>
      <status>modified</status>
      <modifiedWord>（1）</modifiedWord>
      <trackRevisions>false</trackRevisions>
    </reviewItem>
    <reviewItem>
      <errorID>72a5fcd2-89c4-4106-b328-54e8eeff13bc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68C0FA64</paraID>
      <start>0</start>
      <end>3</end>
      <status>modified</status>
      <modifiedWord>（2）</modifiedWord>
      <trackRevisions>false</trackRevisions>
    </reviewItem>
    <reviewItem>
      <errorID>2122e330-0e45-41be-aca9-4fe998106b84</errorID>
      <errorWord>其它形式的</errorWord>
      <group>L1_Word</group>
      <groupName>字词问题</groupName>
      <ability>L2_Alias</ability>
      <abilityName>也作/曾用词</abilityName>
      <candidateList>
        <item>其他形式的</item>
      </candidateList>
      <explain>词汇[其它形式的]为不规范表述或旧称，其规范书面表述为[其他形式的]。</explain>
      <paraID>206F6F04</paraID>
      <start>33</start>
      <end>38</end>
      <status>modified</status>
      <modifiedWord>其他形式的</modifiedWord>
      <trackRevisions>false</trackRevisions>
    </reviewItem>
    <reviewItem>
      <errorID>f3464788-17c3-48f0-b9a0-348a562d165c</errorID>
      <errorWord>:</errorWord>
      <group>L1_Format</group>
      <groupName>格式问题</groupName>
      <ability>L2_HalfPunc_CN</ability>
      <abilityName>全半角问题</abilityName>
      <candidateList>
        <item>：</item>
      </candidateList>
      <explain>文本全半角错误。</explain>
      <paraID>29B6ED3F</paraID>
      <start>17</start>
      <end>18</end>
      <status>modified</status>
      <modifiedWord>：</modifiedWord>
      <trackRevisions>false</trackRevisions>
    </reviewItem>
    <reviewItem>
      <errorID>e7f8a2e3-b562-485d-b5ca-65a8774752d3</errorID>
      <errorWord>~</errorWord>
      <group>L1_Format</group>
      <groupName>格式问题</groupName>
      <ability>L2_HalfPunc_CN</ability>
      <abilityName>全半角问题</abilityName>
      <candidateList>
        <item>～</item>
      </candidateList>
      <explain>文本全半角错误。</explain>
      <paraID>29B6ED3F</paraID>
      <start>20</start>
      <end>21</end>
      <status>modified</status>
      <modifiedWord>～</modifiedWord>
      <trackRevisions>false</trackRevisions>
    </reviewItem>
    <reviewItem>
      <errorID>9a327271-c3a8-4400-af41-27e2990e22fa</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3B164E9D</paraID>
      <start>36</start>
      <end>37</end>
      <status>modified</status>
      <modifiedWord>—</modifiedWord>
      <trackRevisions>false</trackRevisions>
    </reviewItem>
    <reviewItem>
      <errorID>b7d07026-eca3-478a-b8d0-9c76eb850ddb</errorID>
      <errorWord>:</errorWord>
      <group>L1_Format</group>
      <groupName>格式问题</groupName>
      <ability>L2_HalfPunc_CN</ability>
      <abilityName>全半角问题</abilityName>
      <candidateList>
        <item>：</item>
      </candidateList>
      <explain>文本全半角错误。</explain>
      <paraID>197DDC4A</paraID>
      <start>109</start>
      <end>110</end>
      <status>modified</status>
      <modifiedWord>：</modifiedWord>
      <trackRevisions>false</trackRevisions>
    </reviewItem>
    <reviewItem>
      <errorID>b1a98ae0-2b86-4b18-adb5-fee9bd6e0b4c</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60C5D7B8</paraID>
      <start>91</start>
      <end>92</end>
      <status>unmodified</status>
      <modifiedWord/>
      <trackRevisions>false</trackRevisions>
    </reviewItem>
    <reviewItem>
      <errorID>6b8f7acb-e350-4593-afcd-2cf4f7d04f01</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60C5D7B8</paraID>
      <start>170</start>
      <end>171</end>
      <status>unmodified</status>
      <modifiedWord/>
      <trackRevisions>false</trackRevisions>
    </reviewItem>
    <reviewItem>
      <errorID>8983c502-ee71-48b4-b3d9-f054312caee8</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60C5D7B8</paraID>
      <start>234</start>
      <end>235</end>
      <status>unmodified</status>
      <modifiedWord/>
      <trackRevisions>false</trackRevisions>
    </reviewItem>
    <reviewItem>
      <errorID>415891f5-5031-4bd9-a2db-b9a1882a4fd5</errorID>
      <errorWord>（</errorWord>
      <group>L1_Punc</group>
      <groupName>标点问题</groupName>
      <ability>L2_Punc_CN</ability>
      <abilityName>标点符号问题</abilityName>
      <candidateList/>
      <explain>同一形式括号套用。</explain>
      <paraID>767179A2</paraID>
      <start>88</start>
      <end>89</end>
      <status>unmodified</status>
      <modifiedWord/>
      <trackRevisions>false</trackRevisions>
    </reviewItem>
    <reviewItem>
      <errorID>46f5c1f3-6168-46d8-9d84-da2debb4bdd7</errorID>
      <errorWord>）</errorWord>
      <group>L1_Punc</group>
      <groupName>标点问题</groupName>
      <ability>L2_Punc_CN</ability>
      <abilityName>标点符号问题</abilityName>
      <candidateList/>
      <explain>同一形式括号套用。</explain>
      <paraID>767179A2</paraID>
      <start>91</start>
      <end>92</end>
      <status>unmodified</status>
      <modifiedWord/>
      <trackRevisions>false</trackRevisions>
    </reviewItem>
    <reviewItem>
      <errorID>b689746c-7303-4cf4-a3fe-8ee25fe11054</errorID>
      <errorWord>）</errorWord>
      <group>L1_Word</group>
      <groupName>字词问题</groupName>
      <ability>L2_Typo</ability>
      <abilityName>字词错误</abilityName>
      <candidateList>
        <item>）在</item>
      </candidateList>
      <explain/>
      <paraID>441E849C</paraID>
      <start>8</start>
      <end>10</end>
      <status>modified</status>
      <modifiedWord>）在</modifiedWord>
      <trackRevisions>false</trackRevisions>
    </reviewItem>
    <reviewItem>
      <errorID>c8adc997-8d46-480c-9b56-3606ec04eea4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22C6C6</paraID>
      <start>0</start>
      <end>3</end>
      <status>modified</status>
      <modifiedWord>（2）</modifiedWord>
      <trackRevisions>false</trackRevisions>
    </reviewItem>
    <reviewItem>
      <errorID>72cdc826-4b98-4a1f-b89c-796e127d1b0e</errorID>
      <errorWord>（</errorWord>
      <group>L1_Punc</group>
      <groupName>标点问题</groupName>
      <ability>L2_Punc_CN</ability>
      <abilityName>标点符号问题</abilityName>
      <candidateList/>
      <explain>同一形式括号套用。</explain>
      <paraID>7E6C8485</paraID>
      <start>67</start>
      <end>68</end>
      <status>ignored</status>
      <modifiedWord/>
      <trackRevisions>false</trackRevisions>
    </reviewItem>
    <reviewItem>
      <errorID>7fc41517-cfcd-4254-8284-fad39ccb28e4</errorID>
      <errorWord>）</errorWord>
      <group>L1_Punc</group>
      <groupName>标点问题</groupName>
      <ability>L2_Punc_CN</ability>
      <abilityName>标点符号问题</abilityName>
      <candidateList/>
      <explain>同一形式括号套用。</explain>
      <paraID>7E6C8485</paraID>
      <start>70</start>
      <end>71</end>
      <status>ignored</status>
      <modifiedWord/>
      <trackRevisions>false</trackRevisions>
    </reviewItem>
    <reviewItem>
      <errorID>2aa59a61-1aca-4c87-94fe-2799ea9591a7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4530F948</paraID>
      <start>0</start>
      <end>3</end>
      <status>modified</status>
      <modifiedWord>（2）</modifiedWord>
      <trackRevisions>false</trackRevisions>
    </reviewItem>
    <reviewItem>
      <errorID>4f6f06ff-518c-4803-aec5-9a83e3205e61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164C2C01</paraID>
      <start>0</start>
      <end>3</end>
      <status>modified</status>
      <modifiedWord>（3）</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06236231-97F4-49B5-B12D-43FE815F231F}"/>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黄烽荣</dc:creator>
  <cp:lastModifiedBy>徐颖</cp:lastModifiedBy>
  <cp:revision>7</cp:revision>
  <dcterms:created xsi:type="dcterms:W3CDTF">2024-05-13T05:55:00Z</dcterms:created>
  <dcterms:modified xsi:type="dcterms:W3CDTF">2026-06-24T06:32:52Z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12E7A5E2847444909C10BB8E54C6A51C_13</vt:lpwstr>
  </property>
  <property fmtid="{D5CDD505-2E9C-101B-9397-08002B2CF9AE}" pid="3" name="KSOProductBuildVer">
    <vt:lpwstr>2052-12.1.0.26895</vt:lpwstr>
  </property>
  <property fmtid="{D5CDD505-2E9C-101B-9397-08002B2CF9AE}" pid="4" name="KSOTemplateDocerSaveRecord">
    <vt:lpwstr>eyJoZGlkIjoiOGJhYmIyMzgwODQ4MDA4ZGFiMDRlZGI4ZGM5ZDY3NTYiLCJ1c2VySWQiOiIxNDE2ODUzMDYxIn0=</vt:lpwstr>
  </property>
</Properties>
</file>