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highlight w:val="yellow"/>
        </w:rPr>
      </w:pPr>
      <w:r>
        <w:rPr>
          <w:highlight w:val="yellow"/>
        </w:rPr>
      </w:r>
      <w:r/>
    </w:p>
    <w:p>
      <w:pPr>
        <w:rPr>
          <w:highlight w:val="yellow"/>
        </w:rPr>
      </w:pPr>
      <w:r/>
      <w:bookmarkStart w:id="0" w:name="EB3ace3d43b98b41779337deb808be6fa3"/>
      <w:r>
        <w:rPr>
          <w:rFonts w:hint="eastAsia"/>
          <w:color w:val="000080"/>
          <w:sz w:val="20"/>
          <w:highlight w:val="white"/>
        </w:rPr>
        <w:t xml:space="preserve"> </w:t>
      </w:r>
      <w:bookmarkEnd w:id="0"/>
      <w:r/>
      <w:bookmarkStart w:id="1" w:name="EB57dd2a69e2b54b0cb3f5c2f03a1ab7bf"/>
      <w:r>
        <w:rPr>
          <w:rFonts w:hint="eastAsia"/>
          <w:color w:val="000080"/>
          <w:sz w:val="20"/>
          <w:highlight w:val="white"/>
        </w:rPr>
        <w:t xml:space="preserve"> </w:t>
      </w:r>
      <w:bookmarkEnd w:id="1"/>
      <w:r/>
      <w:r/>
    </w:p>
    <w:p>
      <w:r/>
      <w:r/>
    </w:p>
    <w:p>
      <w:pPr>
        <w:jc w:val="center"/>
        <w:spacing w:before="120" w:after="120" w:line="360" w:lineRule="auto"/>
        <w:rPr>
          <w:rFonts w:hint="eastAsia" w:ascii="宋体" w:hAnsi="宋体" w:cs="宋体"/>
          <w:b/>
          <w:bCs/>
          <w:sz w:val="84"/>
          <w:szCs w:val="24"/>
        </w:rPr>
      </w:pPr>
      <w:r>
        <w:rPr>
          <w:rFonts w:hint="eastAsia" w:ascii="宋体" w:hAnsi="宋体" w:cs="宋体"/>
          <w:b/>
          <w:bCs/>
          <w:sz w:val="84"/>
          <w:szCs w:val="24"/>
        </w:rPr>
      </w:r>
      <w:r/>
    </w:p>
    <w:p>
      <w:pPr>
        <w:jc w:val="center"/>
        <w:spacing w:before="120" w:after="120" w:line="360" w:lineRule="auto"/>
        <w:rPr>
          <w:rFonts w:hint="eastAsia" w:ascii="宋体" w:hAnsi="宋体" w:cs="宋体"/>
          <w:b/>
          <w:color w:val="auto"/>
          <w:sz w:val="84"/>
          <w:szCs w:val="24"/>
        </w:rPr>
      </w:pPr>
      <w:r>
        <w:rPr>
          <w:rFonts w:hint="eastAsia" w:ascii="宋体" w:hAnsi="宋体" w:cs="宋体"/>
          <w:b/>
          <w:bCs/>
          <w:color w:val="auto"/>
          <w:sz w:val="84"/>
          <w:szCs w:val="24"/>
        </w:rPr>
        <w:t xml:space="preserve">竞争性磋商文件</w:t>
      </w:r>
      <w:r/>
    </w:p>
    <w:p>
      <w:pPr>
        <w:rPr>
          <w:rFonts w:hint="eastAsia" w:ascii="宋体" w:hAnsi="宋体" w:cs="宋体"/>
          <w:b/>
          <w:color w:val="auto"/>
          <w:sz w:val="30"/>
          <w:szCs w:val="30"/>
          <w:lang w:bidi="ar"/>
        </w:rPr>
      </w:pPr>
      <w:r>
        <w:rPr>
          <w:rFonts w:hint="eastAsia" w:ascii="宋体" w:hAnsi="宋体" w:cs="宋体"/>
          <w:b/>
          <w:color w:val="auto"/>
          <w:sz w:val="30"/>
          <w:szCs w:val="30"/>
          <w:lang w:bidi="ar"/>
        </w:rPr>
      </w:r>
      <w:r/>
    </w:p>
    <w:p>
      <w:pPr>
        <w:rPr>
          <w:rFonts w:hint="eastAsia" w:ascii="宋体" w:hAnsi="宋体" w:cs="宋体"/>
          <w:b/>
          <w:color w:val="auto"/>
          <w:sz w:val="30"/>
          <w:szCs w:val="30"/>
        </w:rPr>
      </w:pPr>
      <w:r>
        <w:rPr>
          <w:rFonts w:hint="eastAsia" w:ascii="宋体" w:hAnsi="宋体" w:cs="宋体"/>
          <w:b/>
          <w:color w:val="auto"/>
          <w:sz w:val="30"/>
          <w:szCs w:val="30"/>
          <w:lang w:bidi="ar"/>
        </w:rPr>
        <w:t xml:space="preserve">项目名称：2026年宿迁市城管局智能城管运维项目</w:t>
      </w:r>
      <w:r/>
    </w:p>
    <w:p>
      <w:pPr>
        <w:ind w:firstLine="1506"/>
        <w:rPr>
          <w:rFonts w:hint="eastAsia" w:ascii="宋体" w:hAnsi="宋体" w:cs="宋体"/>
          <w:b/>
          <w:color w:val="auto"/>
          <w:sz w:val="30"/>
          <w:szCs w:val="30"/>
          <w:lang w:bidi="ar"/>
        </w:rPr>
      </w:pPr>
      <w:r>
        <w:rPr>
          <w:rFonts w:hint="eastAsia" w:ascii="宋体" w:hAnsi="宋体" w:cs="宋体"/>
          <w:b/>
          <w:color w:val="auto"/>
          <w:sz w:val="30"/>
          <w:szCs w:val="30"/>
          <w:lang w:bidi="ar"/>
        </w:rPr>
      </w:r>
      <w:r/>
    </w:p>
    <w:p>
      <w:pPr>
        <w:rPr>
          <w:rFonts w:hint="eastAsia" w:ascii="宋体" w:hAnsi="宋体" w:eastAsia="宋体" w:cs="宋体"/>
          <w:b/>
          <w:color w:val="auto"/>
          <w:sz w:val="30"/>
          <w:szCs w:val="30"/>
          <w:lang w:eastAsia="zh-CN" w:bidi="ar"/>
        </w:rPr>
      </w:pPr>
      <w:r>
        <w:rPr>
          <w:rFonts w:hint="eastAsia" w:ascii="宋体" w:hAnsi="宋体" w:cs="宋体"/>
          <w:b/>
          <w:color w:val="auto"/>
          <w:sz w:val="30"/>
          <w:szCs w:val="30"/>
          <w:lang w:bidi="ar"/>
        </w:rPr>
        <w:t xml:space="preserve">项目编号：</w:t>
      </w:r>
      <w:r>
        <w:rPr>
          <w:rFonts w:hint="eastAsia" w:ascii="宋体" w:hAnsi="宋体" w:cs="宋体"/>
          <w:b/>
          <w:color w:val="auto"/>
          <w:sz w:val="30"/>
          <w:szCs w:val="30"/>
          <w:lang w:eastAsia="zh-CN" w:bidi="ar"/>
        </w:rPr>
        <w:t xml:space="preserve">JSZC-321300-JSQZ-C2026-0012</w:t>
      </w:r>
      <w:r/>
    </w:p>
    <w:p>
      <w:pPr>
        <w:ind w:left="2800" w:hanging="2800"/>
        <w:rPr>
          <w:rFonts w:hint="eastAsia" w:ascii="宋体" w:hAnsi="宋体" w:cs="宋体"/>
          <w:color w:val="auto"/>
          <w:sz w:val="28"/>
          <w:szCs w:val="28"/>
          <w:lang w:bidi="ar"/>
        </w:rPr>
      </w:pPr>
      <w:r>
        <w:rPr>
          <w:rFonts w:hint="eastAsia" w:ascii="宋体" w:hAnsi="宋体" w:cs="宋体"/>
          <w:color w:val="auto"/>
          <w:sz w:val="28"/>
          <w:szCs w:val="28"/>
          <w:lang w:bidi="ar"/>
        </w:rPr>
      </w:r>
      <w:r/>
    </w:p>
    <w:p>
      <w:pPr>
        <w:ind w:left="2800" w:hanging="2800"/>
        <w:rPr>
          <w:rFonts w:hint="eastAsia" w:ascii="宋体" w:hAnsi="宋体" w:cs="宋体"/>
          <w:b/>
          <w:color w:val="auto"/>
          <w:sz w:val="28"/>
          <w:szCs w:val="28"/>
        </w:rPr>
      </w:pPr>
      <w:r>
        <w:rPr>
          <w:rFonts w:hint="eastAsia" w:ascii="宋体" w:hAnsi="宋体" w:cs="宋体"/>
          <w:color w:val="auto"/>
          <w:sz w:val="28"/>
          <w:szCs w:val="28"/>
          <w:lang w:bidi="ar"/>
        </w:rPr>
        <w:t xml:space="preserve">          </w:t>
      </w:r>
      <w:r>
        <w:rPr>
          <w:rFonts w:hint="eastAsia" w:ascii="宋体" w:hAnsi="宋体" w:cs="宋体"/>
          <w:b/>
          <w:color w:val="auto"/>
          <w:sz w:val="28"/>
          <w:szCs w:val="28"/>
          <w:lang w:bidi="ar"/>
        </w:rPr>
        <w:t xml:space="preserve"> </w:t>
      </w:r>
      <w:r/>
    </w:p>
    <w:p>
      <w:pPr>
        <w:spacing w:line="600" w:lineRule="auto"/>
        <w:rPr>
          <w:rFonts w:hint="eastAsia" w:ascii="宋体" w:hAnsi="宋体" w:cs="宋体"/>
          <w:b/>
          <w:color w:val="auto"/>
          <w:sz w:val="30"/>
          <w:szCs w:val="30"/>
        </w:rPr>
      </w:pPr>
      <w:r>
        <w:rPr>
          <w:rFonts w:hint="eastAsia" w:ascii="宋体" w:hAnsi="宋体" w:cs="宋体"/>
          <w:b/>
          <w:color w:val="auto"/>
          <w:sz w:val="30"/>
          <w:szCs w:val="30"/>
        </w:rPr>
        <w:t xml:space="preserve">（服务类项目，</w:t>
      </w:r>
      <w:r>
        <w:rPr>
          <w:rFonts w:hint="eastAsia" w:ascii="宋体" w:hAnsi="宋体" w:cs="宋体"/>
          <w:b/>
          <w:color w:val="auto"/>
          <w:sz w:val="30"/>
          <w:szCs w:val="30"/>
          <w:u w:val="single"/>
        </w:rPr>
        <w:t xml:space="preserve"> 非 </w:t>
      </w:r>
      <w:r>
        <w:rPr>
          <w:rFonts w:hint="eastAsia" w:ascii="宋体" w:hAnsi="宋体" w:cs="宋体"/>
          <w:b/>
          <w:color w:val="auto"/>
          <w:sz w:val="30"/>
          <w:szCs w:val="30"/>
        </w:rPr>
        <w:t xml:space="preserve">专门面向中小企业）</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tbl>
      <w:tblPr>
        <w:tblStyle w:val="810"/>
        <w:tblpPr w:horzAnchor="page" w:tblpXSpec="center" w:vertAnchor="text" w:tblpY="393" w:leftFromText="180" w:topFromText="0" w:rightFromText="180" w:bottomFromText="0"/>
        <w:tblW w:w="8411" w:type="dxa"/>
        <w:jc w:val="center"/>
        <w:tblLayout w:type="fixed"/>
        <w:tblCellMar>
          <w:left w:w="108" w:type="dxa"/>
          <w:top w:w="0" w:type="dxa"/>
          <w:right w:w="108" w:type="dxa"/>
          <w:bottom w:w="0" w:type="dxa"/>
        </w:tblCellMar>
        <w:tblLook w:val="04A0" w:firstRow="1" w:lastRow="0" w:firstColumn="1" w:lastColumn="0" w:noHBand="0" w:noVBand="1"/>
      </w:tblPr>
      <w:tblGrid>
        <w:gridCol w:w="2923"/>
        <w:gridCol w:w="5488"/>
      </w:tblGrid>
      <w:tr>
        <w:trPr>
          <w:jc w:val="center"/>
          <w:trHeight w:val="586"/>
        </w:trPr>
        <w:tc>
          <w:tcPr>
            <w:tcW w:w="2923" w:type="dxa"/>
            <w:vAlign w:val="center"/>
            <w:textDirection w:val="lrTb"/>
            <w:noWrap w:val="false"/>
          </w:tcPr>
          <w:p>
            <w:pPr>
              <w:jc w:val="center"/>
              <w:spacing w:line="500" w:lineRule="exact"/>
              <w:rPr>
                <w:rFonts w:hint="eastAsia" w:ascii="宋体" w:hAnsi="宋体" w:cs="宋体"/>
                <w:color w:val="auto"/>
                <w:sz w:val="24"/>
                <w:szCs w:val="24"/>
              </w:rPr>
            </w:pPr>
            <w:r>
              <w:rPr>
                <w:rFonts w:hint="eastAsia" w:ascii="宋体" w:hAnsi="宋体" w:cs="宋体"/>
                <w:b/>
                <w:bCs/>
                <w:color w:val="auto"/>
                <w:spacing w:val="45"/>
                <w:sz w:val="32"/>
                <w:szCs w:val="24"/>
              </w:rPr>
              <w:t xml:space="preserve">采  购 人1</w:t>
            </w:r>
            <w:r>
              <w:rPr>
                <w:rFonts w:hint="eastAsia" w:ascii="宋体" w:hAnsi="宋体" w:cs="宋体"/>
                <w:b/>
                <w:bCs/>
                <w:color w:val="auto"/>
                <w:spacing w:val="1"/>
                <w:sz w:val="32"/>
                <w:szCs w:val="24"/>
              </w:rPr>
              <w:t xml:space="preserve">：</w:t>
            </w:r>
            <w:r/>
          </w:p>
        </w:tc>
        <w:tc>
          <w:tcPr>
            <w:tcW w:w="5488" w:type="dxa"/>
            <w:vAlign w:val="center"/>
            <w:textDirection w:val="lrTb"/>
            <w:noWrap w:val="false"/>
          </w:tcPr>
          <w:p>
            <w:pPr>
              <w:jc w:val="left"/>
              <w:spacing w:line="500" w:lineRule="exact"/>
              <w:rPr>
                <w:rFonts w:hint="eastAsia" w:ascii="宋体" w:hAnsi="宋体" w:cs="宋体"/>
                <w:color w:val="auto"/>
                <w:sz w:val="24"/>
                <w:szCs w:val="24"/>
              </w:rPr>
            </w:pPr>
            <w:r>
              <w:rPr>
                <w:rFonts w:hint="eastAsia" w:ascii="宋体" w:hAnsi="宋体" w:cs="宋体"/>
                <w:b/>
                <w:bCs/>
                <w:color w:val="auto"/>
                <w:sz w:val="32"/>
                <w:szCs w:val="24"/>
              </w:rPr>
              <w:t xml:space="preserve">宿迁市城市管理局</w:t>
            </w:r>
            <w:r/>
          </w:p>
        </w:tc>
      </w:tr>
      <w:tr>
        <w:trPr>
          <w:jc w:val="center"/>
          <w:trHeight w:val="586"/>
        </w:trPr>
        <w:tc>
          <w:tcPr>
            <w:tcW w:w="2923" w:type="dxa"/>
            <w:vAlign w:val="center"/>
            <w:textDirection w:val="lrTb"/>
            <w:noWrap w:val="false"/>
          </w:tcPr>
          <w:p>
            <w:pPr>
              <w:jc w:val="center"/>
              <w:spacing w:line="500" w:lineRule="exact"/>
              <w:rPr>
                <w:rFonts w:hint="eastAsia" w:ascii="宋体" w:hAnsi="宋体" w:cs="宋体"/>
                <w:b/>
                <w:bCs/>
                <w:color w:val="auto"/>
                <w:spacing w:val="45"/>
                <w:sz w:val="32"/>
                <w:szCs w:val="24"/>
              </w:rPr>
            </w:pPr>
            <w:r>
              <w:rPr>
                <w:rFonts w:hint="eastAsia" w:ascii="宋体" w:hAnsi="宋体" w:cs="宋体"/>
                <w:b/>
                <w:bCs/>
                <w:color w:val="auto"/>
                <w:spacing w:val="45"/>
                <w:sz w:val="32"/>
                <w:szCs w:val="24"/>
              </w:rPr>
              <w:t xml:space="preserve">采  购 人2</w:t>
            </w:r>
            <w:r>
              <w:rPr>
                <w:rFonts w:hint="eastAsia" w:ascii="宋体" w:hAnsi="宋体" w:cs="宋体"/>
                <w:b/>
                <w:bCs/>
                <w:color w:val="auto"/>
                <w:spacing w:val="1"/>
                <w:sz w:val="32"/>
                <w:szCs w:val="24"/>
              </w:rPr>
              <w:t xml:space="preserve">：</w:t>
            </w:r>
            <w:r/>
          </w:p>
        </w:tc>
        <w:tc>
          <w:tcPr>
            <w:tcW w:w="5488" w:type="dxa"/>
            <w:vAlign w:val="center"/>
            <w:textDirection w:val="lrTb"/>
            <w:noWrap w:val="false"/>
          </w:tcPr>
          <w:p>
            <w:pPr>
              <w:jc w:val="left"/>
              <w:spacing w:line="500" w:lineRule="exact"/>
              <w:rPr>
                <w:rFonts w:hint="eastAsia" w:ascii="宋体" w:hAnsi="宋体" w:cs="宋体"/>
                <w:b/>
                <w:bCs/>
                <w:color w:val="auto"/>
                <w:sz w:val="32"/>
                <w:szCs w:val="24"/>
              </w:rPr>
            </w:pPr>
            <w:r>
              <w:rPr>
                <w:rFonts w:hint="eastAsia" w:ascii="宋体" w:hAnsi="宋体" w:cs="宋体"/>
                <w:b/>
                <w:bCs/>
                <w:color w:val="auto"/>
                <w:sz w:val="32"/>
                <w:szCs w:val="24"/>
              </w:rPr>
              <w:t xml:space="preserve">宿迁市楚润数据集团有限公司</w:t>
            </w:r>
            <w:r/>
          </w:p>
        </w:tc>
      </w:tr>
      <w:tr>
        <w:trPr>
          <w:jc w:val="center"/>
          <w:trHeight w:val="797"/>
        </w:trPr>
        <w:tc>
          <w:tcPr>
            <w:tcW w:w="2923" w:type="dxa"/>
            <w:vAlign w:val="center"/>
            <w:textDirection w:val="lrTb"/>
            <w:noWrap w:val="false"/>
          </w:tcPr>
          <w:p>
            <w:pPr>
              <w:jc w:val="center"/>
              <w:spacing w:line="500" w:lineRule="exact"/>
              <w:rPr>
                <w:rFonts w:hint="eastAsia" w:ascii="宋体" w:hAnsi="宋体" w:cs="宋体"/>
                <w:b/>
                <w:bCs/>
                <w:color w:val="auto"/>
                <w:spacing w:val="45"/>
                <w:sz w:val="32"/>
                <w:szCs w:val="24"/>
              </w:rPr>
            </w:pPr>
            <w:r>
              <w:rPr>
                <w:rFonts w:hint="eastAsia" w:ascii="宋体" w:hAnsi="宋体" w:cs="宋体"/>
                <w:b/>
                <w:bCs/>
                <w:color w:val="auto"/>
                <w:sz w:val="32"/>
                <w:szCs w:val="24"/>
              </w:rPr>
              <w:t xml:space="preserve">采购代理机构：</w:t>
            </w:r>
            <w:r/>
          </w:p>
        </w:tc>
        <w:tc>
          <w:tcPr>
            <w:tcW w:w="5488" w:type="dxa"/>
            <w:vAlign w:val="center"/>
            <w:textDirection w:val="lrTb"/>
            <w:noWrap w:val="false"/>
          </w:tcPr>
          <w:p>
            <w:pPr>
              <w:jc w:val="left"/>
              <w:spacing w:line="500" w:lineRule="exact"/>
              <w:rPr>
                <w:rFonts w:hint="eastAsia" w:ascii="宋体" w:hAnsi="宋体" w:cs="宋体"/>
                <w:color w:val="auto"/>
                <w:sz w:val="24"/>
                <w:szCs w:val="24"/>
              </w:rPr>
            </w:pPr>
            <w:r>
              <w:rPr>
                <w:rFonts w:hint="eastAsia" w:ascii="宋体" w:hAnsi="宋体" w:cs="宋体"/>
                <w:b/>
                <w:bCs/>
                <w:color w:val="auto"/>
                <w:sz w:val="32"/>
                <w:szCs w:val="24"/>
              </w:rPr>
              <w:t xml:space="preserve">江苏庆洲工程咨询有限公司</w:t>
            </w:r>
            <w:r/>
          </w:p>
        </w:tc>
      </w:tr>
    </w:tbl>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jc w:val="center"/>
        <w:spacing w:before="120" w:after="120" w:line="360" w:lineRule="auto"/>
        <w:rPr>
          <w:rFonts w:hint="eastAsia" w:ascii="宋体" w:hAnsi="宋体" w:cs="宋体"/>
          <w:b/>
          <w:color w:val="auto"/>
          <w:sz w:val="32"/>
          <w:szCs w:val="24"/>
        </w:rPr>
      </w:pPr>
      <w:r>
        <w:rPr>
          <w:rFonts w:hint="eastAsia" w:ascii="宋体" w:hAnsi="宋体" w:cs="宋体"/>
          <w:b/>
          <w:color w:val="auto"/>
          <w:sz w:val="32"/>
          <w:szCs w:val="24"/>
          <w:lang w:bidi="ar"/>
        </w:rPr>
        <w:t xml:space="preserve">2026年</w:t>
      </w:r>
      <w:r>
        <w:rPr>
          <w:rFonts w:hint="eastAsia" w:ascii="宋体" w:hAnsi="宋体" w:cs="宋体"/>
          <w:b/>
          <w:color w:val="auto"/>
          <w:sz w:val="32"/>
          <w:szCs w:val="24"/>
          <w:lang w:val="en-US" w:eastAsia="zh-CN" w:bidi="ar"/>
        </w:rPr>
        <w:t xml:space="preserve">6</w:t>
      </w:r>
      <w:r>
        <w:rPr>
          <w:rFonts w:hint="eastAsia" w:ascii="宋体" w:hAnsi="宋体" w:cs="宋体"/>
          <w:b/>
          <w:color w:val="auto"/>
          <w:sz w:val="32"/>
          <w:szCs w:val="24"/>
          <w:lang w:bidi="ar"/>
        </w:rPr>
        <w:t xml:space="preserve">月</w:t>
      </w:r>
      <w:r>
        <w:rPr>
          <w:rFonts w:hint="eastAsia" w:ascii="宋体" w:hAnsi="宋体" w:cs="宋体"/>
          <w:b/>
          <w:color w:val="auto"/>
          <w:sz w:val="32"/>
          <w:szCs w:val="24"/>
          <w:lang w:val="en-US" w:eastAsia="zh-CN" w:bidi="ar"/>
        </w:rPr>
        <w:t xml:space="preserve">26</w:t>
      </w:r>
      <w:r>
        <w:rPr>
          <w:rFonts w:hint="eastAsia" w:ascii="宋体" w:hAnsi="宋体" w:cs="宋体"/>
          <w:b/>
          <w:color w:val="auto"/>
          <w:sz w:val="32"/>
          <w:szCs w:val="24"/>
          <w:lang w:bidi="ar"/>
        </w:rPr>
        <w:t xml:space="preserve">日</w:t>
      </w:r>
      <w:r/>
    </w:p>
    <w:p>
      <w:pPr>
        <w:jc w:val="both"/>
        <w:rPr>
          <w:rFonts w:hint="eastAsia" w:ascii="宋体" w:hAnsi="宋体" w:cs="宋体"/>
          <w:color w:val="auto"/>
          <w:sz w:val="36"/>
        </w:rPr>
      </w:pPr>
      <w:r>
        <w:rPr>
          <w:rFonts w:hint="eastAsia" w:ascii="宋体" w:hAnsi="宋体" w:cs="宋体"/>
          <w:color w:val="auto"/>
          <w:sz w:val="36"/>
        </w:rPr>
      </w:r>
      <w:r/>
    </w:p>
    <w:p>
      <w:pPr>
        <w:jc w:val="center"/>
        <w:rPr>
          <w:rFonts w:hint="eastAsia" w:ascii="宋体" w:hAnsi="宋体" w:cs="宋体"/>
          <w:sz w:val="36"/>
        </w:rPr>
      </w:pPr>
      <w:r>
        <w:rPr>
          <w:rFonts w:hint="eastAsia" w:ascii="宋体" w:hAnsi="宋体" w:cs="宋体"/>
          <w:sz w:val="36"/>
        </w:rPr>
      </w:r>
      <w:r/>
    </w:p>
    <w:p>
      <w:pPr>
        <w:jc w:val="center"/>
        <w:rPr>
          <w:rFonts w:hint="eastAsia" w:ascii="宋体" w:hAnsi="宋体" w:cs="宋体"/>
          <w:sz w:val="36"/>
        </w:rPr>
      </w:pPr>
      <w:r>
        <w:rPr>
          <w:rFonts w:hint="eastAsia" w:ascii="宋体" w:hAnsi="宋体" w:cs="宋体"/>
          <w:sz w:val="36"/>
        </w:rPr>
      </w:r>
      <w:r/>
    </w:p>
    <w:p>
      <w:pPr>
        <w:jc w:val="center"/>
        <w:rPr>
          <w:rFonts w:hint="eastAsia" w:ascii="宋体" w:hAnsi="宋体" w:cs="宋体"/>
          <w:sz w:val="36"/>
        </w:rPr>
      </w:pPr>
      <w:r>
        <w:rPr>
          <w:rFonts w:hint="eastAsia" w:ascii="宋体" w:hAnsi="宋体" w:cs="宋体"/>
          <w:sz w:val="36"/>
        </w:rPr>
        <w:t xml:space="preserve">目    录</w:t>
      </w:r>
      <w:r/>
    </w:p>
    <w:p>
      <w:pPr>
        <w:pStyle w:val="834"/>
        <w:tabs>
          <w:tab w:val="right" w:pos="9185" w:leader="dot"/>
        </w:tabs>
        <w:rPr>
          <w:rFonts w:hint="eastAsia" w:ascii="宋体" w:hAnsi="宋体" w:cs="宋体"/>
          <w:sz w:val="40"/>
          <w:szCs w:val="40"/>
        </w:rPr>
      </w:pPr>
      <w:r>
        <w:rPr>
          <w:rFonts w:hint="eastAsia" w:ascii="宋体" w:hAnsi="宋体" w:cs="宋体"/>
          <w:b w:val="0"/>
          <w:bCs w:val="0"/>
          <w:caps w:val="0"/>
          <w:sz w:val="32"/>
        </w:rPr>
        <w:fldChar w:fldCharType="begin"/>
      </w:r>
      <w:r>
        <w:rPr>
          <w:rFonts w:hint="eastAsia" w:ascii="宋体" w:hAnsi="宋体" w:cs="宋体"/>
          <w:b w:val="0"/>
          <w:bCs w:val="0"/>
          <w:caps w:val="0"/>
          <w:sz w:val="32"/>
        </w:rPr>
        <w:instrText xml:space="preserve">TOC \o "1-1" \h \u </w:instrText>
      </w:r>
      <w:r>
        <w:rPr>
          <w:rFonts w:hint="eastAsia" w:ascii="宋体" w:hAnsi="宋体" w:cs="宋体"/>
          <w:b w:val="0"/>
          <w:bCs w:val="0"/>
          <w:caps w:val="0"/>
          <w:sz w:val="32"/>
        </w:rPr>
        <w:fldChar w:fldCharType="separate"/>
      </w:r>
      <w:r>
        <w:fldChar w:fldCharType="begin"/>
      </w:r>
      <w:r>
        <w:instrText xml:space="preserve"> HYPERLINK \l "_Toc2749" </w:instrText>
      </w:r>
      <w:r>
        <w:fldChar w:fldCharType="separate"/>
      </w:r>
      <w:r>
        <w:rPr>
          <w:rFonts w:hint="eastAsia" w:ascii="宋体" w:hAnsi="宋体" w:cs="宋体"/>
          <w:sz w:val="40"/>
          <w:szCs w:val="40"/>
        </w:rPr>
        <w:t xml:space="preserve">第一章  磋商邀请</w:t>
      </w:r>
      <w:r>
        <w:rPr>
          <w:rFonts w:hint="eastAsia" w:ascii="宋体" w:hAnsi="宋体" w:cs="宋体"/>
          <w:sz w:val="40"/>
          <w:szCs w:val="40"/>
        </w:rPr>
        <w:tab/>
      </w:r>
      <w:r>
        <w:rPr>
          <w:rFonts w:hint="eastAsia" w:ascii="宋体" w:hAnsi="宋体" w:cs="宋体"/>
          <w:sz w:val="40"/>
          <w:szCs w:val="40"/>
        </w:rPr>
        <w:fldChar w:fldCharType="begin"/>
      </w:r>
      <w:r>
        <w:rPr>
          <w:rFonts w:hint="eastAsia" w:ascii="宋体" w:hAnsi="宋体" w:cs="宋体"/>
          <w:sz w:val="40"/>
          <w:szCs w:val="40"/>
        </w:rPr>
        <w:instrText xml:space="preserve"> PAGEREF _Toc2749 \h </w:instrText>
      </w:r>
      <w:r>
        <w:rPr>
          <w:rFonts w:hint="eastAsia" w:ascii="宋体" w:hAnsi="宋体" w:cs="宋体"/>
          <w:sz w:val="40"/>
          <w:szCs w:val="40"/>
        </w:rPr>
        <w:fldChar w:fldCharType="separate"/>
      </w:r>
      <w:r>
        <w:rPr>
          <w:rFonts w:hint="eastAsia" w:ascii="宋体" w:hAnsi="宋体" w:cs="宋体"/>
          <w:sz w:val="40"/>
          <w:szCs w:val="40"/>
        </w:rPr>
        <w:t xml:space="preserve">3</w:t>
      </w:r>
      <w:r>
        <w:rPr>
          <w:rFonts w:hint="eastAsia" w:ascii="宋体" w:hAnsi="宋体" w:cs="宋体"/>
          <w:sz w:val="40"/>
          <w:szCs w:val="40"/>
        </w:rPr>
        <w:fldChar w:fldCharType="end"/>
      </w:r>
      <w:r>
        <w:rPr>
          <w:rFonts w:hint="eastAsia" w:ascii="宋体" w:hAnsi="宋体" w:cs="宋体"/>
          <w:sz w:val="40"/>
          <w:szCs w:val="40"/>
        </w:rPr>
        <w:fldChar w:fldCharType="end"/>
      </w:r>
      <w:r/>
    </w:p>
    <w:p>
      <w:pPr>
        <w:pStyle w:val="834"/>
        <w:tabs>
          <w:tab w:val="right" w:pos="9185" w:leader="dot"/>
        </w:tabs>
        <w:rPr>
          <w:rFonts w:hint="eastAsia" w:ascii="宋体" w:hAnsi="宋体" w:cs="宋体"/>
          <w:sz w:val="40"/>
          <w:szCs w:val="40"/>
        </w:rPr>
      </w:pPr>
      <w:r>
        <w:fldChar w:fldCharType="begin"/>
      </w:r>
      <w:r>
        <w:instrText xml:space="preserve"> HYPERLINK \l "_Toc6212" </w:instrText>
      </w:r>
      <w:r>
        <w:fldChar w:fldCharType="separate"/>
      </w:r>
      <w:r>
        <w:rPr>
          <w:rFonts w:hint="eastAsia" w:ascii="宋体" w:hAnsi="宋体" w:cs="宋体"/>
          <w:sz w:val="40"/>
          <w:szCs w:val="40"/>
        </w:rPr>
        <w:t xml:space="preserve">第二章  供应商须知</w:t>
      </w:r>
      <w:r>
        <w:rPr>
          <w:rFonts w:hint="eastAsia" w:ascii="宋体" w:hAnsi="宋体" w:cs="宋体"/>
          <w:sz w:val="40"/>
          <w:szCs w:val="40"/>
        </w:rPr>
        <w:tab/>
      </w:r>
      <w:r>
        <w:rPr>
          <w:rFonts w:hint="eastAsia" w:ascii="宋体" w:hAnsi="宋体" w:cs="宋体"/>
          <w:sz w:val="40"/>
          <w:szCs w:val="40"/>
        </w:rPr>
        <w:fldChar w:fldCharType="begin"/>
      </w:r>
      <w:r>
        <w:rPr>
          <w:rFonts w:hint="eastAsia" w:ascii="宋体" w:hAnsi="宋体" w:cs="宋体"/>
          <w:sz w:val="40"/>
          <w:szCs w:val="40"/>
        </w:rPr>
        <w:instrText xml:space="preserve"> PAGEREF _Toc6212 \h </w:instrText>
      </w:r>
      <w:r>
        <w:rPr>
          <w:rFonts w:hint="eastAsia" w:ascii="宋体" w:hAnsi="宋体" w:cs="宋体"/>
          <w:sz w:val="40"/>
          <w:szCs w:val="40"/>
        </w:rPr>
        <w:fldChar w:fldCharType="separate"/>
      </w:r>
      <w:r>
        <w:rPr>
          <w:rFonts w:hint="eastAsia" w:ascii="宋体" w:hAnsi="宋体" w:cs="宋体"/>
          <w:sz w:val="40"/>
          <w:szCs w:val="40"/>
        </w:rPr>
        <w:t xml:space="preserve">6</w:t>
      </w:r>
      <w:r>
        <w:rPr>
          <w:rFonts w:hint="eastAsia" w:ascii="宋体" w:hAnsi="宋体" w:cs="宋体"/>
          <w:sz w:val="40"/>
          <w:szCs w:val="40"/>
        </w:rPr>
        <w:fldChar w:fldCharType="end"/>
      </w:r>
      <w:r>
        <w:rPr>
          <w:rFonts w:hint="eastAsia" w:ascii="宋体" w:hAnsi="宋体" w:cs="宋体"/>
          <w:sz w:val="40"/>
          <w:szCs w:val="40"/>
        </w:rPr>
        <w:fldChar w:fldCharType="end"/>
      </w:r>
      <w:r/>
    </w:p>
    <w:p>
      <w:pPr>
        <w:pStyle w:val="834"/>
        <w:tabs>
          <w:tab w:val="right" w:pos="9185" w:leader="dot"/>
        </w:tabs>
        <w:rPr>
          <w:rFonts w:hint="eastAsia" w:ascii="宋体" w:hAnsi="宋体" w:cs="宋体"/>
          <w:sz w:val="40"/>
          <w:szCs w:val="40"/>
        </w:rPr>
      </w:pPr>
      <w:r>
        <w:fldChar w:fldCharType="begin"/>
      </w:r>
      <w:r>
        <w:instrText xml:space="preserve"> HYPERLINK \l "_Toc12588" </w:instrText>
      </w:r>
      <w:r>
        <w:fldChar w:fldCharType="separate"/>
      </w:r>
      <w:r>
        <w:rPr>
          <w:rFonts w:hint="eastAsia" w:ascii="宋体" w:hAnsi="宋体" w:cs="宋体"/>
          <w:sz w:val="40"/>
          <w:szCs w:val="40"/>
        </w:rPr>
        <w:t xml:space="preserve">第三章  评审方法与评审标准</w:t>
      </w:r>
      <w:r>
        <w:rPr>
          <w:rFonts w:hint="eastAsia" w:ascii="宋体" w:hAnsi="宋体" w:cs="宋体"/>
          <w:sz w:val="40"/>
          <w:szCs w:val="40"/>
        </w:rPr>
        <w:tab/>
      </w:r>
      <w:r>
        <w:rPr>
          <w:rFonts w:hint="eastAsia" w:ascii="宋体" w:hAnsi="宋体" w:cs="宋体"/>
          <w:sz w:val="40"/>
          <w:szCs w:val="40"/>
        </w:rPr>
        <w:t xml:space="preserve">2</w:t>
      </w:r>
      <w:r>
        <w:rPr>
          <w:rFonts w:hint="eastAsia" w:ascii="宋体" w:hAnsi="宋体" w:cs="宋体"/>
          <w:sz w:val="40"/>
          <w:szCs w:val="40"/>
        </w:rPr>
        <w:fldChar w:fldCharType="end"/>
      </w:r>
      <w:r>
        <w:rPr>
          <w:rFonts w:hint="eastAsia" w:ascii="宋体" w:hAnsi="宋体" w:cs="宋体"/>
          <w:sz w:val="40"/>
          <w:szCs w:val="40"/>
        </w:rPr>
        <w:t xml:space="preserve">1</w:t>
      </w:r>
      <w:r/>
    </w:p>
    <w:p>
      <w:pPr>
        <w:pStyle w:val="834"/>
        <w:tabs>
          <w:tab w:val="right" w:pos="9185" w:leader="dot"/>
        </w:tabs>
        <w:rPr>
          <w:rFonts w:hint="eastAsia" w:ascii="宋体" w:hAnsi="宋体" w:cs="宋体"/>
          <w:sz w:val="40"/>
          <w:szCs w:val="40"/>
        </w:rPr>
      </w:pPr>
      <w:r>
        <w:fldChar w:fldCharType="begin"/>
      </w:r>
      <w:r>
        <w:instrText xml:space="preserve"> HYPERLINK \l "_Toc31402" </w:instrText>
      </w:r>
      <w:r>
        <w:fldChar w:fldCharType="separate"/>
      </w:r>
      <w:r>
        <w:rPr>
          <w:rFonts w:hint="eastAsia" w:ascii="宋体" w:hAnsi="宋体" w:cs="宋体"/>
          <w:sz w:val="40"/>
          <w:szCs w:val="40"/>
          <w:highlight w:val="white"/>
        </w:rPr>
        <w:t xml:space="preserve">第四章  采购需求</w:t>
      </w:r>
      <w:r>
        <w:rPr>
          <w:rFonts w:hint="eastAsia" w:ascii="宋体" w:hAnsi="宋体" w:cs="宋体"/>
          <w:sz w:val="40"/>
          <w:szCs w:val="40"/>
        </w:rPr>
        <w:tab/>
      </w:r>
      <w:r>
        <w:rPr>
          <w:rFonts w:hint="eastAsia" w:ascii="宋体" w:hAnsi="宋体" w:cs="宋体"/>
          <w:sz w:val="40"/>
          <w:szCs w:val="40"/>
        </w:rPr>
        <w:fldChar w:fldCharType="begin"/>
      </w:r>
      <w:r>
        <w:rPr>
          <w:rFonts w:hint="eastAsia" w:ascii="宋体" w:hAnsi="宋体" w:cs="宋体"/>
          <w:sz w:val="40"/>
          <w:szCs w:val="40"/>
        </w:rPr>
        <w:instrText xml:space="preserve"> PAGEREF _Toc31402 \h </w:instrText>
      </w:r>
      <w:r>
        <w:rPr>
          <w:rFonts w:hint="eastAsia" w:ascii="宋体" w:hAnsi="宋体" w:cs="宋体"/>
          <w:sz w:val="40"/>
          <w:szCs w:val="40"/>
        </w:rPr>
        <w:fldChar w:fldCharType="separate"/>
      </w:r>
      <w:r>
        <w:rPr>
          <w:rFonts w:hint="eastAsia" w:ascii="宋体" w:hAnsi="宋体" w:cs="宋体"/>
          <w:sz w:val="40"/>
          <w:szCs w:val="40"/>
        </w:rPr>
        <w:t xml:space="preserve">25</w:t>
      </w:r>
      <w:r>
        <w:rPr>
          <w:rFonts w:hint="eastAsia" w:ascii="宋体" w:hAnsi="宋体" w:cs="宋体"/>
          <w:sz w:val="40"/>
          <w:szCs w:val="40"/>
        </w:rPr>
        <w:fldChar w:fldCharType="end"/>
      </w:r>
      <w:r>
        <w:rPr>
          <w:rFonts w:hint="eastAsia" w:ascii="宋体" w:hAnsi="宋体" w:cs="宋体"/>
          <w:sz w:val="40"/>
          <w:szCs w:val="40"/>
        </w:rPr>
        <w:fldChar w:fldCharType="end"/>
      </w:r>
      <w:r/>
    </w:p>
    <w:p>
      <w:pPr>
        <w:pStyle w:val="834"/>
        <w:tabs>
          <w:tab w:val="right" w:pos="9185" w:leader="dot"/>
        </w:tabs>
        <w:rPr>
          <w:rFonts w:hint="eastAsia" w:ascii="宋体" w:hAnsi="宋体" w:eastAsia="宋体" w:cs="宋体"/>
          <w:sz w:val="40"/>
          <w:szCs w:val="40"/>
          <w:lang w:eastAsia="zh-CN"/>
        </w:rPr>
      </w:pPr>
      <w:r>
        <w:fldChar w:fldCharType="begin"/>
      </w:r>
      <w:r>
        <w:instrText xml:space="preserve"> HYPERLINK \l "_Toc6018" </w:instrText>
      </w:r>
      <w:r>
        <w:fldChar w:fldCharType="separate"/>
      </w:r>
      <w:r>
        <w:rPr>
          <w:rFonts w:hint="eastAsia" w:ascii="宋体" w:hAnsi="宋体" w:cs="宋体"/>
          <w:sz w:val="40"/>
          <w:szCs w:val="40"/>
          <w:highlight w:val="white"/>
        </w:rPr>
        <w:t xml:space="preserve">第五章  合同格式及条款</w:t>
      </w:r>
      <w:r>
        <w:rPr>
          <w:rFonts w:hint="eastAsia" w:ascii="宋体" w:hAnsi="宋体" w:cs="宋体"/>
          <w:sz w:val="40"/>
          <w:szCs w:val="40"/>
        </w:rPr>
        <w:tab/>
      </w:r>
      <w:r>
        <w:rPr>
          <w:rFonts w:hint="eastAsia" w:ascii="宋体" w:hAnsi="宋体" w:cs="宋体"/>
          <w:sz w:val="40"/>
          <w:szCs w:val="40"/>
        </w:rPr>
        <w:t xml:space="preserve">4</w:t>
      </w:r>
      <w:r>
        <w:rPr>
          <w:rFonts w:hint="eastAsia" w:ascii="宋体" w:hAnsi="宋体" w:cs="宋体"/>
          <w:sz w:val="40"/>
          <w:szCs w:val="40"/>
        </w:rPr>
        <w:fldChar w:fldCharType="end"/>
      </w:r>
      <w:r>
        <w:rPr>
          <w:rFonts w:hint="eastAsia" w:ascii="宋体" w:hAnsi="宋体" w:cs="宋体"/>
          <w:sz w:val="40"/>
          <w:szCs w:val="40"/>
          <w:lang w:val="en-US" w:eastAsia="zh-CN"/>
        </w:rPr>
        <w:t xml:space="preserve">7</w:t>
      </w:r>
      <w:r/>
    </w:p>
    <w:p>
      <w:pPr>
        <w:pStyle w:val="834"/>
        <w:tabs>
          <w:tab w:val="right" w:pos="9185" w:leader="dot"/>
        </w:tabs>
        <w:rPr>
          <w:rFonts w:hint="eastAsia" w:ascii="宋体" w:hAnsi="宋体" w:eastAsia="宋体" w:cs="宋体"/>
          <w:lang w:eastAsia="zh-CN"/>
        </w:rPr>
      </w:pPr>
      <w:r>
        <w:fldChar w:fldCharType="begin"/>
      </w:r>
      <w:r>
        <w:instrText xml:space="preserve"> HYPERLINK \l "_Toc29491" </w:instrText>
      </w:r>
      <w:r>
        <w:fldChar w:fldCharType="separate"/>
      </w:r>
      <w:r>
        <w:rPr>
          <w:rFonts w:hint="eastAsia" w:ascii="宋体" w:hAnsi="宋体" w:cs="宋体"/>
          <w:sz w:val="40"/>
          <w:szCs w:val="40"/>
          <w:highlight w:val="white"/>
        </w:rPr>
        <w:t xml:space="preserve">第六章  响应文件格式</w:t>
      </w:r>
      <w:r>
        <w:rPr>
          <w:rFonts w:hint="eastAsia" w:ascii="宋体" w:hAnsi="宋体" w:cs="宋体"/>
          <w:sz w:val="40"/>
          <w:szCs w:val="40"/>
        </w:rPr>
        <w:tab/>
      </w:r>
      <w:r>
        <w:rPr>
          <w:rFonts w:hint="eastAsia" w:ascii="宋体" w:hAnsi="宋体" w:cs="宋体"/>
          <w:sz w:val="40"/>
          <w:szCs w:val="40"/>
        </w:rPr>
        <w:t xml:space="preserve">5</w:t>
      </w:r>
      <w:r>
        <w:rPr>
          <w:rFonts w:hint="eastAsia" w:ascii="宋体" w:hAnsi="宋体" w:cs="宋体"/>
          <w:sz w:val="40"/>
          <w:szCs w:val="40"/>
        </w:rPr>
        <w:fldChar w:fldCharType="end"/>
      </w:r>
      <w:r>
        <w:rPr>
          <w:rFonts w:hint="eastAsia" w:ascii="宋体" w:hAnsi="宋体" w:cs="宋体"/>
          <w:sz w:val="40"/>
          <w:szCs w:val="40"/>
          <w:lang w:val="en-US" w:eastAsia="zh-CN"/>
        </w:rPr>
        <w:t xml:space="preserve">9</w:t>
      </w:r>
      <w:r/>
    </w:p>
    <w:p>
      <w:pPr>
        <w:rPr>
          <w:rFonts w:hint="eastAsia" w:ascii="宋体" w:hAnsi="宋体" w:cs="宋体"/>
          <w:highlight w:val="cyan"/>
        </w:rPr>
      </w:pPr>
      <w:r>
        <w:rPr>
          <w:rFonts w:hint="eastAsia" w:ascii="宋体" w:hAnsi="宋体" w:cs="宋体"/>
        </w:rPr>
        <w:fldChar w:fldCharType="end"/>
      </w:r>
      <w:r/>
    </w:p>
    <w:p>
      <w:pPr>
        <w:jc w:val="center"/>
        <w:keepLines/>
        <w:keepNext/>
        <w:pageBreakBefore/>
        <w:rPr>
          <w:rFonts w:hint="eastAsia" w:ascii="宋体" w:hAnsi="宋体" w:cs="宋体"/>
          <w:b/>
          <w:sz w:val="44"/>
          <w:szCs w:val="44"/>
          <w:highlight w:val="whit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titlePg/>
        </w:sectPr>
        <w:outlineLvl w:val="0"/>
      </w:pPr>
      <w:r/>
      <w:bookmarkStart w:id="2" w:name="_Toc81575152"/>
      <w:r/>
      <w:bookmarkStart w:id="3" w:name="_Toc32137"/>
      <w:r/>
      <w:bookmarkStart w:id="4" w:name="_Toc81575189"/>
      <w:r/>
      <w:r/>
    </w:p>
    <w:p>
      <w:pPr>
        <w:pStyle w:val="800"/>
        <w:jc w:val="center"/>
        <w:spacing w:before="200"/>
        <w:rPr>
          <w:rFonts w:hint="eastAsia" w:ascii="宋体" w:hAnsi="宋体" w:eastAsia="宋体" w:cs="宋体"/>
          <w:sz w:val="24"/>
        </w:rPr>
      </w:pPr>
      <w:r/>
      <w:bookmarkStart w:id="5" w:name="_Toc2749"/>
      <w:r>
        <w:rPr>
          <w:rFonts w:hint="eastAsia" w:ascii="宋体" w:hAnsi="宋体" w:eastAsia="宋体" w:cs="宋体"/>
          <w:sz w:val="44"/>
        </w:rPr>
        <w:t xml:space="preserve">第一章  磋商邀请</w:t>
      </w:r>
      <w:bookmarkEnd w:id="2"/>
      <w:r/>
      <w:bookmarkEnd w:id="3"/>
      <w:r/>
      <w:bookmarkEnd w:id="4"/>
      <w:r/>
      <w:bookmarkEnd w:id="5"/>
      <w:r/>
      <w:r/>
    </w:p>
    <w:p>
      <w:pPr>
        <w:ind w:firstLine="482"/>
        <w:spacing w:line="560" w:lineRule="exact"/>
        <w:rPr>
          <w:rFonts w:hint="eastAsia" w:ascii="宋体" w:hAnsi="宋体" w:cs="宋体"/>
          <w:color w:val="auto"/>
          <w:sz w:val="24"/>
          <w:szCs w:val="24"/>
        </w:rPr>
      </w:pPr>
      <w:r>
        <w:rPr>
          <w:rFonts w:hint="eastAsia" w:ascii="宋体" w:hAnsi="宋体" w:cs="宋体"/>
          <w:color w:val="auto"/>
          <w:sz w:val="24"/>
          <w:szCs w:val="24"/>
        </w:rPr>
        <w:t xml:space="preserve">受</w:t>
      </w:r>
      <w:r>
        <w:rPr>
          <w:rFonts w:hint="eastAsia" w:ascii="宋体" w:hAnsi="宋体" w:cs="宋体"/>
          <w:color w:val="auto"/>
          <w:sz w:val="24"/>
          <w:szCs w:val="24"/>
          <w:u w:val="single"/>
        </w:rPr>
        <w:t xml:space="preserve">宿迁市城市管理局、宿迁市楚润数据集团有限公司</w:t>
      </w:r>
      <w:r>
        <w:rPr>
          <w:rFonts w:hint="eastAsia" w:ascii="宋体" w:hAnsi="宋体" w:cs="宋体"/>
          <w:color w:val="auto"/>
          <w:sz w:val="24"/>
          <w:szCs w:val="24"/>
        </w:rPr>
        <w:t xml:space="preserve">的委托，</w:t>
      </w:r>
      <w:r>
        <w:rPr>
          <w:rFonts w:hint="eastAsia" w:ascii="宋体" w:hAnsi="宋体" w:cs="宋体"/>
          <w:b/>
          <w:bCs/>
          <w:color w:val="auto"/>
          <w:sz w:val="24"/>
          <w:szCs w:val="24"/>
          <w:u w:val="single"/>
        </w:rPr>
        <w:t xml:space="preserve">江苏庆洲工程咨询有限公司</w:t>
      </w:r>
      <w:r>
        <w:rPr>
          <w:rFonts w:hint="eastAsia" w:ascii="宋体" w:hAnsi="宋体" w:cs="宋体"/>
          <w:color w:val="auto"/>
          <w:sz w:val="24"/>
          <w:szCs w:val="24"/>
        </w:rPr>
        <w:t xml:space="preserve">就</w:t>
      </w:r>
      <w:r>
        <w:rPr>
          <w:rFonts w:hint="eastAsia" w:ascii="宋体" w:hAnsi="宋体" w:cs="宋体"/>
          <w:b/>
          <w:bCs/>
          <w:color w:val="auto"/>
          <w:sz w:val="24"/>
          <w:szCs w:val="24"/>
          <w:u w:val="single"/>
        </w:rPr>
        <w:t xml:space="preserve"> </w:t>
      </w:r>
      <w:r>
        <w:rPr>
          <w:rFonts w:hint="eastAsia" w:ascii="宋体" w:hAnsi="宋体" w:cs="宋体"/>
          <w:color w:val="auto"/>
          <w:sz w:val="24"/>
          <w:szCs w:val="24"/>
          <w:u w:val="single"/>
        </w:rPr>
        <w:t xml:space="preserve">2026年宿迁市城管局智能城管运维项目</w:t>
      </w:r>
      <w:r>
        <w:rPr>
          <w:rFonts w:hint="eastAsia" w:ascii="宋体" w:hAnsi="宋体" w:cs="宋体"/>
          <w:color w:val="auto"/>
          <w:sz w:val="24"/>
          <w:szCs w:val="24"/>
        </w:rPr>
        <w:t xml:space="preserve">(</w:t>
      </w:r>
      <w:r>
        <w:rPr>
          <w:rFonts w:hint="eastAsia" w:ascii="宋体" w:hAnsi="宋体" w:cs="宋体"/>
          <w:color w:val="auto"/>
          <w:sz w:val="24"/>
          <w:szCs w:val="24"/>
          <w:u w:val="single"/>
          <w:lang w:eastAsia="zh-CN"/>
        </w:rPr>
        <w:t xml:space="preserve">JSZC-321300-JSQZ-C2026-0012</w:t>
      </w:r>
      <w:r>
        <w:rPr>
          <w:rFonts w:hint="eastAsia" w:ascii="宋体" w:hAnsi="宋体" w:cs="宋体"/>
          <w:color w:val="auto"/>
          <w:sz w:val="24"/>
          <w:szCs w:val="24"/>
        </w:rPr>
        <w:t xml:space="preserve">)进行竞争性磋商采购，欢迎符合条件的供应商参加磋商。</w:t>
      </w:r>
      <w:r/>
    </w:p>
    <w:p>
      <w:pPr>
        <w:ind w:firstLine="480"/>
        <w:rPr>
          <w:rFonts w:hint="eastAsia" w:ascii="宋体" w:hAnsi="宋体" w:cs="宋体"/>
          <w:color w:val="auto"/>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rPr>
        <w:t xml:space="preserve">项目概况</w:t>
      </w:r>
      <w:r/>
    </w:p>
    <w:p>
      <w:pPr>
        <w:ind w:firstLine="480"/>
        <w:rPr>
          <w:rFonts w:hint="eastAsia" w:ascii="宋体" w:hAnsi="宋体" w:cs="宋体"/>
          <w:color w:val="auto"/>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u w:val="single"/>
        </w:rPr>
        <w:t xml:space="preserve"> 2026年宿迁市城管局智能城管运维项目</w:t>
      </w:r>
      <w:r>
        <w:rPr>
          <w:rFonts w:hint="eastAsia" w:ascii="宋体" w:hAnsi="宋体" w:cs="宋体"/>
          <w:color w:val="auto"/>
          <w:sz w:val="24"/>
          <w:szCs w:val="24"/>
        </w:rPr>
        <w:t xml:space="preserve">的潜在供应商可在“江苏政府采购网”、“宿迁市政府采购网”自行免费获取磋商文件，并于2026年0</w:t>
      </w:r>
      <w:r>
        <w:rPr>
          <w:rFonts w:hint="eastAsia" w:ascii="宋体" w:hAnsi="宋体" w:cs="宋体"/>
          <w:color w:val="auto"/>
          <w:sz w:val="24"/>
          <w:szCs w:val="24"/>
          <w:lang w:val="en-US" w:eastAsia="zh-CN"/>
        </w:rPr>
        <w:t xml:space="preserve">7</w:t>
      </w:r>
      <w:r>
        <w:rPr>
          <w:rFonts w:hint="eastAsia" w:ascii="宋体" w:hAnsi="宋体" w:cs="宋体"/>
          <w:color w:val="auto"/>
          <w:sz w:val="24"/>
          <w:szCs w:val="24"/>
        </w:rPr>
        <w:t xml:space="preserve">月</w:t>
      </w:r>
      <w:r>
        <w:rPr>
          <w:rFonts w:hint="eastAsia" w:ascii="宋体" w:hAnsi="宋体" w:cs="宋体"/>
          <w:color w:val="auto"/>
          <w:sz w:val="24"/>
          <w:szCs w:val="24"/>
          <w:lang w:val="en-US" w:eastAsia="zh-CN"/>
        </w:rPr>
        <w:t xml:space="preserve">09</w:t>
      </w:r>
      <w:r>
        <w:rPr>
          <w:rFonts w:hint="eastAsia" w:ascii="宋体" w:hAnsi="宋体" w:cs="宋体"/>
          <w:color w:val="auto"/>
          <w:sz w:val="24"/>
          <w:szCs w:val="24"/>
        </w:rPr>
        <w:t xml:space="preserve">日09点30分（北京时间）前递交响应文件。</w:t>
      </w:r>
      <w:r/>
    </w:p>
    <w:p>
      <w:pPr>
        <w:pStyle w:val="801"/>
        <w:ind w:firstLine="643"/>
        <w:spacing w:before="0" w:after="0" w:line="520" w:lineRule="exact"/>
        <w:rPr>
          <w:rFonts w:hint="eastAsia" w:ascii="宋体" w:hAnsi="宋体" w:eastAsia="宋体" w:cs="宋体"/>
          <w:bCs/>
          <w:color w:val="auto"/>
          <w:szCs w:val="22"/>
        </w:rPr>
      </w:pPr>
      <w:r/>
      <w:bookmarkStart w:id="6" w:name="_Toc38985263"/>
      <w:r/>
      <w:bookmarkStart w:id="7" w:name="_Toc28359079"/>
      <w:r/>
      <w:bookmarkStart w:id="8" w:name="_Toc35393790"/>
      <w:r/>
      <w:bookmarkStart w:id="9" w:name="_Toc28359002"/>
      <w:r/>
      <w:bookmarkStart w:id="10" w:name="_Toc35393621"/>
      <w:r/>
      <w:bookmarkStart w:id="11" w:name="_Hlk24379207"/>
      <w:r>
        <w:rPr>
          <w:rFonts w:hint="eastAsia" w:ascii="宋体" w:hAnsi="宋体" w:eastAsia="宋体" w:cs="宋体"/>
          <w:bCs/>
          <w:color w:val="auto"/>
          <w:szCs w:val="22"/>
        </w:rPr>
        <w:t xml:space="preserve">一、项目基本情况</w:t>
      </w:r>
      <w:bookmarkEnd w:id="6"/>
      <w:r/>
      <w:bookmarkEnd w:id="7"/>
      <w:r/>
      <w:bookmarkEnd w:id="8"/>
      <w:r/>
      <w:bookmarkEnd w:id="9"/>
      <w:r/>
      <w:bookmarkEnd w:id="10"/>
      <w:r/>
      <w:r/>
    </w:p>
    <w:p>
      <w:pPr>
        <w:ind w:firstLine="482"/>
        <w:spacing w:line="480" w:lineRule="exac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1.项目编号：</w:t>
      </w:r>
      <w:r>
        <w:rPr>
          <w:rFonts w:hint="eastAsia" w:ascii="宋体" w:hAnsi="宋体" w:cs="宋体"/>
          <w:color w:val="auto"/>
          <w:sz w:val="24"/>
          <w:szCs w:val="24"/>
          <w:lang w:eastAsia="zh-CN"/>
        </w:rPr>
        <w:t xml:space="preserve">JSZC-321300-JSQZ-C2026-0012</w:t>
      </w:r>
      <w:r/>
    </w:p>
    <w:p>
      <w:pPr>
        <w:ind w:firstLine="482"/>
        <w:spacing w:line="480" w:lineRule="exact"/>
        <w:rPr>
          <w:rFonts w:hint="eastAsia" w:ascii="宋体" w:hAnsi="宋体" w:cs="宋体"/>
          <w:color w:val="auto"/>
          <w:sz w:val="24"/>
          <w:szCs w:val="24"/>
        </w:rPr>
      </w:pPr>
      <w:r>
        <w:rPr>
          <w:rFonts w:hint="eastAsia" w:ascii="宋体" w:hAnsi="宋体" w:cs="宋体"/>
          <w:color w:val="auto"/>
          <w:sz w:val="24"/>
          <w:szCs w:val="24"/>
        </w:rPr>
        <w:t xml:space="preserve">2.项目名称：</w:t>
      </w:r>
      <w:bookmarkEnd w:id="11"/>
      <w:r>
        <w:rPr>
          <w:rFonts w:hint="eastAsia" w:ascii="宋体" w:hAnsi="宋体" w:cs="宋体"/>
          <w:color w:val="auto"/>
          <w:sz w:val="24"/>
          <w:szCs w:val="24"/>
        </w:rPr>
        <w:t xml:space="preserve">2026年宿迁市城管局智能城管运维项目</w:t>
      </w:r>
      <w:r/>
    </w:p>
    <w:p>
      <w:pPr>
        <w:ind w:firstLine="482"/>
        <w:spacing w:line="480" w:lineRule="exact"/>
        <w:rPr>
          <w:rFonts w:hint="eastAsia" w:ascii="宋体" w:hAnsi="宋体" w:cs="宋体"/>
          <w:color w:val="auto"/>
          <w:sz w:val="24"/>
          <w:szCs w:val="24"/>
        </w:rPr>
      </w:pPr>
      <w:r>
        <w:rPr>
          <w:rFonts w:hint="eastAsia" w:ascii="宋体" w:hAnsi="宋体" w:cs="宋体"/>
          <w:color w:val="auto"/>
          <w:sz w:val="24"/>
          <w:szCs w:val="24"/>
        </w:rPr>
        <w:t xml:space="preserve">3.预算金额：132万元（分包1：95万元；分包2：37万元；）</w:t>
      </w:r>
      <w:r/>
    </w:p>
    <w:p>
      <w:pPr>
        <w:ind w:firstLine="482"/>
        <w:spacing w:line="480" w:lineRule="exact"/>
        <w:rPr>
          <w:rFonts w:hint="eastAsia" w:ascii="宋体" w:hAnsi="宋体" w:cs="宋体"/>
          <w:color w:val="auto"/>
          <w:sz w:val="24"/>
          <w:szCs w:val="24"/>
        </w:rPr>
      </w:pPr>
      <w:r>
        <w:rPr>
          <w:rFonts w:hint="eastAsia" w:ascii="宋体" w:hAnsi="宋体" w:cs="宋体"/>
          <w:color w:val="auto"/>
          <w:sz w:val="24"/>
          <w:szCs w:val="24"/>
        </w:rPr>
        <w:t xml:space="preserve">4.本项目最高限价：分包1最高限价为95万元；分包2最高限价为37万元；</w:t>
      </w:r>
      <w:r/>
    </w:p>
    <w:p>
      <w:pPr>
        <w:ind w:firstLine="480"/>
        <w:spacing w:line="480" w:lineRule="exact"/>
        <w:rPr>
          <w:rFonts w:hint="eastAsia" w:ascii="宋体" w:hAnsi="宋体" w:cs="宋体"/>
          <w:color w:val="auto"/>
          <w:sz w:val="24"/>
          <w:szCs w:val="24"/>
        </w:rPr>
      </w:pPr>
      <w:r>
        <w:rPr>
          <w:rFonts w:hint="eastAsia" w:ascii="宋体" w:hAnsi="宋体" w:cs="宋体"/>
          <w:color w:val="auto"/>
          <w:sz w:val="24"/>
          <w:szCs w:val="24"/>
        </w:rPr>
        <w:t xml:space="preserve">5.采购需求（简介）：2026年宿迁市城管局智能城管运维项目；具体内容详见本磋商文件第四章。</w:t>
      </w:r>
      <w:r/>
    </w:p>
    <w:p>
      <w:pPr>
        <w:ind w:firstLine="480"/>
        <w:spacing w:line="480" w:lineRule="exact"/>
        <w:rPr>
          <w:rFonts w:hint="eastAsia" w:ascii="宋体" w:hAnsi="宋体" w:cs="宋体"/>
          <w:color w:val="auto"/>
          <w:sz w:val="24"/>
          <w:szCs w:val="24"/>
        </w:rPr>
      </w:pPr>
      <w:r>
        <w:rPr>
          <w:rFonts w:hint="eastAsia" w:ascii="宋体" w:hAnsi="宋体" w:cs="宋体"/>
          <w:color w:val="auto"/>
          <w:sz w:val="24"/>
          <w:szCs w:val="24"/>
        </w:rPr>
        <w:t xml:space="preserve">分包1：核心采购需求是为宿迁市城管局信息化核心业务系统、配套网络安全设备、终端资源及专项合规服务提供全流程运维保障，具体涵盖7套</w:t>
      </w:r>
      <w:r>
        <w:rPr>
          <w:rFonts w:hint="eastAsia" w:ascii="宋体" w:hAnsi="宋体" w:cs="宋体"/>
          <w:color w:val="auto"/>
          <w:sz w:val="24"/>
          <w:szCs w:val="24"/>
          <w:lang w:val="en-US" w:eastAsia="zh-CN"/>
        </w:rPr>
        <w:t xml:space="preserve">智能</w:t>
      </w:r>
      <w:r>
        <w:rPr>
          <w:rFonts w:hint="eastAsia" w:ascii="宋体" w:hAnsi="宋体" w:cs="宋体"/>
          <w:color w:val="auto"/>
          <w:sz w:val="24"/>
          <w:szCs w:val="24"/>
        </w:rPr>
        <w:t xml:space="preserve">城管业务系统全周期运维、9类网络安全设备续保与特征库升级服务、2 项网络安全专项评估服务、7 项配套资源与专项技术服务，同时配置 1 名专职驻场运维人员提供全时段现场支撑，保障</w:t>
      </w:r>
      <w:r>
        <w:rPr>
          <w:rFonts w:hint="eastAsia" w:ascii="宋体" w:hAnsi="宋体" w:cs="宋体"/>
          <w:color w:val="auto"/>
          <w:sz w:val="24"/>
          <w:szCs w:val="24"/>
          <w:lang w:val="en-US" w:eastAsia="zh-CN"/>
        </w:rPr>
        <w:t xml:space="preserve">智能</w:t>
      </w:r>
      <w:r>
        <w:rPr>
          <w:rFonts w:hint="eastAsia" w:ascii="宋体" w:hAnsi="宋体" w:cs="宋体"/>
          <w:color w:val="auto"/>
          <w:sz w:val="24"/>
          <w:szCs w:val="24"/>
        </w:rPr>
        <w:t xml:space="preserve">城管核心业务系统全年7×24小时安全稳定运行。</w:t>
      </w:r>
      <w:r/>
    </w:p>
    <w:p>
      <w:pPr>
        <w:ind w:firstLine="480"/>
        <w:spacing w:line="480" w:lineRule="exact"/>
        <w:rPr>
          <w:rFonts w:hint="eastAsia" w:ascii="宋体" w:hAnsi="宋体" w:cs="宋体"/>
          <w:color w:val="auto"/>
          <w:sz w:val="24"/>
          <w:szCs w:val="24"/>
        </w:rPr>
      </w:pPr>
      <w:r>
        <w:rPr>
          <w:rFonts w:hint="eastAsia" w:ascii="宋体" w:hAnsi="宋体" w:cs="宋体"/>
          <w:color w:val="auto"/>
          <w:sz w:val="24"/>
          <w:szCs w:val="24"/>
        </w:rPr>
        <w:t xml:space="preserve">分包2：涵盖666路视频监控摄像头及配套立杆、设备箱、配电管线等设施的维修更换、取电整改、点位迁移与电费代缴，同步完成对应视频监控平台的常态化运维；150台喊话音箱的全配件维护维修、功能测试与点位迁移；400个物联网井盖传感器备件供应、2371 张配套物联网卡全年资费服务，以及物联网井盖管理平台的常态化运维，同时配套提供标准化巡检、故障分级处置、应急保障、备品备件管理及全周期运维文档交付等服务。</w:t>
      </w:r>
      <w:r/>
    </w:p>
    <w:p>
      <w:pPr>
        <w:ind w:firstLine="480"/>
        <w:spacing w:line="480" w:lineRule="exact"/>
        <w:rPr>
          <w:rFonts w:hint="eastAsia" w:ascii="宋体" w:hAnsi="宋体" w:cs="宋体"/>
          <w:color w:val="auto"/>
          <w:sz w:val="24"/>
          <w:szCs w:val="24"/>
        </w:rPr>
      </w:pPr>
      <w:r>
        <w:rPr>
          <w:rFonts w:hint="eastAsia" w:ascii="宋体" w:hAnsi="宋体" w:cs="宋体"/>
          <w:color w:val="auto"/>
          <w:sz w:val="24"/>
          <w:szCs w:val="24"/>
        </w:rPr>
        <w:t xml:space="preserve">本次采购共分为两个分包，按分包1至分包2的顺序开标、评标、中标，兼投兼中，即供应商可参与任意分包或全部分包的投标，需对拟参与分包分别进行制作投标文件，已在前一个分包被推荐为第一成交候选人的，可以参与其他分包的评审，且可再被推荐为其他分包的成交候选人。评审结束后，若其中一个分包受到质疑投诉等原因，导致该分包评审结果改变，但不影响其他分包的评审结果。</w:t>
      </w:r>
      <w:r/>
    </w:p>
    <w:p>
      <w:pPr>
        <w:ind w:firstLine="480"/>
        <w:spacing w:line="480" w:lineRule="exact"/>
        <w:rPr>
          <w:rFonts w:hint="eastAsia" w:ascii="宋体" w:hAnsi="宋体" w:cs="宋体"/>
          <w:color w:val="auto"/>
          <w:sz w:val="24"/>
          <w:szCs w:val="24"/>
        </w:rPr>
      </w:pPr>
      <w:r>
        <w:rPr>
          <w:rFonts w:hint="eastAsia" w:ascii="宋体" w:hAnsi="宋体" w:cs="宋体"/>
          <w:color w:val="auto"/>
          <w:sz w:val="24"/>
          <w:szCs w:val="24"/>
        </w:rPr>
        <w:t xml:space="preserve">6.合同履行期限：</w:t>
      </w:r>
      <w:r>
        <w:rPr>
          <w:rFonts w:hint="eastAsia" w:ascii="宋体" w:hAnsi="宋体" w:cs="宋体"/>
          <w:color w:val="auto"/>
          <w:sz w:val="24"/>
          <w:szCs w:val="20"/>
        </w:rPr>
        <w:t xml:space="preserve">合同签订后，运维服务期1年。</w:t>
      </w:r>
      <w:r/>
    </w:p>
    <w:p>
      <w:pPr>
        <w:ind w:firstLine="482"/>
        <w:spacing w:line="480" w:lineRule="exact"/>
        <w:rPr>
          <w:rFonts w:hint="eastAsia" w:ascii="宋体" w:hAnsi="宋体" w:cs="宋体"/>
          <w:color w:val="auto"/>
          <w:sz w:val="24"/>
          <w:szCs w:val="24"/>
        </w:rPr>
      </w:pPr>
      <w:r>
        <w:rPr>
          <w:rFonts w:hint="eastAsia" w:ascii="宋体" w:hAnsi="宋体" w:cs="宋体"/>
          <w:color w:val="auto"/>
          <w:sz w:val="24"/>
          <w:szCs w:val="24"/>
        </w:rPr>
        <w:t xml:space="preserve">7.本项目</w:t>
      </w:r>
      <w:r>
        <w:rPr>
          <w:rFonts w:hint="eastAsia" w:ascii="宋体" w:hAnsi="宋体" w:cs="宋体"/>
          <w:color w:val="auto"/>
          <w:sz w:val="24"/>
          <w:szCs w:val="24"/>
          <w:u w:val="single"/>
        </w:rPr>
        <w:t xml:space="preserve"> 不接受 </w:t>
      </w:r>
      <w:r>
        <w:rPr>
          <w:rFonts w:hint="eastAsia" w:ascii="宋体" w:hAnsi="宋体" w:cs="宋体"/>
          <w:color w:val="auto"/>
          <w:sz w:val="24"/>
          <w:szCs w:val="24"/>
        </w:rPr>
        <w:t xml:space="preserve">联合体磋商。</w:t>
      </w:r>
      <w:r/>
    </w:p>
    <w:p>
      <w:pPr>
        <w:pStyle w:val="801"/>
        <w:ind w:firstLine="643"/>
        <w:spacing w:before="0" w:after="0" w:line="520" w:lineRule="exact"/>
        <w:rPr>
          <w:rFonts w:hint="eastAsia" w:ascii="宋体" w:hAnsi="宋体" w:eastAsia="宋体" w:cs="宋体"/>
          <w:bCs/>
          <w:color w:val="auto"/>
          <w:szCs w:val="22"/>
        </w:rPr>
      </w:pPr>
      <w:r/>
      <w:bookmarkStart w:id="12" w:name="_Toc28359003"/>
      <w:r/>
      <w:bookmarkStart w:id="13" w:name="_Toc38985264"/>
      <w:r/>
      <w:bookmarkStart w:id="14" w:name="_Toc35393622"/>
      <w:r/>
      <w:bookmarkStart w:id="15" w:name="_Toc28359080"/>
      <w:r/>
      <w:bookmarkStart w:id="16" w:name="_Toc35393791"/>
      <w:r>
        <w:rPr>
          <w:rFonts w:hint="eastAsia" w:ascii="宋体" w:hAnsi="宋体" w:eastAsia="宋体" w:cs="宋体"/>
          <w:bCs/>
          <w:color w:val="auto"/>
          <w:szCs w:val="22"/>
        </w:rPr>
        <w:t xml:space="preserve">二、申请人的资格要求：</w:t>
      </w:r>
      <w:bookmarkEnd w:id="12"/>
      <w:r/>
      <w:bookmarkEnd w:id="13"/>
      <w:r/>
      <w:bookmarkEnd w:id="14"/>
      <w:r/>
      <w:bookmarkEnd w:id="15"/>
      <w:r/>
      <w:bookmarkEnd w:id="16"/>
      <w:r/>
      <w:r/>
    </w:p>
    <w:p>
      <w:pPr>
        <w:ind w:firstLine="482"/>
        <w:spacing w:line="480" w:lineRule="exact"/>
        <w:rPr>
          <w:rFonts w:hint="eastAsia" w:ascii="宋体" w:hAnsi="宋体" w:cs="宋体"/>
          <w:color w:val="auto"/>
          <w:sz w:val="24"/>
          <w:szCs w:val="24"/>
        </w:rPr>
      </w:pPr>
      <w:r/>
      <w:bookmarkStart w:id="17" w:name="_Toc28359081"/>
      <w:r/>
      <w:bookmarkStart w:id="18" w:name="_Toc35393623"/>
      <w:r/>
      <w:bookmarkStart w:id="19" w:name="_Toc35393792"/>
      <w:r/>
      <w:bookmarkStart w:id="20" w:name="_Toc38985265"/>
      <w:r/>
      <w:bookmarkStart w:id="21" w:name="_Toc28359004"/>
      <w:r/>
      <w:bookmarkStart w:id="22" w:name="_Toc38985269"/>
      <w:r/>
      <w:bookmarkStart w:id="23" w:name="_Toc28359085"/>
      <w:r/>
      <w:bookmarkStart w:id="24" w:name="_Toc28359008"/>
      <w:r/>
      <w:bookmarkStart w:id="25" w:name="_Toc35393796"/>
      <w:r/>
      <w:bookmarkStart w:id="26" w:name="_Toc35393627"/>
      <w:r>
        <w:rPr>
          <w:rFonts w:hint="eastAsia" w:ascii="宋体" w:hAnsi="宋体" w:cs="宋体"/>
          <w:color w:val="auto"/>
          <w:sz w:val="24"/>
          <w:szCs w:val="24"/>
        </w:rPr>
        <w:t xml:space="preserve">（一）通用资格要求</w:t>
      </w:r>
      <w:r/>
    </w:p>
    <w:p>
      <w:pPr>
        <w:ind w:firstLine="482"/>
        <w:spacing w:line="480" w:lineRule="exact"/>
        <w:rPr>
          <w:rFonts w:hint="eastAsia" w:ascii="宋体" w:hAnsi="宋体" w:cs="宋体"/>
          <w:color w:val="auto"/>
          <w:sz w:val="24"/>
          <w:szCs w:val="24"/>
        </w:rPr>
      </w:pPr>
      <w:r>
        <w:rPr>
          <w:rFonts w:hint="eastAsia" w:ascii="宋体" w:hAnsi="宋体" w:cs="宋体"/>
          <w:color w:val="auto"/>
          <w:sz w:val="24"/>
          <w:szCs w:val="24"/>
        </w:rPr>
        <w:t xml:space="preserve">1.</w:t>
      </w:r>
      <w:bookmarkStart w:id="27" w:name="OLE_LINK24"/>
      <w:r>
        <w:rPr>
          <w:rFonts w:hint="eastAsia" w:ascii="宋体" w:hAnsi="宋体" w:cs="宋体"/>
          <w:color w:val="auto"/>
          <w:sz w:val="24"/>
          <w:szCs w:val="24"/>
        </w:rPr>
        <w:t xml:space="preserve">具备《中华人民共和国政府采购法》第二十二条第一款规定的6项条件（按要求提供磋商响应函）。</w:t>
      </w:r>
      <w:bookmarkEnd w:id="27"/>
      <w:r/>
      <w:r/>
    </w:p>
    <w:p>
      <w:pPr>
        <w:ind w:firstLine="482"/>
        <w:spacing w:line="480" w:lineRule="exact"/>
        <w:rPr>
          <w:rFonts w:hint="eastAsia" w:ascii="宋体" w:hAnsi="宋体" w:cs="宋体"/>
          <w:color w:val="auto"/>
          <w:sz w:val="24"/>
          <w:szCs w:val="24"/>
        </w:rPr>
      </w:pPr>
      <w:r>
        <w:rPr>
          <w:rFonts w:hint="eastAsia" w:ascii="宋体" w:hAnsi="宋体" w:cs="宋体"/>
          <w:color w:val="auto"/>
          <w:sz w:val="24"/>
          <w:szCs w:val="24"/>
        </w:rPr>
        <w:t xml:space="preserve">2. </w:t>
      </w:r>
      <w:bookmarkStart w:id="28" w:name="OLE_LINK25"/>
      <w:r>
        <w:rPr>
          <w:rFonts w:hint="eastAsia" w:ascii="宋体" w:hAnsi="宋体" w:cs="宋体"/>
          <w:color w:val="auto"/>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8"/>
      <w:r/>
      <w:r/>
    </w:p>
    <w:p>
      <w:pPr>
        <w:ind w:firstLine="482"/>
        <w:spacing w:line="480" w:lineRule="exact"/>
        <w:rPr>
          <w:rFonts w:hint="eastAsia" w:ascii="宋体" w:hAnsi="宋体" w:cs="宋体"/>
          <w:color w:val="auto"/>
          <w:sz w:val="24"/>
          <w:szCs w:val="24"/>
        </w:rPr>
      </w:pPr>
      <w:r>
        <w:rPr>
          <w:rFonts w:hint="eastAsia" w:ascii="宋体" w:hAnsi="宋体" w:cs="宋体"/>
          <w:color w:val="auto"/>
          <w:sz w:val="24"/>
          <w:szCs w:val="24"/>
        </w:rPr>
        <w:t xml:space="preserve">（二）落实政府采购政策需满足的资格要求：无。 </w:t>
      </w:r>
      <w:r/>
    </w:p>
    <w:p>
      <w:pPr>
        <w:ind w:firstLine="482"/>
        <w:spacing w:line="480" w:lineRule="exact"/>
        <w:rPr>
          <w:rFonts w:hint="eastAsia" w:ascii="宋体" w:hAnsi="宋体" w:cs="宋体"/>
          <w:color w:val="auto"/>
          <w:sz w:val="24"/>
          <w:szCs w:val="24"/>
          <w:highlight w:val="yellow"/>
        </w:rPr>
      </w:pPr>
      <w:r>
        <w:rPr>
          <w:rFonts w:hint="eastAsia" w:ascii="宋体" w:hAnsi="宋体" w:cs="宋体"/>
          <w:color w:val="auto"/>
          <w:sz w:val="24"/>
          <w:szCs w:val="24"/>
        </w:rPr>
        <w:t xml:space="preserve">（三）本项目的特定资格要求：无。</w:t>
      </w:r>
      <w:r/>
    </w:p>
    <w:p>
      <w:pPr>
        <w:pStyle w:val="801"/>
        <w:ind w:firstLine="643"/>
        <w:spacing w:before="0" w:after="0" w:line="520" w:lineRule="exact"/>
        <w:rPr>
          <w:rFonts w:hint="eastAsia" w:ascii="宋体" w:hAnsi="宋体" w:eastAsia="宋体" w:cs="宋体"/>
          <w:bCs/>
          <w:color w:val="auto"/>
        </w:rPr>
      </w:pPr>
      <w:r>
        <w:rPr>
          <w:rFonts w:hint="eastAsia" w:ascii="宋体" w:hAnsi="宋体" w:eastAsia="宋体" w:cs="宋体"/>
          <w:bCs/>
          <w:color w:val="auto"/>
        </w:rPr>
        <w:t xml:space="preserve">三、获取磋商文件</w:t>
      </w:r>
      <w:bookmarkEnd w:id="17"/>
      <w:r/>
      <w:bookmarkEnd w:id="18"/>
      <w:r/>
      <w:bookmarkEnd w:id="19"/>
      <w:r/>
      <w:bookmarkEnd w:id="20"/>
      <w:r/>
      <w:bookmarkEnd w:id="21"/>
      <w:r/>
      <w:r/>
    </w:p>
    <w:p>
      <w:pPr>
        <w:ind w:firstLine="482"/>
        <w:spacing w:line="480" w:lineRule="exact"/>
        <w:rPr>
          <w:rFonts w:hint="eastAsia" w:ascii="宋体" w:hAnsi="宋体" w:cs="宋体"/>
          <w:color w:val="auto"/>
          <w:sz w:val="24"/>
          <w:szCs w:val="24"/>
        </w:rPr>
      </w:pPr>
      <w:r/>
      <w:bookmarkStart w:id="29" w:name="_Toc28359082"/>
      <w:r/>
      <w:bookmarkStart w:id="30" w:name="_Toc38985266"/>
      <w:r/>
      <w:bookmarkStart w:id="31" w:name="_Toc28359005"/>
      <w:r/>
      <w:bookmarkStart w:id="32" w:name="_Toc35393793"/>
      <w:r/>
      <w:bookmarkStart w:id="33" w:name="_Toc35393624"/>
      <w:r>
        <w:rPr>
          <w:rFonts w:hint="eastAsia" w:ascii="宋体" w:hAnsi="宋体" w:cs="宋体"/>
          <w:color w:val="auto"/>
          <w:sz w:val="24"/>
          <w:szCs w:val="24"/>
        </w:rPr>
        <w:t xml:space="preserve">1.时间：自磋商文件公告发布之日起5个工作日。</w:t>
      </w:r>
      <w:r/>
    </w:p>
    <w:p>
      <w:pPr>
        <w:ind w:firstLine="482"/>
        <w:spacing w:line="480" w:lineRule="exact"/>
        <w:rPr>
          <w:rFonts w:hint="eastAsia" w:ascii="宋体" w:hAnsi="宋体" w:cs="宋体"/>
          <w:color w:val="auto"/>
          <w:sz w:val="24"/>
          <w:szCs w:val="24"/>
        </w:rPr>
      </w:pPr>
      <w:r>
        <w:rPr>
          <w:rFonts w:hint="eastAsia" w:ascii="宋体" w:hAnsi="宋体" w:cs="宋体"/>
          <w:color w:val="auto"/>
          <w:sz w:val="24"/>
          <w:szCs w:val="24"/>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hint="eastAsia" w:ascii="宋体" w:hAnsi="宋体" w:cs="宋体"/>
          <w:color w:val="auto"/>
          <w:sz w:val="24"/>
          <w:szCs w:val="24"/>
        </w:rPr>
      </w:pPr>
      <w:r/>
      <w:bookmarkStart w:id="34" w:name="EB0c44ff4da61f4af989d119fe214be450"/>
      <w:r>
        <w:rPr>
          <w:rFonts w:hint="eastAsia" w:ascii="宋体" w:hAnsi="宋体" w:cs="宋体"/>
          <w:color w:val="auto"/>
          <w:sz w:val="24"/>
          <w:szCs w:val="24"/>
        </w:rPr>
        <w:t xml:space="preserve">3.本项目共分两个采购包。供应商参与多个采购包磋商的，应按采购包分别获取磋商文件。供应商未按要求获取磋商文件的，后果自负（其响应文件不予接受）。</w:t>
      </w:r>
      <w:bookmarkEnd w:id="29"/>
      <w:r/>
      <w:bookmarkEnd w:id="30"/>
      <w:r/>
      <w:bookmarkEnd w:id="31"/>
      <w:r/>
      <w:bookmarkEnd w:id="32"/>
      <w:r/>
      <w:bookmarkEnd w:id="33"/>
      <w:r/>
      <w:bookmarkEnd w:id="34"/>
      <w:r/>
      <w:r/>
    </w:p>
    <w:p>
      <w:pPr>
        <w:pStyle w:val="801"/>
        <w:ind w:firstLine="643"/>
        <w:spacing w:before="0" w:after="0" w:line="520" w:lineRule="exact"/>
        <w:rPr>
          <w:rFonts w:hint="eastAsia" w:ascii="宋体" w:hAnsi="宋体" w:eastAsia="宋体" w:cs="宋体"/>
          <w:bCs/>
          <w:color w:val="auto"/>
        </w:rPr>
      </w:pPr>
      <w:r/>
      <w:bookmarkStart w:id="35" w:name="_Toc28359007"/>
      <w:r/>
      <w:bookmarkStart w:id="36" w:name="_Toc38985267"/>
      <w:r/>
      <w:bookmarkStart w:id="37" w:name="_Toc35393794"/>
      <w:r/>
      <w:bookmarkStart w:id="38" w:name="_Toc35393625"/>
      <w:r/>
      <w:bookmarkStart w:id="39" w:name="_Toc28359084"/>
      <w:r>
        <w:rPr>
          <w:rFonts w:hint="eastAsia" w:ascii="宋体" w:hAnsi="宋体" w:eastAsia="宋体" w:cs="宋体"/>
          <w:bCs/>
          <w:color w:val="auto"/>
        </w:rPr>
        <w:t xml:space="preserve">四、提交响应文件截止时间、磋商时间及地点</w:t>
      </w:r>
      <w:r/>
    </w:p>
    <w:p>
      <w:pPr>
        <w:ind w:firstLine="482"/>
        <w:spacing w:line="480" w:lineRule="exact"/>
        <w:rPr>
          <w:rFonts w:hint="eastAsia" w:ascii="宋体" w:hAnsi="宋体" w:cs="宋体"/>
          <w:color w:val="auto"/>
          <w:sz w:val="24"/>
          <w:szCs w:val="24"/>
        </w:rPr>
      </w:pPr>
      <w:r>
        <w:rPr>
          <w:rFonts w:hint="eastAsia" w:ascii="宋体" w:hAnsi="宋体" w:cs="宋体"/>
          <w:color w:val="auto"/>
          <w:sz w:val="24"/>
          <w:szCs w:val="24"/>
        </w:rPr>
        <w:t xml:space="preserve">1. 提交响应文件截止时间、磋商时间：2026年</w:t>
      </w:r>
      <w:r>
        <w:rPr>
          <w:rFonts w:hint="eastAsia" w:ascii="宋体" w:hAnsi="宋体" w:cs="宋体"/>
          <w:color w:val="auto"/>
          <w:sz w:val="24"/>
          <w:szCs w:val="24"/>
          <w:u w:val="single"/>
          <w:lang w:val="en-US" w:eastAsia="zh-CN"/>
        </w:rPr>
        <w:t xml:space="preserve">07</w:t>
      </w:r>
      <w:r>
        <w:rPr>
          <w:rFonts w:hint="eastAsia" w:ascii="宋体" w:hAnsi="宋体" w:cs="宋体"/>
          <w:color w:val="auto"/>
          <w:sz w:val="24"/>
          <w:szCs w:val="24"/>
          <w:u w:val="single"/>
        </w:rPr>
        <w:t xml:space="preserve">月</w:t>
      </w:r>
      <w:r>
        <w:rPr>
          <w:rFonts w:hint="eastAsia" w:ascii="宋体" w:hAnsi="宋体" w:cs="宋体"/>
          <w:color w:val="auto"/>
          <w:sz w:val="24"/>
          <w:szCs w:val="24"/>
          <w:u w:val="single"/>
          <w:lang w:val="en-US" w:eastAsia="zh-CN"/>
        </w:rPr>
        <w:t xml:space="preserve">09</w:t>
      </w:r>
      <w:r>
        <w:rPr>
          <w:rFonts w:hint="eastAsia" w:ascii="宋体" w:hAnsi="宋体" w:cs="宋体"/>
          <w:color w:val="auto"/>
          <w:sz w:val="24"/>
          <w:szCs w:val="24"/>
        </w:rPr>
        <w:t xml:space="preserve">日09点30分（北京时间）。</w:t>
      </w:r>
      <w:r/>
    </w:p>
    <w:p>
      <w:pPr>
        <w:ind w:firstLine="482"/>
        <w:spacing w:line="480" w:lineRule="exact"/>
        <w:rPr>
          <w:rFonts w:hint="eastAsia" w:ascii="宋体" w:hAnsi="宋体" w:cs="宋体"/>
          <w:color w:val="auto"/>
          <w:sz w:val="24"/>
          <w:szCs w:val="24"/>
        </w:rPr>
      </w:pPr>
      <w:r>
        <w:rPr>
          <w:rFonts w:hint="eastAsia" w:ascii="宋体" w:hAnsi="宋体" w:cs="宋体"/>
          <w:color w:val="auto"/>
          <w:sz w:val="24"/>
          <w:szCs w:val="24"/>
        </w:rPr>
        <w:t xml:space="preserve">2. 地点：“苏采云”政府采购交易系统网上开标大厅。</w:t>
      </w:r>
      <w:r/>
    </w:p>
    <w:p>
      <w:pPr>
        <w:pStyle w:val="801"/>
        <w:ind w:firstLine="643"/>
        <w:spacing w:before="0" w:after="0" w:line="520" w:lineRule="exact"/>
        <w:rPr>
          <w:rFonts w:hint="eastAsia" w:ascii="宋体" w:hAnsi="宋体" w:eastAsia="宋体" w:cs="宋体"/>
          <w:bCs/>
          <w:color w:val="auto"/>
        </w:rPr>
      </w:pPr>
      <w:r>
        <w:rPr>
          <w:rFonts w:hint="eastAsia" w:ascii="宋体" w:hAnsi="宋体" w:eastAsia="宋体" w:cs="宋体"/>
          <w:bCs/>
          <w:color w:val="auto"/>
        </w:rPr>
        <w:t xml:space="preserve">五、公告期限</w:t>
      </w:r>
      <w:bookmarkEnd w:id="35"/>
      <w:r/>
      <w:bookmarkEnd w:id="36"/>
      <w:r/>
      <w:bookmarkEnd w:id="37"/>
      <w:r/>
      <w:bookmarkEnd w:id="38"/>
      <w:r/>
      <w:bookmarkEnd w:id="39"/>
      <w:r/>
      <w:r/>
    </w:p>
    <w:p>
      <w:pPr>
        <w:ind w:firstLine="482"/>
        <w:spacing w:line="480" w:lineRule="exact"/>
        <w:rPr>
          <w:rFonts w:hint="eastAsia" w:ascii="宋体" w:hAnsi="宋体" w:cs="宋体"/>
          <w:color w:val="auto"/>
          <w:sz w:val="24"/>
          <w:szCs w:val="24"/>
        </w:rPr>
      </w:pPr>
      <w:r>
        <w:rPr>
          <w:rFonts w:hint="eastAsia" w:ascii="宋体" w:hAnsi="宋体" w:cs="宋体"/>
          <w:color w:val="auto"/>
          <w:sz w:val="24"/>
          <w:szCs w:val="24"/>
          <w:lang w:val="en"/>
        </w:rPr>
        <w:t xml:space="preserve">自本公告发布之日起3个工作日。</w:t>
      </w:r>
      <w:r/>
    </w:p>
    <w:p>
      <w:pPr>
        <w:pStyle w:val="801"/>
        <w:ind w:firstLine="643"/>
        <w:spacing w:before="0" w:after="0" w:line="520" w:lineRule="exact"/>
        <w:rPr>
          <w:rFonts w:hint="eastAsia" w:ascii="宋体" w:hAnsi="宋体" w:eastAsia="宋体" w:cs="宋体"/>
          <w:bCs/>
          <w:color w:val="auto"/>
        </w:rPr>
      </w:pPr>
      <w:r>
        <w:rPr>
          <w:rFonts w:hint="eastAsia" w:ascii="宋体" w:hAnsi="宋体" w:eastAsia="宋体" w:cs="宋体"/>
          <w:bCs/>
          <w:color w:val="auto"/>
        </w:rPr>
        <w:t xml:space="preserve">六、其他补充事宜</w:t>
      </w:r>
      <w:r/>
    </w:p>
    <w:p>
      <w:pPr>
        <w:ind w:firstLine="480"/>
        <w:spacing w:line="480" w:lineRule="exact"/>
        <w:rPr>
          <w:rFonts w:hint="eastAsia" w:ascii="宋体" w:hAnsi="宋体" w:cs="宋体"/>
          <w:color w:val="auto"/>
          <w:sz w:val="24"/>
          <w:szCs w:val="24"/>
        </w:rPr>
      </w:pPr>
      <w:r/>
      <w:bookmarkStart w:id="40" w:name="EB64e1f522fd8c43fcb4d3ba471386b3e7"/>
      <w:r>
        <w:rPr>
          <w:rFonts w:hint="eastAsia" w:ascii="宋体" w:hAnsi="宋体" w:cs="宋体"/>
          <w:color w:val="auto"/>
          <w:sz w:val="24"/>
          <w:szCs w:val="24"/>
        </w:rPr>
        <w:t xml:space="preserve">1.磋商公告发布媒体：江苏政府采购网、宿迁市政府采购网等。</w:t>
      </w:r>
      <w:r/>
    </w:p>
    <w:p>
      <w:pPr>
        <w:ind w:firstLine="480"/>
        <w:spacing w:line="480" w:lineRule="exact"/>
        <w:rPr>
          <w:rFonts w:hint="eastAsia" w:ascii="宋体" w:hAnsi="宋体" w:cs="宋体"/>
          <w:color w:val="auto"/>
          <w:sz w:val="24"/>
          <w:szCs w:val="24"/>
        </w:rPr>
      </w:pPr>
      <w:r>
        <w:rPr>
          <w:rFonts w:hint="eastAsia" w:ascii="宋体" w:hAnsi="宋体" w:cs="宋体"/>
          <w:color w:val="auto"/>
          <w:sz w:val="24"/>
          <w:szCs w:val="24"/>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宋体" w:hAnsi="宋体" w:cs="宋体"/>
          <w:color w:val="auto"/>
          <w:sz w:val="24"/>
          <w:szCs w:val="24"/>
        </w:rPr>
      </w:pPr>
      <w:r>
        <w:rPr>
          <w:rFonts w:hint="eastAsia" w:ascii="宋体" w:hAnsi="宋体" w:cs="宋体"/>
          <w:color w:val="auto"/>
          <w:sz w:val="24"/>
          <w:szCs w:val="24"/>
        </w:rPr>
        <w:t xml:space="preserve">3.宿迁地区“苏采云”系统技术支持客服电话：0527-84363067、0519-86722806。</w:t>
      </w:r>
      <w:bookmarkEnd w:id="40"/>
      <w:r/>
      <w:r/>
    </w:p>
    <w:p>
      <w:pPr>
        <w:pStyle w:val="801"/>
        <w:ind w:firstLine="480"/>
        <w:spacing w:before="0" w:after="0" w:line="520" w:lineRule="exact"/>
        <w:rPr>
          <w:rFonts w:hint="eastAsia" w:ascii="宋体" w:hAnsi="宋体" w:eastAsia="宋体" w:cs="宋体"/>
          <w:b w:val="0"/>
          <w:color w:val="auto"/>
          <w:sz w:val="24"/>
          <w:szCs w:val="24"/>
        </w:rPr>
      </w:pPr>
      <w:r>
        <w:rPr>
          <w:rFonts w:hint="eastAsia" w:ascii="宋体" w:hAnsi="宋体" w:eastAsia="宋体" w:cs="宋体"/>
          <w:b w:val="0"/>
          <w:color w:val="auto"/>
          <w:sz w:val="24"/>
          <w:szCs w:val="24"/>
        </w:rPr>
        <w:t xml:space="preserve">4.质疑渠道：供应商登录“苏采云”系统“项目质疑申请”模块向采购人提出，质疑处理联系方式详见“采购人信息”；财政部门投诉受理电话：0527-84363063。</w:t>
      </w:r>
      <w:r/>
    </w:p>
    <w:p>
      <w:pPr>
        <w:pStyle w:val="801"/>
        <w:ind w:firstLine="643"/>
        <w:spacing w:before="0" w:after="0" w:line="520" w:lineRule="exact"/>
        <w:rPr>
          <w:rFonts w:hint="eastAsia" w:ascii="宋体" w:hAnsi="宋体" w:eastAsia="宋体" w:cs="宋体"/>
          <w:bCs/>
          <w:color w:val="auto"/>
          <w:szCs w:val="22"/>
        </w:rPr>
      </w:pPr>
      <w:r>
        <w:rPr>
          <w:rFonts w:hint="eastAsia" w:ascii="宋体" w:hAnsi="宋体" w:eastAsia="宋体" w:cs="宋体"/>
          <w:bCs/>
          <w:color w:val="auto"/>
          <w:szCs w:val="22"/>
        </w:rPr>
        <w:t xml:space="preserve">七、本次磋商联系方式</w:t>
      </w:r>
      <w:bookmarkEnd w:id="22"/>
      <w:r/>
      <w:bookmarkEnd w:id="23"/>
      <w:r/>
      <w:bookmarkEnd w:id="24"/>
      <w:r/>
      <w:bookmarkEnd w:id="25"/>
      <w:r/>
      <w:bookmarkEnd w:id="26"/>
      <w:r/>
      <w:r/>
    </w:p>
    <w:p>
      <w:pPr>
        <w:ind w:firstLine="480"/>
        <w:jc w:val="left"/>
        <w:spacing w:line="480" w:lineRule="exact"/>
        <w:widowControl/>
        <w:rPr>
          <w:rFonts w:hint="eastAsia" w:ascii="宋体" w:hAnsi="宋体" w:cs="宋体"/>
          <w:color w:val="auto"/>
          <w:sz w:val="24"/>
          <w:szCs w:val="24"/>
        </w:rPr>
      </w:pPr>
      <w:r>
        <w:rPr>
          <w:rFonts w:hint="eastAsia" w:ascii="宋体" w:hAnsi="宋体" w:cs="宋体"/>
          <w:color w:val="auto"/>
          <w:sz w:val="24"/>
          <w:szCs w:val="24"/>
        </w:rPr>
        <w:t xml:space="preserve">1.采购人1信息</w:t>
      </w:r>
      <w:r/>
    </w:p>
    <w:p>
      <w:pPr>
        <w:ind w:firstLine="480"/>
        <w:jc w:val="left"/>
        <w:spacing w:line="480" w:lineRule="exact"/>
        <w:rPr>
          <w:rFonts w:hint="eastAsia" w:ascii="宋体" w:hAnsi="宋体" w:cs="宋体"/>
          <w:color w:val="auto"/>
          <w:sz w:val="24"/>
          <w:szCs w:val="24"/>
        </w:rPr>
      </w:pPr>
      <w:r>
        <w:rPr>
          <w:rFonts w:hint="eastAsia" w:ascii="宋体" w:hAnsi="宋体" w:cs="宋体"/>
          <w:color w:val="auto"/>
          <w:sz w:val="24"/>
          <w:szCs w:val="24"/>
        </w:rPr>
        <w:t xml:space="preserve">名称：</w:t>
      </w:r>
      <w:r>
        <w:rPr>
          <w:rFonts w:hint="eastAsia" w:ascii="宋体" w:hAnsi="宋体" w:cs="宋体"/>
          <w:color w:val="auto"/>
          <w:sz w:val="24"/>
          <w:szCs w:val="24"/>
          <w:u w:val="single"/>
        </w:rPr>
        <w:t xml:space="preserve">宿迁市城市管理局</w:t>
      </w:r>
      <w:r/>
    </w:p>
    <w:p>
      <w:pPr>
        <w:ind w:firstLine="480"/>
        <w:jc w:val="left"/>
        <w:spacing w:line="480" w:lineRule="exact"/>
        <w:rPr>
          <w:rFonts w:hint="eastAsia" w:ascii="宋体" w:hAnsi="宋体" w:cs="宋体"/>
          <w:color w:val="auto"/>
          <w:sz w:val="24"/>
          <w:szCs w:val="24"/>
        </w:rPr>
      </w:pPr>
      <w:r>
        <w:rPr>
          <w:rFonts w:hint="eastAsia" w:ascii="宋体" w:hAnsi="宋体" w:cs="宋体"/>
          <w:color w:val="auto"/>
          <w:sz w:val="24"/>
          <w:szCs w:val="24"/>
        </w:rPr>
        <w:t xml:space="preserve">地址：</w:t>
      </w:r>
      <w:r>
        <w:rPr>
          <w:rFonts w:hint="eastAsia" w:ascii="宋体" w:hAnsi="宋体" w:cs="宋体"/>
          <w:color w:val="auto"/>
          <w:sz w:val="24"/>
          <w:szCs w:val="24"/>
          <w:u w:val="single"/>
        </w:rPr>
        <w:t xml:space="preserve">宿迁市宿城区发展大道3168号</w:t>
      </w:r>
      <w:r/>
    </w:p>
    <w:p>
      <w:pPr>
        <w:ind w:firstLine="480"/>
        <w:jc w:val="left"/>
        <w:spacing w:line="480" w:lineRule="exact"/>
        <w:rPr>
          <w:rFonts w:hint="eastAsia" w:ascii="宋体" w:hAnsi="宋体" w:eastAsia="宋体" w:cs="宋体"/>
          <w:color w:val="auto"/>
          <w:sz w:val="24"/>
          <w:szCs w:val="24"/>
          <w:u w:val="single"/>
          <w:lang w:val="en-US" w:eastAsia="zh-CN"/>
        </w:rPr>
      </w:pPr>
      <w:r>
        <w:rPr>
          <w:rFonts w:hint="eastAsia" w:ascii="宋体" w:hAnsi="宋体" w:cs="宋体"/>
          <w:color w:val="auto"/>
          <w:sz w:val="24"/>
          <w:szCs w:val="24"/>
        </w:rPr>
        <w:t xml:space="preserve">联系人：</w:t>
      </w:r>
      <w:r>
        <w:rPr>
          <w:rFonts w:hint="eastAsia" w:ascii="宋体" w:hAnsi="宋体" w:cs="宋体"/>
          <w:color w:val="auto"/>
          <w:sz w:val="24"/>
          <w:szCs w:val="24"/>
          <w:u w:val="single"/>
          <w:lang w:val="en-US" w:eastAsia="zh-CN"/>
        </w:rPr>
        <w:t xml:space="preserve">范纪</w:t>
      </w:r>
      <w:r/>
    </w:p>
    <w:p>
      <w:pPr>
        <w:ind w:firstLine="480"/>
        <w:jc w:val="left"/>
        <w:spacing w:line="480" w:lineRule="exact"/>
        <w:rPr>
          <w:rFonts w:hint="default" w:ascii="宋体" w:hAnsi="宋体" w:eastAsia="宋体" w:cs="宋体"/>
          <w:color w:val="auto"/>
          <w:sz w:val="24"/>
          <w:szCs w:val="24"/>
          <w:u w:val="single"/>
          <w:lang w:val="en-US" w:eastAsia="zh-CN"/>
        </w:rPr>
      </w:pPr>
      <w:r>
        <w:rPr>
          <w:rFonts w:hint="eastAsia" w:ascii="宋体" w:hAnsi="宋体" w:cs="宋体"/>
          <w:color w:val="auto"/>
          <w:sz w:val="24"/>
          <w:szCs w:val="24"/>
        </w:rPr>
        <w:t xml:space="preserve">联系方式：</w:t>
      </w:r>
      <w:bookmarkStart w:id="41" w:name="_Toc28359009"/>
      <w:r/>
      <w:bookmarkStart w:id="42" w:name="_Toc28359086"/>
      <w:r>
        <w:rPr>
          <w:rFonts w:hint="eastAsia" w:ascii="宋体" w:hAnsi="宋体" w:cs="宋体"/>
          <w:color w:val="auto"/>
          <w:sz w:val="24"/>
          <w:szCs w:val="24"/>
          <w:u w:val="single"/>
          <w:lang w:val="en-US" w:eastAsia="zh-CN"/>
        </w:rPr>
        <w:t xml:space="preserve">15850903648</w:t>
      </w:r>
      <w:r/>
    </w:p>
    <w:p>
      <w:pPr>
        <w:ind w:firstLine="480"/>
        <w:jc w:val="left"/>
        <w:spacing w:line="480" w:lineRule="exact"/>
        <w:widowControl/>
        <w:rPr>
          <w:rFonts w:hint="eastAsia" w:ascii="宋体" w:hAnsi="宋体" w:cs="宋体"/>
          <w:color w:val="auto"/>
          <w:sz w:val="24"/>
          <w:szCs w:val="24"/>
        </w:rPr>
      </w:pPr>
      <w:r>
        <w:rPr>
          <w:rFonts w:hint="eastAsia" w:ascii="宋体" w:hAnsi="宋体" w:cs="宋体"/>
          <w:color w:val="auto"/>
          <w:sz w:val="24"/>
          <w:szCs w:val="24"/>
        </w:rPr>
        <w:t xml:space="preserve">2.采购人2信息</w:t>
      </w:r>
      <w:r/>
    </w:p>
    <w:p>
      <w:pPr>
        <w:ind w:firstLine="480"/>
        <w:jc w:val="left"/>
        <w:spacing w:line="480" w:lineRule="exact"/>
        <w:rPr>
          <w:rFonts w:hint="eastAsia" w:ascii="宋体" w:hAnsi="宋体" w:cs="宋体"/>
          <w:color w:val="auto"/>
          <w:sz w:val="24"/>
          <w:szCs w:val="24"/>
        </w:rPr>
      </w:pPr>
      <w:r>
        <w:rPr>
          <w:rFonts w:hint="eastAsia" w:ascii="宋体" w:hAnsi="宋体" w:cs="宋体"/>
          <w:color w:val="auto"/>
          <w:sz w:val="24"/>
          <w:szCs w:val="24"/>
        </w:rPr>
        <w:t xml:space="preserve">名称：</w:t>
      </w:r>
      <w:r>
        <w:rPr>
          <w:rFonts w:hint="eastAsia" w:ascii="宋体" w:hAnsi="宋体" w:cs="宋体"/>
          <w:color w:val="auto"/>
          <w:sz w:val="24"/>
          <w:szCs w:val="24"/>
          <w:u w:val="single"/>
        </w:rPr>
        <w:t xml:space="preserve">宿迁市楚润数据集团有限公司</w:t>
      </w:r>
      <w:r/>
    </w:p>
    <w:p>
      <w:pPr>
        <w:ind w:firstLine="480"/>
        <w:jc w:val="left"/>
        <w:spacing w:line="480" w:lineRule="exact"/>
        <w:rPr>
          <w:rFonts w:hint="eastAsia" w:ascii="宋体" w:hAnsi="宋体" w:cs="宋体"/>
          <w:color w:val="auto"/>
          <w:sz w:val="24"/>
          <w:szCs w:val="24"/>
        </w:rPr>
      </w:pPr>
      <w:r>
        <w:rPr>
          <w:rFonts w:hint="eastAsia" w:ascii="宋体" w:hAnsi="宋体" w:cs="宋体"/>
          <w:color w:val="auto"/>
          <w:sz w:val="24"/>
          <w:szCs w:val="24"/>
        </w:rPr>
        <w:t xml:space="preserve">地址：</w:t>
      </w:r>
      <w:r>
        <w:rPr>
          <w:rFonts w:hint="eastAsia" w:ascii="宋体" w:hAnsi="宋体" w:cs="宋体"/>
          <w:color w:val="auto"/>
          <w:sz w:val="24"/>
          <w:szCs w:val="24"/>
          <w:u w:val="single"/>
        </w:rPr>
        <w:t xml:space="preserve">宿迁市宿城区发展大道2496号</w:t>
      </w:r>
      <w:r/>
    </w:p>
    <w:p>
      <w:pPr>
        <w:ind w:firstLine="480"/>
        <w:jc w:val="left"/>
        <w:spacing w:line="480" w:lineRule="exact"/>
        <w:rPr>
          <w:rFonts w:hint="eastAsia" w:ascii="宋体" w:hAnsi="宋体" w:cs="宋体"/>
          <w:color w:val="auto"/>
          <w:sz w:val="24"/>
          <w:szCs w:val="24"/>
          <w:u w:val="single"/>
        </w:rPr>
      </w:pPr>
      <w:r>
        <w:rPr>
          <w:rFonts w:hint="eastAsia" w:ascii="宋体" w:hAnsi="宋体" w:cs="宋体"/>
          <w:color w:val="auto"/>
          <w:sz w:val="24"/>
          <w:szCs w:val="24"/>
        </w:rPr>
        <w:t xml:space="preserve">联系人：</w:t>
      </w:r>
      <w:r>
        <w:rPr>
          <w:rFonts w:hint="eastAsia" w:ascii="宋体" w:hAnsi="宋体" w:cs="宋体"/>
          <w:color w:val="auto"/>
          <w:sz w:val="24"/>
          <w:szCs w:val="24"/>
          <w:u w:val="single"/>
        </w:rPr>
        <w:t xml:space="preserve">谢柯柯</w:t>
      </w:r>
      <w:r/>
    </w:p>
    <w:p>
      <w:pPr>
        <w:ind w:firstLine="480"/>
        <w:jc w:val="left"/>
        <w:spacing w:line="480" w:lineRule="exact"/>
        <w:rPr>
          <w:rFonts w:hint="eastAsia" w:ascii="宋体" w:hAnsi="宋体" w:cs="宋体"/>
          <w:color w:val="auto"/>
          <w:sz w:val="24"/>
          <w:szCs w:val="24"/>
          <w:u w:val="single"/>
        </w:rPr>
      </w:pPr>
      <w:r>
        <w:rPr>
          <w:rFonts w:hint="eastAsia" w:ascii="宋体" w:hAnsi="宋体" w:cs="宋体"/>
          <w:color w:val="auto"/>
          <w:sz w:val="24"/>
          <w:szCs w:val="24"/>
        </w:rPr>
        <w:t xml:space="preserve">联系方式：</w:t>
      </w:r>
      <w:r>
        <w:rPr>
          <w:rFonts w:hint="eastAsia" w:ascii="宋体" w:hAnsi="宋体" w:cs="宋体"/>
          <w:color w:val="auto"/>
          <w:sz w:val="24"/>
          <w:szCs w:val="24"/>
          <w:u w:val="single"/>
        </w:rPr>
        <w:t xml:space="preserve">13641536560</w:t>
      </w:r>
      <w:bookmarkEnd w:id="41"/>
      <w:bookmarkEnd w:id="42"/>
      <w:r/>
    </w:p>
    <w:p>
      <w:pPr>
        <w:ind w:firstLine="480"/>
        <w:jc w:val="left"/>
        <w:spacing w:line="56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.采购代理机构信息</w:t>
      </w:r>
      <w:r/>
    </w:p>
    <w:p>
      <w:pPr>
        <w:ind w:firstLine="480"/>
        <w:jc w:val="left"/>
        <w:spacing w:line="560" w:lineRule="exact"/>
        <w:rPr>
          <w:rFonts w:hint="eastAsia" w:ascii="宋体" w:hAnsi="宋体" w:cs="宋体"/>
          <w:color w:val="auto"/>
          <w:sz w:val="24"/>
          <w:szCs w:val="24"/>
        </w:rPr>
      </w:pPr>
      <w:r>
        <w:rPr>
          <w:rFonts w:hint="eastAsia" w:ascii="宋体" w:hAnsi="宋体" w:cs="宋体"/>
          <w:color w:val="auto"/>
          <w:sz w:val="24"/>
          <w:szCs w:val="24"/>
        </w:rPr>
        <w:t xml:space="preserve">名称：江苏庆洲工程咨询有限公司</w:t>
      </w:r>
      <w:r/>
    </w:p>
    <w:p>
      <w:pPr>
        <w:ind w:firstLine="480"/>
        <w:jc w:val="left"/>
        <w:spacing w:line="560" w:lineRule="exact"/>
        <w:rPr>
          <w:rFonts w:hint="eastAsia" w:ascii="宋体" w:hAnsi="宋体" w:cs="宋体"/>
          <w:color w:val="auto"/>
          <w:sz w:val="24"/>
          <w:szCs w:val="24"/>
        </w:rPr>
      </w:pPr>
      <w:r>
        <w:rPr>
          <w:rFonts w:hint="eastAsia" w:ascii="宋体" w:hAnsi="宋体" w:cs="宋体"/>
          <w:color w:val="auto"/>
          <w:sz w:val="24"/>
          <w:szCs w:val="24"/>
        </w:rPr>
        <w:t xml:space="preserve">地址：宿迁市宿城区洞庭湖路87号203室</w:t>
      </w:r>
      <w:r/>
    </w:p>
    <w:p>
      <w:pPr>
        <w:ind w:firstLine="480"/>
        <w:jc w:val="left"/>
        <w:spacing w:line="560" w:lineRule="exact"/>
        <w:rPr>
          <w:rFonts w:hint="eastAsia" w:ascii="宋体" w:hAnsi="宋体" w:cs="宋体"/>
          <w:color w:val="auto"/>
          <w:sz w:val="24"/>
          <w:szCs w:val="24"/>
        </w:rPr>
      </w:pPr>
      <w:r>
        <w:rPr>
          <w:rFonts w:hint="eastAsia" w:ascii="宋体" w:hAnsi="宋体" w:cs="宋体"/>
          <w:color w:val="auto"/>
          <w:sz w:val="24"/>
          <w:szCs w:val="24"/>
        </w:rPr>
        <w:t xml:space="preserve">联系人：李朝、袁军</w:t>
      </w:r>
      <w:r/>
    </w:p>
    <w:p>
      <w:pPr>
        <w:ind w:firstLine="480"/>
        <w:spacing w:line="560" w:lineRule="exact"/>
        <w:rPr>
          <w:rFonts w:hint="eastAsia" w:ascii="宋体" w:hAnsi="宋体" w:cs="宋体"/>
          <w:color w:val="auto"/>
          <w:shd w:val="clear" w:color="auto" w:fill="ffffff"/>
        </w:rPr>
      </w:pPr>
      <w:r>
        <w:rPr>
          <w:rFonts w:hint="eastAsia" w:ascii="宋体" w:hAnsi="宋体" w:cs="宋体"/>
          <w:color w:val="auto"/>
          <w:sz w:val="24"/>
          <w:szCs w:val="24"/>
        </w:rPr>
        <w:t xml:space="preserve">联系方式：0527-81180020、18360231010</w:t>
      </w:r>
      <w:r/>
    </w:p>
    <w:p>
      <w:pPr>
        <w:pStyle w:val="801"/>
        <w:ind w:firstLine="643"/>
        <w:spacing w:before="0" w:after="0" w:line="520" w:lineRule="exact"/>
        <w:rPr>
          <w:rFonts w:hint="eastAsia" w:ascii="宋体" w:hAnsi="宋体" w:eastAsia="宋体" w:cs="宋体"/>
          <w:bCs/>
          <w:color w:val="auto"/>
          <w:szCs w:val="22"/>
        </w:rPr>
      </w:pPr>
      <w:r>
        <w:rPr>
          <w:rFonts w:hint="eastAsia" w:ascii="宋体" w:hAnsi="宋体" w:eastAsia="宋体" w:cs="宋体"/>
          <w:bCs/>
          <w:color w:val="auto"/>
          <w:szCs w:val="22"/>
        </w:rPr>
        <w:t xml:space="preserve">八、其他</w:t>
      </w:r>
      <w:r/>
    </w:p>
    <w:p>
      <w:pPr>
        <w:ind w:firstLine="482"/>
        <w:spacing w:line="480" w:lineRule="exact"/>
        <w:rPr>
          <w:rFonts w:hint="eastAsia" w:ascii="宋体" w:hAnsi="宋体" w:cs="宋体"/>
          <w:color w:val="auto"/>
          <w:sz w:val="24"/>
          <w:szCs w:val="24"/>
        </w:rPr>
      </w:pPr>
      <w:r>
        <w:rPr>
          <w:rFonts w:hint="eastAsia" w:ascii="宋体" w:hAnsi="宋体" w:cs="宋体"/>
          <w:color w:val="auto"/>
          <w:sz w:val="24"/>
          <w:szCs w:val="24"/>
        </w:rPr>
        <w:t xml:space="preserve">有关本次招标的事项若存在变动或修改，敬请及时关注“宿迁市政府采购网”等平台更正公告。</w:t>
      </w:r>
      <w:r/>
    </w:p>
    <w:p>
      <w:pPr>
        <w:rPr>
          <w:rFonts w:hint="eastAsia" w:ascii="宋体" w:hAnsi="宋体" w:cs="宋体"/>
          <w:color w:val="auto"/>
        </w:rPr>
      </w:pPr>
      <w:r>
        <w:rPr>
          <w:rFonts w:hint="eastAsia" w:ascii="宋体" w:hAnsi="宋体" w:cs="宋体"/>
          <w:color w:val="auto"/>
        </w:rPr>
      </w:r>
      <w:r/>
    </w:p>
    <w:p>
      <w:pPr>
        <w:pStyle w:val="800"/>
        <w:jc w:val="center"/>
        <w:spacing w:before="200"/>
        <w:rPr>
          <w:rFonts w:hint="eastAsia" w:ascii="宋体" w:hAnsi="宋体" w:eastAsia="宋体" w:cs="宋体"/>
          <w:color w:val="auto"/>
          <w:sz w:val="44"/>
        </w:rPr>
      </w:pPr>
      <w:r/>
      <w:bookmarkStart w:id="43" w:name="_Toc6212"/>
      <w:r/>
      <w:bookmarkStart w:id="44" w:name="_Toc706"/>
      <w:r/>
      <w:bookmarkStart w:id="45" w:name="_Toc11816"/>
      <w:r>
        <w:rPr>
          <w:rFonts w:hint="eastAsia" w:ascii="宋体" w:hAnsi="宋体" w:eastAsia="宋体" w:cs="宋体"/>
          <w:color w:val="auto"/>
          <w:sz w:val="44"/>
        </w:rPr>
        <w:t xml:space="preserve">第二章  供应商须知</w:t>
      </w:r>
      <w:bookmarkEnd w:id="43"/>
      <w:r/>
      <w:bookmarkEnd w:id="44"/>
      <w:r/>
      <w:bookmarkEnd w:id="45"/>
      <w:r/>
      <w:bookmarkStart w:id="46" w:name="EBa8c69c4726824205bbf6fbe49f912e2d"/>
      <w:r/>
      <w:bookmarkEnd w:id="46"/>
      <w:r/>
      <w:bookmarkStart w:id="47" w:name="EB154f34bfcea5417199f8cf429c255bfe"/>
      <w:r/>
      <w:bookmarkEnd w:id="47"/>
      <w:r/>
      <w:r/>
    </w:p>
    <w:p>
      <w:pPr>
        <w:pStyle w:val="801"/>
        <w:spacing w:before="0" w:line="520" w:lineRule="exact"/>
        <w:rPr>
          <w:rFonts w:hint="eastAsia" w:ascii="宋体" w:hAnsi="宋体" w:eastAsia="宋体" w:cs="宋体"/>
          <w:bCs/>
          <w:color w:val="auto"/>
        </w:rPr>
      </w:pPr>
      <w:r/>
      <w:bookmarkStart w:id="48" w:name="_Toc141869961"/>
      <w:r>
        <w:rPr>
          <w:rFonts w:hint="eastAsia" w:ascii="宋体" w:hAnsi="宋体" w:eastAsia="宋体" w:cs="宋体"/>
          <w:bCs/>
          <w:color w:val="auto"/>
        </w:rPr>
        <w:t xml:space="preserve">供应商须知前附表：</w:t>
      </w:r>
      <w:bookmarkEnd w:id="48"/>
      <w:r/>
      <w:r/>
    </w:p>
    <w:tbl>
      <w:tblPr>
        <w:tblStyle w:val="810"/>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宋体" w:hAnsi="宋体" w:cs="宋体"/>
                <w:b/>
                <w:color w:val="auto"/>
                <w:sz w:val="24"/>
                <w:szCs w:val="24"/>
              </w:rPr>
            </w:pPr>
            <w:r>
              <w:rPr>
                <w:rFonts w:hint="eastAsia" w:ascii="宋体" w:hAnsi="宋体" w:cs="宋体"/>
                <w:b/>
                <w:color w:val="auto"/>
                <w:sz w:val="24"/>
                <w:szCs w:val="24"/>
              </w:rPr>
              <w:t xml:space="preserve">序号</w:t>
            </w:r>
            <w:r/>
          </w:p>
        </w:tc>
        <w:tc>
          <w:tcPr>
            <w:tcW w:w="1984" w:type="dxa"/>
            <w:vAlign w:val="center"/>
            <w:textDirection w:val="lrTb"/>
            <w:noWrap w:val="false"/>
          </w:tcPr>
          <w:p>
            <w:pPr>
              <w:jc w:val="center"/>
              <w:rPr>
                <w:rFonts w:hint="eastAsia" w:ascii="宋体" w:hAnsi="宋体" w:cs="宋体"/>
                <w:b/>
                <w:color w:val="auto"/>
                <w:sz w:val="24"/>
                <w:szCs w:val="24"/>
              </w:rPr>
            </w:pPr>
            <w:r>
              <w:rPr>
                <w:rFonts w:hint="eastAsia" w:ascii="宋体" w:hAnsi="宋体" w:cs="宋体"/>
                <w:b/>
                <w:color w:val="auto"/>
                <w:sz w:val="24"/>
                <w:szCs w:val="24"/>
              </w:rPr>
              <w:t xml:space="preserve">内容</w:t>
            </w:r>
            <w:r/>
          </w:p>
        </w:tc>
        <w:tc>
          <w:tcPr>
            <w:tcW w:w="5975" w:type="dxa"/>
            <w:vAlign w:val="center"/>
            <w:textDirection w:val="lrTb"/>
            <w:noWrap w:val="false"/>
          </w:tcPr>
          <w:p>
            <w:pPr>
              <w:jc w:val="center"/>
              <w:rPr>
                <w:rFonts w:hint="eastAsia" w:ascii="宋体" w:hAnsi="宋体" w:cs="宋体"/>
                <w:b/>
                <w:color w:val="auto"/>
                <w:sz w:val="24"/>
                <w:szCs w:val="24"/>
              </w:rPr>
            </w:pPr>
            <w:r>
              <w:rPr>
                <w:rFonts w:hint="eastAsia" w:ascii="宋体" w:hAnsi="宋体" w:cs="宋体"/>
                <w:b/>
                <w:color w:val="auto"/>
                <w:sz w:val="24"/>
                <w:szCs w:val="24"/>
              </w:rPr>
              <w:t xml:space="preserve">说明及要求</w:t>
            </w:r>
            <w:r/>
          </w:p>
        </w:tc>
      </w:tr>
      <w:tr>
        <w:trPr/>
        <w:tc>
          <w:tcPr>
            <w:tcW w:w="1101" w:type="dxa"/>
            <w:vAlign w:val="center"/>
            <w:textDirection w:val="lrTb"/>
            <w:noWrap w:val="false"/>
          </w:tcPr>
          <w:p>
            <w:pPr>
              <w:jc w:val="center"/>
              <w:spacing w:line="360" w:lineRule="exact"/>
              <w:rPr>
                <w:rFonts w:hint="eastAsia" w:ascii="宋体" w:hAnsi="宋体" w:cs="宋体"/>
                <w:color w:val="auto"/>
                <w:sz w:val="24"/>
                <w:szCs w:val="24"/>
              </w:rPr>
            </w:pPr>
            <w:r>
              <w:rPr>
                <w:rFonts w:hint="eastAsia" w:ascii="宋体" w:hAnsi="宋体" w:cs="宋体"/>
                <w:color w:val="auto"/>
                <w:sz w:val="24"/>
                <w:szCs w:val="24"/>
              </w:rPr>
              <w:t xml:space="preserve">1</w:t>
            </w:r>
            <w:r/>
          </w:p>
        </w:tc>
        <w:tc>
          <w:tcPr>
            <w:tcW w:w="1984" w:type="dxa"/>
            <w:vAlign w:val="center"/>
            <w:textDirection w:val="lrTb"/>
            <w:noWrap w:val="false"/>
          </w:tcPr>
          <w:p>
            <w:pPr>
              <w:jc w:val="center"/>
              <w:spacing w:line="360" w:lineRule="exact"/>
              <w:rPr>
                <w:rFonts w:hint="eastAsia" w:ascii="宋体" w:hAnsi="宋体" w:cs="宋体"/>
                <w:color w:val="auto"/>
                <w:sz w:val="24"/>
                <w:szCs w:val="24"/>
              </w:rPr>
            </w:pPr>
            <w:r>
              <w:rPr>
                <w:rFonts w:hint="eastAsia" w:ascii="宋体" w:hAnsi="宋体" w:cs="宋体"/>
                <w:color w:val="auto"/>
                <w:sz w:val="24"/>
                <w:szCs w:val="24"/>
              </w:rPr>
              <w:t xml:space="preserve">项目类别</w:t>
            </w:r>
            <w:r/>
          </w:p>
        </w:tc>
        <w:tc>
          <w:tcPr>
            <w:tcW w:w="5975" w:type="dxa"/>
            <w:vAlign w:val="center"/>
            <w:textDirection w:val="lrTb"/>
            <w:noWrap w:val="false"/>
          </w:tcPr>
          <w:p>
            <w:pPr>
              <w:jc w:val="left"/>
              <w:spacing w:line="360" w:lineRule="exact"/>
              <w:rPr>
                <w:rFonts w:hint="eastAsia" w:ascii="宋体" w:hAnsi="宋体" w:cs="宋体"/>
                <w:color w:val="auto"/>
                <w:sz w:val="24"/>
                <w:szCs w:val="24"/>
              </w:rPr>
            </w:pPr>
            <w:r>
              <w:rPr>
                <w:rFonts w:hint="eastAsia" w:ascii="宋体" w:hAnsi="宋体" w:cs="宋体"/>
                <w:color w:val="auto"/>
                <w:sz w:val="24"/>
                <w:szCs w:val="24"/>
              </w:rPr>
              <w:t xml:space="preserve">本项目</w:t>
            </w:r>
            <w:bookmarkStart w:id="49" w:name="EB9a5853ee094f4f0ea6ec3169265f6f2c"/>
            <w:r>
              <w:rPr>
                <w:rFonts w:hint="eastAsia" w:ascii="宋体" w:hAnsi="宋体" w:cs="宋体"/>
                <w:color w:val="auto"/>
                <w:sz w:val="24"/>
                <w:szCs w:val="24"/>
              </w:rPr>
              <w:t xml:space="preserve">属性按以下第</w:t>
            </w:r>
            <w:r>
              <w:rPr>
                <w:rFonts w:hint="eastAsia" w:ascii="宋体" w:hAnsi="宋体" w:cs="宋体"/>
                <w:b/>
                <w:bCs/>
                <w:color w:val="auto"/>
                <w:sz w:val="24"/>
                <w:u w:val="single"/>
              </w:rPr>
              <w:t xml:space="preserve">2 </w:t>
            </w:r>
            <w:r>
              <w:rPr>
                <w:rFonts w:hint="eastAsia" w:ascii="宋体" w:hAnsi="宋体" w:cs="宋体"/>
                <w:color w:val="auto"/>
                <w:sz w:val="24"/>
                <w:szCs w:val="24"/>
              </w:rPr>
              <w:t xml:space="preserve">种确定：</w:t>
            </w:r>
            <w:r/>
          </w:p>
          <w:p>
            <w:pPr>
              <w:jc w:val="left"/>
              <w:spacing w:line="360" w:lineRule="exact"/>
              <w:rPr>
                <w:rFonts w:hint="eastAsia" w:ascii="宋体" w:hAnsi="宋体" w:cs="宋体"/>
                <w:color w:val="auto"/>
                <w:sz w:val="24"/>
                <w:szCs w:val="24"/>
              </w:rPr>
            </w:pPr>
            <w:r>
              <w:rPr>
                <w:rFonts w:hint="eastAsia" w:ascii="宋体" w:hAnsi="宋体" w:cs="宋体"/>
                <w:color w:val="auto"/>
                <w:sz w:val="24"/>
                <w:szCs w:val="24"/>
              </w:rPr>
              <w:t xml:space="preserve">1</w:t>
            </w:r>
            <w:bookmarkEnd w:id="49"/>
            <w:r>
              <w:rPr>
                <w:rFonts w:hint="eastAsia" w:ascii="宋体" w:hAnsi="宋体" w:cs="宋体"/>
                <w:color w:val="auto"/>
                <w:sz w:val="24"/>
                <w:szCs w:val="24"/>
              </w:rPr>
              <w:t xml:space="preserve">.货物</w:t>
            </w:r>
            <w:bookmarkStart w:id="50" w:name="EBd5c6c026f9674c39b21b31ecd0c1e7fa"/>
            <w:r>
              <w:rPr>
                <w:rFonts w:hint="eastAsia" w:ascii="宋体" w:hAnsi="宋体" w:cs="宋体"/>
                <w:color w:val="auto"/>
                <w:sz w:val="24"/>
                <w:szCs w:val="24"/>
              </w:rPr>
              <w:t xml:space="preserve">采购；2.</w:t>
            </w:r>
            <w:bookmarkEnd w:id="50"/>
            <w:r>
              <w:rPr>
                <w:rFonts w:hint="eastAsia" w:ascii="宋体" w:hAnsi="宋体" w:cs="宋体"/>
                <w:color w:val="auto"/>
                <w:sz w:val="24"/>
                <w:szCs w:val="24"/>
              </w:rPr>
              <w:t xml:space="preserve">服务</w:t>
            </w:r>
            <w:bookmarkStart w:id="51" w:name="EBf7d2a4f44ecb4166a93ea852e73be69f"/>
            <w:r>
              <w:rPr>
                <w:rFonts w:hint="eastAsia" w:ascii="宋体" w:hAnsi="宋体" w:cs="宋体"/>
                <w:color w:val="auto"/>
                <w:sz w:val="24"/>
                <w:szCs w:val="24"/>
              </w:rPr>
              <w:t xml:space="preserve">采购；3.</w:t>
            </w:r>
            <w:bookmarkEnd w:id="51"/>
            <w:r>
              <w:rPr>
                <w:rFonts w:hint="eastAsia" w:ascii="宋体" w:hAnsi="宋体" w:cs="宋体"/>
                <w:color w:val="auto"/>
                <w:sz w:val="24"/>
                <w:szCs w:val="24"/>
              </w:rPr>
              <w:t xml:space="preserve">工程采购。</w:t>
            </w:r>
            <w:r/>
          </w:p>
        </w:tc>
      </w:tr>
      <w:tr>
        <w:trPr/>
        <w:tc>
          <w:tcPr>
            <w:tcW w:w="1101" w:type="dxa"/>
            <w:vAlign w:val="center"/>
            <w:textDirection w:val="lrTb"/>
            <w:noWrap w:val="false"/>
          </w:tcPr>
          <w:p>
            <w:pPr>
              <w:jc w:val="center"/>
              <w:spacing w:line="360" w:lineRule="exact"/>
              <w:rPr>
                <w:rFonts w:hint="eastAsia" w:ascii="宋体" w:hAnsi="宋体" w:cs="宋体"/>
                <w:color w:val="auto"/>
                <w:sz w:val="24"/>
                <w:szCs w:val="24"/>
              </w:rPr>
            </w:pPr>
            <w:r>
              <w:rPr>
                <w:rFonts w:hint="eastAsia" w:ascii="宋体" w:hAnsi="宋体" w:cs="宋体"/>
                <w:color w:val="auto"/>
                <w:sz w:val="24"/>
                <w:szCs w:val="24"/>
              </w:rPr>
              <w:t xml:space="preserve">2</w:t>
            </w:r>
            <w:r/>
          </w:p>
        </w:tc>
        <w:tc>
          <w:tcPr>
            <w:tcW w:w="1984" w:type="dxa"/>
            <w:vAlign w:val="center"/>
            <w:textDirection w:val="lrTb"/>
            <w:noWrap w:val="false"/>
          </w:tcPr>
          <w:p>
            <w:pPr>
              <w:jc w:val="center"/>
              <w:spacing w:line="360" w:lineRule="exact"/>
              <w:rPr>
                <w:rFonts w:hint="eastAsia" w:ascii="宋体" w:hAnsi="宋体" w:cs="宋体"/>
                <w:color w:val="auto"/>
                <w:sz w:val="24"/>
                <w:szCs w:val="24"/>
              </w:rPr>
            </w:pPr>
            <w:r>
              <w:rPr>
                <w:rFonts w:hint="eastAsia" w:ascii="宋体" w:hAnsi="宋体" w:cs="宋体"/>
                <w:color w:val="auto"/>
                <w:sz w:val="24"/>
                <w:szCs w:val="24"/>
              </w:rPr>
              <w:t xml:space="preserve">响应有效期</w:t>
            </w:r>
            <w:r/>
          </w:p>
        </w:tc>
        <w:tc>
          <w:tcPr>
            <w:tcW w:w="5975" w:type="dxa"/>
            <w:vAlign w:val="center"/>
            <w:textDirection w:val="lrTb"/>
            <w:noWrap w:val="false"/>
          </w:tcPr>
          <w:p>
            <w:pPr>
              <w:jc w:val="left"/>
              <w:spacing w:line="360" w:lineRule="exact"/>
              <w:rPr>
                <w:rFonts w:hint="eastAsia" w:ascii="宋体" w:hAnsi="宋体" w:cs="宋体"/>
                <w:color w:val="auto"/>
                <w:sz w:val="24"/>
                <w:szCs w:val="24"/>
              </w:rPr>
            </w:pPr>
            <w:r/>
            <w:bookmarkStart w:id="52" w:name="EBf2540e281f614ac8b4efc83b6e64d4d2"/>
            <w:r>
              <w:rPr>
                <w:rFonts w:hint="eastAsia" w:ascii="宋体" w:hAnsi="宋体" w:cs="宋体"/>
                <w:color w:val="auto"/>
                <w:sz w:val="24"/>
                <w:szCs w:val="24"/>
              </w:rPr>
              <w:t xml:space="preserve">60</w:t>
            </w:r>
            <w:bookmarkEnd w:id="52"/>
            <w:r>
              <w:rPr>
                <w:rFonts w:hint="eastAsia" w:ascii="宋体" w:hAnsi="宋体" w:cs="宋体"/>
                <w:color w:val="auto"/>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hint="eastAsia" w:ascii="宋体" w:hAnsi="宋体" w:cs="宋体"/>
                <w:color w:val="auto"/>
                <w:sz w:val="24"/>
                <w:szCs w:val="24"/>
              </w:rPr>
            </w:pPr>
            <w:r>
              <w:rPr>
                <w:rFonts w:hint="eastAsia" w:ascii="宋体" w:hAnsi="宋体" w:cs="宋体"/>
                <w:color w:val="auto"/>
                <w:sz w:val="24"/>
                <w:szCs w:val="24"/>
              </w:rPr>
              <w:t xml:space="preserve">3</w:t>
            </w:r>
            <w:r/>
          </w:p>
        </w:tc>
        <w:tc>
          <w:tcPr>
            <w:tcW w:w="1984" w:type="dxa"/>
            <w:vAlign w:val="center"/>
            <w:textDirection w:val="lrTb"/>
            <w:noWrap w:val="false"/>
          </w:tcPr>
          <w:p>
            <w:pPr>
              <w:jc w:val="center"/>
              <w:spacing w:line="360" w:lineRule="exact"/>
              <w:rPr>
                <w:rFonts w:hint="eastAsia" w:ascii="宋体" w:hAnsi="宋体" w:cs="宋体"/>
                <w:color w:val="auto"/>
                <w:sz w:val="24"/>
                <w:szCs w:val="24"/>
              </w:rPr>
            </w:pPr>
            <w:r>
              <w:rPr>
                <w:rFonts w:hint="eastAsia" w:ascii="宋体" w:hAnsi="宋体" w:cs="宋体"/>
                <w:color w:val="auto"/>
                <w:sz w:val="24"/>
                <w:szCs w:val="24"/>
              </w:rPr>
              <w:t xml:space="preserve">响应文件份数</w:t>
            </w:r>
            <w:r/>
          </w:p>
        </w:tc>
        <w:tc>
          <w:tcPr>
            <w:tcW w:w="5975" w:type="dxa"/>
            <w:vAlign w:val="center"/>
            <w:textDirection w:val="lrTb"/>
            <w:noWrap w:val="false"/>
          </w:tcPr>
          <w:p>
            <w:pPr>
              <w:jc w:val="left"/>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hint="eastAsia" w:ascii="宋体" w:hAnsi="宋体" w:cs="宋体"/>
                <w:color w:val="auto"/>
                <w:sz w:val="24"/>
                <w:szCs w:val="24"/>
              </w:rPr>
            </w:pPr>
            <w:r>
              <w:rPr>
                <w:rFonts w:hint="eastAsia" w:ascii="宋体" w:hAnsi="宋体" w:cs="宋体"/>
                <w:color w:val="auto"/>
                <w:sz w:val="24"/>
                <w:szCs w:val="24"/>
              </w:rPr>
              <w:t xml:space="preserve">4</w:t>
            </w:r>
            <w:r/>
          </w:p>
        </w:tc>
        <w:tc>
          <w:tcPr>
            <w:tcW w:w="1984" w:type="dxa"/>
            <w:vAlign w:val="center"/>
            <w:textDirection w:val="lrTb"/>
            <w:noWrap w:val="false"/>
          </w:tcPr>
          <w:p>
            <w:pPr>
              <w:jc w:val="center"/>
              <w:spacing w:line="360" w:lineRule="exact"/>
              <w:rPr>
                <w:rFonts w:hint="eastAsia" w:ascii="宋体" w:hAnsi="宋体" w:cs="宋体"/>
                <w:color w:val="auto"/>
                <w:sz w:val="24"/>
                <w:szCs w:val="24"/>
              </w:rPr>
            </w:pPr>
            <w:r>
              <w:rPr>
                <w:rFonts w:hint="eastAsia" w:ascii="宋体" w:hAnsi="宋体" w:cs="宋体"/>
                <w:color w:val="auto"/>
                <w:sz w:val="24"/>
                <w:szCs w:val="24"/>
              </w:rPr>
              <w:t xml:space="preserve">进口产品</w:t>
            </w:r>
            <w:r/>
          </w:p>
        </w:tc>
        <w:tc>
          <w:tcPr>
            <w:tcW w:w="5975" w:type="dxa"/>
            <w:vAlign w:val="center"/>
            <w:textDirection w:val="lrTb"/>
            <w:noWrap w:val="false"/>
          </w:tcPr>
          <w:p>
            <w:pPr>
              <w:jc w:val="left"/>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按以下第</w:t>
            </w:r>
            <w:r>
              <w:rPr>
                <w:rFonts w:hint="eastAsia" w:ascii="宋体" w:hAnsi="宋体" w:cs="宋体"/>
                <w:color w:val="auto"/>
                <w:sz w:val="24"/>
                <w:szCs w:val="24"/>
                <w:u w:val="single"/>
              </w:rPr>
              <w:t xml:space="preserve"> </w:t>
            </w:r>
            <w:r>
              <w:rPr>
                <w:rFonts w:hint="eastAsia" w:ascii="宋体" w:hAnsi="宋体" w:cs="宋体"/>
                <w:b/>
                <w:bCs/>
                <w:color w:val="auto"/>
                <w:sz w:val="24"/>
                <w:u w:val="single"/>
              </w:rPr>
              <w:t xml:space="preserve">2</w:t>
            </w:r>
            <w:r>
              <w:rPr>
                <w:rFonts w:hint="eastAsia" w:ascii="宋体" w:hAnsi="宋体" w:cs="宋体"/>
                <w:color w:val="auto"/>
                <w:sz w:val="24"/>
                <w:szCs w:val="24"/>
              </w:rPr>
              <w:t xml:space="preserve">种方式确定：</w:t>
            </w:r>
            <w:r/>
          </w:p>
          <w:p>
            <w:pPr>
              <w:jc w:val="left"/>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1.接受进口产品。</w:t>
            </w:r>
            <w:bookmarkStart w:id="53" w:name="OLE_LINK8"/>
            <w:r>
              <w:rPr>
                <w:rFonts w:hint="eastAsia" w:ascii="宋体" w:hAnsi="宋体" w:cs="宋体"/>
                <w:color w:val="auto"/>
                <w:sz w:val="24"/>
              </w:rPr>
              <w:t xml:space="preserve">应当符合《政</w:t>
            </w:r>
            <w:bookmarkStart w:id="54" w:name="OLE_LINK1"/>
            <w:r>
              <w:rPr>
                <w:rFonts w:hint="eastAsia" w:ascii="宋体" w:hAnsi="宋体" w:cs="宋体"/>
                <w:color w:val="auto"/>
                <w:sz w:val="24"/>
              </w:rPr>
              <w:t xml:space="preserve">府采购进口产品管理办法</w:t>
            </w:r>
            <w:bookmarkEnd w:id="54"/>
            <w:r>
              <w:rPr>
                <w:rFonts w:hint="eastAsia" w:ascii="宋体" w:hAnsi="宋体" w:cs="宋体"/>
                <w:color w:val="auto"/>
                <w:sz w:val="24"/>
              </w:rPr>
              <w:t xml:space="preserve">》（财库〔2007〕119号）《关于政府采购进口产品管理有关问题的通知》（财办库〔2008〕248号）等相关规定</w:t>
            </w:r>
            <w:r>
              <w:rPr>
                <w:rFonts w:hint="eastAsia" w:ascii="宋体" w:hAnsi="宋体" w:cs="宋体"/>
                <w:color w:val="auto"/>
                <w:sz w:val="24"/>
                <w:szCs w:val="24"/>
              </w:rPr>
              <w:t xml:space="preserve">；</w:t>
            </w:r>
            <w:bookmarkEnd w:id="53"/>
            <w:r/>
            <w:r/>
          </w:p>
          <w:p>
            <w:pPr>
              <w:jc w:val="left"/>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2.不接受进口产品。</w:t>
            </w:r>
            <w:r/>
          </w:p>
        </w:tc>
      </w:tr>
      <w:tr>
        <w:trPr/>
        <w:tc>
          <w:tcPr>
            <w:tcW w:w="1101" w:type="dxa"/>
            <w:vAlign w:val="center"/>
            <w:textDirection w:val="lrTb"/>
            <w:noWrap w:val="false"/>
          </w:tcPr>
          <w:p>
            <w:pPr>
              <w:jc w:val="center"/>
              <w:spacing w:line="360" w:lineRule="exact"/>
              <w:rPr>
                <w:rFonts w:hint="eastAsia" w:ascii="宋体" w:hAnsi="宋体" w:cs="宋体"/>
                <w:color w:val="auto"/>
                <w:sz w:val="24"/>
                <w:szCs w:val="24"/>
              </w:rPr>
            </w:pPr>
            <w:r>
              <w:rPr>
                <w:rFonts w:hint="eastAsia" w:ascii="宋体" w:hAnsi="宋体" w:cs="宋体"/>
                <w:color w:val="auto"/>
                <w:sz w:val="24"/>
                <w:szCs w:val="24"/>
              </w:rPr>
              <w:t xml:space="preserve">5</w:t>
            </w:r>
            <w:r/>
          </w:p>
        </w:tc>
        <w:tc>
          <w:tcPr>
            <w:tcW w:w="1984" w:type="dxa"/>
            <w:vAlign w:val="center"/>
            <w:textDirection w:val="lrTb"/>
            <w:noWrap w:val="false"/>
          </w:tcPr>
          <w:p>
            <w:pPr>
              <w:jc w:val="center"/>
              <w:spacing w:line="360" w:lineRule="exact"/>
              <w:rPr>
                <w:rFonts w:hint="eastAsia" w:ascii="宋体" w:hAnsi="宋体" w:cs="宋体"/>
                <w:color w:val="auto"/>
                <w:sz w:val="24"/>
                <w:szCs w:val="24"/>
              </w:rPr>
            </w:pPr>
            <w:r>
              <w:rPr>
                <w:rFonts w:hint="eastAsia" w:ascii="宋体" w:hAnsi="宋体" w:cs="宋体"/>
                <w:color w:val="auto"/>
                <w:sz w:val="24"/>
                <w:szCs w:val="24"/>
              </w:rPr>
              <w:t xml:space="preserve">评审方法</w:t>
            </w:r>
            <w:r/>
          </w:p>
        </w:tc>
        <w:tc>
          <w:tcPr>
            <w:tcW w:w="5975" w:type="dxa"/>
            <w:vAlign w:val="center"/>
            <w:textDirection w:val="lrTb"/>
            <w:noWrap w:val="false"/>
          </w:tcPr>
          <w:p>
            <w:pPr>
              <w:pStyle w:val="1225"/>
              <w:spacing w:line="360" w:lineRule="exact"/>
              <w:rPr>
                <w:rFonts w:hint="eastAsia" w:ascii="宋体" w:hAnsi="宋体" w:cs="宋体"/>
                <w:color w:val="auto"/>
                <w:sz w:val="24"/>
              </w:rPr>
            </w:pPr>
            <w:r>
              <w:rPr>
                <w:rFonts w:hint="eastAsia" w:ascii="宋体" w:hAnsi="宋体" w:cs="宋体"/>
                <w:color w:val="auto"/>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hint="eastAsia" w:ascii="宋体" w:hAnsi="宋体" w:cs="宋体"/>
                <w:color w:val="auto"/>
                <w:sz w:val="24"/>
                <w:szCs w:val="24"/>
              </w:rPr>
            </w:pPr>
            <w:r>
              <w:rPr>
                <w:rFonts w:hint="eastAsia" w:ascii="宋体" w:hAnsi="宋体" w:cs="宋体"/>
                <w:color w:val="auto"/>
                <w:sz w:val="24"/>
                <w:szCs w:val="24"/>
              </w:rPr>
              <w:t xml:space="preserve">6</w:t>
            </w:r>
            <w:r/>
          </w:p>
        </w:tc>
        <w:tc>
          <w:tcPr>
            <w:tcW w:w="1984" w:type="dxa"/>
            <w:vAlign w:val="center"/>
            <w:textDirection w:val="lrTb"/>
            <w:noWrap w:val="false"/>
          </w:tcPr>
          <w:p>
            <w:pPr>
              <w:jc w:val="center"/>
              <w:spacing w:line="360" w:lineRule="exact"/>
              <w:rPr>
                <w:rFonts w:hint="eastAsia" w:ascii="宋体" w:hAnsi="宋体" w:cs="宋体"/>
                <w:color w:val="auto"/>
                <w:sz w:val="24"/>
                <w:szCs w:val="24"/>
              </w:rPr>
            </w:pPr>
            <w:r>
              <w:rPr>
                <w:rFonts w:hint="eastAsia" w:ascii="宋体" w:hAnsi="宋体" w:cs="宋体"/>
                <w:color w:val="auto"/>
                <w:sz w:val="24"/>
                <w:szCs w:val="24"/>
              </w:rPr>
              <w:t xml:space="preserve">确定成交人</w:t>
            </w:r>
            <w:r/>
          </w:p>
        </w:tc>
        <w:tc>
          <w:tcPr>
            <w:tcW w:w="5975" w:type="dxa"/>
            <w:vAlign w:val="center"/>
            <w:textDirection w:val="lrTb"/>
            <w:noWrap w:val="false"/>
          </w:tcPr>
          <w:p>
            <w:pPr>
              <w:jc w:val="left"/>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按以下第</w:t>
            </w:r>
            <w:r>
              <w:rPr>
                <w:rFonts w:hint="eastAsia" w:ascii="宋体" w:hAnsi="宋体" w:cs="宋体"/>
                <w:b/>
                <w:bCs/>
                <w:color w:val="auto"/>
                <w:sz w:val="24"/>
                <w:u w:val="single"/>
              </w:rPr>
              <w:t xml:space="preserve"> 1</w:t>
            </w:r>
            <w:r>
              <w:rPr>
                <w:rFonts w:hint="eastAsia" w:ascii="宋体" w:hAnsi="宋体" w:cs="宋体"/>
                <w:color w:val="auto"/>
                <w:sz w:val="24"/>
                <w:szCs w:val="24"/>
              </w:rPr>
              <w:t xml:space="preserve">种方式确定成交人：</w:t>
            </w:r>
            <w:r/>
          </w:p>
          <w:p>
            <w:pPr>
              <w:jc w:val="left"/>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hint="eastAsia" w:ascii="宋体" w:hAnsi="宋体" w:cs="宋体"/>
                <w:color w:val="auto"/>
                <w:sz w:val="24"/>
                <w:szCs w:val="24"/>
              </w:rPr>
            </w:pPr>
            <w:r>
              <w:rPr>
                <w:rFonts w:hint="eastAsia" w:ascii="宋体" w:hAnsi="宋体" w:cs="宋体"/>
                <w:color w:val="auto"/>
                <w:sz w:val="24"/>
                <w:szCs w:val="24"/>
              </w:rPr>
              <w:t xml:space="preserve">7</w:t>
            </w:r>
            <w:r/>
          </w:p>
        </w:tc>
        <w:tc>
          <w:tcPr>
            <w:tcW w:w="1984" w:type="dxa"/>
            <w:vAlign w:val="center"/>
            <w:textDirection w:val="lrTb"/>
            <w:noWrap w:val="false"/>
          </w:tcPr>
          <w:p>
            <w:pPr>
              <w:jc w:val="center"/>
              <w:spacing w:line="360" w:lineRule="exact"/>
              <w:rPr>
                <w:rFonts w:hint="eastAsia" w:ascii="宋体" w:hAnsi="宋体" w:cs="宋体"/>
                <w:color w:val="auto"/>
                <w:sz w:val="24"/>
                <w:szCs w:val="24"/>
              </w:rPr>
            </w:pPr>
            <w:r>
              <w:rPr>
                <w:rFonts w:hint="eastAsia" w:ascii="宋体" w:hAnsi="宋体" w:cs="宋体"/>
                <w:color w:val="auto"/>
                <w:sz w:val="24"/>
                <w:szCs w:val="24"/>
              </w:rPr>
              <w:t xml:space="preserve">分包要求</w:t>
            </w:r>
            <w:r/>
          </w:p>
        </w:tc>
        <w:tc>
          <w:tcPr>
            <w:tcW w:w="5975" w:type="dxa"/>
            <w:vAlign w:val="center"/>
            <w:textDirection w:val="lrTb"/>
            <w:noWrap w:val="false"/>
          </w:tcPr>
          <w:p>
            <w:pPr>
              <w:jc w:val="left"/>
              <w:spacing w:line="360" w:lineRule="exact"/>
              <w:widowControl/>
              <w:rPr>
                <w:rFonts w:hint="eastAsia" w:ascii="宋体" w:hAnsi="宋体" w:cs="宋体"/>
                <w:color w:val="auto"/>
                <w:sz w:val="24"/>
                <w:szCs w:val="24"/>
              </w:rPr>
            </w:pPr>
            <w:r/>
            <w:bookmarkStart w:id="55" w:name="EBebac1462c5d9459fbda8a75065c2455d"/>
            <w:r>
              <w:rPr>
                <w:rFonts w:hint="eastAsia" w:ascii="宋体" w:hAnsi="宋体" w:cs="宋体"/>
                <w:color w:val="auto"/>
                <w:sz w:val="24"/>
                <w:szCs w:val="24"/>
              </w:rPr>
              <w:t xml:space="preserve">本项目的非主体、非关键性工作是否允许分包按以下第</w:t>
            </w:r>
            <w:r>
              <w:rPr>
                <w:rFonts w:hint="eastAsia" w:ascii="宋体" w:hAnsi="宋体" w:cs="宋体"/>
                <w:color w:val="auto"/>
                <w:sz w:val="24"/>
                <w:szCs w:val="24"/>
                <w:u w:val="single"/>
              </w:rPr>
              <w:t xml:space="preserve"> </w:t>
            </w:r>
            <w:r>
              <w:rPr>
                <w:rFonts w:hint="eastAsia" w:ascii="宋体" w:hAnsi="宋体" w:cs="宋体"/>
                <w:b/>
                <w:bCs/>
                <w:color w:val="auto"/>
                <w:sz w:val="24"/>
                <w:u w:val="single"/>
              </w:rPr>
              <w:t xml:space="preserve">2</w:t>
            </w:r>
            <w:r>
              <w:rPr>
                <w:rFonts w:hint="eastAsia" w:ascii="宋体" w:hAnsi="宋体" w:cs="宋体"/>
                <w:color w:val="auto"/>
                <w:sz w:val="24"/>
                <w:szCs w:val="24"/>
              </w:rPr>
              <w:t xml:space="preserve">种方式确定：</w:t>
            </w:r>
            <w:bookmarkEnd w:id="55"/>
            <w:r/>
          </w:p>
          <w:p>
            <w:pPr>
              <w:jc w:val="left"/>
              <w:spacing w:line="360" w:lineRule="exact"/>
              <w:widowControl/>
              <w:rPr>
                <w:rFonts w:hint="eastAsia" w:ascii="宋体" w:hAnsi="宋体" w:cs="宋体"/>
                <w:color w:val="auto"/>
                <w:sz w:val="24"/>
              </w:rPr>
            </w:pPr>
            <w:r>
              <w:rPr>
                <w:rFonts w:hint="eastAsia" w:ascii="宋体" w:hAnsi="宋体" w:cs="宋体"/>
                <w:color w:val="auto"/>
                <w:sz w:val="24"/>
              </w:rPr>
              <w:t xml:space="preserve">1.允许分包，允许大中型企业向一家或者多家小微企业分包，分包具体内容、金额或比例：无</w:t>
            </w:r>
            <w:r/>
          </w:p>
          <w:p>
            <w:pPr>
              <w:jc w:val="left"/>
              <w:spacing w:line="360" w:lineRule="exact"/>
              <w:widowControl/>
              <w:rPr>
                <w:rFonts w:hint="eastAsia" w:ascii="宋体" w:hAnsi="宋体" w:cs="宋体"/>
                <w:color w:val="auto"/>
                <w:sz w:val="24"/>
              </w:rPr>
            </w:pPr>
            <w:r>
              <w:rPr>
                <w:rFonts w:hint="eastAsia" w:ascii="宋体" w:hAnsi="宋体" w:cs="宋体"/>
                <w:color w:val="auto"/>
                <w:sz w:val="24"/>
              </w:rPr>
              <w:t xml:space="preserve">2.不允许分包。</w:t>
            </w:r>
            <w:r/>
          </w:p>
        </w:tc>
      </w:tr>
      <w:tr>
        <w:trPr/>
        <w:tc>
          <w:tcPr>
            <w:tcW w:w="1101" w:type="dxa"/>
            <w:vAlign w:val="center"/>
            <w:textDirection w:val="lrTb"/>
            <w:noWrap w:val="false"/>
          </w:tcPr>
          <w:p>
            <w:pPr>
              <w:jc w:val="center"/>
              <w:spacing w:line="360" w:lineRule="exact"/>
              <w:rPr>
                <w:rFonts w:hint="eastAsia" w:ascii="宋体" w:hAnsi="宋体" w:cs="宋体"/>
                <w:color w:val="auto"/>
                <w:sz w:val="24"/>
                <w:szCs w:val="24"/>
              </w:rPr>
            </w:pPr>
            <w:r>
              <w:rPr>
                <w:rFonts w:hint="eastAsia" w:ascii="宋体" w:hAnsi="宋体" w:cs="宋体"/>
                <w:color w:val="auto"/>
                <w:sz w:val="24"/>
                <w:szCs w:val="24"/>
              </w:rPr>
              <w:t xml:space="preserve">8</w:t>
            </w:r>
            <w:r/>
          </w:p>
        </w:tc>
        <w:tc>
          <w:tcPr>
            <w:tcW w:w="1984" w:type="dxa"/>
            <w:vAlign w:val="center"/>
            <w:textDirection w:val="lrTb"/>
            <w:noWrap w:val="false"/>
          </w:tcPr>
          <w:p>
            <w:pPr>
              <w:jc w:val="center"/>
              <w:spacing w:line="360" w:lineRule="exact"/>
              <w:rPr>
                <w:rFonts w:hint="eastAsia" w:ascii="宋体" w:hAnsi="宋体" w:cs="宋体"/>
                <w:color w:val="auto"/>
                <w:sz w:val="24"/>
                <w:szCs w:val="24"/>
              </w:rPr>
            </w:pPr>
            <w:r>
              <w:rPr>
                <w:rFonts w:hint="eastAsia" w:ascii="宋体" w:hAnsi="宋体" w:cs="宋体"/>
                <w:color w:val="auto"/>
                <w:sz w:val="24"/>
                <w:szCs w:val="24"/>
              </w:rPr>
              <w:t xml:space="preserve">代理费用收取方式及标准</w:t>
            </w:r>
            <w:r/>
          </w:p>
        </w:tc>
        <w:tc>
          <w:tcPr>
            <w:tcW w:w="5975" w:type="dxa"/>
            <w:vAlign w:val="center"/>
            <w:textDirection w:val="lrTb"/>
            <w:noWrap w:val="false"/>
          </w:tcPr>
          <w:p>
            <w:pPr>
              <w:jc w:val="left"/>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按照计价格〔2002〕1980号文件规定标准*5</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%向代理单位支付代理服务费，评审费据实收取。支付方式可以通过转账或数字人民币等方式。</w:t>
            </w:r>
            <w:r/>
          </w:p>
        </w:tc>
      </w:tr>
      <w:tr>
        <w:trPr>
          <w:trHeight w:val="604"/>
        </w:trPr>
        <w:tc>
          <w:tcPr>
            <w:tcW w:w="1101" w:type="dxa"/>
            <w:vAlign w:val="center"/>
            <w:textDirection w:val="lrTb"/>
            <w:noWrap w:val="false"/>
          </w:tcPr>
          <w:p>
            <w:pPr>
              <w:jc w:val="center"/>
              <w:spacing w:line="360" w:lineRule="exact"/>
              <w:rPr>
                <w:rFonts w:hint="eastAsia" w:ascii="宋体" w:hAnsi="宋体" w:cs="宋体"/>
                <w:color w:val="auto"/>
                <w:sz w:val="24"/>
                <w:szCs w:val="24"/>
              </w:rPr>
            </w:pPr>
            <w:r>
              <w:rPr>
                <w:rFonts w:hint="eastAsia" w:ascii="宋体" w:hAnsi="宋体" w:cs="宋体"/>
                <w:color w:val="auto"/>
                <w:sz w:val="24"/>
                <w:szCs w:val="24"/>
              </w:rPr>
              <w:t xml:space="preserve">9</w:t>
            </w:r>
            <w:r/>
          </w:p>
        </w:tc>
        <w:tc>
          <w:tcPr>
            <w:tcW w:w="1984" w:type="dxa"/>
            <w:vAlign w:val="center"/>
            <w:textDirection w:val="lrTb"/>
            <w:noWrap w:val="false"/>
          </w:tcPr>
          <w:p>
            <w:pPr>
              <w:jc w:val="center"/>
              <w:spacing w:line="360" w:lineRule="exact"/>
              <w:rPr>
                <w:rFonts w:hint="eastAsia" w:ascii="宋体" w:hAnsi="宋体" w:cs="宋体"/>
                <w:color w:val="auto"/>
                <w:sz w:val="24"/>
                <w:szCs w:val="24"/>
              </w:rPr>
            </w:pPr>
            <w:r>
              <w:rPr>
                <w:rFonts w:hint="eastAsia" w:ascii="宋体" w:hAnsi="宋体" w:cs="宋体"/>
                <w:color w:val="auto"/>
                <w:sz w:val="24"/>
                <w:szCs w:val="24"/>
              </w:rPr>
              <w:t xml:space="preserve">其他</w:t>
            </w:r>
            <w:r/>
          </w:p>
        </w:tc>
        <w:tc>
          <w:tcPr>
            <w:tcW w:w="5975" w:type="dxa"/>
            <w:vAlign w:val="center"/>
            <w:textDirection w:val="lrTb"/>
            <w:noWrap w:val="false"/>
          </w:tcPr>
          <w:p>
            <w:pPr>
              <w:jc w:val="left"/>
              <w:spacing w:line="400" w:lineRule="exact"/>
              <w:rPr>
                <w:rFonts w:hint="eastAsia" w:ascii="宋体" w:hAnsi="宋体" w:cs="宋体"/>
                <w:color w:val="auto"/>
                <w:sz w:val="24"/>
                <w:szCs w:val="24"/>
              </w:rPr>
            </w:pPr>
            <w:r>
              <w:rPr>
                <w:rFonts w:hint="eastAsia" w:ascii="宋体" w:hAnsi="宋体" w:cs="宋体"/>
                <w:color w:val="auto"/>
                <w:sz w:val="24"/>
                <w:szCs w:val="24"/>
              </w:rPr>
              <w:t xml:space="preserve">信用信息查询截止时间：资格审查结束前。由采购人在资格审查现场查询信用信息，网页截屏打印，查询结果留存并归档。</w:t>
            </w:r>
            <w:r/>
          </w:p>
        </w:tc>
      </w:tr>
    </w:tbl>
    <w:p>
      <w:pPr>
        <w:rPr>
          <w:rFonts w:hint="eastAsia" w:ascii="宋体" w:hAnsi="宋体" w:cs="宋体"/>
          <w:color w:val="auto"/>
          <w:highlight w:val="cyan"/>
        </w:rPr>
      </w:pPr>
      <w:r>
        <w:rPr>
          <w:rFonts w:hint="eastAsia" w:ascii="宋体" w:hAnsi="宋体" w:cs="宋体"/>
          <w:color w:val="auto"/>
          <w:highlight w:val="cyan"/>
        </w:rPr>
        <w:br w:type="page" w:clear="all"/>
      </w:r>
      <w:r/>
    </w:p>
    <w:p>
      <w:pPr>
        <w:rPr>
          <w:rFonts w:hint="eastAsia" w:ascii="宋体" w:hAnsi="宋体" w:cs="宋体"/>
          <w:color w:val="auto"/>
          <w:sz w:val="20"/>
          <w:highlight w:val="white"/>
        </w:rPr>
      </w:pPr>
      <w:r/>
      <w:bookmarkStart w:id="56" w:name="EBc91228392f1e4db5bf2f171a6b6a36cc"/>
      <w:r>
        <w:rPr>
          <w:rFonts w:hint="eastAsia" w:ascii="宋体" w:hAnsi="宋体" w:cs="宋体"/>
          <w:color w:val="auto"/>
          <w:sz w:val="20"/>
          <w:highlight w:val="white"/>
        </w:rPr>
        <w:t xml:space="preserve"> </w:t>
      </w:r>
      <w:bookmarkEnd w:id="56"/>
      <w:r/>
      <w:r/>
    </w:p>
    <w:p>
      <w:pPr>
        <w:pStyle w:val="801"/>
        <w:ind w:firstLine="320"/>
        <w:spacing w:before="0" w:after="0" w:line="520" w:lineRule="exact"/>
        <w:rPr>
          <w:rFonts w:hint="eastAsia" w:ascii="宋体" w:hAnsi="宋体" w:eastAsia="宋体" w:cs="宋体"/>
          <w:color w:val="auto"/>
        </w:rPr>
      </w:pPr>
      <w:r/>
      <w:bookmarkStart w:id="57" w:name="EB6eaaf474639940df900ef4965d71f450"/>
      <w:r/>
      <w:bookmarkEnd w:id="57"/>
      <w:r>
        <w:rPr>
          <w:rFonts w:hint="eastAsia" w:ascii="宋体" w:hAnsi="宋体" w:eastAsia="宋体" w:cs="宋体"/>
          <w:color w:val="auto"/>
        </w:rPr>
        <w:t xml:space="preserve">一、总 则</w:t>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1、采购方式</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本次采购采取竞争性磋商方式。</w:t>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2、合格的供应商</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2.2满足本文件实质性要求的规定。</w:t>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3、适用法律</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本次磋商及由磋商产生的合同受中华人民共和国的相关法律、法规制约和保护。</w:t>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4、费用</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供应商应自行承担所有参加磋商活动有关的费用。</w:t>
      </w:r>
      <w:r/>
    </w:p>
    <w:p>
      <w:pPr>
        <w:pStyle w:val="801"/>
        <w:ind w:firstLine="320"/>
        <w:spacing w:before="0" w:after="0" w:line="520" w:lineRule="exact"/>
        <w:rPr>
          <w:rFonts w:hint="eastAsia" w:ascii="宋体" w:hAnsi="宋体" w:eastAsia="宋体" w:cs="宋体"/>
          <w:color w:val="auto"/>
        </w:rPr>
      </w:pPr>
      <w:r/>
      <w:bookmarkStart w:id="58" w:name="_Toc141869963"/>
      <w:r>
        <w:rPr>
          <w:rFonts w:hint="eastAsia" w:ascii="宋体" w:hAnsi="宋体" w:eastAsia="宋体" w:cs="宋体"/>
          <w:color w:val="auto"/>
        </w:rPr>
        <w:t xml:space="preserve">二、竞争性磋商文件</w:t>
      </w:r>
      <w:bookmarkEnd w:id="58"/>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5、磋商文件构成</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5.1磋商文件由以下部分组成：</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第一章：磋商邀请；</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第二章：供应商须知；</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第三章：评审方法与评审标准；</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第四章：采购需求；</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第五章：合同文本；</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第六章：响应文件格式。</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请仔细检查磋商文件是否齐全，如有缺漏请立即与代理机构联系解决。</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6、政府采购政策</w:t>
      </w:r>
      <w:r/>
    </w:p>
    <w:p>
      <w:pPr>
        <w:ind w:firstLine="482"/>
        <w:spacing w:line="480" w:lineRule="exact"/>
        <w:rPr>
          <w:rFonts w:hint="eastAsia" w:ascii="宋体" w:hAnsi="宋体" w:cs="宋体"/>
          <w:b/>
          <w:color w:val="auto"/>
          <w:sz w:val="24"/>
          <w:u w:val="single"/>
        </w:rPr>
      </w:pPr>
      <w:r>
        <w:rPr>
          <w:rFonts w:hint="eastAsia" w:ascii="宋体" w:hAnsi="宋体" w:cs="宋体"/>
          <w:b/>
          <w:bCs/>
          <w:color w:val="auto"/>
          <w:sz w:val="24"/>
        </w:rPr>
        <w:t xml:space="preserve">本项目落实的政府采购政策对应序号为</w:t>
      </w:r>
      <w:r>
        <w:rPr>
          <w:rFonts w:hint="eastAsia" w:ascii="宋体" w:hAnsi="宋体" w:cs="宋体"/>
          <w:b/>
          <w:bCs/>
          <w:color w:val="auto"/>
          <w:sz w:val="24"/>
          <w:u w:val="single"/>
        </w:rPr>
        <w:t xml:space="preserve">    6.1   </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6.1中小企业政策</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本项目按以下第</w:t>
      </w:r>
      <w:r>
        <w:rPr>
          <w:rFonts w:hint="eastAsia" w:ascii="宋体" w:hAnsi="宋体" w:cs="宋体"/>
          <w:b/>
          <w:bCs/>
          <w:color w:val="auto"/>
          <w:sz w:val="24"/>
          <w:u w:val="single"/>
        </w:rPr>
        <w:t xml:space="preserve">（2）</w:t>
      </w:r>
      <w:r>
        <w:rPr>
          <w:rFonts w:hint="eastAsia" w:ascii="宋体" w:hAnsi="宋体" w:cs="宋体"/>
          <w:color w:val="auto"/>
          <w:sz w:val="24"/>
        </w:rPr>
        <w:t xml:space="preserve">种政策确定本项目落实的中小企业政策：</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（1）本项目专门面向中小企业（含监狱与戒毒企业、残疾人福利企业）采购。</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（2）对符合规定情形的小微企业报价给予</w:t>
      </w:r>
      <w:r>
        <w:rPr>
          <w:rFonts w:hint="eastAsia" w:ascii="宋体" w:hAnsi="宋体" w:cs="宋体"/>
          <w:color w:val="auto"/>
          <w:sz w:val="24"/>
          <w:u w:val="single"/>
        </w:rPr>
        <w:t xml:space="preserve">10%</w:t>
      </w:r>
      <w:r>
        <w:rPr>
          <w:rFonts w:hint="eastAsia" w:ascii="宋体" w:hAnsi="宋体" w:cs="宋体"/>
          <w:color w:val="auto"/>
          <w:sz w:val="24"/>
        </w:rPr>
        <w:t xml:space="preserve">扣除，用扣除后的价格参加评审。</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cs="宋体"/>
          <w:color w:val="auto"/>
          <w:sz w:val="24"/>
          <w:u w:val="single"/>
        </w:rPr>
        <w:t xml:space="preserve">5</w:t>
      </w:r>
      <w:r>
        <w:rPr>
          <w:rFonts w:hint="eastAsia" w:ascii="宋体" w:hAnsi="宋体" w:cs="宋体"/>
          <w:color w:val="auto"/>
          <w:sz w:val="24"/>
        </w:rPr>
        <w:t xml:space="preserve">%（工程项目为</w:t>
      </w:r>
      <w:r>
        <w:rPr>
          <w:rFonts w:hint="eastAsia" w:ascii="宋体" w:hAnsi="宋体" w:cs="宋体"/>
          <w:color w:val="auto"/>
          <w:sz w:val="24"/>
          <w:u w:val="single"/>
        </w:rPr>
        <w:t xml:space="preserve">2</w:t>
      </w:r>
      <w:r>
        <w:rPr>
          <w:rFonts w:hint="eastAsia" w:ascii="宋体" w:hAnsi="宋体" w:cs="宋体"/>
          <w:color w:val="auto"/>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6.2节能产品、环境标志产品</w:t>
      </w:r>
      <w:r/>
    </w:p>
    <w:p>
      <w:pPr>
        <w:ind w:firstLine="480"/>
        <w:spacing w:line="480" w:lineRule="exact"/>
        <w:rPr>
          <w:rFonts w:hint="eastAsia" w:ascii="宋体" w:hAnsi="宋体" w:cs="宋体"/>
          <w:color w:val="auto"/>
          <w:sz w:val="24"/>
        </w:rPr>
        <w:sectPr>
          <w:footerReference w:type="default" r:id="rId12"/>
          <w:footnotePr/>
          <w:endnotePr/>
          <w:type w:val="continuous"/>
          <w:pgSz w:w="11906" w:h="16838" w:orient="portrait"/>
          <w:pgMar w:top="1440" w:right="1304" w:bottom="1440" w:left="1417" w:header="851" w:footer="992" w:gutter="0"/>
          <w:cols w:num="1" w:sep="0" w:space="720" w:equalWidth="1"/>
          <w:docGrid w:linePitch="360"/>
        </w:sectPr>
      </w:pPr>
      <w:r>
        <w:rPr>
          <w:rFonts w:hint="eastAsia" w:ascii="宋体" w:hAnsi="宋体" w:cs="宋体"/>
          <w:color w:val="auto"/>
          <w:sz w:val="24"/>
        </w:rPr>
        <w:t xml:space="preserve">拟采购的产品属于品目清单范围的，采购人将依据国家确定的认证机构出具的、处于有效期之内的节能产品、环境标志产品认证证书，对获得证书的</w:t>
      </w:r>
      <w:r/>
    </w:p>
    <w:p>
      <w:pPr>
        <w:spacing w:line="480" w:lineRule="exact"/>
        <w:rPr>
          <w:rFonts w:hint="eastAsia" w:ascii="宋体" w:hAnsi="宋体" w:cs="宋体"/>
          <w:color w:val="auto"/>
          <w:sz w:val="24"/>
        </w:rPr>
      </w:pPr>
      <w:r>
        <w:rPr>
          <w:rFonts w:hint="eastAsia" w:ascii="宋体" w:hAnsi="宋体" w:cs="宋体"/>
          <w:color w:val="auto"/>
          <w:sz w:val="24"/>
        </w:rPr>
        <w:t xml:space="preserve">产品实施政府优先采购或强制采购。</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6.2.2拟采购的产品属于优先采购的节能环保品目清单范围的，对提供有效节能产品或环境标志产品认证证书的供应商加分。</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6.3政府采购需求标准</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6.3.1商品包装、快递包装政府采购需求标准（试行）</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6.3.2绿色数据中心政府采购需求标准（试行）</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6.3.3绿色建材政府采购需求标准</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7、磋商文件的澄清或修改</w:t>
      </w:r>
      <w:r/>
    </w:p>
    <w:p>
      <w:pPr>
        <w:ind w:firstLine="482"/>
        <w:spacing w:line="480" w:lineRule="exact"/>
        <w:rPr>
          <w:rFonts w:hint="eastAsia" w:ascii="宋体" w:hAnsi="宋体" w:cs="宋体"/>
          <w:b/>
          <w:color w:val="auto"/>
          <w:sz w:val="24"/>
        </w:rPr>
        <w:sectPr>
          <w:footerReference w:type="default" r:id="rId13"/>
          <w:footnotePr/>
          <w:endnotePr/>
          <w:type w:val="nextPage"/>
          <w:pgSz w:w="11906" w:h="16838" w:orient="portrait"/>
          <w:pgMar w:top="1440" w:right="1491" w:bottom="1440" w:left="1800" w:header="851" w:footer="992" w:gutter="0"/>
          <w:cols w:num="1" w:sep="0" w:space="720" w:equalWidth="1"/>
          <w:docGrid w:linePitch="360"/>
        </w:sectPr>
      </w:pPr>
      <w:r>
        <w:rPr>
          <w:rFonts w:hint="eastAsia" w:ascii="宋体" w:hAnsi="宋体" w:cs="宋体"/>
          <w:color w:val="auto"/>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hint="eastAsia" w:ascii="宋体" w:hAnsi="宋体" w:cs="宋体"/>
          <w:color w:val="auto"/>
          <w:sz w:val="24"/>
        </w:rPr>
      </w:pPr>
      <w:r>
        <w:rPr>
          <w:rFonts w:hint="eastAsia" w:ascii="宋体" w:hAnsi="宋体" w:cs="宋体"/>
          <w:color w:val="auto"/>
          <w:sz w:val="24"/>
        </w:rPr>
        <w:t xml:space="preserve">商文件的供应商；不足5日的，采购人、采购代理机构应顺延提交首次响应文件截止时间。</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7.3供应商应及时登录“苏采云”系统获取澄清答疑文件（修改后磋商文件），如供应商未能及时下载澄清和修改后的磋商文件，造成的相关责任由供应商承担。</w:t>
      </w:r>
      <w:r/>
    </w:p>
    <w:p>
      <w:pPr>
        <w:pStyle w:val="801"/>
        <w:ind w:firstLine="320"/>
        <w:spacing w:before="0" w:after="0" w:line="520" w:lineRule="exact"/>
        <w:rPr>
          <w:rFonts w:hint="eastAsia" w:ascii="宋体" w:hAnsi="宋体" w:eastAsia="宋体" w:cs="宋体"/>
          <w:color w:val="auto"/>
        </w:rPr>
      </w:pPr>
      <w:r/>
      <w:bookmarkStart w:id="59" w:name="_Toc141869964"/>
      <w:r>
        <w:rPr>
          <w:rFonts w:hint="eastAsia" w:ascii="宋体" w:hAnsi="宋体" w:eastAsia="宋体" w:cs="宋体"/>
          <w:color w:val="auto"/>
        </w:rPr>
        <w:t xml:space="preserve">三、响应文件的编制</w:t>
      </w:r>
      <w:bookmarkEnd w:id="59"/>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8、响应文件的编制要求</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9、响应文件构成</w:t>
      </w:r>
      <w:r/>
    </w:p>
    <w:p>
      <w:pPr>
        <w:ind w:firstLine="482"/>
        <w:spacing w:line="480" w:lineRule="exact"/>
        <w:rPr>
          <w:rFonts w:hint="eastAsia" w:ascii="宋体" w:hAnsi="宋体" w:cs="宋体"/>
          <w:b/>
          <w:color w:val="auto"/>
          <w:sz w:val="24"/>
        </w:rPr>
      </w:pPr>
      <w:r/>
      <w:bookmarkStart w:id="60" w:name="EBd2e6df6607b447c7a4370e6531238d19"/>
      <w:r>
        <w:rPr>
          <w:rFonts w:hint="eastAsia" w:ascii="宋体" w:hAnsi="宋体" w:cs="宋体"/>
          <w:color w:val="auto"/>
          <w:sz w:val="24"/>
          <w:szCs w:val="21"/>
        </w:rPr>
        <w:t xml:space="preserve">9.1响应文件包括资格证明文件、</w:t>
      </w:r>
      <w:r>
        <w:rPr>
          <w:rFonts w:hint="eastAsia" w:ascii="宋体" w:hAnsi="宋体" w:cs="宋体"/>
          <w:color w:val="auto"/>
          <w:sz w:val="24"/>
          <w:szCs w:val="24"/>
        </w:rPr>
        <w:t xml:space="preserve">实质性要求响应及偏离表</w:t>
      </w:r>
      <w:r>
        <w:rPr>
          <w:rFonts w:hint="eastAsia" w:ascii="宋体" w:hAnsi="宋体" w:cs="宋体"/>
          <w:color w:val="auto"/>
          <w:sz w:val="24"/>
          <w:szCs w:val="21"/>
        </w:rPr>
        <w:t xml:space="preserve">、分项报价表、响应及偏离表、磋商申请函、其他证明文件等部分。</w:t>
      </w:r>
      <w:r>
        <w:rPr>
          <w:rFonts w:hint="eastAsia" w:ascii="宋体" w:hAnsi="宋体" w:cs="宋体"/>
          <w:color w:val="auto"/>
          <w:sz w:val="24"/>
        </w:rPr>
        <w:t xml:space="preserve">响应文件构成资料为非中文时应提供中文译版。</w:t>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9.2磋商文件要求提供证书证件等原件电子件的，供应商提供的电子件应是对证书证件等原件通过扫描、拍照等方式进行数字化的可被</w:t>
      </w:r>
      <w:r>
        <w:rPr>
          <w:rFonts w:hint="eastAsia" w:ascii="宋体" w:hAnsi="宋体" w:cs="宋体"/>
          <w:b/>
          <w:bCs/>
          <w:color w:val="auto"/>
          <w:sz w:val="24"/>
        </w:rPr>
        <w:t xml:space="preserve">“苏采云”</w:t>
      </w:r>
      <w:r>
        <w:rPr>
          <w:rFonts w:hint="eastAsia" w:ascii="宋体" w:hAnsi="宋体" w:cs="宋体"/>
          <w:b/>
          <w:color w:val="auto"/>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0"/>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10、响应文件的报价</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10.1分次报价，供应商响应文件中的报价作为第一次报价，不公开；以最后报价作为价格分计算。</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10.2报价注意事项：报价一律以人民币计算，以元为单位标注，最多保留至小数点后两位，磋商文件有规定的按磋商文件执行。</w:t>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11、磋商保证金</w:t>
      </w:r>
      <w:r/>
    </w:p>
    <w:p>
      <w:pPr>
        <w:ind w:firstLine="480"/>
        <w:spacing w:line="480" w:lineRule="exact"/>
        <w:rPr>
          <w:rFonts w:hint="eastAsia" w:ascii="宋体" w:hAnsi="宋体" w:cs="宋体"/>
          <w:color w:val="auto"/>
          <w:sz w:val="24"/>
        </w:rPr>
      </w:pPr>
      <w:r/>
      <w:bookmarkStart w:id="61" w:name="EB2c6535ca97b046d89f956e109e785ae2"/>
      <w:r>
        <w:rPr>
          <w:rFonts w:hint="eastAsia" w:ascii="宋体" w:hAnsi="宋体" w:cs="宋体"/>
          <w:color w:val="auto"/>
          <w:sz w:val="24"/>
        </w:rPr>
        <w:t xml:space="preserve">本项目不收取磋商保证金。</w:t>
      </w:r>
      <w:bookmarkEnd w:id="61"/>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12、响应有效期</w:t>
      </w:r>
      <w:r/>
    </w:p>
    <w:p>
      <w:pPr>
        <w:ind w:firstLine="480"/>
        <w:spacing w:line="480" w:lineRule="exact"/>
        <w:rPr>
          <w:rFonts w:hint="eastAsia" w:ascii="宋体" w:hAnsi="宋体" w:cs="宋体"/>
          <w:color w:val="auto"/>
          <w:sz w:val="24"/>
        </w:rPr>
      </w:pPr>
      <w:r/>
      <w:bookmarkStart w:id="62" w:name="_Toc141869965"/>
      <w:r>
        <w:rPr>
          <w:rFonts w:hint="eastAsia" w:ascii="宋体" w:hAnsi="宋体" w:cs="宋体"/>
          <w:color w:val="auto"/>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12.2</w:t>
      </w:r>
      <w:r>
        <w:rPr>
          <w:rFonts w:hint="eastAsia" w:ascii="宋体" w:hAnsi="宋体" w:cs="宋体"/>
          <w:bCs/>
          <w:color w:val="auto"/>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s="宋体"/>
          <w:color w:val="auto"/>
          <w:sz w:val="24"/>
          <w:szCs w:val="24"/>
        </w:rPr>
        <w:t xml:space="preserve">受磋商有效期约束的所有权利与义务均延长至新的有效期</w:t>
      </w:r>
      <w:r>
        <w:rPr>
          <w:rFonts w:hint="eastAsia" w:ascii="宋体" w:hAnsi="宋体" w:cs="宋体"/>
          <w:bCs/>
          <w:color w:val="auto"/>
          <w:sz w:val="24"/>
          <w:szCs w:val="21"/>
        </w:rPr>
        <w:t xml:space="preserve">。</w:t>
      </w:r>
      <w:r/>
    </w:p>
    <w:p>
      <w:pPr>
        <w:pStyle w:val="801"/>
        <w:ind w:firstLine="320"/>
        <w:spacing w:before="0" w:after="0" w:line="520" w:lineRule="exact"/>
        <w:rPr>
          <w:rFonts w:hint="eastAsia" w:ascii="宋体" w:hAnsi="宋体" w:eastAsia="宋体" w:cs="宋体"/>
          <w:color w:val="auto"/>
        </w:rPr>
      </w:pPr>
      <w:r>
        <w:rPr>
          <w:rFonts w:hint="eastAsia" w:ascii="宋体" w:hAnsi="宋体" w:eastAsia="宋体" w:cs="宋体"/>
          <w:color w:val="auto"/>
        </w:rPr>
        <w:t xml:space="preserve">四、响应文件的提交</w:t>
      </w:r>
      <w:bookmarkEnd w:id="62"/>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13、响应文件的提交</w:t>
      </w:r>
      <w:r/>
    </w:p>
    <w:p>
      <w:pPr>
        <w:ind w:firstLine="480"/>
        <w:spacing w:line="480" w:lineRule="exact"/>
        <w:widowControl/>
        <w:rPr>
          <w:rFonts w:hint="eastAsia" w:ascii="宋体" w:hAnsi="宋体" w:cs="宋体"/>
          <w:color w:val="auto"/>
          <w:sz w:val="24"/>
        </w:rPr>
      </w:pPr>
      <w:r>
        <w:rPr>
          <w:rFonts w:hint="eastAsia" w:ascii="宋体" w:hAnsi="宋体" w:cs="宋体"/>
          <w:color w:val="auto"/>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13.2响应文件的修改或撤回：在响应截止时间前，供应商可以撤回或重新提交响应文件。响应文件以最终完成上传的为准。</w:t>
      </w:r>
      <w:r/>
    </w:p>
    <w:p>
      <w:pPr>
        <w:ind w:right="105" w:firstLine="480"/>
        <w:spacing w:line="480" w:lineRule="exact"/>
        <w:rPr>
          <w:rFonts w:hint="eastAsia" w:ascii="宋体" w:hAnsi="宋体" w:cs="宋体"/>
          <w:b/>
          <w:color w:val="auto"/>
          <w:sz w:val="24"/>
          <w:u w:val="single"/>
        </w:rPr>
      </w:pPr>
      <w:r>
        <w:rPr>
          <w:rFonts w:hint="eastAsia" w:ascii="宋体" w:hAnsi="宋体" w:cs="宋体"/>
          <w:color w:val="auto"/>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14、响应文件被拒绝接收的情形</w:t>
      </w:r>
      <w:r/>
    </w:p>
    <w:p>
      <w:pPr>
        <w:ind w:right="105" w:firstLine="480"/>
        <w:spacing w:line="480" w:lineRule="exact"/>
        <w:rPr>
          <w:rFonts w:hint="eastAsia" w:ascii="宋体" w:hAnsi="宋体" w:cs="宋体"/>
          <w:color w:val="auto"/>
          <w:sz w:val="24"/>
        </w:rPr>
      </w:pPr>
      <w:r>
        <w:rPr>
          <w:rFonts w:hint="eastAsia" w:ascii="宋体" w:hAnsi="宋体" w:cs="宋体"/>
          <w:color w:val="auto"/>
          <w:sz w:val="24"/>
        </w:rPr>
        <w:t xml:space="preserve">在磋商文件规定的响应截止时间后上传的响应文件。</w:t>
      </w:r>
      <w:r/>
    </w:p>
    <w:p>
      <w:pPr>
        <w:pStyle w:val="801"/>
        <w:ind w:firstLine="320"/>
        <w:spacing w:before="0" w:after="0" w:line="520" w:lineRule="exact"/>
        <w:rPr>
          <w:rFonts w:hint="eastAsia" w:ascii="宋体" w:hAnsi="宋体" w:eastAsia="宋体" w:cs="宋体"/>
          <w:color w:val="auto"/>
        </w:rPr>
      </w:pPr>
      <w:r/>
      <w:bookmarkStart w:id="63" w:name="_Toc141869967"/>
      <w:r>
        <w:rPr>
          <w:rFonts w:hint="eastAsia" w:ascii="宋体" w:hAnsi="宋体" w:eastAsia="宋体" w:cs="宋体"/>
          <w:color w:val="auto"/>
        </w:rPr>
        <w:t xml:space="preserve">五、磋商程序及最后报价</w:t>
      </w:r>
      <w:bookmarkEnd w:id="63"/>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15、磋商会议</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hint="eastAsia" w:ascii="宋体" w:hAnsi="宋体" w:cs="宋体"/>
          <w:color w:val="auto"/>
          <w:sz w:val="24"/>
        </w:rPr>
      </w:pPr>
      <w:r>
        <w:rPr>
          <w:rFonts w:hint="eastAsia" w:ascii="宋体" w:hAnsi="宋体" w:cs="宋体"/>
          <w:b/>
          <w:color w:val="auto"/>
          <w:sz w:val="24"/>
        </w:rPr>
        <w:t xml:space="preserve">15.2供应商用于解密的CA证书应为该响应文件生成加密、上传的同一把CA证书。供应商应登录“苏采云”系统进入“开标大厅”，在系统约定时间内使用CA证书解密，未成功解密的，视为其放弃磋商。</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15.3供应商在磋商全过程中应保持通讯畅通，及时登录</w:t>
      </w:r>
      <w:r>
        <w:rPr>
          <w:rFonts w:hint="eastAsia" w:ascii="宋体" w:hAnsi="宋体" w:cs="宋体"/>
          <w:b/>
          <w:bCs/>
          <w:color w:val="auto"/>
          <w:sz w:val="24"/>
        </w:rPr>
        <w:t xml:space="preserve">“苏采云”系统</w:t>
      </w:r>
      <w:r>
        <w:rPr>
          <w:rFonts w:hint="eastAsia" w:ascii="宋体" w:hAnsi="宋体" w:cs="宋体"/>
          <w:color w:val="auto"/>
          <w:sz w:val="24"/>
        </w:rPr>
        <w:t xml:space="preserve">查阅、答复相关信息。</w:t>
      </w:r>
      <w:r/>
    </w:p>
    <w:p>
      <w:pPr>
        <w:ind w:firstLine="480"/>
        <w:spacing w:line="480" w:lineRule="exact"/>
        <w:rPr>
          <w:rFonts w:hint="eastAsia" w:ascii="宋体" w:hAnsi="宋体" w:cs="宋体"/>
          <w:color w:val="auto"/>
          <w:sz w:val="24"/>
        </w:rPr>
      </w:pPr>
      <w:r>
        <w:rPr>
          <w:rFonts w:hint="eastAsia" w:ascii="宋体" w:hAnsi="宋体" w:cs="宋体"/>
          <w:b/>
          <w:color w:val="auto"/>
          <w:sz w:val="24"/>
        </w:rPr>
        <w:t xml:space="preserve">16、磋商小组</w:t>
      </w:r>
      <w:bookmarkStart w:id="64" w:name="OLE_LINK3"/>
      <w:r/>
      <w:r/>
    </w:p>
    <w:p>
      <w:pPr>
        <w:ind w:firstLine="482"/>
        <w:spacing w:line="480" w:lineRule="exact"/>
        <w:rPr>
          <w:rFonts w:hint="eastAsia" w:ascii="宋体" w:hAnsi="宋体" w:cs="宋体"/>
          <w:b/>
          <w:color w:val="auto"/>
          <w:sz w:val="24"/>
        </w:rPr>
      </w:pPr>
      <w:r>
        <w:rPr>
          <w:rFonts w:hint="eastAsia" w:ascii="宋体" w:hAnsi="宋体" w:cs="宋体"/>
          <w:color w:val="auto"/>
          <w:sz w:val="24"/>
          <w:szCs w:val="24"/>
        </w:rPr>
        <w:t xml:space="preserve">磋商小组由采购人代表和有关技术、经济等方面的专家组成，且人员构成符合政府采购有关规定。</w:t>
      </w:r>
      <w:bookmarkEnd w:id="64"/>
      <w:r>
        <w:rPr>
          <w:rFonts w:hint="eastAsia" w:ascii="宋体" w:hAnsi="宋体" w:cs="宋体"/>
          <w:color w:val="auto"/>
          <w:sz w:val="24"/>
        </w:rPr>
        <w:t xml:space="preserve">磋商小组负责具体评审事务，按客观、公正、审慎的原则独立履行相关职责。</w:t>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17、磋商程序</w:t>
      </w:r>
      <w:r/>
    </w:p>
    <w:p>
      <w:pPr>
        <w:ind w:firstLine="480"/>
        <w:spacing w:line="460" w:lineRule="exact"/>
        <w:rPr>
          <w:rFonts w:hint="eastAsia" w:ascii="宋体" w:hAnsi="宋体" w:cs="宋体"/>
          <w:bCs/>
          <w:color w:val="auto"/>
          <w:sz w:val="24"/>
          <w:szCs w:val="21"/>
        </w:rPr>
      </w:pPr>
      <w:r>
        <w:rPr>
          <w:rFonts w:hint="eastAsia" w:ascii="宋体" w:hAnsi="宋体" w:cs="宋体"/>
          <w:bCs/>
          <w:color w:val="auto"/>
          <w:sz w:val="24"/>
          <w:szCs w:val="21"/>
        </w:rPr>
        <w:t xml:space="preserve">17.1资格审查</w:t>
      </w:r>
      <w:r/>
    </w:p>
    <w:p>
      <w:pPr>
        <w:ind w:firstLine="480"/>
        <w:spacing w:line="460" w:lineRule="exact"/>
        <w:rPr>
          <w:rFonts w:hint="eastAsia" w:ascii="宋体" w:hAnsi="宋体" w:cs="宋体"/>
          <w:bCs/>
          <w:color w:val="auto"/>
          <w:sz w:val="24"/>
          <w:szCs w:val="21"/>
        </w:rPr>
      </w:pPr>
      <w:r>
        <w:rPr>
          <w:rFonts w:hint="eastAsia" w:ascii="宋体" w:hAnsi="宋体" w:cs="宋体"/>
          <w:bCs/>
          <w:color w:val="auto"/>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hint="eastAsia" w:ascii="宋体" w:hAnsi="宋体" w:cs="宋体"/>
          <w:color w:val="auto"/>
          <w:sz w:val="24"/>
          <w:szCs w:val="24"/>
        </w:rPr>
      </w:pPr>
      <w:r>
        <w:rPr>
          <w:rFonts w:hint="eastAsia" w:ascii="宋体" w:hAnsi="宋体" w:cs="宋体"/>
          <w:color w:val="auto"/>
          <w:sz w:val="24"/>
          <w:szCs w:val="24"/>
        </w:rPr>
        <w:t xml:space="preserve">信用信息查询：磋商小组查询供应商的信用信息，以确定供应商是否具备磋商资格。查询结果留存并归档。</w:t>
      </w:r>
      <w:r/>
    </w:p>
    <w:p>
      <w:pPr>
        <w:ind w:firstLine="480"/>
        <w:spacing w:line="480" w:lineRule="exact"/>
        <w:rPr>
          <w:rFonts w:hint="eastAsia" w:ascii="宋体" w:hAnsi="宋体" w:cs="宋体"/>
          <w:bCs/>
          <w:color w:val="auto"/>
          <w:sz w:val="24"/>
          <w:szCs w:val="21"/>
        </w:rPr>
      </w:pPr>
      <w:r>
        <w:rPr>
          <w:rFonts w:hint="eastAsia" w:ascii="宋体" w:hAnsi="宋体" w:cs="宋体"/>
          <w:bCs/>
          <w:color w:val="auto"/>
          <w:sz w:val="24"/>
          <w:szCs w:val="21"/>
        </w:rPr>
        <w:t xml:space="preserve">17.2符合性审查</w:t>
      </w:r>
      <w:r/>
    </w:p>
    <w:p>
      <w:pPr>
        <w:ind w:firstLine="480"/>
        <w:spacing w:line="480" w:lineRule="exact"/>
        <w:rPr>
          <w:rFonts w:hint="eastAsia" w:ascii="宋体" w:hAnsi="宋体" w:cs="宋体"/>
          <w:bCs/>
          <w:color w:val="auto"/>
          <w:sz w:val="24"/>
          <w:szCs w:val="21"/>
        </w:rPr>
      </w:pPr>
      <w:r>
        <w:rPr>
          <w:rFonts w:hint="eastAsia" w:ascii="宋体" w:hAnsi="宋体" w:cs="宋体"/>
          <w:bCs/>
          <w:color w:val="auto"/>
          <w:sz w:val="24"/>
          <w:szCs w:val="21"/>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hint="eastAsia" w:ascii="宋体" w:hAnsi="宋体" w:cs="宋体"/>
          <w:color w:val="auto"/>
          <w:sz w:val="24"/>
        </w:rPr>
      </w:pPr>
      <w:r>
        <w:rPr>
          <w:rFonts w:hint="eastAsia" w:ascii="宋体" w:hAnsi="宋体" w:cs="宋体"/>
          <w:color w:val="auto"/>
          <w:sz w:val="24"/>
          <w:szCs w:val="24"/>
        </w:rPr>
        <w:t xml:space="preserve">17.2.2在详细评审之前，磋商小组将首先审查每份响应文件是否实质性响应了磋商文件的要求。实质性响应的响应文件应该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hint="eastAsia" w:ascii="宋体" w:hAnsi="宋体" w:cs="宋体"/>
          <w:color w:val="auto"/>
          <w:sz w:val="24"/>
          <w:szCs w:val="24"/>
        </w:rPr>
      </w:pPr>
      <w:r>
        <w:rPr>
          <w:rFonts w:hint="eastAsia" w:ascii="宋体" w:hAnsi="宋体" w:cs="宋体"/>
          <w:bCs/>
          <w:color w:val="auto"/>
          <w:sz w:val="24"/>
          <w:szCs w:val="21"/>
        </w:rPr>
        <w:t xml:space="preserve">17.3未通过资格审查或符合性审查的供应商，磋商小组将在</w:t>
      </w:r>
      <w:r>
        <w:rPr>
          <w:rFonts w:hint="eastAsia" w:ascii="宋体" w:hAnsi="宋体" w:cs="宋体"/>
          <w:color w:val="auto"/>
          <w:sz w:val="24"/>
          <w:szCs w:val="24"/>
        </w:rPr>
        <w:t xml:space="preserve">“苏采云”系统</w:t>
      </w:r>
      <w:r>
        <w:rPr>
          <w:rFonts w:hint="eastAsia" w:ascii="宋体" w:hAnsi="宋体" w:cs="宋体"/>
          <w:bCs/>
          <w:color w:val="auto"/>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17.5相同品牌产品响应</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hint="eastAsia" w:ascii="宋体" w:hAnsi="宋体" w:cs="宋体"/>
          <w:color w:val="auto"/>
          <w:sz w:val="24"/>
        </w:rPr>
      </w:pPr>
      <w:r>
        <w:rPr>
          <w:rFonts w:hint="eastAsia" w:ascii="宋体" w:hAnsi="宋体" w:cs="宋体"/>
          <w:bCs/>
          <w:color w:val="auto"/>
          <w:sz w:val="24"/>
          <w:szCs w:val="21"/>
        </w:rPr>
        <w:t xml:space="preserve">17.6磋商</w:t>
      </w:r>
      <w:r/>
    </w:p>
    <w:p>
      <w:pPr>
        <w:ind w:firstLine="480"/>
        <w:spacing w:line="480" w:lineRule="exact"/>
        <w:rPr>
          <w:rFonts w:hint="eastAsia" w:ascii="宋体" w:hAnsi="宋体" w:cs="宋体"/>
          <w:color w:val="auto"/>
          <w:sz w:val="24"/>
        </w:rPr>
      </w:pPr>
      <w:r>
        <w:rPr>
          <w:rFonts w:hint="eastAsia" w:ascii="宋体" w:hAnsi="宋体" w:cs="宋体"/>
          <w:bCs/>
          <w:color w:val="auto"/>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hint="eastAsia" w:ascii="宋体" w:hAnsi="宋体" w:cs="宋体"/>
          <w:color w:val="auto"/>
          <w:sz w:val="24"/>
        </w:rPr>
      </w:pPr>
      <w:r>
        <w:rPr>
          <w:rFonts w:hint="eastAsia" w:ascii="宋体" w:hAnsi="宋体" w:cs="宋体"/>
          <w:bCs/>
          <w:color w:val="auto"/>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hint="eastAsia" w:ascii="宋体" w:hAnsi="宋体" w:cs="宋体"/>
          <w:color w:val="auto"/>
          <w:sz w:val="24"/>
        </w:rPr>
      </w:pPr>
      <w:r>
        <w:rPr>
          <w:rFonts w:hint="eastAsia" w:ascii="宋体" w:hAnsi="宋体" w:cs="宋体"/>
          <w:bCs/>
          <w:color w:val="auto"/>
          <w:sz w:val="24"/>
          <w:szCs w:val="21"/>
        </w:rPr>
        <w:t xml:space="preserve">17.7有关问题的澄清</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hint="eastAsia" w:ascii="宋体" w:hAnsi="宋体" w:cs="宋体"/>
          <w:color w:val="auto"/>
          <w:sz w:val="24"/>
          <w:szCs w:val="24"/>
        </w:rPr>
      </w:pPr>
      <w:r>
        <w:rPr>
          <w:rFonts w:hint="eastAsia" w:ascii="宋体" w:hAnsi="宋体" w:cs="宋体"/>
          <w:bCs/>
          <w:color w:val="auto"/>
          <w:sz w:val="24"/>
          <w:szCs w:val="21"/>
        </w:rPr>
        <w:t xml:space="preserve">17.8最后报价</w:t>
      </w:r>
      <w:r/>
    </w:p>
    <w:p>
      <w:pPr>
        <w:ind w:firstLine="480"/>
        <w:spacing w:line="480" w:lineRule="exact"/>
        <w:tabs>
          <w:tab w:val="left" w:pos="900" w:leader="none"/>
        </w:tabs>
        <w:rPr>
          <w:rFonts w:hint="eastAsia" w:ascii="宋体" w:hAnsi="宋体" w:cs="宋体"/>
          <w:color w:val="auto"/>
          <w:sz w:val="24"/>
          <w:szCs w:val="24"/>
        </w:rPr>
      </w:pPr>
      <w:r>
        <w:rPr>
          <w:rFonts w:hint="eastAsia" w:ascii="宋体" w:hAnsi="宋体" w:cs="宋体"/>
          <w:color w:val="auto"/>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5" w:name="EB7c676092b0b54336b4f7c76350bf2f81"/>
      <w:r/>
      <w:r/>
    </w:p>
    <w:p>
      <w:pPr>
        <w:ind w:firstLine="482"/>
        <w:spacing w:line="480" w:lineRule="exact"/>
        <w:tabs>
          <w:tab w:val="left" w:pos="900" w:leader="none"/>
        </w:tabs>
        <w:rPr>
          <w:rFonts w:hint="eastAsia" w:ascii="宋体" w:hAnsi="宋体" w:cs="宋体"/>
          <w:color w:val="auto"/>
          <w:sz w:val="24"/>
          <w:szCs w:val="24"/>
        </w:rPr>
      </w:pPr>
      <w:r>
        <w:rPr>
          <w:rFonts w:hint="eastAsia" w:ascii="宋体" w:hAnsi="宋体" w:cs="宋体"/>
          <w:b/>
          <w:color w:val="auto"/>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宋体" w:hAnsi="宋体" w:cs="宋体"/>
          <w:color w:val="auto"/>
          <w:sz w:val="24"/>
          <w:szCs w:val="24"/>
        </w:rPr>
      </w:pPr>
      <w:r>
        <w:rPr>
          <w:rFonts w:hint="eastAsia" w:ascii="宋体" w:hAnsi="宋体" w:cs="宋体"/>
          <w:color w:val="auto"/>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5"/>
      <w:r/>
      <w:r/>
    </w:p>
    <w:p>
      <w:pPr>
        <w:ind w:firstLine="480"/>
        <w:spacing w:line="480" w:lineRule="exact"/>
        <w:tabs>
          <w:tab w:val="left" w:pos="900" w:leader="none"/>
        </w:tabs>
        <w:rPr>
          <w:rFonts w:hint="eastAsia" w:ascii="宋体" w:hAnsi="宋体" w:cs="宋体"/>
          <w:color w:val="auto"/>
          <w:sz w:val="24"/>
        </w:rPr>
      </w:pPr>
      <w:r>
        <w:rPr>
          <w:rFonts w:hint="eastAsia" w:ascii="宋体" w:hAnsi="宋体" w:cs="宋体"/>
          <w:color w:val="auto"/>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hint="eastAsia" w:ascii="宋体" w:hAnsi="宋体" w:cs="宋体"/>
          <w:color w:val="auto"/>
          <w:sz w:val="24"/>
        </w:rPr>
      </w:pPr>
      <w:r>
        <w:rPr>
          <w:rFonts w:hint="eastAsia" w:ascii="宋体" w:hAnsi="宋体" w:cs="宋体"/>
          <w:color w:val="auto"/>
          <w:sz w:val="24"/>
        </w:rPr>
        <w:t xml:space="preserve">17.8.5项目评审中，不得去掉最后报价中的最高报价和最低报价。</w:t>
      </w:r>
      <w:r/>
    </w:p>
    <w:p>
      <w:pPr>
        <w:ind w:firstLine="480"/>
        <w:spacing w:line="480" w:lineRule="exact"/>
        <w:tabs>
          <w:tab w:val="left" w:pos="900" w:leader="none"/>
        </w:tabs>
        <w:rPr>
          <w:rFonts w:hint="eastAsia" w:ascii="宋体" w:hAnsi="宋体" w:cs="宋体"/>
          <w:color w:val="auto"/>
          <w:sz w:val="24"/>
        </w:rPr>
      </w:pPr>
      <w:r>
        <w:rPr>
          <w:rFonts w:hint="eastAsia" w:ascii="宋体" w:hAnsi="宋体" w:cs="宋体"/>
          <w:color w:val="auto"/>
          <w:sz w:val="24"/>
        </w:rPr>
        <w:t xml:space="preserve">17.8.6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480" w:lineRule="exact"/>
        <w:rPr>
          <w:rFonts w:hint="eastAsia" w:ascii="宋体" w:hAnsi="宋体" w:cs="宋体"/>
          <w:color w:val="auto"/>
          <w:sz w:val="24"/>
        </w:rPr>
      </w:pPr>
      <w:r/>
      <w:bookmarkStart w:id="66" w:name="_Hlk204074773"/>
      <w:r>
        <w:rPr>
          <w:rFonts w:hint="eastAsia" w:ascii="宋体" w:hAnsi="宋体" w:cs="宋体"/>
          <w:color w:val="auto"/>
          <w:sz w:val="24"/>
        </w:rPr>
        <w:t xml:space="preserve">17.9异常低价响应审查</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17.9.1评审过程中出现下列情形之一的，评审委员会应当启动异常低价投标（响应）审查程序： </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(3)投标（响应）报价低于采购项目最高限价45%的，即投标（响应）报价&lt;采购项目最高限价×45%；</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(4)评审委员会基于专业判断，认为供应商报价过低，有可能影响产品质量或者不能诚信履约的其他情形。   </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17.9.2评审委员会启动异常低价投标（响应）审查后，属于前述第1项至第4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bookmarkEnd w:id="66"/>
      <w:r/>
      <w:bookmarkStart w:id="67" w:name="_Toc141869966"/>
      <w:r/>
      <w:r/>
    </w:p>
    <w:p>
      <w:pPr>
        <w:ind w:firstLine="480"/>
        <w:spacing w:line="480" w:lineRule="exact"/>
        <w:rPr>
          <w:rFonts w:hint="eastAsia" w:ascii="宋体" w:hAnsi="宋体" w:cs="宋体"/>
          <w:color w:val="auto"/>
          <w:sz w:val="24"/>
          <w:szCs w:val="24"/>
        </w:rPr>
      </w:pPr>
      <w:r>
        <w:rPr>
          <w:rFonts w:hint="eastAsia" w:ascii="宋体" w:hAnsi="宋体" w:cs="宋体"/>
          <w:bCs/>
          <w:color w:val="auto"/>
          <w:sz w:val="24"/>
          <w:szCs w:val="21"/>
        </w:rPr>
        <w:t xml:space="preserve">17.10推荐成交候选供应商</w:t>
      </w:r>
      <w:r/>
    </w:p>
    <w:p>
      <w:pPr>
        <w:ind w:firstLine="477"/>
        <w:spacing w:after="120" w:line="480" w:lineRule="exact"/>
        <w:tabs>
          <w:tab w:val="left" w:pos="900" w:leader="none"/>
        </w:tabs>
        <w:rPr>
          <w:rFonts w:hint="eastAsia" w:ascii="宋体" w:hAnsi="宋体" w:cs="宋体"/>
          <w:color w:val="auto"/>
          <w:sz w:val="24"/>
        </w:rPr>
      </w:pPr>
      <w:r/>
      <w:bookmarkStart w:id="68" w:name="OLE_LINK5"/>
      <w:r>
        <w:rPr>
          <w:rFonts w:hint="eastAsia" w:ascii="宋体" w:hAnsi="宋体" w:cs="宋体"/>
          <w:color w:val="auto"/>
          <w:sz w:val="24"/>
        </w:rPr>
        <w:t xml:space="preserve">磋商小组根据综合评分情况，按照评审得分由高到低顺序推荐3名成交候选供应商，并编写评审报告</w:t>
      </w:r>
      <w:bookmarkEnd w:id="68"/>
      <w:r>
        <w:rPr>
          <w:rFonts w:hint="eastAsia" w:ascii="宋体" w:hAnsi="宋体" w:cs="宋体"/>
          <w:color w:val="auto"/>
          <w:sz w:val="24"/>
        </w:rPr>
        <w:t xml:space="preserve">。符合本磋商文件17.8.6情形的，可以推荐2名成交候选供应商。评审得分相同的，按照最后报价由低到高的顺序推荐。评审得分且最后报价相同的，按照技术指标优劣顺序推荐。</w:t>
      </w:r>
      <w:r/>
    </w:p>
    <w:p>
      <w:pPr>
        <w:pStyle w:val="801"/>
        <w:ind w:firstLine="320"/>
        <w:spacing w:before="0" w:after="0" w:line="520" w:lineRule="exact"/>
        <w:rPr>
          <w:rFonts w:hint="eastAsia" w:ascii="宋体" w:hAnsi="宋体" w:eastAsia="宋体" w:cs="宋体"/>
          <w:color w:val="auto"/>
        </w:rPr>
      </w:pPr>
      <w:r>
        <w:rPr>
          <w:rFonts w:hint="eastAsia" w:ascii="宋体" w:hAnsi="宋体" w:eastAsia="宋体" w:cs="宋体"/>
          <w:color w:val="auto"/>
        </w:rPr>
        <w:t xml:space="preserve">六、无效响应、采购活动终止、</w:t>
      </w:r>
      <w:bookmarkEnd w:id="67"/>
      <w:r>
        <w:rPr>
          <w:rFonts w:hint="eastAsia" w:ascii="宋体" w:hAnsi="宋体" w:eastAsia="宋体" w:cs="宋体"/>
          <w:color w:val="auto"/>
        </w:rPr>
        <w:t xml:space="preserve">恶意串通及取消成交候选资格情形</w:t>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18、无效响应情形</w:t>
      </w:r>
      <w:r/>
    </w:p>
    <w:p>
      <w:pPr>
        <w:ind w:firstLine="482"/>
        <w:spacing w:line="480" w:lineRule="exact"/>
        <w:rPr>
          <w:rFonts w:hint="eastAsia" w:ascii="宋体" w:hAnsi="宋体" w:cs="宋体"/>
          <w:color w:val="auto"/>
          <w:sz w:val="24"/>
        </w:rPr>
      </w:pPr>
      <w:r>
        <w:rPr>
          <w:rFonts w:hint="eastAsia" w:ascii="宋体" w:hAnsi="宋体" w:cs="宋体"/>
          <w:color w:val="auto"/>
          <w:sz w:val="24"/>
        </w:rPr>
        <w:t xml:space="preserve">18.1供应商同一采购包提交两个以上（含两个）不同的响应文件或者最后报价的。</w:t>
      </w:r>
      <w:r/>
    </w:p>
    <w:p>
      <w:pPr>
        <w:ind w:firstLine="482"/>
        <w:spacing w:line="480" w:lineRule="exact"/>
        <w:rPr>
          <w:rFonts w:hint="eastAsia" w:ascii="宋体" w:hAnsi="宋体" w:cs="宋体"/>
          <w:color w:val="auto"/>
          <w:sz w:val="24"/>
        </w:rPr>
      </w:pPr>
      <w:r>
        <w:rPr>
          <w:rFonts w:hint="eastAsia" w:ascii="宋体" w:hAnsi="宋体" w:cs="宋体"/>
          <w:color w:val="auto"/>
          <w:sz w:val="24"/>
        </w:rPr>
        <w:t xml:space="preserve">18.2供应商不符合磋商文件规定资格要求的或响应文件未按规定提交资质证件的。</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18.3供应商的报价超过了采购预算或最高限价的。</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18.4响应文件未通过符合性审查的。</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18.5响应文件出现重大偏离，不符合磋商文件中规定的实质性要求的（★部分为实质性要求）。</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18.6响应文件未按照磋商文件要求加盖CA电子公章的。</w:t>
      </w:r>
      <w:r/>
    </w:p>
    <w:p>
      <w:pPr>
        <w:ind w:firstLine="480"/>
        <w:spacing w:line="480" w:lineRule="exact"/>
        <w:rPr>
          <w:rFonts w:hint="eastAsia" w:ascii="宋体" w:hAnsi="宋体" w:cs="宋体"/>
          <w:color w:val="auto"/>
          <w:sz w:val="24"/>
        </w:rPr>
      </w:pPr>
      <w:r/>
      <w:bookmarkStart w:id="69" w:name="_Hlk204074427"/>
      <w:r>
        <w:rPr>
          <w:rFonts w:hint="eastAsia" w:ascii="宋体" w:hAnsi="宋体" w:cs="宋体"/>
          <w:color w:val="auto"/>
          <w:sz w:val="24"/>
        </w:rPr>
        <w:t xml:space="preserve">18.7磋商小组启动异常低价响应审查后，供应商不提供书面说明、证明材料，或者磋商小组认为供应商提供的书面说明、证明材料不能证明其最后报价合理性的。</w:t>
      </w:r>
      <w:bookmarkEnd w:id="69"/>
      <w:r/>
      <w:r/>
    </w:p>
    <w:p>
      <w:pPr>
        <w:ind w:firstLine="482"/>
        <w:spacing w:line="480" w:lineRule="exact"/>
        <w:rPr>
          <w:rFonts w:hint="eastAsia" w:ascii="宋体" w:hAnsi="宋体" w:cs="宋体"/>
          <w:color w:val="auto"/>
          <w:sz w:val="24"/>
        </w:rPr>
      </w:pPr>
      <w:r>
        <w:rPr>
          <w:rFonts w:hint="eastAsia" w:ascii="宋体" w:hAnsi="宋体" w:cs="宋体"/>
          <w:color w:val="auto"/>
          <w:sz w:val="24"/>
        </w:rPr>
        <w:t xml:space="preserve">18.8响应文件含有采购人不能接受的附加条件的。</w:t>
      </w:r>
      <w:r/>
    </w:p>
    <w:p>
      <w:pPr>
        <w:ind w:firstLine="482"/>
        <w:spacing w:line="480" w:lineRule="exact"/>
        <w:rPr>
          <w:rFonts w:hint="eastAsia" w:ascii="宋体" w:hAnsi="宋体" w:cs="宋体"/>
          <w:color w:val="auto"/>
          <w:sz w:val="24"/>
        </w:rPr>
      </w:pPr>
      <w:r>
        <w:rPr>
          <w:rFonts w:hint="eastAsia" w:ascii="宋体" w:hAnsi="宋体" w:cs="宋体"/>
          <w:color w:val="auto"/>
          <w:sz w:val="24"/>
        </w:rPr>
        <w:t xml:space="preserve">18.9供应商有本磋商文件规定的恶意串通情形的。</w:t>
      </w:r>
      <w:r/>
    </w:p>
    <w:p>
      <w:pPr>
        <w:ind w:firstLine="482"/>
        <w:spacing w:line="480" w:lineRule="exact"/>
        <w:rPr>
          <w:rFonts w:hint="eastAsia" w:ascii="宋体" w:hAnsi="宋体" w:cs="宋体"/>
          <w:color w:val="auto"/>
          <w:sz w:val="24"/>
        </w:rPr>
      </w:pPr>
      <w:r>
        <w:rPr>
          <w:rFonts w:hint="eastAsia" w:ascii="宋体" w:hAnsi="宋体" w:cs="宋体"/>
          <w:color w:val="auto"/>
          <w:sz w:val="24"/>
        </w:rPr>
        <w:t xml:space="preserve">18.10法律、法规规定的其它情况。</w:t>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19、采购活动终止情形</w:t>
      </w:r>
      <w:r/>
    </w:p>
    <w:p>
      <w:pPr>
        <w:ind w:firstLine="482"/>
        <w:spacing w:line="480" w:lineRule="exact"/>
        <w:rPr>
          <w:rFonts w:hint="eastAsia" w:ascii="宋体" w:hAnsi="宋体" w:cs="宋体"/>
          <w:bCs/>
          <w:color w:val="auto"/>
          <w:sz w:val="24"/>
        </w:rPr>
      </w:pPr>
      <w:r>
        <w:rPr>
          <w:rFonts w:hint="eastAsia" w:ascii="宋体" w:hAnsi="宋体" w:cs="宋体"/>
          <w:bCs/>
          <w:color w:val="auto"/>
          <w:sz w:val="24"/>
        </w:rPr>
        <w:t xml:space="preserve">19.1因情况变化，不再符合规定的竞争性磋商采购方式适用情形的；</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19.2符合专业条件的供应商或者对磋商文件作实质响应的供应商不足3家的（符合17.8.6情形除外）。</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19.3出现影响采购公正的违法、违规行为的。</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19.4因重大变故，采购任务取消的。</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19.5磋商小组认定磋商文件存在歧义、重大缺陷导致评审工作无法进行。</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19.6在苏采云系统规定时间内成功解密电子响应文件的供应商不足3家的。</w:t>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20、恶意串通情形</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20.1供应商直接或间接从采购人或采购代理机构处获得其他供应商的相关情况并修改其响应文件；</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20.2供应商接受采购人或采购代理机构授意撤换、修改响应文件；</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20.3供应商之间协商报价、技术方案等响应文件实质性内容；</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20.4属于同一集团、协会、商会等组织成员的供应商按照该组织要求协同参与政府采购活动的；</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20.5供应商之间事先约定由某一特定供应商成交；</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20.6供应商之间商定部分供应商放弃参加政府采购活动或者放弃成交；</w:t>
      </w:r>
      <w:r/>
    </w:p>
    <w:p>
      <w:pPr>
        <w:ind w:firstLine="482"/>
        <w:spacing w:line="480" w:lineRule="exact"/>
        <w:rPr>
          <w:rFonts w:hint="eastAsia" w:ascii="宋体" w:hAnsi="宋体" w:cs="宋体"/>
          <w:color w:val="auto"/>
          <w:sz w:val="24"/>
        </w:rPr>
      </w:pPr>
      <w:r>
        <w:rPr>
          <w:rFonts w:hint="eastAsia" w:ascii="宋体" w:hAnsi="宋体" w:cs="宋体"/>
          <w:color w:val="auto"/>
          <w:sz w:val="24"/>
        </w:rPr>
        <w:t xml:space="preserve">20.7供应商与采购人或采购代理机构之间、供应商相互之间为谋求特定供应商成交或者排斥其他供应商的其他串通行为。</w:t>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21、</w:t>
      </w:r>
      <w:bookmarkStart w:id="70" w:name="OLE_LINK2"/>
      <w:r>
        <w:rPr>
          <w:rFonts w:hint="eastAsia" w:ascii="宋体" w:hAnsi="宋体" w:cs="宋体"/>
          <w:b/>
          <w:color w:val="auto"/>
          <w:sz w:val="24"/>
        </w:rPr>
        <w:t xml:space="preserve">取消成交（候选）供应商资格</w:t>
      </w:r>
      <w:bookmarkEnd w:id="70"/>
      <w:r>
        <w:rPr>
          <w:rFonts w:hint="eastAsia" w:ascii="宋体" w:hAnsi="宋体" w:cs="宋体"/>
          <w:b/>
          <w:color w:val="auto"/>
          <w:sz w:val="24"/>
        </w:rPr>
        <w:t xml:space="preserve">条款</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21.1提供虚假材料谋取成交的；</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21.2采取不正当手段诋毁、排挤其他供应商的；</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21.3与采购人、其他供应商或者采购代理机构恶意串通的；</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21.4向采购人、采购代理机构行贿或者提供其他不正当利益的；</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21.5未在规定时间内与采购人签订采购合同的；</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21.6法律、法规规定的其它情况。</w:t>
      </w:r>
      <w:r/>
    </w:p>
    <w:p>
      <w:pPr>
        <w:pStyle w:val="801"/>
        <w:ind w:firstLine="320"/>
        <w:spacing w:before="0" w:after="0" w:line="520" w:lineRule="exact"/>
        <w:rPr>
          <w:rFonts w:hint="eastAsia" w:ascii="宋体" w:hAnsi="宋体" w:eastAsia="宋体" w:cs="宋体"/>
          <w:color w:val="auto"/>
        </w:rPr>
      </w:pPr>
      <w:r/>
      <w:bookmarkStart w:id="71" w:name="_Toc141869968"/>
      <w:r>
        <w:rPr>
          <w:rFonts w:hint="eastAsia" w:ascii="宋体" w:hAnsi="宋体" w:eastAsia="宋体" w:cs="宋体"/>
          <w:color w:val="auto"/>
        </w:rPr>
        <w:t xml:space="preserve">七、成交及合同签订</w:t>
      </w:r>
      <w:bookmarkEnd w:id="71"/>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22、确定成交供应商</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22.3采购人确定正被列为失信被执行人的供应商为成交人的，成交结果无效。</w:t>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23、成交通知书</w:t>
      </w:r>
      <w:r/>
    </w:p>
    <w:p>
      <w:pPr>
        <w:ind w:firstLine="482"/>
        <w:spacing w:line="480" w:lineRule="exact"/>
        <w:rPr>
          <w:rFonts w:hint="eastAsia" w:ascii="宋体" w:hAnsi="宋体" w:cs="宋体"/>
          <w:color w:val="auto"/>
          <w:sz w:val="24"/>
        </w:rPr>
      </w:pPr>
      <w:r>
        <w:rPr>
          <w:rFonts w:hint="eastAsia" w:ascii="宋体" w:hAnsi="宋体" w:cs="宋体"/>
          <w:color w:val="auto"/>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hint="eastAsia" w:ascii="宋体" w:hAnsi="宋体" w:cs="宋体"/>
          <w:color w:val="auto"/>
          <w:sz w:val="24"/>
        </w:rPr>
      </w:pPr>
      <w:r>
        <w:rPr>
          <w:rFonts w:hint="eastAsia" w:ascii="宋体" w:hAnsi="宋体" w:cs="宋体"/>
          <w:color w:val="auto"/>
          <w:sz w:val="24"/>
        </w:rPr>
        <w:t xml:space="preserve">23.2</w:t>
      </w:r>
      <w:r>
        <w:rPr>
          <w:rFonts w:hint="eastAsia" w:ascii="宋体" w:hAnsi="宋体" w:cs="宋体"/>
          <w:color w:val="auto"/>
          <w:sz w:val="24"/>
          <w:szCs w:val="24"/>
        </w:rPr>
        <w:t xml:space="preserve">成交通知书发出后，采购人改变成交结果的或者成交供应商放弃成交项目的，应当依法承担法律责任。</w:t>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24、签订和公告合同</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24.1采购人与成交供应商应当在成交通知书发出之日起15日内</w:t>
      </w:r>
      <w:r>
        <w:rPr>
          <w:rFonts w:hint="eastAsia" w:ascii="宋体" w:hAnsi="宋体" w:cs="宋体"/>
          <w:color w:val="auto"/>
          <w:sz w:val="24"/>
          <w:szCs w:val="24"/>
        </w:rPr>
        <w:t xml:space="preserve">，按照磋商文件确定的事项与采购人签订政府采购合同。</w:t>
      </w:r>
      <w:r>
        <w:rPr>
          <w:rFonts w:hint="eastAsia" w:ascii="宋体" w:hAnsi="宋体" w:cs="宋体"/>
          <w:color w:val="auto"/>
          <w:sz w:val="24"/>
        </w:rPr>
        <w:t xml:space="preserve">竞争性磋商文件、成交供应商的响应文件以及磋商过程中有关澄清文件均作为合同附件。</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24.3采购人在自合同签订之日起2个工作日内，将合同在指定的媒体上公告。</w:t>
      </w:r>
      <w:r/>
    </w:p>
    <w:p>
      <w:pPr>
        <w:ind w:firstLine="482"/>
        <w:spacing w:line="480" w:lineRule="exact"/>
        <w:rPr>
          <w:rFonts w:hint="eastAsia" w:ascii="宋体" w:hAnsi="宋体" w:cs="宋体"/>
          <w:b/>
          <w:color w:val="auto"/>
          <w:sz w:val="24"/>
        </w:rPr>
      </w:pPr>
      <w:r/>
      <w:bookmarkStart w:id="72" w:name="_Toc141869969"/>
      <w:r>
        <w:rPr>
          <w:rFonts w:hint="eastAsia" w:ascii="宋体" w:hAnsi="宋体" w:cs="宋体"/>
          <w:b/>
          <w:color w:val="auto"/>
          <w:sz w:val="24"/>
        </w:rPr>
        <w:t xml:space="preserve">25、履约保证金</w:t>
      </w:r>
      <w:r/>
    </w:p>
    <w:p>
      <w:pPr>
        <w:ind w:firstLine="480"/>
        <w:spacing w:line="480" w:lineRule="exact"/>
        <w:rPr>
          <w:rFonts w:hint="eastAsia" w:ascii="宋体" w:hAnsi="宋体" w:cs="宋体"/>
          <w:color w:val="auto"/>
          <w:sz w:val="24"/>
          <w:lang w:val="zh-CN"/>
        </w:rPr>
      </w:pPr>
      <w:r>
        <w:rPr>
          <w:rFonts w:hint="eastAsia" w:ascii="宋体" w:hAnsi="宋体" w:cs="宋体"/>
          <w:color w:val="auto"/>
          <w:sz w:val="24"/>
          <w:lang w:val="zh-CN"/>
        </w:rPr>
        <w:t xml:space="preserve">按照以下第</w:t>
      </w:r>
      <w:r>
        <w:rPr>
          <w:rFonts w:hint="eastAsia" w:ascii="宋体" w:hAnsi="宋体" w:cs="宋体"/>
          <w:b/>
          <w:bCs/>
          <w:color w:val="auto"/>
          <w:sz w:val="24"/>
          <w:u w:val="single"/>
        </w:rPr>
        <w:t xml:space="preserve">（1）</w:t>
      </w:r>
      <w:r>
        <w:rPr>
          <w:rFonts w:hint="eastAsia" w:ascii="宋体" w:hAnsi="宋体" w:cs="宋体"/>
          <w:color w:val="auto"/>
          <w:sz w:val="24"/>
          <w:lang w:val="zh-CN"/>
        </w:rPr>
        <w:t xml:space="preserve">方式确定履约保证</w:t>
      </w:r>
      <w:r>
        <w:rPr>
          <w:rFonts w:hint="eastAsia" w:ascii="宋体" w:hAnsi="宋体" w:cs="宋体"/>
          <w:color w:val="auto"/>
          <w:sz w:val="24"/>
        </w:rPr>
        <w:t xml:space="preserve">金</w:t>
      </w:r>
      <w:r>
        <w:rPr>
          <w:rFonts w:hint="eastAsia" w:ascii="宋体" w:hAnsi="宋体" w:cs="宋体"/>
          <w:color w:val="auto"/>
          <w:sz w:val="24"/>
          <w:lang w:val="zh-CN"/>
        </w:rPr>
        <w:t xml:space="preserve">收取方式。</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（1）本项目不收取履约保证金。</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（2）本项目收取履约保证金。</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25.1履约保证金提交形式</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25.2履约保证金提交金额</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按采购合同总价的</w:t>
      </w:r>
      <w:r>
        <w:rPr>
          <w:rFonts w:hint="eastAsia" w:ascii="宋体" w:hAnsi="宋体" w:cs="宋体"/>
          <w:color w:val="auto"/>
          <w:sz w:val="24"/>
          <w:u w:val="single"/>
        </w:rPr>
        <w:t xml:space="preserve"> / </w:t>
      </w:r>
      <w:r>
        <w:rPr>
          <w:rFonts w:hint="eastAsia" w:ascii="宋体" w:hAnsi="宋体" w:cs="宋体"/>
          <w:color w:val="auto"/>
          <w:sz w:val="24"/>
        </w:rPr>
        <w:t xml:space="preserve">%提交。</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cs="宋体"/>
          <w:color w:val="auto"/>
          <w:sz w:val="24"/>
          <w:u w:val="single"/>
        </w:rPr>
        <w:t xml:space="preserve"> / </w:t>
      </w:r>
      <w:r>
        <w:rPr>
          <w:rFonts w:hint="eastAsia" w:ascii="宋体" w:hAnsi="宋体" w:cs="宋体"/>
          <w:color w:val="auto"/>
          <w:sz w:val="24"/>
        </w:rPr>
        <w:t xml:space="preserve">% （</w:t>
      </w:r>
      <w:bookmarkStart w:id="73" w:name="_Hlk187763955"/>
      <w:r>
        <w:rPr>
          <w:rFonts w:hint="eastAsia" w:ascii="宋体" w:hAnsi="宋体" w:cs="宋体"/>
          <w:color w:val="auto"/>
          <w:sz w:val="24"/>
        </w:rPr>
        <w:t xml:space="preserve">履约保证金原提交金额的6折</w:t>
      </w:r>
      <w:bookmarkEnd w:id="73"/>
      <w:r>
        <w:rPr>
          <w:rFonts w:hint="eastAsia" w:ascii="宋体" w:hAnsi="宋体" w:cs="宋体"/>
          <w:color w:val="auto"/>
          <w:sz w:val="24"/>
        </w:rPr>
        <w:t xml:space="preserve">）提交。</w:t>
      </w:r>
      <w:bookmarkStart w:id="74" w:name="_Hlk187842952"/>
      <w:r>
        <w:rPr>
          <w:rFonts w:hint="eastAsia" w:ascii="宋体" w:hAnsi="宋体" w:cs="宋体"/>
          <w:color w:val="auto"/>
          <w:sz w:val="24"/>
        </w:rPr>
        <w:t xml:space="preserve">办理流程、偿付等内容见江苏政府采购网“保险保函”模块。</w:t>
      </w:r>
      <w:bookmarkEnd w:id="74"/>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25.3履约保证金退还方式</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25.4履约保证金退还条件</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具有验收合格相关证明材料。</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25.5履约保证金退还时间</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采购人收到成交供应商退付申请后5个工作日内退还。</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25.6履约保证金不予退还情形</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25.7逾期退还履约保证金违约责任</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hint="eastAsia" w:ascii="宋体" w:hAnsi="宋体" w:cs="宋体"/>
          <w:b/>
          <w:bCs/>
          <w:color w:val="auto"/>
          <w:sz w:val="24"/>
          <w:szCs w:val="24"/>
        </w:rPr>
      </w:pPr>
      <w:r>
        <w:rPr>
          <w:rFonts w:hint="eastAsia" w:ascii="宋体" w:hAnsi="宋体" w:cs="宋体"/>
          <w:b/>
          <w:color w:val="auto"/>
          <w:sz w:val="24"/>
        </w:rPr>
        <w:t xml:space="preserve">26、线上融资</w:t>
      </w:r>
      <w:r/>
    </w:p>
    <w:p>
      <w:pPr>
        <w:ind w:firstLine="480"/>
        <w:spacing w:line="480" w:lineRule="exact"/>
        <w:rPr>
          <w:rFonts w:hint="eastAsia" w:ascii="宋体" w:hAnsi="宋体" w:cs="宋体"/>
          <w:b/>
          <w:bCs/>
          <w:color w:val="auto"/>
          <w:sz w:val="24"/>
          <w:szCs w:val="24"/>
        </w:rPr>
      </w:pPr>
      <w:r>
        <w:rPr>
          <w:rFonts w:hint="eastAsia" w:ascii="宋体" w:hAnsi="宋体" w:cs="宋体"/>
          <w:bCs/>
          <w:color w:val="auto"/>
          <w:sz w:val="24"/>
          <w:szCs w:val="24"/>
        </w:rPr>
        <w:t xml:space="preserve">成交供应商可凭政府采购合同办理融资贷款，详情见江苏政府采购网“政采贷”专栏。</w:t>
      </w:r>
      <w:r/>
    </w:p>
    <w:p>
      <w:pPr>
        <w:ind w:firstLine="482"/>
        <w:spacing w:line="480" w:lineRule="exact"/>
        <w:rPr>
          <w:rFonts w:hint="eastAsia" w:ascii="宋体" w:hAnsi="宋体" w:cs="宋体"/>
          <w:color w:val="auto"/>
          <w:sz w:val="24"/>
        </w:rPr>
      </w:pPr>
      <w:r>
        <w:rPr>
          <w:rFonts w:hint="eastAsia" w:ascii="宋体" w:hAnsi="宋体" w:cs="宋体"/>
          <w:b/>
          <w:color w:val="auto"/>
          <w:sz w:val="24"/>
        </w:rPr>
        <w:t xml:space="preserve">27、合同履行</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27.1政府采购合同订立后，合同各方不得擅自变更、中止或者终止合同。</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2"/>
      <w:r/>
      <w:r/>
    </w:p>
    <w:p>
      <w:pPr>
        <w:pStyle w:val="801"/>
        <w:ind w:firstLine="320"/>
        <w:spacing w:before="0" w:after="0" w:line="520" w:lineRule="exact"/>
        <w:rPr>
          <w:rFonts w:hint="eastAsia" w:ascii="宋体" w:hAnsi="宋体" w:eastAsia="宋体" w:cs="宋体"/>
          <w:color w:val="auto"/>
        </w:rPr>
      </w:pPr>
      <w:r/>
      <w:bookmarkStart w:id="75" w:name="_Toc141869970"/>
      <w:r>
        <w:rPr>
          <w:rFonts w:hint="eastAsia" w:ascii="宋体" w:hAnsi="宋体" w:eastAsia="宋体" w:cs="宋体"/>
          <w:color w:val="auto"/>
        </w:rPr>
        <w:t xml:space="preserve">八、质疑与投诉</w:t>
      </w:r>
      <w:bookmarkEnd w:id="75"/>
      <w:r/>
      <w:r/>
    </w:p>
    <w:p>
      <w:pPr>
        <w:ind w:firstLine="482"/>
        <w:spacing w:line="480" w:lineRule="exact"/>
        <w:rPr>
          <w:rFonts w:hint="eastAsia" w:ascii="宋体" w:hAnsi="宋体" w:cs="宋体"/>
          <w:b/>
          <w:color w:val="auto"/>
          <w:sz w:val="24"/>
        </w:rPr>
      </w:pPr>
      <w:r/>
      <w:bookmarkStart w:id="76" w:name="EB4d341233595e4bf8ad7006b4bd78d974"/>
      <w:r/>
      <w:bookmarkEnd w:id="76"/>
      <w:r/>
      <w:bookmarkStart w:id="77" w:name="_Toc141869971"/>
      <w:r/>
      <w:bookmarkStart w:id="78" w:name="_Toc3418"/>
      <w:r/>
      <w:bookmarkStart w:id="79" w:name="_Toc14692"/>
      <w:r/>
      <w:bookmarkStart w:id="80" w:name="_Toc12588"/>
      <w:r/>
      <w:bookmarkStart w:id="81" w:name="_Toc28162"/>
      <w:r/>
      <w:bookmarkStart w:id="82" w:name="_Toc81575164"/>
      <w:r/>
      <w:bookmarkStart w:id="83" w:name="_Toc81575201"/>
      <w:r/>
      <w:bookmarkStart w:id="84" w:name="_Hlk166141273"/>
      <w:r>
        <w:rPr>
          <w:rFonts w:hint="eastAsia" w:ascii="宋体" w:hAnsi="宋体" w:cs="宋体"/>
          <w:b/>
          <w:color w:val="auto"/>
          <w:sz w:val="24"/>
        </w:rPr>
        <w:t xml:space="preserve">28、质疑</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28.1供应商认为采购文件、采购过程和成交结果使自己的权益受到损害的，可以在知道或者应知其权益受到损害之日起七个工作日内（具体起算时间见28.2），以书面形式向采购代理机构或采购人提出质疑。质疑超出采购机构代理范围的，投标人应当向采购人提出。</w:t>
      </w:r>
      <w:r/>
    </w:p>
    <w:p>
      <w:pPr>
        <w:ind w:firstLine="480"/>
        <w:spacing w:line="480" w:lineRule="exact"/>
        <w:rPr>
          <w:rFonts w:hint="eastAsia" w:ascii="宋体" w:hAnsi="宋体" w:cs="宋体"/>
          <w:b/>
          <w:bCs/>
          <w:color w:val="auto"/>
          <w:sz w:val="24"/>
        </w:rPr>
      </w:pPr>
      <w:r>
        <w:rPr>
          <w:rFonts w:hint="eastAsia" w:ascii="宋体" w:hAnsi="宋体" w:cs="宋体"/>
          <w:b/>
          <w:bCs/>
          <w:color w:val="auto"/>
          <w:sz w:val="24"/>
        </w:rPr>
        <w:t xml:space="preserve">本项目接收质疑函的方式：现场接收或邮寄接收。</w:t>
      </w:r>
      <w:r/>
    </w:p>
    <w:p>
      <w:pPr>
        <w:ind w:firstLine="480"/>
        <w:spacing w:line="480" w:lineRule="exact"/>
        <w:rPr>
          <w:rFonts w:hint="eastAsia" w:ascii="宋体" w:hAnsi="宋体" w:cs="宋体"/>
          <w:b/>
          <w:bCs/>
          <w:color w:val="auto"/>
          <w:sz w:val="24"/>
        </w:rPr>
      </w:pPr>
      <w:r>
        <w:rPr>
          <w:rFonts w:hint="eastAsia" w:ascii="宋体" w:hAnsi="宋体" w:cs="宋体"/>
          <w:b/>
          <w:bCs/>
          <w:color w:val="auto"/>
          <w:sz w:val="24"/>
        </w:rPr>
        <w:t xml:space="preserve">联系部门：江苏庆洲工程咨询有限公司或宿迁市城市管理局、宿迁市楚润数据集团有限公司</w:t>
      </w:r>
      <w:r/>
    </w:p>
    <w:p>
      <w:pPr>
        <w:ind w:firstLine="480"/>
        <w:spacing w:line="480" w:lineRule="exact"/>
        <w:rPr>
          <w:rFonts w:hint="eastAsia" w:ascii="宋体" w:hAnsi="宋体" w:cs="宋体"/>
          <w:b/>
          <w:bCs/>
          <w:color w:val="auto"/>
          <w:sz w:val="24"/>
        </w:rPr>
      </w:pPr>
      <w:r>
        <w:rPr>
          <w:rFonts w:hint="eastAsia" w:ascii="宋体" w:hAnsi="宋体" w:cs="宋体"/>
          <w:b/>
          <w:bCs/>
          <w:color w:val="auto"/>
          <w:sz w:val="24"/>
        </w:rPr>
        <w:t xml:space="preserve">联系电话：18360231010或</w:t>
      </w:r>
      <w:r>
        <w:rPr>
          <w:rFonts w:hint="eastAsia" w:ascii="宋体" w:hAnsi="宋体" w:cs="宋体"/>
          <w:b/>
          <w:bCs/>
          <w:color w:val="auto"/>
          <w:sz w:val="24"/>
          <w:lang w:val="en-US" w:eastAsia="zh-CN"/>
        </w:rPr>
        <w:t xml:space="preserve">15850903648</w:t>
      </w:r>
      <w:r>
        <w:rPr>
          <w:rFonts w:hint="eastAsia" w:ascii="宋体" w:hAnsi="宋体" w:cs="宋体"/>
          <w:b/>
          <w:bCs/>
          <w:color w:val="auto"/>
          <w:sz w:val="24"/>
        </w:rPr>
        <w:t xml:space="preserve">、13641536560　  　</w:t>
      </w:r>
      <w:r/>
    </w:p>
    <w:p>
      <w:pPr>
        <w:ind w:firstLine="480"/>
        <w:spacing w:line="480" w:lineRule="exact"/>
        <w:rPr>
          <w:rFonts w:hint="eastAsia" w:ascii="宋体" w:hAnsi="宋体" w:cs="宋体"/>
          <w:b/>
          <w:bCs/>
          <w:color w:val="auto"/>
          <w:sz w:val="24"/>
        </w:rPr>
      </w:pPr>
      <w:r>
        <w:rPr>
          <w:rFonts w:hint="eastAsia" w:ascii="宋体" w:hAnsi="宋体" w:cs="宋体"/>
          <w:b/>
          <w:bCs/>
          <w:color w:val="auto"/>
          <w:sz w:val="24"/>
        </w:rPr>
        <w:t xml:space="preserve">通讯地址：宿迁市宿城区洞庭湖路87号203室或宿迁市宿城区发展大道3168号、宿迁市宿城区发展大道2496号</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28.2供应商应知其权益受到损害之日，是指：</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（1）对本项目采购文件提出质疑的，为获取采购文件之日或者采购文件公告期限届满之日；</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（2）对本项目采购过程提出质疑的，为各采购程序环节结束之日；</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（3）对本项目中标或者成交结果提出质疑的，为中标或者成交结果公告期限届满之日。</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28.4供应商提出质疑应当提交质疑函和必要的证明材料。质疑函的必备内容：</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（1）供应商的姓名或者名称、地址、邮编、联系人及联系电话；</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（2）质疑项目的名称、编号；</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（3）获取采购文件的时间；</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（4）具体、明确的质疑事项和质疑事项相关的请求；</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（5）事实依据；</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（6）必要的法律依据；</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（7）提出质疑的日期；</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hint="eastAsia" w:ascii="宋体" w:hAnsi="宋体" w:cs="宋体"/>
          <w:b/>
          <w:color w:val="auto"/>
          <w:sz w:val="24"/>
        </w:rPr>
      </w:pPr>
      <w:r>
        <w:rPr>
          <w:rFonts w:hint="eastAsia" w:ascii="宋体" w:hAnsi="宋体" w:cs="宋体"/>
          <w:b/>
          <w:color w:val="auto"/>
          <w:sz w:val="24"/>
        </w:rPr>
        <w:t xml:space="preserve">29、投诉</w:t>
      </w:r>
      <w:r/>
    </w:p>
    <w:p>
      <w:pPr>
        <w:ind w:firstLine="482"/>
        <w:spacing w:line="480" w:lineRule="exact"/>
        <w:rPr>
          <w:rFonts w:hint="eastAsia" w:ascii="宋体" w:hAnsi="宋体" w:cs="宋体"/>
          <w:bCs/>
          <w:color w:val="auto"/>
          <w:sz w:val="24"/>
          <w:szCs w:val="24"/>
        </w:rPr>
      </w:pPr>
      <w:r>
        <w:rPr>
          <w:rFonts w:hint="eastAsia" w:ascii="宋体" w:hAnsi="宋体" w:cs="宋体"/>
          <w:color w:val="auto"/>
          <w:sz w:val="24"/>
        </w:rPr>
        <w:t xml:space="preserve">质疑供应商对采购人、采购代理机构的答复不满意，或者采购人、采购代理机构未在规定时间内作出答复的，可以在答复期满后15个工作日内向同级财政部门提起投诉。</w:t>
      </w:r>
      <w:r/>
    </w:p>
    <w:p>
      <w:pPr>
        <w:ind w:firstLine="482"/>
        <w:spacing w:line="480" w:lineRule="exact"/>
        <w:rPr>
          <w:rFonts w:hint="eastAsia" w:ascii="宋体" w:hAnsi="宋体" w:cs="宋体"/>
          <w:color w:val="auto"/>
          <w:sz w:val="24"/>
        </w:rPr>
      </w:pPr>
      <w:r>
        <w:rPr>
          <w:rFonts w:hint="eastAsia" w:ascii="宋体" w:hAnsi="宋体" w:cs="宋体"/>
          <w:b/>
          <w:color w:val="auto"/>
          <w:sz w:val="24"/>
        </w:rPr>
        <w:t xml:space="preserve">30、补充救济条款</w:t>
      </w:r>
      <w:r>
        <w:rPr>
          <w:rFonts w:hint="eastAsia" w:ascii="宋体" w:hAnsi="宋体" w:cs="宋体"/>
          <w:color w:val="auto"/>
          <w:sz w:val="24"/>
        </w:rPr>
        <w:t xml:space="preserve">：采购供应商合法权益补偿救济机制。在履约过程因政策变化、规划调整而无法履行合同约定，造成企业合法权益受损的，采购人依据实际情况对供应商进行补偿救济。</w:t>
      </w:r>
      <w:r/>
    </w:p>
    <w:p>
      <w:pPr>
        <w:pStyle w:val="800"/>
        <w:jc w:val="center"/>
        <w:spacing w:before="200"/>
        <w:rPr>
          <w:rFonts w:hint="eastAsia" w:ascii="宋体" w:hAnsi="宋体" w:eastAsia="宋体" w:cs="宋体"/>
          <w:color w:val="auto"/>
          <w:sz w:val="44"/>
        </w:rPr>
      </w:pPr>
      <w:r>
        <w:rPr>
          <w:rFonts w:hint="eastAsia" w:ascii="宋体" w:hAnsi="宋体" w:eastAsia="宋体" w:cs="宋体"/>
          <w:color w:val="auto"/>
          <w:sz w:val="44"/>
        </w:rPr>
      </w:r>
      <w:r/>
    </w:p>
    <w:p>
      <w:pPr>
        <w:rPr>
          <w:rFonts w:hint="eastAsia" w:ascii="宋体" w:hAnsi="宋体" w:cs="宋体"/>
          <w:color w:val="auto"/>
          <w:sz w:val="44"/>
        </w:rPr>
      </w:pPr>
      <w:r>
        <w:rPr>
          <w:rFonts w:hint="eastAsia" w:ascii="宋体" w:hAnsi="宋体" w:cs="宋体"/>
          <w:color w:val="auto"/>
          <w:sz w:val="44"/>
        </w:rPr>
      </w:r>
      <w:r/>
    </w:p>
    <w:p>
      <w:pPr>
        <w:rPr>
          <w:rFonts w:hint="eastAsia" w:ascii="宋体" w:hAnsi="宋体" w:cs="宋体"/>
          <w:color w:val="auto"/>
          <w:sz w:val="44"/>
        </w:rPr>
      </w:pPr>
      <w:r>
        <w:rPr>
          <w:rFonts w:hint="eastAsia" w:ascii="宋体" w:hAnsi="宋体" w:cs="宋体"/>
          <w:color w:val="auto"/>
          <w:sz w:val="44"/>
        </w:rPr>
      </w:r>
      <w:r/>
    </w:p>
    <w:p>
      <w:pPr>
        <w:rPr>
          <w:rFonts w:hint="eastAsia" w:ascii="宋体" w:hAnsi="宋体" w:cs="宋体"/>
          <w:color w:val="auto"/>
          <w:sz w:val="44"/>
        </w:rPr>
      </w:pPr>
      <w:r>
        <w:rPr>
          <w:rFonts w:hint="eastAsia" w:ascii="宋体" w:hAnsi="宋体" w:cs="宋体"/>
          <w:color w:val="auto"/>
          <w:sz w:val="44"/>
        </w:rPr>
      </w:r>
      <w:r/>
    </w:p>
    <w:p>
      <w:pPr>
        <w:rPr>
          <w:rFonts w:hint="eastAsia" w:ascii="宋体" w:hAnsi="宋体" w:cs="宋体"/>
          <w:color w:val="auto"/>
          <w:sz w:val="44"/>
        </w:rPr>
      </w:pPr>
      <w:r>
        <w:rPr>
          <w:rFonts w:hint="eastAsia" w:ascii="宋体" w:hAnsi="宋体" w:cs="宋体"/>
          <w:color w:val="auto"/>
          <w:sz w:val="44"/>
        </w:rPr>
      </w:r>
      <w:r/>
    </w:p>
    <w:p>
      <w:pPr>
        <w:rPr>
          <w:rFonts w:hint="eastAsia" w:ascii="宋体" w:hAnsi="宋体" w:cs="宋体"/>
          <w:color w:val="auto"/>
          <w:sz w:val="44"/>
        </w:rPr>
      </w:pPr>
      <w:r>
        <w:rPr>
          <w:rFonts w:hint="eastAsia" w:ascii="宋体" w:hAnsi="宋体" w:cs="宋体"/>
          <w:color w:val="auto"/>
          <w:sz w:val="44"/>
        </w:rPr>
      </w:r>
      <w:r/>
    </w:p>
    <w:p>
      <w:pPr>
        <w:rPr>
          <w:rFonts w:hint="eastAsia" w:ascii="宋体" w:hAnsi="宋体" w:cs="宋体"/>
          <w:color w:val="auto"/>
          <w:sz w:val="44"/>
        </w:rPr>
      </w:pPr>
      <w:r>
        <w:rPr>
          <w:rFonts w:hint="eastAsia" w:ascii="宋体" w:hAnsi="宋体" w:cs="宋体"/>
          <w:color w:val="auto"/>
          <w:sz w:val="44"/>
        </w:rPr>
      </w:r>
      <w:r/>
    </w:p>
    <w:p>
      <w:pPr>
        <w:rPr>
          <w:rFonts w:hint="eastAsia" w:ascii="宋体" w:hAnsi="宋体" w:cs="宋体"/>
          <w:color w:val="auto"/>
          <w:sz w:val="44"/>
        </w:rPr>
      </w:pPr>
      <w:r>
        <w:rPr>
          <w:rFonts w:hint="eastAsia" w:ascii="宋体" w:hAnsi="宋体" w:cs="宋体"/>
          <w:color w:val="auto"/>
          <w:sz w:val="44"/>
        </w:rPr>
      </w:r>
      <w:r/>
    </w:p>
    <w:p>
      <w:pPr>
        <w:rPr>
          <w:rFonts w:hint="eastAsia" w:ascii="宋体" w:hAnsi="宋体" w:cs="宋体"/>
          <w:color w:val="auto"/>
          <w:sz w:val="44"/>
        </w:rPr>
      </w:pPr>
      <w:r>
        <w:rPr>
          <w:rFonts w:hint="eastAsia" w:ascii="宋体" w:hAnsi="宋体" w:cs="宋体"/>
          <w:color w:val="auto"/>
          <w:sz w:val="44"/>
        </w:rPr>
      </w:r>
      <w:r/>
    </w:p>
    <w:p>
      <w:pPr>
        <w:rPr>
          <w:rFonts w:hint="eastAsia" w:ascii="宋体" w:hAnsi="宋体" w:cs="宋体"/>
          <w:color w:val="auto"/>
          <w:sz w:val="44"/>
        </w:rPr>
      </w:pPr>
      <w:r>
        <w:rPr>
          <w:rFonts w:hint="eastAsia" w:ascii="宋体" w:hAnsi="宋体" w:cs="宋体"/>
          <w:color w:val="auto"/>
          <w:sz w:val="44"/>
        </w:rPr>
      </w:r>
      <w:r/>
    </w:p>
    <w:p>
      <w:pPr>
        <w:rPr>
          <w:rFonts w:hint="eastAsia" w:ascii="宋体" w:hAnsi="宋体" w:cs="宋体"/>
          <w:color w:val="auto"/>
          <w:sz w:val="44"/>
        </w:rPr>
      </w:pPr>
      <w:r>
        <w:rPr>
          <w:rFonts w:hint="eastAsia" w:ascii="宋体" w:hAnsi="宋体" w:cs="宋体"/>
          <w:color w:val="auto"/>
          <w:sz w:val="44"/>
        </w:rPr>
      </w:r>
      <w:r/>
    </w:p>
    <w:p>
      <w:pPr>
        <w:rPr>
          <w:rFonts w:hint="eastAsia" w:ascii="宋体" w:hAnsi="宋体" w:cs="宋体"/>
          <w:color w:val="auto"/>
          <w:sz w:val="44"/>
        </w:rPr>
      </w:pPr>
      <w:r>
        <w:rPr>
          <w:rFonts w:hint="eastAsia" w:ascii="宋体" w:hAnsi="宋体" w:cs="宋体"/>
          <w:color w:val="auto"/>
          <w:sz w:val="44"/>
        </w:rPr>
      </w:r>
      <w:r/>
    </w:p>
    <w:p>
      <w:pPr>
        <w:rPr>
          <w:rFonts w:hint="eastAsia" w:ascii="宋体" w:hAnsi="宋体" w:cs="宋体"/>
          <w:color w:val="auto"/>
          <w:sz w:val="44"/>
        </w:rPr>
      </w:pPr>
      <w:r>
        <w:rPr>
          <w:rFonts w:hint="eastAsia" w:ascii="宋体" w:hAnsi="宋体" w:cs="宋体"/>
          <w:color w:val="auto"/>
          <w:sz w:val="44"/>
        </w:rPr>
      </w:r>
      <w:r/>
    </w:p>
    <w:p>
      <w:pPr>
        <w:rPr>
          <w:rFonts w:hint="eastAsia" w:ascii="宋体" w:hAnsi="宋体" w:cs="宋体"/>
          <w:color w:val="auto"/>
          <w:sz w:val="44"/>
        </w:rPr>
      </w:pPr>
      <w:r>
        <w:rPr>
          <w:rFonts w:hint="eastAsia" w:ascii="宋体" w:hAnsi="宋体" w:cs="宋体"/>
          <w:color w:val="auto"/>
          <w:sz w:val="44"/>
        </w:rPr>
      </w:r>
      <w:r/>
    </w:p>
    <w:p>
      <w:pPr>
        <w:rPr>
          <w:rFonts w:hint="eastAsia" w:ascii="宋体" w:hAnsi="宋体" w:cs="宋体"/>
          <w:color w:val="auto"/>
          <w:sz w:val="44"/>
        </w:rPr>
      </w:pPr>
      <w:r>
        <w:rPr>
          <w:rFonts w:hint="eastAsia" w:ascii="宋体" w:hAnsi="宋体" w:cs="宋体"/>
          <w:color w:val="auto"/>
          <w:sz w:val="44"/>
        </w:rPr>
      </w:r>
      <w:r/>
    </w:p>
    <w:p>
      <w:pPr>
        <w:rPr>
          <w:rFonts w:hint="eastAsia" w:ascii="宋体" w:hAnsi="宋体" w:cs="宋体"/>
          <w:color w:val="auto"/>
          <w:sz w:val="44"/>
        </w:rPr>
      </w:pPr>
      <w:r>
        <w:rPr>
          <w:rFonts w:hint="eastAsia" w:ascii="宋体" w:hAnsi="宋体" w:cs="宋体"/>
          <w:color w:val="auto"/>
          <w:sz w:val="44"/>
        </w:rPr>
      </w:r>
      <w:r/>
    </w:p>
    <w:p>
      <w:pPr>
        <w:rPr>
          <w:rFonts w:hint="eastAsia" w:ascii="宋体" w:hAnsi="宋体" w:cs="宋体"/>
          <w:color w:val="auto"/>
          <w:sz w:val="44"/>
        </w:rPr>
      </w:pPr>
      <w:r>
        <w:rPr>
          <w:rFonts w:hint="eastAsia" w:ascii="宋体" w:hAnsi="宋体" w:cs="宋体"/>
          <w:color w:val="auto"/>
          <w:sz w:val="44"/>
        </w:rPr>
      </w:r>
      <w:r/>
    </w:p>
    <w:p>
      <w:pPr>
        <w:pStyle w:val="800"/>
        <w:jc w:val="center"/>
        <w:spacing w:before="200"/>
        <w:rPr>
          <w:rFonts w:hint="eastAsia" w:ascii="宋体" w:hAnsi="宋体" w:eastAsia="宋体" w:cs="宋体"/>
          <w:color w:val="auto"/>
          <w:sz w:val="44"/>
        </w:rPr>
      </w:pPr>
      <w:r>
        <w:rPr>
          <w:rFonts w:hint="eastAsia" w:ascii="宋体" w:hAnsi="宋体" w:eastAsia="宋体" w:cs="宋体"/>
          <w:color w:val="auto"/>
          <w:sz w:val="44"/>
        </w:rPr>
        <w:t xml:space="preserve">第三章  </w:t>
      </w:r>
      <w:bookmarkEnd w:id="77"/>
      <w:r/>
      <w:bookmarkEnd w:id="78"/>
      <w:r/>
      <w:bookmarkEnd w:id="79"/>
      <w:r>
        <w:rPr>
          <w:rFonts w:hint="eastAsia" w:ascii="宋体" w:hAnsi="宋体" w:eastAsia="宋体" w:cs="宋体"/>
          <w:color w:val="auto"/>
          <w:sz w:val="44"/>
        </w:rPr>
        <w:t xml:space="preserve">评审方法与评审标准</w:t>
      </w:r>
      <w:bookmarkEnd w:id="80"/>
      <w:r/>
      <w:bookmarkEnd w:id="81"/>
      <w:bookmarkEnd w:id="82"/>
      <w:bookmarkEnd w:id="83"/>
      <w:r/>
    </w:p>
    <w:p>
      <w:pPr>
        <w:ind w:firstLine="482"/>
        <w:spacing w:line="560" w:lineRule="exact"/>
        <w:rPr>
          <w:rFonts w:hint="eastAsia" w:ascii="宋体" w:hAnsi="宋体" w:cs="宋体"/>
          <w:b/>
          <w:bCs/>
          <w:color w:val="auto"/>
          <w:sz w:val="24"/>
          <w:szCs w:val="24"/>
        </w:rPr>
      </w:pPr>
      <w:r/>
      <w:bookmarkStart w:id="85" w:name="EBe0cfd1035ea44f689f97db50fccddc8b"/>
      <w:r>
        <w:rPr>
          <w:rFonts w:hint="eastAsia" w:ascii="宋体" w:hAnsi="宋体" w:cs="宋体"/>
          <w:b/>
          <w:bCs/>
          <w:color w:val="auto"/>
          <w:sz w:val="24"/>
          <w:szCs w:val="24"/>
        </w:rPr>
        <w:t xml:space="preserve">一、资格审查</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资格审查人员按照下列指标对各投标人的资格进行审查，未通过审查的为无效标，不参与评标。</w:t>
      </w:r>
      <w:r/>
    </w:p>
    <w:tbl>
      <w:tblPr>
        <w:tblStyle w:val="810"/>
        <w:tblW w:w="8599"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87"/>
        <w:gridCol w:w="4212"/>
      </w:tblGrid>
      <w:tr>
        <w:trPr>
          <w:trHeight w:val="501"/>
        </w:trPr>
        <w:tc>
          <w:tcPr>
            <w:tcBorders>
              <w:top w:val="single" w:color="auto" w:sz="6" w:space="0"/>
              <w:left w:val="single" w:color="auto" w:sz="6" w:space="0"/>
              <w:bottom w:val="single" w:color="auto" w:sz="6" w:space="0"/>
              <w:right w:val="single" w:color="auto" w:sz="6" w:space="0"/>
            </w:tcBorders>
            <w:tcW w:w="4387" w:type="dxa"/>
            <w:vAlign w:val="center"/>
            <w:textDirection w:val="lrTb"/>
            <w:noWrap w:val="false"/>
          </w:tcPr>
          <w:p>
            <w:pPr>
              <w:jc w:val="center"/>
              <w:spacing w:line="560" w:lineRule="exact"/>
              <w:rPr>
                <w:rFonts w:hint="eastAsia" w:ascii="宋体" w:hAnsi="宋体" w:cs="宋体"/>
                <w:color w:val="auto"/>
                <w:sz w:val="24"/>
                <w:szCs w:val="24"/>
              </w:rPr>
            </w:pPr>
            <w:r>
              <w:rPr>
                <w:rFonts w:hint="eastAsia" w:ascii="宋体" w:hAnsi="宋体" w:cs="宋体"/>
                <w:color w:val="auto"/>
                <w:sz w:val="24"/>
                <w:szCs w:val="24"/>
              </w:rPr>
              <w:t xml:space="preserve">资格审查因素</w:t>
            </w:r>
            <w:r/>
          </w:p>
        </w:tc>
        <w:tc>
          <w:tcPr>
            <w:tcBorders>
              <w:top w:val="single" w:color="auto" w:sz="6" w:space="0"/>
              <w:left w:val="single" w:color="auto" w:sz="6" w:space="0"/>
              <w:bottom w:val="single" w:color="auto" w:sz="6" w:space="0"/>
              <w:right w:val="single" w:color="auto" w:sz="6" w:space="0"/>
            </w:tcBorders>
            <w:tcW w:w="4212" w:type="dxa"/>
            <w:vAlign w:val="center"/>
            <w:textDirection w:val="lrTb"/>
            <w:noWrap w:val="false"/>
          </w:tcPr>
          <w:p>
            <w:pPr>
              <w:jc w:val="center"/>
              <w:spacing w:line="560" w:lineRule="exact"/>
              <w:rPr>
                <w:rFonts w:hint="eastAsia" w:ascii="宋体" w:hAnsi="宋体" w:cs="宋体"/>
                <w:color w:val="auto"/>
                <w:sz w:val="24"/>
                <w:szCs w:val="24"/>
              </w:rPr>
            </w:pPr>
            <w:r>
              <w:rPr>
                <w:rFonts w:hint="eastAsia" w:ascii="宋体" w:hAnsi="宋体" w:cs="宋体"/>
                <w:color w:val="auto"/>
                <w:sz w:val="24"/>
                <w:szCs w:val="24"/>
              </w:rPr>
              <w:t xml:space="preserve">审查标准</w:t>
            </w:r>
            <w:r/>
          </w:p>
        </w:tc>
      </w:tr>
      <w:tr>
        <w:trPr>
          <w:trHeight w:val="501"/>
        </w:trPr>
        <w:tc>
          <w:tcPr>
            <w:tcBorders>
              <w:top w:val="single" w:color="auto" w:sz="6" w:space="0"/>
              <w:left w:val="single" w:color="auto" w:sz="6" w:space="0"/>
              <w:bottom w:val="single" w:color="auto" w:sz="6" w:space="0"/>
              <w:right w:val="single" w:color="auto" w:sz="6" w:space="0"/>
            </w:tcBorders>
            <w:tcW w:w="4387" w:type="dxa"/>
            <w:vAlign w:val="center"/>
            <w:textDirection w:val="lrTb"/>
            <w:noWrap w:val="false"/>
          </w:tcPr>
          <w:p>
            <w:pPr>
              <w:jc w:val="center"/>
              <w:spacing w:line="560" w:lineRule="exact"/>
              <w:rPr>
                <w:rFonts w:hint="eastAsia" w:ascii="宋体" w:hAnsi="宋体" w:cs="宋体"/>
                <w:color w:val="auto"/>
                <w:sz w:val="24"/>
                <w:szCs w:val="24"/>
              </w:rPr>
            </w:pPr>
            <w:r>
              <w:rPr>
                <w:rFonts w:hint="eastAsia" w:ascii="宋体" w:hAnsi="宋体" w:cs="宋体"/>
                <w:color w:val="auto"/>
                <w:sz w:val="24"/>
                <w:szCs w:val="24"/>
              </w:rPr>
              <w:t xml:space="preserve">响应声明及承诺函</w:t>
            </w:r>
            <w:r/>
          </w:p>
        </w:tc>
        <w:tc>
          <w:tcPr>
            <w:tcBorders>
              <w:top w:val="single" w:color="auto" w:sz="6" w:space="0"/>
              <w:left w:val="single" w:color="auto" w:sz="6" w:space="0"/>
              <w:bottom w:val="single" w:color="auto" w:sz="6" w:space="0"/>
              <w:right w:val="single" w:color="auto" w:sz="6" w:space="0"/>
            </w:tcBorders>
            <w:tcW w:w="4212" w:type="dxa"/>
            <w:vAlign w:val="center"/>
            <w:textDirection w:val="lrTb"/>
            <w:noWrap w:val="false"/>
          </w:tcPr>
          <w:p>
            <w:pPr>
              <w:jc w:val="center"/>
              <w:spacing w:line="560" w:lineRule="exact"/>
              <w:rPr>
                <w:rFonts w:hint="eastAsia" w:ascii="宋体" w:hAnsi="宋体" w:cs="宋体"/>
                <w:color w:val="auto"/>
                <w:sz w:val="24"/>
                <w:szCs w:val="24"/>
              </w:rPr>
            </w:pPr>
            <w:r>
              <w:rPr>
                <w:rFonts w:hint="eastAsia" w:ascii="宋体" w:hAnsi="宋体" w:cs="宋体"/>
                <w:color w:val="auto"/>
                <w:sz w:val="24"/>
                <w:szCs w:val="24"/>
              </w:rPr>
              <w:t xml:space="preserve">符合招标文件要求</w:t>
            </w:r>
            <w:r/>
          </w:p>
        </w:tc>
      </w:tr>
      <w:tr>
        <w:trPr>
          <w:trHeight w:val="514"/>
        </w:trPr>
        <w:tc>
          <w:tcPr>
            <w:tcBorders>
              <w:top w:val="single" w:color="auto" w:sz="6" w:space="0"/>
              <w:left w:val="single" w:color="auto" w:sz="6" w:space="0"/>
              <w:bottom w:val="single" w:color="auto" w:sz="6" w:space="0"/>
              <w:right w:val="single" w:color="auto" w:sz="6" w:space="0"/>
            </w:tcBorders>
            <w:tcW w:w="4387" w:type="dxa"/>
            <w:vAlign w:val="center"/>
            <w:textDirection w:val="lrTb"/>
            <w:noWrap w:val="false"/>
          </w:tcPr>
          <w:p>
            <w:pPr>
              <w:jc w:val="center"/>
              <w:spacing w:line="560" w:lineRule="exact"/>
              <w:rPr>
                <w:rFonts w:hint="eastAsia" w:ascii="宋体" w:hAnsi="宋体" w:cs="宋体"/>
                <w:color w:val="auto"/>
                <w:sz w:val="24"/>
                <w:szCs w:val="24"/>
              </w:rPr>
            </w:pPr>
            <w:r>
              <w:rPr>
                <w:rFonts w:hint="eastAsia" w:ascii="宋体" w:hAnsi="宋体" w:cs="宋体"/>
                <w:color w:val="auto"/>
                <w:sz w:val="24"/>
                <w:szCs w:val="24"/>
              </w:rPr>
              <w:t xml:space="preserve">信用信息</w:t>
            </w:r>
            <w:r/>
          </w:p>
        </w:tc>
        <w:tc>
          <w:tcPr>
            <w:tcBorders>
              <w:top w:val="single" w:color="auto" w:sz="6" w:space="0"/>
              <w:left w:val="single" w:color="auto" w:sz="6" w:space="0"/>
              <w:bottom w:val="single" w:color="auto" w:sz="6" w:space="0"/>
              <w:right w:val="single" w:color="auto" w:sz="6" w:space="0"/>
            </w:tcBorders>
            <w:tcW w:w="4212" w:type="dxa"/>
            <w:vAlign w:val="center"/>
            <w:textDirection w:val="lrTb"/>
            <w:noWrap w:val="false"/>
          </w:tcPr>
          <w:p>
            <w:pPr>
              <w:jc w:val="center"/>
              <w:spacing w:line="560" w:lineRule="exact"/>
              <w:rPr>
                <w:rFonts w:hint="eastAsia" w:ascii="宋体" w:hAnsi="宋体" w:cs="宋体"/>
                <w:color w:val="auto"/>
                <w:sz w:val="24"/>
                <w:szCs w:val="24"/>
              </w:rPr>
            </w:pPr>
            <w:r>
              <w:rPr>
                <w:rFonts w:hint="eastAsia" w:ascii="宋体" w:hAnsi="宋体" w:cs="宋体"/>
                <w:color w:val="auto"/>
                <w:sz w:val="24"/>
                <w:szCs w:val="24"/>
              </w:rPr>
              <w:t xml:space="preserve">符合招标文件要求</w:t>
            </w:r>
            <w:r/>
          </w:p>
        </w:tc>
      </w:tr>
    </w:tbl>
    <w:p>
      <w:pPr>
        <w:ind w:firstLine="482"/>
        <w:spacing w:line="560" w:lineRule="exact"/>
        <w:rPr>
          <w:rFonts w:hint="eastAsia" w:ascii="宋体" w:hAnsi="宋体" w:cs="宋体"/>
          <w:b/>
          <w:bCs/>
          <w:color w:val="auto"/>
          <w:sz w:val="24"/>
          <w:szCs w:val="24"/>
        </w:rPr>
      </w:pPr>
      <w:r>
        <w:rPr>
          <w:rFonts w:hint="eastAsia" w:ascii="宋体" w:hAnsi="宋体" w:cs="宋体"/>
          <w:b/>
          <w:bCs/>
          <w:color w:val="auto"/>
          <w:sz w:val="24"/>
          <w:szCs w:val="24"/>
        </w:rPr>
        <w:t xml:space="preserve">二、符合性审查</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评标委员会首先按照下列指标对各投标人的投标文件进行符合性审查，未通过审查的为无效标，不再参与评审。</w:t>
      </w:r>
      <w:r/>
    </w:p>
    <w:tbl>
      <w:tblPr>
        <w:tblStyle w:val="810"/>
        <w:tblW w:w="8699"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80"/>
        <w:gridCol w:w="4319"/>
      </w:tblGrid>
      <w:tr>
        <w:trPr>
          <w:trHeight w:val="422"/>
        </w:trPr>
        <w:tc>
          <w:tcPr>
            <w:tcBorders>
              <w:top w:val="single" w:color="auto" w:sz="6" w:space="0"/>
              <w:left w:val="single" w:color="auto" w:sz="6" w:space="0"/>
              <w:bottom w:val="single" w:color="auto" w:sz="6" w:space="0"/>
              <w:right w:val="single" w:color="auto" w:sz="6" w:space="0"/>
            </w:tcBorders>
            <w:tcW w:w="4380" w:type="dxa"/>
            <w:vAlign w:val="center"/>
            <w:textDirection w:val="lrTb"/>
            <w:noWrap w:val="false"/>
          </w:tcPr>
          <w:p>
            <w:pPr>
              <w:jc w:val="center"/>
              <w:spacing w:line="560" w:lineRule="exact"/>
              <w:rPr>
                <w:rFonts w:hint="eastAsia" w:ascii="宋体" w:hAnsi="宋体" w:cs="宋体"/>
                <w:color w:val="auto"/>
                <w:sz w:val="24"/>
                <w:szCs w:val="24"/>
              </w:rPr>
            </w:pPr>
            <w:r>
              <w:rPr>
                <w:rFonts w:hint="eastAsia" w:ascii="宋体" w:hAnsi="宋体" w:cs="宋体"/>
                <w:color w:val="auto"/>
                <w:sz w:val="24"/>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4319" w:type="dxa"/>
            <w:vAlign w:val="center"/>
            <w:textDirection w:val="lrTb"/>
            <w:noWrap w:val="false"/>
          </w:tcPr>
          <w:p>
            <w:pPr>
              <w:jc w:val="center"/>
              <w:spacing w:line="560" w:lineRule="exact"/>
              <w:rPr>
                <w:rFonts w:hint="eastAsia" w:ascii="宋体" w:hAnsi="宋体" w:cs="宋体"/>
                <w:color w:val="auto"/>
                <w:sz w:val="24"/>
                <w:szCs w:val="24"/>
              </w:rPr>
            </w:pPr>
            <w:r>
              <w:rPr>
                <w:rFonts w:hint="eastAsia" w:ascii="宋体" w:hAnsi="宋体" w:cs="宋体"/>
                <w:color w:val="auto"/>
                <w:sz w:val="24"/>
                <w:szCs w:val="24"/>
              </w:rPr>
              <w:t xml:space="preserve">审查标准</w:t>
            </w:r>
            <w:r/>
          </w:p>
        </w:tc>
      </w:tr>
      <w:tr>
        <w:trPr>
          <w:trHeight w:val="514"/>
        </w:trPr>
        <w:tc>
          <w:tcPr>
            <w:tcBorders>
              <w:top w:val="single" w:color="auto" w:sz="6" w:space="0"/>
              <w:left w:val="single" w:color="auto" w:sz="6" w:space="0"/>
              <w:bottom w:val="single" w:color="auto" w:sz="6" w:space="0"/>
              <w:right w:val="single" w:color="auto" w:sz="6" w:space="0"/>
            </w:tcBorders>
            <w:tcW w:w="4380" w:type="dxa"/>
            <w:vAlign w:val="center"/>
            <w:textDirection w:val="lrTb"/>
            <w:noWrap w:val="false"/>
          </w:tcPr>
          <w:p>
            <w:pPr>
              <w:jc w:val="center"/>
              <w:spacing w:line="560" w:lineRule="exact"/>
              <w:rPr>
                <w:rFonts w:hint="eastAsia" w:ascii="宋体" w:hAnsi="宋体" w:cs="宋体"/>
                <w:color w:val="auto"/>
                <w:sz w:val="24"/>
                <w:szCs w:val="24"/>
              </w:rPr>
            </w:pPr>
            <w:r/>
            <w:bookmarkStart w:id="86" w:name="OLE_LINK17"/>
            <w:r>
              <w:rPr>
                <w:rFonts w:hint="eastAsia" w:ascii="宋体" w:hAnsi="宋体" w:cs="宋体"/>
                <w:color w:val="auto"/>
                <w:sz w:val="24"/>
                <w:szCs w:val="24"/>
              </w:rPr>
              <w:t xml:space="preserve">法人授权书</w:t>
            </w:r>
            <w:bookmarkEnd w:id="86"/>
            <w:r/>
            <w:r/>
          </w:p>
        </w:tc>
        <w:tc>
          <w:tcPr>
            <w:tcBorders>
              <w:top w:val="single" w:color="auto" w:sz="6" w:space="0"/>
              <w:left w:val="single" w:color="auto" w:sz="6" w:space="0"/>
              <w:bottom w:val="single" w:color="auto" w:sz="6" w:space="0"/>
              <w:right w:val="single" w:color="auto" w:sz="6" w:space="0"/>
            </w:tcBorders>
            <w:tcW w:w="4319" w:type="dxa"/>
            <w:vAlign w:val="center"/>
            <w:textDirection w:val="lrTb"/>
            <w:noWrap w:val="false"/>
          </w:tcPr>
          <w:p>
            <w:pPr>
              <w:jc w:val="center"/>
              <w:spacing w:line="560" w:lineRule="exact"/>
              <w:rPr>
                <w:rFonts w:hint="eastAsia" w:ascii="宋体" w:hAnsi="宋体" w:cs="宋体"/>
                <w:color w:val="auto"/>
                <w:sz w:val="24"/>
                <w:szCs w:val="24"/>
              </w:rPr>
            </w:pPr>
            <w:r>
              <w:rPr>
                <w:rFonts w:hint="eastAsia" w:ascii="宋体" w:hAnsi="宋体" w:cs="宋体"/>
                <w:color w:val="auto"/>
                <w:sz w:val="24"/>
                <w:szCs w:val="24"/>
              </w:rPr>
              <w:t xml:space="preserve">符合磋商文件要求</w:t>
            </w:r>
            <w:r/>
          </w:p>
        </w:tc>
      </w:tr>
      <w:tr>
        <w:trPr>
          <w:trHeight w:val="528"/>
        </w:trPr>
        <w:tc>
          <w:tcPr>
            <w:tcBorders>
              <w:top w:val="single" w:color="auto" w:sz="6" w:space="0"/>
              <w:left w:val="single" w:color="auto" w:sz="6" w:space="0"/>
              <w:bottom w:val="single" w:color="auto" w:sz="6" w:space="0"/>
              <w:right w:val="single" w:color="auto" w:sz="6" w:space="0"/>
            </w:tcBorders>
            <w:tcW w:w="4380" w:type="dxa"/>
            <w:vAlign w:val="center"/>
            <w:textDirection w:val="lrTb"/>
            <w:noWrap w:val="false"/>
          </w:tcPr>
          <w:p>
            <w:pPr>
              <w:jc w:val="center"/>
              <w:spacing w:line="560" w:lineRule="exact"/>
              <w:rPr>
                <w:rFonts w:hint="eastAsia" w:ascii="宋体" w:hAnsi="宋体" w:cs="宋体"/>
                <w:color w:val="auto"/>
                <w:sz w:val="24"/>
                <w:szCs w:val="24"/>
              </w:rPr>
            </w:pPr>
            <w:r>
              <w:rPr>
                <w:rFonts w:hint="eastAsia" w:ascii="宋体" w:hAnsi="宋体" w:cs="宋体"/>
                <w:color w:val="auto"/>
                <w:sz w:val="24"/>
                <w:szCs w:val="24"/>
              </w:rPr>
              <w:t xml:space="preserve">其他</w:t>
            </w:r>
            <w:r/>
          </w:p>
        </w:tc>
        <w:tc>
          <w:tcPr>
            <w:tcBorders>
              <w:top w:val="single" w:color="auto" w:sz="6" w:space="0"/>
              <w:left w:val="single" w:color="auto" w:sz="6" w:space="0"/>
              <w:bottom w:val="single" w:color="auto" w:sz="6" w:space="0"/>
              <w:right w:val="single" w:color="auto" w:sz="6" w:space="0"/>
            </w:tcBorders>
            <w:tcW w:w="4319" w:type="dxa"/>
            <w:vAlign w:val="center"/>
            <w:textDirection w:val="lrTb"/>
            <w:noWrap w:val="false"/>
          </w:tcPr>
          <w:p>
            <w:pPr>
              <w:jc w:val="center"/>
              <w:spacing w:line="560" w:lineRule="exact"/>
              <w:rPr>
                <w:rFonts w:hint="eastAsia" w:ascii="宋体" w:hAnsi="宋体" w:cs="宋体"/>
                <w:color w:val="auto"/>
                <w:sz w:val="24"/>
                <w:szCs w:val="24"/>
              </w:rPr>
            </w:pPr>
            <w:r>
              <w:rPr>
                <w:rFonts w:hint="eastAsia" w:ascii="宋体" w:hAnsi="宋体" w:cs="宋体"/>
                <w:color w:val="auto"/>
                <w:sz w:val="24"/>
                <w:szCs w:val="24"/>
              </w:rPr>
              <w:t xml:space="preserve">符合磋商文件要求</w:t>
            </w:r>
            <w:r/>
          </w:p>
        </w:tc>
      </w:tr>
    </w:tbl>
    <w:p>
      <w:pPr>
        <w:ind w:firstLine="482"/>
        <w:spacing w:line="560" w:lineRule="exact"/>
        <w:rPr>
          <w:rFonts w:hint="eastAsia" w:ascii="宋体" w:hAnsi="宋体" w:cs="宋体"/>
          <w:b/>
          <w:bCs/>
          <w:color w:val="auto"/>
          <w:sz w:val="24"/>
          <w:szCs w:val="24"/>
        </w:rPr>
      </w:pPr>
      <w:r>
        <w:rPr>
          <w:rFonts w:hint="eastAsia" w:ascii="宋体" w:hAnsi="宋体" w:cs="宋体"/>
          <w:b/>
          <w:bCs/>
          <w:color w:val="auto"/>
          <w:sz w:val="24"/>
          <w:szCs w:val="24"/>
        </w:rPr>
        <w:t xml:space="preserve">三、评审方法</w:t>
      </w:r>
      <w:r/>
    </w:p>
    <w:p>
      <w:pPr>
        <w:ind w:firstLine="482"/>
        <w:spacing w:line="560" w:lineRule="exact"/>
        <w:rPr>
          <w:rFonts w:hint="eastAsia" w:ascii="宋体" w:hAnsi="宋体" w:cs="宋体"/>
          <w:color w:val="auto"/>
          <w:sz w:val="24"/>
          <w:szCs w:val="24"/>
        </w:rPr>
      </w:pPr>
      <w:r>
        <w:rPr>
          <w:rFonts w:hint="eastAsia" w:ascii="宋体" w:hAnsi="宋体" w:cs="宋体"/>
          <w:b/>
          <w:bCs/>
          <w:color w:val="auto"/>
          <w:sz w:val="24"/>
          <w:szCs w:val="24"/>
        </w:rPr>
        <w:t xml:space="preserve">（一）评标办法</w:t>
      </w:r>
      <w:r>
        <w:rPr>
          <w:rFonts w:hint="eastAsia" w:ascii="宋体" w:hAnsi="宋体" w:cs="宋体"/>
          <w:color w:val="auto"/>
          <w:sz w:val="24"/>
          <w:szCs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评标委员会根据评审后投标人排序推荐3名中标候选人。投标文件满足招标文件全部实质性要求，且评审后排序第一的投标人为第一中标候选人，依次类推。综合评分保留至小数点后两位。 </w:t>
      </w:r>
      <w:r/>
    </w:p>
    <w:p>
      <w:pPr>
        <w:ind w:firstLine="482"/>
        <w:spacing w:line="560" w:lineRule="exact"/>
        <w:rPr>
          <w:rFonts w:hint="eastAsia" w:ascii="宋体" w:hAnsi="宋体" w:cs="宋体"/>
          <w:color w:val="auto"/>
          <w:sz w:val="24"/>
          <w:szCs w:val="24"/>
        </w:rPr>
      </w:pPr>
      <w:r>
        <w:rPr>
          <w:rFonts w:hint="eastAsia" w:ascii="宋体" w:hAnsi="宋体" w:cs="宋体"/>
          <w:b/>
          <w:bCs/>
          <w:color w:val="auto"/>
          <w:sz w:val="24"/>
          <w:szCs w:val="24"/>
        </w:rPr>
        <w:t xml:space="preserve">（二）详细评审</w:t>
      </w:r>
      <w:r>
        <w:rPr>
          <w:rFonts w:hint="eastAsia" w:ascii="宋体" w:hAnsi="宋体" w:cs="宋体"/>
          <w:color w:val="auto"/>
          <w:sz w:val="24"/>
          <w:szCs w:val="24"/>
        </w:rPr>
        <w:t xml:space="preserve">。评标委员会按照招标文件规定的评分标准，对各投标文件进行详细评审打分。评标委员会组长对各评审专家的打分情况进行复核无误后汇总，形成评审报告。</w:t>
      </w:r>
      <w:r/>
    </w:p>
    <w:p>
      <w:pPr>
        <w:ind w:firstLine="482"/>
        <w:jc w:val="left"/>
        <w:spacing w:line="480" w:lineRule="exact"/>
        <w:rPr>
          <w:rFonts w:hint="eastAsia" w:ascii="宋体" w:hAnsi="宋体" w:cs="宋体"/>
          <w:b/>
          <w:bCs/>
          <w:color w:val="auto"/>
          <w:sz w:val="24"/>
        </w:rPr>
      </w:pPr>
      <w:r/>
      <w:bookmarkStart w:id="87" w:name="EBd5bea3a3c3254523b93c8abaa514fb10"/>
      <w:r/>
      <w:bookmarkEnd w:id="87"/>
      <w:r/>
      <w:r/>
    </w:p>
    <w:p>
      <w:pPr>
        <w:ind w:firstLine="482"/>
        <w:jc w:val="left"/>
        <w:spacing w:line="480" w:lineRule="exact"/>
        <w:rPr>
          <w:rFonts w:hint="eastAsia" w:ascii="宋体" w:hAnsi="宋体" w:cs="宋体"/>
          <w:b/>
          <w:bCs/>
          <w:color w:val="auto"/>
          <w:sz w:val="24"/>
        </w:rPr>
      </w:pPr>
      <w:r>
        <w:rPr>
          <w:rFonts w:hint="eastAsia" w:ascii="宋体" w:hAnsi="宋体" w:cs="宋体"/>
          <w:b/>
          <w:bCs/>
          <w:color w:val="auto"/>
          <w:sz w:val="24"/>
        </w:rPr>
        <w:t xml:space="preserve">分包1：评标标准</w:t>
      </w:r>
      <w:r/>
    </w:p>
    <w:tbl>
      <w:tblPr>
        <w:tblStyle w:val="810"/>
        <w:tblW w:w="88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7"/>
        <w:gridCol w:w="1089"/>
        <w:gridCol w:w="6613"/>
      </w:tblGrid>
      <w:tr>
        <w:trPr>
          <w:jc w:val="center"/>
          <w:trHeight w:val="90"/>
        </w:trPr>
        <w:tc>
          <w:tcPr>
            <w:tcW w:w="1197" w:type="dxa"/>
            <w:vAlign w:val="center"/>
            <w:textDirection w:val="lrTb"/>
            <w:noWrap w:val="false"/>
          </w:tcPr>
          <w:p>
            <w:pPr>
              <w:jc w:val="center"/>
              <w:widowControl/>
              <w:rPr>
                <w:rFonts w:hint="eastAsia" w:ascii="宋体" w:hAnsi="宋体" w:cs="宋体"/>
                <w:color w:val="auto"/>
                <w:sz w:val="22"/>
              </w:rPr>
            </w:pPr>
            <w:r>
              <w:rPr>
                <w:rFonts w:hint="eastAsia" w:ascii="宋体" w:hAnsi="宋体" w:cs="宋体"/>
                <w:color w:val="auto"/>
                <w:szCs w:val="24"/>
              </w:rPr>
              <w:t xml:space="preserve">评审因素</w:t>
            </w:r>
            <w:r/>
          </w:p>
        </w:tc>
        <w:tc>
          <w:tcPr>
            <w:tcW w:w="1089" w:type="dxa"/>
            <w:vAlign w:val="center"/>
            <w:textDirection w:val="lrTb"/>
            <w:noWrap w:val="false"/>
          </w:tcPr>
          <w:p>
            <w:pPr>
              <w:jc w:val="center"/>
              <w:widowControl/>
              <w:rPr>
                <w:rFonts w:hint="eastAsia" w:ascii="宋体" w:hAnsi="宋体" w:cs="宋体"/>
                <w:color w:val="auto"/>
                <w:sz w:val="22"/>
              </w:rPr>
            </w:pPr>
            <w:r>
              <w:rPr>
                <w:rFonts w:hint="eastAsia" w:ascii="宋体" w:hAnsi="宋体" w:cs="宋体"/>
                <w:color w:val="auto"/>
                <w:szCs w:val="24"/>
              </w:rPr>
              <w:t xml:space="preserve">分数</w:t>
            </w:r>
            <w:r/>
          </w:p>
        </w:tc>
        <w:tc>
          <w:tcPr>
            <w:tcW w:w="6613" w:type="dxa"/>
            <w:vAlign w:val="center"/>
            <w:textDirection w:val="lrTb"/>
            <w:noWrap w:val="false"/>
          </w:tcPr>
          <w:p>
            <w:pPr>
              <w:jc w:val="center"/>
              <w:widowControl/>
              <w:rPr>
                <w:rFonts w:hint="eastAsia" w:ascii="宋体" w:hAnsi="宋体" w:cs="宋体"/>
                <w:color w:val="auto"/>
                <w:sz w:val="22"/>
              </w:rPr>
            </w:pPr>
            <w:r>
              <w:rPr>
                <w:rFonts w:hint="eastAsia" w:ascii="宋体" w:hAnsi="宋体" w:cs="宋体"/>
                <w:color w:val="auto"/>
                <w:szCs w:val="24"/>
              </w:rPr>
              <w:t xml:space="preserve">评审标准</w:t>
            </w:r>
            <w:r/>
          </w:p>
        </w:tc>
      </w:tr>
      <w:tr>
        <w:trPr>
          <w:jc w:val="center"/>
          <w:trHeight w:val="306"/>
        </w:trPr>
        <w:tc>
          <w:tcPr>
            <w:tcW w:w="1197" w:type="dxa"/>
            <w:vAlign w:val="center"/>
            <w:textDirection w:val="lrTb"/>
            <w:noWrap w:val="false"/>
          </w:tcPr>
          <w:p>
            <w:pPr>
              <w:jc w:val="center"/>
              <w:rPr>
                <w:rFonts w:hint="eastAsia" w:ascii="宋体" w:hAnsi="宋体" w:cs="宋体"/>
                <w:color w:val="auto"/>
                <w:sz w:val="28"/>
                <w:szCs w:val="36"/>
              </w:rPr>
            </w:pPr>
            <w:r>
              <w:rPr>
                <w:rFonts w:hint="eastAsia" w:ascii="宋体" w:hAnsi="宋体" w:cs="宋体"/>
                <w:color w:val="auto"/>
                <w:sz w:val="22"/>
              </w:rPr>
              <w:t xml:space="preserve">投标报价</w:t>
            </w:r>
            <w:r/>
          </w:p>
        </w:tc>
        <w:tc>
          <w:tcPr>
            <w:tcW w:w="1089" w:type="dxa"/>
            <w:vAlign w:val="center"/>
            <w:textDirection w:val="lrTb"/>
            <w:noWrap w:val="false"/>
          </w:tcPr>
          <w:p>
            <w:pPr>
              <w:jc w:val="center"/>
              <w:rPr>
                <w:rFonts w:hint="eastAsia" w:ascii="宋体" w:hAnsi="宋体" w:cs="宋体"/>
                <w:color w:val="auto"/>
                <w:sz w:val="28"/>
                <w:szCs w:val="36"/>
              </w:rPr>
            </w:pPr>
            <w:r>
              <w:rPr>
                <w:rFonts w:hint="eastAsia" w:ascii="宋体" w:hAnsi="宋体" w:cs="宋体"/>
                <w:color w:val="auto"/>
                <w:sz w:val="22"/>
              </w:rPr>
              <w:t xml:space="preserve">10.00分</w:t>
            </w:r>
            <w:r/>
          </w:p>
        </w:tc>
        <w:tc>
          <w:tcPr>
            <w:tcW w:w="6613" w:type="dxa"/>
            <w:vAlign w:val="center"/>
            <w:textDirection w:val="lrTb"/>
            <w:noWrap w:val="false"/>
          </w:tcPr>
          <w:p>
            <w:pPr>
              <w:jc w:val="left"/>
              <w:rPr>
                <w:rFonts w:hint="eastAsia" w:ascii="宋体" w:hAnsi="宋体" w:cs="宋体"/>
                <w:color w:val="auto"/>
                <w:sz w:val="22"/>
              </w:rPr>
            </w:pPr>
            <w:r>
              <w:rPr>
                <w:rFonts w:hint="eastAsia" w:ascii="宋体" w:hAnsi="宋体" w:cs="宋体"/>
                <w:color w:val="auto"/>
                <w:sz w:val="22"/>
              </w:rPr>
              <w:t xml:space="preserve">采用低价优先法计算，即满足招标文件要求且投标价格最低的投标报价为评标基准价，其价格分为满分。其他投标人投标报价得分=（评标基准价/投标报价）*10。</w:t>
            </w:r>
            <w:r/>
          </w:p>
          <w:p>
            <w:pPr>
              <w:jc w:val="left"/>
              <w:rPr>
                <w:rFonts w:hint="eastAsia" w:ascii="宋体" w:hAnsi="宋体" w:cs="宋体"/>
                <w:color w:val="auto"/>
                <w:sz w:val="28"/>
                <w:szCs w:val="28"/>
              </w:rPr>
            </w:pPr>
            <w:r>
              <w:rPr>
                <w:rFonts w:hint="eastAsia" w:ascii="宋体" w:hAnsi="宋体" w:cs="宋体"/>
                <w:b/>
                <w:bCs/>
                <w:color w:val="auto"/>
                <w:sz w:val="22"/>
              </w:rPr>
              <w:t xml:space="preserve">注：符合规定的小微企业（含监狱企业和残疾人福利单位）报价给予10%的扣除，用扣除后的价格参加评审。</w:t>
            </w:r>
            <w:r/>
          </w:p>
        </w:tc>
      </w:tr>
      <w:tr>
        <w:trPr>
          <w:jc w:val="center"/>
          <w:trHeight w:val="205"/>
        </w:trPr>
        <w:tc>
          <w:tcPr>
            <w:tcW w:w="1197" w:type="dxa"/>
            <w:vAlign w:val="center"/>
            <w:textDirection w:val="lrTb"/>
            <w:noWrap w:val="false"/>
          </w:tcPr>
          <w:p>
            <w:pPr>
              <w:jc w:val="center"/>
              <w:rPr>
                <w:rFonts w:hint="eastAsia" w:ascii="宋体" w:hAnsi="宋体" w:cs="宋体"/>
                <w:color w:val="auto"/>
                <w:sz w:val="28"/>
                <w:szCs w:val="36"/>
              </w:rPr>
            </w:pPr>
            <w:r>
              <w:rPr>
                <w:rFonts w:hint="eastAsia" w:ascii="宋体" w:hAnsi="宋体" w:cs="宋体"/>
                <w:color w:val="auto"/>
                <w:sz w:val="22"/>
              </w:rPr>
              <w:t xml:space="preserve">企业业绩</w:t>
            </w:r>
            <w:r/>
          </w:p>
        </w:tc>
        <w:tc>
          <w:tcPr>
            <w:tcW w:w="1089" w:type="dxa"/>
            <w:vAlign w:val="center"/>
            <w:textDirection w:val="lrTb"/>
            <w:noWrap w:val="false"/>
          </w:tcPr>
          <w:p>
            <w:pPr>
              <w:jc w:val="center"/>
              <w:rPr>
                <w:rFonts w:hint="eastAsia" w:ascii="宋体" w:hAnsi="宋体" w:cs="宋体"/>
                <w:color w:val="auto"/>
                <w:sz w:val="28"/>
                <w:szCs w:val="36"/>
              </w:rPr>
            </w:pPr>
            <w:r>
              <w:rPr>
                <w:rFonts w:hint="eastAsia" w:ascii="宋体" w:hAnsi="宋体" w:cs="宋体"/>
                <w:color w:val="auto"/>
                <w:sz w:val="22"/>
              </w:rPr>
              <w:t xml:space="preserve">20.00分</w:t>
            </w:r>
            <w:r/>
          </w:p>
        </w:tc>
        <w:tc>
          <w:tcPr>
            <w:tcW w:w="6613" w:type="dxa"/>
            <w:vAlign w:val="center"/>
            <w:textDirection w:val="lrTb"/>
            <w:noWrap w:val="false"/>
          </w:tcPr>
          <w:p>
            <w:pPr>
              <w:jc w:val="left"/>
              <w:rPr>
                <w:rFonts w:hint="eastAsia" w:ascii="宋体" w:hAnsi="宋体" w:cs="宋体"/>
                <w:color w:val="auto"/>
                <w:sz w:val="22"/>
              </w:rPr>
            </w:pPr>
            <w:r>
              <w:rPr>
                <w:rFonts w:hint="eastAsia" w:ascii="宋体" w:hAnsi="宋体" w:cs="宋体"/>
                <w:color w:val="auto"/>
                <w:sz w:val="22"/>
              </w:rPr>
              <w:t xml:space="preserve">投标人自2023年1月1日以来（以合同签订时间为准）承担过类似项目业绩的，每有一个得4分，最高得20分。</w:t>
            </w:r>
            <w:r/>
          </w:p>
          <w:p>
            <w:pPr>
              <w:jc w:val="left"/>
              <w:rPr>
                <w:rFonts w:hint="eastAsia" w:ascii="宋体" w:hAnsi="宋体" w:cs="宋体"/>
                <w:color w:val="auto"/>
                <w:sz w:val="28"/>
                <w:szCs w:val="36"/>
              </w:rPr>
            </w:pPr>
            <w:r>
              <w:rPr>
                <w:rFonts w:hint="eastAsia" w:ascii="宋体" w:hAnsi="宋体" w:cs="宋体"/>
                <w:b/>
                <w:bCs/>
                <w:color w:val="auto"/>
                <w:sz w:val="22"/>
              </w:rPr>
              <w:t xml:space="preserve">注：提供中标（成交）通知书、合同证明和验收合格材料电子件，未提供或提供不完整不得分。</w:t>
            </w:r>
            <w:r/>
          </w:p>
        </w:tc>
      </w:tr>
      <w:tr>
        <w:trPr>
          <w:jc w:val="center"/>
          <w:trHeight w:val="458"/>
        </w:trPr>
        <w:tc>
          <w:tcPr>
            <w:tcW w:w="1197" w:type="dxa"/>
            <w:vAlign w:val="center"/>
            <w:textDirection w:val="lrTb"/>
            <w:noWrap w:val="false"/>
          </w:tcPr>
          <w:p>
            <w:pPr>
              <w:jc w:val="center"/>
              <w:rPr>
                <w:rFonts w:hint="eastAsia" w:ascii="宋体" w:hAnsi="宋体" w:cs="宋体"/>
                <w:color w:val="auto"/>
                <w:sz w:val="28"/>
                <w:szCs w:val="36"/>
              </w:rPr>
            </w:pPr>
            <w:r>
              <w:rPr>
                <w:rFonts w:hint="eastAsia" w:ascii="宋体" w:hAnsi="宋体" w:cs="宋体"/>
                <w:color w:val="auto"/>
                <w:sz w:val="22"/>
              </w:rPr>
              <w:t xml:space="preserve">项目组人员</w:t>
            </w:r>
            <w:r/>
          </w:p>
        </w:tc>
        <w:tc>
          <w:tcPr>
            <w:tcW w:w="1089" w:type="dxa"/>
            <w:vAlign w:val="center"/>
            <w:textDirection w:val="lrTb"/>
            <w:noWrap w:val="false"/>
          </w:tcPr>
          <w:p>
            <w:pPr>
              <w:jc w:val="center"/>
              <w:rPr>
                <w:rFonts w:hint="eastAsia" w:ascii="宋体" w:hAnsi="宋体" w:cs="宋体"/>
                <w:color w:val="auto"/>
                <w:sz w:val="28"/>
                <w:szCs w:val="36"/>
              </w:rPr>
            </w:pPr>
            <w:r>
              <w:rPr>
                <w:rFonts w:hint="eastAsia" w:ascii="宋体" w:hAnsi="宋体" w:cs="宋体"/>
                <w:color w:val="auto"/>
                <w:sz w:val="22"/>
              </w:rPr>
              <w:t xml:space="preserve">1</w:t>
            </w:r>
            <w:r>
              <w:rPr>
                <w:rFonts w:hint="eastAsia" w:ascii="宋体" w:hAnsi="宋体" w:cs="宋体"/>
                <w:color w:val="auto"/>
                <w:sz w:val="22"/>
                <w:lang w:val="en-US" w:eastAsia="zh-CN"/>
              </w:rPr>
              <w:t xml:space="preserve">6</w:t>
            </w:r>
            <w:r>
              <w:rPr>
                <w:rFonts w:hint="eastAsia" w:ascii="宋体" w:hAnsi="宋体" w:cs="宋体"/>
                <w:color w:val="auto"/>
                <w:sz w:val="22"/>
              </w:rPr>
              <w:t xml:space="preserve">.00分</w:t>
            </w:r>
            <w:r/>
          </w:p>
        </w:tc>
        <w:tc>
          <w:tcPr>
            <w:tcW w:w="6613" w:type="dxa"/>
            <w:vAlign w:val="center"/>
            <w:textDirection w:val="lrTb"/>
            <w:noWrap w:val="false"/>
          </w:tcPr>
          <w:p>
            <w:pPr>
              <w:jc w:val="left"/>
              <w:rPr>
                <w:rFonts w:hint="eastAsia" w:ascii="宋体" w:hAnsi="宋体" w:cs="宋体"/>
                <w:color w:val="auto"/>
                <w:sz w:val="22"/>
              </w:rPr>
            </w:pPr>
            <w:r>
              <w:rPr>
                <w:rFonts w:hint="eastAsia" w:ascii="宋体" w:hAnsi="宋体" w:cs="宋体"/>
                <w:color w:val="auto"/>
                <w:sz w:val="22"/>
              </w:rPr>
              <w:t xml:space="preserve">1、投标人拟派项目负责人具有电子信息类高级工程师职称或持有软考高级资格证书的，得</w:t>
            </w:r>
            <w:r>
              <w:rPr>
                <w:rFonts w:hint="eastAsia" w:ascii="宋体" w:hAnsi="宋体" w:cs="宋体"/>
                <w:color w:val="auto"/>
                <w:sz w:val="22"/>
                <w:lang w:val="en-US" w:eastAsia="zh-CN"/>
              </w:rPr>
              <w:t xml:space="preserve">4</w:t>
            </w:r>
            <w:r>
              <w:rPr>
                <w:rFonts w:hint="eastAsia" w:ascii="宋体" w:hAnsi="宋体" w:cs="宋体"/>
                <w:color w:val="auto"/>
                <w:sz w:val="22"/>
              </w:rPr>
              <w:t xml:space="preserve">分。</w:t>
            </w:r>
            <w:r/>
          </w:p>
          <w:p>
            <w:pPr>
              <w:jc w:val="left"/>
              <w:rPr>
                <w:rFonts w:hint="eastAsia" w:ascii="宋体" w:hAnsi="宋体" w:cs="宋体"/>
                <w:color w:val="auto"/>
                <w:sz w:val="22"/>
              </w:rPr>
            </w:pPr>
            <w:r>
              <w:rPr>
                <w:rFonts w:hint="eastAsia" w:ascii="宋体" w:hAnsi="宋体" w:cs="宋体"/>
                <w:color w:val="auto"/>
                <w:sz w:val="22"/>
              </w:rPr>
              <w:t xml:space="preserve">2、投标人拟派项目组成员（除项目负责人外）具备以下任意一类证书，每有一类证书得</w:t>
            </w:r>
            <w:r>
              <w:rPr>
                <w:rFonts w:hint="default" w:ascii="宋体" w:hAnsi="宋体" w:cs="宋体"/>
                <w:color w:val="auto"/>
                <w:sz w:val="22"/>
                <w:lang w:val="en-US"/>
              </w:rPr>
              <w:t xml:space="preserve">3</w:t>
            </w:r>
            <w:r>
              <w:rPr>
                <w:rFonts w:hint="eastAsia" w:ascii="宋体" w:hAnsi="宋体" w:cs="宋体"/>
                <w:color w:val="auto"/>
                <w:sz w:val="22"/>
              </w:rPr>
              <w:t xml:space="preserve">分，本项最高得12分：</w:t>
            </w:r>
            <w:r/>
          </w:p>
          <w:p>
            <w:pPr>
              <w:jc w:val="left"/>
              <w:rPr>
                <w:rFonts w:hint="eastAsia" w:ascii="宋体" w:hAnsi="宋体" w:cs="宋体"/>
                <w:color w:val="auto"/>
                <w:sz w:val="22"/>
              </w:rPr>
            </w:pPr>
            <w:r>
              <w:rPr>
                <w:rFonts w:hint="eastAsia" w:ascii="宋体" w:hAnsi="宋体" w:cs="宋体"/>
                <w:color w:val="auto"/>
                <w:sz w:val="22"/>
              </w:rPr>
              <w:t xml:space="preserve">（1）信息安全类：软考中级《信息安全工程师》；</w:t>
            </w:r>
            <w:r/>
          </w:p>
          <w:p>
            <w:pPr>
              <w:jc w:val="left"/>
              <w:rPr>
                <w:rFonts w:hint="eastAsia" w:ascii="宋体" w:hAnsi="宋体" w:cs="宋体"/>
                <w:color w:val="auto"/>
                <w:sz w:val="22"/>
              </w:rPr>
            </w:pPr>
            <w:r>
              <w:rPr>
                <w:rFonts w:hint="eastAsia" w:ascii="宋体" w:hAnsi="宋体" w:cs="宋体"/>
                <w:color w:val="auto"/>
                <w:sz w:val="22"/>
              </w:rPr>
              <w:t xml:space="preserve">（2）系统开发类：软考中级《软件设计师》《嵌入式系统设计师》；</w:t>
            </w:r>
            <w:r/>
          </w:p>
          <w:p>
            <w:pPr>
              <w:jc w:val="left"/>
              <w:rPr>
                <w:rFonts w:hint="eastAsia" w:ascii="宋体" w:hAnsi="宋体" w:cs="宋体"/>
                <w:color w:val="auto"/>
                <w:sz w:val="22"/>
              </w:rPr>
            </w:pPr>
            <w:r>
              <w:rPr>
                <w:rFonts w:hint="eastAsia" w:ascii="宋体" w:hAnsi="宋体" w:cs="宋体"/>
                <w:color w:val="auto"/>
                <w:sz w:val="22"/>
              </w:rPr>
              <w:t xml:space="preserve">（3）IT运维管理类：软考中级《信息系统管理工程师》《信息技术支持工程师》。</w:t>
            </w:r>
            <w:r/>
          </w:p>
          <w:p>
            <w:pPr>
              <w:jc w:val="left"/>
              <w:rPr>
                <w:rFonts w:hint="eastAsia" w:ascii="宋体" w:hAnsi="宋体" w:cs="宋体"/>
                <w:b/>
                <w:bCs/>
                <w:color w:val="auto"/>
                <w:sz w:val="22"/>
              </w:rPr>
            </w:pPr>
            <w:r>
              <w:rPr>
                <w:rFonts w:hint="eastAsia" w:ascii="宋体" w:hAnsi="宋体" w:cs="宋体"/>
                <w:b/>
                <w:bCs/>
                <w:color w:val="auto"/>
                <w:sz w:val="22"/>
              </w:rPr>
              <w:t xml:space="preserve">注：1. 提供相关证书电子件和2025年11月（含）以来任意一个月投标人为其缴纳的社会保险证明电子件，社保证明以社保主管部门出具的为准，否则不得分。</w:t>
            </w:r>
            <w:r/>
          </w:p>
          <w:p>
            <w:pPr>
              <w:jc w:val="left"/>
              <w:rPr>
                <w:rFonts w:hint="eastAsia" w:ascii="宋体" w:hAnsi="宋体" w:cs="宋体"/>
                <w:color w:val="auto"/>
                <w:sz w:val="28"/>
                <w:szCs w:val="36"/>
              </w:rPr>
            </w:pPr>
            <w:r>
              <w:rPr>
                <w:rFonts w:hint="eastAsia" w:ascii="宋体" w:hAnsi="宋体" w:cs="宋体"/>
                <w:b/>
                <w:bCs/>
                <w:color w:val="auto"/>
                <w:sz w:val="22"/>
              </w:rPr>
              <w:t xml:space="preserve">2. 项目组成员同一人持有多类证书，不重复计分；不同人员持有同一类证书，可分别计分。</w:t>
            </w:r>
            <w:r/>
          </w:p>
        </w:tc>
      </w:tr>
      <w:tr>
        <w:trPr>
          <w:jc w:val="center"/>
          <w:trHeight w:val="255"/>
        </w:trPr>
        <w:tc>
          <w:tcPr>
            <w:tcW w:w="1197" w:type="dxa"/>
            <w:vAlign w:val="center"/>
            <w:textDirection w:val="lrTb"/>
            <w:noWrap w:val="false"/>
          </w:tcPr>
          <w:p>
            <w:pPr>
              <w:jc w:val="center"/>
              <w:rPr>
                <w:rFonts w:hint="eastAsia" w:ascii="宋体" w:hAnsi="宋体" w:cs="宋体"/>
                <w:color w:val="auto"/>
                <w:sz w:val="28"/>
                <w:szCs w:val="36"/>
              </w:rPr>
            </w:pPr>
            <w:r>
              <w:rPr>
                <w:rFonts w:hint="eastAsia" w:ascii="宋体" w:hAnsi="宋体" w:cs="宋体"/>
                <w:color w:val="auto"/>
                <w:sz w:val="22"/>
              </w:rPr>
              <w:t xml:space="preserve">项目需求理解</w:t>
            </w:r>
            <w:r/>
          </w:p>
        </w:tc>
        <w:tc>
          <w:tcPr>
            <w:tcW w:w="1089" w:type="dxa"/>
            <w:vAlign w:val="center"/>
            <w:textDirection w:val="lrTb"/>
            <w:noWrap w:val="false"/>
          </w:tcPr>
          <w:p>
            <w:pPr>
              <w:jc w:val="center"/>
              <w:rPr>
                <w:rFonts w:hint="eastAsia" w:ascii="宋体" w:hAnsi="宋体" w:cs="宋体"/>
                <w:color w:val="auto"/>
                <w:sz w:val="28"/>
                <w:szCs w:val="36"/>
              </w:rPr>
            </w:pPr>
            <w:r>
              <w:rPr>
                <w:rFonts w:hint="eastAsia" w:ascii="宋体" w:hAnsi="宋体" w:cs="宋体"/>
                <w:color w:val="auto"/>
                <w:sz w:val="22"/>
                <w:lang w:val="en-US" w:eastAsia="zh-CN"/>
              </w:rPr>
              <w:t xml:space="preserve">6</w:t>
            </w:r>
            <w:r>
              <w:rPr>
                <w:rFonts w:hint="eastAsia" w:ascii="宋体" w:hAnsi="宋体" w:cs="宋体"/>
                <w:color w:val="auto"/>
                <w:sz w:val="22"/>
              </w:rPr>
              <w:t xml:space="preserve">.00分</w:t>
            </w:r>
            <w:r/>
          </w:p>
        </w:tc>
        <w:tc>
          <w:tcPr>
            <w:tcW w:w="6613" w:type="dxa"/>
            <w:vAlign w:val="center"/>
            <w:textDirection w:val="lrTb"/>
            <w:noWrap w:val="false"/>
          </w:tcPr>
          <w:p>
            <w:pPr>
              <w:jc w:val="left"/>
              <w:rPr>
                <w:rFonts w:hint="eastAsia" w:ascii="宋体" w:hAnsi="宋体" w:cs="宋体"/>
                <w:color w:val="auto"/>
                <w:sz w:val="28"/>
                <w:szCs w:val="36"/>
              </w:rPr>
            </w:pPr>
            <w:r>
              <w:rPr>
                <w:rFonts w:hint="eastAsia" w:ascii="宋体" w:hAnsi="宋体" w:cs="宋体"/>
                <w:color w:val="auto"/>
                <w:sz w:val="22"/>
              </w:rPr>
              <w:t xml:space="preserve">投标人需结合采购人现有运行系统现状、项目背景及本次项目目标，提供详细的系统方案设计说明。方案需体现对项目需求的深度理解，设计的系统方案应具备先进性、前瞻性，能够与采购人现有的</w:t>
            </w:r>
            <w:r>
              <w:rPr>
                <w:rFonts w:hint="eastAsia" w:ascii="宋体" w:hAnsi="宋体" w:cs="宋体"/>
                <w:color w:val="auto"/>
                <w:sz w:val="22"/>
                <w:lang w:val="en-US" w:eastAsia="zh-CN"/>
              </w:rPr>
              <w:t xml:space="preserve">智能</w:t>
            </w:r>
            <w:r>
              <w:rPr>
                <w:rFonts w:hint="eastAsia" w:ascii="宋体" w:hAnsi="宋体" w:cs="宋体"/>
                <w:color w:val="auto"/>
                <w:sz w:val="22"/>
              </w:rPr>
              <w:t xml:space="preserve">城管业务系统实现良好兼容。方案内容详实完整，对项目现状、需求理解全面深入，方案设计的先进性、兼容性优于采购需求的，得</w:t>
            </w:r>
            <w:r>
              <w:rPr>
                <w:rFonts w:hint="eastAsia" w:ascii="宋体" w:hAnsi="宋体" w:cs="宋体"/>
                <w:color w:val="auto"/>
                <w:sz w:val="22"/>
                <w:lang w:val="en-US" w:eastAsia="zh-CN"/>
              </w:rPr>
              <w:t xml:space="preserve">6</w:t>
            </w:r>
            <w:r>
              <w:rPr>
                <w:rFonts w:hint="eastAsia" w:ascii="宋体" w:hAnsi="宋体" w:cs="宋体"/>
                <w:color w:val="auto"/>
                <w:sz w:val="22"/>
              </w:rPr>
              <w:t xml:space="preserve">分；方案内容完整，满足采购需求的，得3分；未提供方案，或方案未响应采购需求、存在重大偏差的，不得分。</w:t>
            </w:r>
            <w:r/>
          </w:p>
        </w:tc>
      </w:tr>
      <w:tr>
        <w:trPr>
          <w:jc w:val="center"/>
          <w:trHeight w:val="154"/>
        </w:trPr>
        <w:tc>
          <w:tcPr>
            <w:tcW w:w="1197" w:type="dxa"/>
            <w:vAlign w:val="center"/>
            <w:textDirection w:val="lrTb"/>
            <w:noWrap w:val="false"/>
          </w:tcPr>
          <w:p>
            <w:pPr>
              <w:jc w:val="center"/>
              <w:rPr>
                <w:rFonts w:hint="eastAsia" w:ascii="宋体" w:hAnsi="宋体" w:cs="宋体"/>
                <w:color w:val="auto"/>
                <w:sz w:val="28"/>
                <w:szCs w:val="36"/>
              </w:rPr>
            </w:pPr>
            <w:r>
              <w:rPr>
                <w:rFonts w:hint="eastAsia" w:ascii="宋体" w:hAnsi="宋体" w:cs="宋体"/>
                <w:color w:val="auto"/>
                <w:sz w:val="22"/>
              </w:rPr>
              <w:t xml:space="preserve">运维服务方案</w:t>
            </w:r>
            <w:r/>
          </w:p>
        </w:tc>
        <w:tc>
          <w:tcPr>
            <w:tcW w:w="1089" w:type="dxa"/>
            <w:vAlign w:val="center"/>
            <w:textDirection w:val="lrTb"/>
            <w:noWrap w:val="false"/>
          </w:tcPr>
          <w:p>
            <w:pPr>
              <w:jc w:val="center"/>
              <w:rPr>
                <w:rFonts w:hint="eastAsia" w:ascii="宋体" w:hAnsi="宋体" w:cs="宋体"/>
                <w:color w:val="auto"/>
                <w:sz w:val="28"/>
                <w:szCs w:val="36"/>
              </w:rPr>
            </w:pPr>
            <w:r>
              <w:rPr>
                <w:rFonts w:hint="eastAsia" w:ascii="宋体" w:hAnsi="宋体" w:cs="宋体"/>
                <w:color w:val="auto"/>
                <w:sz w:val="22"/>
              </w:rPr>
              <w:t xml:space="preserve">6.00分</w:t>
            </w:r>
            <w:r/>
          </w:p>
        </w:tc>
        <w:tc>
          <w:tcPr>
            <w:tcW w:w="6613" w:type="dxa"/>
            <w:vAlign w:val="center"/>
            <w:textDirection w:val="lrTb"/>
            <w:noWrap w:val="false"/>
          </w:tcPr>
          <w:p>
            <w:pPr>
              <w:jc w:val="left"/>
              <w:rPr>
                <w:rFonts w:hint="eastAsia" w:ascii="宋体" w:hAnsi="宋体" w:cs="宋体"/>
                <w:color w:val="auto"/>
                <w:sz w:val="28"/>
                <w:szCs w:val="36"/>
              </w:rPr>
            </w:pPr>
            <w:r>
              <w:rPr>
                <w:rFonts w:hint="eastAsia" w:ascii="宋体" w:hAnsi="宋体" w:cs="宋体"/>
                <w:color w:val="auto"/>
                <w:sz w:val="22"/>
              </w:rPr>
              <w:t xml:space="preserve">投标人需针对采购需求中系统维护的相关要求，设计合理、可行、可落地的运维服务方案。方案应包含运维服务体系、服务流程、故障响应机制、保障措施等内容，确保系统稳定运行。方案内容全面、措施完善、服务保障机制健全，具备较强的可操作性，优于采购需求的，得6分；方案内容完整，满足采购需求的，得3分；未提供方案，或方案未响应采购需求、存在重大偏差的，不得分。</w:t>
            </w:r>
            <w:r/>
          </w:p>
        </w:tc>
      </w:tr>
      <w:tr>
        <w:trPr>
          <w:jc w:val="center"/>
          <w:trHeight w:val="103"/>
        </w:trPr>
        <w:tc>
          <w:tcPr>
            <w:tcW w:w="1197" w:type="dxa"/>
            <w:vAlign w:val="center"/>
            <w:textDirection w:val="lrTb"/>
            <w:noWrap w:val="false"/>
          </w:tcPr>
          <w:p>
            <w:pPr>
              <w:jc w:val="center"/>
              <w:rPr>
                <w:rFonts w:hint="eastAsia" w:ascii="宋体" w:hAnsi="宋体" w:cs="宋体"/>
                <w:color w:val="auto"/>
                <w:sz w:val="28"/>
                <w:szCs w:val="36"/>
              </w:rPr>
            </w:pPr>
            <w:r>
              <w:rPr>
                <w:rFonts w:hint="eastAsia" w:ascii="宋体" w:hAnsi="宋体" w:cs="宋体"/>
                <w:color w:val="auto"/>
                <w:sz w:val="22"/>
              </w:rPr>
              <w:t xml:space="preserve">运维巡检方案</w:t>
            </w:r>
            <w:r/>
          </w:p>
        </w:tc>
        <w:tc>
          <w:tcPr>
            <w:tcW w:w="1089" w:type="dxa"/>
            <w:vAlign w:val="center"/>
            <w:textDirection w:val="lrTb"/>
            <w:noWrap w:val="false"/>
          </w:tcPr>
          <w:p>
            <w:pPr>
              <w:jc w:val="center"/>
              <w:rPr>
                <w:rFonts w:hint="eastAsia" w:ascii="宋体" w:hAnsi="宋体" w:cs="宋体"/>
                <w:color w:val="auto"/>
                <w:sz w:val="28"/>
                <w:szCs w:val="36"/>
              </w:rPr>
            </w:pPr>
            <w:r>
              <w:rPr>
                <w:rFonts w:hint="eastAsia" w:ascii="宋体" w:hAnsi="宋体" w:cs="宋体"/>
                <w:color w:val="auto"/>
                <w:sz w:val="22"/>
              </w:rPr>
              <w:t xml:space="preserve">6.00分</w:t>
            </w:r>
            <w:r/>
          </w:p>
        </w:tc>
        <w:tc>
          <w:tcPr>
            <w:tcW w:w="6613" w:type="dxa"/>
            <w:vAlign w:val="center"/>
            <w:textDirection w:val="lrTb"/>
            <w:noWrap w:val="false"/>
          </w:tcPr>
          <w:p>
            <w:pPr>
              <w:jc w:val="left"/>
              <w:rPr>
                <w:rFonts w:hint="eastAsia" w:ascii="宋体" w:hAnsi="宋体" w:cs="宋体"/>
                <w:color w:val="auto"/>
                <w:sz w:val="28"/>
                <w:szCs w:val="36"/>
              </w:rPr>
            </w:pPr>
            <w:r>
              <w:rPr>
                <w:rFonts w:hint="eastAsia" w:ascii="宋体" w:hAnsi="宋体" w:cs="宋体"/>
                <w:color w:val="auto"/>
                <w:sz w:val="22"/>
              </w:rPr>
              <w:t xml:space="preserve">投标人提供运维巡检方案，巡检体系完整，巡检范围、频次、内容、流程、记录、报告、闭环管理全面详实，针对性强，优于采购需求的，得6分；巡检方案基本完整，具备巡检范围、频次、内容、记录及报告，满足采购需求的，得3分；其他情况不得分。</w:t>
            </w:r>
            <w:r/>
          </w:p>
        </w:tc>
      </w:tr>
      <w:tr>
        <w:trPr>
          <w:jc w:val="center"/>
          <w:trHeight w:val="205"/>
        </w:trPr>
        <w:tc>
          <w:tcPr>
            <w:tcW w:w="1197" w:type="dxa"/>
            <w:vAlign w:val="center"/>
            <w:textDirection w:val="lrTb"/>
            <w:noWrap w:val="false"/>
          </w:tcPr>
          <w:p>
            <w:pPr>
              <w:jc w:val="center"/>
              <w:rPr>
                <w:rFonts w:hint="eastAsia" w:ascii="宋体" w:hAnsi="宋体" w:cs="宋体"/>
                <w:color w:val="auto"/>
                <w:sz w:val="28"/>
                <w:szCs w:val="36"/>
              </w:rPr>
            </w:pPr>
            <w:r>
              <w:rPr>
                <w:rFonts w:hint="eastAsia" w:ascii="宋体" w:hAnsi="宋体" w:cs="宋体"/>
                <w:color w:val="auto"/>
                <w:sz w:val="22"/>
              </w:rPr>
              <w:t xml:space="preserve">运维响应方案</w:t>
            </w:r>
            <w:r/>
          </w:p>
        </w:tc>
        <w:tc>
          <w:tcPr>
            <w:tcW w:w="1089" w:type="dxa"/>
            <w:vAlign w:val="center"/>
            <w:textDirection w:val="lrTb"/>
            <w:noWrap w:val="false"/>
          </w:tcPr>
          <w:p>
            <w:pPr>
              <w:jc w:val="center"/>
              <w:rPr>
                <w:rFonts w:hint="eastAsia" w:ascii="宋体" w:hAnsi="宋体" w:cs="宋体"/>
                <w:color w:val="auto"/>
                <w:sz w:val="28"/>
                <w:szCs w:val="36"/>
              </w:rPr>
            </w:pPr>
            <w:r>
              <w:rPr>
                <w:rFonts w:hint="eastAsia" w:ascii="宋体" w:hAnsi="宋体" w:cs="宋体"/>
                <w:color w:val="auto"/>
                <w:sz w:val="22"/>
              </w:rPr>
              <w:t xml:space="preserve">6.00分</w:t>
            </w:r>
            <w:r/>
          </w:p>
        </w:tc>
        <w:tc>
          <w:tcPr>
            <w:tcW w:w="6613" w:type="dxa"/>
            <w:vAlign w:val="center"/>
            <w:textDirection w:val="lrTb"/>
            <w:noWrap w:val="false"/>
          </w:tcPr>
          <w:p>
            <w:pPr>
              <w:jc w:val="left"/>
              <w:rPr>
                <w:rFonts w:hint="eastAsia" w:ascii="宋体" w:hAnsi="宋体" w:cs="宋体"/>
                <w:color w:val="auto"/>
                <w:sz w:val="28"/>
                <w:szCs w:val="36"/>
              </w:rPr>
            </w:pPr>
            <w:r>
              <w:rPr>
                <w:rFonts w:hint="eastAsia" w:ascii="宋体" w:hAnsi="宋体" w:cs="宋体"/>
                <w:color w:val="auto"/>
                <w:sz w:val="22"/>
              </w:rPr>
              <w:t xml:space="preserve">投标人需全力支持运维服务，提供良好的工作保障，根据不同的故障紧急程度，确定响应时间，并提供应对各种故障的应急措施等。优于采购需求的，得6分；满足采购需求的，得3分；其他情况不得分。</w:t>
            </w:r>
            <w:r/>
          </w:p>
        </w:tc>
      </w:tr>
      <w:tr>
        <w:trPr>
          <w:jc w:val="center"/>
          <w:trHeight w:val="205"/>
        </w:trPr>
        <w:tc>
          <w:tcPr>
            <w:tcW w:w="1197" w:type="dxa"/>
            <w:vAlign w:val="center"/>
            <w:textDirection w:val="lrTb"/>
            <w:noWrap w:val="false"/>
          </w:tcPr>
          <w:p>
            <w:pPr>
              <w:jc w:val="center"/>
              <w:rPr>
                <w:rFonts w:hint="eastAsia" w:ascii="宋体" w:hAnsi="宋体" w:cs="宋体"/>
                <w:color w:val="auto"/>
                <w:sz w:val="28"/>
                <w:szCs w:val="36"/>
              </w:rPr>
            </w:pPr>
            <w:r>
              <w:rPr>
                <w:rFonts w:hint="eastAsia" w:ascii="宋体" w:hAnsi="宋体" w:cs="宋体"/>
                <w:color w:val="auto"/>
                <w:sz w:val="22"/>
              </w:rPr>
              <w:t xml:space="preserve">运维应急预案</w:t>
            </w:r>
            <w:r/>
          </w:p>
        </w:tc>
        <w:tc>
          <w:tcPr>
            <w:tcW w:w="1089" w:type="dxa"/>
            <w:vAlign w:val="center"/>
            <w:textDirection w:val="lrTb"/>
            <w:noWrap w:val="false"/>
          </w:tcPr>
          <w:p>
            <w:pPr>
              <w:jc w:val="center"/>
              <w:rPr>
                <w:rFonts w:hint="eastAsia" w:ascii="宋体" w:hAnsi="宋体" w:cs="宋体"/>
                <w:color w:val="auto"/>
                <w:sz w:val="28"/>
                <w:szCs w:val="36"/>
              </w:rPr>
            </w:pPr>
            <w:r>
              <w:rPr>
                <w:rFonts w:hint="eastAsia" w:ascii="宋体" w:hAnsi="宋体" w:cs="宋体"/>
                <w:color w:val="auto"/>
                <w:sz w:val="22"/>
              </w:rPr>
              <w:t xml:space="preserve">6.00分</w:t>
            </w:r>
            <w:r/>
          </w:p>
        </w:tc>
        <w:tc>
          <w:tcPr>
            <w:tcW w:w="6613" w:type="dxa"/>
            <w:vAlign w:val="center"/>
            <w:textDirection w:val="lrTb"/>
            <w:noWrap w:val="false"/>
          </w:tcPr>
          <w:p>
            <w:pPr>
              <w:jc w:val="left"/>
              <w:rPr>
                <w:rFonts w:hint="eastAsia" w:ascii="宋体" w:hAnsi="宋体" w:cs="宋体"/>
                <w:color w:val="auto"/>
                <w:sz w:val="28"/>
                <w:szCs w:val="36"/>
              </w:rPr>
            </w:pPr>
            <w:r>
              <w:rPr>
                <w:rFonts w:hint="eastAsia" w:ascii="宋体" w:hAnsi="宋体" w:cs="宋体"/>
                <w:color w:val="auto"/>
                <w:sz w:val="22"/>
              </w:rPr>
              <w:t xml:space="preserve">投标人需对系统提供预防性维护，建立运维应急预案，对故障及时修复，不能及时修复的要积极主动提出修复方案尽快修复。优于采购需求的，得6分；满足采购需求的，得3分；其他情况不得分。</w:t>
            </w:r>
            <w:r/>
          </w:p>
        </w:tc>
      </w:tr>
      <w:tr>
        <w:trPr>
          <w:jc w:val="center"/>
          <w:trHeight w:val="154"/>
        </w:trPr>
        <w:tc>
          <w:tcPr>
            <w:tcW w:w="1197" w:type="dxa"/>
            <w:vAlign w:val="center"/>
            <w:textDirection w:val="lrTb"/>
            <w:noWrap w:val="false"/>
          </w:tcPr>
          <w:p>
            <w:pPr>
              <w:jc w:val="center"/>
              <w:rPr>
                <w:rFonts w:hint="eastAsia" w:ascii="宋体" w:hAnsi="宋体" w:cs="宋体"/>
                <w:color w:val="auto"/>
                <w:sz w:val="28"/>
                <w:szCs w:val="36"/>
              </w:rPr>
            </w:pPr>
            <w:r>
              <w:rPr>
                <w:rFonts w:hint="eastAsia" w:ascii="宋体" w:hAnsi="宋体" w:cs="宋体"/>
                <w:color w:val="auto"/>
                <w:sz w:val="22"/>
              </w:rPr>
              <w:t xml:space="preserve">驻场人员管理</w:t>
            </w:r>
            <w:r/>
          </w:p>
        </w:tc>
        <w:tc>
          <w:tcPr>
            <w:tcW w:w="1089" w:type="dxa"/>
            <w:vAlign w:val="center"/>
            <w:textDirection w:val="lrTb"/>
            <w:noWrap w:val="false"/>
          </w:tcPr>
          <w:p>
            <w:pPr>
              <w:jc w:val="center"/>
              <w:rPr>
                <w:rFonts w:hint="eastAsia" w:ascii="宋体" w:hAnsi="宋体" w:cs="宋体"/>
                <w:color w:val="auto"/>
                <w:sz w:val="28"/>
                <w:szCs w:val="36"/>
              </w:rPr>
            </w:pPr>
            <w:r>
              <w:rPr>
                <w:rFonts w:hint="eastAsia" w:ascii="宋体" w:hAnsi="宋体" w:cs="宋体"/>
                <w:color w:val="auto"/>
                <w:sz w:val="22"/>
              </w:rPr>
              <w:t xml:space="preserve">6.00分</w:t>
            </w:r>
            <w:r/>
          </w:p>
        </w:tc>
        <w:tc>
          <w:tcPr>
            <w:tcW w:w="6613" w:type="dxa"/>
            <w:vAlign w:val="center"/>
            <w:textDirection w:val="lrTb"/>
            <w:noWrap w:val="false"/>
          </w:tcPr>
          <w:p>
            <w:pPr>
              <w:jc w:val="left"/>
              <w:rPr>
                <w:rFonts w:hint="eastAsia" w:ascii="宋体" w:hAnsi="宋体" w:cs="宋体"/>
                <w:color w:val="auto"/>
                <w:sz w:val="28"/>
                <w:szCs w:val="36"/>
              </w:rPr>
            </w:pPr>
            <w:r>
              <w:rPr>
                <w:rFonts w:hint="eastAsia" w:ascii="宋体" w:hAnsi="宋体" w:cs="宋体"/>
                <w:color w:val="auto"/>
                <w:sz w:val="22"/>
              </w:rPr>
              <w:t xml:space="preserve">投标人建立针对驻场人员的考勤管理、服务质量、运维保障等制度方案。优于采购需求的，得6分；满足采购需求的，得3分；其他情况不得分。</w:t>
            </w:r>
            <w:r/>
          </w:p>
        </w:tc>
      </w:tr>
      <w:tr>
        <w:trPr>
          <w:jc w:val="center"/>
          <w:trHeight w:val="103"/>
        </w:trPr>
        <w:tc>
          <w:tcPr>
            <w:tcW w:w="1197" w:type="dxa"/>
            <w:vAlign w:val="center"/>
            <w:textDirection w:val="lrTb"/>
            <w:noWrap w:val="false"/>
          </w:tcPr>
          <w:p>
            <w:pPr>
              <w:jc w:val="center"/>
              <w:rPr>
                <w:rFonts w:hint="eastAsia" w:ascii="宋体" w:hAnsi="宋体" w:cs="宋体"/>
                <w:color w:val="auto"/>
                <w:sz w:val="28"/>
                <w:szCs w:val="36"/>
              </w:rPr>
            </w:pPr>
            <w:r>
              <w:rPr>
                <w:rFonts w:hint="eastAsia" w:ascii="宋体" w:hAnsi="宋体" w:cs="宋体"/>
                <w:color w:val="auto"/>
                <w:sz w:val="22"/>
              </w:rPr>
              <w:t xml:space="preserve">运维统计报告</w:t>
            </w:r>
            <w:r/>
          </w:p>
        </w:tc>
        <w:tc>
          <w:tcPr>
            <w:tcW w:w="1089" w:type="dxa"/>
            <w:vAlign w:val="center"/>
            <w:textDirection w:val="lrTb"/>
            <w:noWrap w:val="false"/>
          </w:tcPr>
          <w:p>
            <w:pPr>
              <w:jc w:val="center"/>
              <w:rPr>
                <w:rFonts w:hint="eastAsia" w:ascii="宋体" w:hAnsi="宋体" w:cs="宋体"/>
                <w:color w:val="auto"/>
                <w:sz w:val="28"/>
                <w:szCs w:val="36"/>
              </w:rPr>
            </w:pPr>
            <w:r>
              <w:rPr>
                <w:rFonts w:hint="eastAsia" w:ascii="宋体" w:hAnsi="宋体" w:cs="宋体"/>
                <w:color w:val="auto"/>
                <w:sz w:val="22"/>
              </w:rPr>
              <w:t xml:space="preserve">6.00分</w:t>
            </w:r>
            <w:r/>
          </w:p>
        </w:tc>
        <w:tc>
          <w:tcPr>
            <w:tcW w:w="6613" w:type="dxa"/>
            <w:vAlign w:val="center"/>
            <w:textDirection w:val="lrTb"/>
            <w:noWrap w:val="false"/>
          </w:tcPr>
          <w:p>
            <w:pPr>
              <w:jc w:val="left"/>
              <w:rPr>
                <w:rFonts w:hint="eastAsia" w:ascii="宋体" w:hAnsi="宋体" w:cs="宋体"/>
                <w:color w:val="auto"/>
                <w:sz w:val="28"/>
                <w:szCs w:val="36"/>
              </w:rPr>
            </w:pPr>
            <w:r>
              <w:rPr>
                <w:rFonts w:hint="eastAsia" w:ascii="宋体" w:hAnsi="宋体" w:cs="宋体"/>
                <w:color w:val="auto"/>
                <w:sz w:val="22"/>
              </w:rPr>
              <w:t xml:space="preserve">投标人应根据采购人的实际情况，制定并提供包含以下内容的运维统计报告：资产清单、日常运维台账、现场维修服务单等运维相关资料。报告内容完整、详实，覆盖采购人全部运维场景，方案内容优于采购需求的，得 6分；报告内容完整，覆盖采购需求要求的全部核心要素，满足采购需求的，得 3分；报告内容不完整，未满足采购需求，或未提供报告的，不得分。</w:t>
            </w:r>
            <w:r/>
          </w:p>
        </w:tc>
      </w:tr>
      <w:tr>
        <w:trPr>
          <w:jc w:val="center"/>
          <w:trHeight w:val="154"/>
        </w:trPr>
        <w:tc>
          <w:tcPr>
            <w:tcW w:w="1197" w:type="dxa"/>
            <w:vAlign w:val="center"/>
            <w:textDirection w:val="lrTb"/>
            <w:noWrap w:val="false"/>
          </w:tcPr>
          <w:p>
            <w:pPr>
              <w:jc w:val="center"/>
              <w:rPr>
                <w:rFonts w:hint="eastAsia" w:ascii="宋体" w:hAnsi="宋体" w:cs="宋体"/>
                <w:color w:val="auto"/>
                <w:sz w:val="28"/>
                <w:szCs w:val="36"/>
              </w:rPr>
            </w:pPr>
            <w:r>
              <w:rPr>
                <w:rFonts w:hint="eastAsia" w:ascii="宋体" w:hAnsi="宋体" w:cs="宋体"/>
                <w:color w:val="auto"/>
                <w:sz w:val="22"/>
              </w:rPr>
              <w:t xml:space="preserve">人员培训方案</w:t>
            </w:r>
            <w:r/>
          </w:p>
        </w:tc>
        <w:tc>
          <w:tcPr>
            <w:tcW w:w="1089" w:type="dxa"/>
            <w:vAlign w:val="center"/>
            <w:textDirection w:val="lrTb"/>
            <w:noWrap w:val="false"/>
          </w:tcPr>
          <w:p>
            <w:pPr>
              <w:jc w:val="center"/>
              <w:rPr>
                <w:rFonts w:hint="eastAsia" w:ascii="宋体" w:hAnsi="宋体" w:cs="宋体"/>
                <w:color w:val="auto"/>
                <w:sz w:val="28"/>
                <w:szCs w:val="36"/>
              </w:rPr>
            </w:pPr>
            <w:r>
              <w:rPr>
                <w:rFonts w:hint="eastAsia" w:ascii="宋体" w:hAnsi="宋体" w:cs="宋体"/>
                <w:color w:val="auto"/>
                <w:sz w:val="22"/>
              </w:rPr>
              <w:t xml:space="preserve">6.00分</w:t>
            </w:r>
            <w:r/>
          </w:p>
        </w:tc>
        <w:tc>
          <w:tcPr>
            <w:tcW w:w="6613" w:type="dxa"/>
            <w:vAlign w:val="center"/>
            <w:textDirection w:val="lrTb"/>
            <w:noWrap w:val="false"/>
          </w:tcPr>
          <w:p>
            <w:pPr>
              <w:jc w:val="left"/>
              <w:rPr>
                <w:rFonts w:hint="eastAsia" w:ascii="宋体" w:hAnsi="宋体" w:cs="宋体"/>
                <w:color w:val="auto"/>
                <w:sz w:val="28"/>
                <w:szCs w:val="36"/>
              </w:rPr>
            </w:pPr>
            <w:r>
              <w:rPr>
                <w:rFonts w:hint="eastAsia" w:ascii="宋体" w:hAnsi="宋体" w:cs="宋体"/>
                <w:color w:val="auto"/>
                <w:sz w:val="22"/>
              </w:rPr>
              <w:t xml:space="preserve">投标人提供完整的培训方案，内容丰富、实用性强，培训方式具有一定实用性和针对性。优于采购需求的，得6分；满足采购需求的，得3分；其他情况不得分。</w:t>
            </w:r>
            <w:r/>
          </w:p>
        </w:tc>
      </w:tr>
      <w:tr>
        <w:trPr>
          <w:jc w:val="center"/>
          <w:trHeight w:val="156"/>
        </w:trPr>
        <w:tc>
          <w:tcPr>
            <w:tcW w:w="1197" w:type="dxa"/>
            <w:vAlign w:val="center"/>
            <w:textDirection w:val="lrTb"/>
            <w:noWrap w:val="false"/>
          </w:tcPr>
          <w:p>
            <w:pPr>
              <w:jc w:val="center"/>
              <w:rPr>
                <w:rFonts w:hint="eastAsia" w:ascii="宋体" w:hAnsi="宋体" w:cs="宋体"/>
                <w:color w:val="auto"/>
                <w:sz w:val="28"/>
                <w:szCs w:val="36"/>
              </w:rPr>
            </w:pPr>
            <w:r>
              <w:rPr>
                <w:rFonts w:hint="eastAsia" w:ascii="宋体" w:hAnsi="宋体" w:cs="宋体"/>
                <w:color w:val="auto"/>
                <w:sz w:val="22"/>
              </w:rPr>
              <w:t xml:space="preserve">安全保密方案</w:t>
            </w:r>
            <w:r/>
          </w:p>
        </w:tc>
        <w:tc>
          <w:tcPr>
            <w:tcW w:w="1089" w:type="dxa"/>
            <w:vAlign w:val="center"/>
            <w:textDirection w:val="lrTb"/>
            <w:noWrap w:val="false"/>
          </w:tcPr>
          <w:p>
            <w:pPr>
              <w:jc w:val="center"/>
              <w:rPr>
                <w:rFonts w:hint="eastAsia" w:ascii="宋体" w:hAnsi="宋体" w:cs="宋体"/>
                <w:color w:val="auto"/>
                <w:sz w:val="28"/>
                <w:szCs w:val="36"/>
              </w:rPr>
            </w:pPr>
            <w:r>
              <w:rPr>
                <w:rFonts w:hint="eastAsia" w:ascii="宋体" w:hAnsi="宋体" w:cs="宋体"/>
                <w:color w:val="auto"/>
                <w:sz w:val="22"/>
              </w:rPr>
              <w:t xml:space="preserve">6.00分</w:t>
            </w:r>
            <w:r/>
          </w:p>
        </w:tc>
        <w:tc>
          <w:tcPr>
            <w:tcW w:w="6613" w:type="dxa"/>
            <w:vAlign w:val="center"/>
            <w:textDirection w:val="lrTb"/>
            <w:noWrap w:val="false"/>
          </w:tcPr>
          <w:p>
            <w:pPr>
              <w:jc w:val="left"/>
              <w:rPr>
                <w:rFonts w:hint="eastAsia" w:ascii="宋体" w:hAnsi="宋体" w:cs="宋体"/>
                <w:color w:val="auto"/>
                <w:sz w:val="28"/>
                <w:szCs w:val="36"/>
              </w:rPr>
            </w:pPr>
            <w:r>
              <w:rPr>
                <w:rFonts w:hint="eastAsia" w:ascii="宋体" w:hAnsi="宋体" w:cs="宋体"/>
                <w:color w:val="auto"/>
                <w:sz w:val="22"/>
              </w:rPr>
              <w:t xml:space="preserve">投标人对运维过程中接触的所有政务数据、业务信息、点位信息、视频数据、工作资料承担保密责任。优于采购需求的，得6分；满足采购需求的，得3分；其他情况不得分。</w:t>
            </w:r>
            <w:r/>
          </w:p>
        </w:tc>
      </w:tr>
    </w:tbl>
    <w:p>
      <w:pPr>
        <w:ind w:firstLine="482"/>
        <w:rPr>
          <w:rFonts w:hint="eastAsia" w:ascii="宋体" w:hAnsi="宋体" w:cs="宋体"/>
          <w:b/>
          <w:bCs/>
          <w:color w:val="auto"/>
          <w:sz w:val="24"/>
        </w:rPr>
      </w:pPr>
      <w:r>
        <w:rPr>
          <w:rFonts w:hint="eastAsia" w:ascii="宋体" w:hAnsi="宋体" w:cs="宋体"/>
          <w:b/>
          <w:bCs/>
          <w:color w:val="auto"/>
          <w:sz w:val="24"/>
        </w:rPr>
      </w:r>
      <w:r/>
    </w:p>
    <w:p>
      <w:pPr>
        <w:ind w:firstLine="482"/>
        <w:rPr>
          <w:rFonts w:hint="eastAsia" w:ascii="宋体" w:hAnsi="宋体" w:cs="宋体"/>
          <w:bCs/>
          <w:color w:val="auto"/>
          <w:sz w:val="44"/>
        </w:rPr>
      </w:pPr>
      <w:r>
        <w:rPr>
          <w:rFonts w:hint="eastAsia" w:ascii="宋体" w:hAnsi="宋体" w:cs="宋体"/>
          <w:b/>
          <w:bCs/>
          <w:color w:val="auto"/>
          <w:sz w:val="24"/>
        </w:rPr>
        <w:t xml:space="preserve">分包2：评标标准</w:t>
      </w:r>
      <w:r/>
    </w:p>
    <w:tbl>
      <w:tblPr>
        <w:tblStyle w:val="810"/>
        <w:tblW w:w="88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7"/>
        <w:gridCol w:w="1107"/>
        <w:gridCol w:w="6395"/>
      </w:tblGrid>
      <w:tr>
        <w:trPr>
          <w:jc w:val="center"/>
          <w:trHeight w:val="90"/>
        </w:trPr>
        <w:tc>
          <w:tcPr>
            <w:tcW w:w="1397" w:type="dxa"/>
            <w:vAlign w:val="center"/>
            <w:textDirection w:val="lrTb"/>
            <w:noWrap w:val="false"/>
          </w:tcPr>
          <w:p>
            <w:pPr>
              <w:jc w:val="center"/>
              <w:widowControl/>
              <w:rPr>
                <w:rFonts w:hint="eastAsia" w:ascii="宋体" w:hAnsi="宋体" w:cs="宋体"/>
                <w:color w:val="auto"/>
                <w:sz w:val="22"/>
              </w:rPr>
            </w:pPr>
            <w:r>
              <w:rPr>
                <w:rFonts w:hint="eastAsia" w:ascii="宋体" w:hAnsi="宋体" w:cs="宋体"/>
                <w:color w:val="auto"/>
                <w:szCs w:val="24"/>
              </w:rPr>
              <w:t xml:space="preserve">评审因素</w:t>
            </w:r>
            <w:r/>
          </w:p>
        </w:tc>
        <w:tc>
          <w:tcPr>
            <w:tcW w:w="1107" w:type="dxa"/>
            <w:vAlign w:val="center"/>
            <w:textDirection w:val="lrTb"/>
            <w:noWrap w:val="false"/>
          </w:tcPr>
          <w:p>
            <w:pPr>
              <w:jc w:val="center"/>
              <w:widowControl/>
              <w:rPr>
                <w:rFonts w:hint="eastAsia" w:ascii="宋体" w:hAnsi="宋体" w:cs="宋体"/>
                <w:color w:val="auto"/>
                <w:sz w:val="22"/>
              </w:rPr>
            </w:pPr>
            <w:r>
              <w:rPr>
                <w:rFonts w:hint="eastAsia" w:ascii="宋体" w:hAnsi="宋体" w:cs="宋体"/>
                <w:color w:val="auto"/>
                <w:szCs w:val="24"/>
              </w:rPr>
              <w:t xml:space="preserve">分数</w:t>
            </w:r>
            <w:r/>
          </w:p>
        </w:tc>
        <w:tc>
          <w:tcPr>
            <w:tcW w:w="6395" w:type="dxa"/>
            <w:vAlign w:val="center"/>
            <w:textDirection w:val="lrTb"/>
            <w:noWrap w:val="false"/>
          </w:tcPr>
          <w:p>
            <w:pPr>
              <w:jc w:val="center"/>
              <w:widowControl/>
              <w:rPr>
                <w:rFonts w:hint="eastAsia" w:ascii="宋体" w:hAnsi="宋体" w:cs="宋体"/>
                <w:color w:val="auto"/>
                <w:sz w:val="22"/>
              </w:rPr>
            </w:pPr>
            <w:r>
              <w:rPr>
                <w:rFonts w:hint="eastAsia" w:ascii="宋体" w:hAnsi="宋体" w:cs="宋体"/>
                <w:color w:val="auto"/>
                <w:szCs w:val="24"/>
              </w:rPr>
              <w:t xml:space="preserve">评审标准</w:t>
            </w:r>
            <w:r/>
          </w:p>
        </w:tc>
      </w:tr>
      <w:tr>
        <w:trPr>
          <w:jc w:val="center"/>
          <w:trHeight w:val="306"/>
        </w:trPr>
        <w:tc>
          <w:tcPr>
            <w:tcW w:w="1397"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t xml:space="preserve">投标报价</w:t>
            </w:r>
            <w:r/>
          </w:p>
        </w:tc>
        <w:tc>
          <w:tcPr>
            <w:tcW w:w="1107"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t xml:space="preserve">10.00分</w:t>
            </w:r>
            <w:r/>
          </w:p>
        </w:tc>
        <w:tc>
          <w:tcPr>
            <w:tcW w:w="6395" w:type="dxa"/>
            <w:vAlign w:val="center"/>
            <w:textDirection w:val="lrTb"/>
            <w:noWrap w:val="false"/>
          </w:tcPr>
          <w:p>
            <w:pPr>
              <w:jc w:val="left"/>
              <w:rPr>
                <w:rFonts w:hint="eastAsia" w:ascii="宋体" w:hAnsi="宋体" w:cs="宋体"/>
                <w:color w:val="auto"/>
                <w:sz w:val="22"/>
              </w:rPr>
            </w:pPr>
            <w:r>
              <w:rPr>
                <w:rFonts w:hint="eastAsia" w:ascii="宋体" w:hAnsi="宋体" w:cs="宋体"/>
                <w:color w:val="auto"/>
                <w:sz w:val="22"/>
              </w:rPr>
              <w:t xml:space="preserve">采用低价优先法计算，即满足招标文件要求且投标价格最低的投标报价为评标基准价，其价格分为满分。其他投标人投标报价得分=（评标基准价/投标报价）*10。</w:t>
            </w:r>
            <w:r/>
          </w:p>
          <w:p>
            <w:pPr>
              <w:jc w:val="left"/>
              <w:rPr>
                <w:rFonts w:hint="eastAsia" w:ascii="宋体" w:hAnsi="宋体" w:cs="宋体"/>
                <w:color w:val="auto"/>
                <w:sz w:val="22"/>
              </w:rPr>
            </w:pPr>
            <w:r>
              <w:rPr>
                <w:rFonts w:hint="eastAsia" w:ascii="宋体" w:hAnsi="宋体" w:cs="宋体"/>
                <w:b/>
                <w:bCs/>
                <w:color w:val="auto"/>
                <w:sz w:val="22"/>
              </w:rPr>
              <w:t xml:space="preserve">注：符合规定的小微企业（含监狱企业和残疾人福利单位）报价给予10%的扣除，用扣除后的价格参加评审。</w:t>
            </w:r>
            <w:r/>
          </w:p>
        </w:tc>
      </w:tr>
      <w:tr>
        <w:trPr>
          <w:jc w:val="center"/>
          <w:trHeight w:val="205"/>
        </w:trPr>
        <w:tc>
          <w:tcPr>
            <w:tcW w:w="1397"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t xml:space="preserve">企业业绩</w:t>
            </w:r>
            <w:r/>
          </w:p>
        </w:tc>
        <w:tc>
          <w:tcPr>
            <w:tcW w:w="1107"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t xml:space="preserve">20.00分</w:t>
            </w:r>
            <w:r/>
          </w:p>
        </w:tc>
        <w:tc>
          <w:tcPr>
            <w:tcW w:w="6395" w:type="dxa"/>
            <w:vAlign w:val="center"/>
            <w:textDirection w:val="lrTb"/>
            <w:noWrap w:val="false"/>
          </w:tcPr>
          <w:p>
            <w:pPr>
              <w:jc w:val="left"/>
              <w:rPr>
                <w:rFonts w:hint="eastAsia" w:ascii="宋体" w:hAnsi="宋体" w:cs="宋体"/>
                <w:color w:val="auto"/>
                <w:sz w:val="22"/>
              </w:rPr>
            </w:pPr>
            <w:r>
              <w:rPr>
                <w:rFonts w:hint="eastAsia" w:ascii="宋体" w:hAnsi="宋体" w:cs="宋体"/>
                <w:color w:val="auto"/>
                <w:sz w:val="22"/>
              </w:rPr>
              <w:t xml:space="preserve">投标人自2023年1月1日以来（以合同签订时间为准）承担过类似项目业绩的，每有一个得4分，最高得20分。</w:t>
            </w:r>
            <w:r/>
          </w:p>
          <w:p>
            <w:pPr>
              <w:jc w:val="left"/>
              <w:rPr>
                <w:rFonts w:hint="eastAsia" w:ascii="宋体" w:hAnsi="宋体" w:cs="宋体"/>
                <w:color w:val="auto"/>
                <w:sz w:val="22"/>
              </w:rPr>
            </w:pPr>
            <w:r>
              <w:rPr>
                <w:rFonts w:hint="eastAsia" w:ascii="宋体" w:hAnsi="宋体" w:cs="宋体"/>
                <w:b/>
                <w:bCs/>
                <w:color w:val="auto"/>
                <w:sz w:val="22"/>
              </w:rPr>
              <w:t xml:space="preserve">注：提供中标（成交）通知书、合同证明和验收合格材料电子件，未提供或提供不完整不得分。</w:t>
            </w:r>
            <w:r/>
          </w:p>
        </w:tc>
      </w:tr>
      <w:tr>
        <w:trPr>
          <w:jc w:val="center"/>
          <w:trHeight w:val="458"/>
        </w:trPr>
        <w:tc>
          <w:tcPr>
            <w:tcW w:w="1397"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t xml:space="preserve">项目组人员</w:t>
            </w:r>
            <w:r/>
          </w:p>
        </w:tc>
        <w:tc>
          <w:tcPr>
            <w:tcW w:w="1107"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t xml:space="preserve">18.00分</w:t>
            </w:r>
            <w:r/>
          </w:p>
        </w:tc>
        <w:tc>
          <w:tcPr>
            <w:tcW w:w="6395" w:type="dxa"/>
            <w:vAlign w:val="center"/>
            <w:textDirection w:val="lrTb"/>
            <w:noWrap w:val="false"/>
          </w:tcPr>
          <w:p>
            <w:pPr>
              <w:jc w:val="left"/>
              <w:rPr>
                <w:rFonts w:hint="eastAsia" w:ascii="宋体" w:hAnsi="宋体" w:cs="宋体"/>
                <w:color w:val="auto"/>
                <w:sz w:val="22"/>
              </w:rPr>
            </w:pPr>
            <w:r>
              <w:rPr>
                <w:rFonts w:hint="eastAsia" w:ascii="宋体" w:hAnsi="宋体" w:cs="宋体"/>
                <w:color w:val="auto"/>
                <w:sz w:val="22"/>
              </w:rPr>
              <w:t xml:space="preserve">1、投标人拟派项目负责人具有电子信息类高级工程师职称、软考高级资格，提供1个有效证书得</w:t>
            </w:r>
            <w:r>
              <w:rPr>
                <w:rFonts w:hint="eastAsia" w:ascii="宋体" w:hAnsi="宋体" w:cs="宋体"/>
                <w:color w:val="auto"/>
                <w:sz w:val="22"/>
                <w:lang w:val="en-US" w:eastAsia="zh-CN"/>
              </w:rPr>
              <w:t xml:space="preserve">4</w:t>
            </w:r>
            <w:r>
              <w:rPr>
                <w:rFonts w:hint="eastAsia" w:ascii="宋体" w:hAnsi="宋体" w:cs="宋体"/>
                <w:color w:val="auto"/>
                <w:sz w:val="22"/>
              </w:rPr>
              <w:t xml:space="preserve">分，本项最高得4分；</w:t>
            </w:r>
            <w:r/>
          </w:p>
          <w:p>
            <w:pPr>
              <w:jc w:val="left"/>
              <w:rPr>
                <w:rFonts w:hint="eastAsia" w:ascii="宋体" w:hAnsi="宋体" w:cs="宋体"/>
                <w:color w:val="auto"/>
                <w:sz w:val="22"/>
              </w:rPr>
            </w:pPr>
            <w:r>
              <w:rPr>
                <w:rFonts w:hint="eastAsia" w:ascii="宋体" w:hAnsi="宋体" w:cs="宋体"/>
                <w:color w:val="auto"/>
                <w:sz w:val="22"/>
              </w:rPr>
              <w:t xml:space="preserve">2、投标人拟派项目技术负责人具有信息系统项目管理师、</w:t>
            </w:r>
            <w:r>
              <w:rPr>
                <w:rFonts w:hint="eastAsia" w:ascii="宋体" w:hAnsi="宋体" w:cs="宋体"/>
                <w:color w:val="auto"/>
                <w:sz w:val="22"/>
                <w:lang w:val="en-US" w:eastAsia="zh-CN"/>
              </w:rPr>
              <w:t xml:space="preserve">系统规划与管理师</w:t>
            </w:r>
            <w:r>
              <w:rPr>
                <w:rFonts w:hint="eastAsia" w:ascii="宋体" w:hAnsi="宋体" w:cs="宋体"/>
                <w:color w:val="auto"/>
                <w:sz w:val="22"/>
              </w:rPr>
              <w:t xml:space="preserve">（均为软考国家职业资格），</w:t>
            </w:r>
            <w:r>
              <w:rPr>
                <w:rFonts w:hint="eastAsia" w:ascii="宋体" w:hAnsi="宋体" w:cs="宋体"/>
                <w:color w:val="auto"/>
                <w:sz w:val="22"/>
                <w:lang w:val="en-US" w:eastAsia="zh-CN"/>
              </w:rPr>
              <w:t xml:space="preserve">提供</w:t>
            </w:r>
            <w:r>
              <w:rPr>
                <w:rFonts w:hint="eastAsia" w:ascii="宋体" w:hAnsi="宋体" w:cs="宋体"/>
                <w:color w:val="auto"/>
                <w:sz w:val="22"/>
              </w:rPr>
              <w:t xml:space="preserve">1个有效证书得</w:t>
            </w:r>
            <w:r>
              <w:rPr>
                <w:rFonts w:hint="eastAsia" w:ascii="宋体" w:hAnsi="宋体" w:cs="宋体"/>
                <w:color w:val="auto"/>
                <w:sz w:val="22"/>
                <w:lang w:val="en-US" w:eastAsia="zh-CN"/>
              </w:rPr>
              <w:t xml:space="preserve">4</w:t>
            </w:r>
            <w:r>
              <w:rPr>
                <w:rFonts w:hint="eastAsia" w:ascii="宋体" w:hAnsi="宋体" w:cs="宋体"/>
                <w:color w:val="auto"/>
                <w:sz w:val="22"/>
              </w:rPr>
              <w:t xml:space="preserve">分，本项最高得4分；</w:t>
            </w:r>
            <w:r/>
          </w:p>
          <w:p>
            <w:pPr>
              <w:jc w:val="left"/>
              <w:rPr>
                <w:rFonts w:hint="eastAsia" w:ascii="宋体" w:hAnsi="宋体" w:cs="宋体"/>
                <w:color w:val="auto"/>
                <w:sz w:val="22"/>
              </w:rPr>
            </w:pPr>
            <w:r>
              <w:rPr>
                <w:rFonts w:hint="eastAsia" w:ascii="宋体" w:hAnsi="宋体" w:cs="宋体"/>
                <w:color w:val="auto"/>
                <w:sz w:val="22"/>
              </w:rPr>
              <w:t xml:space="preserve">3、投标人拟派项目组成员（除项目负责人、项目技术负责人外）具备以下证书，每一类证书得2分，本项最高得10分：</w:t>
            </w:r>
            <w:r/>
          </w:p>
          <w:p>
            <w:pPr>
              <w:jc w:val="left"/>
              <w:rPr>
                <w:rFonts w:hint="eastAsia" w:ascii="宋体" w:hAnsi="宋体" w:cs="宋体"/>
                <w:color w:val="auto"/>
                <w:sz w:val="22"/>
              </w:rPr>
            </w:pPr>
            <w:r>
              <w:rPr>
                <w:rFonts w:hint="eastAsia" w:ascii="宋体" w:hAnsi="宋体" w:cs="宋体"/>
                <w:color w:val="auto"/>
                <w:sz w:val="22"/>
                <w:lang w:eastAsia="zh-CN"/>
              </w:rPr>
              <w:t xml:space="preserve">（</w:t>
            </w:r>
            <w:r>
              <w:rPr>
                <w:rFonts w:hint="eastAsia" w:ascii="宋体" w:hAnsi="宋体" w:cs="宋体"/>
                <w:color w:val="auto"/>
                <w:sz w:val="22"/>
                <w:lang w:val="en-US" w:eastAsia="zh-CN"/>
              </w:rPr>
              <w:t xml:space="preserve">1）</w:t>
            </w:r>
            <w:r>
              <w:rPr>
                <w:rFonts w:hint="eastAsia" w:ascii="宋体" w:hAnsi="宋体" w:cs="宋体"/>
                <w:color w:val="auto"/>
                <w:sz w:val="22"/>
              </w:rPr>
              <w:t xml:space="preserve">IT运维类：软考中级【信息系统管理工程师、信息技术支持工程师】；</w:t>
            </w:r>
            <w:r/>
          </w:p>
          <w:p>
            <w:pPr>
              <w:jc w:val="left"/>
              <w:rPr>
                <w:rFonts w:hint="eastAsia" w:ascii="宋体" w:hAnsi="宋体" w:cs="宋体"/>
                <w:color w:val="auto"/>
                <w:sz w:val="22"/>
              </w:rPr>
            </w:pPr>
            <w:r>
              <w:rPr>
                <w:rFonts w:hint="eastAsia" w:ascii="宋体" w:hAnsi="宋体" w:cs="宋体"/>
                <w:color w:val="auto"/>
                <w:sz w:val="22"/>
                <w:lang w:eastAsia="zh-CN"/>
              </w:rPr>
              <w:t xml:space="preserve">（</w:t>
            </w:r>
            <w:r>
              <w:rPr>
                <w:rFonts w:hint="eastAsia" w:ascii="宋体" w:hAnsi="宋体" w:cs="宋体"/>
                <w:color w:val="auto"/>
                <w:sz w:val="22"/>
                <w:lang w:val="en-US" w:eastAsia="zh-CN"/>
              </w:rPr>
              <w:t xml:space="preserve">2</w:t>
            </w:r>
            <w:r>
              <w:rPr>
                <w:rFonts w:hint="eastAsia" w:ascii="宋体" w:hAnsi="宋体" w:cs="宋体"/>
                <w:color w:val="auto"/>
                <w:sz w:val="22"/>
                <w:lang w:eastAsia="zh-CN"/>
              </w:rPr>
              <w:t xml:space="preserve">）</w:t>
            </w:r>
            <w:r>
              <w:rPr>
                <w:rFonts w:hint="eastAsia" w:ascii="宋体" w:hAnsi="宋体" w:cs="宋体"/>
                <w:color w:val="auto"/>
                <w:sz w:val="22"/>
              </w:rPr>
              <w:t xml:space="preserve">信息安全类：软考中级【信息安全工程师】；</w:t>
            </w:r>
            <w:r/>
          </w:p>
          <w:p>
            <w:pPr>
              <w:jc w:val="left"/>
              <w:rPr>
                <w:rFonts w:hint="eastAsia" w:ascii="宋体" w:hAnsi="宋体" w:cs="宋体"/>
                <w:color w:val="auto"/>
                <w:sz w:val="22"/>
              </w:rPr>
            </w:pPr>
            <w:r>
              <w:rPr>
                <w:rFonts w:hint="eastAsia" w:ascii="宋体" w:hAnsi="宋体" w:cs="宋体"/>
                <w:color w:val="auto"/>
                <w:sz w:val="22"/>
                <w:lang w:eastAsia="zh-CN"/>
              </w:rPr>
              <w:t xml:space="preserve">（</w:t>
            </w:r>
            <w:r>
              <w:rPr>
                <w:rFonts w:hint="eastAsia" w:ascii="宋体" w:hAnsi="宋体" w:cs="宋体"/>
                <w:color w:val="auto"/>
                <w:sz w:val="22"/>
                <w:lang w:val="en-US" w:eastAsia="zh-CN"/>
              </w:rPr>
              <w:t xml:space="preserve">3</w:t>
            </w:r>
            <w:r>
              <w:rPr>
                <w:rFonts w:hint="eastAsia" w:ascii="宋体" w:hAnsi="宋体" w:cs="宋体"/>
                <w:color w:val="auto"/>
                <w:sz w:val="22"/>
                <w:lang w:eastAsia="zh-CN"/>
              </w:rPr>
              <w:t xml:space="preserve">）</w:t>
            </w:r>
            <w:r>
              <w:rPr>
                <w:rFonts w:hint="eastAsia" w:ascii="宋体" w:hAnsi="宋体" w:cs="宋体"/>
                <w:color w:val="auto"/>
                <w:sz w:val="22"/>
              </w:rPr>
              <w:t xml:space="preserve"> 特种作业类：登高作业操作证、电工特种作业操作证（国家应急管理部门核发，纳入技能类国家职业资格目录）。</w:t>
            </w:r>
            <w:r/>
          </w:p>
          <w:p>
            <w:pPr>
              <w:jc w:val="left"/>
              <w:rPr>
                <w:rFonts w:hint="eastAsia" w:ascii="宋体" w:hAnsi="宋体" w:cs="宋体"/>
                <w:b/>
                <w:bCs/>
                <w:color w:val="auto"/>
                <w:sz w:val="22"/>
              </w:rPr>
            </w:pPr>
            <w:r>
              <w:rPr>
                <w:rFonts w:hint="eastAsia" w:ascii="宋体" w:hAnsi="宋体" w:cs="宋体"/>
                <w:b/>
                <w:bCs/>
                <w:color w:val="auto"/>
                <w:sz w:val="22"/>
                <w:lang w:val="en-US" w:eastAsia="zh-CN"/>
              </w:rPr>
              <w:t xml:space="preserve">注：</w:t>
            </w:r>
            <w:r>
              <w:rPr>
                <w:rFonts w:hint="eastAsia" w:ascii="宋体" w:hAnsi="宋体" w:cs="宋体"/>
                <w:b/>
                <w:bCs/>
                <w:color w:val="auto"/>
                <w:sz w:val="22"/>
              </w:rPr>
              <w:t xml:space="preserve">1.提供相关证书电子件和2025年11月（含）以来任意一个月投标人为其缴纳的社会保险证明电子件，社保证明以社保主管部门出具的为准，否则不得分；</w:t>
            </w:r>
            <w:r/>
          </w:p>
          <w:p>
            <w:pPr>
              <w:jc w:val="left"/>
              <w:rPr>
                <w:rFonts w:hint="eastAsia" w:ascii="宋体" w:hAnsi="宋体" w:cs="宋体"/>
                <w:color w:val="auto"/>
                <w:sz w:val="22"/>
              </w:rPr>
            </w:pPr>
            <w:r>
              <w:rPr>
                <w:rFonts w:hint="eastAsia" w:ascii="宋体" w:hAnsi="宋体" w:cs="宋体"/>
                <w:b/>
                <w:bCs/>
                <w:color w:val="auto"/>
                <w:sz w:val="22"/>
              </w:rPr>
              <w:t xml:space="preserve">2.项目组成员（除项目负责人、项目技术负责人外）同一人具有多个类别证书，不重复计分；不同人员持有同一类证书，可分别计分。</w:t>
            </w:r>
            <w:r/>
          </w:p>
        </w:tc>
      </w:tr>
      <w:tr>
        <w:trPr>
          <w:jc w:val="center"/>
          <w:trHeight w:val="255"/>
        </w:trPr>
        <w:tc>
          <w:tcPr>
            <w:tcW w:w="1397"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t xml:space="preserve">项目需求理解</w:t>
            </w:r>
            <w:r/>
          </w:p>
        </w:tc>
        <w:tc>
          <w:tcPr>
            <w:tcW w:w="1107"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t xml:space="preserve">6.00分</w:t>
            </w:r>
            <w:r/>
          </w:p>
        </w:tc>
        <w:tc>
          <w:tcPr>
            <w:tcW w:w="6395" w:type="dxa"/>
            <w:vAlign w:val="center"/>
            <w:textDirection w:val="lrTb"/>
            <w:noWrap w:val="false"/>
          </w:tcPr>
          <w:p>
            <w:pPr>
              <w:jc w:val="left"/>
              <w:rPr>
                <w:rFonts w:hint="eastAsia" w:ascii="宋体" w:hAnsi="宋体" w:cs="宋体"/>
                <w:color w:val="auto"/>
                <w:sz w:val="22"/>
              </w:rPr>
            </w:pPr>
            <w:r>
              <w:rPr>
                <w:rFonts w:hint="eastAsia" w:ascii="宋体" w:hAnsi="宋体" w:cs="宋体"/>
                <w:color w:val="auto"/>
                <w:sz w:val="22"/>
              </w:rPr>
              <w:t xml:space="preserve">投标人需结合采购人现有运行设备现状、项目背景及本次项目目标，提供详细的方案设计说明。方案设计需具备先进性、前瞻性，能够与采购人现有的硬件支撑平台实现良好兼容。方案内容详实完整，对设备现状、需求理解全面深入，方案的先进性、兼容性优于采购需求的，得6分；方案内容完整，满足采购需求的，得3分；未提供方案，或方案未响应采购需求、存在重大偏差的，不得分。 </w:t>
            </w:r>
            <w:r/>
          </w:p>
        </w:tc>
      </w:tr>
      <w:tr>
        <w:trPr>
          <w:jc w:val="center"/>
          <w:trHeight w:val="154"/>
        </w:trPr>
        <w:tc>
          <w:tcPr>
            <w:tcW w:w="1397"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t xml:space="preserve">运维服务方案</w:t>
            </w:r>
            <w:r/>
          </w:p>
        </w:tc>
        <w:tc>
          <w:tcPr>
            <w:tcW w:w="1107"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t xml:space="preserve">6.00分</w:t>
            </w:r>
            <w:r/>
          </w:p>
        </w:tc>
        <w:tc>
          <w:tcPr>
            <w:tcW w:w="6395" w:type="dxa"/>
            <w:vAlign w:val="center"/>
            <w:textDirection w:val="lrTb"/>
            <w:noWrap w:val="false"/>
          </w:tcPr>
          <w:p>
            <w:pPr>
              <w:jc w:val="left"/>
              <w:rPr>
                <w:rFonts w:hint="eastAsia" w:ascii="宋体" w:hAnsi="宋体" w:cs="宋体"/>
                <w:color w:val="auto"/>
                <w:sz w:val="22"/>
              </w:rPr>
            </w:pPr>
            <w:r>
              <w:rPr>
                <w:rFonts w:hint="eastAsia" w:ascii="宋体" w:hAnsi="宋体" w:cs="宋体"/>
                <w:color w:val="auto"/>
                <w:sz w:val="22"/>
              </w:rPr>
              <w:t xml:space="preserve">投标人需针对采购需求中设备维护的相关要求，设计合理、可行、可落地的运维服务方案。方案应包含设备运维流程、故障响应机制、备件保障措施、定期巡检计划等内容，确保设备稳定运行。方案内容全面、措施完善、服务保障机制健全，具备较强的可操作性，优于采购需求的，得6分；方案内容完整，满足采购需求的，得3分；未提供方案，或方案未响应采购需求、存在重大偏差的，不得分。 </w:t>
            </w:r>
            <w:r/>
          </w:p>
        </w:tc>
      </w:tr>
      <w:tr>
        <w:trPr>
          <w:jc w:val="center"/>
          <w:trHeight w:val="103"/>
        </w:trPr>
        <w:tc>
          <w:tcPr>
            <w:tcW w:w="1397"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t xml:space="preserve">运维巡检方案</w:t>
            </w:r>
            <w:r/>
          </w:p>
        </w:tc>
        <w:tc>
          <w:tcPr>
            <w:tcW w:w="1107"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t xml:space="preserve">6.00分</w:t>
            </w:r>
            <w:r/>
          </w:p>
        </w:tc>
        <w:tc>
          <w:tcPr>
            <w:tcW w:w="6395" w:type="dxa"/>
            <w:vAlign w:val="center"/>
            <w:textDirection w:val="lrTb"/>
            <w:noWrap w:val="false"/>
          </w:tcPr>
          <w:p>
            <w:pPr>
              <w:jc w:val="left"/>
              <w:rPr>
                <w:rFonts w:hint="eastAsia" w:ascii="宋体" w:hAnsi="宋体" w:cs="宋体"/>
                <w:color w:val="auto"/>
                <w:sz w:val="22"/>
              </w:rPr>
            </w:pPr>
            <w:r>
              <w:rPr>
                <w:rFonts w:hint="eastAsia" w:ascii="宋体" w:hAnsi="宋体" w:cs="宋体"/>
                <w:color w:val="auto"/>
                <w:sz w:val="22"/>
              </w:rPr>
              <w:t xml:space="preserve">投标人提供运维巡检方案，巡检体系完整，巡检范围、频次、内容、流程、记录、报告、闭环管理全面详实，针对性强，优于采购需求的，得6分；巡检方案基本完整，具备巡检范围、频次、内容、记录及报告，满足采购需求的，得3分；其他情况不得分。</w:t>
            </w:r>
            <w:r/>
          </w:p>
        </w:tc>
      </w:tr>
      <w:tr>
        <w:trPr>
          <w:jc w:val="center"/>
          <w:trHeight w:val="205"/>
        </w:trPr>
        <w:tc>
          <w:tcPr>
            <w:tcW w:w="1397"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t xml:space="preserve">运维响应方案</w:t>
            </w:r>
            <w:r/>
          </w:p>
        </w:tc>
        <w:tc>
          <w:tcPr>
            <w:tcW w:w="1107"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t xml:space="preserve">6.00分</w:t>
            </w:r>
            <w:r/>
          </w:p>
        </w:tc>
        <w:tc>
          <w:tcPr>
            <w:tcW w:w="6395" w:type="dxa"/>
            <w:vAlign w:val="center"/>
            <w:textDirection w:val="lrTb"/>
            <w:noWrap w:val="false"/>
          </w:tcPr>
          <w:p>
            <w:pPr>
              <w:jc w:val="left"/>
              <w:rPr>
                <w:rFonts w:hint="eastAsia" w:ascii="宋体" w:hAnsi="宋体" w:cs="宋体"/>
                <w:color w:val="auto"/>
                <w:sz w:val="22"/>
              </w:rPr>
            </w:pPr>
            <w:r>
              <w:rPr>
                <w:rFonts w:hint="eastAsia" w:ascii="宋体" w:hAnsi="宋体" w:cs="宋体"/>
                <w:color w:val="auto"/>
                <w:sz w:val="22"/>
              </w:rPr>
              <w:t xml:space="preserve">投标人需全力支持运维服务，提供良好的工作保障，根据不同的故障紧急程度，确定响应时间，并提供应对各种故障的应急措施等。优于采购需求的，得6分；满足采购需求的，得3分；其他情况不得分。</w:t>
            </w:r>
            <w:r/>
          </w:p>
        </w:tc>
      </w:tr>
      <w:tr>
        <w:trPr>
          <w:jc w:val="center"/>
          <w:trHeight w:val="205"/>
        </w:trPr>
        <w:tc>
          <w:tcPr>
            <w:tcW w:w="1397"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t xml:space="preserve">运维应急预案</w:t>
            </w:r>
            <w:r/>
          </w:p>
        </w:tc>
        <w:tc>
          <w:tcPr>
            <w:tcW w:w="1107"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t xml:space="preserve">6.00分</w:t>
            </w:r>
            <w:r/>
          </w:p>
        </w:tc>
        <w:tc>
          <w:tcPr>
            <w:tcW w:w="6395" w:type="dxa"/>
            <w:vAlign w:val="center"/>
            <w:textDirection w:val="lrTb"/>
            <w:noWrap w:val="false"/>
          </w:tcPr>
          <w:p>
            <w:pPr>
              <w:jc w:val="left"/>
              <w:rPr>
                <w:rFonts w:hint="eastAsia" w:ascii="宋体" w:hAnsi="宋体" w:cs="宋体"/>
                <w:color w:val="auto"/>
                <w:sz w:val="22"/>
              </w:rPr>
            </w:pPr>
            <w:r>
              <w:rPr>
                <w:rFonts w:hint="eastAsia" w:ascii="宋体" w:hAnsi="宋体" w:cs="宋体"/>
                <w:color w:val="auto"/>
                <w:sz w:val="22"/>
              </w:rPr>
              <w:t xml:space="preserve">投标人需对设备及系统提供预防性维护，建立运维应急预案，对故障及时修复，不能及时修复的要积极主动提出修复方案尽快修复。优于采购需求的，得6分；满足采购需求的，</w:t>
            </w:r>
            <w:r>
              <w:rPr>
                <w:rStyle w:val="1233"/>
                <w:rFonts w:hint="eastAsia"/>
                <w:color w:val="auto"/>
              </w:rPr>
              <w:t xml:space="preserve">得</w:t>
            </w:r>
            <w:r>
              <w:rPr>
                <w:rFonts w:hint="eastAsia" w:ascii="宋体" w:hAnsi="宋体" w:cs="宋体"/>
                <w:color w:val="auto"/>
                <w:sz w:val="22"/>
              </w:rPr>
              <w:t xml:space="preserve">3分；其他情况不得分。</w:t>
            </w:r>
            <w:r/>
          </w:p>
        </w:tc>
      </w:tr>
      <w:tr>
        <w:trPr>
          <w:jc w:val="center"/>
          <w:trHeight w:val="154"/>
        </w:trPr>
        <w:tc>
          <w:tcPr>
            <w:tcW w:w="1397"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t xml:space="preserve">运维统计报告</w:t>
            </w:r>
            <w:r/>
          </w:p>
        </w:tc>
        <w:tc>
          <w:tcPr>
            <w:tcW w:w="1107"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t xml:space="preserve">6.00分</w:t>
            </w:r>
            <w:r/>
          </w:p>
        </w:tc>
        <w:tc>
          <w:tcPr>
            <w:tcW w:w="6395" w:type="dxa"/>
            <w:vAlign w:val="center"/>
            <w:textDirection w:val="lrTb"/>
            <w:noWrap w:val="false"/>
          </w:tcPr>
          <w:p>
            <w:pPr>
              <w:jc w:val="left"/>
              <w:rPr>
                <w:rFonts w:hint="eastAsia" w:ascii="宋体" w:hAnsi="宋体" w:cs="宋体"/>
                <w:color w:val="auto"/>
                <w:sz w:val="22"/>
              </w:rPr>
            </w:pPr>
            <w:r>
              <w:rPr>
                <w:rFonts w:hint="eastAsia" w:ascii="宋体" w:hAnsi="宋体" w:cs="宋体"/>
                <w:color w:val="auto"/>
                <w:sz w:val="22"/>
              </w:rPr>
              <w:t xml:space="preserve">投标人应根据采购人的实际情况，制定并提供包含以下内容的运维统计报告：资产清单、日常运维台账、现场维修服务单等运维相关资料。报告内容完整、详实，覆盖采购人全部运维场景，方案内容优于采购需求的，得 6分；报告内容完整，覆盖采购需求要求的全部核心要素，满足采购需求的，得 3分；报告内容不完整，未满足采购需求，或未提供报告的，不得分。</w:t>
            </w:r>
            <w:r/>
          </w:p>
        </w:tc>
      </w:tr>
      <w:tr>
        <w:trPr>
          <w:jc w:val="center"/>
          <w:trHeight w:val="103"/>
        </w:trPr>
        <w:tc>
          <w:tcPr>
            <w:tcW w:w="1397"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t xml:space="preserve">服务设备方案</w:t>
            </w:r>
            <w:r/>
          </w:p>
        </w:tc>
        <w:tc>
          <w:tcPr>
            <w:tcW w:w="1107"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t xml:space="preserve">6.00分</w:t>
            </w:r>
            <w:r/>
          </w:p>
        </w:tc>
        <w:tc>
          <w:tcPr>
            <w:tcW w:w="6395" w:type="dxa"/>
            <w:vAlign w:val="center"/>
            <w:textDirection w:val="lrTb"/>
            <w:noWrap w:val="false"/>
          </w:tcPr>
          <w:p>
            <w:pPr>
              <w:jc w:val="left"/>
              <w:rPr>
                <w:rFonts w:hint="eastAsia" w:ascii="宋体" w:hAnsi="宋体" w:cs="宋体"/>
                <w:color w:val="auto"/>
                <w:sz w:val="22"/>
              </w:rPr>
            </w:pPr>
            <w:r>
              <w:rPr>
                <w:rFonts w:hint="eastAsia" w:ascii="宋体" w:hAnsi="宋体" w:cs="宋体"/>
                <w:color w:val="auto"/>
                <w:sz w:val="22"/>
              </w:rPr>
              <w:t xml:space="preserve">投标人应设有设备维护所需的备品备件库，保证核心业务的运行，定期动态更新损坏清单、备品备件清单，并为驻场人员提供运维设备所需的维护工具。优于采购需求的，得6分；满足采购需求的，得3分；其他情况不得分。</w:t>
            </w:r>
            <w:r/>
          </w:p>
        </w:tc>
      </w:tr>
      <w:tr>
        <w:trPr>
          <w:jc w:val="center"/>
          <w:trHeight w:val="154"/>
        </w:trPr>
        <w:tc>
          <w:tcPr>
            <w:tcW w:w="1397"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t xml:space="preserve">人员培训方案</w:t>
            </w:r>
            <w:r/>
          </w:p>
        </w:tc>
        <w:tc>
          <w:tcPr>
            <w:tcW w:w="1107"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t xml:space="preserve">5.00分</w:t>
            </w:r>
            <w:r/>
          </w:p>
        </w:tc>
        <w:tc>
          <w:tcPr>
            <w:tcW w:w="6395" w:type="dxa"/>
            <w:vAlign w:val="center"/>
            <w:textDirection w:val="lrTb"/>
            <w:noWrap w:val="false"/>
          </w:tcPr>
          <w:p>
            <w:pPr>
              <w:jc w:val="left"/>
              <w:rPr>
                <w:rFonts w:hint="eastAsia" w:ascii="宋体" w:hAnsi="宋体" w:cs="宋体"/>
                <w:color w:val="auto"/>
                <w:sz w:val="22"/>
              </w:rPr>
            </w:pPr>
            <w:r>
              <w:rPr>
                <w:rFonts w:hint="eastAsia" w:ascii="宋体" w:hAnsi="宋体" w:cs="宋体"/>
                <w:color w:val="auto"/>
                <w:sz w:val="22"/>
              </w:rPr>
              <w:t xml:space="preserve">投标人提供完整的培训方案，内容丰富、实用性强，培训方式具有一定实用性和针对性。优于采购需求的，得5分；满足采购需求的，得3分；其他情况不得分。</w:t>
            </w:r>
            <w:r/>
          </w:p>
        </w:tc>
      </w:tr>
      <w:tr>
        <w:trPr>
          <w:jc w:val="center"/>
          <w:trHeight w:val="156"/>
        </w:trPr>
        <w:tc>
          <w:tcPr>
            <w:tcW w:w="1397"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t xml:space="preserve">安全保密方案</w:t>
            </w:r>
            <w:r/>
          </w:p>
        </w:tc>
        <w:tc>
          <w:tcPr>
            <w:tcW w:w="1107" w:type="dxa"/>
            <w:vAlign w:val="center"/>
            <w:textDirection w:val="lrTb"/>
            <w:noWrap w:val="false"/>
          </w:tcPr>
          <w:p>
            <w:pPr>
              <w:jc w:val="center"/>
              <w:rPr>
                <w:rFonts w:hint="eastAsia" w:ascii="宋体" w:hAnsi="宋体" w:cs="宋体"/>
                <w:color w:val="auto"/>
                <w:sz w:val="22"/>
              </w:rPr>
            </w:pPr>
            <w:r>
              <w:rPr>
                <w:rFonts w:hint="eastAsia" w:ascii="宋体" w:hAnsi="宋体" w:cs="宋体"/>
                <w:color w:val="auto"/>
                <w:sz w:val="22"/>
              </w:rPr>
              <w:t xml:space="preserve">5.00分</w:t>
            </w:r>
            <w:r/>
          </w:p>
        </w:tc>
        <w:tc>
          <w:tcPr>
            <w:tcW w:w="6395" w:type="dxa"/>
            <w:vAlign w:val="center"/>
            <w:textDirection w:val="lrTb"/>
            <w:noWrap w:val="false"/>
          </w:tcPr>
          <w:p>
            <w:pPr>
              <w:jc w:val="left"/>
              <w:rPr>
                <w:rFonts w:hint="eastAsia" w:ascii="宋体" w:hAnsi="宋体" w:cs="宋体"/>
                <w:color w:val="auto"/>
                <w:sz w:val="22"/>
              </w:rPr>
            </w:pPr>
            <w:r>
              <w:rPr>
                <w:rFonts w:hint="eastAsia" w:ascii="宋体" w:hAnsi="宋体" w:cs="宋体"/>
                <w:color w:val="auto"/>
                <w:sz w:val="22"/>
              </w:rPr>
              <w:t xml:space="preserve">投标人对运维过程中接触的所有政务数据、业务信息、点位信息、视频数据、工作资料承担保密责任。优于采购需求的，得5分；满足采购需求的，得3分；其他情况不得分。</w:t>
            </w:r>
            <w:bookmarkEnd w:id="85"/>
            <w:r/>
          </w:p>
        </w:tc>
      </w:tr>
    </w:tbl>
    <w:p>
      <w:pPr>
        <w:ind w:firstLine="482"/>
        <w:spacing w:after="100" w:afterAutospacing="1" w:line="400" w:lineRule="exact"/>
        <w:rPr>
          <w:rFonts w:hint="eastAsia" w:ascii="宋体" w:hAnsi="宋体" w:cs="宋体"/>
          <w:color w:val="auto"/>
          <w:sz w:val="24"/>
        </w:rPr>
      </w:pPr>
      <w:r>
        <w:rPr>
          <w:rFonts w:hint="eastAsia" w:ascii="宋体" w:hAnsi="宋体" w:cs="宋体"/>
          <w:b/>
          <w:color w:val="auto"/>
          <w:sz w:val="24"/>
        </w:rPr>
        <w:t xml:space="preserve">5、评标结果。</w:t>
      </w:r>
      <w:r>
        <w:rPr>
          <w:rFonts w:hint="eastAsia" w:ascii="宋体" w:hAnsi="宋体" w:cs="宋体"/>
          <w:color w:val="auto"/>
          <w:sz w:val="24"/>
        </w:rPr>
        <w:t xml:space="preserve">评标委员会按照本办法规定推荐中标候选人，并形成评标报告。</w:t>
      </w:r>
      <w:r/>
    </w:p>
    <w:p>
      <w:pPr>
        <w:jc w:val="center"/>
        <w:keepLines/>
        <w:keepNext/>
        <w:pageBreakBefore/>
        <w:rPr>
          <w:rFonts w:hint="eastAsia" w:ascii="宋体" w:hAnsi="宋体" w:cs="宋体"/>
          <w:b/>
          <w:color w:val="auto"/>
          <w:sz w:val="44"/>
          <w:szCs w:val="44"/>
          <w:highlight w:val="white"/>
        </w:rPr>
        <w:outlineLvl w:val="0"/>
      </w:pPr>
      <w:r/>
      <w:bookmarkStart w:id="88" w:name="_Toc7839"/>
      <w:r/>
      <w:bookmarkStart w:id="89" w:name="_Toc31402"/>
      <w:r/>
      <w:bookmarkStart w:id="90" w:name="_Toc81575205"/>
      <w:r/>
      <w:bookmarkStart w:id="91" w:name="_Toc81575168"/>
      <w:r>
        <w:rPr>
          <w:rFonts w:hint="eastAsia" w:ascii="宋体" w:hAnsi="宋体" w:cs="宋体"/>
          <w:bCs/>
          <w:color w:val="auto"/>
          <w:sz w:val="44"/>
          <w:szCs w:val="44"/>
          <w:highlight w:val="white"/>
        </w:rPr>
        <w:t xml:space="preserve">第四章  采购需求</w:t>
      </w:r>
      <w:bookmarkEnd w:id="88"/>
      <w:r/>
      <w:bookmarkEnd w:id="89"/>
      <w:r/>
      <w:bookmarkEnd w:id="90"/>
      <w:r/>
      <w:bookmarkEnd w:id="91"/>
      <w:r/>
      <w:bookmarkEnd w:id="84"/>
      <w:r/>
    </w:p>
    <w:p>
      <w:pPr>
        <w:ind w:firstLine="480"/>
        <w:spacing w:before="120" w:after="120" w:line="360" w:lineRule="auto"/>
        <w:rPr>
          <w:rFonts w:hint="eastAsia" w:ascii="宋体" w:hAnsi="宋体" w:cs="宋体"/>
          <w:color w:val="auto"/>
          <w:sz w:val="24"/>
          <w:szCs w:val="24"/>
        </w:rPr>
      </w:pPr>
      <w:r/>
      <w:bookmarkStart w:id="92" w:name="heading_0"/>
      <w:r/>
      <w:bookmarkStart w:id="93" w:name="_Toc11053"/>
      <w:r/>
      <w:bookmarkStart w:id="94" w:name="_Toc81575206"/>
      <w:r/>
      <w:bookmarkStart w:id="95" w:name="_Toc6018"/>
      <w:r/>
      <w:bookmarkStart w:id="96" w:name="_Toc81575169"/>
      <w:r/>
      <w:bookmarkStart w:id="97" w:name="_Toc81575170"/>
      <w:r/>
      <w:bookmarkStart w:id="98" w:name="_Toc19649"/>
      <w:r/>
      <w:bookmarkStart w:id="99" w:name="_Toc81575207"/>
      <w:r>
        <w:rPr>
          <w:rFonts w:hint="eastAsia" w:ascii="宋体" w:hAnsi="宋体" w:cs="宋体"/>
          <w:color w:val="auto"/>
          <w:sz w:val="24"/>
          <w:szCs w:val="24"/>
        </w:rPr>
        <w:t xml:space="preserve">项目属性：服务类项目</w:t>
      </w:r>
      <w:r/>
    </w:p>
    <w:p>
      <w:pPr>
        <w:ind w:firstLine="480"/>
        <w:spacing w:before="120" w:after="120" w:line="360" w:lineRule="auto"/>
        <w:rPr>
          <w:rFonts w:hint="eastAsia" w:ascii="宋体" w:hAnsi="宋体" w:cs="宋体"/>
          <w:color w:val="auto"/>
          <w:sz w:val="24"/>
          <w:szCs w:val="24"/>
        </w:rPr>
      </w:pPr>
      <w:r>
        <w:rPr>
          <w:rFonts w:hint="eastAsia" w:ascii="宋体" w:hAnsi="宋体" w:cs="宋体"/>
          <w:color w:val="auto"/>
          <w:sz w:val="24"/>
          <w:szCs w:val="24"/>
        </w:rPr>
        <w:t xml:space="preserve">本项目采购标的对应的中小企业划分标准所属行业：</w:t>
      </w:r>
      <w:r>
        <w:rPr>
          <w:rFonts w:hint="eastAsia" w:ascii="宋体" w:hAnsi="宋体" w:cs="宋体"/>
          <w:b/>
          <w:bCs/>
          <w:color w:val="auto"/>
          <w:sz w:val="24"/>
          <w:szCs w:val="24"/>
          <w:u w:val="single"/>
        </w:rPr>
        <w:t xml:space="preserve">软件和信息技术服务业</w:t>
      </w:r>
      <w:r/>
    </w:p>
    <w:p>
      <w:pPr>
        <w:ind w:firstLine="480"/>
        <w:spacing w:before="120" w:after="120" w:line="360" w:lineRule="auto"/>
        <w:rPr>
          <w:rFonts w:hint="eastAsia" w:ascii="宋体" w:hAnsi="宋体" w:cs="宋体"/>
          <w:b/>
          <w:bCs/>
          <w:color w:val="auto"/>
          <w:sz w:val="24"/>
          <w:szCs w:val="24"/>
        </w:rPr>
      </w:pPr>
      <w:r>
        <w:rPr>
          <w:rFonts w:hint="eastAsia" w:ascii="宋体" w:hAnsi="宋体" w:cs="宋体"/>
          <w:color w:val="auto"/>
          <w:sz w:val="24"/>
          <w:szCs w:val="24"/>
        </w:rPr>
        <w:t xml:space="preserve">本项目</w:t>
      </w:r>
      <w:r>
        <w:rPr>
          <w:rFonts w:hint="eastAsia" w:ascii="宋体" w:hAnsi="宋体" w:cs="宋体"/>
          <w:color w:val="auto"/>
          <w:sz w:val="24"/>
          <w:szCs w:val="24"/>
          <w:u w:val="single"/>
        </w:rPr>
        <w:t xml:space="preserve">不接受</w:t>
      </w:r>
      <w:r>
        <w:rPr>
          <w:rFonts w:hint="eastAsia" w:ascii="宋体" w:hAnsi="宋体" w:cs="宋体"/>
          <w:color w:val="auto"/>
          <w:sz w:val="24"/>
          <w:szCs w:val="24"/>
        </w:rPr>
        <w:t xml:space="preserve">（接受/不接受）进口产品。</w:t>
      </w:r>
      <w:r/>
    </w:p>
    <w:p>
      <w:pPr>
        <w:ind w:firstLine="482"/>
        <w:spacing w:line="560" w:lineRule="exact"/>
        <w:rPr>
          <w:rFonts w:hint="eastAsia" w:ascii="宋体" w:hAnsi="宋体" w:cs="宋体"/>
          <w:b/>
          <w:bCs/>
          <w:color w:val="auto"/>
          <w:sz w:val="24"/>
          <w:szCs w:val="24"/>
        </w:rPr>
      </w:pPr>
      <w:r>
        <w:rPr>
          <w:rFonts w:hint="eastAsia" w:ascii="宋体" w:hAnsi="宋体" w:cs="宋体"/>
          <w:b/>
          <w:bCs/>
          <w:color w:val="auto"/>
          <w:sz w:val="24"/>
          <w:szCs w:val="24"/>
        </w:rPr>
        <w:t xml:space="preserve">一、项目概况</w:t>
      </w:r>
      <w:bookmarkEnd w:id="92"/>
      <w:r/>
      <w:r/>
    </w:p>
    <w:p>
      <w:pPr>
        <w:ind w:firstLine="482"/>
        <w:spacing w:line="560" w:lineRule="exact"/>
        <w:rPr>
          <w:rFonts w:hint="eastAsia" w:ascii="宋体" w:hAnsi="宋体" w:cs="宋体"/>
          <w:color w:val="auto"/>
          <w:sz w:val="24"/>
          <w:szCs w:val="24"/>
        </w:rPr>
      </w:pPr>
      <w:r/>
      <w:bookmarkStart w:id="100" w:name="heading_1"/>
      <w:r>
        <w:rPr>
          <w:rFonts w:hint="eastAsia" w:ascii="宋体" w:hAnsi="宋体" w:cs="宋体"/>
          <w:b/>
          <w:bCs/>
          <w:color w:val="auto"/>
          <w:sz w:val="24"/>
          <w:szCs w:val="24"/>
        </w:rPr>
        <w:t xml:space="preserve">分包1：</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1.1项目背景</w:t>
      </w:r>
      <w:bookmarkEnd w:id="100"/>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本项目针对宿迁市城市管理局信息化核心业务系统、配套网络安全设备、终端资源及专项合规服务，解决现有系统设备过保后运维缺失、安全防护能力滞后、业务运行风险突出等问题。通过采购全流程、合规化的运维服务，构建“日常巡检+常态化防护+应急处置+合规保障+驻场支撑”的全生命周期运维体系，保障政务业务连续、稳定、安全运行。</w:t>
      </w:r>
      <w:r/>
    </w:p>
    <w:p>
      <w:pPr>
        <w:ind w:firstLine="480"/>
        <w:spacing w:line="560" w:lineRule="exact"/>
        <w:rPr>
          <w:rFonts w:hint="eastAsia" w:ascii="宋体" w:hAnsi="宋体" w:cs="宋体"/>
          <w:color w:val="auto"/>
          <w:sz w:val="24"/>
          <w:szCs w:val="24"/>
        </w:rPr>
      </w:pPr>
      <w:r/>
      <w:bookmarkStart w:id="101" w:name="heading_2"/>
      <w:r>
        <w:rPr>
          <w:rFonts w:hint="eastAsia" w:ascii="宋体" w:hAnsi="宋体" w:cs="宋体"/>
          <w:color w:val="auto"/>
          <w:sz w:val="24"/>
          <w:szCs w:val="24"/>
        </w:rPr>
        <w:t xml:space="preserve">1.2采购核心目标</w:t>
      </w:r>
      <w:bookmarkEnd w:id="101"/>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保障</w:t>
      </w:r>
      <w:r>
        <w:rPr>
          <w:rFonts w:hint="eastAsia" w:ascii="宋体" w:hAnsi="宋体" w:cs="宋体"/>
          <w:color w:val="auto"/>
          <w:sz w:val="24"/>
          <w:szCs w:val="24"/>
          <w:lang w:val="en-US" w:eastAsia="zh-CN"/>
        </w:rPr>
        <w:t xml:space="preserve">智能</w:t>
      </w:r>
      <w:r>
        <w:rPr>
          <w:rFonts w:hint="eastAsia" w:ascii="宋体" w:hAnsi="宋体" w:cs="宋体"/>
          <w:color w:val="auto"/>
          <w:sz w:val="24"/>
          <w:szCs w:val="24"/>
        </w:rPr>
        <w:t xml:space="preserve">城管相关运维期结束的业务系统全年7×24小时稳定运行，核心业务系统稳定运行，案件流转零中断；</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强化网络安全防护体系，以网络安全设备续保和病毒库/威胁特征库常态化升级为核心，确保所有安全设备防护能力实时覆盖最新安全威胁，杜绝因防护规则滞后导致的安全事件；</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满足国家网络安全等级保护、商用密码管理、数据安全等法律法规合规要求，完成年度专项测评与整改闭环；</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建立标准化运维流程与可量化考核体系，实现运维全流程可追溯、可管控、可验收。</w:t>
      </w:r>
      <w:r/>
    </w:p>
    <w:p>
      <w:pPr>
        <w:ind w:firstLine="480"/>
        <w:spacing w:line="560" w:lineRule="exact"/>
        <w:rPr>
          <w:rFonts w:hint="eastAsia" w:ascii="宋体" w:hAnsi="宋体" w:cs="宋体"/>
          <w:color w:val="auto"/>
          <w:sz w:val="24"/>
          <w:szCs w:val="24"/>
        </w:rPr>
      </w:pPr>
      <w:r/>
      <w:bookmarkStart w:id="102" w:name="heading_3"/>
      <w:r>
        <w:rPr>
          <w:rFonts w:hint="eastAsia" w:ascii="宋体" w:hAnsi="宋体" w:cs="宋体"/>
          <w:color w:val="auto"/>
          <w:sz w:val="24"/>
          <w:szCs w:val="24"/>
        </w:rPr>
        <w:t xml:space="preserve">1.3服务周期</w:t>
      </w:r>
      <w:bookmarkEnd w:id="102"/>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本项目服务周期为1年，自合同签订之日起计算。</w:t>
      </w:r>
      <w:r/>
    </w:p>
    <w:p>
      <w:pPr>
        <w:ind w:firstLine="480"/>
        <w:spacing w:line="560" w:lineRule="exact"/>
        <w:rPr>
          <w:rFonts w:hint="eastAsia" w:ascii="宋体" w:hAnsi="宋体" w:cs="宋体"/>
          <w:color w:val="auto"/>
          <w:sz w:val="24"/>
          <w:szCs w:val="24"/>
        </w:rPr>
      </w:pPr>
      <w:r/>
      <w:bookmarkStart w:id="103" w:name="heading_4"/>
      <w:r>
        <w:rPr>
          <w:rFonts w:hint="eastAsia" w:ascii="宋体" w:hAnsi="宋体" w:cs="宋体"/>
          <w:color w:val="auto"/>
          <w:sz w:val="24"/>
          <w:szCs w:val="24"/>
        </w:rPr>
        <w:t xml:space="preserve">1.4合规依据</w:t>
      </w:r>
      <w:bookmarkEnd w:id="103"/>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所有运维服务严格遵循以下标准规范：</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《中华人民共和国网络安全法》</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《中华人民共和国数据安全法》</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《中华人民共和国个人信息保护法》</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《网络安全等级保护条例》</w:t>
      </w:r>
      <w:r/>
    </w:p>
    <w:p>
      <w:pPr>
        <w:ind w:firstLine="480"/>
        <w:jc w:val="left"/>
        <w:spacing w:line="560" w:lineRule="exact"/>
        <w:rPr>
          <w:rFonts w:hint="eastAsia" w:ascii="宋体" w:hAnsi="宋体" w:cs="宋体"/>
          <w:color w:val="auto"/>
          <w:sz w:val="24"/>
          <w:szCs w:val="24"/>
        </w:rPr>
      </w:pPr>
      <w:r>
        <w:rPr>
          <w:rFonts w:hint="eastAsia" w:ascii="宋体" w:hAnsi="宋体" w:cs="宋体"/>
          <w:color w:val="auto"/>
          <w:sz w:val="24"/>
          <w:szCs w:val="24"/>
        </w:rPr>
        <w:t xml:space="preserve">《信息安全技术网络安全等级保护基本要求（GB/T22239）</w:t>
      </w:r>
      <w:r/>
    </w:p>
    <w:p>
      <w:pPr>
        <w:ind w:firstLine="480"/>
        <w:jc w:val="left"/>
        <w:spacing w:line="560" w:lineRule="exact"/>
        <w:rPr>
          <w:rFonts w:hint="eastAsia" w:ascii="宋体" w:hAnsi="宋体" w:cs="宋体"/>
          <w:color w:val="auto"/>
          <w:sz w:val="24"/>
          <w:szCs w:val="24"/>
        </w:rPr>
      </w:pPr>
      <w:r>
        <w:rPr>
          <w:rFonts w:hint="eastAsia" w:ascii="宋体" w:hAnsi="宋体" w:cs="宋体"/>
          <w:color w:val="auto"/>
          <w:sz w:val="24"/>
          <w:szCs w:val="24"/>
        </w:rPr>
        <w:t xml:space="preserve">《信息安全技术信息系统密码应用基本要求（GB/T39786）</w:t>
      </w:r>
      <w:r/>
    </w:p>
    <w:p>
      <w:pPr>
        <w:ind w:firstLine="482"/>
        <w:spacing w:line="560" w:lineRule="exact"/>
        <w:rPr>
          <w:rFonts w:hint="eastAsia" w:ascii="宋体" w:hAnsi="宋体" w:cs="宋体"/>
          <w:color w:val="auto"/>
          <w:sz w:val="24"/>
          <w:szCs w:val="24"/>
        </w:rPr>
      </w:pPr>
      <w:r/>
      <w:bookmarkStart w:id="104" w:name="heading_5"/>
      <w:r>
        <w:rPr>
          <w:rFonts w:hint="eastAsia" w:ascii="宋体" w:hAnsi="宋体" w:cs="宋体"/>
          <w:b/>
          <w:bCs/>
          <w:color w:val="auto"/>
          <w:sz w:val="24"/>
          <w:szCs w:val="24"/>
        </w:rPr>
        <w:t xml:space="preserve">分包2：</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1.1项目背景</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本项目针对宿迁市核心城区已建成的智慧城管视频监控系统、物联网井盖系统及配套前端设备，解决现有设备过保后运维缺失、故障率高、在线率下降等问题。前端设备规模包括666路视频监控摄像头、150个喊话音箱、2371个物联网井盖传感器，覆盖宿城区、宿豫区、经开区等核心区域。通过采购全流程、标准化、可考核的硬件运维服务，构建“日常巡检+故障快修+应急保障+点位迁移+备件供应”的全生命周期运维体系，保障前端感知设备全年稳定、高效运行，支撑城市管理业务正常开展。</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1.2采购核心目标</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保障视频监控前端设备全年在线率≥95%，物联网井盖网关设备在线率≥95%；</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建立故障快速响应与修复机制，前端及网关设备离线修复时间≤24小时；</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提供喊话音响设备的常态化维护，确保指挥调度语音功能正常；</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建立物联网井盖传感器备件库，保障传感器故障</w:t>
      </w:r>
      <w:r>
        <w:rPr>
          <w:rFonts w:hint="eastAsia" w:ascii="宋体" w:hAnsi="宋体" w:cs="宋体"/>
          <w:color w:val="auto"/>
          <w:sz w:val="24"/>
          <w:szCs w:val="24"/>
          <w:lang w:val="en-US" w:eastAsia="zh-CN"/>
        </w:rPr>
        <w:t xml:space="preserve">及</w:t>
      </w:r>
      <w:r>
        <w:rPr>
          <w:rFonts w:hint="eastAsia" w:ascii="宋体" w:hAnsi="宋体" w:cs="宋体"/>
          <w:color w:val="auto"/>
          <w:sz w:val="24"/>
          <w:szCs w:val="24"/>
        </w:rPr>
        <w:t xml:space="preserve">时更换；</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提供井盖物联网卡全量管理，确保数据传输链路稳定；</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配合完成市政建设、道路施工等引起的点位迁移与恢复；</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建立标准化运维流程与可量化考核体系，实现运维全流程可追溯、可管控、可验收。</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1.3服务周期</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本项目服务周期为1年，自合同签订之日起计算。</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1.4合规依据</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《中华人民共和国网络安全法》</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《中华人民共和国数据安全法》</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《中华人民共和国个人信息保护法》</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《安全防范视频监控系统运行维护通用要求》（GB/T36552）</w:t>
      </w:r>
      <w:r/>
    </w:p>
    <w:p>
      <w:pPr>
        <w:ind w:firstLine="480"/>
        <w:spacing w:line="560" w:lineRule="exact"/>
        <w:rPr>
          <w:rFonts w:hint="eastAsia" w:ascii="宋体" w:hAnsi="宋体" w:cs="宋体"/>
          <w:b/>
          <w:bCs/>
          <w:color w:val="auto"/>
          <w:sz w:val="24"/>
          <w:szCs w:val="24"/>
        </w:rPr>
      </w:pPr>
      <w:r>
        <w:rPr>
          <w:rFonts w:hint="eastAsia" w:ascii="宋体" w:hAnsi="宋体" w:cs="宋体"/>
          <w:color w:val="auto"/>
          <w:sz w:val="24"/>
          <w:szCs w:val="24"/>
        </w:rPr>
        <w:t xml:space="preserve">《公共安全视频监控联网系统信息传输、交换、控制技术要求》（GB/T28181）</w:t>
      </w:r>
      <w:r/>
    </w:p>
    <w:p>
      <w:pPr>
        <w:ind w:firstLine="482"/>
        <w:spacing w:line="560" w:lineRule="exact"/>
        <w:rPr>
          <w:rFonts w:hint="eastAsia" w:ascii="宋体" w:hAnsi="宋体" w:cs="宋体"/>
          <w:b/>
          <w:bCs/>
          <w:color w:val="auto"/>
          <w:sz w:val="24"/>
          <w:szCs w:val="24"/>
        </w:rPr>
      </w:pPr>
      <w:r>
        <w:rPr>
          <w:rFonts w:hint="eastAsia" w:ascii="宋体" w:hAnsi="宋体" w:cs="宋体"/>
          <w:b/>
          <w:bCs/>
          <w:color w:val="auto"/>
          <w:sz w:val="24"/>
          <w:szCs w:val="24"/>
        </w:rPr>
        <w:t xml:space="preserve">二、运维服务清单及技术要求</w:t>
      </w:r>
      <w:bookmarkEnd w:id="104"/>
      <w:r/>
      <w:r/>
    </w:p>
    <w:p>
      <w:pPr>
        <w:ind w:firstLine="482"/>
        <w:spacing w:line="560" w:lineRule="exact"/>
        <w:rPr>
          <w:rFonts w:hint="eastAsia" w:ascii="宋体" w:hAnsi="宋体" w:cs="宋体"/>
          <w:b/>
          <w:bCs/>
          <w:color w:val="auto"/>
          <w:sz w:val="24"/>
          <w:szCs w:val="24"/>
        </w:rPr>
      </w:pPr>
      <w:r>
        <w:rPr>
          <w:rFonts w:hint="eastAsia" w:ascii="宋体" w:hAnsi="宋体" w:cs="宋体"/>
          <w:b/>
          <w:bCs/>
          <w:color w:val="auto"/>
          <w:sz w:val="24"/>
          <w:szCs w:val="24"/>
        </w:rPr>
        <w:t xml:space="preserve">分包1：</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本清单为项目采购核心标的，供应商须对所有服务项进行完整响应，不得缺项、漏项、负偏离，所有服务内容均须明确执行标准、交付物与考核指标。</w:t>
      </w:r>
      <w:r/>
    </w:p>
    <w:p>
      <w:pPr>
        <w:ind w:firstLine="480"/>
        <w:spacing w:line="560" w:lineRule="exact"/>
        <w:rPr>
          <w:rFonts w:hint="eastAsia" w:ascii="宋体" w:hAnsi="宋体" w:cs="宋体"/>
          <w:color w:val="auto"/>
          <w:sz w:val="24"/>
          <w:szCs w:val="24"/>
        </w:rPr>
      </w:pPr>
      <w:r/>
      <w:bookmarkStart w:id="105" w:name="heading_6"/>
      <w:r>
        <w:rPr>
          <w:rFonts w:hint="eastAsia" w:ascii="宋体" w:hAnsi="宋体" w:cs="宋体"/>
          <w:color w:val="auto"/>
          <w:sz w:val="24"/>
          <w:szCs w:val="24"/>
        </w:rPr>
        <w:t xml:space="preserve">（一）数字城管业务系统运维</w:t>
      </w:r>
      <w:bookmarkEnd w:id="105"/>
      <w:r/>
      <w:r/>
    </w:p>
    <w:tbl>
      <w:tblPr>
        <w:tblStyle w:val="810"/>
        <w:tblW w:w="9232" w:type="dxa"/>
        <w:tblInd w:w="93" w:type="dxa"/>
        <w:tblLayout w:type="autofit"/>
        <w:tblCellMar>
          <w:left w:w="108" w:type="dxa"/>
          <w:top w:w="0" w:type="dxa"/>
          <w:right w:w="108" w:type="dxa"/>
          <w:bottom w:w="0" w:type="dxa"/>
        </w:tblCellMar>
        <w:tblLook w:val="04A0" w:firstRow="1" w:lastRow="0" w:firstColumn="1" w:lastColumn="0" w:noHBand="0" w:noVBand="1"/>
      </w:tblPr>
      <w:tblGrid>
        <w:gridCol w:w="787"/>
        <w:gridCol w:w="1230"/>
        <w:gridCol w:w="705"/>
        <w:gridCol w:w="705"/>
        <w:gridCol w:w="5805"/>
      </w:tblGrid>
      <w:tr>
        <w:trPr>
          <w:trHeight w:val="325"/>
        </w:trPr>
        <w:tc>
          <w:tcPr>
            <w:tcBorders>
              <w:top w:val="single" w:color="000000" w:sz="8" w:space="0"/>
              <w:left w:val="single" w:color="000000" w:sz="8" w:space="0"/>
              <w:bottom w:val="single" w:color="auto" w:sz="4" w:space="0"/>
              <w:right w:val="single" w:color="000000" w:sz="8" w:space="0"/>
            </w:tcBorders>
            <w:tcW w:w="787" w:type="dxa"/>
            <w:vAlign w:val="center"/>
            <w:textDirection w:val="lrTb"/>
            <w:noWrap w:val="false"/>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序号</w:t>
            </w:r>
            <w:r/>
          </w:p>
        </w:tc>
        <w:tc>
          <w:tcPr>
            <w:tcBorders>
              <w:top w:val="single" w:color="000000" w:sz="8" w:space="0"/>
              <w:left w:val="none" w:color="000000" w:sz="4" w:space="0"/>
              <w:bottom w:val="single" w:color="auto" w:sz="4" w:space="0"/>
              <w:right w:val="single" w:color="000000" w:sz="8" w:space="0"/>
            </w:tcBorders>
            <w:tcW w:w="1230" w:type="dxa"/>
            <w:vAlign w:val="center"/>
            <w:textDirection w:val="lrTb"/>
            <w:noWrap w:val="false"/>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系统名称</w:t>
            </w:r>
            <w:r/>
          </w:p>
        </w:tc>
        <w:tc>
          <w:tcPr>
            <w:tcBorders>
              <w:top w:val="single" w:color="000000" w:sz="8" w:space="0"/>
              <w:left w:val="none" w:color="000000" w:sz="4" w:space="0"/>
              <w:bottom w:val="single" w:color="auto" w:sz="4" w:space="0"/>
              <w:right w:val="single" w:color="000000" w:sz="8" w:space="0"/>
            </w:tcBorders>
            <w:tcW w:w="705" w:type="dxa"/>
            <w:vAlign w:val="center"/>
            <w:textDirection w:val="lrTb"/>
            <w:noWrap w:val="false"/>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单位</w:t>
            </w:r>
            <w:r/>
          </w:p>
        </w:tc>
        <w:tc>
          <w:tcPr>
            <w:tcBorders>
              <w:top w:val="single" w:color="000000" w:sz="8" w:space="0"/>
              <w:left w:val="none" w:color="000000" w:sz="4" w:space="0"/>
              <w:bottom w:val="single" w:color="auto" w:sz="4" w:space="0"/>
              <w:right w:val="single" w:color="000000" w:sz="8" w:space="0"/>
            </w:tcBorders>
            <w:tcW w:w="705" w:type="dxa"/>
            <w:vAlign w:val="center"/>
            <w:textDirection w:val="lrTb"/>
            <w:noWrap w:val="false"/>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数量</w:t>
            </w:r>
            <w:r/>
          </w:p>
        </w:tc>
        <w:tc>
          <w:tcPr>
            <w:tcBorders>
              <w:top w:val="single" w:color="000000" w:sz="8" w:space="0"/>
              <w:left w:val="none" w:color="000000" w:sz="4" w:space="0"/>
              <w:bottom w:val="single" w:color="auto" w:sz="4" w:space="0"/>
              <w:right w:val="single" w:color="000000" w:sz="8" w:space="0"/>
            </w:tcBorders>
            <w:tcW w:w="5805" w:type="dxa"/>
            <w:vAlign w:val="center"/>
            <w:textDirection w:val="lrTb"/>
            <w:noWrap w:val="false"/>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技术要求</w:t>
            </w:r>
            <w:r/>
          </w:p>
        </w:tc>
      </w:tr>
      <w:tr>
        <w:trPr>
          <w:trHeight w:val="2478"/>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指挥协调系统运维</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套</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投标人须完成项目全量系统提供全周期运维服务，覆盖系统常规运维、全量业务数据全生命周期管理，含城管通与宿慧办APP融合、市域社会治理平台对接、智能案卷派遣等核心模块，以及住建条线与区县特色应用门户对接体系。按照城市管理进社区全流程业务需求，同步完善城管进社区智慧赋能模块；落实日常巡检、故障处置、接口维护、数据保障工作，确保系统稳定运行，配合完成各类检查整改。</w:t>
            </w:r>
            <w:r/>
          </w:p>
        </w:tc>
      </w:tr>
      <w:tr>
        <w:trPr>
          <w:trHeight w:val="1543"/>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综合评价系统运维</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套</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投标人须完成系统全功能模块常态化运维、全周期运行状态监控与巡检，负责考核评价数据更新调整及配套技术性处理，保障城管全环节、全主体监督考核评价体系稳定运行，排查处置数据错乱、指标计算偏差等故障，确保考核结果精准合规，满足城管全流程绩效评价业务需求，服务期内完成两次城市运行管理服务综合评价自评价报告。</w:t>
            </w:r>
            <w:r/>
          </w:p>
        </w:tc>
      </w:tr>
      <w:tr>
        <w:trPr>
          <w:trHeight w:val="90"/>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决策建议系统运维</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套</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投标人须完成决策建议系统全功能模块提供全周期运维服务，覆盖智慧渣土、智慧路灯、垃圾分类等14项“一张图”全模块，落实常态化巡检、故障快速处置、数据对接维护、可视化功能保障，确保系统全时段稳定运行、数据精准同步，配合完成各类监督检查及整改工作。</w:t>
            </w:r>
            <w:r/>
          </w:p>
        </w:tc>
      </w:tr>
      <w:tr>
        <w:trPr>
          <w:trHeight w:val="226"/>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4</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数据汇聚和交换系统运维</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套</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投标人须完成系统全接口、全功能模块常态化运维，负责接口调试测试、功能性检查、性能优化及交换数据常态化更新维护，保障跨层级、跨系统城管业务数据安全稳定交换，排查处置接口调用异常、数据交换丢包等故障，符合政务数据共享安全规范，必须全量配合甲方提出的数据对接需求。</w:t>
            </w:r>
            <w:r/>
          </w:p>
        </w:tc>
      </w:tr>
      <w:tr>
        <w:trPr>
          <w:trHeight w:val="1377"/>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应用维护系统运维</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套</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投标人须完成应用维护系统提供全周期运维，保障应用管理、组织管理、岗位管理、用户管理、登录页配置、授权服务、审计日志及系统支撑服务等模块稳定运行，落实日常巡检、故障处置、权限维护、数据备份与系统适配优化，确保系统自维护、自配置能力正常，支撑业务流程、组织机构、用户权限灵活调整，配合完成检查整改。</w:t>
            </w:r>
            <w:r/>
          </w:p>
        </w:tc>
      </w:tr>
      <w:tr>
        <w:trPr>
          <w:trHeight w:val="1818"/>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6</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沿街商铺管理系统运维</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套</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投标人须完成系统全功能模块常态化运维，保障店铺信息管理、巡查记录、诚信积分与星级评定核心功能及移动端稳定可用，负责系统BUG修复、架构优化、多层级权限适配、数据备份恢复与清洗校验，落实安全加固与合规审计，排查处置各类系统故障，建立应急响应机制，提供日常技术支撑，满足商铺诚信经营管理业务需求。</w:t>
            </w:r>
            <w:r/>
          </w:p>
        </w:tc>
      </w:tr>
      <w:tr>
        <w:trPr>
          <w:trHeight w:val="1695"/>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7</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有害垃圾全链条收集处置创新系统运维</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套</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投标人须完成系统全模块常态化巡检、故障快速处置、功能测试优化、接口调试修复、安全防护升级，定期开展数据整理修复、备份导出，保障有害垃圾全链条闭环监管、垃圾分类全流程智慧管控功能稳定运行，完成省市及第三方平台对接与数据共享，满足宿迁市垃圾分类与有害垃圾监管业务需求，按照国家政策要求，时时调整。</w:t>
            </w:r>
            <w:r/>
          </w:p>
        </w:tc>
      </w:tr>
    </w:tbl>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（二）网络安全设备运维服务</w:t>
      </w:r>
      <w:r/>
    </w:p>
    <w:p>
      <w:pPr>
        <w:ind w:firstLine="480"/>
        <w:spacing w:line="560" w:lineRule="exact"/>
        <w:rPr>
          <w:rFonts w:hint="eastAsia" w:ascii="宋体" w:hAnsi="宋体" w:cs="宋体"/>
          <w:color w:val="auto"/>
          <w:sz w:val="24"/>
          <w:szCs w:val="24"/>
        </w:rPr>
      </w:pPr>
      <w:r>
        <w:rPr>
          <w:rFonts w:ascii="宋体" w:hAnsi="宋体" w:eastAsia="宋体" w:cs="宋体"/>
          <w:color w:val="auto"/>
          <w:sz w:val="24"/>
          <w:szCs w:val="24"/>
        </w:rPr>
        <w:t xml:space="preserve">供应商须利旧采购人</w:t>
      </w:r>
      <w:r>
        <w:rPr>
          <w:rFonts w:hint="eastAsia" w:ascii="宋体" w:hAnsi="宋体" w:cs="宋体"/>
          <w:color w:val="auto"/>
          <w:sz w:val="24"/>
          <w:szCs w:val="24"/>
          <w:lang w:val="en-US" w:eastAsia="zh-CN"/>
        </w:rPr>
        <w:t xml:space="preserve">以下</w:t>
      </w:r>
      <w:r>
        <w:rPr>
          <w:rFonts w:ascii="宋体" w:hAnsi="宋体" w:eastAsia="宋体" w:cs="宋体"/>
          <w:color w:val="auto"/>
          <w:sz w:val="24"/>
          <w:szCs w:val="24"/>
        </w:rPr>
        <w:t xml:space="preserve">存量网络安全设备，不得以此为由额外申请采购新增同类安全硬件；鉴于该设备现阶段仅对接少量存量业务系统，存在业务覆盖盲区，供应商需完成整体组网优化改造，梳理全平台网络拓扑并调整路由、访问控制等相关策略，打通全部业务系统至安全设备的通信通道，同时为每套业务系统配置规范的日志转发规则，完整采集各类操作、登录、告警日志并实时推送至现有网络安全设备，保障日志传输完整不丢失，达成全平台所有业务系统一体化安全管控目标。</w:t>
      </w:r>
      <w:r/>
    </w:p>
    <w:tbl>
      <w:tblPr>
        <w:tblStyle w:val="810"/>
        <w:tblW w:w="9352" w:type="dxa"/>
        <w:tblInd w:w="93" w:type="dxa"/>
        <w:tblLayout w:type="autofit"/>
        <w:tblCellMar>
          <w:left w:w="108" w:type="dxa"/>
          <w:top w:w="0" w:type="dxa"/>
          <w:right w:w="108" w:type="dxa"/>
          <w:bottom w:w="0" w:type="dxa"/>
        </w:tblCellMar>
        <w:tblLook w:val="04A0" w:firstRow="1" w:lastRow="0" w:firstColumn="1" w:lastColumn="0" w:noHBand="0" w:noVBand="1"/>
      </w:tblPr>
      <w:tblGrid>
        <w:gridCol w:w="787"/>
        <w:gridCol w:w="1185"/>
        <w:gridCol w:w="735"/>
        <w:gridCol w:w="750"/>
        <w:gridCol w:w="5895"/>
      </w:tblGrid>
      <w:tr>
        <w:trPr>
          <w:trHeight w:val="312"/>
        </w:trPr>
        <w:tc>
          <w:tcPr>
            <w:tcBorders>
              <w:top w:val="single" w:color="000000" w:sz="8" w:space="0"/>
              <w:left w:val="single" w:color="000000" w:sz="8" w:space="0"/>
              <w:bottom w:val="single" w:color="000000" w:sz="8" w:space="0"/>
              <w:right w:val="single" w:color="000000" w:sz="8" w:space="0"/>
            </w:tcBorders>
            <w:tcW w:w="787" w:type="dxa"/>
            <w:vAlign w:val="center"/>
            <w:textDirection w:val="lrTb"/>
            <w:noWrap w:val="false"/>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序号</w:t>
            </w:r>
            <w:r/>
          </w:p>
        </w:tc>
        <w:tc>
          <w:tcPr>
            <w:tcBorders>
              <w:top w:val="single" w:color="000000" w:sz="8"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设备名称</w:t>
            </w:r>
            <w:r/>
          </w:p>
        </w:tc>
        <w:tc>
          <w:tcPr>
            <w:tcBorders>
              <w:top w:val="single" w:color="000000" w:sz="8" w:space="0"/>
              <w:left w:val="none" w:color="000000" w:sz="4" w:space="0"/>
              <w:bottom w:val="single" w:color="000000" w:sz="8" w:space="0"/>
              <w:right w:val="single" w:color="000000" w:sz="8" w:space="0"/>
            </w:tcBorders>
            <w:tcW w:w="735" w:type="dxa"/>
            <w:vAlign w:val="center"/>
            <w:textDirection w:val="lrTb"/>
            <w:noWrap w:val="false"/>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单位</w:t>
            </w:r>
            <w:r/>
          </w:p>
        </w:tc>
        <w:tc>
          <w:tcPr>
            <w:tcBorders>
              <w:top w:val="single" w:color="000000" w:sz="8" w:space="0"/>
              <w:left w:val="none" w:color="000000" w:sz="4" w:space="0"/>
              <w:bottom w:val="single" w:color="000000" w:sz="8" w:space="0"/>
              <w:right w:val="single" w:color="000000" w:sz="8" w:space="0"/>
            </w:tcBorders>
            <w:tcW w:w="750" w:type="dxa"/>
            <w:vAlign w:val="center"/>
            <w:textDirection w:val="lrTb"/>
            <w:noWrap w:val="false"/>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数量</w:t>
            </w:r>
            <w:r/>
          </w:p>
        </w:tc>
        <w:tc>
          <w:tcPr>
            <w:tcBorders>
              <w:top w:val="single" w:color="000000" w:sz="8" w:space="0"/>
              <w:left w:val="none" w:color="000000" w:sz="4" w:space="0"/>
              <w:bottom w:val="single" w:color="000000" w:sz="8" w:space="0"/>
              <w:right w:val="single" w:color="000000" w:sz="8" w:space="0"/>
            </w:tcBorders>
            <w:tcW w:w="5895" w:type="dxa"/>
            <w:vAlign w:val="center"/>
            <w:textDirection w:val="lrTb"/>
            <w:noWrap w:val="false"/>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技术要求</w:t>
            </w:r>
            <w:r/>
          </w:p>
        </w:tc>
      </w:tr>
      <w:tr>
        <w:trPr>
          <w:trHeight w:val="90"/>
        </w:trPr>
        <w:tc>
          <w:tcPr>
            <w:tcBorders>
              <w:top w:val="none" w:color="000000" w:sz="4" w:space="0"/>
              <w:left w:val="single" w:color="000000" w:sz="8" w:space="0"/>
              <w:bottom w:val="single" w:color="000000" w:sz="8" w:space="0"/>
              <w:right w:val="single" w:color="000000" w:sz="8" w:space="0"/>
            </w:tcBorders>
            <w:tcW w:w="787"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入侵防御系统（IPS）运维</w:t>
            </w:r>
            <w:r/>
          </w:p>
        </w:tc>
        <w:tc>
          <w:tcPr>
            <w:tcBorders>
              <w:top w:val="none" w:color="000000" w:sz="4" w:space="0"/>
              <w:left w:val="none" w:color="000000" w:sz="4" w:space="0"/>
              <w:bottom w:val="single" w:color="000000" w:sz="8" w:space="0"/>
              <w:right w:val="single" w:color="000000" w:sz="8" w:space="0"/>
            </w:tcBorders>
            <w:tcW w:w="73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台</w:t>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5895" w:type="dxa"/>
            <w:vAlign w:val="center"/>
            <w:textDirection w:val="lrTb"/>
            <w:noWrap w:val="false"/>
          </w:tcPr>
          <w:p>
            <w:pPr>
              <w:jc w:val="lef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一、硬件续保与硬件维保</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1.提供硬件续保及维保服务，包含故障维修、备件更换、整机质保，硬件故障4小时内到场处置，8小时无法修复提供备用整机；</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2.保障设备满足吞吐量≥40G、并发连接数≥500万、新建连接数≥40万的性能要求，7×24小时设备状态监测，完成固件安全升级、策略优化、攻击监测与溯源处置，日志留存≥6个月，符合等保合规要求。</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二、核心特征库升级服务</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1.提供正版病毒库、IPS攻击特征库、恶意代码库、勒索病毒特征库等全规则库全年升级授权；</w:t>
            </w:r>
            <w:r/>
          </w:p>
        </w:tc>
      </w:tr>
      <w:tr>
        <w:trPr>
          <w:trHeight w:val="479"/>
        </w:trPr>
        <w:tc>
          <w:tcPr>
            <w:tcBorders>
              <w:top w:val="none" w:color="000000" w:sz="4" w:space="0"/>
              <w:left w:val="single" w:color="000000" w:sz="8" w:space="0"/>
              <w:bottom w:val="single" w:color="000000" w:sz="8" w:space="0"/>
              <w:right w:val="single" w:color="000000" w:sz="8" w:space="0"/>
            </w:tcBorders>
            <w:tcW w:w="787"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2</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入侵检测系统（IDS）运维</w:t>
            </w:r>
            <w:r/>
          </w:p>
        </w:tc>
        <w:tc>
          <w:tcPr>
            <w:tcBorders>
              <w:top w:val="none" w:color="000000" w:sz="4" w:space="0"/>
              <w:left w:val="none" w:color="000000" w:sz="4" w:space="0"/>
              <w:bottom w:val="single" w:color="000000" w:sz="8" w:space="0"/>
              <w:right w:val="single" w:color="000000" w:sz="8" w:space="0"/>
            </w:tcBorders>
            <w:tcW w:w="73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台</w:t>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5895" w:type="dxa"/>
            <w:vAlign w:val="center"/>
            <w:textDirection w:val="lrTb"/>
            <w:noWrap w:val="false"/>
          </w:tcPr>
          <w:p>
            <w:pPr>
              <w:jc w:val="lef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一、</w:t>
            </w:r>
            <w:r>
              <w:rPr>
                <w:rFonts w:hint="eastAsia" w:ascii="宋体" w:hAnsi="宋体" w:cs="宋体"/>
                <w:color w:val="auto"/>
                <w:sz w:val="24"/>
                <w:szCs w:val="24"/>
                <w:lang w:val="en-US" w:eastAsia="zh-CN" w:bidi="ar"/>
              </w:rPr>
              <w:t xml:space="preserve">硬件</w:t>
            </w:r>
            <w:r>
              <w:rPr>
                <w:rFonts w:hint="eastAsia" w:ascii="宋体" w:hAnsi="宋体" w:cs="宋体"/>
                <w:color w:val="auto"/>
                <w:sz w:val="24"/>
                <w:szCs w:val="24"/>
                <w:lang w:bidi="ar"/>
              </w:rPr>
              <w:t xml:space="preserve">续保与硬件维保</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1.提供硬件续保及维保服务，包含故障维修、备件更换、整机质保，硬件故障4小时内到场处置，8小时无法修复提供备用整机；</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2.保障设备满足吞吐量≥20G、并发连接数≥500万、新建连接数≥15万的性能要求，7×24小时设备状态监测，每周现场巡检、月度健康检测，完成固件升级、规则优化、威胁监测与流量分析，日志留存≥6个月，符合等保合规要求。</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二、核心特征库升级服务</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1.提供正版病毒特征库、网络攻击特征库、异常流量规则库等全规则库全年升级授权；</w:t>
            </w:r>
            <w:r/>
          </w:p>
        </w:tc>
      </w:tr>
      <w:tr>
        <w:trPr>
          <w:trHeight w:val="4182"/>
        </w:trPr>
        <w:tc>
          <w:tcPr>
            <w:tcBorders>
              <w:top w:val="none" w:color="000000" w:sz="4" w:space="0"/>
              <w:left w:val="single" w:color="000000" w:sz="8" w:space="0"/>
              <w:bottom w:val="single" w:color="000000" w:sz="8" w:space="0"/>
              <w:right w:val="single" w:color="000000" w:sz="8" w:space="0"/>
            </w:tcBorders>
            <w:tcW w:w="787"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3</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上网行为管理系统运维</w:t>
            </w:r>
            <w:r/>
          </w:p>
        </w:tc>
        <w:tc>
          <w:tcPr>
            <w:tcBorders>
              <w:top w:val="none" w:color="000000" w:sz="4" w:space="0"/>
              <w:left w:val="none" w:color="000000" w:sz="4" w:space="0"/>
              <w:bottom w:val="single" w:color="000000" w:sz="8" w:space="0"/>
              <w:right w:val="single" w:color="000000" w:sz="8" w:space="0"/>
            </w:tcBorders>
            <w:tcW w:w="73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台</w:t>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5895" w:type="dxa"/>
            <w:vAlign w:val="center"/>
            <w:textDirection w:val="lrTb"/>
            <w:noWrap w:val="false"/>
          </w:tcPr>
          <w:p>
            <w:pPr>
              <w:jc w:val="lef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一、</w:t>
            </w:r>
            <w:r>
              <w:rPr>
                <w:rFonts w:hint="eastAsia" w:ascii="宋体" w:hAnsi="宋体" w:cs="宋体"/>
                <w:color w:val="auto"/>
                <w:sz w:val="24"/>
                <w:szCs w:val="24"/>
                <w:lang w:val="en-US" w:eastAsia="zh-CN" w:bidi="ar"/>
              </w:rPr>
              <w:t xml:space="preserve">硬件</w:t>
            </w:r>
            <w:r>
              <w:rPr>
                <w:rFonts w:hint="eastAsia" w:ascii="宋体" w:hAnsi="宋体" w:cs="宋体"/>
                <w:color w:val="auto"/>
                <w:sz w:val="24"/>
                <w:szCs w:val="24"/>
                <w:lang w:bidi="ar"/>
              </w:rPr>
              <w:t xml:space="preserve">续保与硬件维保</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1.提供硬件续保及维保服务，包含故障维修、备件更换、整机质保，硬件故障4小时内到场处置；</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2.保障设备满足内存≥8G、硬盘≥1T、冗余电源、吞吐量≥40G、并发连接数≥1000万、新建连接数≥60万的性能要求，7×24小时设备状态监测，完成上网策略优化、行为审计、带宽管理与违规告警处置，日志留存≥6个月。</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二、核心特征库升级服务</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1.提供正版应用识别特征库、URL分类库、恶意网址库等全规则库全年升级授权；</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2.恶意网址库每日增量升级；应用识别库、URL分类库每月全量升级，突发违规应用/网址24小时内完成增量更新。</w:t>
            </w:r>
            <w:r/>
          </w:p>
        </w:tc>
      </w:tr>
      <w:tr>
        <w:trPr>
          <w:trHeight w:val="3992"/>
        </w:trPr>
        <w:tc>
          <w:tcPr>
            <w:tcBorders>
              <w:top w:val="none" w:color="000000" w:sz="4" w:space="0"/>
              <w:left w:val="single" w:color="000000" w:sz="8" w:space="0"/>
              <w:bottom w:val="single" w:color="auto" w:sz="4" w:space="0"/>
              <w:right w:val="single" w:color="000000" w:sz="8" w:space="0"/>
            </w:tcBorders>
            <w:tcW w:w="787"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4</w:t>
            </w:r>
            <w:r/>
          </w:p>
        </w:tc>
        <w:tc>
          <w:tcPr>
            <w:tcBorders>
              <w:top w:val="none" w:color="000000" w:sz="4" w:space="0"/>
              <w:left w:val="none" w:color="000000" w:sz="4" w:space="0"/>
              <w:bottom w:val="single" w:color="auto" w:sz="4" w:space="0"/>
              <w:right w:val="single" w:color="000000" w:sz="8" w:space="0"/>
            </w:tcBorders>
            <w:tcW w:w="118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日志审计系统运维</w:t>
            </w:r>
            <w:r/>
          </w:p>
        </w:tc>
        <w:tc>
          <w:tcPr>
            <w:tcBorders>
              <w:top w:val="none" w:color="000000" w:sz="4" w:space="0"/>
              <w:left w:val="none" w:color="000000" w:sz="4" w:space="0"/>
              <w:bottom w:val="single" w:color="auto" w:sz="4" w:space="0"/>
              <w:right w:val="single" w:color="000000" w:sz="8" w:space="0"/>
            </w:tcBorders>
            <w:tcW w:w="73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台</w:t>
            </w:r>
            <w:r/>
          </w:p>
        </w:tc>
        <w:tc>
          <w:tcPr>
            <w:tcBorders>
              <w:top w:val="none" w:color="000000" w:sz="4" w:space="0"/>
              <w:left w:val="none" w:color="000000" w:sz="4" w:space="0"/>
              <w:bottom w:val="single" w:color="auto" w:sz="4" w:space="0"/>
              <w:right w:val="single" w:color="000000" w:sz="8" w:space="0"/>
            </w:tcBorders>
            <w:tcW w:w="75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none" w:color="000000" w:sz="4" w:space="0"/>
              <w:left w:val="none" w:color="000000" w:sz="4" w:space="0"/>
              <w:bottom w:val="single" w:color="auto" w:sz="4" w:space="0"/>
              <w:right w:val="single" w:color="000000" w:sz="8" w:space="0"/>
            </w:tcBorders>
            <w:tcW w:w="5895" w:type="dxa"/>
            <w:vAlign w:val="center"/>
            <w:textDirection w:val="lrTb"/>
            <w:noWrap w:val="false"/>
          </w:tcPr>
          <w:p>
            <w:pPr>
              <w:jc w:val="lef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一、</w:t>
            </w:r>
            <w:r>
              <w:rPr>
                <w:rFonts w:hint="eastAsia" w:ascii="宋体" w:hAnsi="宋体" w:cs="宋体"/>
                <w:color w:val="auto"/>
                <w:sz w:val="24"/>
                <w:szCs w:val="24"/>
                <w:lang w:val="en-US" w:eastAsia="zh-CN" w:bidi="ar"/>
              </w:rPr>
              <w:t xml:space="preserve">硬件</w:t>
            </w:r>
            <w:r>
              <w:rPr>
                <w:rFonts w:hint="eastAsia" w:ascii="宋体" w:hAnsi="宋体" w:cs="宋体"/>
                <w:color w:val="auto"/>
                <w:sz w:val="24"/>
                <w:szCs w:val="24"/>
                <w:lang w:bidi="ar"/>
              </w:rPr>
              <w:t xml:space="preserve">续保与硬件维保</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1.提供硬件续保及维保服务，包含故障维修、备件更换、整机质保，硬件故障4小时内到场处置；</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2.保障设备满足内存≥8G、硬盘≥2T、日志采集性能≥2000条/秒、解析规则≥393条的性能要求，7×24小时设备状态监测，保障全网日志全量采集、存储、分析与溯源，日志留存≥6个月，符合等保合规要求。</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二、核心规则库升级服务</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1.提供正版日志解析规则库、安全事件分析规则库、等保合规审计规则库全年升级授权；</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2.新增设备日志解析规则24小时内更新适配；合规审计规则库每季度全量升级，国家新规发布后15日内完成更新。</w:t>
            </w:r>
            <w:r/>
          </w:p>
        </w:tc>
      </w:tr>
      <w:tr>
        <w:trPr>
          <w:trHeight w:val="390"/>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5</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堡垒机运维</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5895" w:type="dxa"/>
            <w:vAlign w:val="center"/>
            <w:textDirection w:val="lrTb"/>
            <w:noWrap w:val="false"/>
          </w:tcPr>
          <w:p>
            <w:pPr>
              <w:jc w:val="lef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一、</w:t>
            </w:r>
            <w:r>
              <w:rPr>
                <w:rFonts w:hint="eastAsia" w:ascii="宋体" w:hAnsi="宋体" w:cs="宋体"/>
                <w:color w:val="auto"/>
                <w:sz w:val="24"/>
                <w:szCs w:val="24"/>
                <w:lang w:val="en-US" w:eastAsia="zh-CN" w:bidi="ar"/>
              </w:rPr>
              <w:t xml:space="preserve">硬件</w:t>
            </w:r>
            <w:r>
              <w:rPr>
                <w:rFonts w:hint="eastAsia" w:ascii="宋体" w:hAnsi="宋体" w:cs="宋体"/>
                <w:color w:val="auto"/>
                <w:sz w:val="24"/>
                <w:szCs w:val="24"/>
                <w:lang w:bidi="ar"/>
              </w:rPr>
              <w:t xml:space="preserve">续保与硬件维保</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1.提供硬件续保及维保服务，包含故障维修、备件更换、整机质保，硬件故障4小时内到场处置；</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2.保障设备满足内存≥4G、硬盘≥1T、≥6个千兆电口、图形并发≥50路、字符并发≥200路的性能要求，7×24小时设备状态监测，完成账号权限配置、运维操作全流程审计录屏，日志与录屏留存≥6个月，符合等保合规要求。</w:t>
            </w:r>
            <w:r/>
          </w:p>
        </w:tc>
      </w:tr>
      <w:tr>
        <w:trPr>
          <w:trHeight w:val="4244"/>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6</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漏洞扫描系统运维</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5895" w:type="dxa"/>
            <w:vAlign w:val="center"/>
            <w:textDirection w:val="lrTb"/>
            <w:noWrap w:val="false"/>
          </w:tcPr>
          <w:p>
            <w:pPr>
              <w:jc w:val="lef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一、</w:t>
            </w:r>
            <w:r>
              <w:rPr>
                <w:rFonts w:hint="eastAsia" w:ascii="宋体" w:hAnsi="宋体" w:cs="宋体"/>
                <w:color w:val="auto"/>
                <w:sz w:val="24"/>
                <w:szCs w:val="24"/>
                <w:lang w:val="en-US" w:eastAsia="zh-CN" w:bidi="ar"/>
              </w:rPr>
              <w:t xml:space="preserve">硬件</w:t>
            </w:r>
            <w:r>
              <w:rPr>
                <w:rFonts w:hint="eastAsia" w:ascii="宋体" w:hAnsi="宋体" w:cs="宋体"/>
                <w:color w:val="auto"/>
                <w:sz w:val="24"/>
                <w:szCs w:val="24"/>
                <w:lang w:bidi="ar"/>
              </w:rPr>
              <w:t xml:space="preserve">续保与硬件维保</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1.提供硬件续保及维保服务，包含故障维修、备件更换、整机质保，硬件故障4小时内到场处置；</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2.保障设备满足内存≥8G、硬盘≥1T、≥6个千兆电口、并发任务≥40个、并发线程≥100个的性能要求，7×24小时设备状态监测，每季度完成全网资产漏洞扫描，输出扫描报告与整改建议，配合完成漏洞修复验证。</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二、核心漏洞库升级服务</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1.提供正版系统漏洞库、WEB漏洞库、0day漏洞库、POC验证库等全规则库全年升级授权；</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2.高危/紧急漏洞对应规则库2小时内增量升级；常规漏洞库每日增量升级，每周1次全量更新，确保漏洞检测全覆盖。</w:t>
            </w:r>
            <w:r/>
          </w:p>
        </w:tc>
      </w:tr>
      <w:tr>
        <w:trPr>
          <w:trHeight w:val="2385"/>
        </w:trPr>
        <w:tc>
          <w:tcPr>
            <w:tcBorders>
              <w:top w:val="single" w:color="auto" w:sz="4" w:space="0"/>
              <w:left w:val="single" w:color="000000" w:sz="8" w:space="0"/>
              <w:bottom w:val="single" w:color="000000" w:sz="8" w:space="0"/>
              <w:right w:val="single" w:color="000000" w:sz="8" w:space="0"/>
            </w:tcBorders>
            <w:tcW w:w="787"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7</w:t>
            </w:r>
            <w:r/>
          </w:p>
        </w:tc>
        <w:tc>
          <w:tcPr>
            <w:tcBorders>
              <w:top w:val="single" w:color="auto"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核心交换机运维</w:t>
            </w:r>
            <w:r/>
          </w:p>
        </w:tc>
        <w:tc>
          <w:tcPr>
            <w:tcBorders>
              <w:top w:val="single" w:color="auto" w:sz="4" w:space="0"/>
              <w:left w:val="none" w:color="000000" w:sz="4" w:space="0"/>
              <w:bottom w:val="single" w:color="000000" w:sz="8" w:space="0"/>
              <w:right w:val="single" w:color="000000" w:sz="8" w:space="0"/>
            </w:tcBorders>
            <w:tcW w:w="73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台</w:t>
            </w:r>
            <w:r/>
          </w:p>
        </w:tc>
        <w:tc>
          <w:tcPr>
            <w:tcBorders>
              <w:top w:val="single" w:color="auto" w:sz="4" w:space="0"/>
              <w:left w:val="none" w:color="000000" w:sz="4" w:space="0"/>
              <w:bottom w:val="single" w:color="000000" w:sz="8" w:space="0"/>
              <w:right w:val="single" w:color="000000" w:sz="8" w:space="0"/>
            </w:tcBorders>
            <w:tcW w:w="75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single" w:color="auto" w:sz="4" w:space="0"/>
              <w:left w:val="none" w:color="000000" w:sz="4" w:space="0"/>
              <w:bottom w:val="single" w:color="000000" w:sz="8" w:space="0"/>
              <w:right w:val="single" w:color="000000" w:sz="8" w:space="0"/>
            </w:tcBorders>
            <w:tcW w:w="5895" w:type="dxa"/>
            <w:vAlign w:val="center"/>
            <w:textDirection w:val="lrTb"/>
            <w:noWrap w:val="false"/>
          </w:tcPr>
          <w:p>
            <w:pPr>
              <w:jc w:val="lef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1.提供硬件续保及维保服务，包含故障维修、备件更换、整机质保，硬件故障4小时内到场处置，8小时无法修复提供备用整机；</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2.保障设备满足机框式、交换容量≥80Tbps、包转发率≥26000Mpps的性能要求，7×24小时设备状态监测，每周现场巡检、月度健康检测，完成固件安全补丁升级、网络策略优化、配置文件定期异地备份，保障网络转发稳定无异常。</w:t>
            </w:r>
            <w:r/>
          </w:p>
        </w:tc>
      </w:tr>
      <w:tr>
        <w:trPr>
          <w:trHeight w:val="2404"/>
        </w:trPr>
        <w:tc>
          <w:tcPr>
            <w:tcBorders>
              <w:top w:val="none" w:color="000000" w:sz="4" w:space="0"/>
              <w:left w:val="single" w:color="000000" w:sz="8" w:space="0"/>
              <w:bottom w:val="single" w:color="000000" w:sz="8" w:space="0"/>
              <w:right w:val="single" w:color="000000" w:sz="8" w:space="0"/>
            </w:tcBorders>
            <w:tcW w:w="787"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8</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数据一体机运维</w:t>
            </w:r>
            <w:r/>
          </w:p>
        </w:tc>
        <w:tc>
          <w:tcPr>
            <w:tcBorders>
              <w:top w:val="none" w:color="000000" w:sz="4" w:space="0"/>
              <w:left w:val="none" w:color="000000" w:sz="4" w:space="0"/>
              <w:bottom w:val="single" w:color="000000" w:sz="8" w:space="0"/>
              <w:right w:val="single" w:color="000000" w:sz="8" w:space="0"/>
            </w:tcBorders>
            <w:tcW w:w="73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台</w:t>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5895" w:type="dxa"/>
            <w:vAlign w:val="center"/>
            <w:textDirection w:val="lrTb"/>
            <w:noWrap w:val="false"/>
          </w:tcPr>
          <w:p>
            <w:pPr>
              <w:jc w:val="lef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1.提供硬件续保及维保服务，包含故障维修、备件更换、整机质保，硬件故障4小时内到场处置，8小时无法修复提供备用整机；</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2.保障设备满足≥85英寸、4K分辨率、I7处理器、双系统配置，屏幕宽度≥1.95米、高度≥1.15米的要求，7×24小时设备状态监测，每周现场巡检、月度健康检测，完成固件升级、数据备份、性能调优，保障智能城管平台及运行数据稳定展示，配合完成合规整改工作。</w:t>
            </w:r>
            <w:r/>
          </w:p>
        </w:tc>
      </w:tr>
      <w:tr>
        <w:trPr>
          <w:trHeight w:val="90"/>
        </w:trPr>
        <w:tc>
          <w:tcPr>
            <w:tcBorders>
              <w:top w:val="none" w:color="000000" w:sz="4" w:space="0"/>
              <w:left w:val="single" w:color="000000" w:sz="8" w:space="0"/>
              <w:bottom w:val="single" w:color="000000" w:sz="8" w:space="0"/>
              <w:right w:val="single" w:color="000000" w:sz="8" w:space="0"/>
            </w:tcBorders>
            <w:tcW w:w="787"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9</w:t>
            </w:r>
            <w:r/>
          </w:p>
        </w:tc>
        <w:tc>
          <w:tcPr>
            <w:tcBorders>
              <w:top w:val="none" w:color="000000" w:sz="4" w:space="0"/>
              <w:left w:val="none" w:color="000000" w:sz="4" w:space="0"/>
              <w:bottom w:val="single" w:color="000000" w:sz="8" w:space="0"/>
              <w:right w:val="single" w:color="000000" w:sz="8" w:space="0"/>
            </w:tcBorders>
            <w:tcW w:w="118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准入控制平台运维</w:t>
            </w:r>
            <w:r/>
          </w:p>
        </w:tc>
        <w:tc>
          <w:tcPr>
            <w:tcBorders>
              <w:top w:val="none" w:color="000000" w:sz="4" w:space="0"/>
              <w:left w:val="none" w:color="000000" w:sz="4" w:space="0"/>
              <w:bottom w:val="single" w:color="000000" w:sz="8" w:space="0"/>
              <w:right w:val="single" w:color="000000" w:sz="8" w:space="0"/>
            </w:tcBorders>
            <w:tcW w:w="73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台</w:t>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5895" w:type="dxa"/>
            <w:vAlign w:val="center"/>
            <w:textDirection w:val="lrTb"/>
            <w:noWrap w:val="false"/>
          </w:tcPr>
          <w:p>
            <w:pPr>
              <w:jc w:val="lef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一、</w:t>
            </w:r>
            <w:r>
              <w:rPr>
                <w:rFonts w:hint="eastAsia" w:ascii="宋体" w:hAnsi="宋体" w:cs="宋体"/>
                <w:color w:val="auto"/>
                <w:sz w:val="24"/>
                <w:szCs w:val="24"/>
                <w:lang w:val="en-US" w:eastAsia="zh-CN" w:bidi="ar"/>
              </w:rPr>
              <w:t xml:space="preserve">硬件</w:t>
            </w:r>
            <w:r>
              <w:rPr>
                <w:rFonts w:hint="eastAsia" w:ascii="宋体" w:hAnsi="宋体" w:cs="宋体"/>
                <w:color w:val="auto"/>
                <w:sz w:val="24"/>
                <w:szCs w:val="24"/>
                <w:lang w:bidi="ar"/>
              </w:rPr>
              <w:t xml:space="preserve">续保与硬件维保</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1.提供硬件续保及维保服务，包含故障维修、备件更换、整机质保，硬件故障4小时内到场处置；</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2.保障设备满足终端准入、非法接入阻断、资产管控性能要求，7×24小时设备状态监测，完成WEB攻击防护、恶意流量识别处置、策略优化，日志留存≥6个月，符合等保合规要求。</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二、核心特征库升级服务</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1.提供正版WEB攻击特征库、恶意脚本特征库、漏洞防护规则库全年升级授权；</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2.高危WEB漏洞对应规则库2小时内增量升级；常规规则库每日增量升级，每周1次全量更新。</w:t>
            </w:r>
            <w:r/>
          </w:p>
        </w:tc>
      </w:tr>
    </w:tbl>
    <w:p>
      <w:pPr>
        <w:ind w:firstLine="480"/>
        <w:spacing w:line="560" w:lineRule="exact"/>
        <w:rPr>
          <w:rFonts w:hint="eastAsia" w:ascii="宋体" w:hAnsi="宋体" w:cs="宋体"/>
          <w:color w:val="auto"/>
          <w:sz w:val="24"/>
          <w:szCs w:val="24"/>
        </w:rPr>
      </w:pPr>
      <w:r/>
      <w:bookmarkStart w:id="106" w:name="heading_8"/>
      <w:r>
        <w:rPr>
          <w:rFonts w:hint="eastAsia" w:ascii="宋体" w:hAnsi="宋体" w:cs="宋体"/>
          <w:color w:val="auto"/>
          <w:sz w:val="24"/>
          <w:szCs w:val="24"/>
        </w:rPr>
        <w:t xml:space="preserve">（三）网络安全专项评估服务</w:t>
      </w:r>
      <w:bookmarkEnd w:id="106"/>
      <w:r/>
      <w:r/>
    </w:p>
    <w:tbl>
      <w:tblPr>
        <w:tblStyle w:val="810"/>
        <w:tblW w:w="9444"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left w:w="10" w:type="dxa"/>
          <w:top w:w="0" w:type="dxa"/>
          <w:right w:w="10" w:type="dxa"/>
          <w:bottom w:w="0" w:type="dxa"/>
        </w:tblCellMar>
        <w:tblLook w:val="04A0" w:firstRow="1" w:lastRow="0" w:firstColumn="1" w:lastColumn="0" w:noHBand="0" w:noVBand="1"/>
      </w:tblPr>
      <w:tblGrid>
        <w:gridCol w:w="547"/>
        <w:gridCol w:w="1230"/>
        <w:gridCol w:w="750"/>
        <w:gridCol w:w="735"/>
        <w:gridCol w:w="6182"/>
      </w:tblGrid>
      <w:tr>
        <w:trPr>
          <w:jc w:val="center"/>
          <w:trHeight w:val="291"/>
          <w:tblHead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547" w:type="dxa"/>
            <w:vAlign w:val="center"/>
            <w:textDirection w:val="lrTb"/>
            <w:noWrap w:val="false"/>
          </w:tcPr>
          <w:p>
            <w:pPr>
              <w:jc w:val="center"/>
              <w:rPr>
                <w:rFonts w:hint="eastAsia" w:ascii="宋体" w:hAnsi="宋体" w:cs="宋体"/>
                <w:b/>
                <w:color w:val="auto"/>
                <w:sz w:val="24"/>
                <w:szCs w:val="24"/>
              </w:rPr>
            </w:pPr>
            <w:r>
              <w:rPr>
                <w:rFonts w:hint="eastAsia" w:ascii="宋体" w:hAnsi="宋体" w:cs="宋体"/>
                <w:b/>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230" w:type="dxa"/>
            <w:vAlign w:val="center"/>
            <w:textDirection w:val="lrTb"/>
            <w:noWrap w:val="false"/>
          </w:tcPr>
          <w:p>
            <w:pPr>
              <w:jc w:val="center"/>
              <w:rPr>
                <w:rFonts w:hint="eastAsia" w:ascii="宋体" w:hAnsi="宋体" w:cs="宋体"/>
                <w:b/>
                <w:color w:val="auto"/>
                <w:sz w:val="24"/>
                <w:szCs w:val="24"/>
              </w:rPr>
            </w:pPr>
            <w:r>
              <w:rPr>
                <w:rFonts w:hint="eastAsia" w:ascii="宋体" w:hAnsi="宋体" w:cs="宋体"/>
                <w:b/>
                <w:color w:val="auto"/>
                <w:sz w:val="24"/>
                <w:szCs w:val="24"/>
              </w:rPr>
              <w:t xml:space="preserve">服务名称</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50" w:type="dxa"/>
            <w:vAlign w:val="center"/>
            <w:textDirection w:val="lrTb"/>
            <w:noWrap w:val="false"/>
          </w:tcPr>
          <w:p>
            <w:pPr>
              <w:jc w:val="center"/>
              <w:rPr>
                <w:rFonts w:hint="eastAsia" w:ascii="宋体" w:hAnsi="宋体" w:cs="宋体"/>
                <w:b/>
                <w:color w:val="auto"/>
                <w:sz w:val="24"/>
                <w:szCs w:val="24"/>
              </w:rPr>
            </w:pPr>
            <w:r>
              <w:rPr>
                <w:rFonts w:hint="eastAsia" w:ascii="宋体" w:hAnsi="宋体" w:cs="宋体"/>
                <w:b/>
                <w:color w:val="auto"/>
                <w:sz w:val="24"/>
                <w:szCs w:val="24"/>
              </w:rPr>
              <w:t xml:space="preserve">单位</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35" w:type="dxa"/>
            <w:vAlign w:val="center"/>
            <w:textDirection w:val="lrTb"/>
            <w:noWrap w:val="false"/>
          </w:tcPr>
          <w:p>
            <w:pPr>
              <w:jc w:val="center"/>
              <w:rPr>
                <w:rFonts w:hint="eastAsia" w:ascii="宋体" w:hAnsi="宋体" w:cs="宋体"/>
                <w:b/>
                <w:color w:val="auto"/>
                <w:sz w:val="24"/>
                <w:szCs w:val="24"/>
              </w:rPr>
            </w:pPr>
            <w:r>
              <w:rPr>
                <w:rFonts w:hint="eastAsia" w:ascii="宋体" w:hAnsi="宋体" w:cs="宋体"/>
                <w:b/>
                <w:color w:val="auto"/>
                <w:sz w:val="24"/>
                <w:szCs w:val="24"/>
              </w:rPr>
              <w:t xml:space="preserve">数量</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6182" w:type="dxa"/>
            <w:vAlign w:val="center"/>
            <w:textDirection w:val="lrTb"/>
            <w:noWrap w:val="false"/>
          </w:tcPr>
          <w:p>
            <w:pPr>
              <w:jc w:val="center"/>
              <w:rPr>
                <w:rFonts w:hint="eastAsia" w:ascii="宋体" w:hAnsi="宋体" w:cs="宋体"/>
                <w:b/>
                <w:color w:val="auto"/>
                <w:sz w:val="24"/>
                <w:szCs w:val="24"/>
              </w:rPr>
            </w:pPr>
            <w:r>
              <w:rPr>
                <w:rFonts w:hint="eastAsia" w:ascii="宋体" w:hAnsi="宋体" w:cs="宋体"/>
                <w:b/>
                <w:color w:val="auto"/>
                <w:sz w:val="24"/>
                <w:szCs w:val="24"/>
              </w:rPr>
              <w:t xml:space="preserve">技术要求</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547"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23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数据安全风险评估</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5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项</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3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6182" w:type="dxa"/>
            <w:vAlign w:val="center"/>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t xml:space="preserve">1.对本项目全范围系统及全量业务数据开展全生命周期安全风险评估，精准识别风险隐患；</w:t>
            </w:r>
            <w:r/>
          </w:p>
          <w:p>
            <w:pPr>
              <w:jc w:val="left"/>
              <w:rPr>
                <w:rFonts w:hint="eastAsia" w:ascii="宋体" w:hAnsi="宋体" w:cs="宋体"/>
                <w:color w:val="auto"/>
                <w:sz w:val="24"/>
                <w:szCs w:val="24"/>
              </w:rPr>
            </w:pPr>
            <w:r>
              <w:rPr>
                <w:rFonts w:hint="eastAsia" w:ascii="宋体" w:hAnsi="宋体" w:cs="宋体"/>
                <w:color w:val="auto"/>
                <w:sz w:val="24"/>
                <w:szCs w:val="24"/>
              </w:rPr>
              <w:t xml:space="preserve">2.出具合规评估报告与可落地整改方案，完成整改闭环复测，所有操作不得影响业务系统正常稳定运行。</w:t>
            </w:r>
            <w:r/>
          </w:p>
        </w:tc>
      </w:tr>
      <w:tr>
        <w:trPr>
          <w:jc w:val="center"/>
        </w:trPr>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547" w:type="dxa"/>
            <w:vAlign w:val="center"/>
            <w:textDirection w:val="lrTb"/>
            <w:noWrap w:val="false"/>
          </w:tcPr>
          <w:p>
            <w:pPr>
              <w:jc w:val="center"/>
              <w:rPr>
                <w:rFonts w:hint="eastAsia" w:ascii="宋体" w:hAnsi="宋体" w:cs="宋体"/>
                <w:color w:val="auto"/>
                <w:sz w:val="24"/>
                <w:szCs w:val="24"/>
              </w:rPr>
            </w:pPr>
            <w:r/>
            <w:bookmarkStart w:id="107" w:name="heading_9"/>
            <w:r>
              <w:rPr>
                <w:rFonts w:hint="eastAsia" w:ascii="宋体" w:hAnsi="宋体" w:cs="宋体"/>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23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网络安全服务</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5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项</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3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6182" w:type="dxa"/>
            <w:vAlign w:val="center"/>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rPr>
              <w:t xml:space="preserve">1.服务期内每季度开展1次全覆盖漏洞扫描与渗透测试，完成整改复测闭环；</w:t>
            </w:r>
            <w:r/>
          </w:p>
          <w:p>
            <w:pPr>
              <w:jc w:val="left"/>
              <w:rPr>
                <w:rFonts w:hint="eastAsia" w:ascii="宋体" w:hAnsi="宋体" w:cs="宋体"/>
                <w:color w:val="auto"/>
                <w:sz w:val="24"/>
                <w:szCs w:val="24"/>
              </w:rPr>
            </w:pPr>
            <w:r>
              <w:rPr>
                <w:rFonts w:hint="eastAsia" w:ascii="宋体" w:hAnsi="宋体" w:cs="宋体"/>
                <w:color w:val="auto"/>
                <w:sz w:val="24"/>
                <w:szCs w:val="24"/>
              </w:rPr>
              <w:t xml:space="preserve">2.重大活动重保前7个工作日完成专项漏洞扫描，跟踪落实全量整改；</w:t>
            </w:r>
            <w:r/>
          </w:p>
          <w:p>
            <w:pPr>
              <w:jc w:val="left"/>
              <w:rPr>
                <w:rFonts w:hint="eastAsia" w:ascii="宋体" w:hAnsi="宋体" w:cs="宋体"/>
                <w:color w:val="auto"/>
                <w:sz w:val="24"/>
                <w:szCs w:val="24"/>
              </w:rPr>
            </w:pPr>
            <w:r>
              <w:rPr>
                <w:rFonts w:hint="eastAsia" w:ascii="宋体" w:hAnsi="宋体" w:cs="宋体"/>
                <w:color w:val="auto"/>
                <w:sz w:val="24"/>
                <w:szCs w:val="24"/>
              </w:rPr>
              <w:t xml:space="preserve">3.发生网络安全事件时，须第一时间开展攻击溯源、跟踪风险处置，完成整改闭环，严防同类事件复发。</w:t>
            </w:r>
            <w:r/>
          </w:p>
        </w:tc>
      </w:tr>
    </w:tbl>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（四）配套资源与专项技术服务</w:t>
      </w:r>
      <w:bookmarkEnd w:id="107"/>
      <w:r/>
      <w:r/>
    </w:p>
    <w:tbl>
      <w:tblPr>
        <w:tblStyle w:val="810"/>
        <w:tblW w:w="9337" w:type="dxa"/>
        <w:tblInd w:w="93" w:type="dxa"/>
        <w:tblLayout w:type="autofit"/>
        <w:tblCellMar>
          <w:left w:w="108" w:type="dxa"/>
          <w:top w:w="0" w:type="dxa"/>
          <w:right w:w="108" w:type="dxa"/>
          <w:bottom w:w="0" w:type="dxa"/>
        </w:tblCellMar>
        <w:tblLook w:val="04A0" w:firstRow="1" w:lastRow="0" w:firstColumn="1" w:lastColumn="0" w:noHBand="0" w:noVBand="1"/>
      </w:tblPr>
      <w:tblGrid>
        <w:gridCol w:w="742"/>
        <w:gridCol w:w="1245"/>
        <w:gridCol w:w="735"/>
        <w:gridCol w:w="750"/>
        <w:gridCol w:w="5865"/>
      </w:tblGrid>
      <w:tr>
        <w:trPr>
          <w:trHeight w:val="9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cs="宋体"/>
                <w:b/>
                <w:bCs/>
                <w:color w:val="auto"/>
                <w:sz w:val="24"/>
                <w:szCs w:val="24"/>
              </w:rPr>
            </w:pPr>
            <w:r/>
            <w:bookmarkStart w:id="108" w:name="heading_10"/>
            <w:r>
              <w:rPr>
                <w:rFonts w:hint="eastAsia" w:ascii="宋体" w:hAnsi="宋体" w:cs="宋体"/>
                <w:b/>
                <w:bCs/>
                <w:color w:val="auto"/>
                <w:sz w:val="24"/>
                <w:szCs w:val="24"/>
                <w:lang w:bidi="ar"/>
              </w:rPr>
              <w:t xml:space="preserve">序号</w:t>
            </w:r>
            <w:r/>
          </w:p>
        </w:tc>
        <w:tc>
          <w:tcPr>
            <w:tcBorders>
              <w:top w:val="single" w:color="000000" w:sz="8" w:space="0"/>
              <w:left w:val="none" w:color="000000" w:sz="4" w:space="0"/>
              <w:bottom w:val="single" w:color="000000" w:sz="8" w:space="0"/>
              <w:right w:val="single" w:color="000000" w:sz="8" w:space="0"/>
            </w:tcBorders>
            <w:tcW w:w="1245" w:type="dxa"/>
            <w:vAlign w:val="center"/>
            <w:textDirection w:val="lrTb"/>
            <w:noWrap w:val="false"/>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服务名称</w:t>
            </w:r>
            <w:r/>
          </w:p>
        </w:tc>
        <w:tc>
          <w:tcPr>
            <w:tcBorders>
              <w:top w:val="single" w:color="000000" w:sz="8" w:space="0"/>
              <w:left w:val="none" w:color="000000" w:sz="4" w:space="0"/>
              <w:bottom w:val="single" w:color="000000" w:sz="8" w:space="0"/>
              <w:right w:val="single" w:color="000000" w:sz="8" w:space="0"/>
            </w:tcBorders>
            <w:tcW w:w="735" w:type="dxa"/>
            <w:vAlign w:val="center"/>
            <w:textDirection w:val="lrTb"/>
            <w:noWrap w:val="false"/>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单位</w:t>
            </w:r>
            <w:r/>
          </w:p>
        </w:tc>
        <w:tc>
          <w:tcPr>
            <w:tcBorders>
              <w:top w:val="single" w:color="000000" w:sz="8" w:space="0"/>
              <w:left w:val="none" w:color="000000" w:sz="4" w:space="0"/>
              <w:bottom w:val="single" w:color="000000" w:sz="8" w:space="0"/>
              <w:right w:val="single" w:color="000000" w:sz="8" w:space="0"/>
            </w:tcBorders>
            <w:tcW w:w="750" w:type="dxa"/>
            <w:vAlign w:val="center"/>
            <w:textDirection w:val="lrTb"/>
            <w:noWrap w:val="false"/>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数量</w:t>
            </w:r>
            <w:r/>
          </w:p>
        </w:tc>
        <w:tc>
          <w:tcPr>
            <w:tcBorders>
              <w:top w:val="single" w:color="000000" w:sz="8" w:space="0"/>
              <w:left w:val="none" w:color="000000" w:sz="4" w:space="0"/>
              <w:bottom w:val="single" w:color="000000" w:sz="8" w:space="0"/>
              <w:right w:val="single" w:color="000000" w:sz="8" w:space="0"/>
            </w:tcBorders>
            <w:tcW w:w="5865" w:type="dxa"/>
            <w:vAlign w:val="center"/>
            <w:textDirection w:val="lrTb"/>
            <w:noWrap w:val="false"/>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技术要求</w:t>
            </w:r>
            <w:r/>
          </w:p>
        </w:tc>
      </w:tr>
      <w:tr>
        <w:trPr>
          <w:trHeight w:val="90"/>
        </w:trPr>
        <w:tc>
          <w:tcPr>
            <w:tcBorders>
              <w:top w:val="none" w:color="000000" w:sz="4"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124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便携式信息采集终端运维</w:t>
            </w:r>
            <w:r/>
          </w:p>
        </w:tc>
        <w:tc>
          <w:tcPr>
            <w:tcBorders>
              <w:top w:val="none" w:color="000000" w:sz="4" w:space="0"/>
              <w:left w:val="none" w:color="000000" w:sz="4" w:space="0"/>
              <w:bottom w:val="single" w:color="000000" w:sz="8" w:space="0"/>
              <w:right w:val="single" w:color="000000" w:sz="8" w:space="0"/>
            </w:tcBorders>
            <w:tcW w:w="735" w:type="dxa"/>
            <w:vAlign w:val="center"/>
            <w:textDirection w:val="lrTb"/>
            <w:noWrap w:val="false"/>
          </w:tcPr>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台</w:t>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117</w:t>
            </w:r>
            <w:r/>
          </w:p>
        </w:tc>
        <w:tc>
          <w:tcPr>
            <w:tcBorders>
              <w:top w:val="none" w:color="000000" w:sz="4" w:space="0"/>
              <w:left w:val="none" w:color="000000" w:sz="4" w:space="0"/>
              <w:bottom w:val="single" w:color="000000" w:sz="8" w:space="0"/>
              <w:right w:val="single" w:color="000000" w:sz="8" w:space="0"/>
            </w:tcBorders>
            <w:tcW w:w="5865" w:type="dxa"/>
            <w:vAlign w:val="center"/>
            <w:textDirection w:val="lrTb"/>
            <w:noWrap w:val="false"/>
          </w:tcPr>
          <w:p>
            <w:pPr>
              <w:jc w:val="lef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1.完成117台终端的运维保障，包含全量设备更新、软件适配、账号配置、安全加固；</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2.确保终端与指挥协调系统的稳定对接，地图定位、数据采集、案件上报、任务接收等核心功能正常；</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3.提供全年不限次数的终端使用培训、故障答疑，非人为损坏设备维修，按需完成终端城管系统软件升级、配置调整、病毒查杀。</w:t>
            </w:r>
            <w:r/>
          </w:p>
        </w:tc>
      </w:tr>
      <w:tr>
        <w:trPr>
          <w:trHeight w:val="394"/>
        </w:trPr>
        <w:tc>
          <w:tcPr>
            <w:tcBorders>
              <w:top w:val="none" w:color="000000" w:sz="4"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2</w:t>
            </w:r>
            <w:r/>
          </w:p>
        </w:tc>
        <w:tc>
          <w:tcPr>
            <w:tcBorders>
              <w:top w:val="none" w:color="000000" w:sz="4" w:space="0"/>
              <w:left w:val="none" w:color="000000" w:sz="4" w:space="0"/>
              <w:bottom w:val="single" w:color="000000" w:sz="8" w:space="0"/>
              <w:right w:val="single" w:color="000000" w:sz="8" w:space="0"/>
            </w:tcBorders>
            <w:tcW w:w="124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市民城管通小程序微信认证服务</w:t>
            </w:r>
            <w:r/>
          </w:p>
        </w:tc>
        <w:tc>
          <w:tcPr>
            <w:tcBorders>
              <w:top w:val="none" w:color="000000" w:sz="4" w:space="0"/>
              <w:left w:val="none" w:color="000000" w:sz="4" w:space="0"/>
              <w:bottom w:val="single" w:color="000000" w:sz="8" w:space="0"/>
              <w:right w:val="single" w:color="000000" w:sz="8" w:space="0"/>
            </w:tcBorders>
            <w:tcW w:w="735" w:type="dxa"/>
            <w:vAlign w:val="center"/>
            <w:textDirection w:val="lrTb"/>
            <w:noWrap w:val="false"/>
          </w:tcPr>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项</w:t>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5865" w:type="dxa"/>
            <w:vAlign w:val="center"/>
            <w:textDirection w:val="lrTb"/>
            <w:noWrap w:val="false"/>
          </w:tcPr>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完成小程序微信认证的全流程办理、资质提交、年审续费，确保认证全程合规，保障小程序全年正常发布、公众可正常访问使用。</w:t>
            </w:r>
            <w:r/>
          </w:p>
        </w:tc>
      </w:tr>
      <w:tr>
        <w:trPr>
          <w:trHeight w:val="1400"/>
        </w:trPr>
        <w:tc>
          <w:tcPr>
            <w:tcBorders>
              <w:top w:val="none" w:color="000000" w:sz="4" w:space="0"/>
              <w:left w:val="single" w:color="000000" w:sz="8" w:space="0"/>
              <w:bottom w:val="single" w:color="auto" w:sz="4" w:space="0"/>
              <w:right w:val="single" w:color="000000" w:sz="8" w:space="0"/>
            </w:tcBorders>
            <w:tcW w:w="742"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3</w:t>
            </w:r>
            <w:r/>
          </w:p>
        </w:tc>
        <w:tc>
          <w:tcPr>
            <w:tcBorders>
              <w:top w:val="none" w:color="000000" w:sz="4" w:space="0"/>
              <w:left w:val="none" w:color="000000" w:sz="4" w:space="0"/>
              <w:bottom w:val="single" w:color="auto" w:sz="4" w:space="0"/>
              <w:right w:val="single" w:color="000000" w:sz="8" w:space="0"/>
            </w:tcBorders>
            <w:tcW w:w="124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指挥协调系统域名认证服务</w:t>
            </w:r>
            <w:r/>
          </w:p>
        </w:tc>
        <w:tc>
          <w:tcPr>
            <w:tcBorders>
              <w:top w:val="none" w:color="000000" w:sz="4" w:space="0"/>
              <w:left w:val="none" w:color="000000" w:sz="4" w:space="0"/>
              <w:bottom w:val="single" w:color="auto" w:sz="4" w:space="0"/>
              <w:right w:val="single" w:color="000000" w:sz="8" w:space="0"/>
            </w:tcBorders>
            <w:tcW w:w="735" w:type="dxa"/>
            <w:vAlign w:val="center"/>
            <w:textDirection w:val="lrTb"/>
            <w:noWrap w:val="false"/>
          </w:tcPr>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项</w:t>
            </w:r>
            <w:r/>
          </w:p>
        </w:tc>
        <w:tc>
          <w:tcPr>
            <w:tcBorders>
              <w:top w:val="none" w:color="000000" w:sz="4" w:space="0"/>
              <w:left w:val="none" w:color="000000" w:sz="4" w:space="0"/>
              <w:bottom w:val="single" w:color="auto" w:sz="4" w:space="0"/>
              <w:right w:val="single" w:color="000000" w:sz="8" w:space="0"/>
            </w:tcBorders>
            <w:tcW w:w="75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none" w:color="000000" w:sz="4" w:space="0"/>
              <w:left w:val="none" w:color="000000" w:sz="4" w:space="0"/>
              <w:bottom w:val="single" w:color="auto" w:sz="4" w:space="0"/>
              <w:right w:val="single" w:color="000000" w:sz="8" w:space="0"/>
            </w:tcBorders>
            <w:tcW w:w="5865" w:type="dxa"/>
            <w:vAlign w:val="center"/>
            <w:textDirection w:val="lrTb"/>
            <w:noWrap w:val="false"/>
          </w:tcPr>
          <w:p>
            <w:pPr>
              <w:jc w:val="lef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1.完成系统域名的注册/续费、ICP备案、实名认证、DNS解析配置，保障域名全年正常解析、系统正常访问，无域名过期、解析异常问题；</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2.完成域名安全防护配置，开启DNS、SEC、防域名劫持、防解析污染防护，防止恶意解析、域名盗用等风险；</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3.配合完成等保测评、密码测评相关的域名配置合规整改，提供域名相关的技术支持。</w:t>
            </w:r>
            <w:r/>
          </w:p>
        </w:tc>
      </w:tr>
      <w:tr>
        <w:trPr>
          <w:trHeight w:val="1872"/>
        </w:trPr>
        <w:tc>
          <w:tcPr>
            <w:tcBorders>
              <w:top w:val="single" w:color="auto" w:sz="4" w:space="0"/>
              <w:left w:val="single" w:color="auto" w:sz="4" w:space="0"/>
              <w:bottom w:val="single" w:color="auto" w:sz="4" w:space="0"/>
              <w:right w:val="single" w:color="auto" w:sz="4" w:space="0"/>
            </w:tcBorders>
            <w:tcW w:w="742"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4</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短信网关服务</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项</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5865" w:type="dxa"/>
            <w:vAlign w:val="center"/>
            <w:textDirection w:val="lrTb"/>
            <w:noWrap w:val="false"/>
          </w:tcPr>
          <w:p>
            <w:pPr>
              <w:jc w:val="lef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1.保障短信网关全年稳定运行，完成通道维护、接口调试、故障修复，确保与业务系统无缝对接；</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2.保障案件通知、预警提醒、验证码、任务派发等各类政务短信的实时发送，无延迟、无漏发；</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3.完成短信通道安全加固，防止短信轰炸、恶意调用，保障短信发送合规，符合通信管理部门相关规定。</w:t>
            </w:r>
            <w:r/>
          </w:p>
        </w:tc>
      </w:tr>
      <w:tr>
        <w:trPr>
          <w:trHeight w:val="3527"/>
        </w:trPr>
        <w:tc>
          <w:tcPr>
            <w:tcBorders>
              <w:top w:val="single" w:color="auto" w:sz="4"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5</w:t>
            </w:r>
            <w:r/>
          </w:p>
        </w:tc>
        <w:tc>
          <w:tcPr>
            <w:tcBorders>
              <w:top w:val="single" w:color="auto" w:sz="4" w:space="0"/>
              <w:left w:val="none" w:color="000000" w:sz="4" w:space="0"/>
              <w:bottom w:val="single" w:color="000000" w:sz="8" w:space="0"/>
              <w:right w:val="single" w:color="000000" w:sz="8" w:space="0"/>
            </w:tcBorders>
            <w:tcW w:w="124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无人机操作培训</w:t>
            </w:r>
            <w:r/>
          </w:p>
        </w:tc>
        <w:tc>
          <w:tcPr>
            <w:tcBorders>
              <w:top w:val="single" w:color="auto" w:sz="4" w:space="0"/>
              <w:left w:val="none" w:color="000000" w:sz="4" w:space="0"/>
              <w:bottom w:val="single" w:color="000000" w:sz="8" w:space="0"/>
              <w:right w:val="single" w:color="000000" w:sz="8" w:space="0"/>
            </w:tcBorders>
            <w:tcW w:w="735" w:type="dxa"/>
            <w:vAlign w:val="center"/>
            <w:textDirection w:val="lrTb"/>
            <w:noWrap w:val="false"/>
          </w:tcPr>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项</w:t>
            </w:r>
            <w:r/>
          </w:p>
        </w:tc>
        <w:tc>
          <w:tcPr>
            <w:tcBorders>
              <w:top w:val="single" w:color="auto" w:sz="4" w:space="0"/>
              <w:left w:val="none" w:color="000000" w:sz="4" w:space="0"/>
              <w:bottom w:val="single" w:color="000000" w:sz="8" w:space="0"/>
              <w:right w:val="single" w:color="000000" w:sz="8" w:space="0"/>
            </w:tcBorders>
            <w:tcW w:w="75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single" w:color="auto" w:sz="4" w:space="0"/>
              <w:left w:val="none" w:color="000000" w:sz="4" w:space="0"/>
              <w:bottom w:val="single" w:color="000000" w:sz="8" w:space="0"/>
              <w:right w:val="single" w:color="000000" w:sz="8" w:space="0"/>
            </w:tcBorders>
            <w:tcW w:w="5865" w:type="dxa"/>
            <w:vAlign w:val="center"/>
            <w:textDirection w:val="lrTb"/>
            <w:noWrap w:val="false"/>
          </w:tcPr>
          <w:p>
            <w:pPr>
              <w:jc w:val="lef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投标人须提供1台符合国家民航管理规定、适配数字城管业务场景的工业级无人机设备，配套完整配件与合规资料，满足高清视频采集、实时图传、定位巡航等核心业务需求，交付时提供完整产品合格证及合规使用相关文件；</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2.服务期内完成设备全年硬件维保、故障维修、固件升级、调试校准、电池保养全流程服务，保障设备飞行、数据采集、视频回传；</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3.须完成2名使用人员的无人机合规操作证书考试全流程培训，协助2人通过考试并取得国家认可的合规操作证书；</w:t>
            </w:r>
            <w:r/>
          </w:p>
        </w:tc>
      </w:tr>
      <w:tr>
        <w:trPr>
          <w:trHeight w:val="1569"/>
        </w:trPr>
        <w:tc>
          <w:tcPr>
            <w:tcBorders>
              <w:top w:val="none" w:color="000000" w:sz="4" w:space="0"/>
              <w:left w:val="single" w:color="000000" w:sz="8" w:space="0"/>
              <w:bottom w:val="single" w:color="000000" w:sz="8" w:space="0"/>
              <w:right w:val="single" w:color="000000" w:sz="8" w:space="0"/>
            </w:tcBorders>
            <w:tcW w:w="742"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6</w:t>
            </w:r>
            <w:r/>
          </w:p>
        </w:tc>
        <w:tc>
          <w:tcPr>
            <w:tcBorders>
              <w:top w:val="none" w:color="000000" w:sz="4" w:space="0"/>
              <w:left w:val="none" w:color="000000" w:sz="4" w:space="0"/>
              <w:bottom w:val="single" w:color="000000" w:sz="8" w:space="0"/>
              <w:right w:val="single" w:color="000000" w:sz="8" w:space="0"/>
            </w:tcBorders>
            <w:tcW w:w="124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办公网络安全检测探针</w:t>
            </w:r>
            <w:r/>
          </w:p>
        </w:tc>
        <w:tc>
          <w:tcPr>
            <w:tcBorders>
              <w:top w:val="none" w:color="000000" w:sz="4" w:space="0"/>
              <w:left w:val="none" w:color="000000" w:sz="4" w:space="0"/>
              <w:bottom w:val="single" w:color="000000" w:sz="8" w:space="0"/>
              <w:right w:val="single" w:color="000000" w:sz="8" w:space="0"/>
            </w:tcBorders>
            <w:tcW w:w="735" w:type="dxa"/>
            <w:vAlign w:val="center"/>
            <w:textDirection w:val="lrTb"/>
            <w:noWrap w:val="false"/>
          </w:tcPr>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项</w:t>
            </w:r>
            <w:r/>
          </w:p>
        </w:tc>
        <w:tc>
          <w:tcPr>
            <w:tcBorders>
              <w:top w:val="none" w:color="000000" w:sz="4" w:space="0"/>
              <w:left w:val="none" w:color="000000" w:sz="4" w:space="0"/>
              <w:bottom w:val="single" w:color="000000" w:sz="8" w:space="0"/>
              <w:right w:val="single" w:color="000000" w:sz="8" w:space="0"/>
            </w:tcBorders>
            <w:tcW w:w="75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5865" w:type="dxa"/>
            <w:vAlign w:val="center"/>
            <w:textDirection w:val="lrTb"/>
            <w:noWrap w:val="false"/>
          </w:tcPr>
          <w:p>
            <w:pPr>
              <w:jc w:val="lef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1.设备标配6个千兆电口，整机吞吐量≥1Gbps，最大并发会话≥100万；</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2.具备国家网络安全专用产品销售许可证，支持全流量采集、威胁检测、审计溯源，适配现有办公网络，提供1年质保、免费规则升级与部署调试，不得影响现有网络及业务稳定运行。</w:t>
            </w:r>
            <w:r/>
          </w:p>
        </w:tc>
      </w:tr>
    </w:tbl>
    <w:p>
      <w:pPr>
        <w:ind w:firstLine="480"/>
        <w:keepLines/>
        <w:spacing w:line="560" w:lineRule="exact"/>
        <w:rPr>
          <w:rFonts w:hint="eastAsia" w:ascii="宋体" w:hAnsi="宋体" w:cs="宋体"/>
          <w:color w:val="auto"/>
          <w:sz w:val="24"/>
          <w:szCs w:val="24"/>
        </w:rPr>
      </w:pPr>
      <w:r>
        <w:rPr>
          <w:rFonts w:hint="eastAsia" w:ascii="宋体" w:hAnsi="宋体" w:cs="宋体"/>
          <w:color w:val="auto"/>
          <w:sz w:val="24"/>
          <w:szCs w:val="24"/>
        </w:rPr>
        <w:t xml:space="preserve">（五）专职驻场运维服务</w:t>
      </w:r>
      <w:bookmarkEnd w:id="108"/>
      <w:r/>
      <w:r/>
    </w:p>
    <w:tbl>
      <w:tblPr>
        <w:tblStyle w:val="810"/>
        <w:tblW w:w="9307" w:type="dxa"/>
        <w:tblInd w:w="93" w:type="dxa"/>
        <w:tblLayout w:type="autofit"/>
        <w:tblCellMar>
          <w:left w:w="108" w:type="dxa"/>
          <w:top w:w="0" w:type="dxa"/>
          <w:right w:w="108" w:type="dxa"/>
          <w:bottom w:w="0" w:type="dxa"/>
        </w:tblCellMar>
        <w:tblLook w:val="04A0" w:firstRow="1" w:lastRow="0" w:firstColumn="1" w:lastColumn="0" w:noHBand="0" w:noVBand="1"/>
      </w:tblPr>
      <w:tblGrid>
        <w:gridCol w:w="757"/>
        <w:gridCol w:w="1230"/>
        <w:gridCol w:w="720"/>
        <w:gridCol w:w="765"/>
        <w:gridCol w:w="5835"/>
      </w:tblGrid>
      <w:tr>
        <w:trPr>
          <w:trHeight w:val="300"/>
        </w:trPr>
        <w:tc>
          <w:tcPr>
            <w:tcBorders>
              <w:top w:val="single" w:color="000000" w:sz="8" w:space="0"/>
              <w:left w:val="single" w:color="000000" w:sz="8" w:space="0"/>
              <w:bottom w:val="single" w:color="000000" w:sz="8" w:space="0"/>
              <w:right w:val="single" w:color="000000" w:sz="8" w:space="0"/>
            </w:tcBorders>
            <w:tcW w:w="757" w:type="dxa"/>
            <w:vAlign w:val="center"/>
            <w:textDirection w:val="lrTb"/>
            <w:noWrap w:val="false"/>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序号</w:t>
            </w:r>
            <w:r/>
          </w:p>
        </w:tc>
        <w:tc>
          <w:tcPr>
            <w:tcBorders>
              <w:top w:val="single" w:color="000000" w:sz="8" w:space="0"/>
              <w:left w:val="none" w:color="000000" w:sz="4" w:space="0"/>
              <w:bottom w:val="single" w:color="000000" w:sz="8" w:space="0"/>
              <w:right w:val="single" w:color="000000" w:sz="8" w:space="0"/>
            </w:tcBorders>
            <w:tcW w:w="1230" w:type="dxa"/>
            <w:vAlign w:val="center"/>
            <w:textDirection w:val="lrTb"/>
            <w:noWrap w:val="false"/>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服务名称</w:t>
            </w:r>
            <w:r/>
          </w:p>
        </w:tc>
        <w:tc>
          <w:tcPr>
            <w:tcBorders>
              <w:top w:val="single" w:color="000000" w:sz="8" w:space="0"/>
              <w:left w:val="none" w:color="000000" w:sz="4" w:space="0"/>
              <w:bottom w:val="single" w:color="000000" w:sz="8" w:space="0"/>
              <w:right w:val="single" w:color="000000" w:sz="8" w:space="0"/>
            </w:tcBorders>
            <w:tcW w:w="720" w:type="dxa"/>
            <w:vAlign w:val="center"/>
            <w:textDirection w:val="lrTb"/>
            <w:noWrap w:val="false"/>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单位</w:t>
            </w:r>
            <w:r/>
          </w:p>
        </w:tc>
        <w:tc>
          <w:tcPr>
            <w:tcBorders>
              <w:top w:val="single" w:color="000000" w:sz="8" w:space="0"/>
              <w:left w:val="none" w:color="000000" w:sz="4" w:space="0"/>
              <w:bottom w:val="single" w:color="000000" w:sz="8" w:space="0"/>
              <w:right w:val="single" w:color="000000" w:sz="8" w:space="0"/>
            </w:tcBorders>
            <w:tcW w:w="765" w:type="dxa"/>
            <w:vAlign w:val="center"/>
            <w:textDirection w:val="lrTb"/>
            <w:noWrap w:val="false"/>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数量</w:t>
            </w:r>
            <w:r/>
          </w:p>
        </w:tc>
        <w:tc>
          <w:tcPr>
            <w:tcBorders>
              <w:top w:val="single" w:color="000000" w:sz="8" w:space="0"/>
              <w:left w:val="none" w:color="000000" w:sz="4" w:space="0"/>
              <w:bottom w:val="single" w:color="000000" w:sz="8" w:space="0"/>
              <w:right w:val="single" w:color="000000" w:sz="8" w:space="0"/>
            </w:tcBorders>
            <w:tcW w:w="5835" w:type="dxa"/>
            <w:vAlign w:val="center"/>
            <w:textDirection w:val="lrTb"/>
            <w:noWrap w:val="false"/>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技术要求</w:t>
            </w:r>
            <w:r/>
          </w:p>
        </w:tc>
      </w:tr>
      <w:tr>
        <w:trPr>
          <w:trHeight w:val="299"/>
        </w:trPr>
        <w:tc>
          <w:tcPr>
            <w:tcBorders>
              <w:top w:val="none" w:color="000000" w:sz="4" w:space="0"/>
              <w:left w:val="single" w:color="000000" w:sz="8" w:space="0"/>
              <w:bottom w:val="single" w:color="000000" w:sz="8" w:space="0"/>
              <w:right w:val="single" w:color="000000" w:sz="8" w:space="0"/>
            </w:tcBorders>
            <w:tcW w:w="757"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123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专职驻场人员服务</w:t>
            </w:r>
            <w:r/>
          </w:p>
        </w:tc>
        <w:tc>
          <w:tcPr>
            <w:tcBorders>
              <w:top w:val="none" w:color="000000" w:sz="4" w:space="0"/>
              <w:left w:val="none" w:color="000000" w:sz="4" w:space="0"/>
              <w:bottom w:val="single" w:color="000000" w:sz="8" w:space="0"/>
              <w:right w:val="single" w:color="000000" w:sz="8" w:space="0"/>
            </w:tcBorders>
            <w:tcW w:w="72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人</w:t>
            </w:r>
            <w:r/>
          </w:p>
        </w:tc>
        <w:tc>
          <w:tcPr>
            <w:tcBorders>
              <w:top w:val="none" w:color="000000" w:sz="4" w:space="0"/>
              <w:left w:val="none" w:color="000000" w:sz="4" w:space="0"/>
              <w:bottom w:val="single" w:color="000000" w:sz="8" w:space="0"/>
              <w:right w:val="single" w:color="000000" w:sz="8" w:space="0"/>
            </w:tcBorders>
            <w:tcW w:w="76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none" w:color="000000" w:sz="4" w:space="0"/>
              <w:left w:val="none" w:color="000000" w:sz="4" w:space="0"/>
              <w:bottom w:val="single" w:color="000000" w:sz="8" w:space="0"/>
              <w:right w:val="single" w:color="000000" w:sz="8" w:space="0"/>
            </w:tcBorders>
            <w:tcW w:w="5835" w:type="dxa"/>
            <w:vAlign w:val="center"/>
            <w:textDirection w:val="lrTb"/>
            <w:noWrap w:val="false"/>
          </w:tcPr>
          <w:p>
            <w:pPr>
              <w:jc w:val="lef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配置1名专职驻场运维人员，全年工作日全时段驻场服务，驻场人员简历、资质须经采购人审核确认，未经采购人同意不得更换；</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1.核心职责：负责日常系统与设备巡检、故障现场处置、业务需求对接、配置调整、数据更新、运维台账记录等日常运维工作；配合完成专项测评、应急演练、重大活动保障、业务培训等相关工作；</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2.资质要求：须具备3年以上政务信息化系统运维经验，熟悉</w:t>
            </w:r>
            <w:r>
              <w:rPr>
                <w:rFonts w:hint="eastAsia" w:ascii="宋体" w:hAnsi="宋体" w:cs="宋体"/>
                <w:color w:val="auto"/>
                <w:sz w:val="24"/>
                <w:szCs w:val="24"/>
                <w:lang w:val="en-US" w:eastAsia="zh-CN" w:bidi="ar"/>
              </w:rPr>
              <w:t xml:space="preserve">智能</w:t>
            </w:r>
            <w:r>
              <w:rPr>
                <w:rFonts w:hint="eastAsia" w:ascii="宋体" w:hAnsi="宋体" w:cs="宋体"/>
                <w:color w:val="auto"/>
                <w:sz w:val="24"/>
                <w:szCs w:val="24"/>
                <w:lang w:bidi="ar"/>
              </w:rPr>
              <w:t xml:space="preserve">城管业务系统、网络安全设备运维，具备计算机相关专业大专及以上学历，持有网络安全相关认证证书优先；</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3.管理要求：严格遵守采购人现场管理、网络安全、保密管理相关规定，签订保密协议，所有运维操作须经采购人授权，全程留痕可追溯；</w:t>
            </w:r>
            <w:r/>
          </w:p>
          <w:p>
            <w:pPr>
              <w:jc w:val="left"/>
              <w:widowControl/>
              <w:rPr>
                <w:rFonts w:hint="eastAsia" w:ascii="宋体" w:hAnsi="宋体" w:cs="宋体"/>
                <w:color w:val="auto"/>
                <w:sz w:val="24"/>
                <w:szCs w:val="24"/>
              </w:rPr>
            </w:pPr>
            <w:r>
              <w:rPr>
                <w:rFonts w:hint="eastAsia" w:ascii="宋体" w:hAnsi="宋体" w:cs="宋体"/>
                <w:color w:val="auto"/>
                <w:sz w:val="24"/>
                <w:szCs w:val="24"/>
                <w:lang w:bidi="ar"/>
              </w:rPr>
              <w:t xml:space="preserve">4.服务要求：驻场人员须服从采购人工作安排，及时响应采购人运维需求，每月出具一份完整运维报告报采购人确认。</w:t>
            </w:r>
            <w:r/>
          </w:p>
        </w:tc>
      </w:tr>
    </w:tbl>
    <w:p>
      <w:pPr>
        <w:ind w:firstLine="482"/>
        <w:spacing w:line="560" w:lineRule="exact"/>
        <w:rPr>
          <w:rFonts w:hint="eastAsia" w:ascii="宋体" w:hAnsi="宋体" w:cs="宋体"/>
          <w:b/>
          <w:bCs/>
          <w:color w:val="auto"/>
          <w:sz w:val="24"/>
          <w:szCs w:val="24"/>
        </w:rPr>
      </w:pPr>
      <w:r/>
      <w:bookmarkStart w:id="109" w:name="heading_11"/>
      <w:r>
        <w:rPr>
          <w:rFonts w:hint="eastAsia" w:ascii="宋体" w:hAnsi="宋体" w:cs="宋体"/>
          <w:b/>
          <w:bCs/>
          <w:color w:val="auto"/>
          <w:sz w:val="24"/>
          <w:szCs w:val="24"/>
        </w:rPr>
        <w:t xml:space="preserve">分包2：</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本清单为项目采购核心标的，供应商须对所有服务项进行完整响应，不得缺项、漏项、负偏离，所有服务内容均须明确执行标准、交付物与考核指标。</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（一）视频监控平台日常维护</w:t>
      </w:r>
      <w:r/>
    </w:p>
    <w:tbl>
      <w:tblPr>
        <w:tblStyle w:val="852"/>
        <w:tblW w:w="9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1230"/>
        <w:gridCol w:w="705"/>
        <w:gridCol w:w="795"/>
        <w:gridCol w:w="5973"/>
      </w:tblGrid>
      <w:tr>
        <w:trPr>
          <w:jc w:val="center"/>
          <w:tblHeader/>
        </w:trPr>
        <w:tc>
          <w:tcPr>
            <w:tcW w:w="731" w:type="dxa"/>
            <w:vAlign w:val="center"/>
            <w:textDirection w:val="lrTb"/>
            <w:noWrap w:val="false"/>
          </w:tcPr>
          <w:p>
            <w:pPr>
              <w:jc w:val="center"/>
              <w:widowControl/>
              <w:rPr>
                <w:rFonts w:hint="eastAsia" w:ascii="宋体" w:hAnsi="宋体" w:cs="宋体"/>
                <w:b/>
                <w:color w:val="auto"/>
                <w:sz w:val="24"/>
                <w:szCs w:val="24"/>
              </w:rPr>
            </w:pPr>
            <w:r>
              <w:rPr>
                <w:rFonts w:hint="eastAsia" w:ascii="宋体" w:hAnsi="宋体" w:cs="宋体"/>
                <w:b/>
                <w:color w:val="auto"/>
                <w:sz w:val="24"/>
                <w:szCs w:val="24"/>
                <w:lang w:bidi="ar"/>
              </w:rPr>
              <w:t xml:space="preserve">序号</w:t>
            </w:r>
            <w:r/>
          </w:p>
        </w:tc>
        <w:tc>
          <w:tcPr>
            <w:tcW w:w="1230" w:type="dxa"/>
            <w:vAlign w:val="center"/>
            <w:textDirection w:val="lrTb"/>
            <w:noWrap w:val="false"/>
          </w:tcPr>
          <w:p>
            <w:pPr>
              <w:jc w:val="center"/>
              <w:widowControl/>
              <w:rPr>
                <w:rFonts w:hint="eastAsia" w:ascii="宋体" w:hAnsi="宋体" w:cs="宋体"/>
                <w:b/>
                <w:color w:val="auto"/>
                <w:sz w:val="24"/>
                <w:szCs w:val="24"/>
              </w:rPr>
            </w:pPr>
            <w:r>
              <w:rPr>
                <w:rFonts w:hint="eastAsia" w:ascii="宋体" w:hAnsi="宋体" w:cs="宋体"/>
                <w:b/>
                <w:color w:val="auto"/>
                <w:sz w:val="24"/>
                <w:szCs w:val="24"/>
                <w:lang w:bidi="ar"/>
              </w:rPr>
              <w:t xml:space="preserve">服务名称</w:t>
            </w:r>
            <w:r/>
          </w:p>
        </w:tc>
        <w:tc>
          <w:tcPr>
            <w:tcW w:w="705" w:type="dxa"/>
            <w:vAlign w:val="center"/>
            <w:textDirection w:val="lrTb"/>
            <w:noWrap w:val="false"/>
          </w:tcPr>
          <w:p>
            <w:pPr>
              <w:jc w:val="center"/>
              <w:widowControl/>
              <w:rPr>
                <w:rFonts w:hint="eastAsia" w:ascii="宋体" w:hAnsi="宋体" w:cs="宋体"/>
                <w:b/>
                <w:color w:val="auto"/>
                <w:sz w:val="24"/>
                <w:szCs w:val="24"/>
              </w:rPr>
            </w:pPr>
            <w:r>
              <w:rPr>
                <w:rFonts w:hint="eastAsia" w:ascii="宋体" w:hAnsi="宋体" w:cs="宋体"/>
                <w:b/>
                <w:color w:val="auto"/>
                <w:sz w:val="24"/>
                <w:szCs w:val="24"/>
                <w:lang w:bidi="ar"/>
              </w:rPr>
              <w:t xml:space="preserve">单位</w:t>
            </w:r>
            <w:r/>
          </w:p>
        </w:tc>
        <w:tc>
          <w:tcPr>
            <w:tcW w:w="795" w:type="dxa"/>
            <w:vAlign w:val="center"/>
            <w:textDirection w:val="lrTb"/>
            <w:noWrap w:val="false"/>
          </w:tcPr>
          <w:p>
            <w:pPr>
              <w:jc w:val="center"/>
              <w:widowControl/>
              <w:rPr>
                <w:rFonts w:hint="eastAsia" w:ascii="宋体" w:hAnsi="宋体" w:cs="宋体"/>
                <w:b/>
                <w:color w:val="auto"/>
                <w:sz w:val="24"/>
                <w:szCs w:val="24"/>
              </w:rPr>
            </w:pPr>
            <w:r>
              <w:rPr>
                <w:rFonts w:hint="eastAsia" w:ascii="宋体" w:hAnsi="宋体" w:cs="宋体"/>
                <w:b/>
                <w:color w:val="auto"/>
                <w:sz w:val="24"/>
                <w:szCs w:val="24"/>
                <w:lang w:bidi="ar"/>
              </w:rPr>
              <w:t xml:space="preserve">数量</w:t>
            </w:r>
            <w:r/>
          </w:p>
        </w:tc>
        <w:tc>
          <w:tcPr>
            <w:tcW w:w="5973" w:type="dxa"/>
            <w:vAlign w:val="center"/>
            <w:textDirection w:val="lrTb"/>
            <w:noWrap w:val="false"/>
          </w:tcPr>
          <w:p>
            <w:pPr>
              <w:jc w:val="center"/>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要求</w:t>
            </w:r>
            <w:r/>
          </w:p>
        </w:tc>
      </w:tr>
      <w:tr>
        <w:trPr>
          <w:jc w:val="center"/>
        </w:trPr>
        <w:tc>
          <w:tcPr>
            <w:tcW w:w="731"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1</w:t>
            </w:r>
            <w:r/>
          </w:p>
        </w:tc>
        <w:tc>
          <w:tcPr>
            <w:tcW w:w="123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视频监控平台日常维护</w:t>
            </w:r>
            <w:r/>
          </w:p>
        </w:tc>
        <w:tc>
          <w:tcPr>
            <w:tcW w:w="70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套</w:t>
            </w:r>
            <w:r/>
          </w:p>
        </w:tc>
        <w:tc>
          <w:tcPr>
            <w:tcW w:w="79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W w:w="5973" w:type="dxa"/>
            <w:vAlign w:val="center"/>
            <w:textDirection w:val="lrTb"/>
            <w:noWrap w:val="false"/>
          </w:tcPr>
          <w:p>
            <w:pPr>
              <w:jc w:val="left"/>
              <w:rPr>
                <w:rFonts w:hint="eastAsia" w:ascii="宋体" w:hAnsi="宋体" w:cs="宋体"/>
                <w:color w:val="auto"/>
                <w:sz w:val="24"/>
                <w:szCs w:val="24"/>
              </w:rPr>
            </w:pPr>
            <w:r>
              <w:rPr>
                <w:rFonts w:hint="eastAsia" w:ascii="宋体" w:hAnsi="宋体" w:cs="宋体"/>
                <w:color w:val="auto"/>
                <w:sz w:val="24"/>
                <w:szCs w:val="24"/>
                <w:shd w:val="clear" w:color="auto" w:fill="ffffff"/>
              </w:rPr>
              <w:t xml:space="preserve">1.完成视频监控平台全功能模块常态化运维，覆盖实时预览、录像回放、点位管理、设备巡检、告警管理、权限配置等核心功能；</w:t>
            </w:r>
            <w:r>
              <w:rPr>
                <w:rFonts w:hint="eastAsia" w:ascii="宋体" w:hAnsi="宋体" w:cs="宋体"/>
                <w:color w:val="auto"/>
                <w:sz w:val="24"/>
                <w:szCs w:val="24"/>
                <w:shd w:val="clear" w:color="auto" w:fill="ffffff"/>
              </w:rPr>
              <w:br/>
            </w:r>
            <w:r>
              <w:rPr>
                <w:rFonts w:hint="eastAsia" w:ascii="宋体" w:hAnsi="宋体" w:cs="宋体"/>
                <w:color w:val="auto"/>
                <w:sz w:val="24"/>
                <w:szCs w:val="24"/>
                <w:shd w:val="clear" w:color="auto" w:fill="ffffff"/>
              </w:rPr>
              <w:t xml:space="preserve">2.7×24小时平台运行状态监控，及时发现并处置平台异常、服务中断等故障；</w:t>
            </w:r>
            <w:r>
              <w:rPr>
                <w:rFonts w:hint="eastAsia" w:ascii="宋体" w:hAnsi="宋体" w:cs="宋体"/>
                <w:color w:val="auto"/>
                <w:sz w:val="24"/>
                <w:szCs w:val="24"/>
                <w:shd w:val="clear" w:color="auto" w:fill="ffffff"/>
              </w:rPr>
              <w:br/>
            </w:r>
            <w:r>
              <w:rPr>
                <w:rFonts w:hint="eastAsia" w:ascii="宋体" w:hAnsi="宋体" w:cs="宋体"/>
                <w:color w:val="auto"/>
                <w:sz w:val="24"/>
                <w:szCs w:val="24"/>
                <w:shd w:val="clear" w:color="auto" w:fill="ffffff"/>
              </w:rPr>
              <w:t xml:space="preserve">3.配合完成与其他部门监控平台的对接联调，包括接口调试、数据推送、权限分配，对接费用由供应商承担；</w:t>
            </w:r>
            <w:r>
              <w:rPr>
                <w:rFonts w:hint="eastAsia" w:ascii="宋体" w:hAnsi="宋体" w:cs="宋体"/>
                <w:color w:val="auto"/>
                <w:sz w:val="24"/>
                <w:szCs w:val="24"/>
                <w:shd w:val="clear" w:color="auto" w:fill="ffffff"/>
              </w:rPr>
              <w:br/>
            </w:r>
            <w:r>
              <w:rPr>
                <w:rFonts w:hint="eastAsia" w:ascii="宋体" w:hAnsi="宋体" w:cs="宋体"/>
                <w:color w:val="auto"/>
                <w:sz w:val="24"/>
                <w:szCs w:val="24"/>
                <w:shd w:val="clear" w:color="auto" w:fill="ffffff"/>
              </w:rPr>
              <w:t xml:space="preserve">4.每月出具平台运行报告，包含在线率统计、故障记录、对接情况等。</w:t>
            </w:r>
            <w:r/>
          </w:p>
        </w:tc>
      </w:tr>
    </w:tbl>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（二）监控设备维修、更换、改电及电费</w:t>
      </w:r>
      <w:r/>
    </w:p>
    <w:tbl>
      <w:tblPr>
        <w:tblStyle w:val="810"/>
        <w:tblW w:w="9420" w:type="dxa"/>
        <w:tblInd w:w="-95" w:type="dxa"/>
        <w:tblLayout w:type="autofit"/>
        <w:tblCellMar>
          <w:left w:w="108" w:type="dxa"/>
          <w:top w:w="0" w:type="dxa"/>
          <w:right w:w="108" w:type="dxa"/>
          <w:bottom w:w="0" w:type="dxa"/>
        </w:tblCellMar>
        <w:tblLook w:val="04A0" w:firstRow="1" w:lastRow="0" w:firstColumn="1" w:lastColumn="0" w:noHBand="0" w:noVBand="1"/>
      </w:tblPr>
      <w:tblGrid>
        <w:gridCol w:w="735"/>
        <w:gridCol w:w="1200"/>
        <w:gridCol w:w="705"/>
        <w:gridCol w:w="795"/>
        <w:gridCol w:w="5985"/>
      </w:tblGrid>
      <w:tr>
        <w:trPr>
          <w:trHeight w:val="441"/>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lang w:bidi="ar"/>
              </w:rPr>
              <w:t xml:space="preserve">序号</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lang w:bidi="ar"/>
              </w:rPr>
              <w:t xml:space="preserve">服务名称</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lang w:bidi="ar"/>
              </w:rPr>
              <w:t xml:space="preserve">单位</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lang w:bidi="ar"/>
              </w:rPr>
              <w:t xml:space="preserve">数量</w:t>
            </w:r>
            <w:r/>
          </w:p>
        </w:tc>
        <w:tc>
          <w:tcPr>
            <w:tcBorders>
              <w:top w:val="single" w:color="auto" w:sz="4" w:space="0"/>
              <w:left w:val="single" w:color="auto" w:sz="4" w:space="0"/>
              <w:bottom w:val="single" w:color="auto" w:sz="4" w:space="0"/>
              <w:right w:val="single" w:color="auto" w:sz="4" w:space="0"/>
            </w:tcBorders>
            <w:tcW w:w="5985" w:type="dxa"/>
            <w:vAlign w:val="center"/>
            <w:textDirection w:val="lrTb"/>
            <w:noWrap w:val="false"/>
          </w:tcPr>
          <w:p>
            <w:pPr>
              <w:jc w:val="center"/>
              <w:rPr>
                <w:rFonts w:hint="eastAsia" w:ascii="宋体" w:hAnsi="宋体" w:cs="宋体"/>
                <w:b/>
                <w:bCs/>
                <w:color w:val="auto"/>
                <w:sz w:val="24"/>
                <w:szCs w:val="24"/>
              </w:rPr>
            </w:pPr>
            <w:r>
              <w:rPr>
                <w:rFonts w:hint="eastAsia" w:ascii="宋体" w:hAnsi="宋体" w:cs="宋体"/>
                <w:b/>
                <w:bCs/>
                <w:color w:val="auto"/>
                <w:sz w:val="24"/>
                <w:szCs w:val="24"/>
                <w:lang w:bidi="ar"/>
              </w:rPr>
              <w:t xml:space="preserve">技术要求</w:t>
            </w:r>
            <w:r/>
          </w:p>
        </w:tc>
      </w:tr>
      <w:tr>
        <w:trPr>
          <w:trHeight w:val="529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lang w:bidi="ar"/>
              </w:rPr>
              <w:t xml:space="preserve">监控设备维修、更换、改电及电费</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lang w:bidi="ar"/>
              </w:rPr>
              <w:t xml:space="preserve">项</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lang w:bidi="ar"/>
              </w:rPr>
              <w:t xml:space="preserve">1</w:t>
            </w:r>
            <w:r/>
          </w:p>
        </w:tc>
        <w:tc>
          <w:tcPr>
            <w:tcBorders>
              <w:top w:val="single" w:color="auto" w:sz="4" w:space="0"/>
              <w:left w:val="single" w:color="auto" w:sz="4" w:space="0"/>
              <w:bottom w:val="single" w:color="auto" w:sz="4" w:space="0"/>
              <w:right w:val="single" w:color="auto" w:sz="4" w:space="0"/>
            </w:tcBorders>
            <w:tcW w:w="5985" w:type="dxa"/>
            <w:vAlign w:val="center"/>
            <w:textDirection w:val="lrTb"/>
            <w:noWrap w:val="false"/>
          </w:tcPr>
          <w:p>
            <w:pPr>
              <w:jc w:val="left"/>
              <w:rPr>
                <w:rFonts w:hint="eastAsia" w:ascii="宋体" w:hAnsi="宋体" w:cs="宋体"/>
                <w:color w:val="auto"/>
                <w:sz w:val="24"/>
                <w:szCs w:val="24"/>
                <w:lang w:bidi="ar"/>
              </w:rPr>
            </w:pPr>
            <w:r>
              <w:rPr>
                <w:rFonts w:hint="eastAsia" w:ascii="宋体" w:hAnsi="宋体" w:cs="宋体"/>
                <w:color w:val="auto"/>
                <w:sz w:val="24"/>
                <w:szCs w:val="24"/>
                <w:lang w:bidi="ar"/>
              </w:rPr>
              <w:t xml:space="preserve">1.运维范围：666路视频监控摄像头（枪机408路、球机51路、高空球机8路为存量，其余为建设方案中宿城区、宿豫区、经开区前端摄像头）、配套立杆/挑臂/支架、设备箱（含箱内设备、锁具、插排、空开、防雷器、漏保等）、配电管线、传输网络设备等；</w:t>
            </w:r>
            <w:r/>
          </w:p>
          <w:p>
            <w:pPr>
              <w:jc w:val="left"/>
              <w:rPr>
                <w:rFonts w:hint="eastAsia" w:ascii="宋体" w:hAnsi="宋体" w:cs="宋体"/>
                <w:color w:val="auto"/>
                <w:sz w:val="24"/>
                <w:szCs w:val="24"/>
              </w:rPr>
            </w:pPr>
            <w:r>
              <w:rPr>
                <w:rFonts w:hint="eastAsia" w:ascii="宋体" w:hAnsi="宋体" w:cs="宋体"/>
                <w:color w:val="auto"/>
                <w:sz w:val="24"/>
                <w:szCs w:val="24"/>
                <w:lang w:bidi="ar"/>
              </w:rPr>
              <w:t xml:space="preserve">2.供应商承担运维范围内全部硬件、软件、设施及辅材、配件、配线的维修、更换费用，含摄像机配件、配线、电源等；</w:t>
            </w:r>
            <w:r/>
          </w:p>
          <w:p>
            <w:pPr>
              <w:jc w:val="left"/>
              <w:rPr>
                <w:rFonts w:hint="eastAsia" w:ascii="宋体" w:hAnsi="宋体" w:cs="宋体"/>
                <w:color w:val="auto"/>
                <w:sz w:val="24"/>
                <w:szCs w:val="24"/>
              </w:rPr>
            </w:pPr>
            <w:r>
              <w:rPr>
                <w:rFonts w:hint="eastAsia" w:ascii="宋体" w:hAnsi="宋体" w:cs="宋体"/>
                <w:color w:val="auto"/>
                <w:sz w:val="24"/>
                <w:szCs w:val="24"/>
                <w:lang w:bidi="ar"/>
              </w:rPr>
              <w:t xml:space="preserve">3.供应商承担立杆、设备箱、立杆基础、立杆标签、故障线路、线缆套管、空开等的维修、更换费用；</w:t>
            </w:r>
            <w:r/>
          </w:p>
          <w:p>
            <w:pPr>
              <w:jc w:val="left"/>
              <w:rPr>
                <w:rFonts w:hint="eastAsia" w:ascii="宋体" w:hAnsi="宋体" w:cs="宋体"/>
                <w:color w:val="auto"/>
                <w:sz w:val="24"/>
                <w:szCs w:val="24"/>
              </w:rPr>
            </w:pPr>
            <w:r>
              <w:rPr>
                <w:rFonts w:hint="eastAsia" w:ascii="宋体" w:hAnsi="宋体" w:cs="宋体"/>
                <w:color w:val="auto"/>
                <w:sz w:val="24"/>
                <w:szCs w:val="24"/>
                <w:lang w:bidi="ar"/>
              </w:rPr>
              <w:t xml:space="preserve">4.供应商负责前端点位取电线路巡检、故障维修恢复（包括欠压、中断、线路老化、裸露、破损更换整改等）、取电安全隐患整改，承担前端取电线路维修更换全部费用；</w:t>
            </w:r>
            <w:r/>
          </w:p>
          <w:p>
            <w:pPr>
              <w:jc w:val="left"/>
              <w:rPr>
                <w:rFonts w:hint="eastAsia" w:ascii="宋体" w:hAnsi="宋体" w:cs="宋体"/>
                <w:color w:val="auto"/>
                <w:sz w:val="24"/>
                <w:szCs w:val="24"/>
              </w:rPr>
            </w:pPr>
            <w:r>
              <w:rPr>
                <w:rFonts w:hint="eastAsia" w:ascii="宋体" w:hAnsi="宋体" w:cs="宋体"/>
                <w:color w:val="auto"/>
                <w:sz w:val="24"/>
                <w:szCs w:val="24"/>
                <w:lang w:bidi="ar"/>
              </w:rPr>
              <w:t xml:space="preserve">5.供应商承担所有前端点位全年电费，确保设备7×24小时正常供电；</w:t>
            </w:r>
            <w:r/>
          </w:p>
          <w:p>
            <w:pPr>
              <w:jc w:val="left"/>
              <w:rPr>
                <w:rFonts w:hint="eastAsia" w:ascii="宋体" w:hAnsi="宋体" w:cs="宋体"/>
                <w:color w:val="auto"/>
                <w:sz w:val="24"/>
                <w:szCs w:val="24"/>
              </w:rPr>
            </w:pPr>
            <w:r>
              <w:rPr>
                <w:rFonts w:hint="eastAsia" w:ascii="宋体" w:hAnsi="宋体" w:cs="宋体"/>
                <w:color w:val="auto"/>
                <w:sz w:val="24"/>
                <w:szCs w:val="24"/>
                <w:lang w:bidi="ar"/>
              </w:rPr>
              <w:t xml:space="preserve">6.因市政建设、道路施工、场地搬迁、人为破坏及其他原因需进行点位迁移的，供应商须在3天内完成协调与选址确认，2周内完成点位迁移与恢复，迁移恢复所需全部物资、费用、协调由供应商承担；</w:t>
            </w:r>
            <w:r/>
          </w:p>
        </w:tc>
      </w:tr>
    </w:tbl>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（三）喊话音响维护维修</w:t>
      </w:r>
      <w:r/>
    </w:p>
    <w:tbl>
      <w:tblPr>
        <w:tblStyle w:val="852"/>
        <w:tblW w:w="9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303"/>
        <w:gridCol w:w="746"/>
        <w:gridCol w:w="811"/>
        <w:gridCol w:w="5826"/>
      </w:tblGrid>
      <w:tr>
        <w:trPr>
          <w:jc w:val="center"/>
          <w:trHeight w:val="322"/>
          <w:tblHeader/>
        </w:trPr>
        <w:tc>
          <w:tcPr>
            <w:tcW w:w="831" w:type="dxa"/>
            <w:vAlign w:val="center"/>
            <w:textDirection w:val="lrTb"/>
            <w:noWrap w:val="false"/>
          </w:tcPr>
          <w:p>
            <w:pPr>
              <w:jc w:val="center"/>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序号</w:t>
            </w:r>
            <w:r/>
          </w:p>
        </w:tc>
        <w:tc>
          <w:tcPr>
            <w:tcW w:w="1303" w:type="dxa"/>
            <w:vAlign w:val="center"/>
            <w:textDirection w:val="lrTb"/>
            <w:noWrap w:val="false"/>
          </w:tcPr>
          <w:p>
            <w:pPr>
              <w:jc w:val="center"/>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服务名称</w:t>
            </w:r>
            <w:r/>
          </w:p>
        </w:tc>
        <w:tc>
          <w:tcPr>
            <w:tcW w:w="746" w:type="dxa"/>
            <w:vAlign w:val="center"/>
            <w:textDirection w:val="lrTb"/>
            <w:noWrap w:val="false"/>
          </w:tcPr>
          <w:p>
            <w:pPr>
              <w:jc w:val="center"/>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单位</w:t>
            </w:r>
            <w:r/>
          </w:p>
        </w:tc>
        <w:tc>
          <w:tcPr>
            <w:tcW w:w="811" w:type="dxa"/>
            <w:vAlign w:val="center"/>
            <w:textDirection w:val="lrTb"/>
            <w:noWrap w:val="false"/>
          </w:tcPr>
          <w:p>
            <w:pPr>
              <w:jc w:val="center"/>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数量</w:t>
            </w:r>
            <w:r/>
          </w:p>
        </w:tc>
        <w:tc>
          <w:tcPr>
            <w:tcW w:w="5826" w:type="dxa"/>
            <w:vAlign w:val="center"/>
            <w:textDirection w:val="lrTb"/>
            <w:noWrap w:val="false"/>
          </w:tcPr>
          <w:p>
            <w:pPr>
              <w:jc w:val="center"/>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技术要求</w:t>
            </w:r>
            <w:r/>
          </w:p>
        </w:tc>
      </w:tr>
      <w:tr>
        <w:trPr>
          <w:jc w:val="center"/>
          <w:trHeight w:val="4273"/>
        </w:trPr>
        <w:tc>
          <w:tcPr>
            <w:tcW w:w="831"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w:t>
            </w:r>
            <w:r/>
          </w:p>
        </w:tc>
        <w:tc>
          <w:tcPr>
            <w:tcW w:w="130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喊话音响维护维修</w:t>
            </w:r>
            <w:r/>
          </w:p>
        </w:tc>
        <w:tc>
          <w:tcPr>
            <w:tcW w:w="746"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台</w:t>
            </w:r>
            <w:r/>
          </w:p>
        </w:tc>
        <w:tc>
          <w:tcPr>
            <w:tcW w:w="811"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150</w:t>
            </w:r>
            <w:r/>
          </w:p>
        </w:tc>
        <w:tc>
          <w:tcPr>
            <w:tcW w:w="5826" w:type="dxa"/>
            <w:vAlign w:val="center"/>
            <w:textDirection w:val="lrTb"/>
            <w:noWrap w:val="false"/>
          </w:tcPr>
          <w:p>
            <w:pPr>
              <w:numPr>
                <w:ilvl w:val="0"/>
                <w:numId w:val="3"/>
              </w:numPr>
              <w:jc w:val="lef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运维范围：宿城区70台、宿豫区60台、经开区20台指挥音箱设备；</w:t>
            </w:r>
            <w:r>
              <w:rPr>
                <w:rFonts w:hint="eastAsia" w:ascii="宋体" w:hAnsi="宋体" w:cs="宋体"/>
                <w:color w:val="auto"/>
                <w:sz w:val="24"/>
                <w:szCs w:val="24"/>
                <w:lang w:bidi="ar"/>
              </w:rPr>
              <w:br/>
            </w:r>
            <w:r>
              <w:rPr>
                <w:rFonts w:hint="eastAsia" w:ascii="宋体" w:hAnsi="宋体" w:cs="宋体"/>
                <w:color w:val="auto"/>
                <w:sz w:val="24"/>
                <w:szCs w:val="24"/>
                <w:lang w:bidi="ar"/>
              </w:rPr>
              <w:t xml:space="preserve">2.包括音箱本体、适配电源、连接线缆、安装支架等全配件维护维修；</w:t>
            </w:r>
            <w:r>
              <w:rPr>
                <w:rFonts w:hint="eastAsia" w:ascii="宋体" w:hAnsi="宋体" w:cs="宋体"/>
                <w:color w:val="auto"/>
                <w:sz w:val="24"/>
                <w:szCs w:val="24"/>
                <w:lang w:bidi="ar"/>
              </w:rPr>
              <w:br/>
            </w:r>
            <w:r>
              <w:rPr>
                <w:rFonts w:hint="eastAsia" w:ascii="宋体" w:hAnsi="宋体" w:cs="宋体"/>
                <w:color w:val="auto"/>
                <w:sz w:val="24"/>
                <w:szCs w:val="24"/>
                <w:lang w:bidi="ar"/>
              </w:rPr>
              <w:t xml:space="preserve">3.每月完成一次音箱功能测试，确保远程喊话、语音播报功能正常；</w:t>
            </w:r>
            <w:r>
              <w:rPr>
                <w:rFonts w:hint="eastAsia" w:ascii="宋体" w:hAnsi="宋体" w:cs="宋体"/>
                <w:color w:val="auto"/>
                <w:sz w:val="24"/>
                <w:szCs w:val="24"/>
                <w:lang w:bidi="ar"/>
              </w:rPr>
              <w:br/>
            </w:r>
            <w:r>
              <w:rPr>
                <w:rFonts w:hint="eastAsia" w:ascii="宋体" w:hAnsi="宋体" w:cs="宋体"/>
                <w:color w:val="auto"/>
                <w:sz w:val="24"/>
                <w:szCs w:val="24"/>
                <w:lang w:bidi="ar"/>
              </w:rPr>
              <w:t xml:space="preserve">4.故障音箱4小时内到场维修，8小时内修复，无法修复的48小时内完成更换；</w:t>
            </w:r>
            <w:r>
              <w:rPr>
                <w:rFonts w:hint="eastAsia" w:ascii="宋体" w:hAnsi="宋体" w:cs="宋体"/>
                <w:color w:val="auto"/>
                <w:sz w:val="24"/>
                <w:szCs w:val="24"/>
                <w:lang w:bidi="ar"/>
              </w:rPr>
              <w:br/>
            </w:r>
            <w:r>
              <w:rPr>
                <w:rFonts w:hint="eastAsia" w:ascii="宋体" w:hAnsi="宋体" w:cs="宋体"/>
                <w:color w:val="auto"/>
                <w:sz w:val="24"/>
                <w:szCs w:val="24"/>
                <w:lang w:bidi="ar"/>
              </w:rPr>
              <w:t xml:space="preserve">5.供应商承担音箱所有维修、更换费用。</w:t>
            </w:r>
            <w:r/>
          </w:p>
          <w:p>
            <w:pPr>
              <w:jc w:val="lef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6.因市政建设、道路施工、场地搬迁、人为破坏及其他原因需进行点位迁移的，供应商须在3天内完成协调与选址确认，2周内完成点位迁移与恢复，迁移恢复所需全部物资、费用、协调由供应商承担</w:t>
            </w:r>
            <w:r/>
          </w:p>
        </w:tc>
      </w:tr>
    </w:tbl>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（四）井盖传感器备件</w:t>
      </w:r>
      <w:r/>
    </w:p>
    <w:tbl>
      <w:tblPr>
        <w:tblStyle w:val="852"/>
        <w:tblW w:w="93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281"/>
        <w:gridCol w:w="734"/>
        <w:gridCol w:w="797"/>
        <w:gridCol w:w="5747"/>
      </w:tblGrid>
      <w:tr>
        <w:trPr>
          <w:jc w:val="center"/>
          <w:trHeight w:val="321"/>
          <w:tblHeader/>
        </w:trPr>
        <w:tc>
          <w:tcPr>
            <w:tcW w:w="838" w:type="dxa"/>
            <w:vAlign w:val="center"/>
            <w:textDirection w:val="lrTb"/>
            <w:noWrap w:val="false"/>
          </w:tcPr>
          <w:p>
            <w:pPr>
              <w:jc w:val="center"/>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序号</w:t>
            </w:r>
            <w:r/>
          </w:p>
        </w:tc>
        <w:tc>
          <w:tcPr>
            <w:tcW w:w="1281" w:type="dxa"/>
            <w:vAlign w:val="center"/>
            <w:textDirection w:val="lrTb"/>
            <w:noWrap w:val="false"/>
          </w:tcPr>
          <w:p>
            <w:pPr>
              <w:jc w:val="center"/>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服务名称</w:t>
            </w:r>
            <w:r/>
          </w:p>
        </w:tc>
        <w:tc>
          <w:tcPr>
            <w:tcW w:w="734" w:type="dxa"/>
            <w:vAlign w:val="center"/>
            <w:textDirection w:val="lrTb"/>
            <w:noWrap w:val="false"/>
          </w:tcPr>
          <w:p>
            <w:pPr>
              <w:jc w:val="center"/>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单位</w:t>
            </w:r>
            <w:r/>
          </w:p>
        </w:tc>
        <w:tc>
          <w:tcPr>
            <w:tcW w:w="797" w:type="dxa"/>
            <w:vAlign w:val="center"/>
            <w:textDirection w:val="lrTb"/>
            <w:noWrap w:val="false"/>
          </w:tcPr>
          <w:p>
            <w:pPr>
              <w:jc w:val="center"/>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数量</w:t>
            </w:r>
            <w:r/>
          </w:p>
        </w:tc>
        <w:tc>
          <w:tcPr>
            <w:tcW w:w="5747" w:type="dxa"/>
            <w:vAlign w:val="center"/>
            <w:textDirection w:val="lrTb"/>
            <w:noWrap w:val="false"/>
          </w:tcPr>
          <w:p>
            <w:pPr>
              <w:jc w:val="center"/>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技术要求</w:t>
            </w:r>
            <w:r/>
          </w:p>
        </w:tc>
      </w:tr>
      <w:tr>
        <w:trPr>
          <w:jc w:val="center"/>
          <w:trHeight w:val="2754"/>
        </w:trPr>
        <w:tc>
          <w:tcPr>
            <w:tcW w:w="83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w:t>
            </w:r>
            <w:r/>
          </w:p>
        </w:tc>
        <w:tc>
          <w:tcPr>
            <w:tcW w:w="1281"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井盖传感器备件</w:t>
            </w:r>
            <w:r/>
          </w:p>
        </w:tc>
        <w:tc>
          <w:tcPr>
            <w:tcW w:w="734"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个</w:t>
            </w:r>
            <w:r/>
          </w:p>
        </w:tc>
        <w:tc>
          <w:tcPr>
            <w:tcW w:w="797"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400</w:t>
            </w:r>
            <w:r/>
          </w:p>
        </w:tc>
        <w:tc>
          <w:tcPr>
            <w:tcW w:w="5747" w:type="dxa"/>
            <w:vAlign w:val="center"/>
            <w:textDirection w:val="lrTb"/>
            <w:noWrap w:val="false"/>
          </w:tcPr>
          <w:p>
            <w:pPr>
              <w:jc w:val="lef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1.提供400个物联网井盖传感器备件，包含位移+液位监测二合一传感器及位移+液位+可燃气体监测三合一传感器两种型号，备件比例需与现网设备型号比例一致；</w:t>
            </w:r>
            <w:r>
              <w:rPr>
                <w:rFonts w:hint="eastAsia" w:ascii="宋体" w:hAnsi="宋体" w:cs="宋体"/>
                <w:color w:val="auto"/>
                <w:sz w:val="24"/>
                <w:szCs w:val="24"/>
                <w:lang w:bidi="ar"/>
              </w:rPr>
              <w:br/>
            </w:r>
            <w:r>
              <w:rPr>
                <w:rFonts w:hint="eastAsia" w:ascii="宋体" w:hAnsi="宋体" w:cs="宋体"/>
                <w:color w:val="auto"/>
                <w:sz w:val="24"/>
                <w:szCs w:val="24"/>
                <w:lang w:bidi="ar"/>
              </w:rPr>
              <w:t xml:space="preserve">2.备件须与设备完全兼容，支持即插即用更换，确保更换后数据正常上报平台；</w:t>
            </w:r>
            <w:r>
              <w:rPr>
                <w:rFonts w:hint="eastAsia" w:ascii="宋体" w:hAnsi="宋体" w:cs="宋体"/>
                <w:color w:val="auto"/>
                <w:sz w:val="24"/>
                <w:szCs w:val="24"/>
                <w:lang w:bidi="ar"/>
              </w:rPr>
              <w:br/>
            </w:r>
            <w:r>
              <w:rPr>
                <w:rFonts w:hint="eastAsia" w:ascii="宋体" w:hAnsi="宋体" w:cs="宋体"/>
                <w:color w:val="auto"/>
                <w:sz w:val="24"/>
                <w:szCs w:val="24"/>
                <w:lang w:bidi="ar"/>
              </w:rPr>
              <w:t xml:space="preserve">3.备件供应商提供1年质保；</w:t>
            </w:r>
            <w:r>
              <w:rPr>
                <w:rFonts w:hint="eastAsia" w:ascii="宋体" w:hAnsi="宋体" w:cs="宋体"/>
                <w:color w:val="auto"/>
                <w:sz w:val="24"/>
                <w:szCs w:val="24"/>
                <w:lang w:bidi="ar"/>
              </w:rPr>
              <w:br/>
            </w:r>
            <w:r>
              <w:rPr>
                <w:rFonts w:hint="eastAsia" w:ascii="宋体" w:hAnsi="宋体" w:cs="宋体"/>
                <w:color w:val="auto"/>
                <w:sz w:val="24"/>
                <w:szCs w:val="24"/>
                <w:lang w:bidi="ar"/>
              </w:rPr>
              <w:t xml:space="preserve">4.服务期内传感器故障，供应商须在24小时内完成更换，无需采购人额外支付费用</w:t>
            </w:r>
            <w:r/>
          </w:p>
        </w:tc>
      </w:tr>
    </w:tbl>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（五）井盖物联网卡</w:t>
      </w:r>
      <w:r/>
    </w:p>
    <w:tbl>
      <w:tblPr>
        <w:tblStyle w:val="852"/>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278"/>
        <w:gridCol w:w="723"/>
        <w:gridCol w:w="785"/>
        <w:gridCol w:w="5681"/>
      </w:tblGrid>
      <w:tr>
        <w:trPr>
          <w:jc w:val="center"/>
          <w:trHeight w:val="315"/>
          <w:tblHeader/>
        </w:trPr>
        <w:tc>
          <w:tcPr>
            <w:tcW w:w="831" w:type="dxa"/>
            <w:vAlign w:val="center"/>
            <w:textDirection w:val="lrTb"/>
            <w:noWrap w:val="false"/>
          </w:tcPr>
          <w:p>
            <w:pPr>
              <w:jc w:val="center"/>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序号</w:t>
            </w:r>
            <w:r/>
          </w:p>
        </w:tc>
        <w:tc>
          <w:tcPr>
            <w:tcW w:w="1278" w:type="dxa"/>
            <w:vAlign w:val="center"/>
            <w:textDirection w:val="lrTb"/>
            <w:noWrap w:val="false"/>
          </w:tcPr>
          <w:p>
            <w:pPr>
              <w:jc w:val="center"/>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服务名称</w:t>
            </w:r>
            <w:r/>
          </w:p>
        </w:tc>
        <w:tc>
          <w:tcPr>
            <w:tcW w:w="723" w:type="dxa"/>
            <w:vAlign w:val="center"/>
            <w:textDirection w:val="lrTb"/>
            <w:noWrap w:val="false"/>
          </w:tcPr>
          <w:p>
            <w:pPr>
              <w:jc w:val="center"/>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单位</w:t>
            </w:r>
            <w:r/>
          </w:p>
        </w:tc>
        <w:tc>
          <w:tcPr>
            <w:tcW w:w="785" w:type="dxa"/>
            <w:vAlign w:val="center"/>
            <w:textDirection w:val="lrTb"/>
            <w:noWrap w:val="false"/>
          </w:tcPr>
          <w:p>
            <w:pPr>
              <w:jc w:val="center"/>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数量</w:t>
            </w:r>
            <w:r/>
          </w:p>
        </w:tc>
        <w:tc>
          <w:tcPr>
            <w:tcW w:w="5681" w:type="dxa"/>
            <w:vAlign w:val="center"/>
            <w:textDirection w:val="lrTb"/>
            <w:noWrap w:val="false"/>
          </w:tcPr>
          <w:p>
            <w:pPr>
              <w:jc w:val="center"/>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技术要求</w:t>
            </w:r>
            <w:r/>
          </w:p>
        </w:tc>
      </w:tr>
      <w:tr>
        <w:trPr>
          <w:jc w:val="center"/>
          <w:trHeight w:val="2457"/>
        </w:trPr>
        <w:tc>
          <w:tcPr>
            <w:tcW w:w="831"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w:t>
            </w:r>
            <w:r/>
          </w:p>
        </w:tc>
        <w:tc>
          <w:tcPr>
            <w:tcW w:w="1278"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井盖物联网卡</w:t>
            </w:r>
            <w:r/>
          </w:p>
        </w:tc>
        <w:tc>
          <w:tcPr>
            <w:tcW w:w="72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张</w:t>
            </w:r>
            <w:r/>
          </w:p>
        </w:tc>
        <w:tc>
          <w:tcPr>
            <w:tcW w:w="78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2371</w:t>
            </w:r>
            <w:r/>
          </w:p>
        </w:tc>
        <w:tc>
          <w:tcPr>
            <w:tcW w:w="5681" w:type="dxa"/>
            <w:vAlign w:val="center"/>
            <w:textDirection w:val="lrTb"/>
            <w:noWrap w:val="false"/>
          </w:tcPr>
          <w:p>
            <w:pPr>
              <w:jc w:val="lef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1.提供2371张井盖传感器配套物联网卡，满足现网2371个传感器及备件使用需求；</w:t>
            </w:r>
            <w:r>
              <w:rPr>
                <w:rFonts w:hint="eastAsia" w:ascii="宋体" w:hAnsi="宋体" w:cs="宋体"/>
                <w:color w:val="auto"/>
                <w:sz w:val="24"/>
                <w:szCs w:val="24"/>
                <w:lang w:bidi="ar"/>
              </w:rPr>
              <w:br/>
            </w:r>
            <w:r>
              <w:rPr>
                <w:rFonts w:hint="eastAsia" w:ascii="宋体" w:hAnsi="宋体" w:cs="宋体"/>
                <w:color w:val="auto"/>
                <w:sz w:val="24"/>
                <w:szCs w:val="24"/>
                <w:lang w:bidi="ar"/>
              </w:rPr>
              <w:t xml:space="preserve">2.物联网卡须支持NB-IoT/LTECat.1等低功耗广域网通信协议，适配现网传感器通信模块；</w:t>
            </w:r>
            <w:r>
              <w:rPr>
                <w:rFonts w:hint="eastAsia" w:ascii="宋体" w:hAnsi="宋体" w:cs="宋体"/>
                <w:color w:val="auto"/>
                <w:sz w:val="24"/>
                <w:szCs w:val="24"/>
                <w:lang w:bidi="ar"/>
              </w:rPr>
              <w:br/>
            </w:r>
            <w:r>
              <w:rPr>
                <w:rFonts w:hint="eastAsia" w:ascii="宋体" w:hAnsi="宋体" w:cs="宋体"/>
                <w:color w:val="auto"/>
                <w:sz w:val="24"/>
                <w:szCs w:val="24"/>
                <w:lang w:bidi="ar"/>
              </w:rPr>
              <w:t xml:space="preserve">3.每张卡包含全年流量资费，流量套餐须满足传感器数据上报需求（不低于50MB/月/卡）；</w:t>
            </w:r>
            <w:r>
              <w:rPr>
                <w:rFonts w:hint="eastAsia" w:ascii="宋体" w:hAnsi="宋体" w:cs="宋体"/>
                <w:color w:val="auto"/>
                <w:sz w:val="24"/>
                <w:szCs w:val="24"/>
                <w:lang w:bidi="ar"/>
              </w:rPr>
              <w:br/>
            </w:r>
            <w:r>
              <w:rPr>
                <w:rFonts w:hint="eastAsia" w:ascii="宋体" w:hAnsi="宋体" w:cs="宋体"/>
                <w:color w:val="auto"/>
                <w:sz w:val="24"/>
                <w:szCs w:val="24"/>
                <w:lang w:bidi="ar"/>
              </w:rPr>
              <w:t xml:space="preserve">4.提供物联网卡管理平台账号，支持流量查询、状态监控、异常告警等功能；</w:t>
            </w:r>
            <w:r/>
          </w:p>
        </w:tc>
      </w:tr>
    </w:tbl>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（六）井盖平台日常维护</w:t>
      </w:r>
      <w:r/>
    </w:p>
    <w:tbl>
      <w:tblPr>
        <w:tblStyle w:val="852"/>
        <w:tblW w:w="9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6"/>
        <w:gridCol w:w="1843"/>
        <w:gridCol w:w="1036"/>
        <w:gridCol w:w="859"/>
        <w:gridCol w:w="4662"/>
      </w:tblGrid>
      <w:tr>
        <w:trPr>
          <w:jc w:val="center"/>
          <w:trHeight w:val="302"/>
          <w:tblHeader/>
        </w:trPr>
        <w:tc>
          <w:tcPr>
            <w:tcW w:w="1036" w:type="dxa"/>
            <w:vAlign w:val="center"/>
            <w:textDirection w:val="lrTb"/>
            <w:noWrap w:val="false"/>
          </w:tcPr>
          <w:p>
            <w:pPr>
              <w:jc w:val="center"/>
              <w:keepLines/>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序号</w:t>
            </w:r>
            <w:r/>
          </w:p>
        </w:tc>
        <w:tc>
          <w:tcPr>
            <w:tcW w:w="1843" w:type="dxa"/>
            <w:vAlign w:val="center"/>
            <w:textDirection w:val="lrTb"/>
            <w:noWrap w:val="false"/>
          </w:tcPr>
          <w:p>
            <w:pPr>
              <w:jc w:val="center"/>
              <w:keepLines/>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服务名称</w:t>
            </w:r>
            <w:r/>
          </w:p>
        </w:tc>
        <w:tc>
          <w:tcPr>
            <w:tcW w:w="1036" w:type="dxa"/>
            <w:vAlign w:val="center"/>
            <w:textDirection w:val="lrTb"/>
            <w:noWrap w:val="false"/>
          </w:tcPr>
          <w:p>
            <w:pPr>
              <w:jc w:val="center"/>
              <w:keepLines/>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单位</w:t>
            </w:r>
            <w:r/>
          </w:p>
        </w:tc>
        <w:tc>
          <w:tcPr>
            <w:tcW w:w="859" w:type="dxa"/>
            <w:vAlign w:val="center"/>
            <w:textDirection w:val="lrTb"/>
            <w:noWrap w:val="false"/>
          </w:tcPr>
          <w:p>
            <w:pPr>
              <w:jc w:val="center"/>
              <w:keepLines/>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数量</w:t>
            </w:r>
            <w:r/>
          </w:p>
        </w:tc>
        <w:tc>
          <w:tcPr>
            <w:tcW w:w="4662" w:type="dxa"/>
            <w:vAlign w:val="center"/>
            <w:textDirection w:val="lrTb"/>
            <w:noWrap w:val="false"/>
          </w:tcPr>
          <w:p>
            <w:pPr>
              <w:jc w:val="center"/>
              <w:keepLines/>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技术要求</w:t>
            </w:r>
            <w:r/>
          </w:p>
        </w:tc>
      </w:tr>
      <w:tr>
        <w:trPr>
          <w:jc w:val="center"/>
          <w:trHeight w:val="603"/>
        </w:trPr>
        <w:tc>
          <w:tcPr>
            <w:tcW w:w="1036" w:type="dxa"/>
            <w:vAlign w:val="center"/>
            <w:textDirection w:val="lrTb"/>
            <w:noWrap w:val="false"/>
          </w:tcPr>
          <w:p>
            <w:pPr>
              <w:jc w:val="center"/>
              <w:keepLines/>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w:t>
            </w:r>
            <w:r/>
          </w:p>
        </w:tc>
        <w:tc>
          <w:tcPr>
            <w:tcW w:w="1843" w:type="dxa"/>
            <w:vAlign w:val="center"/>
            <w:textDirection w:val="lrTb"/>
            <w:noWrap w:val="false"/>
          </w:tcPr>
          <w:p>
            <w:pPr>
              <w:jc w:val="center"/>
              <w:keepLines/>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井盖平台日常维护</w:t>
            </w:r>
            <w:r/>
          </w:p>
        </w:tc>
        <w:tc>
          <w:tcPr>
            <w:tcW w:w="1036" w:type="dxa"/>
            <w:vAlign w:val="center"/>
            <w:textDirection w:val="lrTb"/>
            <w:noWrap w:val="false"/>
          </w:tcPr>
          <w:p>
            <w:pPr>
              <w:jc w:val="center"/>
              <w:keepLines/>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套</w:t>
            </w:r>
            <w:r/>
          </w:p>
        </w:tc>
        <w:tc>
          <w:tcPr>
            <w:tcW w:w="859" w:type="dxa"/>
            <w:vAlign w:val="center"/>
            <w:textDirection w:val="lrTb"/>
            <w:noWrap w:val="false"/>
          </w:tcPr>
          <w:p>
            <w:pPr>
              <w:jc w:val="center"/>
              <w:keepLines/>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w:t>
            </w:r>
            <w:r/>
          </w:p>
        </w:tc>
        <w:tc>
          <w:tcPr>
            <w:tcW w:w="4662" w:type="dxa"/>
            <w:vAlign w:val="center"/>
            <w:textDirection w:val="lrTb"/>
            <w:noWrap w:val="false"/>
          </w:tcPr>
          <w:p>
            <w:pPr>
              <w:jc w:val="left"/>
              <w:keepLines/>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1.完成物联网井盖管理平台全功能模块常态化运维，覆盖设备管理、数据采集、液位监测、位移告警、可燃气体监测、GIS地图展示等核心功能；</w:t>
            </w:r>
            <w:r>
              <w:rPr>
                <w:rFonts w:hint="eastAsia" w:ascii="宋体" w:hAnsi="宋体" w:cs="宋体"/>
                <w:color w:val="auto"/>
                <w:sz w:val="24"/>
                <w:szCs w:val="24"/>
                <w:lang w:bidi="ar"/>
              </w:rPr>
              <w:br/>
            </w:r>
            <w:r>
              <w:rPr>
                <w:rFonts w:hint="eastAsia" w:ascii="宋体" w:hAnsi="宋体" w:cs="宋体"/>
                <w:color w:val="auto"/>
                <w:sz w:val="24"/>
                <w:szCs w:val="24"/>
                <w:lang w:bidi="ar"/>
              </w:rPr>
              <w:t xml:space="preserve">2.7×24小时平台运行状态监控，及时发现并处置平台异常、数据中断等故障；</w:t>
            </w:r>
            <w:r>
              <w:rPr>
                <w:rFonts w:hint="eastAsia" w:ascii="宋体" w:hAnsi="宋体" w:cs="宋体"/>
                <w:color w:val="auto"/>
                <w:sz w:val="24"/>
                <w:szCs w:val="24"/>
                <w:lang w:bidi="ar"/>
              </w:rPr>
              <w:br/>
            </w:r>
            <w:r>
              <w:rPr>
                <w:rFonts w:hint="eastAsia" w:ascii="宋体" w:hAnsi="宋体" w:cs="宋体"/>
                <w:color w:val="auto"/>
                <w:sz w:val="24"/>
                <w:szCs w:val="24"/>
                <w:lang w:bidi="ar"/>
              </w:rPr>
              <w:t xml:space="preserve">3.定期完成传感器数据校准、设备在线状态巡检、告警阈值优化；</w:t>
            </w:r>
            <w:r>
              <w:rPr>
                <w:rFonts w:hint="eastAsia" w:ascii="宋体" w:hAnsi="宋体" w:cs="宋体"/>
                <w:color w:val="auto"/>
                <w:sz w:val="24"/>
                <w:szCs w:val="24"/>
                <w:lang w:bidi="ar"/>
              </w:rPr>
              <w:br/>
            </w:r>
            <w:r>
              <w:rPr>
                <w:rFonts w:hint="eastAsia" w:ascii="宋体" w:hAnsi="宋体" w:cs="宋体"/>
                <w:color w:val="auto"/>
                <w:sz w:val="24"/>
                <w:szCs w:val="24"/>
                <w:lang w:bidi="ar"/>
              </w:rPr>
              <w:t xml:space="preserve">4.每月出具平台运行报告，包含设备在线率、告警处置情况、数据统计分析等。</w:t>
            </w:r>
            <w:r/>
          </w:p>
        </w:tc>
      </w:tr>
    </w:tbl>
    <w:p>
      <w:pPr>
        <w:ind w:firstLine="482"/>
        <w:spacing w:line="560" w:lineRule="exact"/>
        <w:rPr>
          <w:rFonts w:hint="eastAsia" w:ascii="宋体" w:hAnsi="宋体" w:cs="宋体"/>
          <w:b/>
          <w:bCs/>
          <w:color w:val="auto"/>
          <w:sz w:val="24"/>
          <w:szCs w:val="24"/>
        </w:rPr>
      </w:pPr>
      <w:r>
        <w:rPr>
          <w:rFonts w:hint="eastAsia" w:ascii="宋体" w:hAnsi="宋体" w:cs="宋体"/>
          <w:b/>
          <w:bCs/>
          <w:color w:val="auto"/>
          <w:sz w:val="24"/>
          <w:szCs w:val="24"/>
        </w:rPr>
        <w:t xml:space="preserve">三、运维服务要求</w:t>
      </w:r>
      <w:bookmarkEnd w:id="109"/>
      <w:r/>
      <w:r/>
    </w:p>
    <w:p>
      <w:pPr>
        <w:ind w:firstLine="482"/>
        <w:spacing w:line="560" w:lineRule="exact"/>
        <w:rPr>
          <w:rFonts w:hint="eastAsia" w:ascii="宋体" w:hAnsi="宋体" w:cs="宋体"/>
          <w:b/>
          <w:bCs/>
          <w:color w:val="auto"/>
          <w:sz w:val="24"/>
          <w:szCs w:val="24"/>
        </w:rPr>
      </w:pPr>
      <w:r/>
      <w:bookmarkStart w:id="110" w:name="heading_12"/>
      <w:r>
        <w:rPr>
          <w:rFonts w:hint="eastAsia" w:ascii="宋体" w:hAnsi="宋体" w:cs="宋体"/>
          <w:b/>
          <w:bCs/>
          <w:color w:val="auto"/>
          <w:sz w:val="24"/>
          <w:szCs w:val="24"/>
        </w:rPr>
        <w:t xml:space="preserve">分包1：</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3.1服务响应与故障处置分级管控标准</w:t>
      </w:r>
      <w:bookmarkEnd w:id="110"/>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供应商须建立故障分级响应机制，所有故障须按以下标准完成响应、处置与闭环，响应时间自采购人发起起计算：</w:t>
      </w:r>
      <w:r/>
    </w:p>
    <w:tbl>
      <w:tblPr>
        <w:tblStyle w:val="810"/>
        <w:tblW w:w="9052" w:type="dxa"/>
        <w:tblInd w:w="93" w:type="dxa"/>
        <w:tblLayout w:type="fixed"/>
        <w:tblCellMar>
          <w:left w:w="108" w:type="dxa"/>
          <w:top w:w="0" w:type="dxa"/>
          <w:right w:w="108" w:type="dxa"/>
          <w:bottom w:w="0" w:type="dxa"/>
        </w:tblCellMar>
        <w:tblLook w:val="04A0" w:firstRow="1" w:lastRow="0" w:firstColumn="1" w:lastColumn="0" w:noHBand="0" w:noVBand="1"/>
      </w:tblPr>
      <w:tblGrid>
        <w:gridCol w:w="1207"/>
        <w:gridCol w:w="2760"/>
        <w:gridCol w:w="1665"/>
        <w:gridCol w:w="1755"/>
        <w:gridCol w:w="1665"/>
      </w:tblGrid>
      <w:tr>
        <w:trPr>
          <w:trHeight w:val="538"/>
        </w:trPr>
        <w:tc>
          <w:tcPr>
            <w:tcBorders>
              <w:top w:val="single" w:color="000000" w:sz="8" w:space="0"/>
              <w:left w:val="single" w:color="000000" w:sz="8" w:space="0"/>
              <w:bottom w:val="single" w:color="000000" w:sz="8" w:space="0"/>
              <w:right w:val="single" w:color="000000" w:sz="8" w:space="0"/>
            </w:tcBorders>
            <w:tcW w:w="1207" w:type="dxa"/>
            <w:vAlign w:val="center"/>
            <w:textDirection w:val="lrTb"/>
            <w:noWrap w:val="false"/>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故障等级</w:t>
            </w:r>
            <w:r/>
          </w:p>
        </w:tc>
        <w:tc>
          <w:tcPr>
            <w:tcBorders>
              <w:top w:val="single" w:color="000000" w:sz="8" w:space="0"/>
              <w:left w:val="none" w:color="000000" w:sz="4" w:space="0"/>
              <w:bottom w:val="single" w:color="000000" w:sz="8" w:space="0"/>
              <w:right w:val="single" w:color="000000" w:sz="8" w:space="0"/>
            </w:tcBorders>
            <w:tcW w:w="2760" w:type="dxa"/>
            <w:vAlign w:val="center"/>
            <w:textDirection w:val="lrTb"/>
            <w:noWrap w:val="false"/>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定义</w:t>
            </w:r>
            <w:r/>
          </w:p>
        </w:tc>
        <w:tc>
          <w:tcPr>
            <w:tcBorders>
              <w:top w:val="single" w:color="000000" w:sz="8" w:space="0"/>
              <w:left w:val="none" w:color="000000" w:sz="4" w:space="0"/>
              <w:bottom w:val="single" w:color="000000" w:sz="8" w:space="0"/>
              <w:right w:val="single" w:color="000000" w:sz="8" w:space="0"/>
            </w:tcBorders>
            <w:tcW w:w="1665" w:type="dxa"/>
            <w:vAlign w:val="center"/>
            <w:textDirection w:val="lrTb"/>
            <w:noWrap w:val="false"/>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响应时限</w:t>
            </w:r>
            <w:r/>
          </w:p>
        </w:tc>
        <w:tc>
          <w:tcPr>
            <w:tcBorders>
              <w:top w:val="single" w:color="000000" w:sz="8" w:space="0"/>
              <w:left w:val="none" w:color="000000" w:sz="4" w:space="0"/>
              <w:bottom w:val="single" w:color="000000" w:sz="8" w:space="0"/>
              <w:right w:val="single" w:color="000000" w:sz="8" w:space="0"/>
            </w:tcBorders>
            <w:tcW w:w="1755" w:type="dxa"/>
            <w:vAlign w:val="center"/>
            <w:textDirection w:val="lrTb"/>
            <w:noWrap w:val="false"/>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业务恢复时限</w:t>
            </w:r>
            <w:r/>
          </w:p>
        </w:tc>
        <w:tc>
          <w:tcPr>
            <w:tcBorders>
              <w:top w:val="single" w:color="000000" w:sz="8" w:space="0"/>
              <w:left w:val="none" w:color="000000" w:sz="4" w:space="0"/>
              <w:bottom w:val="single" w:color="000000" w:sz="8" w:space="0"/>
              <w:right w:val="single" w:color="000000" w:sz="8" w:space="0"/>
            </w:tcBorders>
            <w:tcW w:w="1665" w:type="dxa"/>
            <w:vAlign w:val="center"/>
            <w:textDirection w:val="lrTb"/>
            <w:noWrap w:val="false"/>
          </w:tcPr>
          <w:p>
            <w:pPr>
              <w:jc w:val="center"/>
              <w:widowControl/>
              <w:rPr>
                <w:rFonts w:hint="eastAsia" w:ascii="宋体" w:hAnsi="宋体" w:cs="宋体"/>
                <w:b/>
                <w:bCs/>
                <w:color w:val="auto"/>
                <w:sz w:val="24"/>
                <w:szCs w:val="24"/>
              </w:rPr>
            </w:pPr>
            <w:r>
              <w:rPr>
                <w:rFonts w:hint="eastAsia" w:ascii="宋体" w:hAnsi="宋体" w:cs="宋体"/>
                <w:b/>
                <w:bCs/>
                <w:color w:val="auto"/>
                <w:sz w:val="24"/>
                <w:szCs w:val="24"/>
                <w:lang w:bidi="ar"/>
              </w:rPr>
              <w:t xml:space="preserve">彻底解决时限</w:t>
            </w:r>
            <w:r/>
          </w:p>
        </w:tc>
      </w:tr>
      <w:tr>
        <w:trPr>
          <w:trHeight w:val="1725"/>
        </w:trPr>
        <w:tc>
          <w:tcPr>
            <w:tcBorders>
              <w:top w:val="none" w:color="000000" w:sz="4" w:space="0"/>
              <w:left w:val="single" w:color="000000" w:sz="8" w:space="0"/>
              <w:bottom w:val="single" w:color="000000" w:sz="8" w:space="0"/>
              <w:right w:val="single" w:color="000000" w:sz="8" w:space="0"/>
            </w:tcBorders>
            <w:tcW w:w="1207"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一级重大故障</w:t>
            </w:r>
            <w:r/>
          </w:p>
        </w:tc>
        <w:tc>
          <w:tcPr>
            <w:tcBorders>
              <w:top w:val="none" w:color="000000" w:sz="4" w:space="0"/>
              <w:left w:val="none" w:color="000000" w:sz="4" w:space="0"/>
              <w:bottom w:val="single" w:color="000000" w:sz="8" w:space="0"/>
              <w:right w:val="single" w:color="000000" w:sz="8" w:space="0"/>
            </w:tcBorders>
            <w:tcW w:w="276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业务系统全量中断、核心业务无法开展；网络大面积中断、发生勒索病毒等重大网络安全事件；指挥中心系统全面瘫痪</w:t>
            </w:r>
            <w:r/>
          </w:p>
        </w:tc>
        <w:tc>
          <w:tcPr>
            <w:tcBorders>
              <w:top w:val="none" w:color="000000" w:sz="4" w:space="0"/>
              <w:left w:val="none" w:color="000000" w:sz="4" w:space="0"/>
              <w:bottom w:val="single" w:color="000000" w:sz="8" w:space="0"/>
              <w:right w:val="single" w:color="000000" w:sz="8" w:space="0"/>
            </w:tcBorders>
            <w:tcW w:w="166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15分钟内响应，1小时内现场到场（重大活动期间30分钟到场）</w:t>
            </w:r>
            <w:r/>
          </w:p>
        </w:tc>
        <w:tc>
          <w:tcPr>
            <w:tcBorders>
              <w:top w:val="none" w:color="000000" w:sz="4" w:space="0"/>
              <w:left w:val="none" w:color="000000" w:sz="4" w:space="0"/>
              <w:bottom w:val="single" w:color="000000" w:sz="8" w:space="0"/>
              <w:right w:val="single" w:color="000000" w:sz="8" w:space="0"/>
            </w:tcBorders>
            <w:tcW w:w="175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1小时内恢复业务正常运行</w:t>
            </w:r>
            <w:r/>
          </w:p>
        </w:tc>
        <w:tc>
          <w:tcPr>
            <w:tcBorders>
              <w:top w:val="none" w:color="000000" w:sz="4" w:space="0"/>
              <w:left w:val="none" w:color="000000" w:sz="4" w:space="0"/>
              <w:bottom w:val="single" w:color="000000" w:sz="8" w:space="0"/>
              <w:right w:val="single" w:color="000000" w:sz="8" w:space="0"/>
            </w:tcBorders>
            <w:tcW w:w="166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4小时内彻底解决根因</w:t>
            </w:r>
            <w:r/>
          </w:p>
        </w:tc>
      </w:tr>
      <w:tr>
        <w:trPr>
          <w:trHeight w:val="1242"/>
        </w:trPr>
        <w:tc>
          <w:tcPr>
            <w:tcBorders>
              <w:top w:val="none" w:color="000000" w:sz="4" w:space="0"/>
              <w:left w:val="single" w:color="000000" w:sz="8" w:space="0"/>
              <w:bottom w:val="single" w:color="000000" w:sz="8" w:space="0"/>
              <w:right w:val="single" w:color="000000" w:sz="8" w:space="0"/>
            </w:tcBorders>
            <w:tcW w:w="1207"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二级紧急故障</w:t>
            </w:r>
            <w:r/>
          </w:p>
        </w:tc>
        <w:tc>
          <w:tcPr>
            <w:tcBorders>
              <w:top w:val="none" w:color="000000" w:sz="4" w:space="0"/>
              <w:left w:val="none" w:color="000000" w:sz="4" w:space="0"/>
              <w:bottom w:val="single" w:color="000000" w:sz="8" w:space="0"/>
              <w:right w:val="single" w:color="000000" w:sz="8" w:space="0"/>
            </w:tcBorders>
            <w:tcW w:w="276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核心业务模块中断，影响50%以上用户使用；重要安全设备宕机，防护能力失效；案件流转大面积异常</w:t>
            </w:r>
            <w:r/>
          </w:p>
        </w:tc>
        <w:tc>
          <w:tcPr>
            <w:tcBorders>
              <w:top w:val="none" w:color="000000" w:sz="4" w:space="0"/>
              <w:left w:val="none" w:color="000000" w:sz="4" w:space="0"/>
              <w:bottom w:val="single" w:color="000000" w:sz="8" w:space="0"/>
              <w:right w:val="single" w:color="000000" w:sz="8" w:space="0"/>
            </w:tcBorders>
            <w:tcW w:w="166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30分钟内响应，2小时内现场到场</w:t>
            </w:r>
            <w:r/>
          </w:p>
        </w:tc>
        <w:tc>
          <w:tcPr>
            <w:tcBorders>
              <w:top w:val="none" w:color="000000" w:sz="4" w:space="0"/>
              <w:left w:val="none" w:color="000000" w:sz="4" w:space="0"/>
              <w:bottom w:val="single" w:color="000000" w:sz="8" w:space="0"/>
              <w:right w:val="single" w:color="000000" w:sz="8" w:space="0"/>
            </w:tcBorders>
            <w:tcW w:w="175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2小时内恢复业务正常运行</w:t>
            </w:r>
            <w:r/>
          </w:p>
        </w:tc>
        <w:tc>
          <w:tcPr>
            <w:tcBorders>
              <w:top w:val="none" w:color="000000" w:sz="4" w:space="0"/>
              <w:left w:val="none" w:color="000000" w:sz="4" w:space="0"/>
              <w:bottom w:val="single" w:color="000000" w:sz="8" w:space="0"/>
              <w:right w:val="single" w:color="000000" w:sz="8" w:space="0"/>
            </w:tcBorders>
            <w:tcW w:w="166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8小时内彻底解决根因</w:t>
            </w:r>
            <w:r/>
          </w:p>
        </w:tc>
      </w:tr>
      <w:tr>
        <w:trPr>
          <w:trHeight w:val="875"/>
        </w:trPr>
        <w:tc>
          <w:tcPr>
            <w:tcBorders>
              <w:top w:val="none" w:color="000000" w:sz="4" w:space="0"/>
              <w:left w:val="single" w:color="000000" w:sz="8" w:space="0"/>
              <w:bottom w:val="single" w:color="000000" w:sz="8" w:space="0"/>
              <w:right w:val="single" w:color="000000" w:sz="8" w:space="0"/>
            </w:tcBorders>
            <w:tcW w:w="1207"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三级一般故障</w:t>
            </w:r>
            <w:r/>
          </w:p>
        </w:tc>
        <w:tc>
          <w:tcPr>
            <w:tcBorders>
              <w:top w:val="none" w:color="000000" w:sz="4" w:space="0"/>
              <w:left w:val="none" w:color="000000" w:sz="4" w:space="0"/>
              <w:bottom w:val="single" w:color="000000" w:sz="8" w:space="0"/>
              <w:right w:val="single" w:color="000000" w:sz="8" w:space="0"/>
            </w:tcBorders>
            <w:tcW w:w="276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非核心功能异常，不影响主体业务开展；设备出现告警，不影响正常运行；少量终端、少量案件流转异常</w:t>
            </w:r>
            <w:r/>
          </w:p>
        </w:tc>
        <w:tc>
          <w:tcPr>
            <w:tcBorders>
              <w:top w:val="none" w:color="000000" w:sz="4" w:space="0"/>
              <w:left w:val="none" w:color="000000" w:sz="4" w:space="0"/>
              <w:bottom w:val="single" w:color="000000" w:sz="8" w:space="0"/>
              <w:right w:val="single" w:color="000000" w:sz="8" w:space="0"/>
            </w:tcBorders>
            <w:tcW w:w="166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2小时内响应，4小时内现场到场</w:t>
            </w:r>
            <w:r/>
          </w:p>
        </w:tc>
        <w:tc>
          <w:tcPr>
            <w:tcBorders>
              <w:top w:val="none" w:color="000000" w:sz="4" w:space="0"/>
              <w:left w:val="none" w:color="000000" w:sz="4" w:space="0"/>
              <w:bottom w:val="single" w:color="000000" w:sz="8" w:space="0"/>
              <w:right w:val="single" w:color="000000" w:sz="8" w:space="0"/>
            </w:tcBorders>
            <w:tcW w:w="175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不影响业务正常运行</w:t>
            </w:r>
            <w:r/>
          </w:p>
        </w:tc>
        <w:tc>
          <w:tcPr>
            <w:tcBorders>
              <w:top w:val="none" w:color="000000" w:sz="4" w:space="0"/>
              <w:left w:val="none" w:color="000000" w:sz="4" w:space="0"/>
              <w:bottom w:val="single" w:color="000000" w:sz="8" w:space="0"/>
              <w:right w:val="single" w:color="000000" w:sz="8" w:space="0"/>
            </w:tcBorders>
            <w:tcW w:w="166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8小时内彻底解决</w:t>
            </w:r>
            <w:r/>
          </w:p>
        </w:tc>
      </w:tr>
      <w:tr>
        <w:trPr>
          <w:trHeight w:val="1075"/>
        </w:trPr>
        <w:tc>
          <w:tcPr>
            <w:tcBorders>
              <w:top w:val="none" w:color="000000" w:sz="4" w:space="0"/>
              <w:left w:val="single" w:color="000000" w:sz="8" w:space="0"/>
              <w:bottom w:val="single" w:color="000000" w:sz="8" w:space="0"/>
              <w:right w:val="single" w:color="000000" w:sz="8" w:space="0"/>
            </w:tcBorders>
            <w:tcW w:w="1207"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四级咨询类需求</w:t>
            </w:r>
            <w:r/>
          </w:p>
        </w:tc>
        <w:tc>
          <w:tcPr>
            <w:tcBorders>
              <w:top w:val="none" w:color="000000" w:sz="4" w:space="0"/>
              <w:left w:val="none" w:color="000000" w:sz="4" w:space="0"/>
              <w:bottom w:val="single" w:color="000000" w:sz="8" w:space="0"/>
              <w:right w:val="single" w:color="000000" w:sz="8" w:space="0"/>
            </w:tcBorders>
            <w:tcW w:w="2760"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系统操作咨询、配置调整咨询、技术咨询等非故障类需求</w:t>
            </w:r>
            <w:r/>
          </w:p>
        </w:tc>
        <w:tc>
          <w:tcPr>
            <w:tcBorders>
              <w:top w:val="none" w:color="000000" w:sz="4" w:space="0"/>
              <w:left w:val="none" w:color="000000" w:sz="4" w:space="0"/>
              <w:bottom w:val="single" w:color="000000" w:sz="8" w:space="0"/>
              <w:right w:val="single" w:color="000000" w:sz="8" w:space="0"/>
            </w:tcBorders>
            <w:tcW w:w="166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2小时内响应</w:t>
            </w:r>
            <w:r/>
          </w:p>
        </w:tc>
        <w:tc>
          <w:tcPr>
            <w:tcBorders>
              <w:top w:val="none" w:color="000000" w:sz="4" w:space="0"/>
              <w:left w:val="none" w:color="000000" w:sz="4" w:space="0"/>
              <w:bottom w:val="single" w:color="000000" w:sz="8" w:space="0"/>
              <w:right w:val="single" w:color="000000" w:sz="8" w:space="0"/>
            </w:tcBorders>
            <w:tcW w:w="175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w:t>
            </w:r>
            <w:r/>
          </w:p>
        </w:tc>
        <w:tc>
          <w:tcPr>
            <w:tcBorders>
              <w:top w:val="none" w:color="000000" w:sz="4" w:space="0"/>
              <w:left w:val="none" w:color="000000" w:sz="4" w:space="0"/>
              <w:bottom w:val="single" w:color="000000" w:sz="8" w:space="0"/>
              <w:right w:val="single" w:color="000000" w:sz="8" w:space="0"/>
            </w:tcBorders>
            <w:tcW w:w="166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24小时内给出解决方案</w:t>
            </w:r>
            <w:r/>
          </w:p>
        </w:tc>
      </w:tr>
    </w:tbl>
    <w:p>
      <w:pPr>
        <w:ind w:firstLine="480"/>
        <w:spacing w:line="560" w:lineRule="exact"/>
        <w:rPr>
          <w:rFonts w:hint="eastAsia" w:ascii="宋体" w:hAnsi="宋体" w:cs="宋体"/>
          <w:color w:val="auto"/>
          <w:sz w:val="24"/>
          <w:szCs w:val="24"/>
        </w:rPr>
      </w:pPr>
      <w:r/>
      <w:bookmarkStart w:id="111" w:name="heading_13"/>
      <w:r>
        <w:rPr>
          <w:rFonts w:hint="eastAsia" w:ascii="宋体" w:hAnsi="宋体" w:cs="宋体"/>
          <w:color w:val="auto"/>
          <w:sz w:val="24"/>
          <w:szCs w:val="24"/>
        </w:rPr>
        <w:t xml:space="preserve">3.2远程技术支持要求</w:t>
      </w:r>
      <w:bookmarkEnd w:id="111"/>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供应商须提供全年7×24小时不间断远程技术支持服务，设立专属服务对接群与7×24小时服务，确保技术支持渠道全程畅通；</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远程支持服务包含故障排查、技术咨询、配置指导、远程调试、安全告警处置等，所有远程操作须经采购人书面确认，全程录屏留痕；</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远程无法解决的故障，须按故障分级标准按时限到场处置，不得以远程支持为由拖延现场处置。</w:t>
      </w:r>
      <w:r/>
    </w:p>
    <w:p>
      <w:pPr>
        <w:ind w:firstLine="480"/>
        <w:spacing w:line="560" w:lineRule="exact"/>
        <w:rPr>
          <w:rFonts w:hint="eastAsia" w:ascii="宋体" w:hAnsi="宋体" w:cs="宋体"/>
          <w:color w:val="auto"/>
          <w:sz w:val="24"/>
          <w:szCs w:val="24"/>
        </w:rPr>
      </w:pPr>
      <w:r/>
      <w:bookmarkStart w:id="112" w:name="heading_14"/>
      <w:r>
        <w:rPr>
          <w:rFonts w:hint="eastAsia" w:ascii="宋体" w:hAnsi="宋体" w:cs="宋体"/>
          <w:color w:val="auto"/>
          <w:sz w:val="24"/>
          <w:szCs w:val="24"/>
        </w:rPr>
        <w:t xml:space="preserve">3.3常态化巡检体系要求</w:t>
      </w:r>
      <w:bookmarkEnd w:id="112"/>
      <w:r/>
      <w:r/>
    </w:p>
    <w:p>
      <w:pPr>
        <w:ind w:firstLine="480"/>
        <w:spacing w:line="560" w:lineRule="exact"/>
        <w:rPr>
          <w:rFonts w:hint="eastAsia" w:ascii="宋体" w:hAnsi="宋体" w:cs="宋体"/>
          <w:color w:val="auto"/>
          <w:sz w:val="24"/>
          <w:szCs w:val="24"/>
          <w:lang w:eastAsia="zh-CN"/>
        </w:rPr>
      </w:pPr>
      <w:r>
        <w:rPr>
          <w:rFonts w:hint="eastAsia" w:ascii="宋体" w:hAnsi="宋体" w:cs="宋体"/>
          <w:color w:val="auto"/>
          <w:sz w:val="24"/>
          <w:szCs w:val="24"/>
        </w:rPr>
        <w:t xml:space="preserve">供应商须建立标准化巡检体系，按以下频次与要求完成全量资产巡检</w:t>
      </w:r>
      <w:r>
        <w:rPr>
          <w:rFonts w:hint="eastAsia" w:ascii="宋体" w:hAnsi="宋体" w:cs="宋体"/>
          <w:color w:val="auto"/>
          <w:sz w:val="24"/>
          <w:szCs w:val="24"/>
          <w:lang w:eastAsia="zh-CN"/>
        </w:rPr>
        <w:t xml:space="preserve">。</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日巡检：远程巡检视频监控平台、井盖平台运行状态，监测点位在线情况；</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周巡检：抽查前端点位设备状态，完成核心点位现场巡检；</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月巡检：完成</w:t>
      </w:r>
      <w:r>
        <w:rPr>
          <w:rFonts w:hint="eastAsia" w:ascii="宋体" w:hAnsi="宋体" w:cs="宋体"/>
          <w:color w:val="auto"/>
          <w:sz w:val="24"/>
          <w:szCs w:val="24"/>
          <w:lang w:val="en-US" w:eastAsia="zh-CN"/>
        </w:rPr>
        <w:t xml:space="preserve">本</w:t>
      </w:r>
      <w:r>
        <w:rPr>
          <w:rFonts w:hint="eastAsia" w:ascii="宋体" w:hAnsi="宋体" w:cs="宋体"/>
          <w:color w:val="auto"/>
          <w:sz w:val="24"/>
          <w:szCs w:val="24"/>
        </w:rPr>
        <w:t xml:space="preserve">项目</w:t>
      </w:r>
      <w:r>
        <w:rPr>
          <w:rFonts w:hint="eastAsia" w:ascii="宋体" w:hAnsi="宋体" w:cs="宋体"/>
          <w:color w:val="auto"/>
          <w:sz w:val="24"/>
          <w:szCs w:val="24"/>
          <w:lang w:val="en-US" w:eastAsia="zh-CN"/>
        </w:rPr>
        <w:t xml:space="preserve">全量前端设备10%现场</w:t>
      </w:r>
      <w:r>
        <w:rPr>
          <w:rFonts w:hint="eastAsia" w:ascii="宋体" w:hAnsi="宋体" w:cs="宋体"/>
          <w:color w:val="auto"/>
          <w:sz w:val="24"/>
          <w:szCs w:val="24"/>
        </w:rPr>
        <w:t xml:space="preserve">巡检</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包含取电线路、防雷接地、设备箱</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立杆检查和</w:t>
      </w:r>
      <w:r>
        <w:rPr>
          <w:rFonts w:hint="eastAsia" w:ascii="宋体" w:hAnsi="宋体" w:cs="宋体"/>
          <w:color w:val="auto"/>
          <w:sz w:val="24"/>
          <w:szCs w:val="24"/>
        </w:rPr>
        <w:t xml:space="preserve">设备清洁、除尘、调焦、去除遮挡</w:t>
      </w:r>
      <w:r>
        <w:rPr>
          <w:rFonts w:hint="eastAsia" w:ascii="宋体" w:hAnsi="宋体" w:cs="宋体"/>
          <w:color w:val="auto"/>
          <w:sz w:val="24"/>
          <w:szCs w:val="24"/>
          <w:lang w:val="en-US" w:eastAsia="zh-CN"/>
        </w:rPr>
        <w:t xml:space="preserve">等工作，</w:t>
      </w:r>
      <w:r>
        <w:rPr>
          <w:rFonts w:hint="eastAsia" w:ascii="宋体" w:hAnsi="宋体" w:cs="宋体"/>
          <w:color w:val="auto"/>
          <w:sz w:val="24"/>
          <w:szCs w:val="24"/>
        </w:rPr>
        <w:t xml:space="preserve">输出月巡检报告；</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季度专项巡检：完成</w:t>
      </w:r>
      <w:r>
        <w:rPr>
          <w:rFonts w:hint="eastAsia" w:ascii="宋体" w:hAnsi="宋体" w:cs="宋体"/>
          <w:color w:val="auto"/>
          <w:sz w:val="24"/>
          <w:szCs w:val="24"/>
          <w:lang w:val="en-US" w:eastAsia="zh-CN"/>
        </w:rPr>
        <w:t xml:space="preserve">本</w:t>
      </w:r>
      <w:r>
        <w:rPr>
          <w:rFonts w:hint="eastAsia" w:ascii="宋体" w:hAnsi="宋体" w:cs="宋体"/>
          <w:color w:val="auto"/>
          <w:sz w:val="24"/>
          <w:szCs w:val="24"/>
        </w:rPr>
        <w:t xml:space="preserve">项目</w:t>
      </w:r>
      <w:r>
        <w:rPr>
          <w:rFonts w:hint="eastAsia" w:ascii="宋体" w:hAnsi="宋体" w:cs="宋体"/>
          <w:color w:val="auto"/>
          <w:sz w:val="24"/>
          <w:szCs w:val="24"/>
          <w:lang w:val="en-US" w:eastAsia="zh-CN"/>
        </w:rPr>
        <w:t xml:space="preserve">全量前端设备30%现场</w:t>
      </w:r>
      <w:r>
        <w:rPr>
          <w:rFonts w:hint="eastAsia" w:ascii="宋体" w:hAnsi="宋体" w:cs="宋体"/>
          <w:color w:val="auto"/>
          <w:sz w:val="24"/>
          <w:szCs w:val="24"/>
        </w:rPr>
        <w:t xml:space="preserve">巡检</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包含取电线路、防雷接地、设备箱</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立杆检查和</w:t>
      </w:r>
      <w:r>
        <w:rPr>
          <w:rFonts w:hint="eastAsia" w:ascii="宋体" w:hAnsi="宋体" w:cs="宋体"/>
          <w:color w:val="auto"/>
          <w:sz w:val="24"/>
          <w:szCs w:val="24"/>
        </w:rPr>
        <w:t xml:space="preserve">设备清洁、除尘、调焦、去除遮挡</w:t>
      </w:r>
      <w:r>
        <w:rPr>
          <w:rFonts w:hint="eastAsia" w:ascii="宋体" w:hAnsi="宋体" w:cs="宋体"/>
          <w:color w:val="auto"/>
          <w:sz w:val="24"/>
          <w:szCs w:val="24"/>
          <w:lang w:val="en-US" w:eastAsia="zh-CN"/>
        </w:rPr>
        <w:t xml:space="preserve">等工作，</w:t>
      </w:r>
      <w:r>
        <w:rPr>
          <w:rFonts w:hint="eastAsia" w:ascii="宋体" w:hAnsi="宋体" w:cs="宋体"/>
          <w:color w:val="auto"/>
          <w:sz w:val="24"/>
          <w:szCs w:val="24"/>
        </w:rPr>
        <w:t xml:space="preserve">输出</w:t>
      </w:r>
      <w:r>
        <w:rPr>
          <w:rFonts w:hint="eastAsia" w:ascii="宋体" w:hAnsi="宋体" w:cs="宋体"/>
          <w:color w:val="auto"/>
          <w:sz w:val="24"/>
          <w:szCs w:val="24"/>
          <w:lang w:val="en-US" w:eastAsia="zh-CN"/>
        </w:rPr>
        <w:t xml:space="preserve">季度</w:t>
      </w:r>
      <w:r>
        <w:rPr>
          <w:rFonts w:hint="eastAsia" w:ascii="宋体" w:hAnsi="宋体" w:cs="宋体"/>
          <w:color w:val="auto"/>
          <w:sz w:val="24"/>
          <w:szCs w:val="24"/>
        </w:rPr>
        <w:t xml:space="preserve">巡检报告；</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年度全面巡检：服务期满前完成</w:t>
      </w:r>
      <w:r>
        <w:rPr>
          <w:rFonts w:hint="eastAsia" w:ascii="宋体" w:hAnsi="宋体" w:cs="宋体"/>
          <w:color w:val="auto"/>
          <w:sz w:val="24"/>
          <w:szCs w:val="24"/>
          <w:lang w:val="en-US" w:eastAsia="zh-CN"/>
        </w:rPr>
        <w:t xml:space="preserve">本</w:t>
      </w:r>
      <w:r>
        <w:rPr>
          <w:rFonts w:hint="eastAsia" w:ascii="宋体" w:hAnsi="宋体" w:cs="宋体"/>
          <w:color w:val="auto"/>
          <w:sz w:val="24"/>
          <w:szCs w:val="24"/>
        </w:rPr>
        <w:t xml:space="preserve">项目</w:t>
      </w:r>
      <w:r>
        <w:rPr>
          <w:rFonts w:hint="eastAsia" w:ascii="宋体" w:hAnsi="宋体" w:cs="宋体"/>
          <w:color w:val="auto"/>
          <w:sz w:val="24"/>
          <w:szCs w:val="24"/>
          <w:lang w:val="en-US" w:eastAsia="zh-CN"/>
        </w:rPr>
        <w:t xml:space="preserve">全量前端设备现场</w:t>
      </w:r>
      <w:r>
        <w:rPr>
          <w:rFonts w:hint="eastAsia" w:ascii="宋体" w:hAnsi="宋体" w:cs="宋体"/>
          <w:color w:val="auto"/>
          <w:sz w:val="24"/>
          <w:szCs w:val="24"/>
        </w:rPr>
        <w:t xml:space="preserve">巡检，输出年度运维总结报告。</w:t>
      </w:r>
      <w:r/>
    </w:p>
    <w:p>
      <w:pPr>
        <w:ind w:firstLine="480"/>
        <w:spacing w:line="560" w:lineRule="exact"/>
        <w:rPr>
          <w:rFonts w:hint="eastAsia" w:ascii="宋体" w:hAnsi="宋体" w:cs="宋体"/>
          <w:color w:val="auto"/>
          <w:sz w:val="24"/>
          <w:szCs w:val="24"/>
        </w:rPr>
      </w:pPr>
      <w:r/>
      <w:bookmarkStart w:id="113" w:name="heading_15"/>
      <w:r>
        <w:rPr>
          <w:rFonts w:hint="eastAsia" w:ascii="宋体" w:hAnsi="宋体" w:cs="宋体"/>
          <w:color w:val="auto"/>
          <w:sz w:val="24"/>
          <w:szCs w:val="24"/>
        </w:rPr>
        <w:t xml:space="preserve">3.4数据备份与容灾管理要求</w:t>
      </w:r>
      <w:bookmarkEnd w:id="113"/>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供应商须建立完善的数据备份机制，针对业务系统数据、配置文件、数据库数据、审计日志等核心数据，执行“每日增量备份+每周全量备份+每月异地归档备份”策略；</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备份文件须采用加密方式存储，异地备份须与生产环境物理隔离，备份留存时长不低于6个月，重要业务数据留存不低于1年；</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每季度完成一次备份恢复测试，验证备份文件的有效性，确保数据丢失、损坏时可快速恢复，恢复测试记录提交采购人审核；</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严禁未经采购人授权，私自导出、复制、泄露、篡改业务数据，否则追究相关法律责任。</w:t>
      </w:r>
      <w:r/>
    </w:p>
    <w:p>
      <w:pPr>
        <w:ind w:firstLine="480"/>
        <w:spacing w:line="560" w:lineRule="exact"/>
        <w:rPr>
          <w:rFonts w:hint="eastAsia" w:ascii="宋体" w:hAnsi="宋体" w:cs="宋体"/>
          <w:color w:val="auto"/>
          <w:sz w:val="24"/>
          <w:szCs w:val="24"/>
        </w:rPr>
      </w:pPr>
      <w:r/>
      <w:bookmarkStart w:id="114" w:name="heading_16"/>
      <w:r>
        <w:rPr>
          <w:rFonts w:hint="eastAsia" w:ascii="宋体" w:hAnsi="宋体" w:cs="宋体"/>
          <w:color w:val="auto"/>
          <w:sz w:val="24"/>
          <w:szCs w:val="24"/>
        </w:rPr>
        <w:t xml:space="preserve">3.5应急预案与应急保障要求</w:t>
      </w:r>
      <w:bookmarkEnd w:id="114"/>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供应商须在服务启动后15日内，制定完善的《系统故障应急预案》《网络安全事件应急预案》《重大活动保障方案》，经采购人审核后执行；</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每年组织不少于2次应急演练，演练发现问题需3日内完成整改，形成演练-整改-复测闭。环演练内容包含系统宕机、业务中断、勒索病毒攻击、数据泄露等场景，演练方案、过程记录、总结报告提交采购人审核；</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重大活动、重要会议、创文创卫等关键保障期间，供应商须安排专人7×24小时值守，提前完成系统与设备全面巡检、安全加固，按需提供现场保障服务，确保业务零中断、安全零事件；</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发生网络安全事件时，须第一时间启动应急预案，同时向采购人上报，配合完成事件处置、溯源、上报工作，不得瞒报、迟报、漏报。</w:t>
      </w:r>
      <w:r/>
    </w:p>
    <w:p>
      <w:pPr>
        <w:ind w:firstLine="480"/>
        <w:spacing w:line="560" w:lineRule="exact"/>
        <w:rPr>
          <w:rFonts w:hint="eastAsia" w:ascii="宋体" w:hAnsi="宋体" w:cs="宋体"/>
          <w:color w:val="auto"/>
          <w:sz w:val="24"/>
          <w:szCs w:val="24"/>
        </w:rPr>
      </w:pPr>
      <w:r/>
      <w:bookmarkStart w:id="115" w:name="heading_17"/>
      <w:r>
        <w:rPr>
          <w:rFonts w:hint="eastAsia" w:ascii="宋体" w:hAnsi="宋体" w:cs="宋体"/>
          <w:color w:val="auto"/>
          <w:sz w:val="24"/>
          <w:szCs w:val="24"/>
        </w:rPr>
        <w:t xml:space="preserve">3.6运维文档全周期交付要求</w:t>
      </w:r>
      <w:bookmarkEnd w:id="115"/>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供应商须按规范向采购人交付全流程运维文档，所有文档须经采购人审核确认，归档留存，交付清单包含但不限于：</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日常运维文档：巡检报告、故障处置记录、配置变更台账、病毒库/特征库升级台账；</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周期性报告：月度运维工作总结报告、季度专项巡检报告、季度漏洞扫描报告、年度运维总结报告；</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专项服务文档：数据安全风险评估报告、应急预案、应急演练报告、重大活动保障方案、培训课件与记录；</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验收文档：服务期满后，提交完整的年度运维全量文档汇编、项目验收申请报告、成果交付清单。</w:t>
      </w:r>
      <w:r/>
    </w:p>
    <w:p>
      <w:pPr>
        <w:ind w:firstLine="482"/>
        <w:spacing w:line="560" w:lineRule="exact"/>
        <w:rPr>
          <w:rFonts w:hint="eastAsia" w:ascii="宋体" w:hAnsi="宋体" w:cs="宋体"/>
          <w:b/>
          <w:bCs/>
          <w:color w:val="auto"/>
          <w:sz w:val="24"/>
          <w:szCs w:val="24"/>
        </w:rPr>
      </w:pPr>
      <w:r/>
      <w:bookmarkStart w:id="116" w:name="heading_18"/>
      <w:r>
        <w:rPr>
          <w:rFonts w:hint="eastAsia" w:ascii="宋体" w:hAnsi="宋体" w:cs="宋体"/>
          <w:b/>
          <w:bCs/>
          <w:color w:val="auto"/>
          <w:sz w:val="24"/>
          <w:szCs w:val="24"/>
        </w:rPr>
        <w:t xml:space="preserve">分包2：</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3.1服务响应与故障处置分级管控标准</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供应商须建立故障分级响应机制，所有故障须按以下标准完成响应、处置与闭环：</w:t>
      </w:r>
      <w:r/>
    </w:p>
    <w:tbl>
      <w:tblPr>
        <w:tblStyle w:val="852"/>
        <w:tblW w:w="9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6"/>
        <w:gridCol w:w="3216"/>
        <w:gridCol w:w="1621"/>
        <w:gridCol w:w="1384"/>
        <w:gridCol w:w="1239"/>
      </w:tblGrid>
      <w:tr>
        <w:trPr>
          <w:jc w:val="center"/>
          <w:tblHeader/>
        </w:trPr>
        <w:tc>
          <w:tcPr>
            <w:tcW w:w="2296" w:type="dxa"/>
            <w:vAlign w:val="center"/>
            <w:textDirection w:val="lrTb"/>
            <w:noWrap w:val="false"/>
          </w:tcPr>
          <w:p>
            <w:pPr>
              <w:jc w:val="center"/>
              <w:keepNext/>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故障等级</w:t>
            </w:r>
            <w:r/>
          </w:p>
        </w:tc>
        <w:tc>
          <w:tcPr>
            <w:tcW w:w="3216" w:type="dxa"/>
            <w:vAlign w:val="center"/>
            <w:textDirection w:val="lrTb"/>
            <w:noWrap w:val="false"/>
          </w:tcPr>
          <w:p>
            <w:pPr>
              <w:jc w:val="center"/>
              <w:keepNext/>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定义</w:t>
            </w:r>
            <w:r/>
          </w:p>
        </w:tc>
        <w:tc>
          <w:tcPr>
            <w:tcW w:w="0" w:type="auto"/>
            <w:vAlign w:val="center"/>
            <w:textDirection w:val="lrTb"/>
            <w:noWrap w:val="false"/>
          </w:tcPr>
          <w:p>
            <w:pPr>
              <w:jc w:val="center"/>
              <w:keepNext/>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响应时限</w:t>
            </w:r>
            <w:r/>
          </w:p>
        </w:tc>
        <w:tc>
          <w:tcPr>
            <w:tcW w:w="1384" w:type="dxa"/>
            <w:vAlign w:val="center"/>
            <w:textDirection w:val="lrTb"/>
            <w:noWrap w:val="false"/>
          </w:tcPr>
          <w:p>
            <w:pPr>
              <w:jc w:val="center"/>
              <w:keepNext/>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业务恢复时限</w:t>
            </w:r>
            <w:r/>
          </w:p>
        </w:tc>
        <w:tc>
          <w:tcPr>
            <w:tcW w:w="1239" w:type="dxa"/>
            <w:vAlign w:val="center"/>
            <w:textDirection w:val="lrTb"/>
            <w:noWrap w:val="false"/>
          </w:tcPr>
          <w:p>
            <w:pPr>
              <w:jc w:val="center"/>
              <w:keepNext/>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彻底解决时限</w:t>
            </w:r>
            <w:r/>
          </w:p>
        </w:tc>
      </w:tr>
      <w:tr>
        <w:trPr>
          <w:jc w:val="center"/>
        </w:trPr>
        <w:tc>
          <w:tcPr>
            <w:tcW w:w="229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一级重大故障</w:t>
            </w:r>
            <w:r/>
          </w:p>
        </w:tc>
        <w:tc>
          <w:tcPr>
            <w:tcW w:w="321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视频监控平台全量中断、大面积点位掉线（≥10%）、物联网井盖平台瘫痪</w:t>
            </w:r>
            <w:r/>
          </w:p>
        </w:tc>
        <w:tc>
          <w:tcPr>
            <w:tcW w:w="0" w:type="auto"/>
            <w:vAlign w:val="center"/>
            <w:textDirection w:val="lrTb"/>
            <w:noWrap w:val="false"/>
          </w:tcPr>
          <w:p>
            <w:pPr>
              <w:jc w:val="left"/>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15分钟内响应，1小时内到场</w:t>
            </w:r>
            <w:r/>
          </w:p>
        </w:tc>
        <w:tc>
          <w:tcPr>
            <w:tcW w:w="1384" w:type="dxa"/>
            <w:vAlign w:val="center"/>
            <w:textDirection w:val="lrTb"/>
            <w:noWrap w:val="false"/>
          </w:tcPr>
          <w:p>
            <w:pPr>
              <w:jc w:val="left"/>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1小时内</w:t>
            </w:r>
            <w:r/>
          </w:p>
        </w:tc>
        <w:tc>
          <w:tcPr>
            <w:tcW w:w="1239"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4小时内</w:t>
            </w:r>
            <w:r/>
          </w:p>
        </w:tc>
      </w:tr>
      <w:tr>
        <w:trPr>
          <w:jc w:val="center"/>
        </w:trPr>
        <w:tc>
          <w:tcPr>
            <w:tcW w:w="229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二级紧急故障</w:t>
            </w:r>
            <w:r/>
          </w:p>
        </w:tc>
        <w:tc>
          <w:tcPr>
            <w:tcW w:w="321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单区域点位批量离线（≥5%）、重要路口/点位故障、喊话系统失效</w:t>
            </w:r>
            <w:r/>
          </w:p>
        </w:tc>
        <w:tc>
          <w:tcPr>
            <w:tcW w:w="0" w:type="auto"/>
            <w:vAlign w:val="center"/>
            <w:textDirection w:val="lrTb"/>
            <w:noWrap w:val="false"/>
          </w:tcPr>
          <w:p>
            <w:pPr>
              <w:jc w:val="left"/>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30分钟内响应，2小时内到场</w:t>
            </w:r>
            <w:r/>
          </w:p>
        </w:tc>
        <w:tc>
          <w:tcPr>
            <w:tcW w:w="1384" w:type="dxa"/>
            <w:vAlign w:val="center"/>
            <w:textDirection w:val="lrTb"/>
            <w:noWrap w:val="false"/>
          </w:tcPr>
          <w:p>
            <w:pPr>
              <w:jc w:val="left"/>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2小时内</w:t>
            </w:r>
            <w:r/>
          </w:p>
        </w:tc>
        <w:tc>
          <w:tcPr>
            <w:tcW w:w="1239"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8小时内</w:t>
            </w:r>
            <w:r/>
          </w:p>
        </w:tc>
      </w:tr>
      <w:tr>
        <w:trPr>
          <w:jc w:val="center"/>
        </w:trPr>
        <w:tc>
          <w:tcPr>
            <w:tcW w:w="229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三级一般故障</w:t>
            </w:r>
            <w:r/>
          </w:p>
        </w:tc>
        <w:tc>
          <w:tcPr>
            <w:tcW w:w="321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单点位设备故障、单个音箱故障、单个传感器掉线</w:t>
            </w:r>
            <w:r/>
          </w:p>
        </w:tc>
        <w:tc>
          <w:tcPr>
            <w:tcW w:w="0" w:type="auto"/>
            <w:vAlign w:val="center"/>
            <w:textDirection w:val="lrTb"/>
            <w:noWrap w:val="false"/>
          </w:tcPr>
          <w:p>
            <w:pPr>
              <w:jc w:val="left"/>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2小时内响应，4小时内到场</w:t>
            </w:r>
            <w:r/>
          </w:p>
        </w:tc>
        <w:tc>
          <w:tcPr>
            <w:tcW w:w="1384" w:type="dxa"/>
            <w:vAlign w:val="center"/>
            <w:textDirection w:val="lrTb"/>
            <w:noWrap w:val="false"/>
          </w:tcPr>
          <w:p>
            <w:pPr>
              <w:jc w:val="left"/>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w:t>
            </w:r>
            <w:r/>
          </w:p>
        </w:tc>
        <w:tc>
          <w:tcPr>
            <w:tcW w:w="1239"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24小时内</w:t>
            </w:r>
            <w:r/>
          </w:p>
        </w:tc>
      </w:tr>
      <w:tr>
        <w:trPr>
          <w:jc w:val="center"/>
        </w:trPr>
        <w:tc>
          <w:tcPr>
            <w:tcW w:w="229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四级咨询类需求</w:t>
            </w:r>
            <w:r/>
          </w:p>
        </w:tc>
        <w:tc>
          <w:tcPr>
            <w:tcW w:w="321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点位查询、状态咨询等非故障类需求</w:t>
            </w:r>
            <w:r/>
          </w:p>
        </w:tc>
        <w:tc>
          <w:tcPr>
            <w:tcW w:w="1621" w:type="dxa"/>
            <w:vAlign w:val="center"/>
            <w:textDirection w:val="lrTb"/>
            <w:noWrap w:val="false"/>
          </w:tcPr>
          <w:p>
            <w:pPr>
              <w:jc w:val="left"/>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2小时内响应</w:t>
            </w:r>
            <w:r/>
          </w:p>
        </w:tc>
        <w:tc>
          <w:tcPr>
            <w:tcW w:w="1384" w:type="dxa"/>
            <w:vAlign w:val="center"/>
            <w:textDirection w:val="lrTb"/>
            <w:noWrap w:val="false"/>
          </w:tcPr>
          <w:p>
            <w:pPr>
              <w:jc w:val="left"/>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w:t>
            </w:r>
            <w:r/>
          </w:p>
        </w:tc>
        <w:tc>
          <w:tcPr>
            <w:tcW w:w="1239"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24小时内给出解决方案</w:t>
            </w:r>
            <w:r/>
          </w:p>
        </w:tc>
      </w:tr>
    </w:tbl>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注：前端及网关设备离线修复时间均不得超过24小时。</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3.2远程技术支持要求</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供应商须提供全年7×24小时不间断远程技术支持服务，设立专属服务对接群与7×24小时服务热线；</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远程支持包含故障排查、技术咨询、远程配置、告警处置等，远程无法解决的须按分级标准按时限到场。</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3.3常态化巡检体系要求</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供应商须建立标准化巡检体系，按以下频次完成全量资产巡检：</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日巡检：远程巡检视频监控平台、井盖平台运行状态，监测点位在线情况；</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周巡检：抽查前端点位设备状态，完成核心点位现场巡检；</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月巡检：完成</w:t>
      </w:r>
      <w:r>
        <w:rPr>
          <w:rFonts w:hint="eastAsia" w:ascii="宋体" w:hAnsi="宋体" w:cs="宋体"/>
          <w:color w:val="auto"/>
          <w:sz w:val="24"/>
          <w:szCs w:val="24"/>
          <w:lang w:val="en-US" w:eastAsia="zh-CN"/>
        </w:rPr>
        <w:t xml:space="preserve">本</w:t>
      </w:r>
      <w:r>
        <w:rPr>
          <w:rFonts w:hint="eastAsia" w:ascii="宋体" w:hAnsi="宋体" w:cs="宋体"/>
          <w:color w:val="auto"/>
          <w:sz w:val="24"/>
          <w:szCs w:val="24"/>
        </w:rPr>
        <w:t xml:space="preserve">项目</w:t>
      </w:r>
      <w:r>
        <w:rPr>
          <w:rFonts w:hint="eastAsia" w:ascii="宋体" w:hAnsi="宋体" w:cs="宋体"/>
          <w:color w:val="auto"/>
          <w:sz w:val="24"/>
          <w:szCs w:val="24"/>
          <w:lang w:val="en-US" w:eastAsia="zh-CN"/>
        </w:rPr>
        <w:t xml:space="preserve">全量前端设备10%现场</w:t>
      </w:r>
      <w:r>
        <w:rPr>
          <w:rFonts w:hint="eastAsia" w:ascii="宋体" w:hAnsi="宋体" w:cs="宋体"/>
          <w:color w:val="auto"/>
          <w:sz w:val="24"/>
          <w:szCs w:val="24"/>
        </w:rPr>
        <w:t xml:space="preserve">巡检</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包含取电线路、防雷接地、设备箱</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立杆检查和</w:t>
      </w:r>
      <w:r>
        <w:rPr>
          <w:rFonts w:hint="eastAsia" w:ascii="宋体" w:hAnsi="宋体" w:cs="宋体"/>
          <w:color w:val="auto"/>
          <w:sz w:val="24"/>
          <w:szCs w:val="24"/>
        </w:rPr>
        <w:t xml:space="preserve">设备清洁、除尘、调焦、去除遮挡</w:t>
      </w:r>
      <w:r>
        <w:rPr>
          <w:rFonts w:hint="eastAsia" w:ascii="宋体" w:hAnsi="宋体" w:cs="宋体"/>
          <w:color w:val="auto"/>
          <w:sz w:val="24"/>
          <w:szCs w:val="24"/>
          <w:lang w:val="en-US" w:eastAsia="zh-CN"/>
        </w:rPr>
        <w:t xml:space="preserve">等工作，</w:t>
      </w:r>
      <w:r>
        <w:rPr>
          <w:rFonts w:hint="eastAsia" w:ascii="宋体" w:hAnsi="宋体" w:cs="宋体"/>
          <w:color w:val="auto"/>
          <w:sz w:val="24"/>
          <w:szCs w:val="24"/>
        </w:rPr>
        <w:t xml:space="preserve">输出月巡检报告；</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季度专项巡检：完成</w:t>
      </w:r>
      <w:r>
        <w:rPr>
          <w:rFonts w:hint="eastAsia" w:ascii="宋体" w:hAnsi="宋体" w:cs="宋体"/>
          <w:color w:val="auto"/>
          <w:sz w:val="24"/>
          <w:szCs w:val="24"/>
          <w:lang w:val="en-US" w:eastAsia="zh-CN"/>
        </w:rPr>
        <w:t xml:space="preserve">本</w:t>
      </w:r>
      <w:r>
        <w:rPr>
          <w:rFonts w:hint="eastAsia" w:ascii="宋体" w:hAnsi="宋体" w:cs="宋体"/>
          <w:color w:val="auto"/>
          <w:sz w:val="24"/>
          <w:szCs w:val="24"/>
        </w:rPr>
        <w:t xml:space="preserve">项目</w:t>
      </w:r>
      <w:r>
        <w:rPr>
          <w:rFonts w:hint="eastAsia" w:ascii="宋体" w:hAnsi="宋体" w:cs="宋体"/>
          <w:color w:val="auto"/>
          <w:sz w:val="24"/>
          <w:szCs w:val="24"/>
          <w:lang w:val="en-US" w:eastAsia="zh-CN"/>
        </w:rPr>
        <w:t xml:space="preserve">全量前端设备30%现场</w:t>
      </w:r>
      <w:r>
        <w:rPr>
          <w:rFonts w:hint="eastAsia" w:ascii="宋体" w:hAnsi="宋体" w:cs="宋体"/>
          <w:color w:val="auto"/>
          <w:sz w:val="24"/>
          <w:szCs w:val="24"/>
        </w:rPr>
        <w:t xml:space="preserve">巡检</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包含取电线路、防雷接地、设备箱</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立杆检查和</w:t>
      </w:r>
      <w:r>
        <w:rPr>
          <w:rFonts w:hint="eastAsia" w:ascii="宋体" w:hAnsi="宋体" w:cs="宋体"/>
          <w:color w:val="auto"/>
          <w:sz w:val="24"/>
          <w:szCs w:val="24"/>
        </w:rPr>
        <w:t xml:space="preserve">设备清洁、除尘、调焦、去除遮挡</w:t>
      </w:r>
      <w:r>
        <w:rPr>
          <w:rFonts w:hint="eastAsia" w:ascii="宋体" w:hAnsi="宋体" w:cs="宋体"/>
          <w:color w:val="auto"/>
          <w:sz w:val="24"/>
          <w:szCs w:val="24"/>
          <w:lang w:val="en-US" w:eastAsia="zh-CN"/>
        </w:rPr>
        <w:t xml:space="preserve">等工作，</w:t>
      </w:r>
      <w:r>
        <w:rPr>
          <w:rFonts w:hint="eastAsia" w:ascii="宋体" w:hAnsi="宋体" w:cs="宋体"/>
          <w:color w:val="auto"/>
          <w:sz w:val="24"/>
          <w:szCs w:val="24"/>
        </w:rPr>
        <w:t xml:space="preserve">输出</w:t>
      </w:r>
      <w:r>
        <w:rPr>
          <w:rFonts w:hint="eastAsia" w:ascii="宋体" w:hAnsi="宋体" w:cs="宋体"/>
          <w:color w:val="auto"/>
          <w:sz w:val="24"/>
          <w:szCs w:val="24"/>
          <w:lang w:val="en-US" w:eastAsia="zh-CN"/>
        </w:rPr>
        <w:t xml:space="preserve">季度</w:t>
      </w:r>
      <w:r>
        <w:rPr>
          <w:rFonts w:hint="eastAsia" w:ascii="宋体" w:hAnsi="宋体" w:cs="宋体"/>
          <w:color w:val="auto"/>
          <w:sz w:val="24"/>
          <w:szCs w:val="24"/>
        </w:rPr>
        <w:t xml:space="preserve">巡检报告；</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年度全面巡检：服务期满前完成</w:t>
      </w:r>
      <w:r>
        <w:rPr>
          <w:rFonts w:hint="eastAsia" w:ascii="宋体" w:hAnsi="宋体" w:cs="宋体"/>
          <w:color w:val="auto"/>
          <w:sz w:val="24"/>
          <w:szCs w:val="24"/>
          <w:lang w:val="en-US" w:eastAsia="zh-CN"/>
        </w:rPr>
        <w:t xml:space="preserve">本</w:t>
      </w:r>
      <w:r>
        <w:rPr>
          <w:rFonts w:hint="eastAsia" w:ascii="宋体" w:hAnsi="宋体" w:cs="宋体"/>
          <w:color w:val="auto"/>
          <w:sz w:val="24"/>
          <w:szCs w:val="24"/>
        </w:rPr>
        <w:t xml:space="preserve">项目</w:t>
      </w:r>
      <w:r>
        <w:rPr>
          <w:rFonts w:hint="eastAsia" w:ascii="宋体" w:hAnsi="宋体" w:cs="宋体"/>
          <w:color w:val="auto"/>
          <w:sz w:val="24"/>
          <w:szCs w:val="24"/>
          <w:lang w:val="en-US" w:eastAsia="zh-CN"/>
        </w:rPr>
        <w:t xml:space="preserve">全量前端设备现场</w:t>
      </w:r>
      <w:r>
        <w:rPr>
          <w:rFonts w:hint="eastAsia" w:ascii="宋体" w:hAnsi="宋体" w:cs="宋体"/>
          <w:color w:val="auto"/>
          <w:sz w:val="24"/>
          <w:szCs w:val="24"/>
        </w:rPr>
        <w:t xml:space="preserve">巡检，输出年度运维总结报告。</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3.4备品备件管理要求</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供应商须建立本地备品备件库，储存足够的备品备件及易损易耗件；</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备件包含但不限于：摄像机、电源适配器、网络传输设备、传感器、音箱配件、线缆、空开、防雷器等；</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3.5应急预案与应急保障要求</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服务启动后15日内，制定《故障应急预案》《重大活动视频保障方案》，经采购人审核后执行；</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重大活动、重要会议、创文创卫等关键保障期间，供应商须安排专人7×24小时值守，按采购人要求提供现场视频保障服务；</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保障期间发生故障，须在20分钟内响应处置。</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3.6点位迁移服务要求</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因市政建设、道路施工、场地搬迁、人为破坏等原因导致点位不能正常工作时，供应商须完成点位迁移与恢复；</w:t>
      </w:r>
      <w:r/>
    </w:p>
    <w:p>
      <w:pPr>
        <w:ind w:firstLine="480"/>
        <w:spacing w:line="560" w:lineRule="exact"/>
        <w:rPr>
          <w:rFonts w:hint="default" w:ascii="宋体" w:hAnsi="宋体" w:eastAsia="宋体" w:cs="宋体"/>
          <w:color w:val="auto"/>
          <w:sz w:val="24"/>
          <w:szCs w:val="24"/>
          <w:lang w:val="en-US" w:eastAsia="zh-CN"/>
        </w:rPr>
      </w:pPr>
      <w:r>
        <w:rPr>
          <w:rFonts w:ascii="宋体" w:hAnsi="宋体" w:eastAsia="宋体" w:cs="宋体"/>
          <w:color w:val="auto"/>
          <w:sz w:val="24"/>
          <w:szCs w:val="24"/>
        </w:rPr>
        <w:t xml:space="preserve">因城市管理重点工作部署调整、采购人业务范围调整或实际管理需要优化调整服务点位的，供应商必须在采购人规定的时间内调整到位</w:t>
      </w:r>
      <w:r>
        <w:rPr>
          <w:rFonts w:hint="eastAsia" w:ascii="宋体" w:hAnsi="宋体" w:cs="宋体"/>
          <w:color w:val="auto"/>
          <w:sz w:val="24"/>
          <w:szCs w:val="24"/>
          <w:lang w:val="en-US" w:eastAsia="zh-CN"/>
        </w:rPr>
        <w:t xml:space="preserve">；</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点位不能正常工作之日起，3天内完成协调和选址确认，2周内完成点位迁移、恢复；</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迁移恢复所需全部物资、费用、协调由供应商承担；</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若原址立杆及设备被破坏，由供应商负责赔偿；取电电表迁移由供应商负责协调，相关费用由供应商承担。</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3.7运维文档交付要求</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供应商须按规范向采购人交付全流程运维文档，包括：《月度运维工作总结》《季度运维工作总结》《监控设备故障清单》《</w:t>
      </w:r>
      <w:r>
        <w:rPr>
          <w:rFonts w:hint="eastAsia" w:ascii="宋体" w:hAnsi="宋体" w:cs="宋体"/>
          <w:color w:val="auto"/>
          <w:sz w:val="24"/>
          <w:szCs w:val="24"/>
          <w:lang w:val="en-US" w:eastAsia="zh-CN"/>
        </w:rPr>
        <w:t xml:space="preserve">智能</w:t>
      </w:r>
      <w:r>
        <w:rPr>
          <w:rFonts w:hint="eastAsia" w:ascii="宋体" w:hAnsi="宋体" w:cs="宋体"/>
          <w:color w:val="auto"/>
          <w:sz w:val="24"/>
          <w:szCs w:val="24"/>
        </w:rPr>
        <w:t xml:space="preserve">井盖故障清单》《点位迁移报告》《年度运维工作总结》等；</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验收文档：服务期满后提交完整的年度运维全量文档汇编、项目验收申请报告、成果交付清单。</w:t>
      </w:r>
      <w:r/>
    </w:p>
    <w:p>
      <w:pPr>
        <w:ind w:firstLine="482"/>
        <w:spacing w:line="560" w:lineRule="exact"/>
        <w:rPr>
          <w:rFonts w:hint="eastAsia" w:ascii="宋体" w:hAnsi="宋体" w:cs="宋体"/>
          <w:b/>
          <w:bCs/>
          <w:color w:val="auto"/>
          <w:sz w:val="24"/>
          <w:szCs w:val="24"/>
        </w:rPr>
      </w:pPr>
      <w:r>
        <w:rPr>
          <w:rFonts w:hint="eastAsia" w:ascii="宋体" w:hAnsi="宋体" w:cs="宋体"/>
          <w:b/>
          <w:bCs/>
          <w:color w:val="auto"/>
          <w:sz w:val="24"/>
          <w:szCs w:val="24"/>
        </w:rPr>
        <w:t xml:space="preserve">四、网络安全技术要求</w:t>
      </w:r>
      <w:bookmarkEnd w:id="116"/>
      <w:r/>
      <w:r/>
    </w:p>
    <w:p>
      <w:pPr>
        <w:ind w:firstLine="482"/>
        <w:spacing w:line="560" w:lineRule="exac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分包1：</w:t>
      </w:r>
      <w:r/>
    </w:p>
    <w:p>
      <w:pPr>
        <w:ind w:firstLine="480"/>
        <w:spacing w:line="56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供应商须提供全方位、全周期、一体化网络安全综合运维保障服务，严格遵照网络安全等级保护合规标准执行作业，服务全过程完整归集安全工作台账、漏洞整改佐证、安全特征库升级记录、运维值守日志等归档资料，全面提升网络边界、业务系统、核心数据防护能力，保障全网架构、业务系统、核心数据持续稳定运行，实现安全风险动态识别、实时预警、快速处置、长效闭环管控。本次服务按照日常常态化运维、攻防演练及重大保障专项运维、演练存量复发隐患处置、监管通报安全事件处置四大场景标准化分级实施，具体服务要求如下：</w:t>
      </w:r>
      <w:r/>
    </w:p>
    <w:p>
      <w:pPr>
        <w:ind w:firstLine="482"/>
        <w:spacing w:line="560" w:lineRule="exac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一、常态化网络安全运维工作要求</w:t>
      </w:r>
      <w:r/>
    </w:p>
    <w:p>
      <w:pPr>
        <w:ind w:firstLine="480"/>
        <w:spacing w:line="56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服务周期内</w:t>
      </w:r>
      <w:r>
        <w:rPr>
          <w:rFonts w:hint="eastAsia" w:ascii="宋体" w:hAnsi="宋体" w:cs="宋体"/>
          <w:color w:val="auto"/>
          <w:sz w:val="24"/>
          <w:szCs w:val="24"/>
          <w:lang w:val="en-US" w:eastAsia="zh-CN"/>
        </w:rPr>
        <w:t xml:space="preserve">常态化提供7×24小时全网安全在线监测值守，按期完成安全探针设备部署、安装、调试及上线运维，搭建常态化全网监测体系；按季度标准化开展渗透测试、漏洞扫描落地实施工作，常态化落地标准化配套运维作业，包含：全网定期安全巡检、全域安全漏洞扫描、业务系统基线合规核查、全网账号权限分级管控、安全日志审计分析、网络异常流量排查阻断、常态化应急响应处置、终端及服务器恶意程序查杀、官网网页防篡改监测、核心数据专项安全巡检；按需开展全员网络安全宣教、单位安全管理制度台账整编归档、季度攻防复盘研判、各类安全专项整改报告编制工作。</w:t>
      </w:r>
      <w:r/>
    </w:p>
    <w:p>
      <w:pPr>
        <w:ind w:firstLine="480"/>
        <w:spacing w:line="56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存量漏洞闭环标准化管理：供应商每季度按期开展全域漏洞扫描、渗透测试作业，排查核验的安全隐患统一移交责任运维厂商限期整改，由供应商对整改完成问题逐项复测核验，核验无误后完成隐患闭环销号，夯实常态化安全防护底线。</w:t>
      </w:r>
      <w:r/>
    </w:p>
    <w:p>
      <w:pPr>
        <w:ind w:firstLine="482"/>
        <w:spacing w:line="560" w:lineRule="exac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二、攻防演练及重大网络安全保障时段专项运维保障要求</w:t>
      </w:r>
      <w:r/>
    </w:p>
    <w:p>
      <w:pPr>
        <w:ind w:firstLine="480"/>
        <w:spacing w:line="56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重大网络安全保障时段、官方统一组织攻防演练周期内，供应商须派驻专职持证技术人员全程驻场保障，前置优化全网安全防护策略，加密全网端口、业务流量、后台账号、核心资产监测频次，实时识别研判外网</w:t>
      </w:r>
      <w:r>
        <w:rPr>
          <w:rFonts w:hint="eastAsia" w:ascii="宋体" w:hAnsi="宋体" w:cs="宋体"/>
          <w:color w:val="auto"/>
          <w:sz w:val="24"/>
          <w:szCs w:val="24"/>
          <w:lang w:val="en-US" w:eastAsia="zh-CN"/>
        </w:rPr>
        <w:t xml:space="preserve">攻击、内网入侵、暴力爆破、越权访问等各类攻防行为，实现攻击早预警、早识别、早处置：实时拦截外部攻击、阻断入侵链路、优化边界防护、临时加固风险点位，防范系统及资产被攻破；若发生业务系统、网络资产被入侵攻破事件，驻场人员须第一时间隔离风险资产、封禁攻击地址、清除恶意程序及系统后门、临时修复安全漏洞，严控攻击扩散及业务数据损失；自攻击行为首次触发告警起24自然小时内，完成攻击溯源、风险研判、影响范围核定，编制合规完整攻防溯源处置报告并完成全流程报审归档，完整归集攻防值守、应急处置、溯源研判、临时加固全套台账资料。</w:t>
      </w:r>
      <w:r/>
    </w:p>
    <w:p>
      <w:pPr>
        <w:ind w:firstLine="482"/>
        <w:spacing w:line="560" w:lineRule="exac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三、攻防演练期间复发安全问题处置要求</w:t>
      </w:r>
      <w:r/>
    </w:p>
    <w:p>
      <w:pPr>
        <w:ind w:firstLine="480"/>
        <w:spacing w:line="56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闭环隐患复发处置标准：已完成复测核验、闭环销号的同类安全隐患，若在日常运维、重大安全保障、攻防演练期间重复暴露，并引发网络入侵、业务被控、数据泄露等安全事件，供应商须立即启动专项深度应急处置流程：第一时间清除恶意程序、系统后门等入侵隐患，隔离风险资产；全面复盘隐患复发根源、防护短板、管控漏洞，编制专项加固整改方案，按期完成全网同类点位整改加固；优化常态化扫描核查、权限管控、值守巡检机制，增补专项防护策略，长效杜绝同类隐患重复复发。</w:t>
      </w:r>
      <w:r/>
    </w:p>
    <w:p>
      <w:pPr>
        <w:ind w:firstLine="482"/>
        <w:spacing w:line="560" w:lineRule="exac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四、官方通报网络安全事件专项处置要求</w:t>
      </w:r>
      <w:r/>
    </w:p>
    <w:p>
      <w:pPr>
        <w:ind w:firstLine="480"/>
        <w:spacing w:line="56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投标人须全面压实全流程安全管控主体责任，抓实日常运维、重点时段防护、隐患复测闭环各项工作，补齐全网防护短板，强化前置防御能力，全力规避服务范围内资产、业务系统发生安全违规事件，避免采购人被上级监管部门约谈、发文通报。若因投标人履职缺位、防护不力、处置不当，导致发生网络</w:t>
      </w:r>
      <w:r>
        <w:rPr>
          <w:rFonts w:hint="eastAsia" w:ascii="宋体" w:hAnsi="宋体" w:cs="宋体"/>
          <w:color w:val="auto"/>
          <w:sz w:val="24"/>
          <w:szCs w:val="24"/>
          <w:lang w:val="en-US" w:eastAsia="zh-CN"/>
        </w:rPr>
        <w:t xml:space="preserve">入侵、数据泄露、违规外联等安全事件，造成采购人被上级监管部门正式发文通报，投标人须严格执行标准化闭环处置流程：一是应急止损消险，事件确认后即刻关停风险端口、清除入侵后门、查杀恶意程序、隔离风险业务，快速终止攻击行为，降低业务及数据损失；二是全域合规整改，对照监管通报要求完成全网资产复核整改，优化防护策略、完善运维台账，无偿配合采购人完成答疑核查、资料归档、合规佐证工作，规避甲方监管追责风险；三是文书闭环报送，按期编制标准化安全事件处置整改报告，完整包含隐患清除流程、现场处置记录、事件成因研判、长效整改建议。</w:t>
      </w:r>
      <w:r/>
    </w:p>
    <w:p>
      <w:pPr>
        <w:ind w:firstLine="482"/>
        <w:spacing w:line="560" w:lineRule="exact"/>
        <w:rPr>
          <w:rFonts w:hint="eastAsia" w:ascii="宋体" w:hAnsi="宋体" w:cs="宋体"/>
          <w:b/>
          <w:bCs/>
          <w:color w:val="auto"/>
          <w:sz w:val="24"/>
          <w:szCs w:val="24"/>
        </w:rPr>
      </w:pPr>
      <w:r>
        <w:rPr>
          <w:rFonts w:hint="eastAsia" w:ascii="宋体" w:hAnsi="宋体" w:cs="宋体"/>
          <w:b/>
          <w:bCs/>
          <w:color w:val="auto"/>
          <w:sz w:val="24"/>
          <w:szCs w:val="24"/>
        </w:rPr>
        <w:t xml:space="preserve">分包</w:t>
      </w:r>
      <w:r>
        <w:rPr>
          <w:rFonts w:hint="eastAsia" w:ascii="宋体" w:hAnsi="宋体" w:cs="宋体"/>
          <w:b/>
          <w:bCs/>
          <w:color w:val="auto"/>
          <w:sz w:val="24"/>
          <w:szCs w:val="24"/>
          <w:lang w:val="en-US" w:eastAsia="zh-CN"/>
        </w:rPr>
        <w:t xml:space="preserve">2</w:t>
      </w:r>
      <w:r>
        <w:rPr>
          <w:rFonts w:hint="eastAsia" w:ascii="宋体" w:hAnsi="宋体" w:cs="宋体"/>
          <w:b/>
          <w:bCs/>
          <w:color w:val="auto"/>
          <w:sz w:val="24"/>
          <w:szCs w:val="24"/>
        </w:rPr>
        <w:t xml:space="preserve">：</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网络安全设备续保要求：投标人须为本项目全部网络安全设备提供全质保续保服务，涵盖设备硬件故障免费维修/更换、固件安全</w:t>
      </w:r>
      <w:r>
        <w:rPr>
          <w:rFonts w:hint="eastAsia" w:ascii="宋体" w:hAnsi="宋体" w:cs="宋体"/>
          <w:color w:val="auto"/>
          <w:sz w:val="24"/>
          <w:szCs w:val="24"/>
          <w:lang w:val="en-US" w:eastAsia="zh-CN"/>
        </w:rPr>
        <w:t xml:space="preserve">免费</w:t>
      </w:r>
      <w:r>
        <w:rPr>
          <w:rFonts w:hint="eastAsia" w:ascii="宋体" w:hAnsi="宋体" w:cs="宋体"/>
          <w:color w:val="auto"/>
          <w:sz w:val="24"/>
          <w:szCs w:val="24"/>
        </w:rPr>
        <w:t xml:space="preserve">升级、7×24小时技术支持、4小时内现场应急处置服务。</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病毒库/特征库升级合规要求：本项目所有网络安全设备的病毒库、攻击特征库、安全规则库</w:t>
      </w:r>
      <w:r>
        <w:rPr>
          <w:rFonts w:hint="eastAsia" w:ascii="宋体" w:hAnsi="宋体" w:cs="宋体"/>
          <w:color w:val="auto"/>
          <w:sz w:val="24"/>
          <w:szCs w:val="24"/>
          <w:lang w:val="en-US" w:eastAsia="zh-CN"/>
        </w:rPr>
        <w:t xml:space="preserve">免费</w:t>
      </w:r>
      <w:r>
        <w:rPr>
          <w:rFonts w:hint="eastAsia" w:ascii="宋体" w:hAnsi="宋体" w:cs="宋体"/>
          <w:color w:val="auto"/>
          <w:sz w:val="24"/>
          <w:szCs w:val="24"/>
        </w:rPr>
        <w:t xml:space="preserve">升级，必须使用设备官方正式发布的稳定版升级包，严禁使用盗版、破解版、第三方修改的升级包，严禁私自篡改升级内容。升级前须完成兼容性测试，升级后须完成功能有效性验证，确保升级操作不影响现有政务网络及业务系统的稳定运行。</w:t>
      </w:r>
      <w:r/>
    </w:p>
    <w:p>
      <w:pPr>
        <w:ind w:firstLine="482"/>
        <w:spacing w:line="560" w:lineRule="exact"/>
        <w:rPr>
          <w:rFonts w:hint="eastAsia" w:ascii="宋体" w:hAnsi="宋体" w:cs="宋体"/>
          <w:b/>
          <w:bCs/>
          <w:color w:val="auto"/>
          <w:sz w:val="24"/>
          <w:szCs w:val="24"/>
        </w:rPr>
      </w:pPr>
      <w:r>
        <w:rPr>
          <w:rFonts w:hint="eastAsia" w:ascii="宋体" w:hAnsi="宋体" w:cs="宋体"/>
          <w:b/>
          <w:bCs/>
          <w:color w:val="auto"/>
          <w:sz w:val="24"/>
          <w:szCs w:val="24"/>
        </w:rPr>
        <w:t xml:space="preserve">五、人员配备要求</w:t>
      </w:r>
      <w:r/>
    </w:p>
    <w:p>
      <w:pPr>
        <w:ind w:firstLine="482"/>
        <w:spacing w:line="560" w:lineRule="exact"/>
        <w:rPr>
          <w:rFonts w:hint="eastAsia" w:ascii="宋体" w:hAnsi="宋体" w:cs="宋体"/>
          <w:b/>
          <w:bCs/>
          <w:color w:val="auto"/>
          <w:sz w:val="24"/>
          <w:szCs w:val="24"/>
        </w:rPr>
      </w:pPr>
      <w:r>
        <w:rPr>
          <w:rFonts w:hint="eastAsia" w:ascii="宋体" w:hAnsi="宋体" w:cs="宋体"/>
          <w:b/>
          <w:bCs/>
          <w:color w:val="auto"/>
          <w:sz w:val="24"/>
          <w:szCs w:val="24"/>
        </w:rPr>
        <w:t xml:space="preserve">分包1：</w:t>
      </w:r>
      <w:r/>
    </w:p>
    <w:p>
      <w:pPr>
        <w:ind w:firstLine="480"/>
        <w:spacing w:line="560" w:lineRule="exact"/>
        <w:rPr>
          <w:rFonts w:hint="eastAsia" w:ascii="宋体" w:hAnsi="宋体" w:cs="宋体"/>
          <w:b/>
          <w:bCs/>
          <w:color w:val="auto"/>
          <w:sz w:val="24"/>
          <w:szCs w:val="24"/>
        </w:rPr>
      </w:pPr>
      <w:r>
        <w:rPr>
          <w:rFonts w:hint="eastAsia" w:ascii="宋体" w:hAnsi="宋体" w:cs="宋体"/>
          <w:color w:val="auto"/>
          <w:sz w:val="24"/>
          <w:szCs w:val="24"/>
        </w:rPr>
        <w:t xml:space="preserve">供应商须组建专属项目运维团队，团队总人数不少于5人，包括：</w:t>
      </w:r>
      <w:r/>
    </w:p>
    <w:tbl>
      <w:tblPr>
        <w:tblStyle w:val="852"/>
        <w:tblW w:w="8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66"/>
        <w:gridCol w:w="1163"/>
        <w:gridCol w:w="5109"/>
      </w:tblGrid>
      <w:tr>
        <w:trPr>
          <w:jc w:val="center"/>
          <w:trHeight w:val="304"/>
          <w:tblHeader/>
        </w:trPr>
        <w:tc>
          <w:tcPr>
            <w:tcW w:w="2566" w:type="dxa"/>
            <w:vAlign w:val="center"/>
            <w:textDirection w:val="lrTb"/>
            <w:noWrap w:val="false"/>
          </w:tcPr>
          <w:p>
            <w:pPr>
              <w:jc w:val="center"/>
              <w:keepNext/>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岗位</w:t>
            </w:r>
            <w:r/>
          </w:p>
        </w:tc>
        <w:tc>
          <w:tcPr>
            <w:tcW w:w="1163" w:type="dxa"/>
            <w:vAlign w:val="center"/>
            <w:textDirection w:val="lrTb"/>
            <w:noWrap w:val="false"/>
          </w:tcPr>
          <w:p>
            <w:pPr>
              <w:jc w:val="center"/>
              <w:keepNext/>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人数</w:t>
            </w:r>
            <w:r/>
          </w:p>
        </w:tc>
        <w:tc>
          <w:tcPr>
            <w:tcW w:w="5109" w:type="dxa"/>
            <w:vAlign w:val="center"/>
            <w:textDirection w:val="lrTb"/>
            <w:noWrap w:val="false"/>
          </w:tcPr>
          <w:p>
            <w:pPr>
              <w:jc w:val="center"/>
              <w:keepNext/>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要求</w:t>
            </w:r>
            <w:r/>
          </w:p>
        </w:tc>
      </w:tr>
      <w:tr>
        <w:trPr>
          <w:jc w:val="center"/>
          <w:trHeight w:val="598"/>
        </w:trPr>
        <w:tc>
          <w:tcPr>
            <w:tcW w:w="256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项目经理</w:t>
            </w:r>
            <w:r/>
          </w:p>
        </w:tc>
        <w:tc>
          <w:tcPr>
            <w:tcW w:w="1163"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1名</w:t>
            </w:r>
            <w:r/>
          </w:p>
        </w:tc>
        <w:tc>
          <w:tcPr>
            <w:tcW w:w="5109"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rPr>
              <w:t xml:space="preserve">具备5年以上政务信息化项目运维管理经验；</w:t>
            </w:r>
            <w:r/>
          </w:p>
        </w:tc>
      </w:tr>
      <w:tr>
        <w:trPr>
          <w:jc w:val="center"/>
          <w:trHeight w:val="304"/>
        </w:trPr>
        <w:tc>
          <w:tcPr>
            <w:tcW w:w="256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安全运维工程师</w:t>
            </w:r>
            <w:r/>
          </w:p>
        </w:tc>
        <w:tc>
          <w:tcPr>
            <w:tcW w:w="1163"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3名</w:t>
            </w:r>
            <w:r/>
          </w:p>
        </w:tc>
        <w:tc>
          <w:tcPr>
            <w:tcW w:w="5109"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具备3年以上政务网络安全运维经验，熟悉主流安全设备运维与特征库升级管理；</w:t>
            </w:r>
            <w:r/>
          </w:p>
        </w:tc>
      </w:tr>
      <w:tr>
        <w:trPr>
          <w:jc w:val="center"/>
          <w:trHeight w:val="304"/>
        </w:trPr>
        <w:tc>
          <w:tcPr>
            <w:tcW w:w="256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驻场运维人员</w:t>
            </w:r>
            <w:r/>
          </w:p>
        </w:tc>
        <w:tc>
          <w:tcPr>
            <w:tcW w:w="1163"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1名</w:t>
            </w:r>
            <w:r/>
          </w:p>
        </w:tc>
        <w:tc>
          <w:tcPr>
            <w:tcW w:w="5109"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具备3年以上政务网络安全运维经验，熟悉主流安全设备运维与特征库升级管理；</w:t>
            </w:r>
            <w:r/>
          </w:p>
        </w:tc>
      </w:tr>
    </w:tbl>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设备运维操作须由认证工程师执行，确保运维操作合规、专业；</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未经采购人同意，供应商不得擅自更换项目核心人员，确需更换的，须提前15日向采购人提交申请，替换人员资质不得低于原人员，经采购人书面同意后方可更换。</w:t>
      </w:r>
      <w:r/>
    </w:p>
    <w:p>
      <w:pPr>
        <w:ind w:firstLine="482"/>
        <w:spacing w:line="560" w:lineRule="exact"/>
        <w:rPr>
          <w:rFonts w:hint="eastAsia" w:ascii="宋体" w:hAnsi="宋体" w:cs="宋体"/>
          <w:b/>
          <w:bCs/>
          <w:color w:val="auto"/>
          <w:sz w:val="24"/>
          <w:szCs w:val="24"/>
        </w:rPr>
      </w:pPr>
      <w:r>
        <w:rPr>
          <w:rFonts w:hint="eastAsia" w:ascii="宋体" w:hAnsi="宋体" w:cs="宋体"/>
          <w:b/>
          <w:bCs/>
          <w:color w:val="auto"/>
          <w:sz w:val="24"/>
          <w:szCs w:val="24"/>
        </w:rPr>
        <w:t xml:space="preserve">分包2：</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供应商须组建专属项目运维团队，团队总人数不少于5人，包括：</w:t>
      </w:r>
      <w:r/>
    </w:p>
    <w:tbl>
      <w:tblPr>
        <w:tblStyle w:val="852"/>
        <w:tblW w:w="8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66"/>
        <w:gridCol w:w="1163"/>
        <w:gridCol w:w="5109"/>
      </w:tblGrid>
      <w:tr>
        <w:trPr>
          <w:jc w:val="center"/>
          <w:trHeight w:val="304"/>
          <w:tblHeader/>
        </w:trPr>
        <w:tc>
          <w:tcPr>
            <w:tcW w:w="2566" w:type="dxa"/>
            <w:vAlign w:val="center"/>
            <w:textDirection w:val="lrTb"/>
            <w:noWrap w:val="false"/>
          </w:tcPr>
          <w:p>
            <w:pPr>
              <w:jc w:val="center"/>
              <w:keepNext/>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岗位</w:t>
            </w:r>
            <w:r/>
          </w:p>
        </w:tc>
        <w:tc>
          <w:tcPr>
            <w:tcW w:w="1163" w:type="dxa"/>
            <w:vAlign w:val="center"/>
            <w:textDirection w:val="lrTb"/>
            <w:noWrap w:val="false"/>
          </w:tcPr>
          <w:p>
            <w:pPr>
              <w:jc w:val="center"/>
              <w:keepNext/>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人数</w:t>
            </w:r>
            <w:r/>
          </w:p>
        </w:tc>
        <w:tc>
          <w:tcPr>
            <w:tcW w:w="5109" w:type="dxa"/>
            <w:vAlign w:val="center"/>
            <w:textDirection w:val="lrTb"/>
            <w:noWrap w:val="false"/>
          </w:tcPr>
          <w:p>
            <w:pPr>
              <w:jc w:val="center"/>
              <w:keepNext/>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要求</w:t>
            </w:r>
            <w:r/>
          </w:p>
        </w:tc>
      </w:tr>
      <w:tr>
        <w:trPr>
          <w:jc w:val="center"/>
          <w:trHeight w:val="598"/>
        </w:trPr>
        <w:tc>
          <w:tcPr>
            <w:tcW w:w="256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项目经理</w:t>
            </w:r>
            <w:r/>
          </w:p>
        </w:tc>
        <w:tc>
          <w:tcPr>
            <w:tcW w:w="1163"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1名</w:t>
            </w:r>
            <w:r/>
          </w:p>
        </w:tc>
        <w:tc>
          <w:tcPr>
            <w:tcW w:w="5109"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具备3年以上视频监控或物联网运维项目管理经验</w:t>
            </w:r>
            <w:r/>
          </w:p>
        </w:tc>
      </w:tr>
      <w:tr>
        <w:trPr>
          <w:jc w:val="center"/>
          <w:trHeight w:val="304"/>
        </w:trPr>
        <w:tc>
          <w:tcPr>
            <w:tcW w:w="256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2"/>
              </w:rPr>
              <w:t xml:space="preserve">技术负责人</w:t>
            </w:r>
            <w:r/>
          </w:p>
        </w:tc>
        <w:tc>
          <w:tcPr>
            <w:tcW w:w="1163" w:type="dxa"/>
            <w:vAlign w:val="center"/>
            <w:textDirection w:val="lrTb"/>
            <w:noWrap w:val="false"/>
          </w:tcPr>
          <w:p>
            <w:pPr>
              <w:jc w:val="center"/>
              <w:keepNext/>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w:t>
            </w:r>
            <w:r>
              <w:rPr>
                <w:rFonts w:hint="eastAsia" w:ascii="宋体" w:hAnsi="宋体" w:cs="宋体"/>
                <w:color w:val="auto"/>
                <w:sz w:val="24"/>
                <w:szCs w:val="24"/>
                <w:lang w:bidi="ar"/>
              </w:rPr>
              <w:t xml:space="preserve">名</w:t>
            </w:r>
            <w:r/>
          </w:p>
        </w:tc>
        <w:tc>
          <w:tcPr>
            <w:tcW w:w="5109"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eastAsia="宋体" w:cs="宋体"/>
                <w:color w:val="auto"/>
                <w:sz w:val="22"/>
                <w:szCs w:val="22"/>
                <w:lang w:val="en-US" w:eastAsia="zh-CN"/>
              </w:rPr>
              <w:t xml:space="preserve">负责</w:t>
            </w:r>
            <w:r>
              <w:rPr>
                <w:rFonts w:hint="eastAsia" w:ascii="宋体" w:hAnsi="宋体" w:eastAsia="宋体" w:cs="宋体"/>
                <w:color w:val="auto"/>
                <w:sz w:val="22"/>
                <w:szCs w:val="22"/>
              </w:rPr>
              <w:t xml:space="preserve">项目实施，</w:t>
            </w:r>
            <w:r>
              <w:rPr>
                <w:rFonts w:hint="eastAsia" w:ascii="宋体" w:hAnsi="宋体" w:eastAsia="宋体" w:cs="宋体"/>
                <w:color w:val="auto"/>
                <w:sz w:val="22"/>
                <w:szCs w:val="22"/>
                <w:lang w:val="en-US" w:eastAsia="zh-CN"/>
              </w:rPr>
              <w:t xml:space="preserve">及</w:t>
            </w:r>
            <w:r>
              <w:rPr>
                <w:rFonts w:hint="eastAsia" w:ascii="宋体" w:hAnsi="宋体" w:eastAsia="宋体" w:cs="宋体"/>
                <w:color w:val="auto"/>
                <w:sz w:val="22"/>
                <w:szCs w:val="22"/>
              </w:rPr>
              <w:t xml:space="preserve">项目整体技术统筹工作</w:t>
            </w:r>
            <w:r/>
          </w:p>
        </w:tc>
      </w:tr>
      <w:tr>
        <w:trPr>
          <w:jc w:val="center"/>
          <w:trHeight w:val="304"/>
        </w:trPr>
        <w:tc>
          <w:tcPr>
            <w:tcW w:w="256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设备运维服务工程师</w:t>
            </w:r>
            <w:r/>
          </w:p>
        </w:tc>
        <w:tc>
          <w:tcPr>
            <w:tcW w:w="1163"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val="en-US" w:eastAsia="zh-CN" w:bidi="ar"/>
              </w:rPr>
              <w:t xml:space="preserve">1</w:t>
            </w:r>
            <w:r>
              <w:rPr>
                <w:rFonts w:hint="eastAsia" w:ascii="宋体" w:hAnsi="宋体" w:cs="宋体"/>
                <w:color w:val="auto"/>
                <w:sz w:val="24"/>
                <w:szCs w:val="24"/>
                <w:lang w:bidi="ar"/>
              </w:rPr>
              <w:t xml:space="preserve">名</w:t>
            </w:r>
            <w:r/>
          </w:p>
        </w:tc>
        <w:tc>
          <w:tcPr>
            <w:tcW w:w="5109"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负责前端设备巡检、维修、点位迁移</w:t>
            </w:r>
            <w:r/>
          </w:p>
        </w:tc>
      </w:tr>
      <w:tr>
        <w:trPr>
          <w:jc w:val="center"/>
          <w:trHeight w:val="304"/>
        </w:trPr>
        <w:tc>
          <w:tcPr>
            <w:tcW w:w="256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平台运维服务工程师</w:t>
            </w:r>
            <w:r/>
          </w:p>
        </w:tc>
        <w:tc>
          <w:tcPr>
            <w:tcW w:w="1163"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1名</w:t>
            </w:r>
            <w:r/>
          </w:p>
        </w:tc>
        <w:tc>
          <w:tcPr>
            <w:tcW w:w="5109"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负责平台运维、协调、文档管理</w:t>
            </w:r>
            <w:r/>
          </w:p>
        </w:tc>
      </w:tr>
      <w:tr>
        <w:trPr>
          <w:jc w:val="center"/>
          <w:trHeight w:val="313"/>
        </w:trPr>
        <w:tc>
          <w:tcPr>
            <w:tcW w:w="256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客户经理</w:t>
            </w:r>
            <w:r/>
          </w:p>
        </w:tc>
        <w:tc>
          <w:tcPr>
            <w:tcW w:w="1163"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1名</w:t>
            </w:r>
            <w:r/>
          </w:p>
        </w:tc>
        <w:tc>
          <w:tcPr>
            <w:tcW w:w="5109"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负责沟通联络，物联网卡信息查询</w:t>
            </w:r>
            <w:r/>
          </w:p>
        </w:tc>
      </w:tr>
    </w:tbl>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外场运维人员须持有登高作业证、电工证等特种作业操作证书；</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未经采购人同意，供应商不得擅自更换项目核心人员，确需更换的，须提前15日向采购人提交申请，替换人员资质不得低于原人员，经采购人书面同意后方可更换。</w:t>
      </w:r>
      <w:r/>
    </w:p>
    <w:p>
      <w:pPr>
        <w:ind w:firstLine="480"/>
        <w:spacing w:line="560" w:lineRule="exact"/>
        <w:rPr>
          <w:rFonts w:hint="eastAsia" w:ascii="宋体" w:hAnsi="宋体" w:cs="宋体"/>
          <w:b/>
          <w:bCs/>
          <w:color w:val="auto"/>
          <w:sz w:val="24"/>
          <w:szCs w:val="24"/>
        </w:rPr>
      </w:pPr>
      <w:r>
        <w:rPr>
          <w:rFonts w:hint="eastAsia" w:ascii="宋体" w:hAnsi="宋体" w:cs="宋体"/>
          <w:color w:val="auto"/>
          <w:sz w:val="24"/>
          <w:szCs w:val="24"/>
        </w:rPr>
        <w:t xml:space="preserve">供应商须配备运维车辆及必要的检测、维修工具。</w:t>
      </w:r>
      <w:r/>
    </w:p>
    <w:p>
      <w:pPr>
        <w:ind w:firstLine="482"/>
        <w:spacing w:line="560" w:lineRule="exact"/>
        <w:rPr>
          <w:rFonts w:hint="eastAsia" w:ascii="宋体" w:hAnsi="宋体" w:cs="宋体"/>
          <w:b/>
          <w:bCs/>
          <w:color w:val="auto"/>
          <w:sz w:val="24"/>
          <w:szCs w:val="24"/>
        </w:rPr>
      </w:pPr>
      <w:r>
        <w:rPr>
          <w:rFonts w:hint="eastAsia" w:ascii="宋体" w:hAnsi="宋体" w:cs="宋体"/>
          <w:b/>
          <w:bCs/>
          <w:color w:val="auto"/>
          <w:sz w:val="24"/>
          <w:szCs w:val="24"/>
        </w:rPr>
        <w:t xml:space="preserve">六、付款方式</w:t>
      </w:r>
      <w:r/>
    </w:p>
    <w:p>
      <w:pPr>
        <w:ind w:firstLine="482"/>
        <w:spacing w:line="560" w:lineRule="exact"/>
        <w:rPr>
          <w:rFonts w:hint="eastAsia" w:ascii="宋体" w:hAnsi="宋体" w:cs="宋体"/>
          <w:b/>
          <w:bCs/>
          <w:color w:val="auto"/>
          <w:sz w:val="24"/>
          <w:szCs w:val="24"/>
        </w:rPr>
      </w:pPr>
      <w:r/>
      <w:bookmarkStart w:id="117" w:name="heading_24"/>
      <w:r>
        <w:rPr>
          <w:rFonts w:hint="eastAsia" w:ascii="宋体" w:hAnsi="宋体" w:cs="宋体"/>
          <w:b/>
          <w:bCs/>
          <w:color w:val="auto"/>
          <w:sz w:val="24"/>
          <w:szCs w:val="24"/>
        </w:rPr>
        <w:t xml:space="preserve">分包1：</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预付款：合同签订生效后，采购人向成交人支付合同总金额的20%作为预付款。</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进度款：合同签订三个月后，成交人完成以下服务内容：病毒库/特征库合规升级、安全设备续保服务、渗透测试与漏洞扫描服务、办公网络安全检测探针、便携式信息采集终端更新、指挥协调系统城管进社区智慧赋能模块工作，并经甲方书面确认后，支付至合同总金额的</w:t>
      </w:r>
      <w:r>
        <w:rPr>
          <w:rFonts w:hint="eastAsia" w:ascii="宋体" w:hAnsi="宋体" w:cs="宋体"/>
          <w:color w:val="auto"/>
          <w:sz w:val="24"/>
          <w:szCs w:val="24"/>
          <w:lang w:val="en-US" w:eastAsia="zh-CN"/>
        </w:rPr>
        <w:t xml:space="preserve">40</w:t>
      </w:r>
      <w:r>
        <w:rPr>
          <w:rFonts w:hint="eastAsia" w:ascii="宋体" w:hAnsi="宋体" w:cs="宋体"/>
          <w:color w:val="auto"/>
          <w:sz w:val="24"/>
          <w:szCs w:val="24"/>
        </w:rPr>
        <w:t xml:space="preserve">%。服务期届满，经采购人确认</w:t>
      </w:r>
      <w:r>
        <w:rPr>
          <w:rFonts w:hint="eastAsia" w:ascii="宋体" w:hAnsi="宋体" w:cs="宋体"/>
          <w:color w:val="auto"/>
          <w:sz w:val="24"/>
          <w:szCs w:val="24"/>
          <w:lang w:val="en-US" w:eastAsia="zh-CN"/>
        </w:rPr>
        <w:t xml:space="preserve">验收合格</w:t>
      </w:r>
      <w:r>
        <w:rPr>
          <w:rFonts w:hint="eastAsia" w:ascii="宋体" w:hAnsi="宋体" w:cs="宋体"/>
          <w:color w:val="auto"/>
          <w:sz w:val="24"/>
          <w:szCs w:val="24"/>
        </w:rPr>
        <w:t xml:space="preserve">后，付清剩余全部款项。</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注：在签订合同时，成交单位明确表示无需预付款或者主动要求降低预付款比例的金额，采购人可不适用预付款规定。</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资金支付时间：自</w:t>
      </w:r>
      <w:r>
        <w:rPr>
          <w:rFonts w:hint="eastAsia" w:ascii="宋体" w:hAnsi="宋体" w:cs="宋体"/>
          <w:color w:val="auto"/>
          <w:sz w:val="24"/>
          <w:szCs w:val="24"/>
          <w:lang w:val="en-US" w:eastAsia="zh-CN"/>
        </w:rPr>
        <w:t xml:space="preserve">符合付款条件且</w:t>
      </w:r>
      <w:r>
        <w:rPr>
          <w:rFonts w:hint="eastAsia" w:ascii="宋体" w:hAnsi="宋体" w:cs="宋体"/>
          <w:color w:val="auto"/>
          <w:sz w:val="24"/>
          <w:szCs w:val="24"/>
        </w:rPr>
        <w:t xml:space="preserve">收到</w:t>
      </w:r>
      <w:r>
        <w:rPr>
          <w:rFonts w:hint="eastAsia" w:ascii="宋体" w:hAnsi="宋体" w:cs="宋体"/>
          <w:color w:val="auto"/>
          <w:sz w:val="24"/>
          <w:szCs w:val="24"/>
          <w:lang w:val="en-US" w:eastAsia="zh-CN"/>
        </w:rPr>
        <w:t xml:space="preserve">成交人提交的</w:t>
      </w:r>
      <w:r>
        <w:rPr>
          <w:rFonts w:hint="eastAsia" w:ascii="宋体" w:hAnsi="宋体" w:cs="宋体"/>
          <w:color w:val="auto"/>
          <w:sz w:val="24"/>
          <w:szCs w:val="24"/>
        </w:rPr>
        <w:t xml:space="preserve">发票后10个工作日内。</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资金支付主体：宿迁市楚润数据集团有限公司。</w:t>
      </w:r>
      <w:r/>
    </w:p>
    <w:p>
      <w:pPr>
        <w:ind w:firstLine="482"/>
        <w:spacing w:line="560" w:lineRule="exact"/>
        <w:rPr>
          <w:rFonts w:hint="eastAsia" w:ascii="宋体" w:hAnsi="宋体" w:cs="宋体"/>
          <w:b/>
          <w:bCs/>
          <w:color w:val="auto"/>
          <w:sz w:val="24"/>
          <w:szCs w:val="24"/>
        </w:rPr>
      </w:pPr>
      <w:r>
        <w:rPr>
          <w:rFonts w:hint="eastAsia" w:ascii="宋体" w:hAnsi="宋体" w:cs="宋体"/>
          <w:b/>
          <w:bCs/>
          <w:color w:val="auto"/>
          <w:sz w:val="24"/>
          <w:szCs w:val="24"/>
        </w:rPr>
        <w:t xml:space="preserve">分包2：</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预付款：合同签订生效后，采购人向成交人支付合同总金额的40%作为预付款；</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进度款：服务期全部届满，成交人完成合同约定的全周期全部服务内容，经采购人验收合格后一次性付清合同剩余全部尾款。</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注：在签订合同时，成交人单位明确表示无需预付款或者主动要求降低预付款比例的，采购人可不适用预付款规定。</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资金支付时间：自</w:t>
      </w:r>
      <w:r>
        <w:rPr>
          <w:rFonts w:hint="eastAsia" w:ascii="宋体" w:hAnsi="宋体" w:cs="宋体"/>
          <w:color w:val="auto"/>
          <w:sz w:val="24"/>
          <w:szCs w:val="24"/>
          <w:lang w:val="en-US" w:eastAsia="zh-CN"/>
        </w:rPr>
        <w:t xml:space="preserve">符合付款条件且</w:t>
      </w:r>
      <w:r>
        <w:rPr>
          <w:rFonts w:hint="eastAsia" w:ascii="宋体" w:hAnsi="宋体" w:cs="宋体"/>
          <w:color w:val="auto"/>
          <w:sz w:val="24"/>
          <w:szCs w:val="24"/>
        </w:rPr>
        <w:t xml:space="preserve">收到</w:t>
      </w:r>
      <w:r>
        <w:rPr>
          <w:rFonts w:hint="eastAsia" w:ascii="宋体" w:hAnsi="宋体" w:cs="宋体"/>
          <w:color w:val="auto"/>
          <w:sz w:val="24"/>
          <w:szCs w:val="24"/>
          <w:lang w:val="en-US" w:eastAsia="zh-CN"/>
        </w:rPr>
        <w:t xml:space="preserve">成交人提交的</w:t>
      </w:r>
      <w:r>
        <w:rPr>
          <w:rFonts w:hint="eastAsia" w:ascii="宋体" w:hAnsi="宋体" w:cs="宋体"/>
          <w:color w:val="auto"/>
          <w:sz w:val="24"/>
          <w:szCs w:val="24"/>
        </w:rPr>
        <w:t xml:space="preserve">发票后10个工作日内；</w:t>
      </w:r>
      <w:r/>
    </w:p>
    <w:p>
      <w:pPr>
        <w:ind w:firstLine="480"/>
        <w:spacing w:line="560" w:lineRule="exact"/>
        <w:rPr>
          <w:rFonts w:hint="eastAsia" w:ascii="宋体" w:hAnsi="宋体" w:cs="宋体"/>
          <w:b/>
          <w:bCs/>
          <w:color w:val="auto"/>
          <w:sz w:val="24"/>
          <w:szCs w:val="24"/>
        </w:rPr>
      </w:pPr>
      <w:r>
        <w:rPr>
          <w:rFonts w:hint="eastAsia" w:ascii="宋体" w:hAnsi="宋体" w:cs="宋体"/>
          <w:color w:val="auto"/>
          <w:sz w:val="24"/>
          <w:szCs w:val="24"/>
        </w:rPr>
        <w:t xml:space="preserve">资金支付主体：宿迁市楚润数据集团有限公司。</w:t>
      </w:r>
      <w:r/>
    </w:p>
    <w:p>
      <w:pPr>
        <w:ind w:firstLine="482"/>
        <w:spacing w:line="560" w:lineRule="exact"/>
        <w:rPr>
          <w:rFonts w:hint="eastAsia" w:ascii="宋体" w:hAnsi="宋体" w:cs="宋体"/>
          <w:b/>
          <w:bCs/>
          <w:color w:val="auto"/>
          <w:sz w:val="24"/>
          <w:szCs w:val="24"/>
        </w:rPr>
      </w:pPr>
      <w:r>
        <w:rPr>
          <w:rFonts w:hint="eastAsia" w:ascii="宋体" w:hAnsi="宋体" w:cs="宋体"/>
          <w:b/>
          <w:bCs/>
          <w:color w:val="auto"/>
          <w:sz w:val="24"/>
          <w:szCs w:val="24"/>
        </w:rPr>
        <w:t xml:space="preserve">七、保密、知识产权与违约责任</w:t>
      </w:r>
      <w:bookmarkEnd w:id="117"/>
      <w:r/>
      <w:r/>
    </w:p>
    <w:p>
      <w:pPr>
        <w:ind w:firstLine="482"/>
        <w:spacing w:line="560" w:lineRule="exact"/>
        <w:rPr>
          <w:rFonts w:hint="eastAsia" w:ascii="宋体" w:hAnsi="宋体" w:cs="宋体"/>
          <w:b/>
          <w:bCs/>
          <w:color w:val="auto"/>
          <w:sz w:val="24"/>
          <w:szCs w:val="24"/>
        </w:rPr>
      </w:pPr>
      <w:r>
        <w:rPr>
          <w:rFonts w:hint="eastAsia" w:ascii="宋体" w:hAnsi="宋体" w:cs="宋体"/>
          <w:b/>
          <w:bCs/>
          <w:color w:val="auto"/>
          <w:sz w:val="24"/>
          <w:szCs w:val="24"/>
        </w:rPr>
        <w:t xml:space="preserve">分包1：</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7.1供应商须与采购人签订保密协议，对运维过程中接触的所有政务数据、业务信息、涉密内容、工作资料承担终身保密责任，未经采购人书面授权，不得向任何第三方泄露、复制、传播，服务期满后须移交所有相关资料，不得留存副本；</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7.2本项目服务过程中产生的所有成果、文档、方案的知识产权均归采购人所有，供应商仅享有</w:t>
      </w:r>
      <w:r>
        <w:rPr>
          <w:rFonts w:hint="eastAsia" w:ascii="宋体" w:hAnsi="宋体" w:cs="宋体"/>
          <w:color w:val="auto"/>
          <w:sz w:val="24"/>
          <w:szCs w:val="24"/>
          <w:lang w:val="en-US" w:eastAsia="zh-CN"/>
        </w:rPr>
        <w:t xml:space="preserve">在本项目中的</w:t>
      </w:r>
      <w:r>
        <w:rPr>
          <w:rFonts w:hint="eastAsia" w:ascii="宋体" w:hAnsi="宋体" w:cs="宋体"/>
          <w:color w:val="auto"/>
          <w:sz w:val="24"/>
          <w:szCs w:val="24"/>
        </w:rPr>
        <w:t xml:space="preserve">使用权，不得擅自用于其他项目或向第三方提供。</w:t>
      </w:r>
      <w:r/>
    </w:p>
    <w:p>
      <w:pPr>
        <w:ind w:firstLine="480"/>
        <w:spacing w:line="560" w:lineRule="exact"/>
        <w:rPr>
          <w:rFonts w:ascii="宋体" w:hAnsi="宋体" w:eastAsia="宋体" w:cs="宋体"/>
          <w:color w:val="auto"/>
          <w:sz w:val="24"/>
          <w:szCs w:val="24"/>
        </w:rPr>
      </w:pPr>
      <w:r/>
      <w:bookmarkStart w:id="123" w:name="_GoBack"/>
      <w:r/>
      <w:bookmarkEnd w:id="123"/>
      <w:r>
        <w:rPr>
          <w:rFonts w:ascii="宋体" w:hAnsi="宋体" w:eastAsia="宋体" w:cs="宋体"/>
          <w:color w:val="auto"/>
          <w:sz w:val="24"/>
          <w:szCs w:val="24"/>
        </w:rPr>
        <w:t xml:space="preserve">7.3</w:t>
      </w:r>
      <w:r>
        <w:rPr>
          <w:rFonts w:ascii="宋体" w:hAnsi="宋体" w:eastAsia="宋体" w:cs="宋体"/>
          <w:color w:val="auto"/>
          <w:sz w:val="24"/>
          <w:szCs w:val="24"/>
          <w:lang w:val="en-US" w:eastAsia="zh-CN"/>
        </w:rPr>
        <w:t xml:space="preserve">供应商未按要求落实7×24小时值守、季度渗透测试、漏洞复测、台账归档、安全培训等常态化运维工作，出现缺项、逾期、履职不到位情形，</w:t>
      </w:r>
      <w:r>
        <w:rPr>
          <w:rFonts w:hint="eastAsia" w:ascii="宋体" w:hAnsi="宋体" w:cs="宋体"/>
          <w:color w:val="auto"/>
          <w:sz w:val="24"/>
          <w:szCs w:val="24"/>
          <w:lang w:val="en-US" w:eastAsia="zh-CN"/>
        </w:rPr>
        <w:t xml:space="preserve">采购人有权</w:t>
      </w:r>
      <w:r>
        <w:rPr>
          <w:rFonts w:ascii="宋体" w:hAnsi="宋体" w:eastAsia="宋体" w:cs="宋体"/>
          <w:color w:val="auto"/>
          <w:sz w:val="24"/>
          <w:szCs w:val="24"/>
          <w:lang w:val="en-US" w:eastAsia="zh-CN"/>
        </w:rPr>
        <w:t xml:space="preserve">按1000元/次扣款，供应商须无偿补齐全部运维工作、完善全套归档资料。</w:t>
      </w:r>
      <w:r/>
    </w:p>
    <w:p>
      <w:pPr>
        <w:ind w:firstLine="480"/>
        <w:spacing w:line="560" w:lineRule="exact"/>
        <w:rPr>
          <w:rFonts w:ascii="宋体" w:hAnsi="宋体" w:eastAsia="宋体" w:cs="宋体"/>
          <w:color w:val="auto"/>
          <w:sz w:val="24"/>
          <w:szCs w:val="24"/>
          <w:lang w:val="en-US" w:eastAsia="zh-CN"/>
        </w:rPr>
      </w:pPr>
      <w:r>
        <w:rPr>
          <w:rFonts w:ascii="宋体" w:hAnsi="宋体" w:eastAsia="宋体" w:cs="宋体"/>
          <w:color w:val="auto"/>
          <w:sz w:val="24"/>
          <w:szCs w:val="24"/>
        </w:rPr>
        <w:t xml:space="preserve">7.4</w:t>
      </w:r>
      <w:r>
        <w:rPr>
          <w:rFonts w:ascii="宋体" w:hAnsi="宋体" w:eastAsia="宋体" w:cs="宋体"/>
          <w:color w:val="auto"/>
          <w:sz w:val="24"/>
          <w:szCs w:val="24"/>
          <w:lang w:val="en-US" w:eastAsia="zh-CN"/>
        </w:rPr>
        <w:t xml:space="preserve">攻防演练、重大网络安全保障时段，供应商未按要求驻场值守、防护策略未前置优化、攻击预警处置滞后、系统被攻破后应急止损不及时、未在24自然小时内完成溯源报告报审归档，按2000元/次扣款，供应商须无偿完成全网临时加固、攻防溯源复盘整改工作。</w:t>
      </w:r>
      <w:r/>
    </w:p>
    <w:p>
      <w:pPr>
        <w:ind w:firstLine="480"/>
        <w:spacing w:line="56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7.5已复测核验、闭环销号的同类安全隐患，在日常运维、重大安全保障、攻防演练期间重复爆发，引发网络入侵、攻击、业务异常等安全问题，按3000元/次扣款，供应商须无偿编制专项加固方案、全域整改同类点位，优化管控机制杜绝问题复发。</w:t>
      </w:r>
      <w:r/>
    </w:p>
    <w:p>
      <w:pPr>
        <w:ind w:firstLine="480"/>
        <w:spacing w:line="56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7.6因供应商履职疏漏、防护缺位、应急处置不力，造成采购人被上级监管部门约谈、发文通报、限期整改的，按5000元/次扣款；若造成采购人行政处罚、核心数据泄露、重大业务停运等严重后果，除单次扣款外，供应商全额承担采购人全部直接、间接经济损失及整改法务费用，采购人有权单方无条件解除服务合同，不予支付剩余服务款项，供应商承担全部相关法律责任。</w:t>
      </w:r>
      <w:r/>
    </w:p>
    <w:p>
      <w:pPr>
        <w:ind w:firstLine="482"/>
        <w:spacing w:line="560" w:lineRule="exact"/>
        <w:rPr>
          <w:rFonts w:hint="eastAsia" w:ascii="宋体" w:hAnsi="宋体" w:cs="宋体"/>
          <w:b/>
          <w:bCs/>
          <w:color w:val="auto"/>
          <w:sz w:val="24"/>
          <w:szCs w:val="24"/>
        </w:rPr>
      </w:pPr>
      <w:r>
        <w:rPr>
          <w:rFonts w:hint="eastAsia" w:ascii="宋体" w:hAnsi="宋体" w:cs="宋体"/>
          <w:b/>
          <w:bCs/>
          <w:color w:val="auto"/>
          <w:sz w:val="24"/>
          <w:szCs w:val="24"/>
        </w:rPr>
        <w:t xml:space="preserve">分包2：</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7.1保密要求</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供应商须与采购人签订保密协议，对运维过程中接触的所有政务数据、业务信息、点位信息、视频数据、工作资料承担终身保密责任；</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未经采购人书面授权，不得向任何第三方泄露、复制、传播；</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服务期满后须移交所有相关资料，不得留存副本。</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7.2知识产权</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本项目服务过程中产生的所有成果、文档、方案的知识产权均归采购人所有；</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供应商仅享有</w:t>
      </w:r>
      <w:r>
        <w:rPr>
          <w:rFonts w:hint="eastAsia" w:ascii="宋体" w:hAnsi="宋体" w:cs="宋体"/>
          <w:color w:val="auto"/>
          <w:sz w:val="24"/>
          <w:szCs w:val="24"/>
          <w:lang w:val="en-US" w:eastAsia="zh-CN"/>
        </w:rPr>
        <w:t xml:space="preserve">在本项目中的</w:t>
      </w:r>
      <w:r>
        <w:rPr>
          <w:rFonts w:hint="eastAsia" w:ascii="宋体" w:hAnsi="宋体" w:cs="宋体"/>
          <w:color w:val="auto"/>
          <w:sz w:val="24"/>
          <w:szCs w:val="24"/>
        </w:rPr>
        <w:t xml:space="preserve">使用权，不得擅自用于其他项目或向第三方提供。</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7.3安全责任</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供应商须提供符合采购人要求的项目安全承诺书；</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运维工作中因安全事故造成的一切事故责任，均由供应商承担；</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供应商须严格遵守采购人现场管理规定，所有运维操作须全程留痕可追溯。</w:t>
      </w:r>
      <w:r/>
    </w:p>
    <w:p>
      <w:pPr>
        <w:ind w:firstLine="482"/>
        <w:spacing w:line="560" w:lineRule="exac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八、合法权益补偿机制</w:t>
      </w:r>
      <w:r/>
    </w:p>
    <w:p>
      <w:pPr>
        <w:ind w:firstLine="480"/>
        <w:spacing w:line="560" w:lineRule="exact"/>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default" w:ascii="宋体" w:hAnsi="宋体" w:cs="宋体"/>
          <w:color w:val="auto"/>
          <w:sz w:val="24"/>
          <w:szCs w:val="24"/>
          <w:lang w:val="en-US" w:eastAsia="zh-CN"/>
        </w:rPr>
        <w:t xml:space="preserve">本项目所有运维工作均严格按照现行国家法律法规、行业政策、国家及行业强制性标准执行；服务期内如国家、上级主管部门出台新规、更新现行标准，</w:t>
      </w:r>
      <w:r>
        <w:rPr>
          <w:rFonts w:hint="eastAsia" w:ascii="宋体" w:hAnsi="宋体" w:cs="宋体"/>
          <w:color w:val="auto"/>
          <w:sz w:val="24"/>
          <w:szCs w:val="24"/>
          <w:lang w:val="en-US" w:eastAsia="zh-CN"/>
        </w:rPr>
        <w:t xml:space="preserve">供应商</w:t>
      </w:r>
      <w:r>
        <w:rPr>
          <w:rFonts w:hint="default" w:ascii="宋体" w:hAnsi="宋体" w:cs="宋体"/>
          <w:color w:val="auto"/>
          <w:sz w:val="24"/>
          <w:szCs w:val="24"/>
          <w:lang w:val="en-US" w:eastAsia="zh-CN"/>
        </w:rPr>
        <w:t xml:space="preserve">须无条件依照最新政策标准开展运维工作。</w:t>
      </w:r>
      <w:r/>
    </w:p>
    <w:p>
      <w:pPr>
        <w:ind w:firstLine="480"/>
        <w:spacing w:line="560" w:lineRule="exact"/>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default" w:ascii="宋体" w:hAnsi="宋体" w:cs="宋体"/>
          <w:color w:val="auto"/>
          <w:sz w:val="24"/>
          <w:szCs w:val="24"/>
          <w:lang w:val="en-US" w:eastAsia="zh-CN"/>
        </w:rPr>
        <w:t xml:space="preserve">服务周期内因国家政策调整，造成运维内容、点位、频次缩减，运维工作量减少的，双方互不追究违约责任。采购人依据投标分项单价核算对应服务价款，签订补充协议调减合同费用；若缩减对应价款≤合同总价 10%，仅据实扣减服务费，</w:t>
      </w:r>
      <w:r>
        <w:rPr>
          <w:rFonts w:hint="eastAsia" w:ascii="宋体" w:hAnsi="宋体" w:cs="宋体"/>
          <w:color w:val="auto"/>
          <w:sz w:val="24"/>
          <w:szCs w:val="24"/>
          <w:lang w:val="en-US" w:eastAsia="zh-CN"/>
        </w:rPr>
        <w:t xml:space="preserve">供应商</w:t>
      </w:r>
      <w:r>
        <w:rPr>
          <w:rFonts w:hint="default" w:ascii="宋体" w:hAnsi="宋体" w:cs="宋体"/>
          <w:color w:val="auto"/>
          <w:sz w:val="24"/>
          <w:szCs w:val="24"/>
          <w:lang w:val="en-US" w:eastAsia="zh-CN"/>
        </w:rPr>
        <w:t xml:space="preserve">不得就此向采购人主张任何补偿、赔偿。</w:t>
      </w:r>
      <w:r/>
    </w:p>
    <w:p>
      <w:pPr>
        <w:ind w:firstLine="480"/>
        <w:spacing w:line="560" w:lineRule="exact"/>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default" w:ascii="宋体" w:hAnsi="宋体" w:cs="宋体"/>
          <w:color w:val="auto"/>
          <w:sz w:val="24"/>
          <w:szCs w:val="24"/>
          <w:lang w:val="en-US" w:eastAsia="zh-CN"/>
        </w:rPr>
        <w:t xml:space="preserve">因国家政策、新标准新增运维任务、合规整改工作的，小额新增工作量（新增价款≤合同总价 10%）包含在合同总报价内，</w:t>
      </w:r>
      <w:r>
        <w:rPr>
          <w:rFonts w:hint="eastAsia" w:ascii="宋体" w:hAnsi="宋体" w:cs="宋体"/>
          <w:color w:val="auto"/>
          <w:sz w:val="24"/>
          <w:szCs w:val="24"/>
          <w:lang w:val="en-US" w:eastAsia="zh-CN"/>
        </w:rPr>
        <w:t xml:space="preserve">供应商</w:t>
      </w:r>
      <w:r>
        <w:rPr>
          <w:rFonts w:hint="default" w:ascii="宋体" w:hAnsi="宋体" w:cs="宋体"/>
          <w:color w:val="auto"/>
          <w:sz w:val="24"/>
          <w:szCs w:val="24"/>
          <w:lang w:val="en-US" w:eastAsia="zh-CN"/>
        </w:rPr>
        <w:t xml:space="preserve">不得另行收费；超出比例的新增专项运维工作，双方协商服务费用并签订补充协议。</w:t>
      </w:r>
      <w:r/>
    </w:p>
    <w:p>
      <w:pPr>
        <w:ind w:firstLine="480"/>
        <w:spacing w:line="560" w:lineRule="exact"/>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4.供应商</w:t>
      </w:r>
      <w:r>
        <w:rPr>
          <w:rFonts w:hint="default" w:ascii="宋体" w:hAnsi="宋体" w:cs="宋体"/>
          <w:color w:val="auto"/>
          <w:sz w:val="24"/>
          <w:szCs w:val="24"/>
          <w:lang w:val="en-US" w:eastAsia="zh-CN"/>
        </w:rPr>
        <w:t xml:space="preserve">拒不配合政策调整、拒绝按新规优化运维或不配合工作量核价调整的，视为违约，采购人有权据实结算服务费并追究相应损失。</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r>
      <w:r/>
    </w:p>
    <w:p>
      <w:pPr>
        <w:ind w:firstLine="1767"/>
        <w:keepLines/>
        <w:keepNext/>
        <w:pageBreakBefore/>
        <w:rPr>
          <w:rFonts w:hint="eastAsia" w:ascii="宋体" w:hAnsi="宋体" w:cs="宋体"/>
          <w:b/>
          <w:color w:val="auto"/>
          <w:sz w:val="44"/>
          <w:szCs w:val="44"/>
          <w:highlight w:val="white"/>
        </w:rPr>
        <w:outlineLvl w:val="0"/>
      </w:pPr>
      <w:r>
        <w:rPr>
          <w:rFonts w:hint="eastAsia" w:ascii="宋体" w:hAnsi="宋体" w:cs="宋体"/>
          <w:bCs/>
          <w:color w:val="auto"/>
          <w:sz w:val="44"/>
          <w:szCs w:val="44"/>
          <w:highlight w:val="white"/>
        </w:rPr>
        <w:t xml:space="preserve">第五章  合同格式及条款</w:t>
      </w:r>
      <w:bookmarkEnd w:id="93"/>
      <w:r/>
      <w:bookmarkEnd w:id="94"/>
      <w:r/>
      <w:bookmarkEnd w:id="95"/>
      <w:r/>
      <w:bookmarkEnd w:id="96"/>
      <w:r/>
      <w:r/>
    </w:p>
    <w:p>
      <w:pPr>
        <w:pStyle w:val="1232"/>
        <w:jc w:val="center"/>
        <w:spacing w:before="0" w:beforeAutospacing="0" w:after="0" w:afterAutospacing="0" w:line="480" w:lineRule="auto"/>
        <w:widowControl w:val="off"/>
        <w:rPr>
          <w:rFonts w:hint="eastAsia"/>
          <w:b/>
          <w:bCs/>
          <w:color w:val="auto"/>
          <w:sz w:val="30"/>
          <w:szCs w:val="30"/>
        </w:rPr>
      </w:pPr>
      <w:r/>
      <w:bookmarkStart w:id="118" w:name="_Toc544"/>
      <w:r/>
      <w:bookmarkStart w:id="119" w:name="_Toc155086567"/>
      <w:r/>
      <w:r/>
    </w:p>
    <w:p>
      <w:pPr>
        <w:pStyle w:val="1232"/>
        <w:jc w:val="center"/>
        <w:spacing w:before="0" w:beforeAutospacing="0" w:after="0" w:afterAutospacing="0" w:line="480" w:lineRule="auto"/>
        <w:widowControl w:val="off"/>
        <w:rPr>
          <w:rFonts w:hint="eastAsia"/>
          <w:b/>
          <w:bCs/>
          <w:color w:val="auto"/>
          <w:sz w:val="30"/>
          <w:szCs w:val="30"/>
        </w:rPr>
      </w:pPr>
      <w:r>
        <w:rPr>
          <w:rFonts w:hint="eastAsia"/>
          <w:b/>
          <w:bCs/>
          <w:color w:val="auto"/>
          <w:sz w:val="30"/>
          <w:szCs w:val="30"/>
        </w:rPr>
      </w:r>
      <w:r/>
    </w:p>
    <w:p>
      <w:pPr>
        <w:pStyle w:val="1232"/>
        <w:jc w:val="center"/>
        <w:spacing w:before="0" w:beforeAutospacing="0" w:after="0" w:afterAutospacing="0" w:line="480" w:lineRule="auto"/>
        <w:widowControl w:val="off"/>
        <w:rPr>
          <w:rFonts w:hint="eastAsia"/>
          <w:b/>
          <w:bCs/>
          <w:color w:val="auto"/>
          <w:sz w:val="30"/>
          <w:szCs w:val="30"/>
        </w:rPr>
      </w:pPr>
      <w:r>
        <w:rPr>
          <w:rFonts w:hint="eastAsia"/>
          <w:b/>
          <w:bCs/>
          <w:color w:val="auto"/>
          <w:sz w:val="30"/>
          <w:szCs w:val="30"/>
        </w:rPr>
      </w:r>
      <w:r/>
    </w:p>
    <w:p>
      <w:pPr>
        <w:pStyle w:val="1232"/>
        <w:jc w:val="center"/>
        <w:spacing w:before="0" w:beforeAutospacing="0" w:after="0" w:afterAutospacing="0" w:line="480" w:lineRule="auto"/>
        <w:widowControl w:val="off"/>
        <w:rPr>
          <w:rFonts w:hint="eastAsia"/>
          <w:b/>
          <w:bCs/>
          <w:color w:val="auto"/>
          <w:sz w:val="30"/>
          <w:szCs w:val="30"/>
        </w:rPr>
      </w:pPr>
      <w:r>
        <w:rPr>
          <w:rFonts w:hint="eastAsia"/>
          <w:b/>
          <w:bCs/>
          <w:color w:val="auto"/>
          <w:sz w:val="30"/>
          <w:szCs w:val="30"/>
        </w:rPr>
        <w:t xml:space="preserve">政府采购合同（服务）（合同编号）</w:t>
      </w:r>
      <w:bookmarkEnd w:id="118"/>
      <w:r/>
      <w:bookmarkEnd w:id="119"/>
      <w:r/>
      <w:r/>
    </w:p>
    <w:p>
      <w:pPr>
        <w:pStyle w:val="1232"/>
        <w:jc w:val="center"/>
        <w:spacing w:before="0" w:beforeAutospacing="0" w:after="0" w:afterAutospacing="0" w:line="480" w:lineRule="auto"/>
        <w:widowControl w:val="off"/>
        <w:rPr>
          <w:rFonts w:hint="eastAsia"/>
          <w:b/>
          <w:bCs/>
          <w:color w:val="auto"/>
          <w:sz w:val="30"/>
          <w:szCs w:val="30"/>
        </w:rPr>
      </w:pPr>
      <w:r>
        <w:rPr>
          <w:rFonts w:hint="eastAsia"/>
          <w:b/>
          <w:color w:val="auto"/>
          <w:sz w:val="30"/>
        </w:rPr>
        <w:t xml:space="preserve">（分包1-分包2）</w:t>
      </w:r>
      <w:r/>
    </w:p>
    <w:p>
      <w:pPr>
        <w:pStyle w:val="1232"/>
        <w:ind w:firstLine="840"/>
        <w:jc w:val="both"/>
        <w:spacing w:before="0" w:beforeAutospacing="0" w:after="0" w:afterAutospacing="0" w:line="480" w:lineRule="auto"/>
        <w:widowControl w:val="off"/>
        <w:rPr>
          <w:rFonts w:hint="eastAsia"/>
          <w:color w:val="auto"/>
          <w:sz w:val="28"/>
          <w:szCs w:val="28"/>
        </w:rPr>
      </w:pPr>
      <w:r>
        <w:rPr>
          <w:rFonts w:hint="eastAsia"/>
          <w:color w:val="auto"/>
          <w:sz w:val="28"/>
          <w:szCs w:val="28"/>
        </w:rPr>
      </w:r>
      <w:r/>
    </w:p>
    <w:p>
      <w:pPr>
        <w:ind w:firstLine="840"/>
        <w:rPr>
          <w:rFonts w:hint="eastAsia" w:ascii="宋体" w:hAnsi="宋体" w:cs="宋体"/>
          <w:b/>
          <w:color w:val="auto"/>
          <w:sz w:val="30"/>
          <w:szCs w:val="30"/>
        </w:rPr>
      </w:pPr>
      <w:r>
        <w:rPr>
          <w:rFonts w:hint="eastAsia" w:ascii="宋体" w:hAnsi="宋体" w:cs="宋体"/>
          <w:color w:val="auto"/>
          <w:sz w:val="28"/>
          <w:szCs w:val="28"/>
        </w:rPr>
        <w:t xml:space="preserve">项目名称：</w:t>
      </w:r>
      <w:r>
        <w:rPr>
          <w:rFonts w:hint="eastAsia" w:ascii="宋体" w:hAnsi="宋体" w:cs="宋体"/>
          <w:b/>
          <w:color w:val="auto"/>
          <w:sz w:val="30"/>
          <w:szCs w:val="30"/>
          <w:lang w:bidi="ar"/>
        </w:rPr>
        <w:t xml:space="preserve">2026年宿迁市城管局智能城管运维项目</w:t>
      </w:r>
      <w:r/>
    </w:p>
    <w:p>
      <w:pPr>
        <w:pStyle w:val="1232"/>
        <w:ind w:firstLine="840"/>
        <w:spacing w:before="0" w:beforeAutospacing="0" w:after="0" w:afterAutospacing="0" w:line="720" w:lineRule="auto"/>
        <w:widowControl w:val="off"/>
        <w:rPr>
          <w:rFonts w:hint="eastAsia"/>
          <w:color w:val="auto"/>
          <w:sz w:val="28"/>
          <w:szCs w:val="28"/>
        </w:rPr>
      </w:pPr>
      <w:r>
        <w:rPr>
          <w:rFonts w:hint="eastAsia"/>
          <w:color w:val="auto"/>
          <w:sz w:val="28"/>
          <w:szCs w:val="28"/>
        </w:rPr>
      </w:r>
      <w:r/>
    </w:p>
    <w:p>
      <w:pPr>
        <w:pStyle w:val="1232"/>
        <w:ind w:firstLine="840"/>
        <w:spacing w:before="0" w:beforeAutospacing="0" w:after="0" w:afterAutospacing="0" w:line="720" w:lineRule="auto"/>
        <w:widowControl w:val="off"/>
        <w:rPr>
          <w:rFonts w:hint="eastAsia"/>
          <w:color w:val="auto"/>
          <w:sz w:val="28"/>
          <w:szCs w:val="28"/>
        </w:rPr>
      </w:pPr>
      <w:r>
        <w:rPr>
          <w:rFonts w:hint="eastAsia"/>
          <w:color w:val="auto"/>
          <w:sz w:val="28"/>
          <w:szCs w:val="28"/>
        </w:rPr>
        <w:t xml:space="preserve">项目编号：</w:t>
      </w:r>
      <w:r/>
    </w:p>
    <w:p>
      <w:pPr>
        <w:pStyle w:val="1232"/>
        <w:ind w:firstLine="840"/>
        <w:jc w:val="both"/>
        <w:spacing w:before="0" w:beforeAutospacing="0" w:after="0" w:afterAutospacing="0" w:line="720" w:lineRule="auto"/>
        <w:widowControl w:val="off"/>
        <w:rPr>
          <w:rFonts w:hint="eastAsia"/>
          <w:color w:val="auto"/>
          <w:sz w:val="28"/>
          <w:szCs w:val="28"/>
        </w:rPr>
      </w:pPr>
      <w:r>
        <w:rPr>
          <w:rFonts w:hint="eastAsia"/>
          <w:color w:val="auto"/>
          <w:sz w:val="28"/>
          <w:szCs w:val="28"/>
        </w:rPr>
        <w:t xml:space="preserve">分包编号：</w:t>
      </w:r>
      <w:r/>
    </w:p>
    <w:p>
      <w:pPr>
        <w:pStyle w:val="1149"/>
        <w:ind w:firstLine="840"/>
        <w:spacing w:line="720" w:lineRule="auto"/>
        <w:rPr>
          <w:rFonts w:hint="eastAsia" w:hAnsi="宋体" w:eastAsia="宋体" w:cs="宋体"/>
          <w:color w:val="auto"/>
          <w:sz w:val="28"/>
          <w:szCs w:val="28"/>
          <w:u w:val="single"/>
        </w:rPr>
      </w:pPr>
      <w:r>
        <w:rPr>
          <w:rFonts w:hint="eastAsia" w:hAnsi="宋体" w:eastAsia="宋体" w:cs="宋体"/>
          <w:color w:val="auto"/>
          <w:sz w:val="28"/>
          <w:szCs w:val="28"/>
        </w:rPr>
        <w:t xml:space="preserve">甲方1（全称）：</w:t>
      </w:r>
      <w:r>
        <w:rPr>
          <w:rFonts w:hint="eastAsia" w:hAnsi="宋体" w:eastAsia="宋体" w:cs="宋体"/>
          <w:color w:val="auto"/>
          <w:sz w:val="28"/>
          <w:szCs w:val="28"/>
          <w:u w:val="single"/>
        </w:rPr>
        <w:t xml:space="preserve">宿迁市城市管理局</w:t>
      </w:r>
      <w:r/>
    </w:p>
    <w:p>
      <w:pPr>
        <w:pStyle w:val="1149"/>
        <w:ind w:firstLine="840"/>
        <w:spacing w:line="720" w:lineRule="auto"/>
        <w:rPr>
          <w:rFonts w:hint="eastAsia" w:hAnsi="宋体" w:eastAsia="宋体" w:cs="宋体"/>
          <w:color w:val="auto"/>
          <w:sz w:val="28"/>
          <w:szCs w:val="28"/>
          <w:u w:val="single"/>
        </w:rPr>
      </w:pPr>
      <w:r>
        <w:rPr>
          <w:rFonts w:hint="eastAsia" w:hAnsi="宋体" w:eastAsia="宋体" w:cs="宋体"/>
          <w:color w:val="auto"/>
          <w:sz w:val="28"/>
          <w:szCs w:val="28"/>
        </w:rPr>
        <w:t xml:space="preserve">甲方2（全称）：</w:t>
      </w:r>
      <w:r>
        <w:rPr>
          <w:rFonts w:hint="eastAsia" w:hAnsi="宋体" w:eastAsia="宋体" w:cs="宋体"/>
          <w:color w:val="auto"/>
          <w:sz w:val="28"/>
          <w:szCs w:val="28"/>
          <w:u w:val="single"/>
        </w:rPr>
        <w:t xml:space="preserve">宿迁市楚润数据集团有限公司</w:t>
      </w:r>
      <w:r/>
    </w:p>
    <w:p>
      <w:pPr>
        <w:pStyle w:val="1149"/>
        <w:ind w:firstLine="840"/>
        <w:spacing w:line="720" w:lineRule="auto"/>
        <w:rPr>
          <w:rFonts w:hint="eastAsia" w:hAnsi="宋体" w:eastAsia="宋体" w:cs="宋体"/>
          <w:color w:val="auto"/>
          <w:sz w:val="28"/>
          <w:szCs w:val="28"/>
        </w:rPr>
      </w:pPr>
      <w:r>
        <w:rPr>
          <w:rFonts w:hint="eastAsia" w:hAnsi="宋体" w:eastAsia="宋体" w:cs="宋体"/>
          <w:color w:val="auto"/>
          <w:sz w:val="28"/>
          <w:szCs w:val="28"/>
        </w:rPr>
        <w:t xml:space="preserve">乙方（全称）：</w:t>
      </w:r>
      <w:r/>
    </w:p>
    <w:p>
      <w:pPr>
        <w:pStyle w:val="1149"/>
        <w:ind w:firstLine="840"/>
        <w:spacing w:line="480" w:lineRule="auto"/>
        <w:rPr>
          <w:rFonts w:hint="eastAsia" w:hAnsi="宋体" w:eastAsia="宋体" w:cs="宋体"/>
          <w:color w:val="auto"/>
          <w:sz w:val="28"/>
          <w:szCs w:val="28"/>
        </w:rPr>
      </w:pPr>
      <w:r>
        <w:rPr>
          <w:rFonts w:hint="eastAsia" w:hAnsi="宋体" w:eastAsia="宋体" w:cs="宋体"/>
          <w:color w:val="auto"/>
          <w:sz w:val="28"/>
          <w:szCs w:val="28"/>
        </w:rPr>
        <w:t xml:space="preserve">签订时间：2026年</w:t>
      </w:r>
      <w:r>
        <w:rPr>
          <w:rFonts w:hint="eastAsia" w:hAnsi="宋体" w:eastAsia="宋体" w:cs="宋体"/>
          <w:color w:val="auto"/>
          <w:sz w:val="28"/>
          <w:szCs w:val="28"/>
          <w:u w:val="single"/>
        </w:rPr>
        <w:t xml:space="preserve">      </w:t>
      </w:r>
      <w:r>
        <w:rPr>
          <w:rFonts w:hint="eastAsia" w:hAnsi="宋体" w:eastAsia="宋体" w:cs="宋体"/>
          <w:color w:val="auto"/>
          <w:sz w:val="28"/>
          <w:szCs w:val="28"/>
        </w:rPr>
        <w:t xml:space="preserve">月</w:t>
      </w:r>
      <w:r>
        <w:rPr>
          <w:rFonts w:hint="eastAsia" w:hAnsi="宋体" w:eastAsia="宋体" w:cs="宋体"/>
          <w:color w:val="auto"/>
          <w:sz w:val="28"/>
          <w:szCs w:val="28"/>
          <w:u w:val="single"/>
        </w:rPr>
        <w:t xml:space="preserve">        </w:t>
      </w:r>
      <w:r>
        <w:rPr>
          <w:rFonts w:hint="eastAsia" w:hAnsi="宋体" w:eastAsia="宋体" w:cs="宋体"/>
          <w:color w:val="auto"/>
          <w:sz w:val="28"/>
          <w:szCs w:val="28"/>
        </w:rPr>
        <w:t xml:space="preserve">日</w:t>
      </w:r>
      <w:r/>
    </w:p>
    <w:p>
      <w:pPr>
        <w:rPr>
          <w:rFonts w:hint="eastAsia" w:ascii="宋体" w:hAnsi="宋体" w:cs="宋体"/>
          <w:color w:val="auto"/>
          <w:sz w:val="28"/>
          <w:szCs w:val="28"/>
        </w:rPr>
      </w:pPr>
      <w:r>
        <w:rPr>
          <w:rFonts w:hint="eastAsia" w:ascii="宋体" w:hAnsi="宋体" w:cs="宋体"/>
          <w:color w:val="auto"/>
          <w:sz w:val="28"/>
          <w:szCs w:val="28"/>
        </w:rPr>
        <w:br w:type="page" w:clear="all"/>
      </w:r>
      <w:r/>
    </w:p>
    <w:p>
      <w:pPr>
        <w:jc w:val="center"/>
        <w:spacing w:line="560" w:lineRule="exact"/>
        <w:rPr>
          <w:rFonts w:hint="eastAsia" w:ascii="宋体" w:hAnsi="宋体" w:cs="宋体"/>
          <w:color w:val="auto"/>
          <w:sz w:val="44"/>
          <w:szCs w:val="44"/>
        </w:rPr>
      </w:pPr>
      <w:r/>
      <w:bookmarkStart w:id="120" w:name="_Toc29491"/>
      <w:r>
        <w:rPr>
          <w:rFonts w:hint="eastAsia" w:ascii="宋体" w:hAnsi="宋体" w:cs="宋体"/>
          <w:color w:val="auto"/>
          <w:sz w:val="44"/>
          <w:szCs w:val="44"/>
        </w:rPr>
        <w:t xml:space="preserve">合同条款</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甲方1： 宿迁市城市管理局  </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甲方2： 宿迁市楚润数据集团有限公司  </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乙方： ____________________</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根据本项目采购需求及</w:t>
      </w:r>
      <w:r>
        <w:rPr>
          <w:rFonts w:hint="eastAsia" w:ascii="宋体" w:hAnsi="宋体" w:cs="宋体"/>
          <w:color w:val="auto"/>
          <w:sz w:val="24"/>
          <w:szCs w:val="24"/>
          <w:lang w:val="en-US" w:eastAsia="zh-CN"/>
        </w:rPr>
        <w:t xml:space="preserve">竞争性磋商</w:t>
      </w:r>
      <w:r>
        <w:rPr>
          <w:rFonts w:hint="eastAsia" w:ascii="宋体" w:hAnsi="宋体" w:cs="宋体"/>
          <w:color w:val="auto"/>
          <w:sz w:val="24"/>
          <w:szCs w:val="24"/>
        </w:rPr>
        <w:t xml:space="preserve">结果，甲乙三方经平等协商，就乙方向甲方提供硬件运维服务事宜，达成如下条款，以资共同信守。</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 一、服务内容与核心标准</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分包1：</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1.服务范围：乙方须完整响应采购需求中“核心运维服务清单及全量分项技术要求”所列的全部内容，包括：</w:t>
      </w:r>
      <w:r/>
    </w:p>
    <w:p>
      <w:pPr>
        <w:ind w:firstLine="480"/>
        <w:jc w:val="left"/>
        <w:spacing w:line="560" w:lineRule="exact"/>
        <w:rPr>
          <w:rFonts w:hint="eastAsia" w:ascii="宋体" w:hAnsi="宋体" w:cs="宋体"/>
          <w:color w:val="auto"/>
          <w:sz w:val="24"/>
          <w:szCs w:val="24"/>
        </w:rPr>
      </w:pPr>
      <w:r>
        <w:rPr>
          <w:rFonts w:hint="eastAsia" w:ascii="宋体" w:hAnsi="宋体" w:cs="宋体"/>
          <w:color w:val="auto"/>
          <w:sz w:val="24"/>
          <w:szCs w:val="24"/>
        </w:rPr>
        <w:t xml:space="preserve">（一）</w:t>
      </w:r>
      <w:r>
        <w:rPr>
          <w:rFonts w:hint="eastAsia" w:ascii="宋体" w:hAnsi="宋体" w:cs="宋体"/>
          <w:color w:val="auto"/>
          <w:sz w:val="24"/>
          <w:szCs w:val="24"/>
          <w:lang w:val="en-US" w:eastAsia="zh-CN"/>
        </w:rPr>
        <w:t xml:space="preserve">智能</w:t>
      </w:r>
      <w:r>
        <w:rPr>
          <w:rFonts w:hint="eastAsia" w:ascii="宋体" w:hAnsi="宋体" w:cs="宋体"/>
          <w:color w:val="auto"/>
          <w:sz w:val="24"/>
          <w:szCs w:val="24"/>
        </w:rPr>
        <w:t xml:space="preserve">城管业务系统运维（7个子系统）；</w:t>
      </w:r>
      <w:r/>
    </w:p>
    <w:p>
      <w:pPr>
        <w:ind w:firstLine="480"/>
        <w:jc w:val="left"/>
        <w:spacing w:line="560" w:lineRule="exact"/>
        <w:rPr>
          <w:rFonts w:hint="eastAsia" w:ascii="宋体" w:hAnsi="宋体" w:cs="宋体"/>
          <w:color w:val="auto"/>
          <w:sz w:val="24"/>
          <w:szCs w:val="24"/>
        </w:rPr>
      </w:pPr>
      <w:r>
        <w:rPr>
          <w:rFonts w:hint="eastAsia" w:ascii="宋体" w:hAnsi="宋体" w:cs="宋体"/>
          <w:color w:val="auto"/>
          <w:sz w:val="24"/>
          <w:szCs w:val="24"/>
        </w:rPr>
        <w:t xml:space="preserve">（二）网络安全设备运维（9类设备）；</w:t>
      </w:r>
      <w:r/>
    </w:p>
    <w:p>
      <w:pPr>
        <w:ind w:firstLine="480"/>
        <w:jc w:val="left"/>
        <w:spacing w:line="560" w:lineRule="exact"/>
        <w:rPr>
          <w:rFonts w:hint="eastAsia" w:ascii="宋体" w:hAnsi="宋体" w:cs="宋体"/>
          <w:color w:val="auto"/>
          <w:sz w:val="24"/>
          <w:szCs w:val="24"/>
        </w:rPr>
      </w:pPr>
      <w:r>
        <w:rPr>
          <w:rFonts w:hint="eastAsia" w:ascii="宋体" w:hAnsi="宋体" w:cs="宋体"/>
          <w:color w:val="auto"/>
          <w:sz w:val="24"/>
          <w:szCs w:val="24"/>
        </w:rPr>
        <w:t xml:space="preserve">（三）网络安全专项评估服务（2项）；</w:t>
      </w:r>
      <w:r/>
    </w:p>
    <w:p>
      <w:pPr>
        <w:ind w:firstLine="480"/>
        <w:jc w:val="left"/>
        <w:spacing w:line="560" w:lineRule="exact"/>
        <w:rPr>
          <w:rFonts w:hint="eastAsia" w:ascii="宋体" w:hAnsi="宋体" w:cs="宋体"/>
          <w:color w:val="auto"/>
          <w:sz w:val="24"/>
          <w:szCs w:val="24"/>
        </w:rPr>
      </w:pPr>
      <w:r>
        <w:rPr>
          <w:rFonts w:hint="eastAsia" w:ascii="宋体" w:hAnsi="宋体" w:cs="宋体"/>
          <w:color w:val="auto"/>
          <w:sz w:val="24"/>
          <w:szCs w:val="24"/>
        </w:rPr>
        <w:t xml:space="preserve">（四）配套资源与专项技术服务（7项）；</w:t>
      </w:r>
      <w:r/>
    </w:p>
    <w:p>
      <w:pPr>
        <w:ind w:firstLine="480"/>
        <w:jc w:val="left"/>
        <w:spacing w:line="560" w:lineRule="exact"/>
        <w:rPr>
          <w:rFonts w:hint="eastAsia" w:ascii="宋体" w:hAnsi="宋体" w:cs="宋体"/>
          <w:color w:val="auto"/>
          <w:sz w:val="24"/>
          <w:szCs w:val="24"/>
        </w:rPr>
      </w:pPr>
      <w:r>
        <w:rPr>
          <w:rFonts w:hint="eastAsia" w:ascii="宋体" w:hAnsi="宋体" w:cs="宋体"/>
          <w:color w:val="auto"/>
          <w:sz w:val="24"/>
          <w:szCs w:val="24"/>
        </w:rPr>
        <w:t xml:space="preserve">（五）专职驻场运维服务（1名）。</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2.合规承诺：</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对全部网络安全设备，乙方须提供涵盖硬件故障免费维修/更换</w:t>
      </w:r>
      <w:r>
        <w:rPr>
          <w:rFonts w:hint="eastAsia" w:ascii="宋体" w:hAnsi="宋体" w:cs="宋体"/>
          <w:color w:val="auto"/>
          <w:sz w:val="24"/>
          <w:szCs w:val="24"/>
          <w:lang w:val="en-US" w:eastAsia="zh-CN"/>
        </w:rPr>
        <w:t xml:space="preserve">设备</w:t>
      </w:r>
      <w:r>
        <w:rPr>
          <w:rFonts w:hint="eastAsia" w:ascii="宋体" w:hAnsi="宋体" w:cs="宋体"/>
          <w:color w:val="auto"/>
          <w:sz w:val="24"/>
          <w:szCs w:val="24"/>
        </w:rPr>
        <w:t xml:space="preserve">、固件安全</w:t>
      </w:r>
      <w:r>
        <w:rPr>
          <w:rFonts w:hint="eastAsia" w:ascii="宋体" w:hAnsi="宋体" w:cs="宋体"/>
          <w:color w:val="auto"/>
          <w:sz w:val="24"/>
          <w:szCs w:val="24"/>
          <w:lang w:val="en-US" w:eastAsia="zh-CN"/>
        </w:rPr>
        <w:t xml:space="preserve">免费</w:t>
      </w:r>
      <w:r>
        <w:rPr>
          <w:rFonts w:hint="eastAsia" w:ascii="宋体" w:hAnsi="宋体" w:cs="宋体"/>
          <w:color w:val="auto"/>
          <w:sz w:val="24"/>
          <w:szCs w:val="24"/>
        </w:rPr>
        <w:t xml:space="preserve">升级、7×24小时技术支持的全质保续保服务。</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全部病毒库、攻击特征库、安全规则库的</w:t>
      </w:r>
      <w:r>
        <w:rPr>
          <w:rFonts w:hint="eastAsia" w:ascii="宋体" w:hAnsi="宋体" w:cs="宋体"/>
          <w:color w:val="auto"/>
          <w:sz w:val="24"/>
          <w:szCs w:val="24"/>
          <w:lang w:val="en-US" w:eastAsia="zh-CN"/>
        </w:rPr>
        <w:t xml:space="preserve">免费</w:t>
      </w:r>
      <w:r>
        <w:rPr>
          <w:rFonts w:hint="eastAsia" w:ascii="宋体" w:hAnsi="宋体" w:cs="宋体"/>
          <w:color w:val="auto"/>
          <w:sz w:val="24"/>
          <w:szCs w:val="24"/>
        </w:rPr>
        <w:t xml:space="preserve">升级，必须使用设备官方发布的稳定版升级包。严禁使用盗版、破解版、第三方修改或网上下载升级包，严禁私自篡改升级内容。乙方开展固件、特征库升级操作前，须核验升级包官方来源；升级完成后完整留存操作日志、版本校验记录，形成规范运维台账存档备查；</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分包2：</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1.服务范围  </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乙方须完整响应采购需求中“核心运维服务清单及全量分项技术要求”所列的全部内容，包括：</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（一）视频监控平台日常维护；</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（二）监控设备维修、</w:t>
      </w:r>
      <w:r>
        <w:rPr>
          <w:rFonts w:hint="eastAsia" w:ascii="宋体" w:hAnsi="宋体" w:cs="宋体"/>
          <w:color w:val="auto"/>
          <w:sz w:val="24"/>
          <w:szCs w:val="24"/>
          <w:lang w:val="en-US" w:eastAsia="zh-CN"/>
        </w:rPr>
        <w:t xml:space="preserve">免费</w:t>
      </w:r>
      <w:r>
        <w:rPr>
          <w:rFonts w:hint="eastAsia" w:ascii="宋体" w:hAnsi="宋体" w:cs="宋体"/>
          <w:color w:val="auto"/>
          <w:sz w:val="24"/>
          <w:szCs w:val="24"/>
        </w:rPr>
        <w:t xml:space="preserve">更换、改电及电费（含666路摄像头、配套杆件、设备箱、线路及电费）；</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（三）150台喊话音响维护维修；</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（四）400个井盖传感器备件供应；</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（五）2</w:t>
      </w:r>
      <w:r>
        <w:rPr>
          <w:rFonts w:hint="eastAsia" w:ascii="宋体" w:hAnsi="宋体" w:cs="宋体"/>
          <w:color w:val="auto"/>
          <w:sz w:val="24"/>
          <w:szCs w:val="24"/>
          <w:lang w:val="en-US" w:eastAsia="zh-CN"/>
        </w:rPr>
        <w:t xml:space="preserve">371</w:t>
      </w:r>
      <w:r>
        <w:rPr>
          <w:rFonts w:hint="eastAsia" w:ascii="宋体" w:hAnsi="宋体" w:cs="宋体"/>
          <w:color w:val="auto"/>
          <w:sz w:val="24"/>
          <w:szCs w:val="24"/>
        </w:rPr>
        <w:t xml:space="preserve">张井盖物联网卡续费；</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（六）物联网井盖平台日常维护。</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2.运维质量核心承诺</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视频监控前端设备全月在线率≥95%，物联网井盖网关设备在线率≥95%；</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前端及网关设备离线修复时间不超过24小时；</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喊话音响故障4小时内到场，8小时内修复，无法修复的48小时内更换；</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井盖传感器故障24小时内完成更换；</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备件须与设备完全兼容，并提供1年质保；</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物联网卡须适配现网传感器，每月流量不低于50MB/卡。</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 二、服务团队保障</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分包1：</w:t>
      </w:r>
      <w:r/>
    </w:p>
    <w:p>
      <w:pPr>
        <w:ind w:firstLine="480"/>
        <w:spacing w:line="560" w:lineRule="exact"/>
        <w:rPr>
          <w:rFonts w:hint="eastAsia" w:ascii="宋体" w:hAnsi="宋体" w:cs="宋体"/>
          <w:b/>
          <w:bCs/>
          <w:color w:val="auto"/>
          <w:sz w:val="24"/>
          <w:szCs w:val="24"/>
        </w:rPr>
      </w:pPr>
      <w:r>
        <w:rPr>
          <w:rFonts w:hint="eastAsia" w:ascii="宋体" w:hAnsi="宋体" w:cs="宋体"/>
          <w:color w:val="auto"/>
          <w:sz w:val="24"/>
          <w:szCs w:val="24"/>
        </w:rPr>
        <w:t xml:space="preserve">1.供应商须组建专属项目运维团队，团队总人数不少于5人，包括：</w:t>
      </w:r>
      <w:r/>
    </w:p>
    <w:tbl>
      <w:tblPr>
        <w:tblStyle w:val="852"/>
        <w:tblW w:w="8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66"/>
        <w:gridCol w:w="1163"/>
        <w:gridCol w:w="5109"/>
      </w:tblGrid>
      <w:tr>
        <w:trPr>
          <w:jc w:val="center"/>
          <w:trHeight w:val="304"/>
          <w:tblHeader/>
        </w:trPr>
        <w:tc>
          <w:tcPr>
            <w:tcW w:w="2566" w:type="dxa"/>
            <w:vAlign w:val="center"/>
            <w:textDirection w:val="lrTb"/>
            <w:noWrap w:val="false"/>
          </w:tcPr>
          <w:p>
            <w:pPr>
              <w:jc w:val="center"/>
              <w:keepNext/>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岗位</w:t>
            </w:r>
            <w:r/>
          </w:p>
        </w:tc>
        <w:tc>
          <w:tcPr>
            <w:tcW w:w="1163" w:type="dxa"/>
            <w:vAlign w:val="center"/>
            <w:textDirection w:val="lrTb"/>
            <w:noWrap w:val="false"/>
          </w:tcPr>
          <w:p>
            <w:pPr>
              <w:jc w:val="center"/>
              <w:keepNext/>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人数</w:t>
            </w:r>
            <w:r/>
          </w:p>
        </w:tc>
        <w:tc>
          <w:tcPr>
            <w:tcW w:w="5109" w:type="dxa"/>
            <w:vAlign w:val="center"/>
            <w:textDirection w:val="lrTb"/>
            <w:noWrap w:val="false"/>
          </w:tcPr>
          <w:p>
            <w:pPr>
              <w:jc w:val="center"/>
              <w:keepNext/>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要求</w:t>
            </w:r>
            <w:r/>
          </w:p>
        </w:tc>
      </w:tr>
      <w:tr>
        <w:trPr>
          <w:jc w:val="center"/>
          <w:trHeight w:val="598"/>
        </w:trPr>
        <w:tc>
          <w:tcPr>
            <w:tcW w:w="256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项目经理</w:t>
            </w:r>
            <w:r/>
          </w:p>
        </w:tc>
        <w:tc>
          <w:tcPr>
            <w:tcW w:w="1163"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1名</w:t>
            </w:r>
            <w:r/>
          </w:p>
        </w:tc>
        <w:tc>
          <w:tcPr>
            <w:tcW w:w="5109"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rPr>
              <w:t xml:space="preserve">具备5年以上政务信息化项目运维管理经验；</w:t>
            </w:r>
            <w:r/>
          </w:p>
        </w:tc>
      </w:tr>
      <w:tr>
        <w:trPr>
          <w:jc w:val="center"/>
          <w:trHeight w:val="304"/>
        </w:trPr>
        <w:tc>
          <w:tcPr>
            <w:tcW w:w="256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安全运维工程师</w:t>
            </w:r>
            <w:r/>
          </w:p>
        </w:tc>
        <w:tc>
          <w:tcPr>
            <w:tcW w:w="1163"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3名</w:t>
            </w:r>
            <w:r/>
          </w:p>
        </w:tc>
        <w:tc>
          <w:tcPr>
            <w:tcW w:w="5109"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具备3年以上政务网络安全运维经验，熟悉主流安全设备运维与特征库升级管理；</w:t>
            </w:r>
            <w:r/>
          </w:p>
        </w:tc>
      </w:tr>
      <w:tr>
        <w:trPr>
          <w:jc w:val="center"/>
          <w:trHeight w:val="304"/>
        </w:trPr>
        <w:tc>
          <w:tcPr>
            <w:tcW w:w="256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驻场运维人员</w:t>
            </w:r>
            <w:r/>
          </w:p>
        </w:tc>
        <w:tc>
          <w:tcPr>
            <w:tcW w:w="1163"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1名</w:t>
            </w:r>
            <w:r/>
          </w:p>
        </w:tc>
        <w:tc>
          <w:tcPr>
            <w:tcW w:w="5109"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具备3年以上政务网络安全运维经验，熟悉主流安全设备运维与特征库升级管理；</w:t>
            </w:r>
            <w:r/>
          </w:p>
        </w:tc>
      </w:tr>
    </w:tbl>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设备运维操作须由认证工程师执行，确保运维操作合规、专业；</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未经</w:t>
      </w:r>
      <w:r>
        <w:rPr>
          <w:rFonts w:hint="eastAsia" w:ascii="宋体" w:hAnsi="宋体" w:cs="宋体"/>
          <w:color w:val="auto"/>
          <w:sz w:val="24"/>
          <w:szCs w:val="24"/>
          <w:lang w:val="en-US" w:eastAsia="zh-CN"/>
        </w:rPr>
        <w:t xml:space="preserve">甲方</w:t>
      </w:r>
      <w:r>
        <w:rPr>
          <w:rFonts w:hint="eastAsia" w:ascii="宋体" w:hAnsi="宋体" w:cs="宋体"/>
          <w:color w:val="auto"/>
          <w:sz w:val="24"/>
          <w:szCs w:val="24"/>
        </w:rPr>
        <w:t xml:space="preserve">同意，供应商不得擅自更换项目核心人员，确需更换的，须提前15日向</w:t>
      </w:r>
      <w:r>
        <w:rPr>
          <w:rFonts w:hint="eastAsia" w:ascii="宋体" w:hAnsi="宋体" w:cs="宋体"/>
          <w:color w:val="auto"/>
          <w:sz w:val="24"/>
          <w:szCs w:val="24"/>
          <w:lang w:val="en-US" w:eastAsia="zh-CN"/>
        </w:rPr>
        <w:t xml:space="preserve">甲方</w:t>
      </w:r>
      <w:r>
        <w:rPr>
          <w:rFonts w:hint="eastAsia" w:ascii="宋体" w:hAnsi="宋体" w:cs="宋体"/>
          <w:color w:val="auto"/>
          <w:sz w:val="24"/>
          <w:szCs w:val="24"/>
        </w:rPr>
        <w:t xml:space="preserve">提交申请，替换人员资质不得低于原人员，经</w:t>
      </w:r>
      <w:r>
        <w:rPr>
          <w:rFonts w:hint="eastAsia" w:ascii="宋体" w:hAnsi="宋体" w:cs="宋体"/>
          <w:color w:val="auto"/>
          <w:sz w:val="24"/>
          <w:szCs w:val="24"/>
          <w:lang w:val="en-US" w:eastAsia="zh-CN"/>
        </w:rPr>
        <w:t xml:space="preserve">甲方</w:t>
      </w:r>
      <w:r>
        <w:rPr>
          <w:rFonts w:hint="eastAsia" w:ascii="宋体" w:hAnsi="宋体" w:cs="宋体"/>
          <w:color w:val="auto"/>
          <w:sz w:val="24"/>
          <w:szCs w:val="24"/>
        </w:rPr>
        <w:t xml:space="preserve">书面同意后方可更换。</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分包2：</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1. 乙方专属项目运维团队总人数不少于5人，核心成员应包含：</w:t>
      </w:r>
      <w:r/>
    </w:p>
    <w:tbl>
      <w:tblPr>
        <w:tblStyle w:val="85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74"/>
        <w:gridCol w:w="1122"/>
        <w:gridCol w:w="4926"/>
      </w:tblGrid>
      <w:tr>
        <w:trPr>
          <w:jc w:val="center"/>
          <w:tblHeader/>
        </w:trPr>
        <w:tc>
          <w:tcPr>
            <w:tcW w:w="2474" w:type="dxa"/>
            <w:vAlign w:val="center"/>
            <w:textDirection w:val="lrTb"/>
            <w:noWrap w:val="false"/>
          </w:tcPr>
          <w:p>
            <w:pPr>
              <w:jc w:val="center"/>
              <w:keepNext/>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岗位</w:t>
            </w:r>
            <w:r/>
          </w:p>
        </w:tc>
        <w:tc>
          <w:tcPr>
            <w:tcW w:w="1122" w:type="dxa"/>
            <w:vAlign w:val="center"/>
            <w:textDirection w:val="lrTb"/>
            <w:noWrap w:val="false"/>
          </w:tcPr>
          <w:p>
            <w:pPr>
              <w:jc w:val="center"/>
              <w:keepNext/>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人数</w:t>
            </w:r>
            <w:r/>
          </w:p>
        </w:tc>
        <w:tc>
          <w:tcPr>
            <w:tcW w:w="4926" w:type="dxa"/>
            <w:vAlign w:val="center"/>
            <w:textDirection w:val="lrTb"/>
            <w:noWrap w:val="false"/>
          </w:tcPr>
          <w:p>
            <w:pPr>
              <w:jc w:val="center"/>
              <w:keepNext/>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要求</w:t>
            </w:r>
            <w:r/>
          </w:p>
        </w:tc>
      </w:tr>
      <w:tr>
        <w:trPr>
          <w:jc w:val="center"/>
        </w:trPr>
        <w:tc>
          <w:tcPr>
            <w:tcW w:w="2474"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项目经理</w:t>
            </w:r>
            <w:r/>
          </w:p>
        </w:tc>
        <w:tc>
          <w:tcPr>
            <w:tcW w:w="1122"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1名</w:t>
            </w:r>
            <w:r/>
          </w:p>
        </w:tc>
        <w:tc>
          <w:tcPr>
            <w:tcW w:w="492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具备3年以上视频监控或物联网运维项目管理经验</w:t>
            </w:r>
            <w:r/>
          </w:p>
        </w:tc>
      </w:tr>
      <w:tr>
        <w:trPr>
          <w:jc w:val="center"/>
        </w:trPr>
        <w:tc>
          <w:tcPr>
            <w:tcW w:w="2474"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2"/>
              </w:rPr>
              <w:t xml:space="preserve">技术负责人</w:t>
            </w:r>
            <w:r/>
          </w:p>
        </w:tc>
        <w:tc>
          <w:tcPr>
            <w:tcW w:w="1122"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val="en-US" w:eastAsia="zh-CN" w:bidi="ar"/>
              </w:rPr>
              <w:t xml:space="preserve">1</w:t>
            </w:r>
            <w:r>
              <w:rPr>
                <w:rFonts w:hint="eastAsia" w:ascii="宋体" w:hAnsi="宋体" w:cs="宋体"/>
                <w:color w:val="auto"/>
                <w:sz w:val="24"/>
                <w:szCs w:val="24"/>
                <w:lang w:bidi="ar"/>
              </w:rPr>
              <w:t xml:space="preserve">名</w:t>
            </w:r>
            <w:r/>
          </w:p>
        </w:tc>
        <w:tc>
          <w:tcPr>
            <w:tcW w:w="492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eastAsia="宋体" w:cs="宋体"/>
                <w:color w:val="auto"/>
                <w:sz w:val="22"/>
                <w:szCs w:val="22"/>
                <w:lang w:val="en-US" w:eastAsia="zh-CN"/>
              </w:rPr>
              <w:t xml:space="preserve">负责</w:t>
            </w:r>
            <w:r>
              <w:rPr>
                <w:rFonts w:hint="eastAsia" w:ascii="宋体" w:hAnsi="宋体" w:eastAsia="宋体" w:cs="宋体"/>
                <w:color w:val="auto"/>
                <w:sz w:val="22"/>
                <w:szCs w:val="22"/>
              </w:rPr>
              <w:t xml:space="preserve">项目实施，</w:t>
            </w:r>
            <w:r>
              <w:rPr>
                <w:rFonts w:hint="eastAsia" w:ascii="宋体" w:hAnsi="宋体" w:eastAsia="宋体" w:cs="宋体"/>
                <w:color w:val="auto"/>
                <w:sz w:val="22"/>
                <w:szCs w:val="22"/>
                <w:lang w:val="en-US" w:eastAsia="zh-CN"/>
              </w:rPr>
              <w:t xml:space="preserve">及</w:t>
            </w:r>
            <w:r>
              <w:rPr>
                <w:rFonts w:hint="eastAsia" w:ascii="宋体" w:hAnsi="宋体" w:eastAsia="宋体" w:cs="宋体"/>
                <w:color w:val="auto"/>
                <w:sz w:val="22"/>
                <w:szCs w:val="22"/>
              </w:rPr>
              <w:t xml:space="preserve">项目整体技术统筹工作</w:t>
            </w:r>
            <w:r/>
          </w:p>
        </w:tc>
      </w:tr>
      <w:tr>
        <w:trPr>
          <w:jc w:val="center"/>
        </w:trPr>
        <w:tc>
          <w:tcPr>
            <w:tcW w:w="2474"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设备运维服务工程师</w:t>
            </w:r>
            <w:r/>
          </w:p>
        </w:tc>
        <w:tc>
          <w:tcPr>
            <w:tcW w:w="1122"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val="en-US" w:eastAsia="zh-CN" w:bidi="ar"/>
              </w:rPr>
              <w:t xml:space="preserve">1</w:t>
            </w:r>
            <w:r>
              <w:rPr>
                <w:rFonts w:hint="eastAsia" w:ascii="宋体" w:hAnsi="宋体" w:cs="宋体"/>
                <w:color w:val="auto"/>
                <w:sz w:val="24"/>
                <w:szCs w:val="24"/>
                <w:lang w:bidi="ar"/>
              </w:rPr>
              <w:t xml:space="preserve">名</w:t>
            </w:r>
            <w:r/>
          </w:p>
        </w:tc>
        <w:tc>
          <w:tcPr>
            <w:tcW w:w="492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负责前端设备巡检、维修、点位迁移</w:t>
            </w:r>
            <w:r/>
          </w:p>
        </w:tc>
      </w:tr>
      <w:tr>
        <w:trPr>
          <w:jc w:val="center"/>
        </w:trPr>
        <w:tc>
          <w:tcPr>
            <w:tcW w:w="2474"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平台运维服务工程师</w:t>
            </w:r>
            <w:r/>
          </w:p>
        </w:tc>
        <w:tc>
          <w:tcPr>
            <w:tcW w:w="1122"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1名</w:t>
            </w:r>
            <w:r/>
          </w:p>
        </w:tc>
        <w:tc>
          <w:tcPr>
            <w:tcW w:w="492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负责平台运维、协调、文档管理</w:t>
            </w:r>
            <w:r/>
          </w:p>
        </w:tc>
      </w:tr>
      <w:tr>
        <w:trPr>
          <w:jc w:val="center"/>
        </w:trPr>
        <w:tc>
          <w:tcPr>
            <w:tcW w:w="2474"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客户经理</w:t>
            </w:r>
            <w:r/>
          </w:p>
        </w:tc>
        <w:tc>
          <w:tcPr>
            <w:tcW w:w="1122"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1名</w:t>
            </w:r>
            <w:r/>
          </w:p>
        </w:tc>
        <w:tc>
          <w:tcPr>
            <w:tcW w:w="492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负责沟通联络，物联网卡信息查询</w:t>
            </w:r>
            <w:r/>
          </w:p>
        </w:tc>
      </w:tr>
    </w:tbl>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2. 合同生效后15个工作日内，乙方须提交全体团队成员的证明文件（证书、社保证明、简历等）供甲方核验。未经甲方书面同意，乙方不得单方面更换项目经理，如需更换的，须提前15日申请，替换人员资质不得低于被替换人员，并获甲方书面同意。</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注：乙方投标响应文件如优于以上要求的。则以投标文件内容为准。</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 三、运维服务要求</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分包1：</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响应时效：一级故障15分钟响应、1小时到场；二级故障30分钟响应、2小时到场等。</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升级合规性：病毒库/特征库按约定周期完成升级，无遗漏、无违规。</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报告合规性：按月、季度、年度要求，准时、完整交付各类巡检、运维及专项报告。</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服务可用性：核心业务系统全年稳定运行，案件流转零中断。</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2.验收节点：</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季度进度款确认：合同签订三个月后，</w:t>
      </w:r>
      <w:r>
        <w:rPr>
          <w:rFonts w:hint="eastAsia" w:ascii="宋体" w:hAnsi="宋体" w:cs="宋体"/>
          <w:color w:val="auto"/>
          <w:sz w:val="24"/>
          <w:szCs w:val="24"/>
          <w:lang w:val="en-US" w:eastAsia="zh-CN"/>
        </w:rPr>
        <w:t xml:space="preserve">乙方</w:t>
      </w:r>
      <w:r>
        <w:rPr>
          <w:rFonts w:hint="eastAsia" w:ascii="宋体" w:hAnsi="宋体" w:cs="宋体"/>
          <w:color w:val="auto"/>
          <w:sz w:val="24"/>
          <w:szCs w:val="24"/>
        </w:rPr>
        <w:t xml:space="preserve">完成以下服务内容：病毒库/特征库合规升级、安全设备续保服务、渗透测试与漏洞扫描服务、办公网络安全检测探针、便携式信息采集终端更新、指挥协调系统城管进社区智慧赋能模块工作，并经甲方书面确认为准。</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最终验收：服务期全部届满后，乙方提交完整的年度运维全量文档汇编与项目验收申请，甲方对年度服务进行最终全面</w:t>
      </w:r>
      <w:r>
        <w:rPr>
          <w:rFonts w:hint="eastAsia" w:ascii="宋体" w:hAnsi="宋体" w:cs="宋体"/>
          <w:color w:val="auto"/>
          <w:sz w:val="24"/>
          <w:szCs w:val="24"/>
          <w:lang w:val="en-US" w:eastAsia="zh-CN"/>
        </w:rPr>
        <w:t xml:space="preserve">验收</w:t>
      </w:r>
      <w:r>
        <w:rPr>
          <w:rFonts w:hint="eastAsia" w:ascii="宋体" w:hAnsi="宋体" w:cs="宋体"/>
          <w:color w:val="auto"/>
          <w:sz w:val="24"/>
          <w:szCs w:val="24"/>
        </w:rPr>
        <w:t xml:space="preserve">，确认</w:t>
      </w:r>
      <w:r>
        <w:rPr>
          <w:rFonts w:hint="eastAsia" w:ascii="宋体" w:hAnsi="宋体" w:cs="宋体"/>
          <w:color w:val="auto"/>
          <w:sz w:val="24"/>
          <w:szCs w:val="24"/>
          <w:lang w:val="en-US" w:eastAsia="zh-CN"/>
        </w:rPr>
        <w:t xml:space="preserve">验收合格</w:t>
      </w:r>
      <w:r>
        <w:rPr>
          <w:rFonts w:hint="eastAsia" w:ascii="宋体" w:hAnsi="宋体" w:cs="宋体"/>
          <w:color w:val="auto"/>
          <w:sz w:val="24"/>
          <w:szCs w:val="24"/>
        </w:rPr>
        <w:t xml:space="preserve">后支付尾款。</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分包2：</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1.响应时效与故障分级  </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 </w:t>
      </w:r>
      <w:r/>
    </w:p>
    <w:tbl>
      <w:tblPr>
        <w:tblStyle w:val="852"/>
        <w:tblW w:w="9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6"/>
        <w:gridCol w:w="3216"/>
        <w:gridCol w:w="1621"/>
        <w:gridCol w:w="1384"/>
        <w:gridCol w:w="1239"/>
      </w:tblGrid>
      <w:tr>
        <w:trPr>
          <w:jc w:val="center"/>
          <w:tblHeader/>
        </w:trPr>
        <w:tc>
          <w:tcPr>
            <w:tcW w:w="2296" w:type="dxa"/>
            <w:vAlign w:val="center"/>
            <w:textDirection w:val="lrTb"/>
            <w:noWrap w:val="false"/>
          </w:tcPr>
          <w:p>
            <w:pPr>
              <w:jc w:val="center"/>
              <w:keepNext/>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故障等级</w:t>
            </w:r>
            <w:r/>
          </w:p>
        </w:tc>
        <w:tc>
          <w:tcPr>
            <w:tcW w:w="3216" w:type="dxa"/>
            <w:vAlign w:val="center"/>
            <w:textDirection w:val="lrTb"/>
            <w:noWrap w:val="false"/>
          </w:tcPr>
          <w:p>
            <w:pPr>
              <w:jc w:val="center"/>
              <w:keepNext/>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定义</w:t>
            </w:r>
            <w:r/>
          </w:p>
        </w:tc>
        <w:tc>
          <w:tcPr>
            <w:tcW w:w="0" w:type="auto"/>
            <w:vAlign w:val="center"/>
            <w:textDirection w:val="lrTb"/>
            <w:noWrap w:val="false"/>
          </w:tcPr>
          <w:p>
            <w:pPr>
              <w:jc w:val="center"/>
              <w:keepNext/>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响应时限</w:t>
            </w:r>
            <w:r/>
          </w:p>
        </w:tc>
        <w:tc>
          <w:tcPr>
            <w:tcW w:w="1384" w:type="dxa"/>
            <w:vAlign w:val="center"/>
            <w:textDirection w:val="lrTb"/>
            <w:noWrap w:val="false"/>
          </w:tcPr>
          <w:p>
            <w:pPr>
              <w:jc w:val="center"/>
              <w:keepNext/>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业务恢复时限</w:t>
            </w:r>
            <w:r/>
          </w:p>
        </w:tc>
        <w:tc>
          <w:tcPr>
            <w:tcW w:w="1239" w:type="dxa"/>
            <w:vAlign w:val="center"/>
            <w:textDirection w:val="lrTb"/>
            <w:noWrap w:val="false"/>
          </w:tcPr>
          <w:p>
            <w:pPr>
              <w:jc w:val="center"/>
              <w:keepNext/>
              <w:widowControl/>
              <w:rPr>
                <w:rFonts w:hint="eastAsia" w:ascii="宋体" w:hAnsi="宋体" w:cs="宋体"/>
                <w:b/>
                <w:color w:val="auto"/>
                <w:sz w:val="24"/>
                <w:szCs w:val="24"/>
                <w:lang w:bidi="ar"/>
              </w:rPr>
            </w:pPr>
            <w:r>
              <w:rPr>
                <w:rFonts w:hint="eastAsia" w:ascii="宋体" w:hAnsi="宋体" w:cs="宋体"/>
                <w:b/>
                <w:color w:val="auto"/>
                <w:sz w:val="24"/>
                <w:szCs w:val="24"/>
                <w:lang w:bidi="ar"/>
              </w:rPr>
              <w:t xml:space="preserve">彻底解决时限</w:t>
            </w:r>
            <w:r/>
          </w:p>
        </w:tc>
      </w:tr>
      <w:tr>
        <w:trPr>
          <w:jc w:val="center"/>
        </w:trPr>
        <w:tc>
          <w:tcPr>
            <w:tcW w:w="229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一级重大故障</w:t>
            </w:r>
            <w:r/>
          </w:p>
        </w:tc>
        <w:tc>
          <w:tcPr>
            <w:tcW w:w="321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视频监控平台全量中断、大面积点位掉线（≥10%）、物联网井盖平台瘫痪</w:t>
            </w:r>
            <w:r/>
          </w:p>
        </w:tc>
        <w:tc>
          <w:tcPr>
            <w:tcW w:w="0" w:type="auto"/>
            <w:vAlign w:val="center"/>
            <w:textDirection w:val="lrTb"/>
            <w:noWrap w:val="false"/>
          </w:tcPr>
          <w:p>
            <w:pPr>
              <w:jc w:val="left"/>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15分钟内响应，1小时内到场</w:t>
            </w:r>
            <w:r/>
          </w:p>
        </w:tc>
        <w:tc>
          <w:tcPr>
            <w:tcW w:w="1384" w:type="dxa"/>
            <w:vAlign w:val="center"/>
            <w:textDirection w:val="lrTb"/>
            <w:noWrap w:val="false"/>
          </w:tcPr>
          <w:p>
            <w:pPr>
              <w:jc w:val="left"/>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1小时内</w:t>
            </w:r>
            <w:r/>
          </w:p>
        </w:tc>
        <w:tc>
          <w:tcPr>
            <w:tcW w:w="1239"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4小时内</w:t>
            </w:r>
            <w:r/>
          </w:p>
        </w:tc>
      </w:tr>
      <w:tr>
        <w:trPr>
          <w:jc w:val="center"/>
        </w:trPr>
        <w:tc>
          <w:tcPr>
            <w:tcW w:w="229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二级紧急故障</w:t>
            </w:r>
            <w:r/>
          </w:p>
        </w:tc>
        <w:tc>
          <w:tcPr>
            <w:tcW w:w="321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单区域点位批量离线（≥5%）、重要路口/点位故障、喊话系统失效</w:t>
            </w:r>
            <w:r/>
          </w:p>
        </w:tc>
        <w:tc>
          <w:tcPr>
            <w:tcW w:w="0" w:type="auto"/>
            <w:vAlign w:val="center"/>
            <w:textDirection w:val="lrTb"/>
            <w:noWrap w:val="false"/>
          </w:tcPr>
          <w:p>
            <w:pPr>
              <w:jc w:val="left"/>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30分钟内响应，2小时内到场</w:t>
            </w:r>
            <w:r/>
          </w:p>
        </w:tc>
        <w:tc>
          <w:tcPr>
            <w:tcW w:w="1384" w:type="dxa"/>
            <w:vAlign w:val="center"/>
            <w:textDirection w:val="lrTb"/>
            <w:noWrap w:val="false"/>
          </w:tcPr>
          <w:p>
            <w:pPr>
              <w:jc w:val="left"/>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2小时内</w:t>
            </w:r>
            <w:r/>
          </w:p>
        </w:tc>
        <w:tc>
          <w:tcPr>
            <w:tcW w:w="1239"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8小时内</w:t>
            </w:r>
            <w:r/>
          </w:p>
        </w:tc>
      </w:tr>
      <w:tr>
        <w:trPr>
          <w:jc w:val="center"/>
        </w:trPr>
        <w:tc>
          <w:tcPr>
            <w:tcW w:w="229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三级一般故障</w:t>
            </w:r>
            <w:r/>
          </w:p>
        </w:tc>
        <w:tc>
          <w:tcPr>
            <w:tcW w:w="321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单点位设备故障、单个音箱故障、单个传感器掉线</w:t>
            </w:r>
            <w:r/>
          </w:p>
        </w:tc>
        <w:tc>
          <w:tcPr>
            <w:tcW w:w="0" w:type="auto"/>
            <w:vAlign w:val="center"/>
            <w:textDirection w:val="lrTb"/>
            <w:noWrap w:val="false"/>
          </w:tcPr>
          <w:p>
            <w:pPr>
              <w:jc w:val="left"/>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2小时内响应，4小时内到场</w:t>
            </w:r>
            <w:r/>
          </w:p>
        </w:tc>
        <w:tc>
          <w:tcPr>
            <w:tcW w:w="1384" w:type="dxa"/>
            <w:vAlign w:val="center"/>
            <w:textDirection w:val="lrTb"/>
            <w:noWrap w:val="false"/>
          </w:tcPr>
          <w:p>
            <w:pPr>
              <w:jc w:val="left"/>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w:t>
            </w:r>
            <w:r/>
          </w:p>
        </w:tc>
        <w:tc>
          <w:tcPr>
            <w:tcW w:w="1239"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24小时内</w:t>
            </w:r>
            <w:r/>
          </w:p>
        </w:tc>
      </w:tr>
      <w:tr>
        <w:trPr>
          <w:jc w:val="center"/>
        </w:trPr>
        <w:tc>
          <w:tcPr>
            <w:tcW w:w="229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四级咨询类需求</w:t>
            </w:r>
            <w:r/>
          </w:p>
        </w:tc>
        <w:tc>
          <w:tcPr>
            <w:tcW w:w="3216"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点位查询、状态咨询等非故障类需求</w:t>
            </w:r>
            <w:r/>
          </w:p>
        </w:tc>
        <w:tc>
          <w:tcPr>
            <w:tcW w:w="1621" w:type="dxa"/>
            <w:vAlign w:val="center"/>
            <w:textDirection w:val="lrTb"/>
            <w:noWrap w:val="false"/>
          </w:tcPr>
          <w:p>
            <w:pPr>
              <w:jc w:val="left"/>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2小时内响应</w:t>
            </w:r>
            <w:r/>
          </w:p>
        </w:tc>
        <w:tc>
          <w:tcPr>
            <w:tcW w:w="1384" w:type="dxa"/>
            <w:vAlign w:val="center"/>
            <w:textDirection w:val="lrTb"/>
            <w:noWrap w:val="false"/>
          </w:tcPr>
          <w:p>
            <w:pPr>
              <w:jc w:val="left"/>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w:t>
            </w:r>
            <w:r/>
          </w:p>
        </w:tc>
        <w:tc>
          <w:tcPr>
            <w:tcW w:w="1239" w:type="dxa"/>
            <w:vAlign w:val="center"/>
            <w:textDirection w:val="lrTb"/>
            <w:noWrap w:val="false"/>
          </w:tcPr>
          <w:p>
            <w:pPr>
              <w:jc w:val="cente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24小时内给出解决方案</w:t>
            </w:r>
            <w:r/>
          </w:p>
        </w:tc>
      </w:tr>
    </w:tbl>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2.巡检与预防性维护  </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乙方须执行日巡检（远程）、月全量现场巡检、季度专项巡检及年度全面巡检，确保设备清洁、调焦无遮挡、供电与防雷接地安全可靠，并按时提交巡检报告。</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3.点位迁移  </w:t>
      </w:r>
      <w:r/>
    </w:p>
    <w:p>
      <w:pPr>
        <w:ind w:firstLine="480"/>
        <w:spacing w:line="560" w:lineRule="exact"/>
        <w:rPr>
          <w:rFonts w:hint="default" w:ascii="宋体" w:hAnsi="宋体" w:cs="宋体"/>
          <w:color w:val="auto"/>
          <w:sz w:val="24"/>
          <w:szCs w:val="24"/>
          <w:lang w:val="en-US" w:eastAsia="zh-CN"/>
        </w:rPr>
      </w:pPr>
      <w:r>
        <w:rPr>
          <w:rFonts w:ascii="宋体" w:hAnsi="宋体" w:eastAsia="宋体" w:cs="宋体"/>
          <w:color w:val="auto"/>
          <w:sz w:val="24"/>
          <w:szCs w:val="24"/>
        </w:rPr>
        <w:t xml:space="preserve">因市政建设、道路施工、场地搬迁、城市管理重点工作调整、采购人业务范围变更或实际管理需要，需对服务点位进行迁移或优化调整的</w:t>
      </w:r>
      <w:r>
        <w:rPr>
          <w:rFonts w:hint="eastAsia" w:ascii="宋体" w:hAnsi="宋体" w:cs="宋体"/>
          <w:color w:val="auto"/>
          <w:sz w:val="24"/>
          <w:szCs w:val="24"/>
          <w:lang w:eastAsia="zh-CN"/>
        </w:rPr>
        <w:t xml:space="preserve">，</w:t>
      </w:r>
      <w:r>
        <w:rPr>
          <w:rFonts w:ascii="宋体" w:hAnsi="宋体" w:eastAsia="宋体" w:cs="宋体"/>
          <w:color w:val="auto"/>
          <w:sz w:val="24"/>
          <w:szCs w:val="24"/>
        </w:rPr>
        <w:t xml:space="preserve">供应商必须在采购人规定的时间内调整到位</w:t>
      </w:r>
      <w:r>
        <w:rPr>
          <w:rFonts w:hint="eastAsia" w:ascii="宋体" w:hAnsi="宋体" w:cs="宋体"/>
          <w:color w:val="auto"/>
          <w:sz w:val="24"/>
          <w:szCs w:val="24"/>
          <w:lang w:val="en-US" w:eastAsia="zh-CN"/>
        </w:rPr>
        <w:t xml:space="preserve">；</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乙方须在3天内完成选址协调，2周内完成迁移恢复，并承担全部物资、费用及协调工作。原址设备损毁的，由乙方负责赔偿。</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4.备品备件管理  </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乙方须建立备品备件库，确保故障后能</w:t>
      </w:r>
      <w:r>
        <w:rPr>
          <w:rFonts w:hint="eastAsia" w:ascii="宋体" w:hAnsi="宋体" w:cs="宋体"/>
          <w:color w:val="auto"/>
          <w:sz w:val="24"/>
          <w:szCs w:val="24"/>
          <w:lang w:val="en-US" w:eastAsia="zh-CN"/>
        </w:rPr>
        <w:t xml:space="preserve">及</w:t>
      </w:r>
      <w:r>
        <w:rPr>
          <w:rFonts w:hint="eastAsia" w:ascii="宋体" w:hAnsi="宋体" w:cs="宋体"/>
          <w:color w:val="auto"/>
          <w:sz w:val="24"/>
          <w:szCs w:val="24"/>
        </w:rPr>
        <w:t xml:space="preserve">时更换。</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5.文档交付</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乙方须按时向甲方交付《月度运维工作报告》《季度巡检报告》《设备故障处理记录》《点位迁移报告》《年度运维总结报告》等全套文档，所有文档需经甲方审核确认。</w:t>
      </w:r>
      <w:r/>
    </w:p>
    <w:p>
      <w:pPr>
        <w:ind w:firstLine="480"/>
        <w:spacing w:line="56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注：以上响应时限均系自接到甲方通知之时起算。</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五、合同价款与支付</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1. 合同总金额：人民币________元</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（大写：____________________），该价款包含</w:t>
      </w:r>
      <w:r>
        <w:rPr>
          <w:rFonts w:hint="eastAsia" w:ascii="宋体" w:hAnsi="宋体" w:cs="宋体"/>
          <w:color w:val="auto"/>
          <w:sz w:val="24"/>
          <w:szCs w:val="24"/>
          <w:lang w:val="en-US" w:eastAsia="zh-CN"/>
        </w:rPr>
        <w:t xml:space="preserve">税金、系统软件升级、设备更换、维修等</w:t>
      </w:r>
      <w:r>
        <w:rPr>
          <w:rFonts w:hint="eastAsia" w:ascii="宋体" w:hAnsi="宋体" w:cs="宋体"/>
          <w:color w:val="auto"/>
          <w:sz w:val="24"/>
          <w:szCs w:val="24"/>
        </w:rPr>
        <w:t xml:space="preserve">乙方为履行本合同约定义务</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达到甲方服务要求</w:t>
      </w:r>
      <w:r>
        <w:rPr>
          <w:rFonts w:hint="eastAsia" w:ascii="宋体" w:hAnsi="宋体" w:cs="宋体"/>
          <w:color w:val="auto"/>
          <w:sz w:val="24"/>
          <w:szCs w:val="24"/>
        </w:rPr>
        <w:t xml:space="preserve">所需的全部费用</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甲方不再向乙方支付其他任何费用</w:t>
      </w:r>
      <w:r>
        <w:rPr>
          <w:rFonts w:hint="eastAsia" w:ascii="宋体" w:hAnsi="宋体" w:cs="宋体"/>
          <w:color w:val="auto"/>
          <w:sz w:val="24"/>
          <w:szCs w:val="24"/>
        </w:rPr>
        <w:t xml:space="preserve">。</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2. 支付方式：</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分包1：</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预付款：合同签订生效后，甲方向乙方支付合同总金额的20%作为预付款。</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进度款：合同签订三个月后，乙方完成以下服务内容：病毒库/特征库合规升级、安全设备续保服务、渗透测试与漏洞扫描服务、办公网络安全检测探针、便携式信息采集终端更新、指挥协调系统城管进社区智慧赋能模块工作，并经甲方书面确认后，支付至合同总金额的</w:t>
      </w:r>
      <w:r>
        <w:rPr>
          <w:rFonts w:hint="eastAsia" w:ascii="宋体" w:hAnsi="宋体" w:cs="宋体"/>
          <w:color w:val="auto"/>
          <w:sz w:val="24"/>
          <w:szCs w:val="24"/>
          <w:lang w:val="en-US" w:eastAsia="zh-CN"/>
        </w:rPr>
        <w:t xml:space="preserve">40</w:t>
      </w:r>
      <w:r>
        <w:rPr>
          <w:rFonts w:hint="eastAsia" w:ascii="宋体" w:hAnsi="宋体" w:cs="宋体"/>
          <w:color w:val="auto"/>
          <w:sz w:val="24"/>
          <w:szCs w:val="24"/>
        </w:rPr>
        <w:t xml:space="preserve">%。服务期届满，经甲方确认</w:t>
      </w:r>
      <w:r>
        <w:rPr>
          <w:rFonts w:hint="eastAsia" w:ascii="宋体" w:hAnsi="宋体" w:cs="宋体"/>
          <w:color w:val="auto"/>
          <w:sz w:val="24"/>
          <w:szCs w:val="24"/>
          <w:lang w:val="en-US" w:eastAsia="zh-CN"/>
        </w:rPr>
        <w:t xml:space="preserve">验收合格</w:t>
      </w:r>
      <w:r>
        <w:rPr>
          <w:rFonts w:hint="eastAsia" w:ascii="宋体" w:hAnsi="宋体" w:cs="宋体"/>
          <w:color w:val="auto"/>
          <w:sz w:val="24"/>
          <w:szCs w:val="24"/>
        </w:rPr>
        <w:t xml:space="preserve">后，付清剩余全部款项。</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注：在签订合同时，乙方明确表示无需预付款或者主动要求降低预付款比例的金额，甲方可不适用预付款规定。甲方有权从应付款项中直接扣除乙方应承担的违约金及其他费用。</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资金支付时间：自</w:t>
      </w:r>
      <w:r>
        <w:rPr>
          <w:rFonts w:hint="eastAsia" w:ascii="宋体" w:hAnsi="宋体" w:cs="宋体"/>
          <w:color w:val="auto"/>
          <w:sz w:val="24"/>
          <w:szCs w:val="24"/>
          <w:lang w:val="en-US" w:eastAsia="zh-CN"/>
        </w:rPr>
        <w:t xml:space="preserve">符合付款条件且</w:t>
      </w:r>
      <w:r>
        <w:rPr>
          <w:rFonts w:hint="eastAsia" w:ascii="宋体" w:hAnsi="宋体" w:cs="宋体"/>
          <w:color w:val="auto"/>
          <w:sz w:val="24"/>
          <w:szCs w:val="24"/>
        </w:rPr>
        <w:t xml:space="preserve">收到</w:t>
      </w:r>
      <w:r>
        <w:rPr>
          <w:rFonts w:hint="eastAsia" w:ascii="宋体" w:hAnsi="宋体" w:cs="宋体"/>
          <w:color w:val="auto"/>
          <w:sz w:val="24"/>
          <w:szCs w:val="24"/>
          <w:lang w:val="en-US" w:eastAsia="zh-CN"/>
        </w:rPr>
        <w:t xml:space="preserve">乙方提交的</w:t>
      </w:r>
      <w:r>
        <w:rPr>
          <w:rFonts w:hint="eastAsia" w:ascii="宋体" w:hAnsi="宋体" w:cs="宋体"/>
          <w:color w:val="auto"/>
          <w:sz w:val="24"/>
          <w:szCs w:val="24"/>
        </w:rPr>
        <w:t xml:space="preserve">发票后10个工作日内。乙方未按要求开具发票的，甲方有权拒绝付款且不视为违约。</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资金支付主体：宿迁市楚润数据集团有限公司。</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分包2：</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预付款：合同签订生效后，甲方向乙方支付合同总金额的40%作为预付款；</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进度款：服务期全部届满，乙方完成合同约定的全周期全部服务内容，经甲方验收合格后一次性付清合同剩余全部尾款。</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注：在签订合同时，乙方明确表示无需预付款或者主动要求降低预付款比例的，甲方可不适用预付款规定。甲方有权从应付款项中直接扣除乙方应承担的违约金及其他费用。</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资金支付时间：自</w:t>
      </w:r>
      <w:r>
        <w:rPr>
          <w:rFonts w:hint="eastAsia" w:ascii="宋体" w:hAnsi="宋体" w:cs="宋体"/>
          <w:color w:val="auto"/>
          <w:sz w:val="24"/>
          <w:szCs w:val="24"/>
          <w:lang w:val="en-US" w:eastAsia="zh-CN"/>
        </w:rPr>
        <w:t xml:space="preserve">符合付款条件且</w:t>
      </w:r>
      <w:r>
        <w:rPr>
          <w:rFonts w:hint="eastAsia" w:ascii="宋体" w:hAnsi="宋体" w:cs="宋体"/>
          <w:color w:val="auto"/>
          <w:sz w:val="24"/>
          <w:szCs w:val="24"/>
        </w:rPr>
        <w:t xml:space="preserve">收到</w:t>
      </w:r>
      <w:r>
        <w:rPr>
          <w:rFonts w:hint="eastAsia" w:ascii="宋体" w:hAnsi="宋体" w:cs="宋体"/>
          <w:color w:val="auto"/>
          <w:sz w:val="24"/>
          <w:szCs w:val="24"/>
          <w:lang w:val="en-US" w:eastAsia="zh-CN"/>
        </w:rPr>
        <w:t xml:space="preserve">乙方提交的</w:t>
      </w:r>
      <w:r>
        <w:rPr>
          <w:rFonts w:hint="eastAsia" w:ascii="宋体" w:hAnsi="宋体" w:cs="宋体"/>
          <w:color w:val="auto"/>
          <w:sz w:val="24"/>
          <w:szCs w:val="24"/>
        </w:rPr>
        <w:t xml:space="preserve">发票后10个工作日内；乙方未按要求开具发票的，甲方有权拒绝付款且不视为违约。</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资金支付主体：宿迁市楚润数据集团有限公司。</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六、保密责任与知识产权</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分包1：</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1.终身保密责任：乙方及本项目所有人员，对接触的任何政务数据、业务信息、技术资料等承担永久保密义务。服务期满后，须移交全部资料，不得留存任何副本。发生泄露事件，乙方须承担全部法律责任并赔偿甲方损失。</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2.知识产权归属：本项目服务过程中产生的一切成果、方案、文档、技术资料的知识产权，全部归甲方所有。乙方仅可在本项目服务期内为履行合同目的使用。</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分包2：</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1. 终身保密责任  </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乙方及本项目所有人员对接触到的任何政务数据、视频监控点位信息、物联网数据、业务资料等承担永久保密义务。服务期满后，须移交全部资料，不得留存任何副本。发生泄露事件，乙方须承担全部法律责任并赔偿甲方损失。</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2. 知识产权归属  </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本项目服务过程中产生的所有巡检报告、故障处理记录、技术方案、运维文档等成果的知识产权，全部归甲方所有。乙方仅可在本项目服务期内为履行合同目的使用。</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七、违约责任</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分包1：</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1.病毒库/特征库升级违规定性：若乙方使用盗版、破解版升级包，或私自篡改升级内容，视为根本性违约。甲方有权单方解除合同，乙方除返还全部已收款项外还应支付合同总价30%的违约金。</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2.响应超时违约：乙方未按故障分级标准时限响应、到场、恢复或解决的，每超时1小时（不足1小时按1小时计），按本合同总金额的千分之五向甲方支付违约金。</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3.人员违约：乙方未经同意擅自更换项目经理或驻场人员，或驻场人员擅离职守，每次支付合同总金额5%的违约金，并须立即纠正；情节严重的，甲方有权解除合同，乙方除返还全部已收款项外还应支付合同总价30%的违约金。</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4.保密违约：发生任何形式的数据泄露、违规留存或倒卖数据行为，乙方除应退还甲方已付款项外还须向甲方支付合同总金额的50%作为违约金，不足以弥补甲方损失的，甲方有权继续追偿。构成犯罪的，移送司法机关。</w:t>
      </w:r>
      <w:r/>
    </w:p>
    <w:p>
      <w:pPr>
        <w:ind w:firstLine="480"/>
        <w:spacing w:line="560" w:lineRule="exact"/>
        <w:rPr>
          <w:rFonts w:ascii="宋体" w:hAnsi="宋体" w:cs="宋体"/>
          <w:bCs/>
          <w:color w:val="auto"/>
          <w:sz w:val="24"/>
          <w:szCs w:val="24"/>
        </w:rPr>
      </w:pPr>
      <w:r>
        <w:rPr>
          <w:rFonts w:hint="eastAsia" w:ascii="宋体" w:hAnsi="宋体" w:cs="宋体"/>
          <w:color w:val="auto"/>
          <w:sz w:val="24"/>
          <w:szCs w:val="24"/>
        </w:rPr>
        <w:t xml:space="preserve">5.</w:t>
      </w:r>
      <w:r>
        <w:rPr>
          <w:rFonts w:hint="eastAsia" w:ascii="宋体" w:hAnsi="宋体" w:cs="宋体"/>
          <w:bCs/>
          <w:color w:val="auto"/>
          <w:sz w:val="24"/>
          <w:szCs w:val="24"/>
        </w:rPr>
        <w:t xml:space="preserve">乙方提供的服务不符合约定或甲方要求的，应无条件整改，所需费用自行承担。乙方拒绝整改或整改后仍不符合要求的，甲方有权解除合同，乙方除应退还甲方已付款项外，还应支付合同总价30%的违约金。</w:t>
      </w:r>
      <w:r/>
    </w:p>
    <w:p>
      <w:pPr>
        <w:ind w:firstLine="480"/>
        <w:spacing w:line="560" w:lineRule="exact"/>
        <w:rPr>
          <w:rFonts w:ascii="宋体" w:hAnsi="宋体" w:cs="宋体"/>
          <w:bCs/>
          <w:color w:val="auto"/>
          <w:sz w:val="24"/>
          <w:szCs w:val="24"/>
        </w:rPr>
      </w:pPr>
      <w:r>
        <w:rPr>
          <w:rFonts w:hint="eastAsia" w:ascii="宋体" w:hAnsi="宋体" w:cs="宋体"/>
          <w:bCs/>
          <w:color w:val="auto"/>
          <w:sz w:val="24"/>
          <w:szCs w:val="24"/>
        </w:rPr>
        <w:t xml:space="preserve">6.乙方单方解除合同或因乙方原因导致合同解除的，除应退还甲方已付款项外，还应支付合同总价30%的违约金。</w:t>
      </w:r>
      <w:r/>
    </w:p>
    <w:p>
      <w:pPr>
        <w:ind w:firstLine="480"/>
        <w:spacing w:line="560" w:lineRule="exact"/>
        <w:rPr>
          <w:rFonts w:ascii="宋体" w:hAnsi="宋体" w:cs="宋体"/>
          <w:bCs/>
          <w:color w:val="auto"/>
          <w:sz w:val="24"/>
          <w:szCs w:val="24"/>
        </w:rPr>
      </w:pPr>
      <w:r>
        <w:rPr>
          <w:rFonts w:hint="eastAsia" w:ascii="宋体" w:hAnsi="宋体" w:cs="宋体"/>
          <w:bCs/>
          <w:color w:val="auto"/>
          <w:sz w:val="24"/>
          <w:szCs w:val="24"/>
        </w:rPr>
        <w:t xml:space="preserve">7.乙方不得将本合同项下权利义务转让、分包，如有发生，甲方有权解除合同，乙方除应退还甲方已付款项外，还应支付合同总价30%的违约金。</w:t>
      </w:r>
      <w:r/>
    </w:p>
    <w:p>
      <w:pPr>
        <w:ind w:firstLine="480"/>
        <w:spacing w:line="560" w:lineRule="exact"/>
        <w:rPr>
          <w:rFonts w:ascii="宋体" w:hAnsi="宋体" w:cs="宋体"/>
          <w:bCs/>
          <w:color w:val="auto"/>
          <w:sz w:val="24"/>
          <w:szCs w:val="24"/>
        </w:rPr>
      </w:pPr>
      <w:r>
        <w:rPr>
          <w:rFonts w:hint="eastAsia" w:ascii="宋体" w:hAnsi="宋体" w:cs="宋体"/>
          <w:bCs/>
          <w:color w:val="auto"/>
          <w:sz w:val="24"/>
          <w:szCs w:val="24"/>
        </w:rPr>
        <w:t xml:space="preserve">8.</w:t>
      </w:r>
      <w:r>
        <w:rPr>
          <w:rFonts w:ascii="宋体" w:hAnsi="宋体" w:cs="宋体"/>
          <w:bCs/>
          <w:color w:val="auto"/>
          <w:sz w:val="24"/>
          <w:szCs w:val="24"/>
        </w:rPr>
        <w:t xml:space="preserve">非因甲方原因，乙方未全面履行本合同其他规定或其他义务之一的，甲方有权要求其继续履行或解除合同。甲方选择继续履行的，乙方应支付合同总</w:t>
      </w:r>
      <w:r>
        <w:rPr>
          <w:rFonts w:hint="eastAsia" w:ascii="宋体" w:hAnsi="宋体" w:cs="宋体"/>
          <w:bCs/>
          <w:color w:val="auto"/>
          <w:sz w:val="24"/>
          <w:szCs w:val="24"/>
        </w:rPr>
        <w:t xml:space="preserve">价</w:t>
      </w:r>
      <w:r>
        <w:rPr>
          <w:rFonts w:ascii="宋体" w:hAnsi="宋体" w:cs="宋体"/>
          <w:bCs/>
          <w:color w:val="auto"/>
          <w:sz w:val="24"/>
          <w:szCs w:val="24"/>
        </w:rPr>
        <w:t xml:space="preserve">10%的违约金；甲方选择解除合同的</w:t>
      </w:r>
      <w:r>
        <w:rPr>
          <w:rFonts w:hint="eastAsia" w:ascii="宋体" w:hAnsi="宋体" w:cs="宋体"/>
          <w:bCs/>
          <w:color w:val="auto"/>
          <w:sz w:val="24"/>
          <w:szCs w:val="24"/>
        </w:rPr>
        <w:t xml:space="preserve">或乙方仍未全面履行的，甲方均有权解除合同</w:t>
      </w:r>
      <w:r>
        <w:rPr>
          <w:rFonts w:ascii="宋体" w:hAnsi="宋体" w:cs="宋体"/>
          <w:bCs/>
          <w:color w:val="auto"/>
          <w:sz w:val="24"/>
          <w:szCs w:val="24"/>
        </w:rPr>
        <w:t xml:space="preserve">，</w:t>
      </w:r>
      <w:r>
        <w:rPr>
          <w:rFonts w:hint="eastAsia" w:ascii="宋体" w:hAnsi="宋体" w:cs="宋体"/>
          <w:bCs/>
          <w:color w:val="auto"/>
          <w:sz w:val="24"/>
          <w:szCs w:val="24"/>
        </w:rPr>
        <w:t xml:space="preserve">乙方除应退还甲方已付款项外，还应支付合同总价30%的违约金。</w:t>
      </w:r>
      <w:r/>
    </w:p>
    <w:p>
      <w:pPr>
        <w:ind w:firstLine="480"/>
        <w:spacing w:line="560" w:lineRule="exact"/>
        <w:rPr>
          <w:rFonts w:ascii="宋体" w:hAnsi="宋体" w:cs="宋体"/>
          <w:bCs/>
          <w:color w:val="auto"/>
          <w:sz w:val="24"/>
          <w:szCs w:val="24"/>
        </w:rPr>
      </w:pPr>
      <w:r>
        <w:rPr>
          <w:rFonts w:hint="eastAsia" w:ascii="宋体" w:hAnsi="宋体" w:cs="宋体"/>
          <w:bCs/>
          <w:color w:val="auto"/>
          <w:sz w:val="24"/>
          <w:szCs w:val="24"/>
        </w:rPr>
        <w:t xml:space="preserve">9.</w:t>
      </w:r>
      <w:r>
        <w:rPr>
          <w:rFonts w:ascii="宋体" w:hAnsi="宋体" w:cs="宋体"/>
          <w:bCs/>
          <w:color w:val="auto"/>
          <w:sz w:val="24"/>
          <w:szCs w:val="24"/>
        </w:rPr>
        <w:t xml:space="preserve">一方违约导致诉讼的，所产生的诉讼费、公证费、评估费、保全费、差旅费、保函保险费等费用均由违约方承担。</w:t>
      </w:r>
      <w:r/>
    </w:p>
    <w:p>
      <w:pPr>
        <w:ind w:firstLine="480"/>
        <w:spacing w:line="560" w:lineRule="exact"/>
        <w:rPr>
          <w:rFonts w:ascii="宋体" w:hAnsi="宋体" w:eastAsia="宋体" w:cs="宋体"/>
          <w:color w:val="auto"/>
          <w:sz w:val="24"/>
          <w:szCs w:val="24"/>
        </w:rPr>
      </w:pPr>
      <w:r>
        <w:rPr>
          <w:rFonts w:hint="eastAsia" w:ascii="宋体" w:hAnsi="宋体" w:cs="宋体"/>
          <w:color w:val="auto"/>
          <w:sz w:val="24"/>
          <w:szCs w:val="24"/>
          <w:lang w:val="en-US" w:eastAsia="zh-CN"/>
        </w:rPr>
        <w:t xml:space="preserve">10.乙方未</w:t>
      </w:r>
      <w:r>
        <w:rPr>
          <w:rFonts w:ascii="宋体" w:hAnsi="宋体" w:eastAsia="宋体" w:cs="宋体"/>
          <w:color w:val="auto"/>
          <w:sz w:val="24"/>
          <w:szCs w:val="24"/>
          <w:lang w:val="en-US" w:eastAsia="zh-CN"/>
        </w:rPr>
        <w:t xml:space="preserve">按要求落实7×24小时值守、季度渗透测试、漏洞复测、台账归档、安全培训等常态化运维工作，出现缺项、逾期、履职不到位情形，</w:t>
      </w:r>
      <w:r>
        <w:rPr>
          <w:rFonts w:hint="eastAsia" w:ascii="宋体" w:hAnsi="宋体" w:cs="宋体"/>
          <w:color w:val="auto"/>
          <w:sz w:val="24"/>
          <w:szCs w:val="24"/>
          <w:lang w:val="en-US" w:eastAsia="zh-CN"/>
        </w:rPr>
        <w:t xml:space="preserve">甲方有权</w:t>
      </w:r>
      <w:r>
        <w:rPr>
          <w:rFonts w:ascii="宋体" w:hAnsi="宋体" w:eastAsia="宋体" w:cs="宋体"/>
          <w:color w:val="auto"/>
          <w:sz w:val="24"/>
          <w:szCs w:val="24"/>
          <w:lang w:val="en-US" w:eastAsia="zh-CN"/>
        </w:rPr>
        <w:t xml:space="preserve">按1000元/次扣款，</w:t>
      </w:r>
      <w:r>
        <w:rPr>
          <w:rFonts w:hint="eastAsia" w:ascii="宋体" w:hAnsi="宋体" w:cs="宋体"/>
          <w:color w:val="auto"/>
          <w:sz w:val="24"/>
          <w:szCs w:val="24"/>
          <w:lang w:val="en-US" w:eastAsia="zh-CN"/>
        </w:rPr>
        <w:t xml:space="preserve">乙方</w:t>
      </w:r>
      <w:r>
        <w:rPr>
          <w:rFonts w:ascii="宋体" w:hAnsi="宋体" w:eastAsia="宋体" w:cs="宋体"/>
          <w:color w:val="auto"/>
          <w:sz w:val="24"/>
          <w:szCs w:val="24"/>
          <w:lang w:val="en-US" w:eastAsia="zh-CN"/>
        </w:rPr>
        <w:t xml:space="preserve">须无偿补齐全部运维工作、完善全套归档资料。</w:t>
      </w:r>
      <w:r/>
    </w:p>
    <w:p>
      <w:pPr>
        <w:ind w:firstLine="480"/>
        <w:spacing w:line="560" w:lineRule="exact"/>
        <w:rPr>
          <w:rFonts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11.</w:t>
      </w:r>
      <w:r>
        <w:rPr>
          <w:rFonts w:ascii="宋体" w:hAnsi="宋体" w:eastAsia="宋体" w:cs="宋体"/>
          <w:color w:val="auto"/>
          <w:sz w:val="24"/>
          <w:szCs w:val="24"/>
          <w:lang w:val="en-US" w:eastAsia="zh-CN"/>
        </w:rPr>
        <w:t xml:space="preserve">攻防演练、重大网络安全保障时段，</w:t>
      </w:r>
      <w:r>
        <w:rPr>
          <w:rFonts w:hint="eastAsia" w:ascii="宋体" w:hAnsi="宋体" w:cs="宋体"/>
          <w:color w:val="auto"/>
          <w:sz w:val="24"/>
          <w:szCs w:val="24"/>
          <w:lang w:val="en-US" w:eastAsia="zh-CN"/>
        </w:rPr>
        <w:t xml:space="preserve">乙方</w:t>
      </w:r>
      <w:r>
        <w:rPr>
          <w:rFonts w:ascii="宋体" w:hAnsi="宋体" w:eastAsia="宋体" w:cs="宋体"/>
          <w:color w:val="auto"/>
          <w:sz w:val="24"/>
          <w:szCs w:val="24"/>
          <w:lang w:val="en-US" w:eastAsia="zh-CN"/>
        </w:rPr>
        <w:t xml:space="preserve">未按要求驻场值守、防护策略未前置优化、攻击预警处置滞后、系统被攻破后应急止损不及时、未在24自然小时内完成溯源报告报审归档，按2000元/次扣款，</w:t>
      </w:r>
      <w:r>
        <w:rPr>
          <w:rFonts w:hint="eastAsia" w:ascii="宋体" w:hAnsi="宋体" w:cs="宋体"/>
          <w:color w:val="auto"/>
          <w:sz w:val="24"/>
          <w:szCs w:val="24"/>
          <w:lang w:val="en-US" w:eastAsia="zh-CN"/>
        </w:rPr>
        <w:t xml:space="preserve">乙方</w:t>
      </w:r>
      <w:r>
        <w:rPr>
          <w:rFonts w:ascii="宋体" w:hAnsi="宋体" w:eastAsia="宋体" w:cs="宋体"/>
          <w:color w:val="auto"/>
          <w:sz w:val="24"/>
          <w:szCs w:val="24"/>
          <w:lang w:val="en-US" w:eastAsia="zh-CN"/>
        </w:rPr>
        <w:t xml:space="preserve">须无偿完成全网临时加固、攻防溯源复盘整改工作。</w:t>
      </w:r>
      <w:r/>
    </w:p>
    <w:p>
      <w:pPr>
        <w:ind w:firstLine="480"/>
        <w:spacing w:line="56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12.已复测核验、闭环销号的同类安全隐患，在日常运维、重大安全保障、攻防演练期间重复爆发，引发网络入侵、攻击、业务异常等安全问题，按3000元/次扣款，乙方须无偿编制专项加固方案、全域整改同类点位，优化管控机制杜绝问题复发。</w:t>
      </w:r>
      <w:r/>
    </w:p>
    <w:p>
      <w:pPr>
        <w:ind w:firstLine="480"/>
        <w:spacing w:line="560" w:lineRule="exact"/>
        <w:rPr>
          <w:rFonts w:ascii="宋体" w:hAnsi="宋体" w:eastAsia="宋体" w:cs="宋体"/>
          <w:color w:val="auto"/>
          <w:sz w:val="24"/>
          <w:szCs w:val="24"/>
        </w:rPr>
      </w:pPr>
      <w:r>
        <w:rPr>
          <w:rFonts w:hint="eastAsia" w:ascii="宋体" w:hAnsi="宋体" w:cs="宋体"/>
          <w:color w:val="auto"/>
          <w:sz w:val="24"/>
          <w:szCs w:val="24"/>
          <w:lang w:val="en-US" w:eastAsia="zh-CN"/>
        </w:rPr>
        <w:t xml:space="preserve">13.因乙方履职疏漏、防护缺位、应急处置不力，造成甲方被上级监管部门约谈、发文通报、限期整改的，按5000元/次扣款；若造成甲方行政处罚、核心数据泄露、重大业务停运等严重后果，除单次扣款外，乙方全额承担采购人全部直接、间接经济损失及整改法务费用，采购人有权单方无条件解除服务合同，不予支付剩余服务款项，供应商承担全部相关法律责任。</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分包2：</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1. 在线率不达标违约  </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月度视频前端在线率或网关在线率低于95%的，除按考核规定扣分外，每低1个百分点，乙方另向甲方支付合同总金额1%的违约金，按月核算。</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2. 离线修复超时违约  </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前端或网关设备离线超过24小时未修复的，每超24小时（不足24小时按24小时计），按合同总金额的千分之五支付违约金。</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3. 人员违约  </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乙方未经甲方同意擅自更换项目经理或驻场人员，或驻场人员擅离职守，每次支付合同总金额5%的违约金；外场运维人员无证上岗的，甲方有权要求立即更换，并每次支付合同总金额2%的违约金。</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4. 安全与保密违约  </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发生数据泄露、违规留存或倒卖视频数据、点位信息的，乙方除应退还甲方已付款项外还须向甲方支付合同总金额的50%作为违约金，并承担全部侵权赔偿责任，甲方有权单方解除合同。</w:t>
      </w:r>
      <w:r/>
    </w:p>
    <w:p>
      <w:pPr>
        <w:ind w:firstLine="480"/>
        <w:spacing w:line="560" w:lineRule="exact"/>
        <w:rPr>
          <w:rFonts w:ascii="宋体" w:hAnsi="宋体" w:cs="宋体"/>
          <w:bCs/>
          <w:color w:val="auto"/>
          <w:sz w:val="24"/>
          <w:szCs w:val="24"/>
        </w:rPr>
      </w:pPr>
      <w:r>
        <w:rPr>
          <w:rFonts w:hint="eastAsia" w:ascii="宋体" w:hAnsi="宋体" w:cs="宋体"/>
          <w:color w:val="auto"/>
          <w:sz w:val="24"/>
          <w:szCs w:val="24"/>
        </w:rPr>
        <w:t xml:space="preserve">5.</w:t>
      </w:r>
      <w:r>
        <w:rPr>
          <w:rFonts w:hint="eastAsia" w:ascii="宋体" w:hAnsi="宋体" w:cs="宋体"/>
          <w:bCs/>
          <w:color w:val="auto"/>
          <w:sz w:val="24"/>
          <w:szCs w:val="24"/>
        </w:rPr>
        <w:t xml:space="preserve">乙方提供的服务不符合约定或甲方要求的，应无条件整改，所需费用自行承担。乙方拒绝整改或整改后仍不符合要求的，甲方有权解除合同，乙方除应退还甲方已付款项外，还应支付合同总价30%的违约金。</w:t>
      </w:r>
      <w:r/>
    </w:p>
    <w:p>
      <w:pPr>
        <w:ind w:firstLine="480"/>
        <w:spacing w:line="560" w:lineRule="exact"/>
        <w:rPr>
          <w:rFonts w:ascii="宋体" w:hAnsi="宋体" w:cs="宋体"/>
          <w:bCs/>
          <w:color w:val="auto"/>
          <w:sz w:val="24"/>
          <w:szCs w:val="24"/>
        </w:rPr>
      </w:pPr>
      <w:r>
        <w:rPr>
          <w:rFonts w:hint="eastAsia" w:ascii="宋体" w:hAnsi="宋体" w:cs="宋体"/>
          <w:bCs/>
          <w:color w:val="auto"/>
          <w:sz w:val="24"/>
          <w:szCs w:val="24"/>
        </w:rPr>
        <w:t xml:space="preserve">6.乙方单方解除合同或因乙方原因导致合同解除的，除应退还甲方已付款项外，还应支付合同总价30%的违约金。</w:t>
      </w:r>
      <w:r/>
    </w:p>
    <w:p>
      <w:pPr>
        <w:ind w:firstLine="480"/>
        <w:spacing w:line="560" w:lineRule="exact"/>
        <w:rPr>
          <w:rFonts w:ascii="宋体" w:hAnsi="宋体" w:cs="宋体"/>
          <w:bCs/>
          <w:color w:val="auto"/>
          <w:sz w:val="24"/>
          <w:szCs w:val="24"/>
        </w:rPr>
      </w:pPr>
      <w:r>
        <w:rPr>
          <w:rFonts w:hint="eastAsia" w:ascii="宋体" w:hAnsi="宋体" w:cs="宋体"/>
          <w:bCs/>
          <w:color w:val="auto"/>
          <w:sz w:val="24"/>
          <w:szCs w:val="24"/>
        </w:rPr>
        <w:t xml:space="preserve">7.乙方不得将本合同项下权利义务转让、分包，如有发生，甲方有权解除合同，乙方除应退还甲方已付款项外，还应支付合同总价30%的违约金。</w:t>
      </w:r>
      <w:r/>
    </w:p>
    <w:p>
      <w:pPr>
        <w:ind w:firstLine="480"/>
        <w:spacing w:line="560" w:lineRule="exact"/>
        <w:rPr>
          <w:rFonts w:ascii="宋体" w:hAnsi="宋体" w:cs="宋体"/>
          <w:bCs/>
          <w:color w:val="auto"/>
          <w:sz w:val="24"/>
          <w:szCs w:val="24"/>
        </w:rPr>
      </w:pPr>
      <w:r>
        <w:rPr>
          <w:rFonts w:hint="eastAsia" w:ascii="宋体" w:hAnsi="宋体" w:cs="宋体"/>
          <w:bCs/>
          <w:color w:val="auto"/>
          <w:sz w:val="24"/>
          <w:szCs w:val="24"/>
        </w:rPr>
        <w:t xml:space="preserve">8.</w:t>
      </w:r>
      <w:r>
        <w:rPr>
          <w:rFonts w:ascii="宋体" w:hAnsi="宋体" w:cs="宋体"/>
          <w:bCs/>
          <w:color w:val="auto"/>
          <w:sz w:val="24"/>
          <w:szCs w:val="24"/>
        </w:rPr>
        <w:t xml:space="preserve">非因甲方原因，乙方未全面履行本合同其他规定或其他义务之一的，甲方有权要求其继续履行或解除合同。甲方选择继续履行的，乙方应支付合同总</w:t>
      </w:r>
      <w:r>
        <w:rPr>
          <w:rFonts w:hint="eastAsia" w:ascii="宋体" w:hAnsi="宋体" w:cs="宋体"/>
          <w:bCs/>
          <w:color w:val="auto"/>
          <w:sz w:val="24"/>
          <w:szCs w:val="24"/>
        </w:rPr>
        <w:t xml:space="preserve">价</w:t>
      </w:r>
      <w:r>
        <w:rPr>
          <w:rFonts w:ascii="宋体" w:hAnsi="宋体" w:cs="宋体"/>
          <w:bCs/>
          <w:color w:val="auto"/>
          <w:sz w:val="24"/>
          <w:szCs w:val="24"/>
        </w:rPr>
        <w:t xml:space="preserve">10%的违约金；甲方选择解除合同的</w:t>
      </w:r>
      <w:r>
        <w:rPr>
          <w:rFonts w:hint="eastAsia" w:ascii="宋体" w:hAnsi="宋体" w:cs="宋体"/>
          <w:bCs/>
          <w:color w:val="auto"/>
          <w:sz w:val="24"/>
          <w:szCs w:val="24"/>
        </w:rPr>
        <w:t xml:space="preserve">或乙方仍未全面履行的，甲方均有权解除合同</w:t>
      </w:r>
      <w:r>
        <w:rPr>
          <w:rFonts w:ascii="宋体" w:hAnsi="宋体" w:cs="宋体"/>
          <w:bCs/>
          <w:color w:val="auto"/>
          <w:sz w:val="24"/>
          <w:szCs w:val="24"/>
        </w:rPr>
        <w:t xml:space="preserve">，</w:t>
      </w:r>
      <w:r>
        <w:rPr>
          <w:rFonts w:hint="eastAsia" w:ascii="宋体" w:hAnsi="宋体" w:cs="宋体"/>
          <w:bCs/>
          <w:color w:val="auto"/>
          <w:sz w:val="24"/>
          <w:szCs w:val="24"/>
        </w:rPr>
        <w:t xml:space="preserve">乙方除应退还甲方已付款项外，还应支付合同总价30%的违约金。</w:t>
      </w:r>
      <w:r/>
    </w:p>
    <w:p>
      <w:pPr>
        <w:ind w:firstLine="480"/>
        <w:spacing w:line="560" w:lineRule="exact"/>
        <w:rPr>
          <w:rFonts w:hint="eastAsia" w:ascii="宋体" w:hAnsi="宋体" w:cs="宋体"/>
          <w:color w:val="auto"/>
          <w:sz w:val="24"/>
          <w:szCs w:val="24"/>
        </w:rPr>
      </w:pPr>
      <w:r>
        <w:rPr>
          <w:rFonts w:hint="eastAsia" w:ascii="宋体" w:hAnsi="宋体" w:cs="宋体"/>
          <w:bCs/>
          <w:color w:val="auto"/>
          <w:sz w:val="24"/>
          <w:szCs w:val="24"/>
        </w:rPr>
        <w:t xml:space="preserve">9.</w:t>
      </w:r>
      <w:r>
        <w:rPr>
          <w:rFonts w:ascii="宋体" w:hAnsi="宋体" w:cs="宋体"/>
          <w:bCs/>
          <w:color w:val="auto"/>
          <w:sz w:val="24"/>
          <w:szCs w:val="24"/>
        </w:rPr>
        <w:t xml:space="preserve">一方违约导致诉讼的，所产生的诉讼费、公证费、评估费、保全费、差旅费、保函保险费等费用均由违约方承担。</w:t>
      </w:r>
      <w:r/>
    </w:p>
    <w:p>
      <w:pPr>
        <w:ind w:firstLine="480"/>
        <w:spacing w:line="56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八、合法权益补偿机制</w:t>
      </w:r>
      <w:r/>
    </w:p>
    <w:p>
      <w:pPr>
        <w:ind w:firstLine="480"/>
        <w:spacing w:line="560" w:lineRule="exact"/>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default" w:ascii="宋体" w:hAnsi="宋体" w:cs="宋体"/>
          <w:color w:val="auto"/>
          <w:sz w:val="24"/>
          <w:szCs w:val="24"/>
          <w:lang w:val="en-US" w:eastAsia="zh-CN"/>
        </w:rPr>
        <w:t xml:space="preserve">本项目所有运维工作均严格按照现行国家法律法规、行业政策、国家及行业强制性标准执行；服务期内如国家、上级主管部门出台新规、更新现行标准，</w:t>
      </w:r>
      <w:r>
        <w:rPr>
          <w:rFonts w:hint="eastAsia" w:ascii="宋体" w:hAnsi="宋体" w:cs="宋体"/>
          <w:color w:val="auto"/>
          <w:sz w:val="24"/>
          <w:szCs w:val="24"/>
          <w:lang w:val="en-US" w:eastAsia="zh-CN"/>
        </w:rPr>
        <w:t xml:space="preserve">乙方</w:t>
      </w:r>
      <w:r>
        <w:rPr>
          <w:rFonts w:hint="default" w:ascii="宋体" w:hAnsi="宋体" w:cs="宋体"/>
          <w:color w:val="auto"/>
          <w:sz w:val="24"/>
          <w:szCs w:val="24"/>
          <w:lang w:val="en-US" w:eastAsia="zh-CN"/>
        </w:rPr>
        <w:t xml:space="preserve">须无条件依照最新政策标准开展运维工作。</w:t>
      </w:r>
      <w:r/>
    </w:p>
    <w:p>
      <w:pPr>
        <w:ind w:firstLine="480"/>
        <w:spacing w:line="560" w:lineRule="exact"/>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w:t>
      </w:r>
      <w:r>
        <w:rPr>
          <w:rFonts w:hint="default" w:ascii="宋体" w:hAnsi="宋体" w:cs="宋体"/>
          <w:color w:val="auto"/>
          <w:sz w:val="24"/>
          <w:szCs w:val="24"/>
          <w:lang w:val="en-US" w:eastAsia="zh-CN"/>
        </w:rPr>
        <w:t xml:space="preserve">服务周期内因国家政策调整，造成运维内容、点位、频次缩减，运维工作量减少的，双方互不追究违约责任。采购人依据投标分项单价核算对应服务价款，签订补充协议调减合同费用；若缩减对应价款≤合同总价 10%，仅据实扣减服务费，</w:t>
      </w:r>
      <w:r>
        <w:rPr>
          <w:rFonts w:hint="eastAsia" w:ascii="宋体" w:hAnsi="宋体" w:cs="宋体"/>
          <w:color w:val="auto"/>
          <w:sz w:val="24"/>
          <w:szCs w:val="24"/>
          <w:lang w:val="en-US" w:eastAsia="zh-CN"/>
        </w:rPr>
        <w:t xml:space="preserve">乙方</w:t>
      </w:r>
      <w:r>
        <w:rPr>
          <w:rFonts w:hint="default" w:ascii="宋体" w:hAnsi="宋体" w:cs="宋体"/>
          <w:color w:val="auto"/>
          <w:sz w:val="24"/>
          <w:szCs w:val="24"/>
          <w:lang w:val="en-US" w:eastAsia="zh-CN"/>
        </w:rPr>
        <w:t xml:space="preserve">不得就此向</w:t>
      </w:r>
      <w:r>
        <w:rPr>
          <w:rFonts w:hint="eastAsia" w:ascii="宋体" w:hAnsi="宋体" w:cs="宋体"/>
          <w:color w:val="auto"/>
          <w:sz w:val="24"/>
          <w:szCs w:val="24"/>
          <w:lang w:val="en-US" w:eastAsia="zh-CN"/>
        </w:rPr>
        <w:t xml:space="preserve">甲方</w:t>
      </w:r>
      <w:r>
        <w:rPr>
          <w:rFonts w:hint="default" w:ascii="宋体" w:hAnsi="宋体" w:cs="宋体"/>
          <w:color w:val="auto"/>
          <w:sz w:val="24"/>
          <w:szCs w:val="24"/>
          <w:lang w:val="en-US" w:eastAsia="zh-CN"/>
        </w:rPr>
        <w:t xml:space="preserve">主张任何补偿、赔偿。</w:t>
      </w:r>
      <w:r/>
    </w:p>
    <w:p>
      <w:pPr>
        <w:ind w:firstLine="480"/>
        <w:spacing w:line="560" w:lineRule="exact"/>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w:t>
      </w:r>
      <w:r>
        <w:rPr>
          <w:rFonts w:hint="default" w:ascii="宋体" w:hAnsi="宋体" w:cs="宋体"/>
          <w:color w:val="auto"/>
          <w:sz w:val="24"/>
          <w:szCs w:val="24"/>
          <w:lang w:val="en-US" w:eastAsia="zh-CN"/>
        </w:rPr>
        <w:t xml:space="preserve">因国家政策、新标准新增运维任务、合规整改工作的，小额新增工作量（新增价款≤合同总价 10%）包含在合同总报价内，</w:t>
      </w:r>
      <w:r>
        <w:rPr>
          <w:rFonts w:hint="eastAsia" w:ascii="宋体" w:hAnsi="宋体" w:cs="宋体"/>
          <w:color w:val="auto"/>
          <w:sz w:val="24"/>
          <w:szCs w:val="24"/>
          <w:lang w:val="en-US" w:eastAsia="zh-CN"/>
        </w:rPr>
        <w:t xml:space="preserve">乙方</w:t>
      </w:r>
      <w:r>
        <w:rPr>
          <w:rFonts w:hint="default" w:ascii="宋体" w:hAnsi="宋体" w:cs="宋体"/>
          <w:color w:val="auto"/>
          <w:sz w:val="24"/>
          <w:szCs w:val="24"/>
          <w:lang w:val="en-US" w:eastAsia="zh-CN"/>
        </w:rPr>
        <w:t xml:space="preserve">不得另行收费；超出比例的新增专项运维工作，双方协商服务费用并签订补充协议。</w:t>
      </w:r>
      <w:r/>
    </w:p>
    <w:p>
      <w:pPr>
        <w:ind w:firstLine="480"/>
        <w:spacing w:line="560" w:lineRule="exact"/>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4.乙方</w:t>
      </w:r>
      <w:r>
        <w:rPr>
          <w:rFonts w:hint="default" w:ascii="宋体" w:hAnsi="宋体" w:cs="宋体"/>
          <w:color w:val="auto"/>
          <w:sz w:val="24"/>
          <w:szCs w:val="24"/>
          <w:lang w:val="en-US" w:eastAsia="zh-CN"/>
        </w:rPr>
        <w:t xml:space="preserve">拒不配合政策调整、拒绝按新规优化运维或不配合工作量核价调整的，视为违约，采购人有权据实结算服务费并追究相应损失。</w:t>
      </w:r>
      <w:r/>
    </w:p>
    <w:p>
      <w:pPr>
        <w:ind w:firstLine="480"/>
        <w:spacing w:line="560" w:lineRule="exact"/>
        <w:rPr>
          <w:rFonts w:ascii="宋体" w:hAnsi="宋体" w:cs="宋体"/>
          <w:color w:val="auto"/>
          <w:sz w:val="24"/>
          <w:szCs w:val="24"/>
        </w:rPr>
      </w:pPr>
      <w:r>
        <w:rPr>
          <w:rFonts w:hint="eastAsia" w:ascii="宋体" w:hAnsi="宋体" w:cs="宋体"/>
          <w:color w:val="auto"/>
          <w:sz w:val="24"/>
          <w:szCs w:val="24"/>
          <w:lang w:val="en-US" w:eastAsia="zh-CN"/>
        </w:rPr>
        <w:t xml:space="preserve">九</w:t>
      </w:r>
      <w:r>
        <w:rPr>
          <w:rFonts w:hint="eastAsia" w:ascii="宋体" w:hAnsi="宋体" w:cs="宋体"/>
          <w:color w:val="auto"/>
          <w:sz w:val="24"/>
          <w:szCs w:val="24"/>
        </w:rPr>
        <w:t xml:space="preserve">、争议解决</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在合同履行过程中,如发生争议,双方应通过友好协商解决。如协商不成，则依法向甲方1所在地人民法院提起诉讼。</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lang w:val="en-US" w:eastAsia="zh-CN"/>
        </w:rPr>
        <w:t xml:space="preserve">十</w:t>
      </w:r>
      <w:r>
        <w:rPr>
          <w:rFonts w:hint="eastAsia" w:ascii="宋体" w:hAnsi="宋体" w:cs="宋体"/>
          <w:color w:val="auto"/>
          <w:sz w:val="24"/>
          <w:szCs w:val="24"/>
        </w:rPr>
        <w:t xml:space="preserve">、其他</w:t>
      </w:r>
      <w:r/>
    </w:p>
    <w:p>
      <w:pPr>
        <w:ind w:firstLine="480"/>
        <w:spacing w:line="560" w:lineRule="exact"/>
        <w:rPr>
          <w:rFonts w:ascii="宋体" w:hAnsi="宋体" w:cs="宋体"/>
          <w:color w:val="auto"/>
          <w:sz w:val="24"/>
          <w:szCs w:val="24"/>
        </w:rPr>
      </w:pPr>
      <w:r>
        <w:rPr>
          <w:rFonts w:hint="eastAsia" w:ascii="宋体" w:hAnsi="宋体" w:cs="宋体"/>
          <w:color w:val="auto"/>
          <w:sz w:val="24"/>
          <w:szCs w:val="24"/>
        </w:rPr>
        <w:t xml:space="preserve">1.本合同一式陆份，甲方1、甲方2各执贰份，乙方执贰份，具有同等法律效力。本合同附件包括《采购需求》《成交通知书》</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乙方投标响应文件</w:t>
      </w:r>
      <w:r>
        <w:rPr>
          <w:rFonts w:hint="eastAsia" w:ascii="宋体" w:hAnsi="宋体" w:cs="宋体"/>
          <w:color w:val="auto"/>
          <w:sz w:val="24"/>
          <w:szCs w:val="24"/>
        </w:rPr>
        <w:t xml:space="preserve">等，作为合同不可分割的组成部分。</w:t>
      </w:r>
      <w:r/>
    </w:p>
    <w:p>
      <w:pPr>
        <w:ind w:firstLine="480"/>
        <w:spacing w:line="560" w:lineRule="exact"/>
        <w:rPr>
          <w:rFonts w:hint="eastAsia" w:ascii="宋体" w:hAnsi="宋体" w:cs="宋体"/>
          <w:color w:val="auto"/>
          <w:sz w:val="24"/>
          <w:szCs w:val="24"/>
        </w:rPr>
      </w:pPr>
      <w:r>
        <w:rPr>
          <w:rFonts w:hint="eastAsia" w:ascii="宋体" w:hAnsi="宋体" w:cs="宋体"/>
          <w:color w:val="auto"/>
          <w:sz w:val="24"/>
          <w:szCs w:val="24"/>
        </w:rPr>
        <w:t xml:space="preserve">2.各方签订本合同时登记的地址、联系方式作为通知及法律文书（含诉讼文书、传票等）送达地址、联系方式，如有变更，须提前以书面形式通知其他方。否则，如出现无法通知、文书被退回、拒收等情形视为对方已收，由此产生的法律后果均由该方承担。</w:t>
      </w:r>
      <w:r/>
    </w:p>
    <w:p>
      <w:pPr>
        <w:spacing w:line="520" w:lineRule="exact"/>
        <w:widowControl/>
        <w:rPr>
          <w:rFonts w:hint="eastAsia" w:ascii="宋体" w:hAnsi="宋体" w:cs="宋体"/>
          <w:color w:val="auto"/>
          <w:sz w:val="24"/>
          <w:szCs w:val="24"/>
        </w:rPr>
      </w:pPr>
      <w:r>
        <w:rPr>
          <w:rFonts w:hint="eastAsia" w:ascii="宋体" w:hAnsi="宋体" w:cs="宋体"/>
          <w:color w:val="auto"/>
          <w:sz w:val="24"/>
          <w:szCs w:val="24"/>
        </w:rPr>
      </w:r>
      <w:r/>
    </w:p>
    <w:p>
      <w:pPr>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甲方1：（盖章）                乙方：（盖章）</w:t>
      </w:r>
      <w:r/>
    </w:p>
    <w:p>
      <w:pPr>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地址：                         地址：</w:t>
      </w:r>
      <w:r/>
    </w:p>
    <w:p>
      <w:pPr>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法定（授权）代表人：           法定（授权）代表人：</w:t>
      </w:r>
      <w:r/>
    </w:p>
    <w:p>
      <w:pPr>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联系电话：                     联系电话：</w:t>
      </w:r>
      <w:r/>
    </w:p>
    <w:p>
      <w:pPr>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2026年  月  日                 2026年  月  日</w:t>
      </w:r>
      <w:r/>
    </w:p>
    <w:p>
      <w:pPr>
        <w:spacing w:line="520" w:lineRule="exact"/>
        <w:widowControl/>
        <w:rPr>
          <w:rFonts w:hint="eastAsia" w:ascii="宋体" w:hAnsi="宋体" w:cs="宋体"/>
          <w:color w:val="auto"/>
          <w:sz w:val="24"/>
          <w:szCs w:val="24"/>
        </w:rPr>
      </w:pPr>
      <w:r>
        <w:rPr>
          <w:rFonts w:hint="eastAsia" w:ascii="宋体" w:hAnsi="宋体" w:cs="宋体"/>
          <w:color w:val="auto"/>
          <w:sz w:val="24"/>
          <w:szCs w:val="24"/>
        </w:rPr>
      </w:r>
      <w:r/>
    </w:p>
    <w:p>
      <w:pPr>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甲方2：（盖章）</w:t>
      </w:r>
      <w:r/>
    </w:p>
    <w:p>
      <w:pPr>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地址：</w:t>
      </w:r>
      <w:r/>
    </w:p>
    <w:p>
      <w:pPr>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法定（授权）代表人：</w:t>
      </w:r>
      <w:r/>
    </w:p>
    <w:p>
      <w:pPr>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联系电话：</w:t>
      </w:r>
      <w:r/>
    </w:p>
    <w:p>
      <w:pPr>
        <w:spacing w:line="520" w:lineRule="exact"/>
        <w:widowControl/>
        <w:rPr>
          <w:rFonts w:hint="eastAsia" w:ascii="宋体" w:hAnsi="宋体" w:cs="宋体"/>
          <w:color w:val="auto"/>
          <w:sz w:val="24"/>
          <w:szCs w:val="24"/>
        </w:rPr>
      </w:pPr>
      <w:r>
        <w:rPr>
          <w:rFonts w:hint="eastAsia" w:ascii="宋体" w:hAnsi="宋体" w:cs="宋体"/>
          <w:color w:val="auto"/>
          <w:sz w:val="24"/>
          <w:szCs w:val="24"/>
        </w:rPr>
        <w:t xml:space="preserve">2026年  月  日        </w:t>
      </w:r>
      <w:r/>
    </w:p>
    <w:p>
      <w:pPr>
        <w:jc w:val="center"/>
        <w:keepLines/>
        <w:keepNext/>
        <w:pageBreakBefore/>
        <w:rPr>
          <w:rFonts w:hint="eastAsia" w:ascii="宋体" w:hAnsi="宋体" w:cs="宋体"/>
          <w:b/>
          <w:color w:val="auto"/>
          <w:sz w:val="44"/>
          <w:szCs w:val="44"/>
          <w:highlight w:val="white"/>
        </w:rPr>
        <w:outlineLvl w:val="0"/>
      </w:pPr>
      <w:r>
        <w:rPr>
          <w:rFonts w:hint="eastAsia" w:ascii="宋体" w:hAnsi="宋体" w:cs="宋体"/>
          <w:bCs/>
          <w:color w:val="auto"/>
          <w:sz w:val="44"/>
          <w:szCs w:val="44"/>
          <w:highlight w:val="white"/>
        </w:rPr>
        <w:t xml:space="preserve">第六章  响应文件格式</w:t>
      </w:r>
      <w:bookmarkEnd w:id="97"/>
      <w:r/>
      <w:bookmarkEnd w:id="98"/>
      <w:r/>
      <w:bookmarkEnd w:id="99"/>
      <w:r/>
      <w:bookmarkEnd w:id="120"/>
      <w:r/>
      <w:r/>
    </w:p>
    <w:p>
      <w:pPr>
        <w:rPr>
          <w:rFonts w:hint="eastAsia" w:ascii="宋体" w:hAnsi="宋体" w:cs="宋体"/>
          <w:color w:val="auto"/>
          <w:highlight w:val="red"/>
        </w:rPr>
      </w:pPr>
      <w:r/>
      <w:bookmarkStart w:id="121" w:name="EB819316f773b24a75aef829f9b72900c0"/>
      <w:r/>
      <w:r/>
    </w:p>
    <w:p>
      <w:pPr>
        <w:rPr>
          <w:rFonts w:hint="eastAsia" w:ascii="宋体" w:hAnsi="宋体" w:cs="宋体"/>
          <w:b/>
          <w:color w:val="auto"/>
          <w:sz w:val="72"/>
        </w:rPr>
      </w:pPr>
      <w:r/>
      <w:bookmarkStart w:id="122" w:name="_Toc15716"/>
      <w:r/>
      <w:r/>
    </w:p>
    <w:p>
      <w:pPr>
        <w:rPr>
          <w:rFonts w:hint="eastAsia" w:ascii="宋体" w:hAnsi="宋体" w:cs="宋体"/>
          <w:b/>
          <w:color w:val="auto"/>
          <w:sz w:val="72"/>
        </w:rPr>
      </w:pPr>
      <w:r>
        <w:rPr>
          <w:rFonts w:hint="eastAsia" w:ascii="宋体" w:hAnsi="宋体" w:cs="宋体"/>
          <w:b/>
          <w:color w:val="auto"/>
          <w:sz w:val="72"/>
        </w:rPr>
      </w:r>
      <w:r/>
    </w:p>
    <w:p>
      <w:pPr>
        <w:rPr>
          <w:rFonts w:hint="eastAsia" w:ascii="宋体" w:hAnsi="宋体" w:cs="宋体"/>
          <w:b/>
          <w:color w:val="auto"/>
          <w:sz w:val="72"/>
        </w:rPr>
      </w:pPr>
      <w:r>
        <w:rPr>
          <w:rFonts w:hint="eastAsia" w:ascii="宋体" w:hAnsi="宋体" w:cs="宋体"/>
          <w:b/>
          <w:color w:val="auto"/>
          <w:sz w:val="72"/>
        </w:rPr>
      </w:r>
      <w:r/>
    </w:p>
    <w:p>
      <w:pPr>
        <w:jc w:val="center"/>
        <w:rPr>
          <w:rFonts w:hint="eastAsia" w:ascii="宋体" w:hAnsi="宋体" w:cs="宋体"/>
          <w:b/>
          <w:color w:val="auto"/>
          <w:sz w:val="72"/>
        </w:rPr>
      </w:pPr>
      <w:r>
        <w:rPr>
          <w:rFonts w:hint="eastAsia" w:ascii="宋体" w:hAnsi="宋体" w:cs="宋体"/>
          <w:b/>
          <w:color w:val="auto"/>
          <w:sz w:val="72"/>
        </w:rPr>
        <w:t xml:space="preserve">响  应  文  件</w:t>
      </w:r>
      <w:r/>
    </w:p>
    <w:p>
      <w:pPr>
        <w:jc w:val="center"/>
        <w:rPr>
          <w:rFonts w:hint="eastAsia" w:ascii="宋体" w:hAnsi="宋体" w:cs="宋体"/>
          <w:b/>
          <w:color w:val="auto"/>
          <w:sz w:val="72"/>
        </w:rPr>
      </w:pPr>
      <w:r>
        <w:rPr>
          <w:rFonts w:hint="eastAsia" w:ascii="宋体" w:hAnsi="宋体" w:cs="宋体"/>
          <w:b/>
          <w:color w:val="auto"/>
          <w:sz w:val="72"/>
        </w:rPr>
      </w:r>
      <w:r/>
    </w:p>
    <w:p>
      <w:pPr>
        <w:jc w:val="center"/>
        <w:rPr>
          <w:rFonts w:hint="eastAsia" w:ascii="宋体" w:hAnsi="宋体" w:cs="宋体"/>
          <w:b/>
          <w:color w:val="auto"/>
          <w:sz w:val="72"/>
        </w:rPr>
      </w:pPr>
      <w:r>
        <w:rPr>
          <w:rFonts w:hint="eastAsia" w:ascii="宋体" w:hAnsi="宋体" w:cs="宋体"/>
          <w:b/>
          <w:color w:val="auto"/>
          <w:sz w:val="72"/>
        </w:rPr>
      </w:r>
      <w:r/>
    </w:p>
    <w:p>
      <w:pPr>
        <w:jc w:val="center"/>
        <w:rPr>
          <w:rFonts w:hint="eastAsia" w:ascii="宋体" w:hAnsi="宋体" w:cs="宋体"/>
          <w:b/>
          <w:color w:val="auto"/>
          <w:sz w:val="72"/>
        </w:rPr>
      </w:pPr>
      <w:r>
        <w:rPr>
          <w:rFonts w:hint="eastAsia" w:ascii="宋体" w:hAnsi="宋体" w:cs="宋体"/>
          <w:b/>
          <w:color w:val="auto"/>
          <w:sz w:val="72"/>
        </w:rPr>
      </w:r>
      <w:r/>
    </w:p>
    <w:p>
      <w:pPr>
        <w:jc w:val="center"/>
        <w:rPr>
          <w:rFonts w:hint="eastAsia" w:ascii="宋体" w:hAnsi="宋体" w:cs="宋体"/>
          <w:b/>
          <w:color w:val="auto"/>
          <w:sz w:val="72"/>
        </w:rPr>
      </w:pPr>
      <w:r>
        <w:rPr>
          <w:rFonts w:hint="eastAsia" w:ascii="宋体" w:hAnsi="宋体" w:cs="宋体"/>
          <w:b/>
          <w:color w:val="auto"/>
          <w:sz w:val="72"/>
        </w:rPr>
      </w:r>
      <w:r/>
    </w:p>
    <w:p>
      <w:pPr>
        <w:jc w:val="center"/>
        <w:rPr>
          <w:rFonts w:hint="eastAsia" w:ascii="宋体" w:hAnsi="宋体" w:cs="宋体"/>
          <w:b/>
          <w:color w:val="auto"/>
          <w:sz w:val="72"/>
        </w:rPr>
      </w:pPr>
      <w:r>
        <w:rPr>
          <w:rFonts w:hint="eastAsia" w:ascii="宋体" w:hAnsi="宋体" w:cs="宋体"/>
          <w:b/>
          <w:color w:val="auto"/>
          <w:sz w:val="72"/>
        </w:rPr>
      </w:r>
      <w:r/>
    </w:p>
    <w:p>
      <w:pPr>
        <w:jc w:val="center"/>
        <w:rPr>
          <w:rFonts w:hint="eastAsia" w:ascii="宋体" w:hAnsi="宋体" w:cs="宋体"/>
          <w:b/>
          <w:color w:val="auto"/>
          <w:sz w:val="36"/>
        </w:rPr>
      </w:pPr>
      <w:r>
        <w:rPr>
          <w:rFonts w:hint="eastAsia" w:ascii="宋体" w:hAnsi="宋体" w:cs="宋体"/>
          <w:b/>
          <w:color w:val="auto"/>
          <w:sz w:val="36"/>
        </w:rPr>
      </w:r>
      <w:r/>
    </w:p>
    <w:p>
      <w:pPr>
        <w:jc w:val="center"/>
        <w:rPr>
          <w:rFonts w:hint="eastAsia" w:ascii="宋体" w:hAnsi="宋体" w:cs="宋体"/>
          <w:b/>
          <w:color w:val="auto"/>
          <w:sz w:val="36"/>
        </w:rPr>
      </w:pPr>
      <w:r>
        <w:rPr>
          <w:rFonts w:hint="eastAsia" w:ascii="宋体" w:hAnsi="宋体" w:cs="宋体"/>
          <w:b/>
          <w:color w:val="auto"/>
          <w:sz w:val="36"/>
        </w:rPr>
      </w:r>
      <w:r/>
    </w:p>
    <w:p>
      <w:pPr>
        <w:jc w:val="center"/>
        <w:rPr>
          <w:rFonts w:hint="eastAsia" w:ascii="宋体" w:hAnsi="宋体" w:cs="宋体"/>
          <w:b/>
          <w:color w:val="auto"/>
          <w:sz w:val="36"/>
        </w:rPr>
      </w:pPr>
      <w:r>
        <w:rPr>
          <w:rFonts w:hint="eastAsia" w:ascii="宋体" w:hAnsi="宋体" w:cs="宋体"/>
          <w:b/>
          <w:color w:val="auto"/>
          <w:sz w:val="36"/>
        </w:rPr>
      </w:r>
      <w:r/>
    </w:p>
    <w:p>
      <w:pPr>
        <w:ind w:firstLine="1084"/>
        <w:rPr>
          <w:rFonts w:hint="eastAsia" w:ascii="宋体" w:hAnsi="宋体" w:cs="宋体"/>
          <w:b/>
          <w:color w:val="auto"/>
          <w:sz w:val="36"/>
        </w:rPr>
      </w:pPr>
      <w:r>
        <w:rPr>
          <w:rFonts w:hint="eastAsia" w:ascii="宋体" w:hAnsi="宋体" w:cs="宋体"/>
          <w:b/>
          <w:color w:val="auto"/>
          <w:sz w:val="36"/>
        </w:rPr>
        <w:t xml:space="preserve">项 目 名 称：</w:t>
      </w:r>
      <w:r>
        <w:rPr>
          <w:rFonts w:hint="eastAsia" w:ascii="宋体" w:hAnsi="宋体" w:cs="宋体"/>
          <w:b/>
          <w:color w:val="auto"/>
          <w:sz w:val="36"/>
          <w:u w:val="single"/>
        </w:rPr>
        <w:t xml:space="preserve">               </w:t>
      </w:r>
      <w:r/>
    </w:p>
    <w:p>
      <w:pPr>
        <w:ind w:firstLine="1084"/>
        <w:rPr>
          <w:rFonts w:hint="eastAsia" w:ascii="宋体" w:hAnsi="宋体" w:cs="宋体"/>
          <w:b/>
          <w:color w:val="auto"/>
          <w:sz w:val="36"/>
          <w:u w:val="single"/>
        </w:rPr>
      </w:pPr>
      <w:r>
        <w:rPr>
          <w:rFonts w:hint="eastAsia" w:ascii="宋体" w:hAnsi="宋体" w:cs="宋体"/>
          <w:b/>
          <w:color w:val="auto"/>
          <w:sz w:val="36"/>
        </w:rPr>
        <w:t xml:space="preserve">项 目 编 号：</w:t>
      </w:r>
      <w:r>
        <w:rPr>
          <w:rFonts w:hint="eastAsia" w:ascii="宋体" w:hAnsi="宋体" w:cs="宋体"/>
          <w:b/>
          <w:color w:val="auto"/>
          <w:sz w:val="36"/>
          <w:u w:val="single"/>
        </w:rPr>
        <w:t xml:space="preserve"> </w:t>
      </w:r>
      <w:r>
        <w:rPr>
          <w:rFonts w:hint="eastAsia" w:ascii="宋体" w:hAnsi="宋体" w:cs="宋体"/>
          <w:b/>
          <w:color w:val="auto"/>
          <w:sz w:val="30"/>
          <w:szCs w:val="30"/>
          <w:u w:val="single"/>
          <w:lang w:eastAsia="zh-CN" w:bidi="ar"/>
        </w:rPr>
        <w:t xml:space="preserve">JSZC-321300-JSQZ-C2026-0012</w:t>
      </w:r>
      <w:r>
        <w:rPr>
          <w:rFonts w:hint="eastAsia" w:ascii="宋体" w:hAnsi="宋体" w:cs="宋体"/>
          <w:b/>
          <w:color w:val="auto"/>
          <w:sz w:val="36"/>
          <w:u w:val="single"/>
        </w:rPr>
        <w:t xml:space="preserve"> </w:t>
      </w:r>
      <w:r/>
    </w:p>
    <w:p>
      <w:pPr>
        <w:rPr>
          <w:rFonts w:hint="eastAsia" w:ascii="宋体" w:hAnsi="宋体" w:cs="宋体"/>
          <w:b/>
          <w:color w:val="auto"/>
          <w:sz w:val="36"/>
          <w:u w:val="single"/>
        </w:rPr>
      </w:pPr>
      <w:r>
        <w:rPr>
          <w:rFonts w:hint="eastAsia" w:ascii="宋体" w:hAnsi="宋体" w:cs="宋体"/>
          <w:b/>
          <w:color w:val="auto"/>
          <w:sz w:val="36"/>
        </w:rPr>
        <w:t xml:space="preserve">      投标人名称 ：</w:t>
      </w:r>
      <w:r>
        <w:rPr>
          <w:rFonts w:hint="eastAsia" w:ascii="宋体" w:hAnsi="宋体" w:cs="宋体"/>
          <w:b/>
          <w:color w:val="auto"/>
          <w:sz w:val="36"/>
          <w:u w:val="single"/>
        </w:rPr>
        <w:t xml:space="preserve">（盖CA电子公章）</w:t>
      </w:r>
      <w:r/>
    </w:p>
    <w:p>
      <w:pPr>
        <w:rPr>
          <w:rFonts w:hint="eastAsia" w:ascii="宋体" w:hAnsi="宋体" w:cs="宋体"/>
          <w:b/>
          <w:color w:val="auto"/>
          <w:sz w:val="36"/>
          <w:u w:val="single"/>
        </w:rPr>
      </w:pPr>
      <w:r>
        <w:rPr>
          <w:rFonts w:hint="eastAsia" w:ascii="宋体" w:hAnsi="宋体" w:cs="宋体"/>
          <w:b/>
          <w:color w:val="auto"/>
          <w:sz w:val="36"/>
        </w:rPr>
        <w:t xml:space="preserve">      日      期 ：</w:t>
      </w:r>
      <w:r>
        <w:rPr>
          <w:rFonts w:hint="eastAsia" w:ascii="宋体" w:hAnsi="宋体" w:cs="宋体"/>
          <w:b/>
          <w:color w:val="auto"/>
          <w:sz w:val="36"/>
          <w:u w:val="single"/>
        </w:rPr>
        <w:t xml:space="preserve">               </w:t>
      </w:r>
      <w:bookmarkEnd w:id="122"/>
      <w:r/>
      <w:r/>
    </w:p>
    <w:p>
      <w:pPr>
        <w:pStyle w:val="1037"/>
        <w:rPr>
          <w:rFonts w:hint="eastAsia" w:ascii="宋体" w:hAnsi="宋体" w:eastAsia="宋体" w:cs="宋体"/>
          <w:color w:val="auto"/>
        </w:rPr>
      </w:pPr>
      <w:r>
        <w:rPr>
          <w:rFonts w:hint="eastAsia" w:ascii="宋体" w:hAnsi="宋体" w:eastAsia="宋体" w:cs="宋体"/>
          <w:color w:val="auto"/>
        </w:rPr>
      </w:r>
      <w:r/>
    </w:p>
    <w:p>
      <w:pPr>
        <w:pStyle w:val="1037"/>
        <w:rPr>
          <w:rFonts w:hint="eastAsia" w:ascii="宋体" w:hAnsi="宋体" w:eastAsia="宋体" w:cs="宋体"/>
          <w:color w:val="auto"/>
        </w:rPr>
      </w:pPr>
      <w:r>
        <w:rPr>
          <w:rFonts w:hint="eastAsia" w:ascii="宋体" w:hAnsi="宋体" w:eastAsia="宋体" w:cs="宋体"/>
          <w:color w:val="auto"/>
        </w:rPr>
      </w:r>
      <w:r/>
    </w:p>
    <w:p>
      <w:pPr>
        <w:pStyle w:val="1037"/>
        <w:rPr>
          <w:rFonts w:hint="eastAsia" w:ascii="宋体" w:hAnsi="宋体" w:eastAsia="宋体" w:cs="宋体"/>
          <w:color w:val="auto"/>
        </w:rPr>
      </w:pPr>
      <w:r>
        <w:rPr>
          <w:rFonts w:hint="eastAsia" w:ascii="宋体" w:hAnsi="宋体" w:eastAsia="宋体" w:cs="宋体"/>
          <w:color w:val="auto"/>
        </w:rPr>
      </w:r>
      <w:r/>
    </w:p>
    <w:p>
      <w:pPr>
        <w:pStyle w:val="1037"/>
        <w:rPr>
          <w:rFonts w:hint="eastAsia" w:ascii="宋体" w:hAnsi="宋体" w:eastAsia="宋体" w:cs="宋体"/>
          <w:color w:val="auto"/>
        </w:rPr>
      </w:pPr>
      <w:r>
        <w:rPr>
          <w:rFonts w:hint="eastAsia" w:ascii="宋体" w:hAnsi="宋体" w:eastAsia="宋体" w:cs="宋体"/>
          <w:color w:val="auto"/>
        </w:rPr>
      </w:r>
      <w:r/>
    </w:p>
    <w:p>
      <w:pPr>
        <w:pStyle w:val="1037"/>
        <w:rPr>
          <w:rFonts w:hint="eastAsia" w:ascii="宋体" w:hAnsi="宋体" w:eastAsia="宋体" w:cs="宋体"/>
          <w:color w:val="auto"/>
        </w:rPr>
      </w:pPr>
      <w:r>
        <w:rPr>
          <w:rFonts w:hint="eastAsia" w:ascii="宋体" w:hAnsi="宋体" w:eastAsia="宋体" w:cs="宋体"/>
          <w:color w:val="auto"/>
        </w:rPr>
      </w:r>
      <w:r/>
    </w:p>
    <w:p>
      <w:pPr>
        <w:pStyle w:val="1037"/>
        <w:rPr>
          <w:rFonts w:hint="eastAsia" w:ascii="宋体" w:hAnsi="宋体" w:eastAsia="宋体" w:cs="宋体"/>
          <w:color w:val="auto"/>
        </w:rPr>
      </w:pPr>
      <w:r>
        <w:rPr>
          <w:rFonts w:hint="eastAsia" w:ascii="宋体" w:hAnsi="宋体" w:eastAsia="宋体" w:cs="宋体"/>
          <w:color w:val="auto"/>
        </w:rPr>
      </w:r>
      <w:r/>
    </w:p>
    <w:p>
      <w:pPr>
        <w:pStyle w:val="1037"/>
        <w:rPr>
          <w:rFonts w:hint="eastAsia" w:ascii="宋体" w:hAnsi="宋体" w:eastAsia="宋体" w:cs="宋体"/>
          <w:color w:val="auto"/>
        </w:rPr>
      </w:pPr>
      <w:r>
        <w:rPr>
          <w:rFonts w:hint="eastAsia" w:ascii="宋体" w:hAnsi="宋体" w:eastAsia="宋体" w:cs="宋体"/>
          <w:color w:val="auto"/>
        </w:rPr>
      </w:r>
      <w:bookmarkEnd w:id="121"/>
      <w:r/>
    </w:p>
    <w:p>
      <w:pPr>
        <w:pStyle w:val="1037"/>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t xml:space="preserve">响应文件目录</w:t>
      </w:r>
      <w:r/>
    </w:p>
    <w:p>
      <w:pPr>
        <w:jc w:val="center"/>
        <w:spacing w:line="440" w:lineRule="exact"/>
        <w:rPr>
          <w:rFonts w:hint="eastAsia" w:ascii="宋体" w:hAnsi="宋体" w:cs="宋体"/>
          <w:b/>
          <w:bCs/>
          <w:color w:val="auto"/>
          <w:sz w:val="32"/>
          <w:szCs w:val="32"/>
        </w:rPr>
      </w:pPr>
      <w:r>
        <w:rPr>
          <w:rFonts w:hint="eastAsia" w:ascii="宋体" w:hAnsi="宋体" w:cs="宋体"/>
          <w:b/>
          <w:bCs/>
          <w:color w:val="auto"/>
          <w:sz w:val="32"/>
          <w:szCs w:val="32"/>
        </w:rPr>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一、磋商响应函</w:t>
      </w:r>
      <w:r/>
    </w:p>
    <w:p>
      <w:pPr>
        <w:spacing w:line="360" w:lineRule="auto"/>
        <w:rPr>
          <w:rFonts w:hint="eastAsia" w:ascii="宋体" w:hAnsi="宋体" w:cs="宋体"/>
          <w:color w:val="auto"/>
          <w:sz w:val="28"/>
          <w:szCs w:val="28"/>
        </w:rPr>
      </w:pPr>
      <w:r>
        <w:rPr>
          <w:rFonts w:hint="eastAsia" w:ascii="宋体" w:hAnsi="宋体" w:cs="宋体"/>
          <w:color w:val="auto"/>
          <w:sz w:val="28"/>
          <w:szCs w:val="28"/>
        </w:rPr>
        <w:t xml:space="preserve">二、响应单位基本情况</w:t>
      </w:r>
      <w:r/>
    </w:p>
    <w:p>
      <w:pPr>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三、</w:t>
      </w:r>
      <w:r>
        <w:rPr>
          <w:rFonts w:hint="eastAsia" w:ascii="宋体" w:hAnsi="宋体" w:cs="宋体"/>
          <w:color w:val="auto"/>
          <w:sz w:val="28"/>
          <w:szCs w:val="28"/>
        </w:rPr>
        <w:t xml:space="preserve">法人授权书</w:t>
      </w:r>
      <w:r/>
    </w:p>
    <w:p>
      <w:pPr>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四</w:t>
      </w:r>
      <w:r>
        <w:rPr>
          <w:rFonts w:hint="eastAsia" w:ascii="宋体" w:hAnsi="宋体" w:cs="宋体"/>
          <w:color w:val="auto"/>
          <w:sz w:val="28"/>
          <w:szCs w:val="28"/>
        </w:rPr>
        <w:t xml:space="preserve">、磋商报价表</w:t>
      </w:r>
      <w:r/>
    </w:p>
    <w:p>
      <w:pPr>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五</w:t>
      </w:r>
      <w:r>
        <w:rPr>
          <w:rFonts w:hint="eastAsia" w:ascii="宋体" w:hAnsi="宋体" w:cs="宋体"/>
          <w:color w:val="auto"/>
          <w:sz w:val="28"/>
          <w:szCs w:val="28"/>
        </w:rPr>
        <w:t xml:space="preserve">、分项报价表</w:t>
      </w:r>
      <w:r/>
    </w:p>
    <w:p>
      <w:pPr>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六</w:t>
      </w:r>
      <w:r>
        <w:rPr>
          <w:rFonts w:hint="eastAsia" w:ascii="宋体" w:hAnsi="宋体" w:cs="宋体"/>
          <w:color w:val="auto"/>
          <w:sz w:val="28"/>
          <w:szCs w:val="28"/>
        </w:rPr>
        <w:t xml:space="preserve">、中小企业声明函</w:t>
      </w:r>
      <w:r/>
    </w:p>
    <w:p>
      <w:pPr>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七</w:t>
      </w:r>
      <w:r>
        <w:rPr>
          <w:rFonts w:hint="eastAsia" w:ascii="宋体" w:hAnsi="宋体" w:cs="宋体"/>
          <w:color w:val="auto"/>
          <w:sz w:val="28"/>
          <w:szCs w:val="28"/>
        </w:rPr>
        <w:t xml:space="preserve">、技术响应偏离表（技术参数响应）</w:t>
      </w:r>
      <w:r/>
    </w:p>
    <w:p>
      <w:pPr>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八</w:t>
      </w:r>
      <w:r>
        <w:rPr>
          <w:rFonts w:hint="eastAsia" w:ascii="宋体" w:hAnsi="宋体" w:cs="宋体"/>
          <w:color w:val="auto"/>
          <w:sz w:val="28"/>
          <w:szCs w:val="28"/>
        </w:rPr>
        <w:t xml:space="preserve">、项目组人员</w:t>
      </w:r>
      <w:r/>
    </w:p>
    <w:p>
      <w:pPr>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九</w:t>
      </w:r>
      <w:r>
        <w:rPr>
          <w:rFonts w:hint="eastAsia" w:ascii="宋体" w:hAnsi="宋体" w:cs="宋体"/>
          <w:color w:val="auto"/>
          <w:sz w:val="28"/>
          <w:szCs w:val="28"/>
        </w:rPr>
        <w:t xml:space="preserve">、企业业绩</w:t>
      </w:r>
      <w:r/>
    </w:p>
    <w:p>
      <w:pPr>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十</w:t>
      </w:r>
      <w:r>
        <w:rPr>
          <w:rFonts w:hint="eastAsia" w:ascii="宋体" w:hAnsi="宋体" w:cs="宋体"/>
          <w:color w:val="auto"/>
          <w:sz w:val="28"/>
          <w:szCs w:val="28"/>
        </w:rPr>
        <w:t xml:space="preserve">、磋商所需其他材料</w:t>
      </w:r>
      <w:r/>
    </w:p>
    <w:p>
      <w:pPr>
        <w:ind w:firstLine="480"/>
        <w:spacing w:line="440" w:lineRule="exact"/>
        <w:rPr>
          <w:rFonts w:hint="eastAsia" w:ascii="宋体" w:hAnsi="宋体" w:cs="宋体"/>
          <w:color w:val="auto"/>
          <w:sz w:val="24"/>
          <w:szCs w:val="21"/>
        </w:rPr>
      </w:pPr>
      <w:r>
        <w:rPr>
          <w:rFonts w:hint="eastAsia" w:ascii="宋体" w:hAnsi="宋体" w:cs="宋体"/>
          <w:color w:val="auto"/>
          <w:sz w:val="24"/>
          <w:szCs w:val="21"/>
        </w:rPr>
      </w:r>
      <w:r/>
    </w:p>
    <w:p>
      <w:pPr>
        <w:ind w:firstLine="480"/>
        <w:spacing w:line="440" w:lineRule="exact"/>
        <w:rPr>
          <w:rFonts w:hint="eastAsia" w:ascii="宋体" w:hAnsi="宋体" w:cs="宋体"/>
          <w:color w:val="auto"/>
          <w:sz w:val="24"/>
          <w:szCs w:val="21"/>
        </w:rPr>
      </w:pPr>
      <w:r>
        <w:rPr>
          <w:rFonts w:hint="eastAsia" w:ascii="宋体" w:hAnsi="宋体" w:cs="宋体"/>
          <w:color w:val="auto"/>
          <w:sz w:val="24"/>
          <w:szCs w:val="21"/>
        </w:rPr>
      </w:r>
      <w:r/>
    </w:p>
    <w:p>
      <w:pPr>
        <w:ind w:firstLine="480"/>
        <w:spacing w:line="440" w:lineRule="exact"/>
        <w:rPr>
          <w:rFonts w:hint="eastAsia" w:ascii="宋体" w:hAnsi="宋体" w:cs="宋体"/>
          <w:color w:val="auto"/>
          <w:sz w:val="24"/>
          <w:szCs w:val="21"/>
        </w:rPr>
      </w:pPr>
      <w:r>
        <w:rPr>
          <w:rFonts w:hint="eastAsia" w:ascii="宋体" w:hAnsi="宋体" w:cs="宋体"/>
          <w:color w:val="auto"/>
          <w:sz w:val="24"/>
          <w:szCs w:val="21"/>
        </w:rPr>
      </w:r>
      <w:r/>
    </w:p>
    <w:p>
      <w:pPr>
        <w:ind w:firstLine="480"/>
        <w:spacing w:line="440" w:lineRule="exact"/>
        <w:rPr>
          <w:rFonts w:hint="eastAsia" w:ascii="宋体" w:hAnsi="宋体" w:cs="宋体"/>
          <w:color w:val="auto"/>
          <w:sz w:val="24"/>
          <w:szCs w:val="21"/>
        </w:rPr>
      </w:pPr>
      <w:r>
        <w:rPr>
          <w:rFonts w:hint="eastAsia" w:ascii="宋体" w:hAnsi="宋体" w:cs="宋体"/>
          <w:color w:val="auto"/>
          <w:sz w:val="24"/>
          <w:szCs w:val="21"/>
        </w:rPr>
      </w:r>
      <w:r/>
    </w:p>
    <w:p>
      <w:pPr>
        <w:ind w:firstLine="480"/>
        <w:spacing w:line="440" w:lineRule="exact"/>
        <w:rPr>
          <w:rFonts w:hint="eastAsia" w:ascii="宋体" w:hAnsi="宋体" w:cs="宋体"/>
          <w:color w:val="auto"/>
          <w:sz w:val="24"/>
          <w:szCs w:val="21"/>
        </w:rPr>
      </w:pPr>
      <w:r>
        <w:rPr>
          <w:rFonts w:hint="eastAsia" w:ascii="宋体" w:hAnsi="宋体" w:cs="宋体"/>
          <w:color w:val="auto"/>
          <w:sz w:val="24"/>
          <w:szCs w:val="21"/>
        </w:rPr>
      </w:r>
      <w:r/>
    </w:p>
    <w:p>
      <w:pPr>
        <w:ind w:firstLine="480"/>
        <w:spacing w:line="440" w:lineRule="exact"/>
        <w:rPr>
          <w:rFonts w:hint="eastAsia" w:ascii="宋体" w:hAnsi="宋体" w:cs="宋体"/>
          <w:color w:val="auto"/>
          <w:sz w:val="24"/>
          <w:szCs w:val="21"/>
        </w:rPr>
      </w:pPr>
      <w:r>
        <w:rPr>
          <w:rFonts w:hint="eastAsia" w:ascii="宋体" w:hAnsi="宋体" w:cs="宋体"/>
          <w:color w:val="auto"/>
          <w:sz w:val="24"/>
          <w:szCs w:val="21"/>
        </w:rPr>
      </w:r>
      <w:r/>
    </w:p>
    <w:p>
      <w:pPr>
        <w:ind w:firstLine="480"/>
        <w:spacing w:line="440" w:lineRule="exact"/>
        <w:rPr>
          <w:rFonts w:hint="eastAsia" w:ascii="宋体" w:hAnsi="宋体" w:cs="宋体"/>
          <w:color w:val="auto"/>
          <w:sz w:val="24"/>
          <w:szCs w:val="21"/>
        </w:rPr>
      </w:pPr>
      <w:r>
        <w:rPr>
          <w:rFonts w:hint="eastAsia" w:ascii="宋体" w:hAnsi="宋体" w:cs="宋体"/>
          <w:color w:val="auto"/>
          <w:sz w:val="24"/>
          <w:szCs w:val="21"/>
        </w:rPr>
      </w:r>
      <w:r/>
    </w:p>
    <w:p>
      <w:pPr>
        <w:ind w:firstLine="480"/>
        <w:spacing w:line="440" w:lineRule="exact"/>
        <w:rPr>
          <w:rFonts w:hint="eastAsia" w:ascii="宋体" w:hAnsi="宋体" w:cs="宋体"/>
          <w:color w:val="auto"/>
          <w:sz w:val="24"/>
          <w:szCs w:val="21"/>
        </w:rPr>
      </w:pPr>
      <w:r>
        <w:rPr>
          <w:rFonts w:hint="eastAsia" w:ascii="宋体" w:hAnsi="宋体" w:cs="宋体"/>
          <w:color w:val="auto"/>
          <w:sz w:val="24"/>
          <w:szCs w:val="21"/>
        </w:rPr>
      </w:r>
      <w:r/>
    </w:p>
    <w:p>
      <w:pPr>
        <w:ind w:firstLine="480"/>
        <w:spacing w:line="440" w:lineRule="exact"/>
        <w:rPr>
          <w:rFonts w:hint="eastAsia" w:ascii="宋体" w:hAnsi="宋体" w:cs="宋体"/>
          <w:color w:val="auto"/>
          <w:sz w:val="24"/>
          <w:szCs w:val="21"/>
        </w:rPr>
      </w:pPr>
      <w:r>
        <w:rPr>
          <w:rFonts w:hint="eastAsia" w:ascii="宋体" w:hAnsi="宋体" w:cs="宋体"/>
          <w:color w:val="auto"/>
          <w:sz w:val="24"/>
          <w:szCs w:val="21"/>
        </w:rPr>
      </w:r>
      <w:r/>
    </w:p>
    <w:p>
      <w:pPr>
        <w:ind w:firstLine="480"/>
        <w:spacing w:line="440" w:lineRule="exact"/>
        <w:rPr>
          <w:rFonts w:hint="eastAsia" w:ascii="宋体" w:hAnsi="宋体" w:cs="宋体"/>
          <w:color w:val="auto"/>
          <w:sz w:val="24"/>
          <w:szCs w:val="21"/>
        </w:rPr>
      </w:pPr>
      <w:r>
        <w:rPr>
          <w:rFonts w:hint="eastAsia" w:ascii="宋体" w:hAnsi="宋体" w:cs="宋体"/>
          <w:color w:val="auto"/>
          <w:sz w:val="24"/>
          <w:szCs w:val="21"/>
        </w:rPr>
      </w:r>
      <w:r/>
    </w:p>
    <w:p>
      <w:pPr>
        <w:ind w:firstLine="480"/>
        <w:spacing w:line="440" w:lineRule="exact"/>
        <w:rPr>
          <w:rFonts w:hint="eastAsia" w:ascii="宋体" w:hAnsi="宋体" w:cs="宋体"/>
          <w:color w:val="auto"/>
          <w:sz w:val="24"/>
          <w:szCs w:val="21"/>
        </w:rPr>
      </w:pPr>
      <w:r>
        <w:rPr>
          <w:rFonts w:hint="eastAsia" w:ascii="宋体" w:hAnsi="宋体" w:cs="宋体"/>
          <w:color w:val="auto"/>
          <w:sz w:val="24"/>
          <w:szCs w:val="21"/>
        </w:rPr>
      </w:r>
      <w:r/>
    </w:p>
    <w:p>
      <w:pPr>
        <w:ind w:firstLine="480"/>
        <w:spacing w:line="440" w:lineRule="exact"/>
        <w:rPr>
          <w:rFonts w:hint="eastAsia" w:ascii="宋体" w:hAnsi="宋体" w:cs="宋体"/>
          <w:color w:val="auto"/>
          <w:sz w:val="24"/>
          <w:szCs w:val="21"/>
        </w:rPr>
      </w:pPr>
      <w:r>
        <w:rPr>
          <w:rFonts w:hint="eastAsia" w:ascii="宋体" w:hAnsi="宋体" w:cs="宋体"/>
          <w:color w:val="auto"/>
          <w:sz w:val="24"/>
          <w:szCs w:val="21"/>
        </w:rPr>
      </w:r>
      <w:r/>
    </w:p>
    <w:p>
      <w:pPr>
        <w:ind w:firstLine="480"/>
        <w:spacing w:line="440" w:lineRule="exact"/>
        <w:rPr>
          <w:rFonts w:hint="eastAsia" w:ascii="宋体" w:hAnsi="宋体" w:cs="宋体"/>
          <w:color w:val="auto"/>
          <w:sz w:val="24"/>
          <w:szCs w:val="21"/>
        </w:rPr>
      </w:pPr>
      <w:r>
        <w:rPr>
          <w:rFonts w:hint="eastAsia" w:ascii="宋体" w:hAnsi="宋体" w:cs="宋体"/>
          <w:color w:val="auto"/>
          <w:sz w:val="24"/>
          <w:szCs w:val="21"/>
        </w:rPr>
      </w:r>
      <w:r/>
    </w:p>
    <w:p>
      <w:pPr>
        <w:pStyle w:val="801"/>
        <w:ind w:firstLine="320"/>
        <w:spacing w:before="0" w:after="0" w:line="520" w:lineRule="exact"/>
        <w:rPr>
          <w:rFonts w:hint="eastAsia" w:ascii="宋体" w:hAnsi="宋体" w:eastAsia="宋体" w:cs="宋体"/>
          <w:color w:val="auto"/>
        </w:rPr>
      </w:pPr>
      <w:r>
        <w:rPr>
          <w:rFonts w:hint="eastAsia" w:ascii="宋体" w:hAnsi="宋体" w:eastAsia="宋体" w:cs="宋体"/>
          <w:color w:val="auto"/>
        </w:rPr>
        <w:t xml:space="preserve">一、磋商响应函</w:t>
      </w:r>
      <w:r/>
    </w:p>
    <w:p>
      <w:pPr>
        <w:pStyle w:val="1039"/>
        <w:jc w:val="center"/>
        <w:rPr>
          <w:rFonts w:hint="eastAsia" w:ascii="宋体" w:hAnsi="宋体" w:eastAsia="宋体" w:cs="宋体"/>
          <w:color w:val="auto"/>
          <w:sz w:val="24"/>
        </w:rPr>
      </w:pPr>
      <w:r>
        <w:rPr>
          <w:rFonts w:hint="eastAsia" w:ascii="宋体" w:hAnsi="宋体" w:eastAsia="宋体" w:cs="宋体"/>
          <w:color w:val="auto"/>
          <w:sz w:val="24"/>
        </w:rPr>
      </w:r>
      <w:r/>
    </w:p>
    <w:p>
      <w:pPr>
        <w:pStyle w:val="1039"/>
        <w:jc w:val="center"/>
        <w:rPr>
          <w:rFonts w:hint="eastAsia" w:ascii="宋体" w:hAnsi="宋体" w:eastAsia="宋体" w:cs="宋体"/>
          <w:b w:val="0"/>
          <w:bCs/>
          <w:color w:val="auto"/>
          <w:szCs w:val="32"/>
        </w:rPr>
      </w:pPr>
      <w:r>
        <w:rPr>
          <w:rFonts w:hint="eastAsia" w:ascii="宋体" w:hAnsi="宋体" w:eastAsia="宋体" w:cs="宋体"/>
          <w:b w:val="0"/>
          <w:bCs/>
          <w:color w:val="auto"/>
          <w:szCs w:val="32"/>
        </w:rPr>
        <w:t xml:space="preserve">磋商响应函</w:t>
      </w:r>
      <w:r/>
    </w:p>
    <w:p>
      <w:pPr>
        <w:pStyle w:val="1039"/>
        <w:spacing w:line="500" w:lineRule="exact"/>
        <w:rPr>
          <w:rFonts w:hint="eastAsia" w:ascii="宋体" w:hAnsi="宋体" w:eastAsia="宋体" w:cs="宋体"/>
          <w:b w:val="0"/>
          <w:bCs/>
          <w:color w:val="auto"/>
          <w:sz w:val="24"/>
        </w:rPr>
      </w:pPr>
      <w:r>
        <w:rPr>
          <w:rFonts w:hint="eastAsia" w:ascii="宋体" w:hAnsi="宋体" w:eastAsia="宋体" w:cs="宋体"/>
          <w:b w:val="0"/>
          <w:bCs/>
          <w:color w:val="auto"/>
          <w:sz w:val="24"/>
          <w:u w:val="single"/>
        </w:rPr>
        <w:t xml:space="preserve">宿迁市城市管理局、宿迁市楚润数据集团有限公司</w:t>
      </w:r>
      <w:r>
        <w:rPr>
          <w:rFonts w:hint="eastAsia" w:ascii="宋体" w:hAnsi="宋体" w:eastAsia="宋体" w:cs="宋体"/>
          <w:b w:val="0"/>
          <w:bCs/>
          <w:color w:val="auto"/>
          <w:sz w:val="24"/>
        </w:rPr>
        <w:t xml:space="preserve">：</w:t>
      </w:r>
      <w:r/>
    </w:p>
    <w:p>
      <w:pPr>
        <w:pStyle w:val="1039"/>
        <w:ind w:firstLine="480"/>
        <w:spacing w:line="500" w:lineRule="exact"/>
        <w:rPr>
          <w:rFonts w:hint="eastAsia" w:ascii="宋体" w:hAnsi="宋体" w:eastAsia="宋体" w:cs="宋体"/>
          <w:b w:val="0"/>
          <w:bCs/>
          <w:color w:val="auto"/>
          <w:sz w:val="24"/>
        </w:rPr>
      </w:pPr>
      <w:r>
        <w:rPr>
          <w:rFonts w:hint="eastAsia" w:ascii="宋体" w:hAnsi="宋体" w:eastAsia="宋体" w:cs="宋体"/>
          <w:b w:val="0"/>
          <w:bCs/>
          <w:color w:val="auto"/>
          <w:sz w:val="24"/>
        </w:rPr>
        <w:t xml:space="preserve">根据</w:t>
      </w:r>
      <w:r>
        <w:rPr>
          <w:rFonts w:hint="eastAsia" w:ascii="宋体" w:hAnsi="宋体" w:eastAsia="宋体" w:cs="宋体"/>
          <w:b w:val="0"/>
          <w:bCs/>
          <w:color w:val="auto"/>
          <w:sz w:val="24"/>
          <w:u w:val="single"/>
          <w:lang w:eastAsia="zh-CN"/>
        </w:rPr>
        <w:t xml:space="preserve">JSZC-321300-JSQZ-C2026-0012</w:t>
      </w:r>
      <w:r>
        <w:rPr>
          <w:rFonts w:hint="eastAsia" w:ascii="宋体" w:hAnsi="宋体" w:eastAsia="宋体" w:cs="宋体"/>
          <w:b w:val="0"/>
          <w:bCs/>
          <w:color w:val="auto"/>
          <w:sz w:val="24"/>
        </w:rPr>
        <w:t xml:space="preserve">的</w:t>
      </w:r>
      <w:r>
        <w:rPr>
          <w:rFonts w:hint="eastAsia" w:ascii="宋体" w:hAnsi="宋体" w:eastAsia="宋体" w:cs="宋体"/>
          <w:b w:val="0"/>
          <w:bCs/>
          <w:color w:val="auto"/>
          <w:sz w:val="24"/>
          <w:u w:val="single"/>
        </w:rPr>
        <w:t xml:space="preserve">2026年宿迁市城管局智能城管运维项目</w:t>
      </w:r>
      <w:r>
        <w:rPr>
          <w:rFonts w:hint="eastAsia" w:ascii="宋体" w:hAnsi="宋体" w:eastAsia="宋体" w:cs="宋体"/>
          <w:b w:val="0"/>
          <w:bCs/>
          <w:color w:val="auto"/>
          <w:sz w:val="24"/>
        </w:rPr>
        <w:t xml:space="preserve">竞争性磋商文件，我方在参加本项目竞争性磋商活动中，特作出如下承诺：</w:t>
      </w:r>
      <w:r/>
    </w:p>
    <w:p>
      <w:pPr>
        <w:pStyle w:val="1039"/>
        <w:ind w:firstLine="480"/>
        <w:spacing w:line="500" w:lineRule="exact"/>
        <w:rPr>
          <w:rFonts w:hint="eastAsia" w:ascii="宋体" w:hAnsi="宋体" w:eastAsia="宋体" w:cs="宋体"/>
          <w:b w:val="0"/>
          <w:bCs/>
          <w:color w:val="auto"/>
          <w:sz w:val="24"/>
        </w:rPr>
      </w:pPr>
      <w:r>
        <w:rPr>
          <w:rFonts w:hint="eastAsia" w:ascii="宋体" w:hAnsi="宋体" w:eastAsia="宋体" w:cs="宋体"/>
          <w:b w:val="0"/>
          <w:bCs/>
          <w:color w:val="auto"/>
          <w:sz w:val="24"/>
        </w:rPr>
        <w:t xml:space="preserve">一、我方具备《中华人民共和国政府采购法》第二十二条第一款规定的6项条件；</w:t>
      </w:r>
      <w:r/>
    </w:p>
    <w:p>
      <w:pPr>
        <w:pStyle w:val="1039"/>
        <w:ind w:firstLine="480"/>
        <w:spacing w:line="500" w:lineRule="exact"/>
        <w:rPr>
          <w:rFonts w:hint="eastAsia" w:ascii="宋体" w:hAnsi="宋体" w:eastAsia="宋体" w:cs="宋体"/>
          <w:b w:val="0"/>
          <w:bCs/>
          <w:color w:val="auto"/>
          <w:sz w:val="24"/>
        </w:rPr>
      </w:pPr>
      <w:r>
        <w:rPr>
          <w:rFonts w:hint="eastAsia" w:ascii="宋体" w:hAnsi="宋体" w:eastAsia="宋体" w:cs="宋体"/>
          <w:b w:val="0"/>
          <w:bCs/>
          <w:color w:val="auto"/>
          <w:sz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039"/>
        <w:ind w:firstLine="480"/>
        <w:spacing w:line="500" w:lineRule="exact"/>
        <w:rPr>
          <w:rFonts w:hint="eastAsia" w:ascii="宋体" w:hAnsi="宋体" w:eastAsia="宋体" w:cs="宋体"/>
          <w:b w:val="0"/>
          <w:bCs/>
          <w:color w:val="auto"/>
          <w:sz w:val="24"/>
        </w:rPr>
      </w:pPr>
      <w:r>
        <w:rPr>
          <w:rFonts w:hint="eastAsia" w:ascii="宋体" w:hAnsi="宋体" w:eastAsia="宋体" w:cs="宋体"/>
          <w:b w:val="0"/>
          <w:bCs/>
          <w:color w:val="auto"/>
          <w:sz w:val="24"/>
        </w:rPr>
        <w:t xml:space="preserve">三、我方按磋商文件要求提交响应文件，响应磋商文件规定的响应有效期；</w:t>
      </w:r>
      <w:r/>
    </w:p>
    <w:p>
      <w:pPr>
        <w:pStyle w:val="1039"/>
        <w:ind w:firstLine="480"/>
        <w:spacing w:line="500" w:lineRule="exact"/>
        <w:rPr>
          <w:rFonts w:hint="eastAsia" w:ascii="宋体" w:hAnsi="宋体" w:eastAsia="宋体" w:cs="宋体"/>
          <w:b w:val="0"/>
          <w:bCs/>
          <w:color w:val="auto"/>
          <w:sz w:val="24"/>
        </w:rPr>
      </w:pPr>
      <w:r>
        <w:rPr>
          <w:rFonts w:hint="eastAsia" w:ascii="宋体" w:hAnsi="宋体" w:eastAsia="宋体" w:cs="宋体"/>
          <w:b w:val="0"/>
          <w:bCs/>
          <w:color w:val="auto"/>
          <w:sz w:val="24"/>
        </w:rPr>
        <w:t xml:space="preserve">四、如果我方的响应文件被接受，我方将按《中华人民共和国民法典（第三编合同）》及其他有关法律、法规的规定，按期、按质、按量交付采购单位，全面做到履约守信；</w:t>
      </w:r>
      <w:r/>
    </w:p>
    <w:p>
      <w:pPr>
        <w:pStyle w:val="1039"/>
        <w:ind w:firstLine="480"/>
        <w:spacing w:line="500" w:lineRule="exact"/>
        <w:rPr>
          <w:rFonts w:hint="eastAsia" w:ascii="宋体" w:hAnsi="宋体" w:eastAsia="宋体" w:cs="宋体"/>
          <w:b w:val="0"/>
          <w:bCs/>
          <w:color w:val="auto"/>
          <w:sz w:val="24"/>
        </w:rPr>
      </w:pPr>
      <w:r>
        <w:rPr>
          <w:rFonts w:hint="eastAsia" w:ascii="宋体" w:hAnsi="宋体" w:eastAsia="宋体" w:cs="宋体"/>
          <w:b w:val="0"/>
          <w:bCs/>
          <w:color w:val="auto"/>
          <w:sz w:val="24"/>
        </w:rPr>
        <w:t xml:space="preserve">五、我方若违背本声明及承诺约定，经查实，自愿接受采购人及相关主管部门相应的规定处理，并依法承担相应的法律责任。</w:t>
      </w:r>
      <w:r/>
    </w:p>
    <w:p>
      <w:pPr>
        <w:pStyle w:val="1039"/>
        <w:ind w:firstLine="480"/>
        <w:spacing w:line="500" w:lineRule="exact"/>
        <w:rPr>
          <w:rFonts w:hint="eastAsia" w:ascii="宋体" w:hAnsi="宋体" w:eastAsia="宋体" w:cs="宋体"/>
          <w:b w:val="0"/>
          <w:bCs/>
          <w:color w:val="auto"/>
          <w:sz w:val="24"/>
        </w:rPr>
      </w:pPr>
      <w:r>
        <w:rPr>
          <w:rFonts w:hint="eastAsia" w:ascii="宋体" w:hAnsi="宋体" w:eastAsia="宋体" w:cs="宋体"/>
          <w:b w:val="0"/>
          <w:bCs/>
          <w:color w:val="auto"/>
          <w:sz w:val="24"/>
        </w:rPr>
        <w:t xml:space="preserve">六、我方同意采购人、采购代理机构将本函上网公开。</w:t>
      </w:r>
      <w:r/>
    </w:p>
    <w:p>
      <w:pPr>
        <w:pStyle w:val="1039"/>
        <w:ind w:firstLine="480"/>
        <w:spacing w:line="500" w:lineRule="exact"/>
        <w:rPr>
          <w:rFonts w:hint="eastAsia" w:ascii="宋体" w:hAnsi="宋体" w:eastAsia="宋体" w:cs="宋体"/>
          <w:b w:val="0"/>
          <w:bCs/>
          <w:color w:val="auto"/>
          <w:sz w:val="24"/>
        </w:rPr>
      </w:pPr>
      <w:r>
        <w:rPr>
          <w:rFonts w:hint="eastAsia" w:ascii="宋体" w:hAnsi="宋体" w:eastAsia="宋体" w:cs="宋体"/>
          <w:b w:val="0"/>
          <w:bCs/>
          <w:color w:val="auto"/>
          <w:sz w:val="24"/>
        </w:rPr>
      </w:r>
      <w:r/>
    </w:p>
    <w:p>
      <w:pPr>
        <w:pStyle w:val="1039"/>
        <w:ind w:firstLine="480"/>
        <w:spacing w:line="500" w:lineRule="exact"/>
        <w:rPr>
          <w:rFonts w:hint="eastAsia" w:ascii="宋体" w:hAnsi="宋体" w:eastAsia="宋体" w:cs="宋体"/>
          <w:b w:val="0"/>
          <w:bCs/>
          <w:color w:val="auto"/>
          <w:sz w:val="24"/>
        </w:rPr>
      </w:pPr>
      <w:r>
        <w:rPr>
          <w:rFonts w:hint="eastAsia" w:ascii="宋体" w:hAnsi="宋体" w:eastAsia="宋体" w:cs="宋体"/>
          <w:b w:val="0"/>
          <w:bCs/>
          <w:color w:val="auto"/>
          <w:sz w:val="24"/>
        </w:rPr>
      </w:r>
      <w:r/>
    </w:p>
    <w:p>
      <w:pPr>
        <w:pStyle w:val="1039"/>
        <w:ind w:firstLine="480"/>
        <w:spacing w:line="500" w:lineRule="exact"/>
        <w:rPr>
          <w:rFonts w:hint="eastAsia" w:ascii="宋体" w:hAnsi="宋体" w:eastAsia="宋体" w:cs="宋体"/>
          <w:b w:val="0"/>
          <w:bCs/>
          <w:color w:val="auto"/>
          <w:sz w:val="24"/>
        </w:rPr>
      </w:pPr>
      <w:r>
        <w:rPr>
          <w:rFonts w:hint="eastAsia" w:ascii="宋体" w:hAnsi="宋体" w:eastAsia="宋体" w:cs="宋体"/>
          <w:b w:val="0"/>
          <w:bCs/>
          <w:color w:val="auto"/>
          <w:sz w:val="24"/>
        </w:rPr>
        <w:t xml:space="preserve">供应商名称： （盖CA电子公章）</w:t>
      </w:r>
      <w:r/>
    </w:p>
    <w:p>
      <w:pPr>
        <w:pStyle w:val="1039"/>
        <w:ind w:firstLine="480"/>
        <w:spacing w:line="500" w:lineRule="exact"/>
        <w:rPr>
          <w:rFonts w:hint="eastAsia" w:ascii="宋体" w:hAnsi="宋体" w:eastAsia="宋体" w:cs="宋体"/>
          <w:b w:val="0"/>
          <w:bCs/>
          <w:color w:val="auto"/>
          <w:sz w:val="24"/>
        </w:rPr>
      </w:pPr>
      <w:r>
        <w:rPr>
          <w:rFonts w:hint="eastAsia" w:ascii="宋体" w:hAnsi="宋体" w:eastAsia="宋体" w:cs="宋体"/>
          <w:b w:val="0"/>
          <w:bCs/>
          <w:color w:val="auto"/>
          <w:sz w:val="24"/>
        </w:rPr>
        <w:t xml:space="preserve">日期：    年    月   日</w:t>
      </w:r>
      <w:r/>
    </w:p>
    <w:p>
      <w:pPr>
        <w:ind w:firstLine="480"/>
        <w:spacing w:line="440" w:lineRule="exact"/>
        <w:rPr>
          <w:rFonts w:hint="eastAsia" w:ascii="宋体" w:hAnsi="宋体" w:cs="宋体"/>
          <w:color w:val="auto"/>
          <w:sz w:val="24"/>
          <w:szCs w:val="24"/>
        </w:rPr>
      </w:pPr>
      <w:r>
        <w:rPr>
          <w:rFonts w:hint="eastAsia" w:ascii="宋体" w:hAnsi="宋体" w:cs="宋体"/>
          <w:color w:val="auto"/>
          <w:sz w:val="24"/>
          <w:szCs w:val="24"/>
        </w:rPr>
      </w:r>
      <w:r/>
    </w:p>
    <w:p>
      <w:pPr>
        <w:spacing w:line="440" w:lineRule="exact"/>
        <w:rPr>
          <w:rFonts w:hint="eastAsia" w:ascii="宋体" w:hAnsi="宋体" w:cs="宋体"/>
          <w:color w:val="auto"/>
          <w:sz w:val="24"/>
          <w:szCs w:val="24"/>
        </w:rPr>
      </w:pPr>
      <w:r>
        <w:rPr>
          <w:rFonts w:hint="eastAsia" w:ascii="宋体" w:hAnsi="宋体" w:cs="宋体"/>
          <w:color w:val="auto"/>
          <w:sz w:val="24"/>
          <w:szCs w:val="24"/>
        </w:rPr>
      </w:r>
      <w:r/>
    </w:p>
    <w:p>
      <w:pPr>
        <w:rPr>
          <w:rFonts w:hint="eastAsia" w:ascii="宋体" w:hAnsi="宋体" w:cs="宋体"/>
          <w:color w:val="auto"/>
        </w:rPr>
      </w:pPr>
      <w:r>
        <w:rPr>
          <w:rFonts w:hint="eastAsia" w:ascii="宋体" w:hAnsi="宋体" w:cs="宋体"/>
          <w:b/>
          <w:bCs/>
          <w:color w:val="auto"/>
          <w:sz w:val="32"/>
          <w:szCs w:val="32"/>
        </w:rPr>
        <w:br w:type="page" w:clear="all"/>
      </w:r>
      <w:r/>
    </w:p>
    <w:p>
      <w:pPr>
        <w:pStyle w:val="1037"/>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二、</w:t>
      </w:r>
      <w:r>
        <w:rPr>
          <w:rFonts w:hint="eastAsia" w:ascii="宋体" w:hAnsi="宋体" w:eastAsia="宋体" w:cs="宋体"/>
          <w:b/>
          <w:color w:val="auto"/>
          <w:sz w:val="32"/>
          <w:szCs w:val="32"/>
          <w:highlight w:val="none"/>
          <w:lang w:eastAsia="zh-CN"/>
        </w:rPr>
        <w:t xml:space="preserve">响应单位</w:t>
      </w:r>
      <w:r>
        <w:rPr>
          <w:rFonts w:hint="eastAsia" w:ascii="宋体" w:hAnsi="宋体" w:eastAsia="宋体" w:cs="宋体"/>
          <w:b/>
          <w:color w:val="auto"/>
          <w:sz w:val="32"/>
          <w:szCs w:val="32"/>
          <w:highlight w:val="none"/>
        </w:rPr>
        <w:t xml:space="preserve">基本情况</w:t>
      </w:r>
      <w:r/>
    </w:p>
    <w:p>
      <w:pPr>
        <w:pStyle w:val="1035"/>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响应单位基本情况表</w:t>
      </w:r>
      <w:r/>
    </w:p>
    <w:tbl>
      <w:tblPr>
        <w:tblStyle w:val="810"/>
        <w:tblpPr w:horzAnchor="page" w:tblpX="1560" w:vertAnchor="text" w:tblpY="50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6998"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投标人类别</w:t>
            </w:r>
            <w:r/>
          </w:p>
        </w:tc>
        <w:tc>
          <w:tcPr>
            <w:gridSpan w:val="3"/>
            <w:tcW w:w="6998"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1526"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1035"/>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376"/>
        </w:trPr>
        <w:tc>
          <w:tcPr>
            <w:tcW w:w="1526" w:type="dxa"/>
            <w:vAlign w:val="center"/>
            <w:textDirection w:val="lrTb"/>
            <w:noWrap w:val="false"/>
          </w:tcPr>
          <w:p>
            <w:pPr>
              <w:pStyle w:val="103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vAlign w:val="top"/>
            <w:textDirection w:val="lrTb"/>
            <w:noWrap w:val="false"/>
          </w:tcPr>
          <w:p>
            <w:pPr>
              <w:pStyle w:val="1035"/>
              <w:ind w:firstLine="1432"/>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34"/>
        </w:trPr>
        <w:tc>
          <w:tcPr>
            <w:tcW w:w="1526" w:type="dxa"/>
            <w:vAlign w:val="center"/>
            <w:textDirection w:val="lrTb"/>
            <w:noWrap w:val="false"/>
          </w:tcPr>
          <w:p>
            <w:pPr>
              <w:pStyle w:val="1035"/>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1035"/>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01"/>
        <w:ind w:firstLine="320"/>
        <w:spacing w:before="0" w:after="0" w:line="520" w:lineRule="exac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注：基本情况表后附营业执照</w:t>
      </w:r>
      <w:r/>
    </w:p>
    <w:p>
      <w:pPr>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r>
      <w:r/>
    </w:p>
    <w:p>
      <w:pPr>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r>
      <w:r/>
    </w:p>
    <w:p>
      <w:pPr>
        <w:pStyle w:val="801"/>
        <w:ind w:firstLine="320"/>
        <w:spacing w:before="0" w:after="0" w:line="520" w:lineRule="exact"/>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01"/>
        <w:ind w:firstLine="320"/>
        <w:spacing w:before="0" w:after="0" w:line="520" w:lineRule="exact"/>
        <w:rPr>
          <w:rFonts w:hint="eastAsia" w:ascii="宋体" w:hAnsi="宋体" w:eastAsia="宋体" w:cs="宋体"/>
          <w:color w:val="auto"/>
        </w:rPr>
      </w:pPr>
      <w:r>
        <w:rPr>
          <w:rFonts w:hint="eastAsia" w:ascii="宋体" w:hAnsi="宋体" w:eastAsia="宋体" w:cs="宋体"/>
          <w:color w:val="auto"/>
          <w:lang w:val="en-US" w:eastAsia="zh-CN"/>
        </w:rPr>
        <w:t xml:space="preserve">三</w:t>
      </w:r>
      <w:r>
        <w:rPr>
          <w:rFonts w:hint="eastAsia" w:ascii="宋体" w:hAnsi="宋体" w:eastAsia="宋体" w:cs="宋体"/>
          <w:color w:val="auto"/>
        </w:rPr>
        <w:t xml:space="preserve">、法人授权书</w:t>
      </w:r>
      <w:r/>
    </w:p>
    <w:p>
      <w:pPr>
        <w:pStyle w:val="1039"/>
        <w:jc w:val="center"/>
        <w:rPr>
          <w:rFonts w:hint="eastAsia" w:ascii="宋体" w:hAnsi="宋体" w:eastAsia="宋体" w:cs="宋体"/>
          <w:b w:val="0"/>
          <w:bCs/>
          <w:color w:val="auto"/>
          <w:szCs w:val="32"/>
        </w:rPr>
      </w:pPr>
      <w:r>
        <w:rPr>
          <w:rFonts w:hint="eastAsia" w:ascii="宋体" w:hAnsi="宋体" w:eastAsia="宋体" w:cs="宋体"/>
          <w:b w:val="0"/>
          <w:bCs/>
          <w:color w:val="auto"/>
          <w:szCs w:val="32"/>
        </w:rPr>
        <w:t xml:space="preserve">法人授权书</w:t>
      </w:r>
      <w:r/>
    </w:p>
    <w:p>
      <w:pPr>
        <w:pStyle w:val="1039"/>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pStyle w:val="1039"/>
        <w:ind w:firstLine="480"/>
        <w:spacing w:line="500" w:lineRule="exact"/>
        <w:rPr>
          <w:rFonts w:hint="eastAsia" w:ascii="宋体" w:hAnsi="宋体" w:eastAsia="宋体" w:cs="宋体"/>
          <w:b w:val="0"/>
          <w:bCs/>
          <w:color w:val="auto"/>
          <w:sz w:val="24"/>
        </w:rPr>
      </w:pPr>
      <w:r>
        <w:rPr>
          <w:rFonts w:hint="eastAsia" w:ascii="宋体" w:hAnsi="宋体" w:eastAsia="宋体" w:cs="宋体"/>
          <w:b w:val="0"/>
          <w:bCs/>
          <w:color w:val="auto"/>
          <w:sz w:val="24"/>
        </w:rPr>
        <w:t xml:space="preserve">本授权书声明：____________（供应商名称）授权________________（被授权人的姓名）为我方就</w:t>
      </w:r>
      <w:r>
        <w:rPr>
          <w:rFonts w:hint="eastAsia" w:ascii="宋体" w:hAnsi="宋体" w:eastAsia="宋体" w:cs="宋体"/>
          <w:b w:val="0"/>
          <w:bCs/>
          <w:color w:val="auto"/>
          <w:sz w:val="24"/>
          <w:u w:val="single"/>
          <w:lang w:eastAsia="zh-CN"/>
        </w:rPr>
        <w:t xml:space="preserve">JSZC-321300-JSQZ-C2026-0012</w:t>
      </w:r>
      <w:r>
        <w:rPr>
          <w:rFonts w:hint="eastAsia" w:ascii="宋体" w:hAnsi="宋体" w:eastAsia="宋体" w:cs="宋体"/>
          <w:b w:val="0"/>
          <w:bCs/>
          <w:color w:val="auto"/>
          <w:sz w:val="24"/>
        </w:rPr>
        <w:t xml:space="preserve">号</w:t>
      </w:r>
      <w:r>
        <w:rPr>
          <w:rFonts w:hint="eastAsia" w:ascii="宋体" w:hAnsi="宋体" w:eastAsia="宋体" w:cs="宋体"/>
          <w:b w:val="0"/>
          <w:bCs/>
          <w:color w:val="auto"/>
          <w:sz w:val="24"/>
          <w:u w:val="single"/>
        </w:rPr>
        <w:t xml:space="preserve">  2026年宿迁市城管局智能城管运维项目</w:t>
      </w:r>
      <w:r>
        <w:rPr>
          <w:rFonts w:hint="eastAsia" w:ascii="宋体" w:hAnsi="宋体" w:eastAsia="宋体" w:cs="宋体"/>
          <w:b w:val="0"/>
          <w:bCs/>
          <w:color w:val="auto"/>
          <w:sz w:val="24"/>
        </w:rPr>
        <w:t xml:space="preserve">采购活动的合法代理人，以本单位名义全权处理一切与该项目采购有关的事务。</w:t>
      </w:r>
      <w:r/>
    </w:p>
    <w:p>
      <w:pPr>
        <w:pStyle w:val="1039"/>
        <w:ind w:firstLine="480"/>
        <w:spacing w:line="500" w:lineRule="exact"/>
        <w:rPr>
          <w:rFonts w:hint="eastAsia" w:ascii="宋体" w:hAnsi="宋体" w:eastAsia="宋体" w:cs="宋体"/>
          <w:b w:val="0"/>
          <w:bCs/>
          <w:color w:val="auto"/>
          <w:sz w:val="24"/>
        </w:rPr>
      </w:pPr>
      <w:r>
        <w:rPr>
          <w:rFonts w:hint="eastAsia" w:ascii="宋体" w:hAnsi="宋体" w:eastAsia="宋体" w:cs="宋体"/>
          <w:b w:val="0"/>
          <w:bCs/>
          <w:color w:val="auto"/>
          <w:sz w:val="24"/>
        </w:rPr>
        <w:t xml:space="preserve">本授权书于______年____月____日起生效，特此声明。</w:t>
      </w:r>
      <w:r/>
    </w:p>
    <w:p>
      <w:pPr>
        <w:pStyle w:val="1039"/>
        <w:ind w:firstLine="480"/>
        <w:spacing w:line="500" w:lineRule="exact"/>
        <w:rPr>
          <w:rFonts w:hint="eastAsia" w:ascii="宋体" w:hAnsi="宋体" w:eastAsia="宋体" w:cs="宋体"/>
          <w:b w:val="0"/>
          <w:bCs/>
          <w:color w:val="auto"/>
          <w:sz w:val="24"/>
        </w:rPr>
      </w:pPr>
      <w:r>
        <w:rPr>
          <w:rFonts w:hint="eastAsia" w:ascii="宋体" w:hAnsi="宋体" w:eastAsia="宋体" w:cs="宋体"/>
          <w:b w:val="0"/>
          <w:bCs/>
          <w:color w:val="auto"/>
          <w:sz w:val="24"/>
        </w:rPr>
      </w:r>
      <w:r/>
    </w:p>
    <w:p>
      <w:pPr>
        <w:pStyle w:val="1039"/>
        <w:ind w:firstLine="480"/>
        <w:spacing w:line="500" w:lineRule="exact"/>
        <w:rPr>
          <w:rFonts w:hint="eastAsia" w:ascii="宋体" w:hAnsi="宋体" w:eastAsia="宋体" w:cs="宋体"/>
          <w:b w:val="0"/>
          <w:bCs/>
          <w:color w:val="auto"/>
          <w:sz w:val="24"/>
        </w:rPr>
      </w:pPr>
      <w:r>
        <w:rPr>
          <w:rFonts w:hint="eastAsia" w:ascii="宋体" w:hAnsi="宋体" w:eastAsia="宋体" w:cs="宋体"/>
          <w:b w:val="0"/>
          <w:bCs/>
          <w:color w:val="auto"/>
          <w:sz w:val="24"/>
        </w:rPr>
        <w:t xml:space="preserve">被授权人身份证号码：</w:t>
      </w:r>
      <w:r/>
    </w:p>
    <w:p>
      <w:pPr>
        <w:pStyle w:val="1039"/>
        <w:ind w:firstLine="480"/>
        <w:spacing w:line="500" w:lineRule="exact"/>
        <w:rPr>
          <w:rFonts w:hint="eastAsia" w:ascii="宋体" w:hAnsi="宋体" w:eastAsia="宋体" w:cs="宋体"/>
          <w:b w:val="0"/>
          <w:bCs/>
          <w:color w:val="auto"/>
          <w:sz w:val="24"/>
        </w:rPr>
      </w:pPr>
      <w:r>
        <w:rPr>
          <w:rFonts w:hint="eastAsia" w:ascii="宋体" w:hAnsi="宋体" w:eastAsia="宋体" w:cs="宋体"/>
          <w:b w:val="0"/>
          <w:bCs/>
          <w:color w:val="auto"/>
          <w:sz w:val="24"/>
        </w:rPr>
        <w:t xml:space="preserve">被授权人联系电话：（手机）</w:t>
      </w:r>
      <w:r/>
    </w:p>
    <w:p>
      <w:pPr>
        <w:pStyle w:val="1039"/>
        <w:ind w:firstLine="480"/>
        <w:spacing w:line="500" w:lineRule="exact"/>
        <w:rPr>
          <w:rFonts w:hint="eastAsia" w:ascii="宋体" w:hAnsi="宋体" w:eastAsia="宋体" w:cs="宋体"/>
          <w:b w:val="0"/>
          <w:bCs/>
          <w:color w:val="auto"/>
          <w:sz w:val="24"/>
        </w:rPr>
      </w:pPr>
      <w:r>
        <w:rPr>
          <w:rFonts w:hint="eastAsia" w:ascii="宋体" w:hAnsi="宋体" w:eastAsia="宋体" w:cs="宋体"/>
          <w:b w:val="0"/>
          <w:bCs/>
          <w:color w:val="auto"/>
          <w:sz w:val="24"/>
        </w:rPr>
        <w:t xml:space="preserve">授权单位名称：（盖CA电子公章）</w:t>
      </w:r>
      <w:r/>
    </w:p>
    <w:p>
      <w:pPr>
        <w:pStyle w:val="1039"/>
        <w:ind w:firstLine="480"/>
        <w:spacing w:line="500" w:lineRule="exact"/>
        <w:rPr>
          <w:rFonts w:hint="eastAsia" w:ascii="宋体" w:hAnsi="宋体" w:eastAsia="宋体" w:cs="宋体"/>
          <w:b w:val="0"/>
          <w:bCs/>
          <w:color w:val="auto"/>
          <w:sz w:val="24"/>
        </w:rPr>
      </w:pPr>
      <w:r>
        <w:rPr>
          <w:rFonts w:hint="eastAsia" w:ascii="宋体" w:hAnsi="宋体" w:eastAsia="宋体" w:cs="宋体"/>
          <w:b w:val="0"/>
          <w:bCs/>
          <w:color w:val="auto"/>
          <w:sz w:val="24"/>
        </w:rPr>
        <w:t xml:space="preserve">单位地址：</w:t>
      </w:r>
      <w:r/>
    </w:p>
    <w:p>
      <w:pPr>
        <w:pStyle w:val="1039"/>
        <w:ind w:firstLine="480"/>
        <w:spacing w:line="500" w:lineRule="exact"/>
        <w:rPr>
          <w:rFonts w:hint="eastAsia" w:ascii="宋体" w:hAnsi="宋体" w:eastAsia="宋体" w:cs="宋体"/>
          <w:b w:val="0"/>
          <w:bCs/>
          <w:color w:val="auto"/>
          <w:sz w:val="24"/>
        </w:rPr>
      </w:pPr>
      <w:r>
        <w:rPr>
          <w:rFonts w:hint="eastAsia" w:ascii="宋体" w:hAnsi="宋体" w:eastAsia="宋体" w:cs="宋体"/>
          <w:b w:val="0"/>
          <w:bCs/>
          <w:color w:val="auto"/>
          <w:sz w:val="24"/>
        </w:rPr>
        <w:t xml:space="preserve">日期：</w:t>
      </w:r>
      <w:r/>
    </w:p>
    <w:p>
      <w:pPr>
        <w:spacing w:line="500" w:lineRule="exact"/>
        <w:rPr>
          <w:rFonts w:hint="eastAsia" w:ascii="宋体" w:hAnsi="宋体" w:cs="宋体"/>
          <w:bCs/>
          <w:color w:val="auto"/>
          <w:sz w:val="24"/>
          <w:szCs w:val="21"/>
        </w:rPr>
      </w:pPr>
      <w:r>
        <w:rPr>
          <w:rFonts w:hint="eastAsia" w:ascii="宋体" w:hAnsi="宋体" w:cs="宋体"/>
          <w:bCs/>
          <w:color w:val="auto"/>
          <w:sz w:val="24"/>
          <w:szCs w:val="21"/>
        </w:rPr>
      </w:r>
      <w:r/>
    </w:p>
    <w:p>
      <w:pPr>
        <w:ind w:firstLine="480"/>
        <w:tabs>
          <w:tab w:val="left" w:pos="360" w:leader="none"/>
        </w:tabs>
        <w:rPr>
          <w:rFonts w:hint="eastAsia" w:ascii="宋体" w:hAnsi="宋体" w:cs="宋体"/>
          <w:color w:val="auto"/>
          <w:sz w:val="24"/>
          <w:szCs w:val="24"/>
          <w:u w:val="single"/>
        </w:rPr>
      </w:pPr>
      <w:r>
        <w:rPr>
          <w:rFonts w:hint="eastAsia" w:ascii="宋体" w:hAnsi="宋体" w:cs="宋体"/>
          <w:color w:val="auto"/>
          <w:sz w:val="24"/>
          <w:szCs w:val="24"/>
          <w:u w:val="single"/>
        </w:rPr>
      </w:r>
      <w:r/>
    </w:p>
    <w:p>
      <w:pPr>
        <w:ind w:firstLine="480"/>
        <w:tabs>
          <w:tab w:val="left" w:pos="360" w:leader="none"/>
        </w:tabs>
        <w:rPr>
          <w:rFonts w:hint="eastAsia" w:ascii="宋体" w:hAnsi="宋体" w:cs="宋体"/>
          <w:color w:val="auto"/>
          <w:sz w:val="24"/>
          <w:szCs w:val="24"/>
        </w:rPr>
      </w:pPr>
      <w:r>
        <w:rPr>
          <w:rFonts w:hint="eastAsia" w:ascii="宋体" w:hAnsi="宋体" w:cs="宋体"/>
          <w:color w:val="auto"/>
          <w:sz w:val="24"/>
          <w:szCs w:val="24"/>
        </w:rPr>
      </w:r>
      <w:r/>
    </w:p>
    <w:p>
      <w:pPr>
        <w:pStyle w:val="1149"/>
        <w:ind w:firstLine="480"/>
        <w:rPr>
          <w:rFonts w:hint="eastAsia" w:ascii="宋体" w:hAnsi="宋体" w:eastAsia="宋体" w:cs="宋体"/>
          <w:bCs/>
          <w:i w:val="0"/>
          <w:color w:val="auto"/>
          <w:sz w:val="24"/>
          <w:szCs w:val="24"/>
          <w:u w:val="none"/>
          <w:lang w:val="en-US" w:eastAsia="zh-CN"/>
        </w:rPr>
      </w:pPr>
      <w:r>
        <w:rPr>
          <w:rFonts w:hint="eastAsia" w:ascii="宋体" w:hAnsi="宋体" w:eastAsia="宋体" w:cs="宋体"/>
          <w:bCs/>
          <w:i w:val="0"/>
          <w:color w:val="auto"/>
          <w:sz w:val="24"/>
          <w:szCs w:val="24"/>
          <w:u w:val="none"/>
          <w:lang w:val="en-US" w:eastAsia="zh-CN"/>
        </w:rPr>
        <w:t xml:space="preserve">附法人代表身份证正好反面：</w:t>
      </w:r>
      <w:r/>
    </w:p>
    <w:p>
      <w:pPr>
        <w:ind w:firstLine="240"/>
        <w:rPr>
          <w:rFonts w:hint="eastAsia" w:ascii="宋体" w:hAnsi="宋体" w:eastAsia="宋体" w:cs="宋体"/>
          <w:bCs/>
          <w:i w:val="0"/>
          <w:color w:val="auto"/>
          <w:sz w:val="24"/>
          <w:szCs w:val="24"/>
          <w:u w:val="none"/>
          <w:lang w:val="en-US" w:eastAsia="zh-CN"/>
        </w:rPr>
      </w:pPr>
      <w:r>
        <w:rPr>
          <w:rFonts w:hint="eastAsia" w:ascii="宋体" w:hAnsi="宋体" w:eastAsia="宋体" w:cs="宋体"/>
          <w:bCs/>
          <w:i w:val="0"/>
          <w:color w:val="auto"/>
          <w:sz w:val="24"/>
          <w:szCs w:val="24"/>
          <w:u w:val="none"/>
          <w:lang w:val="en-US" w:eastAsia="zh-CN"/>
        </w:rPr>
      </w:r>
      <w:r/>
    </w:p>
    <w:p>
      <w:pPr>
        <w:ind w:firstLine="240"/>
        <w:rPr>
          <w:rFonts w:hint="eastAsia" w:ascii="宋体" w:hAnsi="宋体" w:eastAsia="宋体" w:cs="宋体"/>
          <w:bCs/>
          <w:i w:val="0"/>
          <w:color w:val="auto"/>
          <w:sz w:val="24"/>
          <w:szCs w:val="24"/>
          <w:u w:val="none"/>
          <w:lang w:val="en-US" w:eastAsia="zh-CN"/>
        </w:rPr>
      </w:pPr>
      <w:r>
        <w:rPr>
          <w:rFonts w:hint="eastAsia" w:ascii="宋体" w:hAnsi="宋体" w:eastAsia="宋体" w:cs="宋体"/>
          <w:bCs/>
          <w:i w:val="0"/>
          <w:color w:val="auto"/>
          <w:sz w:val="24"/>
          <w:szCs w:val="24"/>
          <w:u w:val="none"/>
          <w:lang w:val="en-US" w:eastAsia="zh-CN"/>
        </w:rPr>
      </w:r>
      <w:r/>
    </w:p>
    <w:p>
      <w:pPr>
        <w:ind w:firstLine="240"/>
        <w:rPr>
          <w:rFonts w:hint="eastAsia" w:ascii="宋体" w:hAnsi="宋体" w:eastAsia="宋体" w:cs="宋体"/>
          <w:bCs/>
          <w:i w:val="0"/>
          <w:color w:val="auto"/>
          <w:sz w:val="24"/>
          <w:szCs w:val="24"/>
          <w:u w:val="none"/>
          <w:lang w:val="en-US" w:eastAsia="zh-CN"/>
        </w:rPr>
      </w:pPr>
      <w:r>
        <w:rPr>
          <w:rFonts w:hint="eastAsia" w:ascii="宋体" w:hAnsi="宋体" w:eastAsia="宋体" w:cs="宋体"/>
          <w:bCs/>
          <w:i w:val="0"/>
          <w:color w:val="auto"/>
          <w:sz w:val="24"/>
          <w:szCs w:val="24"/>
          <w:u w:val="none"/>
          <w:lang w:val="en-US" w:eastAsia="zh-CN"/>
        </w:rPr>
      </w:r>
      <w:r/>
    </w:p>
    <w:p>
      <w:pPr>
        <w:ind w:firstLine="240"/>
        <w:rPr>
          <w:rFonts w:hint="eastAsia" w:ascii="宋体" w:hAnsi="宋体" w:eastAsia="宋体" w:cs="宋体"/>
          <w:bCs/>
          <w:i w:val="0"/>
          <w:color w:val="auto"/>
          <w:sz w:val="24"/>
          <w:szCs w:val="24"/>
          <w:u w:val="none"/>
          <w:lang w:val="en-US" w:eastAsia="zh-CN"/>
        </w:rPr>
      </w:pPr>
      <w:r>
        <w:rPr>
          <w:rFonts w:hint="eastAsia" w:ascii="宋体" w:hAnsi="宋体" w:eastAsia="宋体" w:cs="宋体"/>
          <w:bCs/>
          <w:i w:val="0"/>
          <w:color w:val="auto"/>
          <w:sz w:val="24"/>
          <w:szCs w:val="24"/>
          <w:u w:val="none"/>
          <w:lang w:val="en-US" w:eastAsia="zh-CN"/>
        </w:rPr>
      </w:r>
      <w:r/>
    </w:p>
    <w:p>
      <w:pPr>
        <w:ind w:firstLine="240"/>
        <w:rPr>
          <w:rFonts w:hint="eastAsia" w:ascii="宋体" w:hAnsi="宋体" w:eastAsia="宋体" w:cs="宋体"/>
          <w:bCs/>
          <w:i w:val="0"/>
          <w:color w:val="auto"/>
          <w:sz w:val="24"/>
          <w:szCs w:val="24"/>
          <w:u w:val="none"/>
          <w:lang w:val="en-US" w:eastAsia="zh-CN"/>
        </w:rPr>
      </w:pPr>
      <w:r>
        <w:rPr>
          <w:rFonts w:hint="eastAsia" w:ascii="宋体" w:hAnsi="宋体" w:eastAsia="宋体" w:cs="宋体"/>
          <w:bCs/>
          <w:i w:val="0"/>
          <w:color w:val="auto"/>
          <w:sz w:val="24"/>
          <w:szCs w:val="24"/>
          <w:u w:val="none"/>
          <w:lang w:val="en-US" w:eastAsia="zh-CN"/>
        </w:rPr>
      </w:r>
      <w:r/>
    </w:p>
    <w:p>
      <w:pPr>
        <w:ind w:firstLine="240"/>
        <w:rPr>
          <w:rFonts w:hint="eastAsia" w:ascii="宋体" w:hAnsi="宋体" w:eastAsia="宋体" w:cs="宋体"/>
          <w:bCs/>
          <w:i w:val="0"/>
          <w:color w:val="auto"/>
          <w:sz w:val="24"/>
          <w:szCs w:val="24"/>
          <w:u w:val="none"/>
          <w:lang w:val="en-US" w:eastAsia="zh-CN"/>
        </w:rPr>
      </w:pPr>
      <w:r>
        <w:rPr>
          <w:rFonts w:hint="eastAsia" w:ascii="宋体" w:hAnsi="宋体" w:eastAsia="宋体" w:cs="宋体"/>
          <w:bCs/>
          <w:i w:val="0"/>
          <w:color w:val="auto"/>
          <w:sz w:val="24"/>
          <w:szCs w:val="24"/>
          <w:u w:val="none"/>
          <w:lang w:val="en-US" w:eastAsia="zh-CN"/>
        </w:rPr>
      </w:r>
      <w:r/>
    </w:p>
    <w:p>
      <w:pPr>
        <w:ind w:firstLine="480"/>
        <w:rPr>
          <w:rFonts w:hint="eastAsia" w:ascii="宋体" w:hAnsi="宋体" w:eastAsia="宋体" w:cs="宋体"/>
          <w:bCs/>
          <w:color w:val="auto"/>
          <w:sz w:val="24"/>
          <w:szCs w:val="24"/>
          <w:lang w:val="en-US" w:eastAsia="zh-CN"/>
        </w:rPr>
      </w:pPr>
      <w:r>
        <w:rPr>
          <w:rFonts w:hint="eastAsia" w:ascii="宋体" w:hAnsi="宋体" w:eastAsia="宋体" w:cs="宋体"/>
          <w:bCs/>
          <w:i w:val="0"/>
          <w:color w:val="auto"/>
          <w:sz w:val="24"/>
          <w:szCs w:val="24"/>
          <w:u w:val="none"/>
          <w:lang w:val="en-US" w:eastAsia="zh-CN"/>
        </w:rPr>
        <w:t xml:space="preserve">附被授权人身份证正反面：</w:t>
      </w:r>
      <w:r/>
    </w:p>
    <w:p>
      <w:pPr>
        <w:ind w:firstLine="420"/>
        <w:rPr>
          <w:rFonts w:hint="eastAsia" w:ascii="宋体" w:hAnsi="宋体" w:cs="宋体"/>
          <w:i/>
          <w:color w:val="auto"/>
          <w:sz w:val="24"/>
          <w:szCs w:val="24"/>
          <w:u w:val="single"/>
        </w:rPr>
      </w:pPr>
      <w:r>
        <w:rPr>
          <w:rFonts w:hint="eastAsia" w:ascii="宋体" w:hAnsi="宋体" w:cs="宋体"/>
          <w:i/>
          <w:color w:val="auto"/>
          <w:sz w:val="24"/>
          <w:szCs w:val="24"/>
          <w:u w:val="single"/>
        </w:rPr>
      </w:r>
      <w:r/>
    </w:p>
    <w:p>
      <w:pPr>
        <w:rPr>
          <w:rFonts w:hint="eastAsia" w:ascii="宋体" w:hAnsi="宋体" w:cs="宋体"/>
          <w:color w:val="auto"/>
          <w:szCs w:val="21"/>
        </w:rPr>
      </w:pPr>
      <w:r>
        <w:rPr>
          <w:rFonts w:hint="eastAsia" w:ascii="宋体" w:hAnsi="宋体" w:cs="宋体"/>
          <w:color w:val="auto"/>
          <w:szCs w:val="21"/>
        </w:rPr>
      </w:r>
      <w:r/>
    </w:p>
    <w:p>
      <w:pPr>
        <w:jc w:val="left"/>
        <w:spacing w:line="560" w:lineRule="exact"/>
        <w:rPr>
          <w:rFonts w:hint="eastAsia" w:ascii="宋体" w:hAnsi="宋体" w:cs="宋体"/>
          <w:b/>
          <w:color w:val="auto"/>
          <w:sz w:val="24"/>
          <w:szCs w:val="44"/>
        </w:rPr>
      </w:pPr>
      <w:r>
        <w:rPr>
          <w:rFonts w:hint="eastAsia" w:ascii="宋体" w:hAnsi="宋体" w:cs="宋体"/>
          <w:b/>
          <w:color w:val="auto"/>
          <w:sz w:val="24"/>
          <w:szCs w:val="44"/>
        </w:rPr>
      </w:r>
      <w:r/>
    </w:p>
    <w:p>
      <w:pPr>
        <w:jc w:val="left"/>
        <w:spacing w:line="560" w:lineRule="exact"/>
        <w:rPr>
          <w:rFonts w:hint="eastAsia" w:ascii="宋体" w:hAnsi="宋体" w:cs="宋体"/>
          <w:color w:val="auto"/>
          <w:sz w:val="24"/>
          <w:szCs w:val="24"/>
        </w:rPr>
      </w:pPr>
      <w:r>
        <w:rPr>
          <w:rFonts w:hint="eastAsia" w:ascii="宋体" w:hAnsi="宋体" w:cs="宋体"/>
          <w:color w:val="auto"/>
          <w:sz w:val="24"/>
          <w:szCs w:val="24"/>
        </w:rPr>
      </w:r>
      <w:r/>
    </w:p>
    <w:p>
      <w:pPr>
        <w:jc w:val="center"/>
        <w:spacing w:line="460" w:lineRule="exact"/>
        <w:rPr>
          <w:rFonts w:hint="eastAsia" w:ascii="宋体" w:hAnsi="宋体" w:cs="宋体"/>
          <w:b/>
          <w:color w:val="auto"/>
          <w:sz w:val="32"/>
          <w:szCs w:val="32"/>
        </w:rPr>
      </w:pPr>
      <w:r>
        <w:rPr>
          <w:rFonts w:hint="eastAsia" w:ascii="宋体" w:hAnsi="宋体" w:cs="宋体"/>
          <w:b/>
          <w:color w:val="auto"/>
          <w:sz w:val="32"/>
          <w:szCs w:val="32"/>
        </w:rPr>
      </w:r>
      <w:r/>
    </w:p>
    <w:p>
      <w:pPr>
        <w:jc w:val="center"/>
        <w:spacing w:line="460" w:lineRule="exact"/>
        <w:rPr>
          <w:rFonts w:hint="eastAsia" w:ascii="宋体" w:hAnsi="宋体" w:cs="宋体"/>
          <w:b/>
          <w:color w:val="auto"/>
          <w:sz w:val="32"/>
          <w:szCs w:val="32"/>
        </w:rPr>
      </w:pPr>
      <w:r>
        <w:rPr>
          <w:rFonts w:hint="eastAsia" w:ascii="宋体" w:hAnsi="宋体" w:cs="宋体"/>
          <w:b/>
          <w:color w:val="auto"/>
          <w:sz w:val="32"/>
          <w:szCs w:val="32"/>
        </w:rPr>
      </w:r>
      <w:r/>
    </w:p>
    <w:p>
      <w:pPr>
        <w:spacing w:line="460" w:lineRule="exact"/>
        <w:rPr>
          <w:rFonts w:hint="eastAsia" w:ascii="宋体" w:hAnsi="宋体" w:cs="宋体"/>
          <w:b/>
          <w:color w:val="auto"/>
          <w:sz w:val="32"/>
          <w:szCs w:val="32"/>
        </w:rPr>
      </w:pPr>
      <w:r>
        <w:rPr>
          <w:rFonts w:hint="eastAsia" w:ascii="宋体" w:hAnsi="宋体" w:cs="宋体"/>
          <w:b/>
          <w:color w:val="auto"/>
          <w:sz w:val="32"/>
          <w:szCs w:val="32"/>
        </w:rPr>
      </w:r>
      <w:r/>
    </w:p>
    <w:p>
      <w:pPr>
        <w:rPr>
          <w:rFonts w:hint="eastAsia" w:ascii="宋体" w:hAnsi="宋体" w:cs="宋体"/>
          <w:b/>
          <w:color w:val="auto"/>
          <w:sz w:val="32"/>
          <w:szCs w:val="32"/>
        </w:rPr>
      </w:pPr>
      <w:r>
        <w:rPr>
          <w:rFonts w:hint="eastAsia" w:ascii="宋体" w:hAnsi="宋体" w:cs="宋体"/>
          <w:b/>
          <w:color w:val="auto"/>
          <w:sz w:val="32"/>
          <w:szCs w:val="32"/>
        </w:rPr>
        <w:br w:type="page" w:clear="all"/>
      </w:r>
      <w:r/>
    </w:p>
    <w:p>
      <w:pPr>
        <w:pStyle w:val="801"/>
        <w:ind w:firstLine="320"/>
        <w:spacing w:before="0" w:after="0" w:line="520" w:lineRule="exact"/>
        <w:rPr>
          <w:rFonts w:hint="eastAsia" w:ascii="宋体" w:hAnsi="宋体" w:eastAsia="宋体" w:cs="宋体"/>
          <w:color w:val="auto"/>
        </w:rPr>
      </w:pPr>
      <w:r>
        <w:rPr>
          <w:rFonts w:hint="eastAsia" w:ascii="宋体" w:hAnsi="宋体" w:eastAsia="宋体" w:cs="宋体"/>
          <w:color w:val="auto"/>
          <w:lang w:val="en-US" w:eastAsia="zh-CN"/>
        </w:rPr>
        <w:t xml:space="preserve">四</w:t>
      </w:r>
      <w:r>
        <w:rPr>
          <w:rFonts w:hint="eastAsia" w:ascii="宋体" w:hAnsi="宋体" w:eastAsia="宋体" w:cs="宋体"/>
          <w:color w:val="auto"/>
        </w:rPr>
        <w:t xml:space="preserve">、磋商报价表</w:t>
      </w:r>
      <w:r/>
    </w:p>
    <w:p>
      <w:pPr>
        <w:spacing w:line="48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本次为首次报价</w:t>
      </w:r>
      <w:r/>
    </w:p>
    <w:p>
      <w:pPr>
        <w:spacing w:line="480" w:lineRule="exac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货币单位：人民币元</w:t>
      </w:r>
      <w:r/>
    </w:p>
    <w:p>
      <w:pPr>
        <w:spacing w:line="480" w:lineRule="exact"/>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项目编号：</w:t>
      </w:r>
      <w:r>
        <w:rPr>
          <w:rFonts w:hint="eastAsia" w:ascii="宋体" w:hAnsi="宋体" w:cs="宋体"/>
          <w:color w:val="auto"/>
          <w:sz w:val="24"/>
          <w:szCs w:val="24"/>
          <w:lang w:eastAsia="zh-CN"/>
        </w:rPr>
        <w:t xml:space="preserve">JSZC-321300-JSQZ-C2026-0012</w:t>
      </w:r>
      <w:r/>
    </w:p>
    <w:p>
      <w:pPr>
        <w:spacing w:line="48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采购包号：</w:t>
      </w:r>
      <w:r/>
    </w:p>
    <w:tbl>
      <w:tblPr>
        <w:tblStyle w:val="8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9"/>
        <w:gridCol w:w="2220"/>
        <w:gridCol w:w="4565"/>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磋商总价（大写）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金额大写 </w:t>
            </w:r>
            <w:r/>
          </w:p>
        </w:tc>
      </w:tr>
    </w:tbl>
    <w:p>
      <w:pPr>
        <w:spacing w:line="48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供应商（CA电子签章）：</w:t>
      </w:r>
      <w:r/>
    </w:p>
    <w:p>
      <w:pPr>
        <w:spacing w:line="480" w:lineRule="exact"/>
        <w:rPr>
          <w:rFonts w:hint="eastAsia"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供应商名称</w:t>
      </w:r>
      <w:r/>
    </w:p>
    <w:p>
      <w:pPr>
        <w:spacing w:line="480" w:lineRule="exact"/>
        <w:rPr>
          <w:rFonts w:hint="eastAsia" w:ascii="宋体" w:hAnsi="宋体" w:cs="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日期：   年   月   日</w:t>
      </w:r>
      <w:r/>
    </w:p>
    <w:p>
      <w:pPr>
        <w:spacing w:line="480" w:lineRule="exact"/>
        <w:rPr>
          <w:rFonts w:hint="eastAsia" w:ascii="宋体" w:hAnsi="宋体" w:cs="宋体"/>
          <w:b/>
          <w:color w:val="auto"/>
          <w:sz w:val="32"/>
          <w:szCs w:val="24"/>
        </w:rPr>
      </w:pPr>
      <w:r>
        <w:rPr>
          <w:rFonts w:hint="eastAsia" w:ascii="宋体" w:hAnsi="宋体" w:cs="宋体"/>
          <w:b/>
          <w:color w:val="auto"/>
          <w:sz w:val="32"/>
          <w:szCs w:val="24"/>
        </w:rPr>
      </w:r>
      <w:r/>
    </w:p>
    <w:p>
      <w:pPr>
        <w:spacing w:line="460" w:lineRule="exact"/>
        <w:rPr>
          <w:rFonts w:hint="eastAsia" w:ascii="宋体" w:hAnsi="宋体" w:cs="宋体"/>
          <w:b/>
          <w:color w:val="auto"/>
          <w:sz w:val="32"/>
          <w:szCs w:val="24"/>
        </w:rPr>
      </w:pPr>
      <w:r>
        <w:rPr>
          <w:rFonts w:hint="eastAsia" w:ascii="宋体" w:hAnsi="宋体" w:cs="宋体"/>
          <w:b/>
          <w:color w:val="auto"/>
          <w:sz w:val="32"/>
          <w:szCs w:val="24"/>
        </w:rPr>
      </w:r>
      <w:r/>
    </w:p>
    <w:p>
      <w:pPr>
        <w:rPr>
          <w:rFonts w:hint="eastAsia" w:ascii="宋体" w:hAnsi="宋体" w:cs="宋体"/>
          <w:b/>
          <w:color w:val="auto"/>
          <w:sz w:val="32"/>
          <w:szCs w:val="24"/>
        </w:rPr>
      </w:pPr>
      <w:r>
        <w:rPr>
          <w:rFonts w:hint="eastAsia" w:ascii="宋体" w:hAnsi="宋体" w:cs="宋体"/>
          <w:b/>
          <w:color w:val="auto"/>
          <w:sz w:val="32"/>
          <w:szCs w:val="24"/>
        </w:rPr>
        <w:br w:type="page" w:clear="all"/>
      </w:r>
      <w:r/>
    </w:p>
    <w:p>
      <w:pPr>
        <w:pStyle w:val="801"/>
        <w:ind w:firstLine="320"/>
        <w:spacing w:before="0" w:after="0" w:line="520" w:lineRule="exact"/>
        <w:rPr>
          <w:rFonts w:hint="eastAsia" w:ascii="宋体" w:hAnsi="宋体" w:eastAsia="宋体" w:cs="宋体"/>
          <w:b w:val="0"/>
          <w:color w:val="auto"/>
          <w:szCs w:val="32"/>
        </w:rPr>
      </w:pPr>
      <w:r>
        <w:rPr>
          <w:rFonts w:hint="eastAsia" w:ascii="宋体" w:hAnsi="宋体" w:eastAsia="宋体" w:cs="宋体"/>
          <w:color w:val="auto"/>
          <w:lang w:val="en-US" w:eastAsia="zh-CN"/>
        </w:rPr>
        <w:t xml:space="preserve">五</w:t>
      </w:r>
      <w:r>
        <w:rPr>
          <w:rFonts w:hint="eastAsia" w:ascii="宋体" w:hAnsi="宋体" w:eastAsia="宋体" w:cs="宋体"/>
          <w:color w:val="auto"/>
        </w:rPr>
        <w:t xml:space="preserve">、分项报价表</w:t>
      </w:r>
      <w:r/>
    </w:p>
    <w:p>
      <w:pPr>
        <w:pStyle w:val="1045"/>
        <w:jc w:val="center"/>
        <w:rPr>
          <w:rFonts w:hint="eastAsia" w:ascii="宋体" w:hAnsi="宋体" w:cs="宋体"/>
          <w:bCs/>
          <w:color w:val="auto"/>
          <w:szCs w:val="32"/>
        </w:rPr>
      </w:pPr>
      <w:r>
        <w:rPr>
          <w:rFonts w:hint="eastAsia" w:ascii="宋体" w:hAnsi="宋体" w:cs="宋体"/>
          <w:color w:val="auto"/>
          <w:sz w:val="32"/>
          <w:szCs w:val="32"/>
        </w:rPr>
        <w:t xml:space="preserve">分项报价表（服务类）</w:t>
      </w:r>
      <w:r/>
    </w:p>
    <w:tbl>
      <w:tblPr>
        <w:tblStyle w:val="810"/>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144"/>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144"/>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44"/>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单价</w:t>
            </w:r>
            <w:r/>
          </w:p>
          <w:p>
            <w:pPr>
              <w:pStyle w:val="1144"/>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144"/>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144"/>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合价</w:t>
            </w:r>
            <w:r/>
          </w:p>
          <w:p>
            <w:pPr>
              <w:pStyle w:val="1144"/>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144"/>
              <w:jc w:val="center"/>
              <w:spacing w:line="360" w:lineRule="exact"/>
              <w:widowControl/>
              <w:rPr>
                <w:rFonts w:hint="eastAsia" w:ascii="宋体" w:hAnsi="宋体" w:cs="宋体"/>
                <w:color w:val="auto"/>
                <w:sz w:val="24"/>
                <w:szCs w:val="24"/>
              </w:rPr>
            </w:pPr>
            <w:r>
              <w:rPr>
                <w:rFonts w:hint="eastAsia" w:ascii="宋体" w:hAnsi="宋体" w:cs="宋体"/>
                <w:color w:val="auto"/>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144"/>
              <w:jc w:val="center"/>
              <w:spacing w:line="560" w:lineRule="exact"/>
              <w:widowControl/>
              <w:rPr>
                <w:rFonts w:hint="eastAsia" w:ascii="宋体" w:hAnsi="宋体" w:cs="宋体"/>
                <w:color w:val="auto"/>
                <w:sz w:val="24"/>
                <w:szCs w:val="24"/>
              </w:rPr>
            </w:pPr>
            <w:r>
              <w:rPr>
                <w:rFonts w:hint="eastAsia" w:ascii="宋体" w:hAnsi="宋体" w:cs="宋体"/>
                <w:color w:val="auto"/>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144"/>
              <w:jc w:val="center"/>
              <w:spacing w:line="56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44"/>
              <w:jc w:val="center"/>
              <w:spacing w:line="560" w:lineRule="exact"/>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144"/>
              <w:jc w:val="center"/>
              <w:spacing w:line="56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144"/>
              <w:jc w:val="center"/>
              <w:spacing w:line="560" w:lineRule="exact"/>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144"/>
              <w:jc w:val="center"/>
              <w:spacing w:line="560" w:lineRule="exact"/>
              <w:rPr>
                <w:rFonts w:hint="eastAsia" w:ascii="宋体" w:hAnsi="宋体" w:cs="宋体"/>
                <w:color w:val="auto"/>
                <w:sz w:val="24"/>
                <w:szCs w:val="24"/>
              </w:rPr>
            </w:pPr>
            <w:r>
              <w:rPr>
                <w:rFonts w:hint="eastAsia" w:ascii="宋体" w:hAnsi="宋体" w:cs="宋体"/>
                <w:color w:val="auto"/>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144"/>
              <w:jc w:val="center"/>
              <w:spacing w:line="560" w:lineRule="exact"/>
              <w:widowControl/>
              <w:rPr>
                <w:rFonts w:hint="eastAsia" w:ascii="宋体" w:hAnsi="宋体" w:cs="宋体"/>
                <w:color w:val="auto"/>
                <w:sz w:val="24"/>
                <w:szCs w:val="24"/>
              </w:rPr>
            </w:pPr>
            <w:r>
              <w:rPr>
                <w:rFonts w:hint="eastAsia" w:ascii="宋体" w:hAnsi="宋体" w:cs="宋体"/>
                <w:color w:val="auto"/>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144"/>
              <w:jc w:val="center"/>
              <w:spacing w:line="56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44"/>
              <w:jc w:val="center"/>
              <w:spacing w:line="560" w:lineRule="exact"/>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144"/>
              <w:jc w:val="center"/>
              <w:spacing w:line="56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144"/>
              <w:jc w:val="center"/>
              <w:spacing w:line="560" w:lineRule="exact"/>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144"/>
              <w:jc w:val="center"/>
              <w:spacing w:line="560" w:lineRule="exact"/>
              <w:rPr>
                <w:rFonts w:hint="eastAsia" w:ascii="宋体" w:hAnsi="宋体" w:cs="宋体"/>
                <w:color w:val="auto"/>
                <w:sz w:val="24"/>
                <w:szCs w:val="24"/>
              </w:rPr>
            </w:pPr>
            <w:r>
              <w:rPr>
                <w:rFonts w:hint="eastAsia" w:ascii="宋体" w:hAnsi="宋体" w:cs="宋体"/>
                <w:color w:val="auto"/>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144"/>
              <w:jc w:val="center"/>
              <w:spacing w:line="560" w:lineRule="exact"/>
              <w:widowControl/>
              <w:rPr>
                <w:rFonts w:hint="eastAsia" w:ascii="宋体" w:hAnsi="宋体" w:cs="宋体"/>
                <w:color w:val="auto"/>
                <w:sz w:val="24"/>
                <w:szCs w:val="24"/>
              </w:rPr>
            </w:pPr>
            <w:r>
              <w:rPr>
                <w:rFonts w:hint="eastAsia" w:ascii="宋体" w:hAnsi="宋体" w:cs="宋体"/>
                <w:color w:val="auto"/>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144"/>
              <w:jc w:val="center"/>
              <w:spacing w:line="56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44"/>
              <w:jc w:val="center"/>
              <w:spacing w:line="560" w:lineRule="exact"/>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144"/>
              <w:jc w:val="center"/>
              <w:spacing w:line="56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144"/>
              <w:jc w:val="center"/>
              <w:spacing w:line="560" w:lineRule="exact"/>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144"/>
              <w:jc w:val="center"/>
              <w:spacing w:line="560" w:lineRule="exact"/>
              <w:rPr>
                <w:rFonts w:hint="eastAsia" w:ascii="宋体" w:hAnsi="宋体" w:cs="宋体"/>
                <w:color w:val="auto"/>
                <w:sz w:val="24"/>
                <w:szCs w:val="24"/>
              </w:rPr>
            </w:pPr>
            <w:r>
              <w:rPr>
                <w:rFonts w:hint="eastAsia" w:ascii="宋体" w:hAnsi="宋体" w:cs="宋体"/>
                <w:color w:val="auto"/>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144"/>
              <w:jc w:val="center"/>
              <w:spacing w:line="560" w:lineRule="exact"/>
              <w:widowControl/>
              <w:rPr>
                <w:rFonts w:hint="eastAsia" w:ascii="宋体" w:hAnsi="宋体" w:cs="宋体"/>
                <w:color w:val="auto"/>
                <w:sz w:val="24"/>
                <w:szCs w:val="24"/>
              </w:rPr>
            </w:pPr>
            <w:r>
              <w:rPr>
                <w:rFonts w:hint="eastAsia" w:ascii="宋体" w:hAnsi="宋体" w:cs="宋体"/>
                <w:color w:val="auto"/>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144"/>
              <w:jc w:val="center"/>
              <w:spacing w:line="56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44"/>
              <w:jc w:val="center"/>
              <w:spacing w:line="560" w:lineRule="exact"/>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144"/>
              <w:jc w:val="center"/>
              <w:spacing w:line="56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144"/>
              <w:jc w:val="center"/>
              <w:spacing w:line="560" w:lineRule="exact"/>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144"/>
              <w:jc w:val="center"/>
              <w:spacing w:line="560" w:lineRule="exact"/>
              <w:rPr>
                <w:rFonts w:hint="eastAsia" w:ascii="宋体" w:hAnsi="宋体" w:cs="宋体"/>
                <w:color w:val="auto"/>
                <w:sz w:val="24"/>
                <w:szCs w:val="24"/>
              </w:rPr>
            </w:pPr>
            <w:r>
              <w:rPr>
                <w:rFonts w:hint="eastAsia" w:ascii="宋体" w:hAnsi="宋体" w:cs="宋体"/>
                <w:color w:val="auto"/>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144"/>
              <w:jc w:val="center"/>
              <w:spacing w:line="560" w:lineRule="exact"/>
              <w:widowControl/>
              <w:rPr>
                <w:rFonts w:hint="eastAsia" w:ascii="宋体" w:hAnsi="宋体" w:cs="宋体"/>
                <w:color w:val="auto"/>
                <w:sz w:val="24"/>
                <w:szCs w:val="24"/>
              </w:rPr>
            </w:pPr>
            <w:r>
              <w:rPr>
                <w:rFonts w:hint="eastAsia" w:ascii="宋体" w:hAnsi="宋体" w:cs="宋体"/>
                <w:color w:val="auto"/>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144"/>
              <w:jc w:val="center"/>
              <w:spacing w:line="56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44"/>
              <w:jc w:val="center"/>
              <w:spacing w:line="560" w:lineRule="exact"/>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144"/>
              <w:jc w:val="center"/>
              <w:spacing w:line="56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144"/>
              <w:jc w:val="center"/>
              <w:spacing w:line="560" w:lineRule="exact"/>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144"/>
              <w:jc w:val="center"/>
              <w:spacing w:line="560" w:lineRule="exact"/>
              <w:rPr>
                <w:rFonts w:hint="eastAsia" w:ascii="宋体" w:hAnsi="宋体" w:cs="宋体"/>
                <w:color w:val="auto"/>
                <w:sz w:val="24"/>
                <w:szCs w:val="24"/>
              </w:rPr>
            </w:pPr>
            <w:r>
              <w:rPr>
                <w:rFonts w:hint="eastAsia" w:ascii="宋体" w:hAnsi="宋体" w:cs="宋体"/>
                <w:color w:val="auto"/>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textDirection w:val="lrTb"/>
            <w:noWrap w:val="false"/>
          </w:tcPr>
          <w:p>
            <w:pPr>
              <w:pStyle w:val="1144"/>
              <w:spacing w:line="560" w:lineRule="exact"/>
              <w:widowControl/>
              <w:rPr>
                <w:rFonts w:hint="eastAsia" w:ascii="宋体" w:hAnsi="宋体" w:cs="宋体"/>
                <w:color w:val="auto"/>
                <w:sz w:val="24"/>
                <w:szCs w:val="24"/>
              </w:rPr>
            </w:pPr>
            <w:r>
              <w:rPr>
                <w:rFonts w:hint="eastAsia" w:ascii="宋体" w:hAnsi="宋体" w:cs="宋体"/>
                <w:color w:val="auto"/>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textDirection w:val="lrTb"/>
            <w:noWrap w:val="false"/>
          </w:tcPr>
          <w:p>
            <w:pPr>
              <w:pStyle w:val="1144"/>
              <w:jc w:val="center"/>
              <w:spacing w:line="56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44"/>
              <w:jc w:val="center"/>
              <w:spacing w:line="560" w:lineRule="exact"/>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pStyle w:val="1144"/>
              <w:jc w:val="center"/>
              <w:spacing w:line="560" w:lineRule="exact"/>
              <w:widowControl/>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144"/>
              <w:jc w:val="center"/>
              <w:spacing w:line="560" w:lineRule="exact"/>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144"/>
              <w:jc w:val="center"/>
              <w:spacing w:line="560" w:lineRule="exact"/>
              <w:rPr>
                <w:rFonts w:hint="eastAsia" w:ascii="宋体" w:hAnsi="宋体" w:cs="宋体"/>
                <w:color w:val="auto"/>
                <w:sz w:val="24"/>
                <w:szCs w:val="24"/>
              </w:rPr>
            </w:pPr>
            <w:r>
              <w:rPr>
                <w:rFonts w:hint="eastAsia" w:ascii="宋体" w:hAnsi="宋体" w:cs="宋体"/>
                <w:color w:val="auto"/>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144"/>
              <w:jc w:val="center"/>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144"/>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w:t>
            </w:r>
            <w:r>
              <w:rPr>
                <w:rFonts w:hint="eastAsia" w:ascii="宋体" w:hAnsi="宋体" w:cs="宋体"/>
                <w:color w:val="auto"/>
                <w:sz w:val="24"/>
                <w:szCs w:val="24"/>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pStyle w:val="1144"/>
              <w:spacing w:line="500" w:lineRule="exact"/>
              <w:rPr>
                <w:rFonts w:hint="eastAsia" w:ascii="宋体" w:hAnsi="宋体" w:cs="宋体"/>
                <w:b/>
                <w:bCs/>
                <w:color w:val="auto"/>
                <w:sz w:val="24"/>
                <w:szCs w:val="24"/>
              </w:rPr>
            </w:pPr>
            <w:r>
              <w:rPr>
                <w:rFonts w:hint="eastAsia" w:ascii="宋体" w:hAnsi="宋体" w:cs="宋体"/>
                <w:b/>
                <w:bCs/>
                <w:color w:val="auto"/>
                <w:sz w:val="24"/>
                <w:szCs w:val="24"/>
              </w:rPr>
              <w:t xml:space="preserve">人民币（大写）：</w:t>
            </w:r>
            <w:r>
              <w:rPr>
                <w:rFonts w:hint="eastAsia" w:ascii="宋体" w:hAnsi="宋体" w:cs="宋体"/>
                <w:b/>
                <w:bCs/>
                <w:color w:val="auto"/>
                <w:sz w:val="24"/>
                <w:szCs w:val="24"/>
                <w:u w:val="single"/>
              </w:rPr>
              <w:t xml:space="preserve">   </w:t>
            </w:r>
            <w:r>
              <w:rPr>
                <w:rFonts w:hint="eastAsia" w:ascii="宋体" w:hAnsi="宋体" w:cs="宋体"/>
                <w:color w:val="auto"/>
                <w:sz w:val="24"/>
                <w:szCs w:val="24"/>
                <w:u w:val="single"/>
              </w:rPr>
              <w:t xml:space="preserve"> 仟     </w:t>
            </w:r>
            <w:r>
              <w:rPr>
                <w:rFonts w:hint="eastAsia" w:ascii="宋体" w:hAnsi="宋体" w:cs="宋体"/>
                <w:bCs/>
                <w:color w:val="auto"/>
                <w:sz w:val="24"/>
                <w:szCs w:val="24"/>
              </w:rPr>
              <w:t xml:space="preserve">佰</w:t>
            </w:r>
            <w:r>
              <w:rPr>
                <w:rFonts w:hint="eastAsia" w:ascii="宋体" w:hAnsi="宋体" w:cs="宋体"/>
                <w:color w:val="auto"/>
                <w:sz w:val="24"/>
                <w:szCs w:val="24"/>
                <w:u w:val="single"/>
              </w:rPr>
              <w:t xml:space="preserve">    </w:t>
            </w:r>
            <w:r>
              <w:rPr>
                <w:rFonts w:hint="eastAsia" w:ascii="宋体" w:hAnsi="宋体" w:cs="宋体"/>
                <w:bCs/>
                <w:color w:val="auto"/>
                <w:sz w:val="24"/>
                <w:szCs w:val="24"/>
              </w:rPr>
              <w:t xml:space="preserve">拾</w:t>
            </w:r>
            <w:r>
              <w:rPr>
                <w:rFonts w:hint="eastAsia" w:ascii="宋体" w:hAnsi="宋体" w:cs="宋体"/>
                <w:color w:val="auto"/>
                <w:sz w:val="24"/>
                <w:szCs w:val="24"/>
                <w:u w:val="single"/>
              </w:rPr>
              <w:t xml:space="preserve">    </w:t>
            </w:r>
            <w:r>
              <w:rPr>
                <w:rFonts w:hint="eastAsia" w:ascii="宋体" w:hAnsi="宋体" w:cs="宋体"/>
                <w:bCs/>
                <w:color w:val="auto"/>
                <w:sz w:val="24"/>
                <w:szCs w:val="24"/>
              </w:rPr>
              <w:t xml:space="preserve"> 万</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仟</w:t>
            </w:r>
            <w:r>
              <w:rPr>
                <w:rFonts w:hint="eastAsia" w:ascii="宋体" w:hAnsi="宋体" w:cs="宋体"/>
                <w:color w:val="auto"/>
                <w:sz w:val="24"/>
                <w:szCs w:val="24"/>
                <w:u w:val="single"/>
              </w:rPr>
              <w:t xml:space="preserve">      </w:t>
            </w:r>
            <w:r>
              <w:rPr>
                <w:rFonts w:hint="eastAsia" w:ascii="宋体" w:hAnsi="宋体" w:cs="宋体"/>
                <w:bCs/>
                <w:color w:val="auto"/>
                <w:sz w:val="24"/>
                <w:szCs w:val="24"/>
              </w:rPr>
              <w:t xml:space="preserve">佰</w:t>
            </w:r>
            <w:r>
              <w:rPr>
                <w:rFonts w:hint="eastAsia" w:ascii="宋体" w:hAnsi="宋体" w:cs="宋体"/>
                <w:color w:val="auto"/>
                <w:sz w:val="24"/>
                <w:szCs w:val="24"/>
                <w:u w:val="single"/>
              </w:rPr>
              <w:t xml:space="preserve">      </w:t>
            </w:r>
            <w:r>
              <w:rPr>
                <w:rFonts w:hint="eastAsia" w:ascii="宋体" w:hAnsi="宋体" w:cs="宋体"/>
                <w:bCs/>
                <w:color w:val="auto"/>
                <w:sz w:val="24"/>
                <w:szCs w:val="24"/>
              </w:rPr>
              <w:t xml:space="preserve">拾</w:t>
            </w:r>
            <w:r>
              <w:rPr>
                <w:rFonts w:hint="eastAsia" w:ascii="宋体" w:hAnsi="宋体" w:cs="宋体"/>
                <w:color w:val="auto"/>
                <w:sz w:val="24"/>
                <w:szCs w:val="24"/>
                <w:u w:val="single"/>
              </w:rPr>
              <w:t xml:space="preserve">     </w:t>
            </w:r>
            <w:r>
              <w:rPr>
                <w:rFonts w:hint="eastAsia" w:ascii="宋体" w:hAnsi="宋体" w:cs="宋体"/>
                <w:bCs/>
                <w:color w:val="auto"/>
                <w:sz w:val="24"/>
                <w:szCs w:val="24"/>
              </w:rPr>
              <w:t xml:space="preserve">元</w:t>
            </w:r>
            <w:r>
              <w:rPr>
                <w:rFonts w:hint="eastAsia" w:ascii="宋体" w:hAnsi="宋体" w:cs="宋体"/>
                <w:color w:val="auto"/>
                <w:sz w:val="24"/>
                <w:szCs w:val="24"/>
                <w:u w:val="single"/>
              </w:rPr>
              <w:t xml:space="preserve">      </w:t>
            </w:r>
            <w:r>
              <w:rPr>
                <w:rFonts w:hint="eastAsia" w:ascii="宋体" w:hAnsi="宋体" w:cs="宋体"/>
                <w:bCs/>
                <w:color w:val="auto"/>
                <w:sz w:val="24"/>
                <w:szCs w:val="24"/>
              </w:rPr>
              <w:t xml:space="preserve">角</w:t>
            </w:r>
            <w:r>
              <w:rPr>
                <w:rFonts w:hint="eastAsia" w:ascii="宋体" w:hAnsi="宋体" w:cs="宋体"/>
                <w:color w:val="auto"/>
                <w:sz w:val="24"/>
                <w:szCs w:val="24"/>
                <w:u w:val="single"/>
              </w:rPr>
              <w:t xml:space="preserve">      </w:t>
            </w:r>
            <w:r>
              <w:rPr>
                <w:rFonts w:hint="eastAsia" w:ascii="宋体" w:hAnsi="宋体" w:cs="宋体"/>
                <w:bCs/>
                <w:color w:val="auto"/>
                <w:sz w:val="24"/>
                <w:szCs w:val="24"/>
              </w:rPr>
              <w:t xml:space="preserve">分</w:t>
            </w:r>
            <w:r/>
          </w:p>
        </w:tc>
      </w:tr>
    </w:tbl>
    <w:p>
      <w:pPr>
        <w:ind w:firstLine="480"/>
        <w:spacing w:line="480" w:lineRule="exact"/>
        <w:rPr>
          <w:rFonts w:hint="eastAsia" w:ascii="宋体" w:hAnsi="宋体" w:cs="宋体"/>
          <w:color w:val="auto"/>
          <w:sz w:val="24"/>
          <w:szCs w:val="24"/>
        </w:rPr>
      </w:pPr>
      <w:r>
        <w:rPr>
          <w:rFonts w:hint="eastAsia" w:ascii="宋体" w:hAnsi="宋体" w:cs="宋体"/>
          <w:color w:val="auto"/>
          <w:sz w:val="24"/>
          <w:szCs w:val="24"/>
        </w:rPr>
        <w:t xml:space="preserve">备注：“磋商总报价”数额应当与“磋商报价表”中“磋商总报价”数额一致。</w:t>
      </w:r>
      <w:r/>
    </w:p>
    <w:p>
      <w:pPr>
        <w:spacing w:line="480" w:lineRule="exact"/>
        <w:rPr>
          <w:rFonts w:hint="eastAsia" w:ascii="宋体" w:hAnsi="宋体" w:cs="宋体"/>
          <w:color w:val="auto"/>
          <w:sz w:val="24"/>
          <w:szCs w:val="24"/>
        </w:rPr>
      </w:pPr>
      <w:r>
        <w:rPr>
          <w:rFonts w:hint="eastAsia" w:ascii="宋体" w:hAnsi="宋体" w:cs="宋体"/>
          <w:color w:val="auto"/>
          <w:sz w:val="24"/>
          <w:szCs w:val="24"/>
        </w:rPr>
      </w:r>
      <w:r/>
    </w:p>
    <w:p>
      <w:pPr>
        <w:spacing w:line="0" w:lineRule="atLeast"/>
        <w:rPr>
          <w:rFonts w:hint="eastAsia" w:ascii="宋体" w:hAnsi="宋体" w:cs="宋体"/>
          <w:color w:val="auto"/>
          <w:sz w:val="24"/>
          <w:szCs w:val="24"/>
        </w:rPr>
      </w:pPr>
      <w:r>
        <w:rPr>
          <w:rFonts w:hint="eastAsia" w:ascii="宋体" w:hAnsi="宋体" w:cs="宋体"/>
          <w:color w:val="auto"/>
          <w:sz w:val="24"/>
          <w:szCs w:val="24"/>
        </w:rPr>
      </w:r>
      <w:r/>
    </w:p>
    <w:p>
      <w:pPr>
        <w:spacing w:line="0" w:lineRule="atLeast"/>
        <w:rPr>
          <w:rFonts w:hint="eastAsia" w:ascii="宋体" w:hAnsi="宋体" w:cs="宋体"/>
          <w:color w:val="auto"/>
          <w:sz w:val="24"/>
          <w:szCs w:val="24"/>
        </w:rPr>
      </w:pPr>
      <w:r>
        <w:rPr>
          <w:rFonts w:hint="eastAsia" w:ascii="宋体" w:hAnsi="宋体" w:cs="宋体"/>
          <w:color w:val="auto"/>
          <w:sz w:val="24"/>
          <w:szCs w:val="24"/>
        </w:rPr>
      </w:r>
      <w:r/>
    </w:p>
    <w:p>
      <w:pPr>
        <w:spacing w:line="0" w:lineRule="atLeast"/>
        <w:rPr>
          <w:rFonts w:hint="eastAsia" w:ascii="宋体" w:hAnsi="宋体" w:cs="宋体"/>
          <w:color w:val="auto"/>
          <w:sz w:val="24"/>
          <w:szCs w:val="24"/>
        </w:rPr>
      </w:pPr>
      <w:r>
        <w:rPr>
          <w:rFonts w:hint="eastAsia" w:ascii="宋体" w:hAnsi="宋体" w:cs="宋体"/>
          <w:color w:val="auto"/>
          <w:sz w:val="24"/>
          <w:szCs w:val="24"/>
        </w:rPr>
      </w:r>
      <w:r/>
    </w:p>
    <w:p>
      <w:pPr>
        <w:spacing w:line="0" w:lineRule="atLeast"/>
        <w:rPr>
          <w:rFonts w:hint="eastAsia" w:ascii="宋体" w:hAnsi="宋体" w:cs="宋体"/>
          <w:color w:val="auto"/>
          <w:sz w:val="24"/>
          <w:szCs w:val="24"/>
        </w:rPr>
      </w:pPr>
      <w:r>
        <w:rPr>
          <w:rFonts w:hint="eastAsia" w:ascii="宋体" w:hAnsi="宋体" w:cs="宋体"/>
          <w:color w:val="auto"/>
          <w:sz w:val="24"/>
          <w:szCs w:val="24"/>
        </w:rPr>
      </w:r>
      <w:r/>
    </w:p>
    <w:p>
      <w:pPr>
        <w:spacing w:line="0" w:lineRule="atLeast"/>
        <w:rPr>
          <w:rFonts w:hint="eastAsia" w:ascii="宋体" w:hAnsi="宋体" w:cs="宋体"/>
          <w:color w:val="auto"/>
          <w:sz w:val="24"/>
          <w:szCs w:val="24"/>
        </w:rPr>
      </w:pPr>
      <w:r>
        <w:rPr>
          <w:rFonts w:hint="eastAsia" w:ascii="宋体" w:hAnsi="宋体" w:cs="宋体"/>
          <w:color w:val="auto"/>
          <w:sz w:val="24"/>
          <w:szCs w:val="24"/>
        </w:rPr>
      </w:r>
      <w:r/>
    </w:p>
    <w:p>
      <w:pPr>
        <w:spacing w:line="0" w:lineRule="atLeast"/>
        <w:rPr>
          <w:rFonts w:hint="eastAsia" w:ascii="宋体" w:hAnsi="宋体" w:cs="宋体"/>
          <w:color w:val="auto"/>
          <w:sz w:val="24"/>
          <w:szCs w:val="24"/>
        </w:rPr>
      </w:pPr>
      <w:r>
        <w:rPr>
          <w:rFonts w:hint="eastAsia" w:ascii="宋体" w:hAnsi="宋体" w:cs="宋体"/>
          <w:color w:val="auto"/>
          <w:sz w:val="24"/>
          <w:szCs w:val="24"/>
        </w:rPr>
      </w:r>
      <w:r/>
    </w:p>
    <w:p>
      <w:pPr>
        <w:spacing w:line="0" w:lineRule="atLeast"/>
        <w:rPr>
          <w:rFonts w:hint="eastAsia" w:ascii="宋体" w:hAnsi="宋体" w:cs="宋体"/>
          <w:color w:val="auto"/>
          <w:sz w:val="24"/>
          <w:szCs w:val="24"/>
        </w:rPr>
      </w:pPr>
      <w:r>
        <w:rPr>
          <w:rFonts w:hint="eastAsia" w:ascii="宋体" w:hAnsi="宋体" w:cs="宋体"/>
          <w:color w:val="auto"/>
          <w:sz w:val="24"/>
          <w:szCs w:val="24"/>
        </w:rPr>
      </w:r>
      <w:r/>
    </w:p>
    <w:p>
      <w:pPr>
        <w:spacing w:line="0" w:lineRule="atLeast"/>
        <w:rPr>
          <w:rFonts w:hint="eastAsia" w:ascii="宋体" w:hAnsi="宋体" w:cs="宋体"/>
          <w:color w:val="auto"/>
          <w:sz w:val="24"/>
          <w:szCs w:val="24"/>
        </w:rPr>
      </w:pPr>
      <w:r>
        <w:rPr>
          <w:rFonts w:hint="eastAsia" w:ascii="宋体" w:hAnsi="宋体" w:cs="宋体"/>
          <w:color w:val="auto"/>
          <w:sz w:val="24"/>
          <w:szCs w:val="24"/>
        </w:rPr>
      </w:r>
      <w:r/>
    </w:p>
    <w:p>
      <w:pPr>
        <w:spacing w:line="0" w:lineRule="atLeast"/>
        <w:rPr>
          <w:rFonts w:hint="eastAsia" w:ascii="宋体" w:hAnsi="宋体" w:cs="宋体"/>
          <w:color w:val="auto"/>
          <w:sz w:val="24"/>
          <w:szCs w:val="24"/>
        </w:rPr>
      </w:pPr>
      <w:r>
        <w:rPr>
          <w:rFonts w:hint="eastAsia" w:ascii="宋体" w:hAnsi="宋体" w:cs="宋体"/>
          <w:color w:val="auto"/>
          <w:sz w:val="24"/>
          <w:szCs w:val="24"/>
        </w:rPr>
      </w:r>
      <w:r/>
    </w:p>
    <w:p>
      <w:pPr>
        <w:spacing w:line="0" w:lineRule="atLeast"/>
        <w:rPr>
          <w:rFonts w:hint="eastAsia" w:ascii="宋体" w:hAnsi="宋体" w:cs="宋体"/>
          <w:color w:val="auto"/>
          <w:sz w:val="24"/>
          <w:szCs w:val="24"/>
        </w:rPr>
      </w:pPr>
      <w:r>
        <w:rPr>
          <w:rFonts w:hint="eastAsia" w:ascii="宋体" w:hAnsi="宋体" w:cs="宋体"/>
          <w:color w:val="auto"/>
          <w:sz w:val="24"/>
          <w:szCs w:val="24"/>
        </w:rPr>
      </w:r>
      <w:r/>
    </w:p>
    <w:p>
      <w:pPr>
        <w:spacing w:line="0" w:lineRule="atLeast"/>
        <w:rPr>
          <w:rFonts w:hint="eastAsia" w:ascii="宋体" w:hAnsi="宋体" w:cs="宋体"/>
          <w:color w:val="auto"/>
          <w:sz w:val="24"/>
          <w:szCs w:val="24"/>
        </w:rPr>
      </w:pPr>
      <w:r>
        <w:rPr>
          <w:rFonts w:hint="eastAsia" w:ascii="宋体" w:hAnsi="宋体" w:cs="宋体"/>
          <w:color w:val="auto"/>
          <w:sz w:val="24"/>
          <w:szCs w:val="24"/>
        </w:rPr>
      </w:r>
      <w:r/>
    </w:p>
    <w:p>
      <w:pPr>
        <w:spacing w:line="0" w:lineRule="atLeast"/>
        <w:rPr>
          <w:rFonts w:hint="eastAsia" w:ascii="宋体" w:hAnsi="宋体" w:cs="宋体"/>
          <w:color w:val="auto"/>
          <w:sz w:val="24"/>
          <w:szCs w:val="24"/>
        </w:rPr>
      </w:pPr>
      <w:r>
        <w:rPr>
          <w:rFonts w:hint="eastAsia" w:ascii="宋体" w:hAnsi="宋体" w:cs="宋体"/>
          <w:color w:val="auto"/>
          <w:sz w:val="24"/>
          <w:szCs w:val="24"/>
        </w:rPr>
      </w:r>
      <w:r/>
    </w:p>
    <w:p>
      <w:pPr>
        <w:spacing w:line="0" w:lineRule="atLeast"/>
        <w:rPr>
          <w:rFonts w:hint="eastAsia" w:ascii="宋体" w:hAnsi="宋体" w:cs="宋体"/>
          <w:color w:val="auto"/>
          <w:sz w:val="24"/>
          <w:szCs w:val="24"/>
        </w:rPr>
      </w:pPr>
      <w:r>
        <w:rPr>
          <w:rFonts w:hint="eastAsia" w:ascii="宋体" w:hAnsi="宋体" w:cs="宋体"/>
          <w:color w:val="auto"/>
          <w:sz w:val="24"/>
          <w:szCs w:val="24"/>
        </w:rPr>
      </w:r>
      <w:r/>
    </w:p>
    <w:p>
      <w:pPr>
        <w:spacing w:line="0" w:lineRule="atLeast"/>
        <w:rPr>
          <w:rFonts w:hint="eastAsia" w:ascii="宋体" w:hAnsi="宋体" w:cs="宋体"/>
          <w:color w:val="auto"/>
          <w:sz w:val="24"/>
          <w:szCs w:val="24"/>
        </w:rPr>
      </w:pPr>
      <w:r>
        <w:rPr>
          <w:rFonts w:hint="eastAsia" w:ascii="宋体" w:hAnsi="宋体" w:cs="宋体"/>
          <w:color w:val="auto"/>
          <w:sz w:val="24"/>
          <w:szCs w:val="24"/>
        </w:rPr>
      </w:r>
      <w:r/>
    </w:p>
    <w:p>
      <w:pPr>
        <w:spacing w:line="0" w:lineRule="atLeast"/>
        <w:rPr>
          <w:rFonts w:hint="eastAsia" w:ascii="宋体" w:hAnsi="宋体" w:cs="宋体"/>
          <w:color w:val="auto"/>
          <w:sz w:val="24"/>
          <w:szCs w:val="24"/>
        </w:rPr>
      </w:pPr>
      <w:r>
        <w:rPr>
          <w:rFonts w:hint="eastAsia" w:ascii="宋体" w:hAnsi="宋体" w:cs="宋体"/>
          <w:color w:val="auto"/>
          <w:sz w:val="24"/>
          <w:szCs w:val="24"/>
        </w:rPr>
      </w:r>
      <w:r/>
    </w:p>
    <w:p>
      <w:pPr>
        <w:spacing w:line="0" w:lineRule="atLeast"/>
        <w:rPr>
          <w:rFonts w:hint="eastAsia" w:ascii="宋体" w:hAnsi="宋体" w:cs="宋体"/>
          <w:color w:val="auto"/>
          <w:sz w:val="24"/>
          <w:szCs w:val="24"/>
        </w:rPr>
      </w:pPr>
      <w:r>
        <w:rPr>
          <w:rFonts w:hint="eastAsia" w:ascii="宋体" w:hAnsi="宋体" w:cs="宋体"/>
          <w:color w:val="auto"/>
          <w:sz w:val="24"/>
          <w:szCs w:val="24"/>
        </w:rPr>
      </w:r>
      <w:r/>
    </w:p>
    <w:p>
      <w:pPr>
        <w:spacing w:line="0" w:lineRule="atLeast"/>
        <w:rPr>
          <w:rFonts w:hint="eastAsia" w:ascii="宋体" w:hAnsi="宋体" w:cs="宋体"/>
          <w:color w:val="auto"/>
          <w:sz w:val="24"/>
          <w:szCs w:val="24"/>
        </w:rPr>
      </w:pPr>
      <w:r>
        <w:rPr>
          <w:rFonts w:hint="eastAsia" w:ascii="宋体" w:hAnsi="宋体" w:cs="宋体"/>
          <w:color w:val="auto"/>
          <w:sz w:val="24"/>
          <w:szCs w:val="24"/>
        </w:rPr>
      </w:r>
      <w:r/>
    </w:p>
    <w:p>
      <w:pPr>
        <w:pStyle w:val="801"/>
        <w:ind w:firstLine="320"/>
        <w:spacing w:before="0" w:after="0" w:line="520" w:lineRule="exact"/>
        <w:rPr>
          <w:rFonts w:hint="eastAsia" w:ascii="宋体" w:hAnsi="宋体" w:eastAsia="宋体" w:cs="宋体"/>
          <w:color w:val="auto"/>
          <w:szCs w:val="32"/>
        </w:rPr>
      </w:pPr>
      <w:r>
        <w:rPr>
          <w:rFonts w:hint="eastAsia" w:ascii="宋体" w:hAnsi="宋体" w:eastAsia="宋体" w:cs="宋体"/>
          <w:bCs/>
          <w:color w:val="auto"/>
        </w:rPr>
        <w:br w:type="page" w:clear="all"/>
      </w:r>
      <w:r>
        <w:rPr>
          <w:rFonts w:hint="eastAsia" w:ascii="宋体" w:hAnsi="宋体" w:eastAsia="宋体" w:cs="宋体"/>
          <w:bCs/>
          <w:color w:val="auto"/>
          <w:lang w:val="en-US" w:eastAsia="zh-CN"/>
        </w:rPr>
        <w:t xml:space="preserve">六</w:t>
      </w:r>
      <w:r>
        <w:rPr>
          <w:rFonts w:hint="eastAsia" w:ascii="宋体" w:hAnsi="宋体" w:eastAsia="宋体" w:cs="宋体"/>
          <w:color w:val="auto"/>
        </w:rPr>
        <w:t xml:space="preserve">、中小企业或残疾人福利性单位声明函</w:t>
      </w:r>
      <w:r/>
    </w:p>
    <w:p>
      <w:pPr>
        <w:ind w:firstLine="643"/>
        <w:jc w:val="center"/>
        <w:spacing w:line="400" w:lineRule="exact"/>
        <w:rPr>
          <w:rFonts w:hint="eastAsia" w:ascii="宋体" w:hAnsi="宋体" w:cs="宋体"/>
          <w:b/>
          <w:color w:val="auto"/>
          <w:sz w:val="32"/>
          <w:szCs w:val="32"/>
        </w:rPr>
      </w:pPr>
      <w:r>
        <w:rPr>
          <w:rFonts w:hint="eastAsia" w:ascii="宋体" w:hAnsi="宋体" w:cs="宋体"/>
          <w:b/>
          <w:color w:val="auto"/>
          <w:sz w:val="32"/>
          <w:szCs w:val="32"/>
        </w:rPr>
      </w:r>
      <w:r/>
    </w:p>
    <w:p>
      <w:pPr>
        <w:pStyle w:val="1062"/>
        <w:jc w:val="center"/>
        <w:spacing w:before="151" w:after="151" w:line="600" w:lineRule="exact"/>
        <w:rPr>
          <w:rFonts w:hint="eastAsia" w:ascii="宋体" w:hAnsi="宋体" w:cs="宋体"/>
          <w:color w:val="auto"/>
          <w:sz w:val="32"/>
          <w:szCs w:val="32"/>
        </w:rPr>
      </w:pPr>
      <w:r>
        <w:rPr>
          <w:rFonts w:hint="eastAsia" w:ascii="宋体" w:hAnsi="宋体" w:cs="宋体"/>
          <w:color w:val="auto"/>
          <w:sz w:val="32"/>
          <w:szCs w:val="32"/>
        </w:rPr>
        <w:t xml:space="preserve">中小微企业声明函（服务类项目）</w:t>
      </w:r>
      <w:r/>
    </w:p>
    <w:p>
      <w:pPr>
        <w:ind w:firstLine="480"/>
        <w:spacing w:line="480" w:lineRule="exact"/>
        <w:rPr>
          <w:rFonts w:hint="eastAsia" w:ascii="宋体" w:hAnsi="宋体" w:cs="宋体"/>
          <w:color w:val="auto"/>
          <w:sz w:val="24"/>
          <w:szCs w:val="24"/>
        </w:rPr>
      </w:pPr>
      <w:r>
        <w:rPr>
          <w:rFonts w:hint="eastAsia" w:ascii="宋体" w:hAnsi="宋体" w:cs="宋体"/>
          <w:color w:val="auto"/>
          <w:sz w:val="24"/>
          <w:szCs w:val="24"/>
        </w:rPr>
        <w:t xml:space="preserve">本公司（联合体）郑重声明，根据《政府采购促进中小企业发展管理办法》(财库〔2020〕46号)的规定，本公司（联合体）参加</w:t>
      </w:r>
      <w:r>
        <w:rPr>
          <w:rFonts w:hint="eastAsia" w:ascii="宋体" w:hAnsi="宋体" w:cs="宋体"/>
          <w:color w:val="auto"/>
          <w:sz w:val="24"/>
          <w:szCs w:val="24"/>
          <w:u w:val="single"/>
        </w:rPr>
        <w:t xml:space="preserve"> 宿迁市城市管理局、宿迁市楚润数据集团有限公司</w:t>
      </w:r>
      <w:r>
        <w:rPr>
          <w:rFonts w:hint="eastAsia" w:ascii="宋体" w:hAnsi="宋体" w:cs="宋体"/>
          <w:color w:val="auto"/>
          <w:sz w:val="24"/>
          <w:szCs w:val="24"/>
        </w:rPr>
        <w:t xml:space="preserve"> 的</w:t>
      </w:r>
      <w:r>
        <w:rPr>
          <w:rFonts w:hint="eastAsia" w:ascii="宋体" w:hAnsi="宋体" w:cs="宋体"/>
          <w:color w:val="auto"/>
          <w:sz w:val="24"/>
          <w:szCs w:val="24"/>
          <w:u w:val="single"/>
        </w:rPr>
        <w:t xml:space="preserve">（项目名称）</w:t>
      </w:r>
      <w:r>
        <w:rPr>
          <w:rFonts w:hint="eastAsia" w:ascii="宋体" w:hAnsi="宋体" w:cs="宋体"/>
          <w:color w:val="auto"/>
          <w:sz w:val="24"/>
          <w:szCs w:val="24"/>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hint="eastAsia" w:ascii="宋体" w:hAnsi="宋体" w:cs="宋体"/>
          <w:i/>
          <w:color w:val="auto"/>
          <w:sz w:val="24"/>
          <w:szCs w:val="24"/>
          <w:u w:val="single"/>
        </w:rPr>
      </w:pPr>
      <w:r>
        <w:rPr>
          <w:rFonts w:hint="eastAsia" w:ascii="宋体" w:hAnsi="宋体" w:cs="宋体"/>
          <w:color w:val="auto"/>
          <w:sz w:val="24"/>
          <w:szCs w:val="24"/>
        </w:rPr>
        <w:t xml:space="preserve">1.</w:t>
      </w:r>
      <w:r>
        <w:rPr>
          <w:rFonts w:hint="eastAsia" w:ascii="宋体" w:hAnsi="宋体" w:cs="宋体"/>
          <w:color w:val="auto"/>
          <w:sz w:val="24"/>
          <w:szCs w:val="24"/>
          <w:u w:val="single"/>
        </w:rPr>
        <w:t xml:space="preserve">（标的名称）</w:t>
      </w:r>
      <w:r>
        <w:rPr>
          <w:rFonts w:hint="eastAsia" w:ascii="宋体" w:hAnsi="宋体" w:cs="宋体"/>
          <w:i/>
          <w:color w:val="auto"/>
          <w:sz w:val="24"/>
          <w:szCs w:val="24"/>
        </w:rPr>
        <w:t xml:space="preserve">，</w:t>
      </w:r>
      <w:r>
        <w:rPr>
          <w:rFonts w:hint="eastAsia" w:ascii="宋体" w:hAnsi="宋体" w:cs="宋体"/>
          <w:color w:val="auto"/>
          <w:sz w:val="24"/>
          <w:szCs w:val="24"/>
        </w:rPr>
        <w:t xml:space="preserve">属于</w:t>
      </w:r>
      <w:r>
        <w:rPr>
          <w:rFonts w:hint="eastAsia" w:ascii="宋体" w:hAnsi="宋体" w:cs="宋体"/>
          <w:color w:val="auto"/>
          <w:sz w:val="24"/>
          <w:szCs w:val="24"/>
          <w:u w:val="single"/>
        </w:rPr>
        <w:t xml:space="preserve">（供应商填写磋商文件中明确的所属行业）</w:t>
      </w:r>
      <w:r>
        <w:rPr>
          <w:rFonts w:hint="eastAsia" w:ascii="宋体" w:hAnsi="宋体" w:cs="宋体"/>
          <w:color w:val="auto"/>
          <w:sz w:val="24"/>
          <w:szCs w:val="24"/>
        </w:rPr>
        <w:t xml:space="preserve">行业；承接企业为</w:t>
      </w:r>
      <w:r>
        <w:rPr>
          <w:rFonts w:hint="eastAsia" w:ascii="宋体" w:hAnsi="宋体" w:cs="宋体"/>
          <w:color w:val="auto"/>
          <w:sz w:val="24"/>
          <w:szCs w:val="24"/>
          <w:u w:val="single"/>
        </w:rPr>
        <w:t xml:space="preserve">（企业名称）</w:t>
      </w:r>
      <w:r>
        <w:rPr>
          <w:rFonts w:hint="eastAsia" w:ascii="宋体" w:hAnsi="宋体" w:cs="宋体"/>
          <w:color w:val="auto"/>
          <w:sz w:val="24"/>
          <w:szCs w:val="24"/>
        </w:rPr>
        <w:t xml:space="preserve">，从业人员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万元，属于</w:t>
      </w:r>
      <w:r>
        <w:rPr>
          <w:rFonts w:hint="eastAsia" w:ascii="宋体" w:hAnsi="宋体" w:cs="宋体"/>
          <w:color w:val="auto"/>
          <w:sz w:val="24"/>
          <w:szCs w:val="24"/>
          <w:u w:val="single"/>
        </w:rPr>
        <w:t xml:space="preserve">（□中型企业 □小型企业 □微型企业）；</w:t>
      </w:r>
      <w:r/>
    </w:p>
    <w:p>
      <w:pPr>
        <w:ind w:firstLine="480"/>
        <w:spacing w:line="480" w:lineRule="exact"/>
        <w:rPr>
          <w:rFonts w:hint="eastAsia" w:ascii="宋体" w:hAnsi="宋体" w:cs="宋体"/>
          <w:i/>
          <w:color w:val="auto"/>
          <w:sz w:val="24"/>
          <w:szCs w:val="24"/>
          <w:u w:val="single"/>
        </w:rPr>
      </w:pPr>
      <w:r>
        <w:rPr>
          <w:rFonts w:hint="eastAsia" w:ascii="宋体" w:hAnsi="宋体" w:cs="宋体"/>
          <w:color w:val="auto"/>
          <w:sz w:val="24"/>
          <w:szCs w:val="24"/>
        </w:rPr>
        <w:t xml:space="preserve">2.</w:t>
      </w:r>
      <w:r>
        <w:rPr>
          <w:rFonts w:hint="eastAsia" w:ascii="宋体" w:hAnsi="宋体" w:cs="宋体"/>
          <w:color w:val="auto"/>
          <w:sz w:val="24"/>
          <w:szCs w:val="24"/>
          <w:u w:val="single"/>
        </w:rPr>
        <w:t xml:space="preserve">（标的名称）</w:t>
      </w:r>
      <w:r>
        <w:rPr>
          <w:rFonts w:hint="eastAsia" w:ascii="宋体" w:hAnsi="宋体" w:cs="宋体"/>
          <w:i/>
          <w:color w:val="auto"/>
          <w:sz w:val="24"/>
          <w:szCs w:val="24"/>
        </w:rPr>
        <w:t xml:space="preserve">，</w:t>
      </w:r>
      <w:r>
        <w:rPr>
          <w:rFonts w:hint="eastAsia" w:ascii="宋体" w:hAnsi="宋体" w:cs="宋体"/>
          <w:color w:val="auto"/>
          <w:sz w:val="24"/>
          <w:szCs w:val="24"/>
        </w:rPr>
        <w:t xml:space="preserve">属于</w:t>
      </w:r>
      <w:r>
        <w:rPr>
          <w:rFonts w:hint="eastAsia" w:ascii="宋体" w:hAnsi="宋体" w:cs="宋体"/>
          <w:color w:val="auto"/>
          <w:sz w:val="24"/>
          <w:szCs w:val="24"/>
          <w:u w:val="single"/>
        </w:rPr>
        <w:t xml:space="preserve">（供应商填写磋商文件中明确的所属行业）</w:t>
      </w:r>
      <w:r>
        <w:rPr>
          <w:rFonts w:hint="eastAsia" w:ascii="宋体" w:hAnsi="宋体" w:cs="宋体"/>
          <w:color w:val="auto"/>
          <w:sz w:val="24"/>
          <w:szCs w:val="24"/>
        </w:rPr>
        <w:t xml:space="preserve">行业；承接企业为</w:t>
      </w:r>
      <w:r>
        <w:rPr>
          <w:rFonts w:hint="eastAsia" w:ascii="宋体" w:hAnsi="宋体" w:cs="宋体"/>
          <w:color w:val="auto"/>
          <w:sz w:val="24"/>
          <w:szCs w:val="24"/>
          <w:u w:val="single"/>
        </w:rPr>
        <w:t xml:space="preserve">（企业名称）</w:t>
      </w:r>
      <w:r>
        <w:rPr>
          <w:rFonts w:hint="eastAsia" w:ascii="宋体" w:hAnsi="宋体" w:cs="宋体"/>
          <w:color w:val="auto"/>
          <w:sz w:val="24"/>
          <w:szCs w:val="24"/>
        </w:rPr>
        <w:t xml:space="preserve">，从业人员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万元，属于</w:t>
      </w:r>
      <w:r>
        <w:rPr>
          <w:rFonts w:hint="eastAsia" w:ascii="宋体" w:hAnsi="宋体" w:cs="宋体"/>
          <w:color w:val="auto"/>
          <w:sz w:val="24"/>
          <w:szCs w:val="24"/>
          <w:u w:val="single"/>
        </w:rPr>
        <w:t xml:space="preserve">（□中型企业 □小型企业 □微型企业）；</w:t>
      </w:r>
      <w:r/>
    </w:p>
    <w:p>
      <w:pPr>
        <w:ind w:firstLine="480"/>
        <w:spacing w:line="480" w:lineRule="exact"/>
        <w:rPr>
          <w:rFonts w:hint="eastAsia" w:ascii="宋体" w:hAnsi="宋体" w:cs="宋体"/>
          <w:color w:val="auto"/>
          <w:sz w:val="24"/>
          <w:szCs w:val="24"/>
        </w:rPr>
      </w:pPr>
      <w:r>
        <w:rPr>
          <w:rFonts w:hint="eastAsia" w:ascii="宋体" w:hAnsi="宋体" w:cs="宋体"/>
          <w:color w:val="auto"/>
          <w:sz w:val="24"/>
          <w:szCs w:val="24"/>
        </w:rPr>
        <w:t xml:space="preserve">……</w:t>
      </w:r>
      <w:r/>
    </w:p>
    <w:p>
      <w:pPr>
        <w:ind w:firstLine="480"/>
        <w:spacing w:line="480" w:lineRule="exact"/>
        <w:rPr>
          <w:rFonts w:hint="eastAsia" w:ascii="宋体" w:hAnsi="宋体" w:cs="宋体"/>
          <w:color w:val="auto"/>
          <w:sz w:val="24"/>
          <w:szCs w:val="24"/>
        </w:rPr>
      </w:pPr>
      <w:r>
        <w:rPr>
          <w:rFonts w:hint="eastAsia" w:ascii="宋体" w:hAnsi="宋体" w:cs="宋体"/>
          <w:color w:val="auto"/>
          <w:sz w:val="24"/>
          <w:szCs w:val="24"/>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cs="宋体"/>
          <w:color w:val="auto"/>
          <w:sz w:val="24"/>
          <w:szCs w:val="24"/>
        </w:rPr>
      </w:pPr>
      <w:r>
        <w:rPr>
          <w:rFonts w:hint="eastAsia" w:ascii="宋体" w:hAnsi="宋体" w:cs="宋体"/>
          <w:color w:val="auto"/>
          <w:sz w:val="24"/>
          <w:szCs w:val="24"/>
        </w:rPr>
        <w:t xml:space="preserve">本企业对上述声明内容的真实性负责。如有虚假，将依法承担相应责任</w:t>
      </w:r>
      <w:r/>
    </w:p>
    <w:p>
      <w:pPr>
        <w:ind w:firstLine="480"/>
        <w:spacing w:line="480" w:lineRule="exact"/>
        <w:rPr>
          <w:rFonts w:hint="eastAsia" w:ascii="宋体" w:hAnsi="宋体" w:cs="宋体"/>
          <w:color w:val="auto"/>
          <w:sz w:val="24"/>
          <w:szCs w:val="24"/>
        </w:rPr>
      </w:pPr>
      <w:r>
        <w:rPr>
          <w:rFonts w:hint="eastAsia" w:ascii="宋体" w:hAnsi="宋体" w:cs="宋体"/>
          <w:color w:val="auto"/>
          <w:sz w:val="24"/>
          <w:szCs w:val="24"/>
        </w:rPr>
      </w:r>
      <w:r/>
    </w:p>
    <w:p>
      <w:pPr>
        <w:ind w:firstLine="480"/>
        <w:jc w:val="right"/>
        <w:spacing w:line="480" w:lineRule="exact"/>
        <w:rPr>
          <w:rFonts w:hint="eastAsia" w:ascii="宋体" w:hAnsi="宋体" w:cs="宋体"/>
          <w:color w:val="auto"/>
          <w:sz w:val="24"/>
          <w:szCs w:val="24"/>
        </w:rPr>
      </w:pPr>
      <w:r>
        <w:rPr>
          <w:rFonts w:hint="eastAsia" w:ascii="宋体" w:hAnsi="宋体" w:cs="宋体"/>
          <w:color w:val="auto"/>
          <w:sz w:val="24"/>
          <w:szCs w:val="24"/>
        </w:rPr>
        <w:t xml:space="preserve">企业名称（加盖CA电子公章）：</w:t>
      </w:r>
      <w:r/>
    </w:p>
    <w:p>
      <w:pPr>
        <w:ind w:firstLine="6960"/>
        <w:spacing w:line="480" w:lineRule="exact"/>
        <w:rPr>
          <w:rFonts w:hint="eastAsia" w:ascii="宋体" w:hAnsi="宋体" w:cs="宋体"/>
          <w:color w:val="auto"/>
          <w:sz w:val="24"/>
          <w:szCs w:val="24"/>
        </w:rPr>
      </w:pPr>
      <w:r>
        <w:rPr>
          <w:rFonts w:hint="eastAsia" w:ascii="宋体" w:hAnsi="宋体" w:cs="宋体"/>
          <w:color w:val="auto"/>
          <w:sz w:val="24"/>
          <w:szCs w:val="24"/>
        </w:rPr>
        <w:t xml:space="preserve">日  期：</w:t>
      </w:r>
      <w:r/>
    </w:p>
    <w:p>
      <w:pPr>
        <w:ind w:firstLine="240"/>
        <w:spacing w:line="480" w:lineRule="exact"/>
        <w:rPr>
          <w:rFonts w:hint="eastAsia" w:ascii="宋体" w:hAnsi="宋体" w:cs="宋体"/>
          <w:color w:val="auto"/>
          <w:sz w:val="24"/>
          <w:szCs w:val="24"/>
        </w:rPr>
      </w:pPr>
      <w:r>
        <w:rPr>
          <w:rFonts w:hint="eastAsia" w:ascii="宋体" w:hAnsi="宋体" w:cs="宋体"/>
          <w:color w:val="auto"/>
          <w:sz w:val="24"/>
          <w:szCs w:val="24"/>
        </w:rPr>
      </w:r>
      <w:r/>
    </w:p>
    <w:p>
      <w:pPr>
        <w:ind w:firstLine="480"/>
        <w:spacing w:line="480" w:lineRule="exact"/>
        <w:rPr>
          <w:rFonts w:hint="eastAsia" w:ascii="宋体" w:hAnsi="宋体" w:cs="宋体"/>
          <w:color w:val="auto"/>
          <w:sz w:val="24"/>
          <w:szCs w:val="24"/>
        </w:rPr>
      </w:pPr>
      <w:r>
        <w:rPr>
          <w:rFonts w:hint="eastAsia" w:ascii="宋体" w:hAnsi="宋体" w:cs="宋体"/>
          <w:color w:val="auto"/>
          <w:sz w:val="24"/>
          <w:szCs w:val="24"/>
        </w:rPr>
        <w:t xml:space="preserve">备注：1.从业人员、营业收入、资产总额填报上一年度数据，无上一年度数据的新成立企业可不填报。</w:t>
      </w:r>
      <w:r/>
    </w:p>
    <w:p>
      <w:pPr>
        <w:ind w:firstLine="480"/>
        <w:spacing w:line="480" w:lineRule="exact"/>
        <w:rPr>
          <w:rFonts w:hint="eastAsia" w:ascii="宋体" w:hAnsi="宋体" w:cs="宋体"/>
          <w:color w:val="auto"/>
          <w:sz w:val="24"/>
          <w:szCs w:val="24"/>
        </w:rPr>
      </w:pPr>
      <w:r>
        <w:rPr>
          <w:rFonts w:hint="eastAsia" w:ascii="宋体" w:hAnsi="宋体" w:cs="宋体"/>
          <w:color w:val="auto"/>
          <w:sz w:val="24"/>
          <w:szCs w:val="24"/>
        </w:rPr>
        <w:t xml:space="preserve">2.符合报价折扣情形的请将此函填报上传至“企业报价折扣证明”一栏中。</w:t>
      </w:r>
      <w:r/>
    </w:p>
    <w:p>
      <w:pPr>
        <w:ind w:firstLine="480"/>
        <w:spacing w:line="480" w:lineRule="exact"/>
        <w:rPr>
          <w:rFonts w:hint="eastAsia" w:ascii="宋体" w:hAnsi="宋体" w:cs="宋体"/>
          <w:color w:val="auto"/>
          <w:sz w:val="22"/>
          <w:szCs w:val="21"/>
        </w:rPr>
      </w:pPr>
      <w:r>
        <w:rPr>
          <w:rFonts w:hint="eastAsia" w:ascii="宋体" w:hAnsi="宋体" w:cs="宋体"/>
          <w:color w:val="auto"/>
          <w:sz w:val="24"/>
          <w:szCs w:val="24"/>
        </w:rPr>
        <w:t xml:space="preserve">3.对照《工业和信息化部、国家统计局、国家发展和改革委员会、财政部关于印发中小企业划型标准规定的通知》(工信部联企业[2011]300号)的规定，供应商自行勾选承接企业的企业规模类型。</w:t>
      </w:r>
      <w:r/>
    </w:p>
    <w:p>
      <w:pPr>
        <w:rPr>
          <w:rFonts w:hint="eastAsia" w:ascii="宋体" w:hAnsi="宋体" w:cs="宋体"/>
          <w:b/>
          <w:color w:val="auto"/>
          <w:sz w:val="24"/>
          <w:szCs w:val="21"/>
        </w:rPr>
      </w:pPr>
      <w:r>
        <w:rPr>
          <w:rFonts w:hint="eastAsia" w:ascii="宋体" w:hAnsi="宋体" w:cs="宋体"/>
          <w:b/>
          <w:color w:val="auto"/>
          <w:sz w:val="24"/>
          <w:szCs w:val="21"/>
        </w:rPr>
      </w:r>
      <w:r/>
    </w:p>
    <w:p>
      <w:pPr>
        <w:pStyle w:val="1062"/>
        <w:jc w:val="center"/>
        <w:spacing w:before="151" w:after="151" w:line="600" w:lineRule="exact"/>
        <w:rPr>
          <w:rFonts w:hint="eastAsia" w:ascii="宋体" w:hAnsi="宋体" w:cs="宋体"/>
          <w:color w:val="auto"/>
          <w:sz w:val="32"/>
          <w:szCs w:val="32"/>
        </w:rPr>
      </w:pPr>
      <w:r>
        <w:rPr>
          <w:rFonts w:hint="eastAsia" w:ascii="宋体" w:hAnsi="宋体" w:cs="宋体"/>
          <w:color w:val="auto"/>
          <w:sz w:val="32"/>
          <w:szCs w:val="32"/>
        </w:rPr>
        <w:t xml:space="preserve">残疾人福利性单位声明函</w:t>
      </w:r>
      <w:r/>
    </w:p>
    <w:p>
      <w:pPr>
        <w:pStyle w:val="1063"/>
        <w:spacing w:line="588" w:lineRule="exact"/>
        <w:rPr>
          <w:rFonts w:hint="eastAsia" w:ascii="宋体" w:hAnsi="宋体" w:cs="宋体"/>
          <w:b/>
          <w:color w:val="auto"/>
          <w:spacing w:val="6"/>
          <w:sz w:val="30"/>
          <w:szCs w:val="30"/>
        </w:rPr>
      </w:pPr>
      <w:r>
        <w:rPr>
          <w:rFonts w:hint="eastAsia" w:ascii="宋体" w:hAnsi="宋体" w:cs="宋体"/>
          <w:b/>
          <w:color w:val="auto"/>
          <w:spacing w:val="6"/>
          <w:sz w:val="30"/>
          <w:szCs w:val="30"/>
        </w:rPr>
      </w:r>
      <w:r/>
    </w:p>
    <w:p>
      <w:pPr>
        <w:pStyle w:val="1062"/>
        <w:ind w:firstLine="480"/>
        <w:spacing w:line="500" w:lineRule="exact"/>
        <w:rPr>
          <w:rFonts w:hint="eastAsia" w:ascii="宋体" w:hAnsi="宋体" w:cs="宋体"/>
          <w:color w:val="auto"/>
          <w:sz w:val="24"/>
        </w:rPr>
      </w:pPr>
      <w:r>
        <w:rPr>
          <w:rFonts w:hint="eastAsia" w:ascii="宋体" w:hAnsi="宋体" w:cs="宋体"/>
          <w:color w:val="auto"/>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u w:val="single"/>
        </w:rPr>
        <w:t xml:space="preserve">宿迁市城市管理局、宿迁市楚润数据集团有限公司</w:t>
      </w:r>
      <w:r>
        <w:rPr>
          <w:rFonts w:hint="eastAsia" w:ascii="宋体" w:hAnsi="宋体" w:cs="宋体"/>
          <w:color w:val="auto"/>
          <w:sz w:val="24"/>
        </w:rPr>
        <w:t xml:space="preserve">的</w:t>
      </w:r>
      <w:r>
        <w:rPr>
          <w:rFonts w:hint="eastAsia" w:ascii="宋体" w:hAnsi="宋体" w:cs="宋体"/>
          <w:color w:val="auto"/>
          <w:sz w:val="24"/>
          <w:szCs w:val="24"/>
          <w:u w:val="single"/>
        </w:rPr>
        <w:t xml:space="preserve">2026年宿迁市城管局智能城管运维项目</w:t>
      </w:r>
      <w:r>
        <w:rPr>
          <w:rFonts w:hint="eastAsia" w:ascii="宋体" w:hAnsi="宋体" w:cs="宋体"/>
          <w:color w:val="auto"/>
          <w:sz w:val="24"/>
        </w:rPr>
        <w:t xml:space="preserve">采购活动提供本单位制造的货物（由本单位承担工程/提供服务），或者提供其他残疾人福利性单位制造的货物（不包括使用非残疾人福利性单位注册商标的货物）。</w:t>
      </w:r>
      <w:r/>
    </w:p>
    <w:p>
      <w:pPr>
        <w:pStyle w:val="1062"/>
        <w:ind w:firstLine="480"/>
        <w:spacing w:line="500" w:lineRule="exact"/>
        <w:rPr>
          <w:rFonts w:hint="eastAsia" w:ascii="宋体" w:hAnsi="宋体" w:cs="宋体"/>
          <w:color w:val="auto"/>
          <w:sz w:val="24"/>
        </w:rPr>
      </w:pPr>
      <w:r>
        <w:rPr>
          <w:rFonts w:hint="eastAsia" w:ascii="宋体" w:hAnsi="宋体" w:cs="宋体"/>
          <w:color w:val="auto"/>
          <w:sz w:val="24"/>
        </w:rPr>
        <w:t xml:space="preserve">本单位对上述声明的真实性负责。如有虚假，将依法承担相应责任。</w:t>
      </w:r>
      <w:r/>
    </w:p>
    <w:p>
      <w:pPr>
        <w:pStyle w:val="1064"/>
        <w:jc w:val="left"/>
        <w:spacing w:line="500" w:lineRule="exact"/>
        <w:rPr>
          <w:rFonts w:hint="eastAsia" w:ascii="宋体" w:hAnsi="宋体" w:cs="宋体"/>
          <w:color w:val="auto"/>
          <w:sz w:val="24"/>
        </w:rPr>
      </w:pPr>
      <w:r>
        <w:rPr>
          <w:rFonts w:hint="eastAsia" w:ascii="宋体" w:hAnsi="宋体" w:cs="宋体"/>
          <w:color w:val="auto"/>
          <w:sz w:val="24"/>
        </w:rPr>
      </w:r>
      <w:r/>
    </w:p>
    <w:p>
      <w:pPr>
        <w:pStyle w:val="1064"/>
        <w:ind w:firstLine="480"/>
        <w:jc w:val="left"/>
        <w:spacing w:line="500" w:lineRule="exact"/>
        <w:rPr>
          <w:rFonts w:hint="eastAsia" w:ascii="宋体" w:hAnsi="宋体" w:cs="宋体"/>
          <w:color w:val="auto"/>
          <w:sz w:val="24"/>
        </w:rPr>
      </w:pPr>
      <w:r>
        <w:rPr>
          <w:rFonts w:hint="eastAsia" w:ascii="宋体" w:hAnsi="宋体" w:cs="宋体"/>
          <w:color w:val="auto"/>
          <w:sz w:val="24"/>
        </w:rPr>
        <w:t xml:space="preserve">单位名称：</w:t>
      </w:r>
      <w:r>
        <w:rPr>
          <w:rFonts w:hint="eastAsia" w:ascii="宋体" w:hAnsi="宋体" w:cs="宋体"/>
          <w:color w:val="auto"/>
          <w:sz w:val="24"/>
          <w:u w:val="single"/>
        </w:rPr>
        <w:t xml:space="preserve">              </w:t>
      </w:r>
      <w:r>
        <w:rPr>
          <w:rFonts w:hint="eastAsia" w:ascii="宋体" w:hAnsi="宋体" w:cs="宋体"/>
          <w:color w:val="auto"/>
          <w:sz w:val="24"/>
        </w:rPr>
        <w:t xml:space="preserve">（</w:t>
      </w:r>
      <w:r>
        <w:rPr>
          <w:rFonts w:hint="eastAsia" w:ascii="宋体" w:hAnsi="宋体" w:cs="宋体"/>
          <w:color w:val="auto"/>
          <w:sz w:val="24"/>
          <w:szCs w:val="24"/>
        </w:rPr>
        <w:t xml:space="preserve">盖CA电子公章</w:t>
      </w:r>
      <w:r>
        <w:rPr>
          <w:rFonts w:hint="eastAsia" w:ascii="宋体" w:hAnsi="宋体" w:cs="宋体"/>
          <w:color w:val="auto"/>
          <w:sz w:val="24"/>
        </w:rPr>
        <w:t xml:space="preserve">）</w:t>
      </w:r>
      <w:r/>
    </w:p>
    <w:p>
      <w:pPr>
        <w:pStyle w:val="1061"/>
        <w:ind w:firstLine="480"/>
        <w:spacing w:line="500" w:lineRule="exact"/>
        <w:rPr>
          <w:rFonts w:hint="eastAsia" w:ascii="宋体" w:hAnsi="宋体" w:cs="宋体"/>
          <w:color w:val="auto"/>
          <w:sz w:val="24"/>
          <w:szCs w:val="20"/>
        </w:rPr>
      </w:pPr>
      <w:r>
        <w:rPr>
          <w:rFonts w:hint="eastAsia" w:ascii="宋体" w:hAnsi="宋体" w:cs="宋体"/>
          <w:color w:val="auto"/>
          <w:sz w:val="24"/>
          <w:szCs w:val="20"/>
        </w:rPr>
        <w:t xml:space="preserve">日期：  年  月  日</w:t>
      </w:r>
      <w:r/>
    </w:p>
    <w:p>
      <w:pPr>
        <w:pStyle w:val="1065"/>
        <w:ind w:left="357" w:firstLine="0"/>
        <w:spacing w:line="500" w:lineRule="exact"/>
        <w:rPr>
          <w:rFonts w:hint="eastAsia" w:ascii="宋体" w:hAnsi="宋体" w:cs="宋体"/>
          <w:color w:val="auto"/>
          <w:sz w:val="24"/>
          <w:szCs w:val="24"/>
        </w:rPr>
      </w:pPr>
      <w:r>
        <w:rPr>
          <w:rFonts w:hint="eastAsia" w:ascii="宋体" w:hAnsi="宋体" w:cs="宋体"/>
          <w:color w:val="auto"/>
          <w:sz w:val="24"/>
          <w:szCs w:val="24"/>
        </w:rPr>
      </w:r>
      <w:r/>
    </w:p>
    <w:p>
      <w:pPr>
        <w:pStyle w:val="1062"/>
        <w:ind w:firstLine="445"/>
        <w:spacing w:before="151" w:after="151" w:line="240" w:lineRule="atLeast"/>
        <w:rPr>
          <w:rFonts w:hint="eastAsia" w:ascii="宋体" w:hAnsi="宋体" w:cs="宋体"/>
          <w:color w:val="auto"/>
          <w:sz w:val="24"/>
          <w:szCs w:val="24"/>
        </w:rPr>
      </w:pPr>
      <w:r>
        <w:rPr>
          <w:rFonts w:hint="eastAsia" w:ascii="宋体" w:hAnsi="宋体" w:cs="宋体"/>
          <w:color w:val="auto"/>
          <w:sz w:val="24"/>
          <w:szCs w:val="24"/>
        </w:rPr>
        <w:t xml:space="preserve">备注：1.非残疾人福利性单位不需提供此函。</w:t>
      </w:r>
      <w:r/>
    </w:p>
    <w:p>
      <w:pPr>
        <w:pStyle w:val="1062"/>
        <w:ind w:firstLine="445"/>
        <w:spacing w:before="151" w:after="151" w:line="240" w:lineRule="atLeast"/>
        <w:rPr>
          <w:rFonts w:hint="eastAsia" w:ascii="宋体" w:hAnsi="宋体" w:cs="宋体"/>
          <w:color w:val="auto"/>
          <w:sz w:val="24"/>
          <w:szCs w:val="24"/>
        </w:rPr>
      </w:pPr>
      <w:r>
        <w:rPr>
          <w:rFonts w:hint="eastAsia" w:ascii="宋体" w:hAnsi="宋体" w:cs="宋体"/>
          <w:color w:val="auto"/>
          <w:sz w:val="24"/>
          <w:szCs w:val="24"/>
        </w:rPr>
        <w:t xml:space="preserve">2.符合报价折扣情形的请将此函填报上传至“企业报价折扣证明”一栏中。</w:t>
      </w:r>
      <w:r/>
    </w:p>
    <w:p>
      <w:pPr>
        <w:rPr>
          <w:rFonts w:hint="eastAsia" w:ascii="宋体" w:hAnsi="宋体" w:cs="宋体"/>
          <w:b/>
          <w:color w:val="auto"/>
          <w:sz w:val="24"/>
          <w:szCs w:val="24"/>
        </w:rPr>
      </w:pPr>
      <w:r>
        <w:rPr>
          <w:rFonts w:hint="eastAsia" w:ascii="宋体" w:hAnsi="宋体" w:cs="宋体"/>
          <w:color w:val="auto"/>
          <w:sz w:val="24"/>
          <w:szCs w:val="24"/>
        </w:rPr>
        <w:br w:type="page" w:clear="all"/>
      </w:r>
      <w:r/>
    </w:p>
    <w:p>
      <w:pPr>
        <w:pStyle w:val="801"/>
        <w:ind w:firstLine="320"/>
        <w:spacing w:before="0" w:after="0" w:line="520" w:lineRule="exact"/>
        <w:rPr>
          <w:rFonts w:hint="eastAsia" w:ascii="宋体" w:hAnsi="宋体" w:eastAsia="宋体" w:cs="宋体"/>
          <w:color w:val="auto"/>
        </w:rPr>
      </w:pPr>
      <w:r>
        <w:rPr>
          <w:rFonts w:hint="eastAsia" w:ascii="宋体" w:hAnsi="宋体" w:eastAsia="宋体" w:cs="宋体"/>
          <w:color w:val="auto"/>
          <w:lang w:val="en-US" w:eastAsia="zh-CN"/>
        </w:rPr>
        <w:t xml:space="preserve">七</w:t>
      </w:r>
      <w:r>
        <w:rPr>
          <w:rFonts w:hint="eastAsia" w:ascii="宋体" w:hAnsi="宋体" w:eastAsia="宋体" w:cs="宋体"/>
          <w:color w:val="auto"/>
        </w:rPr>
        <w:t xml:space="preserve">、技术响应偏离表（技术参数响应）</w:t>
      </w:r>
      <w:r/>
    </w:p>
    <w:p>
      <w:pPr>
        <w:pStyle w:val="816"/>
        <w:rPr>
          <w:rFonts w:hint="eastAsia" w:hAnsi="宋体" w:cs="宋体"/>
          <w:color w:val="auto"/>
        </w:rPr>
      </w:pPr>
      <w:r>
        <w:rPr>
          <w:rFonts w:hint="eastAsia" w:hAnsi="宋体" w:cs="宋体"/>
          <w:color w:val="auto"/>
        </w:rPr>
      </w:r>
      <w:r/>
    </w:p>
    <w:tbl>
      <w:tblPr>
        <w:tblStyle w:val="810"/>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61"/>
        <w:gridCol w:w="2361"/>
        <w:gridCol w:w="1644"/>
        <w:gridCol w:w="2535"/>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宋体" w:hAnsi="宋体" w:cs="宋体"/>
                <w:color w:val="auto"/>
              </w:rPr>
            </w:pPr>
            <w:r>
              <w:rPr>
                <w:rFonts w:hint="eastAsia" w:ascii="宋体" w:hAnsi="宋体" w:cs="宋体"/>
                <w:color w:val="auto"/>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宋体" w:hAnsi="宋体" w:cs="宋体"/>
                <w:color w:val="auto"/>
              </w:rPr>
            </w:pPr>
            <w:r>
              <w:rPr>
                <w:rFonts w:hint="eastAsia" w:ascii="宋体" w:hAnsi="宋体" w:cs="宋体"/>
                <w:color w:val="auto"/>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宋体" w:hAnsi="宋体" w:cs="宋体"/>
                <w:color w:val="auto"/>
                <w:sz w:val="28"/>
              </w:rPr>
            </w:pPr>
            <w:r>
              <w:rPr>
                <w:rFonts w:hint="eastAsia" w:ascii="宋体" w:hAnsi="宋体" w:cs="宋体"/>
                <w:color w:val="auto"/>
                <w:sz w:val="28"/>
              </w:rPr>
              <w:t xml:space="preserve">偏离情况（</w:t>
            </w:r>
            <w:r>
              <w:rPr>
                <w:rFonts w:hint="eastAsia" w:ascii="宋体" w:hAnsi="宋体" w:cs="宋体"/>
                <w:b/>
                <w:color w:val="auto"/>
                <w:sz w:val="24"/>
              </w:rPr>
              <w:t xml:space="preserve">正偏离、负偏离、无偏离</w:t>
            </w:r>
            <w:r>
              <w:rPr>
                <w:rFonts w:hint="eastAsia" w:ascii="宋体" w:hAnsi="宋体" w:cs="宋体"/>
                <w:color w:val="auto"/>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宋体" w:hAnsi="宋体" w:cs="宋体"/>
                <w:color w:val="auto"/>
                <w:sz w:val="28"/>
                <w:szCs w:val="28"/>
              </w:rPr>
            </w:pPr>
            <w:r>
              <w:rPr>
                <w:rFonts w:hint="eastAsia" w:ascii="宋体" w:hAnsi="宋体" w:cs="宋体"/>
                <w:color w:val="auto"/>
                <w:sz w:val="28"/>
              </w:rPr>
              <w:t xml:space="preserve">偏离内容及说明</w:t>
            </w:r>
            <w:r/>
          </w:p>
          <w:p>
            <w:pPr>
              <w:jc w:val="center"/>
              <w:spacing w:before="100" w:line="559" w:lineRule="atLeast"/>
              <w:rPr>
                <w:rFonts w:hint="eastAsia" w:ascii="宋体" w:hAnsi="宋体" w:cs="宋体"/>
                <w:color w:val="auto"/>
              </w:rPr>
            </w:pPr>
            <w:r>
              <w:rPr>
                <w:rFonts w:hint="eastAsia" w:ascii="宋体" w:hAnsi="宋体" w:cs="宋体"/>
                <w:color w:val="auto"/>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cs="宋体"/>
                <w:color w:val="auto"/>
                <w:sz w:val="24"/>
              </w:rPr>
            </w:pPr>
            <w:r>
              <w:rPr>
                <w:rFonts w:hint="eastAsia"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cs="宋体"/>
                <w:color w:val="auto"/>
                <w:sz w:val="24"/>
              </w:rPr>
            </w:pPr>
            <w:r>
              <w:rPr>
                <w:rFonts w:hint="eastAsia"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cs="宋体"/>
                <w:color w:val="auto"/>
                <w:sz w:val="24"/>
              </w:rPr>
            </w:pPr>
            <w:r>
              <w:rPr>
                <w:rFonts w:hint="eastAsia"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cs="宋体"/>
                <w:color w:val="auto"/>
                <w:sz w:val="24"/>
              </w:rPr>
            </w:pPr>
            <w:r>
              <w:rPr>
                <w:rFonts w:hint="eastAsia"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cs="宋体"/>
                <w:color w:val="auto"/>
                <w:sz w:val="24"/>
              </w:rPr>
            </w:pPr>
            <w:r>
              <w:rPr>
                <w:rFonts w:hint="eastAsia"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cs="宋体"/>
                <w:color w:val="auto"/>
                <w:sz w:val="24"/>
              </w:rPr>
            </w:pPr>
            <w:r>
              <w:rPr>
                <w:rFonts w:hint="eastAsia"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cs="宋体"/>
                <w:color w:val="auto"/>
                <w:sz w:val="24"/>
              </w:rPr>
            </w:pPr>
            <w:r>
              <w:rPr>
                <w:rFonts w:hint="eastAsia"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cs="宋体"/>
                <w:color w:val="auto"/>
                <w:sz w:val="24"/>
              </w:rPr>
            </w:pPr>
            <w:r>
              <w:rPr>
                <w:rFonts w:hint="eastAsia"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cs="宋体"/>
                <w:color w:val="auto"/>
                <w:sz w:val="24"/>
              </w:rPr>
            </w:pPr>
            <w:r>
              <w:rPr>
                <w:rFonts w:hint="eastAsia"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宋体" w:hAnsi="宋体" w:cs="宋体"/>
                <w:color w:val="auto"/>
                <w:sz w:val="24"/>
              </w:rPr>
            </w:pPr>
            <w:r>
              <w:rPr>
                <w:rFonts w:hint="eastAsia" w:ascii="宋体" w:hAnsi="宋体" w:cs="宋体"/>
                <w:color w:val="auto"/>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宋体" w:hAnsi="宋体" w:cs="宋体"/>
                <w:color w:val="auto"/>
              </w:rPr>
            </w:pPr>
            <w:r>
              <w:rPr>
                <w:rFonts w:hint="eastAsia" w:ascii="宋体" w:hAnsi="宋体" w:cs="宋体"/>
                <w:color w:val="auto"/>
                <w:sz w:val="24"/>
              </w:rPr>
              <w:t xml:space="preserve"> </w:t>
            </w:r>
            <w:r/>
          </w:p>
        </w:tc>
      </w:tr>
    </w:tbl>
    <w:p>
      <w:pPr>
        <w:jc w:val="right"/>
        <w:spacing w:line="559" w:lineRule="atLeast"/>
        <w:rPr>
          <w:rFonts w:hint="eastAsia" w:ascii="宋体" w:hAnsi="宋体" w:cs="宋体"/>
          <w:color w:val="auto"/>
        </w:rPr>
      </w:pPr>
      <w:r>
        <w:rPr>
          <w:rFonts w:hint="eastAsia" w:ascii="宋体" w:hAnsi="宋体" w:cs="宋体"/>
          <w:color w:val="auto"/>
          <w:sz w:val="24"/>
        </w:rPr>
        <w:t xml:space="preserve">单位名称：</w:t>
      </w:r>
      <w:r>
        <w:rPr>
          <w:rFonts w:hint="eastAsia" w:ascii="宋体" w:hAnsi="宋体" w:cs="宋体"/>
          <w:color w:val="auto"/>
          <w:sz w:val="24"/>
          <w:u w:val="single"/>
        </w:rPr>
        <w:t xml:space="preserve">             </w:t>
      </w:r>
      <w:r>
        <w:rPr>
          <w:rFonts w:hint="eastAsia" w:ascii="宋体" w:hAnsi="宋体" w:cs="宋体"/>
          <w:color w:val="auto"/>
          <w:sz w:val="24"/>
        </w:rPr>
        <w:t xml:space="preserve">（盖CA电子公章）</w:t>
      </w:r>
      <w:r/>
    </w:p>
    <w:p>
      <w:pPr>
        <w:rPr>
          <w:rFonts w:hint="eastAsia" w:ascii="宋体" w:hAnsi="宋体" w:cs="宋体"/>
          <w:color w:val="auto"/>
        </w:rPr>
      </w:pPr>
      <w:r>
        <w:rPr>
          <w:rFonts w:hint="eastAsia" w:ascii="宋体" w:hAnsi="宋体" w:cs="宋体"/>
          <w:color w:val="auto"/>
        </w:rPr>
      </w:r>
      <w:r/>
    </w:p>
    <w:p>
      <w:pPr>
        <w:pStyle w:val="846"/>
        <w:ind w:firstLine="482"/>
        <w:jc w:val="both"/>
        <w:spacing w:before="0" w:beforeAutospacing="0" w:after="0" w:afterAutospacing="0" w:line="480" w:lineRule="exact"/>
        <w:widowControl w:val="off"/>
        <w:rPr>
          <w:rFonts w:hint="eastAsia"/>
          <w:color w:val="auto"/>
          <w:szCs w:val="28"/>
        </w:rPr>
      </w:pPr>
      <w:r>
        <w:rPr>
          <w:rFonts w:hint="eastAsia"/>
          <w:b/>
          <w:bCs/>
          <w:color w:val="auto"/>
          <w:szCs w:val="28"/>
        </w:rPr>
        <w:t xml:space="preserve">备注：</w:t>
      </w:r>
      <w:r>
        <w:rPr>
          <w:rFonts w:hint="eastAsia"/>
          <w:color w:val="auto"/>
          <w:szCs w:val="28"/>
        </w:rPr>
        <w:t xml:space="preserve">1.对采购需求的其他非实质性要求，投标人按所投服务情况在此表中详细列出偏离情况(包括正偏离、负偏离、无偏离)并说明理由，未列明的均视为未响应采购文件要求。2.供应商所投服务如与磋商文件要求的规格及配置不一致，则须在上表偏离说明中详细注明。</w:t>
      </w:r>
      <w:r/>
    </w:p>
    <w:p>
      <w:pPr>
        <w:pStyle w:val="846"/>
        <w:ind w:firstLine="482"/>
        <w:jc w:val="both"/>
        <w:spacing w:before="0" w:beforeAutospacing="0" w:after="0" w:afterAutospacing="0" w:line="480" w:lineRule="exact"/>
        <w:widowControl w:val="off"/>
        <w:rPr>
          <w:rFonts w:hint="eastAsia"/>
          <w:color w:val="auto"/>
          <w:szCs w:val="28"/>
        </w:rPr>
      </w:pPr>
      <w:r>
        <w:rPr>
          <w:rFonts w:hint="eastAsia"/>
          <w:color w:val="auto"/>
          <w:szCs w:val="28"/>
        </w:rPr>
      </w:r>
      <w:r/>
    </w:p>
    <w:p>
      <w:pPr>
        <w:pStyle w:val="846"/>
        <w:ind w:firstLine="482"/>
        <w:jc w:val="both"/>
        <w:spacing w:before="0" w:beforeAutospacing="0" w:after="0" w:afterAutospacing="0" w:line="480" w:lineRule="exact"/>
        <w:widowControl w:val="off"/>
        <w:rPr>
          <w:rFonts w:hint="eastAsia"/>
          <w:color w:val="auto"/>
          <w:szCs w:val="28"/>
        </w:rPr>
      </w:pPr>
      <w:r>
        <w:rPr>
          <w:rFonts w:hint="eastAsia"/>
          <w:color w:val="auto"/>
          <w:szCs w:val="28"/>
        </w:rPr>
      </w:r>
      <w:r/>
    </w:p>
    <w:p>
      <w:pPr>
        <w:pStyle w:val="846"/>
        <w:ind w:firstLine="482"/>
        <w:jc w:val="both"/>
        <w:spacing w:before="0" w:beforeAutospacing="0" w:after="0" w:afterAutospacing="0" w:line="480" w:lineRule="exact"/>
        <w:widowControl w:val="off"/>
        <w:rPr>
          <w:rFonts w:hint="eastAsia"/>
          <w:color w:val="auto"/>
          <w:szCs w:val="28"/>
        </w:rPr>
      </w:pPr>
      <w:r>
        <w:rPr>
          <w:rFonts w:hint="eastAsia"/>
          <w:color w:val="auto"/>
          <w:szCs w:val="28"/>
        </w:rPr>
      </w:r>
      <w:r/>
    </w:p>
    <w:p>
      <w:pPr>
        <w:pStyle w:val="801"/>
        <w:ind w:firstLine="320"/>
        <w:spacing w:before="0" w:after="0" w:line="520" w:lineRule="exact"/>
        <w:rPr>
          <w:rFonts w:hint="eastAsia" w:ascii="宋体" w:hAnsi="宋体" w:eastAsia="宋体" w:cs="宋体"/>
          <w:color w:val="auto"/>
        </w:rPr>
      </w:pPr>
      <w:r>
        <w:rPr>
          <w:rFonts w:hint="eastAsia" w:ascii="宋体" w:hAnsi="宋体" w:eastAsia="宋体" w:cs="宋体"/>
          <w:color w:val="auto"/>
          <w:lang w:val="en-US" w:eastAsia="zh-CN"/>
        </w:rPr>
        <w:t xml:space="preserve">八</w:t>
      </w:r>
      <w:r>
        <w:rPr>
          <w:rFonts w:hint="eastAsia" w:ascii="宋体" w:hAnsi="宋体" w:eastAsia="宋体" w:cs="宋体"/>
          <w:color w:val="auto"/>
        </w:rPr>
        <w:t xml:space="preserve">、项目组人员</w:t>
      </w:r>
      <w:r/>
    </w:p>
    <w:tbl>
      <w:tblPr>
        <w:tblStyle w:val="810"/>
        <w:tblpPr w:horzAnchor="margin" w:tblpXSpec="center" w:vertAnchor="text" w:tblpY="74" w:leftFromText="180" w:topFromText="0" w:rightFromText="180" w:bottomFromText="0"/>
        <w:tblW w:w="99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276"/>
        <w:gridCol w:w="1418"/>
        <w:gridCol w:w="850"/>
        <w:gridCol w:w="1526"/>
        <w:gridCol w:w="1591"/>
        <w:gridCol w:w="1275"/>
        <w:gridCol w:w="1308"/>
      </w:tblGrid>
      <w:tr>
        <w:trPr>
          <w:trHeight w:val="1301"/>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t xml:space="preserve">序号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t xml:space="preserve">姓名</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t xml:space="preserve">本项目</w:t>
            </w:r>
            <w:r/>
          </w:p>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t xml:space="preserve">拟任职务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t xml:space="preserve">性别</w:t>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t xml:space="preserve">学历</w:t>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t xml:space="preserve">身份证号</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t xml:space="preserve">相关</w:t>
            </w:r>
            <w:r/>
          </w:p>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t xml:space="preserve">证书</w:t>
            </w:r>
            <w:r/>
          </w:p>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r>
      <w:tr>
        <w:trPr>
          <w:trHeight w:val="729"/>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r>
      <w:tr>
        <w:trPr>
          <w:trHeight w:val="729"/>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t xml:space="preserve">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r>
      <w:tr>
        <w:trPr>
          <w:trHeight w:val="729"/>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t xml:space="preserve">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r>
      <w:tr>
        <w:trPr>
          <w:trHeight w:val="729"/>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t xml:space="preserve">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r>
      <w:tr>
        <w:trPr>
          <w:trHeight w:val="114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t xml:space="preserve">6</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r>
      <w:tr>
        <w:trPr>
          <w:trHeight w:val="525"/>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r>
      <w:tr>
        <w:trPr>
          <w:trHeight w:val="510"/>
        </w:trPr>
        <w:tc>
          <w:tcPr>
            <w:tcBorders>
              <w:top w:val="single" w:color="000000" w:sz="4" w:space="0"/>
              <w:left w:val="single" w:color="000000" w:sz="4" w:space="0"/>
              <w:bottom w:val="single" w:color="000000" w:sz="4" w:space="0"/>
              <w:right w:val="single" w:color="000000" w:sz="4" w:space="0"/>
            </w:tcBorders>
            <w:tcW w:w="674"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526"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tc>
      </w:tr>
    </w:tbl>
    <w:p>
      <w:pPr>
        <w:ind w:firstLine="210"/>
        <w:spacing w:line="480" w:lineRule="exact"/>
        <w:rPr>
          <w:rFonts w:hint="eastAsia" w:ascii="宋体" w:hAnsi="宋体" w:cs="宋体"/>
          <w:bCs/>
          <w:color w:val="auto"/>
          <w:sz w:val="24"/>
          <w:szCs w:val="20"/>
        </w:rPr>
      </w:pPr>
      <w:r>
        <w:rPr>
          <w:rFonts w:hint="eastAsia" w:ascii="宋体" w:hAnsi="宋体" w:cs="宋体"/>
          <w:color w:val="auto"/>
          <w:sz w:val="24"/>
          <w:szCs w:val="20"/>
        </w:rPr>
        <w:t xml:space="preserve">注：</w:t>
      </w:r>
      <w:r>
        <w:rPr>
          <w:rFonts w:hint="eastAsia" w:ascii="宋体" w:hAnsi="宋体" w:cs="宋体"/>
          <w:bCs/>
          <w:color w:val="auto"/>
          <w:sz w:val="24"/>
          <w:szCs w:val="20"/>
        </w:rPr>
        <w:t xml:space="preserve">1、涉及评分标准的项目组人员在本表中填报，相关证明材料附后。</w:t>
      </w:r>
      <w:r>
        <w:rPr>
          <w:rFonts w:hint="eastAsia" w:ascii="宋体" w:hAnsi="宋体" w:cs="宋体"/>
          <w:color w:val="auto"/>
          <w:sz w:val="24"/>
          <w:szCs w:val="20"/>
        </w:rPr>
        <w:t xml:space="preserve">中标后，本表（身份证号信息除外）将随成交结果进行公开</w:t>
      </w:r>
      <w:r>
        <w:rPr>
          <w:rFonts w:hint="eastAsia" w:ascii="宋体" w:hAnsi="宋体" w:cs="宋体"/>
          <w:bCs/>
          <w:color w:val="auto"/>
          <w:sz w:val="24"/>
          <w:szCs w:val="20"/>
        </w:rPr>
        <w:t xml:space="preserve">。</w:t>
      </w:r>
      <w:r/>
    </w:p>
    <w:p>
      <w:pPr>
        <w:ind w:firstLine="210"/>
        <w:spacing w:line="480" w:lineRule="exact"/>
        <w:rPr>
          <w:rFonts w:hint="eastAsia" w:ascii="宋体" w:hAnsi="宋体" w:cs="宋体"/>
          <w:bCs/>
          <w:color w:val="auto"/>
          <w:sz w:val="24"/>
          <w:szCs w:val="20"/>
        </w:rPr>
      </w:pPr>
      <w:r>
        <w:rPr>
          <w:rFonts w:hint="eastAsia" w:ascii="宋体" w:hAnsi="宋体" w:cs="宋体"/>
          <w:bCs/>
          <w:color w:val="auto"/>
          <w:sz w:val="24"/>
          <w:szCs w:val="20"/>
        </w:rPr>
        <w:t xml:space="preserve">2、未涉及评分标准的其他人员可在中标后按采购需求要求进行配备，合同签订前报采购人认可。</w:t>
      </w:r>
      <w:r/>
    </w:p>
    <w:p>
      <w:pPr>
        <w:ind w:firstLine="210"/>
        <w:spacing w:line="480" w:lineRule="exact"/>
        <w:rPr>
          <w:rFonts w:hint="eastAsia" w:ascii="宋体" w:hAnsi="宋体" w:cs="宋体"/>
          <w:bCs/>
          <w:color w:val="auto"/>
          <w:sz w:val="24"/>
          <w:szCs w:val="20"/>
        </w:rPr>
      </w:pPr>
      <w:r>
        <w:rPr>
          <w:rFonts w:hint="eastAsia" w:ascii="宋体" w:hAnsi="宋体" w:cs="宋体"/>
          <w:bCs/>
          <w:color w:val="auto"/>
          <w:sz w:val="24"/>
          <w:szCs w:val="20"/>
        </w:rPr>
        <w:t xml:space="preserve">3、如供应商中标，项目组人员应按本表中承诺人员操作，不得随意更换。</w:t>
      </w:r>
      <w:r/>
    </w:p>
    <w:p>
      <w:pPr>
        <w:ind w:firstLine="210"/>
        <w:spacing w:line="480" w:lineRule="exact"/>
        <w:rPr>
          <w:rFonts w:hint="eastAsia" w:ascii="宋体" w:hAnsi="宋体" w:cs="宋体"/>
          <w:color w:val="auto"/>
          <w:sz w:val="24"/>
          <w:szCs w:val="20"/>
        </w:rPr>
      </w:pPr>
      <w:r>
        <w:rPr>
          <w:rFonts w:hint="eastAsia" w:ascii="宋体" w:hAnsi="宋体" w:cs="宋体"/>
          <w:color w:val="auto"/>
          <w:sz w:val="24"/>
          <w:szCs w:val="20"/>
        </w:rPr>
      </w:r>
      <w:r/>
    </w:p>
    <w:p>
      <w:pPr>
        <w:ind w:firstLine="210"/>
        <w:rPr>
          <w:rFonts w:hint="eastAsia" w:ascii="宋体" w:hAnsi="宋体" w:cs="宋体"/>
          <w:color w:val="auto"/>
          <w:szCs w:val="21"/>
        </w:rPr>
      </w:pPr>
      <w:r>
        <w:rPr>
          <w:rFonts w:hint="eastAsia" w:ascii="宋体" w:hAnsi="宋体" w:cs="宋体"/>
          <w:color w:val="auto"/>
          <w:szCs w:val="21"/>
        </w:rPr>
      </w:r>
      <w:r/>
    </w:p>
    <w:p>
      <w:pPr>
        <w:ind w:firstLine="210"/>
        <w:rPr>
          <w:rFonts w:hint="eastAsia" w:ascii="宋体" w:hAnsi="宋体" w:cs="宋体"/>
          <w:color w:val="auto"/>
          <w:szCs w:val="21"/>
        </w:rPr>
      </w:pPr>
      <w:r>
        <w:rPr>
          <w:rFonts w:hint="eastAsia" w:ascii="宋体" w:hAnsi="宋体" w:cs="宋体"/>
          <w:color w:val="auto"/>
          <w:szCs w:val="21"/>
        </w:rPr>
      </w:r>
      <w:r/>
    </w:p>
    <w:p>
      <w:pPr>
        <w:ind w:firstLine="210"/>
        <w:rPr>
          <w:rFonts w:hint="eastAsia" w:ascii="宋体" w:hAnsi="宋体" w:cs="宋体"/>
          <w:color w:val="auto"/>
          <w:szCs w:val="21"/>
        </w:rPr>
      </w:pPr>
      <w:r>
        <w:rPr>
          <w:rFonts w:hint="eastAsia" w:ascii="宋体" w:hAnsi="宋体" w:cs="宋体"/>
          <w:color w:val="auto"/>
          <w:szCs w:val="21"/>
        </w:rPr>
      </w:r>
      <w:r/>
    </w:p>
    <w:p>
      <w:pPr>
        <w:ind w:firstLine="210"/>
        <w:rPr>
          <w:rFonts w:hint="eastAsia" w:ascii="宋体" w:hAnsi="宋体" w:cs="宋体"/>
          <w:color w:val="auto"/>
          <w:szCs w:val="21"/>
        </w:rPr>
      </w:pPr>
      <w:r>
        <w:rPr>
          <w:rFonts w:hint="eastAsia" w:ascii="宋体" w:hAnsi="宋体" w:cs="宋体"/>
          <w:color w:val="auto"/>
          <w:szCs w:val="21"/>
        </w:rPr>
      </w:r>
      <w:r/>
    </w:p>
    <w:p>
      <w:pPr>
        <w:ind w:firstLine="210"/>
        <w:rPr>
          <w:rFonts w:hint="eastAsia" w:ascii="宋体" w:hAnsi="宋体" w:cs="宋体"/>
          <w:color w:val="auto"/>
          <w:szCs w:val="21"/>
        </w:rPr>
      </w:pPr>
      <w:r>
        <w:rPr>
          <w:rFonts w:hint="eastAsia" w:ascii="宋体" w:hAnsi="宋体" w:cs="宋体"/>
          <w:color w:val="auto"/>
          <w:szCs w:val="21"/>
        </w:rPr>
      </w:r>
      <w:r/>
    </w:p>
    <w:p>
      <w:pPr>
        <w:ind w:firstLine="210"/>
        <w:rPr>
          <w:rFonts w:hint="eastAsia" w:ascii="宋体" w:hAnsi="宋体" w:cs="宋体"/>
          <w:color w:val="auto"/>
          <w:szCs w:val="21"/>
        </w:rPr>
      </w:pPr>
      <w:r>
        <w:rPr>
          <w:rFonts w:hint="eastAsia" w:ascii="宋体" w:hAnsi="宋体" w:cs="宋体"/>
          <w:color w:val="auto"/>
          <w:szCs w:val="21"/>
        </w:rPr>
      </w:r>
      <w:r/>
    </w:p>
    <w:p>
      <w:pPr>
        <w:ind w:firstLine="210"/>
        <w:rPr>
          <w:rFonts w:hint="eastAsia" w:ascii="宋体" w:hAnsi="宋体" w:cs="宋体"/>
          <w:color w:val="auto"/>
          <w:szCs w:val="21"/>
        </w:rPr>
      </w:pPr>
      <w:r>
        <w:rPr>
          <w:rFonts w:hint="eastAsia" w:ascii="宋体" w:hAnsi="宋体" w:cs="宋体"/>
          <w:color w:val="auto"/>
          <w:szCs w:val="21"/>
        </w:rPr>
      </w:r>
      <w:r/>
    </w:p>
    <w:p>
      <w:pPr>
        <w:ind w:firstLine="210"/>
        <w:rPr>
          <w:rFonts w:hint="eastAsia" w:ascii="宋体" w:hAnsi="宋体" w:cs="宋体"/>
          <w:color w:val="auto"/>
          <w:szCs w:val="21"/>
        </w:rPr>
      </w:pPr>
      <w:r>
        <w:rPr>
          <w:rFonts w:hint="eastAsia" w:ascii="宋体" w:hAnsi="宋体" w:cs="宋体"/>
          <w:color w:val="auto"/>
          <w:szCs w:val="21"/>
        </w:rPr>
      </w:r>
      <w:r/>
    </w:p>
    <w:p>
      <w:pPr>
        <w:ind w:firstLine="210"/>
        <w:rPr>
          <w:rFonts w:hint="eastAsia" w:ascii="宋体" w:hAnsi="宋体" w:cs="宋体"/>
          <w:color w:val="auto"/>
          <w:szCs w:val="21"/>
        </w:rPr>
      </w:pPr>
      <w:r>
        <w:rPr>
          <w:rFonts w:hint="eastAsia" w:ascii="宋体" w:hAnsi="宋体" w:cs="宋体"/>
          <w:color w:val="auto"/>
          <w:szCs w:val="21"/>
        </w:rPr>
      </w:r>
      <w:r/>
    </w:p>
    <w:p>
      <w:pPr>
        <w:ind w:firstLine="210"/>
        <w:rPr>
          <w:rFonts w:hint="eastAsia" w:ascii="宋体" w:hAnsi="宋体" w:cs="宋体"/>
          <w:color w:val="auto"/>
          <w:szCs w:val="21"/>
        </w:rPr>
      </w:pPr>
      <w:r>
        <w:rPr>
          <w:rFonts w:hint="eastAsia" w:ascii="宋体" w:hAnsi="宋体" w:cs="宋体"/>
          <w:color w:val="auto"/>
          <w:szCs w:val="21"/>
        </w:rPr>
      </w:r>
      <w:r/>
    </w:p>
    <w:p>
      <w:pPr>
        <w:pStyle w:val="801"/>
        <w:ind w:firstLine="320"/>
        <w:spacing w:before="0" w:after="0" w:line="520" w:lineRule="exact"/>
        <w:rPr>
          <w:rFonts w:hint="eastAsia" w:ascii="宋体" w:hAnsi="宋体" w:eastAsia="宋体" w:cs="宋体"/>
          <w:color w:val="auto"/>
        </w:rPr>
      </w:pPr>
      <w:r>
        <w:rPr>
          <w:rFonts w:hint="eastAsia" w:ascii="宋体" w:hAnsi="宋体" w:eastAsia="宋体" w:cs="宋体"/>
          <w:color w:val="auto"/>
          <w:lang w:val="en-US" w:eastAsia="zh-CN"/>
        </w:rPr>
        <w:t xml:space="preserve">九</w:t>
      </w:r>
      <w:r>
        <w:rPr>
          <w:rFonts w:hint="eastAsia" w:ascii="宋体" w:hAnsi="宋体" w:eastAsia="宋体" w:cs="宋体"/>
          <w:color w:val="auto"/>
        </w:rPr>
        <w:t xml:space="preserve">、企业业绩</w:t>
      </w:r>
      <w:r/>
    </w:p>
    <w:p>
      <w:pPr>
        <w:pStyle w:val="1087"/>
        <w:jc w:val="center"/>
        <w:rPr>
          <w:rFonts w:hint="eastAsia" w:ascii="宋体" w:hAnsi="宋体" w:cs="宋体"/>
          <w:bCs/>
          <w:color w:val="auto"/>
          <w:sz w:val="32"/>
          <w:szCs w:val="32"/>
        </w:rPr>
      </w:pPr>
      <w:r>
        <w:rPr>
          <w:rFonts w:hint="eastAsia" w:ascii="宋体" w:hAnsi="宋体" w:cs="宋体"/>
          <w:bCs/>
          <w:color w:val="auto"/>
          <w:sz w:val="32"/>
          <w:szCs w:val="32"/>
        </w:rPr>
        <w:t xml:space="preserve">供应商自</w:t>
      </w:r>
      <w:r>
        <w:rPr>
          <w:rFonts w:hint="eastAsia" w:ascii="宋体" w:hAnsi="宋体" w:cs="宋体"/>
          <w:bCs/>
          <w:color w:val="auto"/>
          <w:sz w:val="32"/>
          <w:szCs w:val="32"/>
          <w:u w:val="single"/>
        </w:rPr>
        <w:t xml:space="preserve"> </w:t>
      </w:r>
      <w:r>
        <w:rPr>
          <w:rFonts w:hint="eastAsia" w:ascii="宋体" w:hAnsi="宋体" w:cs="宋体"/>
          <w:bCs/>
          <w:color w:val="auto"/>
          <w:sz w:val="32"/>
          <w:szCs w:val="32"/>
        </w:rPr>
        <w:t xml:space="preserve">年</w:t>
      </w:r>
      <w:r>
        <w:rPr>
          <w:rFonts w:hint="eastAsia" w:ascii="宋体" w:hAnsi="宋体" w:cs="宋体"/>
          <w:bCs/>
          <w:color w:val="auto"/>
          <w:sz w:val="32"/>
          <w:szCs w:val="32"/>
          <w:u w:val="single"/>
        </w:rPr>
        <w:t xml:space="preserve"> </w:t>
      </w:r>
      <w:r>
        <w:rPr>
          <w:rFonts w:hint="eastAsia" w:ascii="宋体" w:hAnsi="宋体" w:cs="宋体"/>
          <w:bCs/>
          <w:color w:val="auto"/>
          <w:sz w:val="32"/>
          <w:szCs w:val="32"/>
        </w:rPr>
        <w:t xml:space="preserve">月</w:t>
      </w:r>
      <w:r>
        <w:rPr>
          <w:rFonts w:hint="eastAsia" w:ascii="宋体" w:hAnsi="宋体" w:cs="宋体"/>
          <w:bCs/>
          <w:color w:val="auto"/>
          <w:sz w:val="32"/>
          <w:szCs w:val="32"/>
          <w:u w:val="single"/>
        </w:rPr>
        <w:t xml:space="preserve"> </w:t>
      </w:r>
      <w:r>
        <w:rPr>
          <w:rFonts w:hint="eastAsia" w:ascii="宋体" w:hAnsi="宋体" w:cs="宋体"/>
          <w:bCs/>
          <w:color w:val="auto"/>
          <w:sz w:val="32"/>
          <w:szCs w:val="32"/>
        </w:rPr>
        <w:t xml:space="preserve">日以来承担</w:t>
      </w:r>
      <w:r/>
    </w:p>
    <w:p>
      <w:pPr>
        <w:pStyle w:val="1087"/>
        <w:jc w:val="center"/>
        <w:rPr>
          <w:rFonts w:hint="eastAsia" w:ascii="宋体" w:hAnsi="宋体" w:cs="宋体"/>
          <w:bCs/>
          <w:color w:val="auto"/>
          <w:sz w:val="32"/>
          <w:szCs w:val="32"/>
        </w:rPr>
      </w:pPr>
      <w:r>
        <w:rPr>
          <w:rFonts w:hint="eastAsia" w:ascii="宋体" w:hAnsi="宋体" w:cs="宋体"/>
          <w:bCs/>
          <w:color w:val="auto"/>
          <w:sz w:val="32"/>
          <w:szCs w:val="32"/>
        </w:rPr>
        <w:t xml:space="preserve">类似项目业绩一览表</w:t>
      </w:r>
      <w:r/>
    </w:p>
    <w:p>
      <w:pPr>
        <w:pStyle w:val="1087"/>
        <w:ind w:firstLine="480"/>
        <w:rPr>
          <w:rFonts w:hint="eastAsia" w:ascii="宋体" w:hAnsi="宋体" w:cs="宋体"/>
          <w:bCs/>
          <w:color w:val="auto"/>
          <w:sz w:val="24"/>
          <w:szCs w:val="24"/>
        </w:rPr>
      </w:pPr>
      <w:r>
        <w:rPr>
          <w:rFonts w:hint="eastAsia" w:ascii="宋体" w:hAnsi="宋体" w:cs="宋体"/>
          <w:bCs/>
          <w:color w:val="auto"/>
          <w:sz w:val="24"/>
          <w:szCs w:val="24"/>
        </w:rPr>
      </w:r>
      <w:r/>
    </w:p>
    <w:tbl>
      <w:tblPr>
        <w:tblStyle w:val="810"/>
        <w:tblW w:w="89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8"/>
        <w:gridCol w:w="2362"/>
        <w:gridCol w:w="1416"/>
        <w:gridCol w:w="1417"/>
        <w:gridCol w:w="1259"/>
        <w:gridCol w:w="1484"/>
      </w:tblGrid>
      <w:tr>
        <w:trPr>
          <w:jc w:val="center"/>
          <w:trHeight w:val="753"/>
        </w:trPr>
        <w:tc>
          <w:tcPr>
            <w:tcBorders>
              <w:top w:val="single" w:color="000000" w:sz="4" w:space="0"/>
              <w:left w:val="single" w:color="000000" w:sz="4" w:space="0"/>
              <w:bottom w:val="single" w:color="000000" w:sz="4" w:space="0"/>
              <w:right w:val="single" w:color="000000" w:sz="4" w:space="0"/>
            </w:tcBorders>
            <w:tcW w:w="988" w:type="dxa"/>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t xml:space="preserve">序</w:t>
            </w:r>
            <w:r/>
          </w:p>
          <w:p>
            <w:pPr>
              <w:pStyle w:val="1087"/>
              <w:ind w:firstLine="480"/>
              <w:rPr>
                <w:rFonts w:hint="eastAsia" w:ascii="宋体" w:hAnsi="宋体" w:cs="宋体"/>
                <w:color w:val="auto"/>
                <w:sz w:val="24"/>
                <w:szCs w:val="24"/>
              </w:rPr>
            </w:pPr>
            <w:r>
              <w:rPr>
                <w:rFonts w:hint="eastAsia" w:ascii="宋体" w:hAnsi="宋体" w:cs="宋体"/>
                <w:color w:val="auto"/>
                <w:sz w:val="24"/>
                <w:szCs w:val="24"/>
              </w:rPr>
              <w:t xml:space="preserve">号</w:t>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1087"/>
              <w:rPr>
                <w:rFonts w:hint="eastAsia" w:ascii="宋体" w:hAnsi="宋体" w:cs="宋体"/>
                <w:color w:val="auto"/>
                <w:sz w:val="24"/>
                <w:szCs w:val="24"/>
              </w:rPr>
            </w:pPr>
            <w:r>
              <w:rPr>
                <w:rFonts w:hint="eastAsia" w:ascii="宋体" w:hAnsi="宋体" w:cs="宋体"/>
                <w:color w:val="auto"/>
                <w:sz w:val="24"/>
                <w:szCs w:val="24"/>
              </w:rPr>
              <w:t xml:space="preserve">采购单位</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87"/>
              <w:rPr>
                <w:rFonts w:hint="eastAsia" w:ascii="宋体" w:hAnsi="宋体" w:cs="宋体"/>
                <w:color w:val="auto"/>
                <w:sz w:val="24"/>
                <w:szCs w:val="24"/>
              </w:rPr>
            </w:pPr>
            <w:r>
              <w:rPr>
                <w:rFonts w:hint="eastAsia" w:ascii="宋体" w:hAnsi="宋体" w:cs="宋体"/>
                <w:color w:val="auto"/>
                <w:sz w:val="24"/>
                <w:szCs w:val="24"/>
              </w:rPr>
              <w:t xml:space="preserve">合同签订</w:t>
            </w:r>
            <w:r/>
          </w:p>
          <w:p>
            <w:pPr>
              <w:pStyle w:val="1087"/>
              <w:ind w:firstLine="480"/>
              <w:rPr>
                <w:rFonts w:hint="eastAsia" w:ascii="宋体" w:hAnsi="宋体" w:cs="宋体"/>
                <w:color w:val="auto"/>
                <w:sz w:val="24"/>
                <w:szCs w:val="24"/>
              </w:rPr>
            </w:pPr>
            <w:r>
              <w:rPr>
                <w:rFonts w:hint="eastAsia" w:ascii="宋体" w:hAnsi="宋体" w:cs="宋体"/>
                <w:color w:val="auto"/>
                <w:sz w:val="24"/>
                <w:szCs w:val="24"/>
              </w:rPr>
              <w:t xml:space="preserve">时间</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1087"/>
              <w:rPr>
                <w:rFonts w:hint="eastAsia" w:ascii="宋体" w:hAnsi="宋体" w:cs="宋体"/>
                <w:color w:val="auto"/>
                <w:sz w:val="24"/>
                <w:szCs w:val="24"/>
              </w:rPr>
            </w:pPr>
            <w:r>
              <w:rPr>
                <w:rFonts w:hint="eastAsia" w:ascii="宋体" w:hAnsi="宋体" w:cs="宋体"/>
                <w:color w:val="auto"/>
                <w:sz w:val="24"/>
                <w:szCs w:val="24"/>
              </w:rPr>
              <w:t xml:space="preserve">验收结果</w:t>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t xml:space="preserve">备注</w:t>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988" w:type="dxa"/>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988" w:type="dxa"/>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1510"/>
        </w:trPr>
        <w:tc>
          <w:tcPr>
            <w:tcBorders>
              <w:top w:val="single" w:color="000000" w:sz="4" w:space="0"/>
              <w:left w:val="single" w:color="000000" w:sz="4" w:space="0"/>
              <w:bottom w:val="single" w:color="000000" w:sz="4" w:space="0"/>
              <w:right w:val="single" w:color="000000" w:sz="4" w:space="0"/>
            </w:tcBorders>
            <w:tcW w:w="988" w:type="dxa"/>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r>
            <w:r/>
          </w:p>
        </w:tc>
      </w:tr>
      <w:tr>
        <w:trPr>
          <w:jc w:val="center"/>
          <w:trHeight w:val="1525"/>
        </w:trPr>
        <w:tc>
          <w:tcPr>
            <w:tcBorders>
              <w:top w:val="single" w:color="000000" w:sz="4" w:space="0"/>
              <w:left w:val="single" w:color="000000" w:sz="4" w:space="0"/>
              <w:bottom w:val="single" w:color="000000" w:sz="4" w:space="0"/>
              <w:right w:val="single" w:color="000000" w:sz="4" w:space="0"/>
            </w:tcBorders>
            <w:tcW w:w="988" w:type="dxa"/>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362" w:type="dxa"/>
            <w:vAlign w:val="center"/>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84" w:type="dxa"/>
            <w:vAlign w:val="center"/>
            <w:textDirection w:val="lrTb"/>
            <w:noWrap w:val="false"/>
          </w:tcPr>
          <w:p>
            <w:pPr>
              <w:pStyle w:val="1087"/>
              <w:ind w:firstLine="480"/>
              <w:rPr>
                <w:rFonts w:hint="eastAsia" w:ascii="宋体" w:hAnsi="宋体" w:cs="宋体"/>
                <w:color w:val="auto"/>
                <w:sz w:val="24"/>
                <w:szCs w:val="24"/>
              </w:rPr>
            </w:pPr>
            <w:r>
              <w:rPr>
                <w:rFonts w:hint="eastAsia" w:ascii="宋体" w:hAnsi="宋体" w:cs="宋体"/>
                <w:color w:val="auto"/>
                <w:sz w:val="24"/>
                <w:szCs w:val="24"/>
              </w:rPr>
            </w:r>
            <w:r/>
          </w:p>
        </w:tc>
      </w:tr>
    </w:tbl>
    <w:p>
      <w:pPr>
        <w:pStyle w:val="1087"/>
        <w:ind w:firstLine="480"/>
        <w:rPr>
          <w:rFonts w:hint="eastAsia" w:ascii="宋体" w:hAnsi="宋体" w:cs="宋体"/>
          <w:bCs/>
          <w:color w:val="auto"/>
          <w:sz w:val="24"/>
          <w:szCs w:val="24"/>
        </w:rPr>
      </w:pPr>
      <w:r>
        <w:rPr>
          <w:rFonts w:hint="eastAsia" w:ascii="宋体" w:hAnsi="宋体" w:cs="宋体"/>
          <w:bCs/>
          <w:color w:val="auto"/>
          <w:sz w:val="24"/>
          <w:szCs w:val="24"/>
        </w:rPr>
        <w:t xml:space="preserve">注：涉及评分标准的“企业业绩”在本表中填报，相关证明材料附后。中标后，本表将随中标结果进行公开。</w:t>
      </w:r>
      <w:r/>
    </w:p>
    <w:p>
      <w:pPr>
        <w:rPr>
          <w:rFonts w:hint="eastAsia" w:ascii="宋体" w:hAnsi="宋体" w:cs="宋体"/>
          <w:b/>
          <w:color w:val="auto"/>
          <w:sz w:val="32"/>
          <w:szCs w:val="32"/>
        </w:rPr>
      </w:pPr>
      <w:r>
        <w:rPr>
          <w:rFonts w:hint="eastAsia" w:ascii="宋体" w:hAnsi="宋体" w:cs="宋体"/>
          <w:b/>
          <w:color w:val="auto"/>
          <w:sz w:val="32"/>
          <w:szCs w:val="32"/>
        </w:rPr>
        <w:br w:type="page" w:clear="all"/>
      </w:r>
      <w:r/>
    </w:p>
    <w:p>
      <w:pPr>
        <w:pStyle w:val="801"/>
        <w:ind w:firstLine="320"/>
        <w:spacing w:before="0" w:after="0" w:line="520" w:lineRule="exact"/>
        <w:rPr>
          <w:rFonts w:hint="eastAsia" w:ascii="宋体" w:hAnsi="宋体" w:eastAsia="宋体" w:cs="宋体"/>
          <w:color w:val="auto"/>
        </w:rPr>
      </w:pPr>
      <w:r>
        <w:rPr>
          <w:rFonts w:hint="eastAsia" w:ascii="宋体" w:hAnsi="宋体" w:eastAsia="宋体" w:cs="宋体"/>
          <w:color w:val="auto"/>
          <w:lang w:val="en-US" w:eastAsia="zh-CN"/>
        </w:rPr>
        <w:t xml:space="preserve">十</w:t>
      </w:r>
      <w:r>
        <w:rPr>
          <w:rFonts w:hint="eastAsia" w:ascii="宋体" w:hAnsi="宋体" w:eastAsia="宋体" w:cs="宋体"/>
          <w:color w:val="auto"/>
        </w:rPr>
        <w:t xml:space="preserve">、磋商所需其他材料</w:t>
      </w:r>
      <w:r/>
    </w:p>
    <w:p>
      <w:pPr>
        <w:pStyle w:val="1092"/>
        <w:ind w:firstLine="560"/>
        <w:spacing w:line="360" w:lineRule="auto"/>
        <w:rPr>
          <w:rFonts w:hint="eastAsia" w:ascii="宋体" w:hAnsi="宋体" w:cs="宋体"/>
          <w:color w:val="auto"/>
          <w:sz w:val="28"/>
          <w:szCs w:val="28"/>
        </w:rPr>
      </w:pPr>
      <w:r>
        <w:rPr>
          <w:rFonts w:hint="eastAsia" w:ascii="宋体" w:hAnsi="宋体" w:cs="宋体"/>
          <w:color w:val="auto"/>
          <w:sz w:val="28"/>
          <w:szCs w:val="28"/>
        </w:rPr>
      </w:r>
      <w:r/>
    </w:p>
    <w:p>
      <w:pPr>
        <w:pStyle w:val="1092"/>
        <w:ind w:firstLine="560"/>
        <w:spacing w:line="360" w:lineRule="auto"/>
        <w:rPr>
          <w:rFonts w:hint="eastAsia" w:ascii="宋体" w:hAnsi="宋体" w:cs="宋体"/>
          <w:color w:val="auto"/>
          <w:sz w:val="40"/>
        </w:rPr>
      </w:pPr>
      <w:r>
        <w:rPr>
          <w:rFonts w:hint="eastAsia" w:ascii="宋体" w:hAnsi="宋体" w:cs="宋体"/>
          <w:color w:val="auto"/>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hint="eastAsia" w:ascii="宋体" w:hAnsi="宋体" w:cs="宋体"/>
          <w:color w:val="auto"/>
          <w:sz w:val="40"/>
        </w:rPr>
      </w:pPr>
      <w:r>
        <w:rPr>
          <w:rFonts w:hint="eastAsia" w:ascii="宋体" w:hAnsi="宋体" w:cs="宋体"/>
          <w:color w:val="auto"/>
          <w:sz w:val="40"/>
        </w:rPr>
      </w:r>
      <w:r/>
    </w:p>
    <w:p>
      <w:pPr>
        <w:rPr>
          <w:rFonts w:hint="eastAsia" w:ascii="宋体" w:hAnsi="宋体" w:cs="宋体"/>
          <w:color w:val="auto"/>
          <w:sz w:val="40"/>
        </w:rPr>
      </w:pPr>
      <w:r>
        <w:rPr>
          <w:rFonts w:hint="eastAsia" w:ascii="宋体" w:hAnsi="宋体" w:cs="宋体"/>
          <w:color w:val="auto"/>
          <w:sz w:val="40"/>
        </w:rPr>
      </w:r>
      <w:r/>
    </w:p>
    <w:p>
      <w:pPr>
        <w:rPr>
          <w:rFonts w:hint="eastAsia" w:ascii="宋体" w:hAnsi="宋体" w:cs="宋体"/>
          <w:color w:val="auto"/>
          <w:sz w:val="40"/>
        </w:rPr>
      </w:pPr>
      <w:r>
        <w:rPr>
          <w:rFonts w:hint="eastAsia" w:ascii="宋体" w:hAnsi="宋体" w:cs="宋体"/>
          <w:color w:val="auto"/>
          <w:sz w:val="40"/>
        </w:rPr>
      </w:r>
      <w:r/>
    </w:p>
    <w:p>
      <w:pPr>
        <w:rPr>
          <w:rFonts w:hint="eastAsia" w:ascii="宋体" w:hAnsi="宋体" w:cs="宋体"/>
          <w:color w:val="auto"/>
          <w:sz w:val="40"/>
        </w:rPr>
      </w:pPr>
      <w:r>
        <w:rPr>
          <w:rFonts w:hint="eastAsia" w:ascii="宋体" w:hAnsi="宋体" w:cs="宋体"/>
          <w:color w:val="auto"/>
          <w:sz w:val="40"/>
        </w:rPr>
      </w:r>
      <w:r/>
    </w:p>
    <w:p>
      <w:pPr>
        <w:rPr>
          <w:rFonts w:hint="eastAsia" w:ascii="宋体" w:hAnsi="宋体" w:cs="宋体"/>
          <w:color w:val="auto"/>
          <w:sz w:val="40"/>
        </w:rPr>
      </w:pPr>
      <w:r>
        <w:rPr>
          <w:rFonts w:hint="eastAsia" w:ascii="宋体" w:hAnsi="宋体" w:cs="宋体"/>
          <w:color w:val="auto"/>
          <w:sz w:val="40"/>
        </w:rPr>
      </w:r>
      <w:r/>
    </w:p>
    <w:p>
      <w:pPr>
        <w:rPr>
          <w:rFonts w:hint="eastAsia" w:ascii="宋体" w:hAnsi="宋体" w:cs="宋体"/>
          <w:color w:val="auto"/>
          <w:sz w:val="40"/>
        </w:rPr>
      </w:pPr>
      <w:r>
        <w:rPr>
          <w:rFonts w:hint="eastAsia" w:ascii="宋体" w:hAnsi="宋体" w:cs="宋体"/>
          <w:color w:val="auto"/>
          <w:sz w:val="40"/>
        </w:rPr>
      </w:r>
      <w:r/>
    </w:p>
    <w:p>
      <w:pPr>
        <w:rPr>
          <w:rFonts w:hint="eastAsia" w:ascii="宋体" w:hAnsi="宋体" w:cs="宋体"/>
          <w:color w:val="auto"/>
          <w:sz w:val="40"/>
        </w:rPr>
      </w:pPr>
      <w:r>
        <w:rPr>
          <w:rFonts w:hint="eastAsia" w:ascii="宋体" w:hAnsi="宋体" w:cs="宋体"/>
          <w:color w:val="auto"/>
          <w:sz w:val="40"/>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ind w:firstLine="0"/>
        <w:spacing w:line="440" w:lineRule="exact"/>
        <w:rPr>
          <w:rFonts w:hint="eastAsia" w:ascii="宋体" w:hAnsi="宋体" w:cs="宋体"/>
          <w:color w:val="auto"/>
          <w:sz w:val="24"/>
          <w:szCs w:val="21"/>
        </w:rPr>
      </w:pPr>
      <w:r>
        <w:rPr>
          <w:rFonts w:hint="eastAsia" w:ascii="宋体" w:hAnsi="宋体" w:cs="宋体"/>
          <w:color w:val="auto"/>
          <w:sz w:val="24"/>
          <w:szCs w:val="21"/>
        </w:rPr>
      </w:r>
      <w:r/>
    </w:p>
    <w:p>
      <w:pPr>
        <w:spacing w:after="200"/>
        <w:rPr>
          <w:color w:val="auto"/>
          <w:sz w:val="20"/>
        </w:rPr>
        <w:pBdr>
          <w:top w:val="none" w:color="000000" w:sz="0" w:space="0"/>
          <w:left w:val="none" w:color="000000" w:sz="0" w:space="0"/>
          <w:bottom w:val="none" w:color="000000" w:sz="0" w:space="0"/>
          <w:right w:val="none" w:color="000000" w:sz="0" w:space="0"/>
        </w:pBdr>
      </w:pPr>
      <w:r>
        <w:rPr>
          <w:color w:val="auto"/>
          <w:sz w:val="20"/>
        </w:rPr>
      </w:r>
      <w:r/>
    </w:p>
    <w:sectPr>
      <w:footerReference w:type="default" r:id="rId14"/>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黑体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xml:space="preserve">1</w:t>
                          </w:r>
                          <w:r>
                            <w:rPr>
                              <w:rFonts w:hint="eastAsia" w:ascii="宋体" w:hAnsi="宋体" w:cs="宋体"/>
                              <w:sz w:val="28"/>
                              <w:szCs w:val="28"/>
                            </w:rPr>
                            <w:fldChar w:fldCharType="end"/>
                          </w:r>
                          <w:r>
                            <w:rPr>
                              <w:rFonts w:hint="eastAsia" w:ascii="宋体" w:hAnsi="宋体" w:cs="宋体"/>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xml:space="preserve">1</w:t>
                    </w:r>
                    <w:r>
                      <w:rPr>
                        <w:rFonts w:hint="eastAsia" w:ascii="宋体" w:hAnsi="宋体" w:cs="宋体"/>
                        <w:sz w:val="28"/>
                        <w:szCs w:val="28"/>
                      </w:rPr>
                      <w:fldChar w:fldCharType="end"/>
                    </w:r>
                    <w:r>
                      <w:rPr>
                        <w:rFonts w:hint="eastAsia" w:ascii="宋体" w:hAnsi="宋体" w:cs="宋体"/>
                        <w:sz w:val="28"/>
                        <w:szCs w:val="28"/>
                      </w:rP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t xml:space="preserve">— </w:t>
                          </w:r>
                          <w:r>
                            <w:fldChar w:fldCharType="begin"/>
                          </w:r>
                          <w:r>
                            <w:instrText xml:space="preserve"> PAGE  \* MERGEFORMAT </w:instrText>
                          </w:r>
                          <w:r>
                            <w:fldChar w:fldCharType="separate"/>
                          </w:r>
                          <w:r>
                            <w:t xml:space="preserve">9</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t xml:space="preserve">— </w:t>
                    </w:r>
                    <w:r>
                      <w:fldChar w:fldCharType="begin"/>
                    </w:r>
                    <w:r>
                      <w:instrText xml:space="preserve"> PAGE  \* MERGEFORMAT </w:instrText>
                    </w:r>
                    <w:r>
                      <w:fldChar w:fldCharType="separate"/>
                    </w:r>
                    <w:r>
                      <w:t xml:space="preserve">9</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2"/>
                          </w:pPr>
                          <w:r>
                            <w:t xml:space="preserve">— </w:t>
                          </w:r>
                          <w:r>
                            <w:fldChar w:fldCharType="begin"/>
                          </w:r>
                          <w:r>
                            <w:instrText xml:space="preserve"> PAGE  \* MERGEFORMAT </w:instrText>
                          </w:r>
                          <w:r>
                            <w:fldChar w:fldCharType="separate"/>
                          </w:r>
                          <w:r>
                            <w:t xml:space="preserve">10</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2"/>
                    </w:pPr>
                    <w:r>
                      <w:t xml:space="preserve">— </w:t>
                    </w:r>
                    <w:r>
                      <w:fldChar w:fldCharType="begin"/>
                    </w:r>
                    <w:r>
                      <w:instrText xml:space="preserve"> PAGE  \* MERGEFORMAT </w:instrText>
                    </w:r>
                    <w:r>
                      <w:fldChar w:fldCharType="separate"/>
                    </w:r>
                    <w:r>
                      <w:t xml:space="preserve">10</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189"/>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7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99"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00">
    <w:name w:val="Heading 1"/>
    <w:basedOn w:val="799"/>
    <w:next w:val="799"/>
    <w:link w:val="901"/>
    <w:uiPriority w:val="0"/>
    <w:qFormat/>
    <w:pPr>
      <w:keepLines/>
      <w:keepNext/>
      <w:spacing w:before="480" w:after="200"/>
      <w:outlineLvl w:val="0"/>
    </w:pPr>
    <w:rPr>
      <w:rFonts w:ascii="Arial" w:hAnsi="Arial" w:eastAsia="Arial" w:cs="Arial"/>
      <w:sz w:val="40"/>
      <w:szCs w:val="40"/>
    </w:rPr>
  </w:style>
  <w:style w:type="paragraph" w:styleId="801">
    <w:name w:val="Heading 2"/>
    <w:basedOn w:val="799"/>
    <w:next w:val="799"/>
    <w:link w:val="902"/>
    <w:uiPriority w:val="0"/>
    <w:qFormat/>
    <w:pPr>
      <w:keepLines/>
      <w:keepNext/>
      <w:spacing w:before="260" w:after="260" w:line="413" w:lineRule="auto"/>
      <w:outlineLvl w:val="1"/>
    </w:pPr>
    <w:rPr>
      <w:rFonts w:ascii="Arial" w:hAnsi="Arial" w:eastAsia="黑体"/>
      <w:b/>
      <w:sz w:val="32"/>
      <w:szCs w:val="20"/>
    </w:rPr>
  </w:style>
  <w:style w:type="paragraph" w:styleId="802">
    <w:name w:val="Heading 3"/>
    <w:basedOn w:val="811"/>
    <w:next w:val="812"/>
    <w:link w:val="903"/>
    <w:uiPriority w:val="0"/>
    <w:unhideWhenUsed/>
    <w:qFormat/>
    <w:pPr>
      <w:keepLines/>
      <w:keepNext/>
      <w:spacing w:before="320" w:after="200"/>
      <w:outlineLvl w:val="2"/>
    </w:pPr>
    <w:rPr>
      <w:rFonts w:ascii="Arial" w:hAnsi="Arial" w:eastAsia="Arial" w:cs="Arial"/>
      <w:sz w:val="30"/>
      <w:szCs w:val="30"/>
    </w:rPr>
  </w:style>
  <w:style w:type="paragraph" w:styleId="803">
    <w:name w:val="Heading 4"/>
    <w:basedOn w:val="799"/>
    <w:next w:val="799"/>
    <w:link w:val="904"/>
    <w:uiPriority w:val="0"/>
    <w:qFormat/>
    <w:pPr>
      <w:jc w:val="center"/>
      <w:keepNext/>
      <w:outlineLvl w:val="3"/>
    </w:pPr>
    <w:rPr>
      <w:rFonts w:eastAsia="新宋体"/>
      <w:sz w:val="30"/>
      <w:szCs w:val="21"/>
    </w:rPr>
  </w:style>
  <w:style w:type="paragraph" w:styleId="804">
    <w:name w:val="Heading 5"/>
    <w:basedOn w:val="799"/>
    <w:next w:val="799"/>
    <w:link w:val="905"/>
    <w:uiPriority w:val="0"/>
    <w:unhideWhenUsed/>
    <w:qFormat/>
    <w:pPr>
      <w:keepLines/>
      <w:keepNext/>
      <w:spacing w:before="320" w:after="200"/>
      <w:outlineLvl w:val="4"/>
    </w:pPr>
    <w:rPr>
      <w:rFonts w:ascii="Arial" w:hAnsi="Arial" w:eastAsia="Arial" w:cs="Arial"/>
      <w:b/>
      <w:bCs/>
      <w:sz w:val="24"/>
      <w:szCs w:val="24"/>
    </w:rPr>
  </w:style>
  <w:style w:type="paragraph" w:styleId="805">
    <w:name w:val="Heading 6"/>
    <w:basedOn w:val="799"/>
    <w:next w:val="799"/>
    <w:link w:val="906"/>
    <w:uiPriority w:val="0"/>
    <w:unhideWhenUsed/>
    <w:qFormat/>
    <w:pPr>
      <w:keepLines/>
      <w:keepNext/>
      <w:spacing w:before="320" w:after="200"/>
      <w:outlineLvl w:val="5"/>
    </w:pPr>
    <w:rPr>
      <w:rFonts w:ascii="Arial" w:hAnsi="Arial" w:eastAsia="Arial" w:cs="Arial"/>
      <w:b/>
      <w:bCs/>
      <w:sz w:val="22"/>
    </w:rPr>
  </w:style>
  <w:style w:type="paragraph" w:styleId="806">
    <w:name w:val="Heading 7"/>
    <w:basedOn w:val="799"/>
    <w:next w:val="799"/>
    <w:link w:val="907"/>
    <w:uiPriority w:val="0"/>
    <w:unhideWhenUsed/>
    <w:qFormat/>
    <w:pPr>
      <w:keepLines/>
      <w:keepNext/>
      <w:spacing w:before="320" w:after="200"/>
      <w:outlineLvl w:val="6"/>
    </w:pPr>
    <w:rPr>
      <w:rFonts w:ascii="Arial" w:hAnsi="Arial" w:eastAsia="Arial" w:cs="Arial"/>
      <w:b/>
      <w:bCs/>
      <w:i/>
      <w:iCs/>
      <w:sz w:val="22"/>
    </w:rPr>
  </w:style>
  <w:style w:type="paragraph" w:styleId="807">
    <w:name w:val="Heading 8"/>
    <w:basedOn w:val="799"/>
    <w:next w:val="799"/>
    <w:link w:val="908"/>
    <w:uiPriority w:val="0"/>
    <w:unhideWhenUsed/>
    <w:qFormat/>
    <w:pPr>
      <w:keepLines/>
      <w:keepNext/>
      <w:spacing w:before="320" w:after="200"/>
      <w:outlineLvl w:val="7"/>
    </w:pPr>
    <w:rPr>
      <w:rFonts w:ascii="Arial" w:hAnsi="Arial" w:eastAsia="Arial" w:cs="Arial"/>
      <w:i/>
      <w:iCs/>
      <w:sz w:val="22"/>
    </w:rPr>
  </w:style>
  <w:style w:type="paragraph" w:styleId="808">
    <w:name w:val="Heading 9"/>
    <w:basedOn w:val="799"/>
    <w:next w:val="799"/>
    <w:link w:val="909"/>
    <w:uiPriority w:val="0"/>
    <w:unhideWhenUsed/>
    <w:qFormat/>
    <w:pPr>
      <w:keepLines/>
      <w:keepNext/>
      <w:spacing w:before="320" w:after="200"/>
      <w:outlineLvl w:val="8"/>
    </w:pPr>
    <w:rPr>
      <w:rFonts w:ascii="Arial" w:hAnsi="Arial" w:eastAsia="Arial" w:cs="Arial"/>
      <w:i/>
      <w:iCs/>
      <w:szCs w:val="21"/>
    </w:rPr>
  </w:style>
  <w:style w:type="character" w:styleId="809" w:default="1">
    <w:name w:val="Default Paragraph Font"/>
    <w:uiPriority w:val="1"/>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customStyle="1">
    <w:name w:val="Normal1"/>
    <w:next w:val="802"/>
    <w:uiPriority w:val="0"/>
    <w:qFormat/>
    <w:pPr>
      <w:jc w:val="both"/>
      <w:widowControl w:val="off"/>
    </w:pPr>
    <w:rPr>
      <w:rFonts w:ascii="Calibri" w:hAnsi="Calibri" w:eastAsia="宋体" w:cs="Times New Roman"/>
      <w:sz w:val="21"/>
      <w:szCs w:val="22"/>
      <w:lang w:val="en-US" w:eastAsia="zh-CN" w:bidi="ar-SA"/>
    </w:rPr>
  </w:style>
  <w:style w:type="paragraph" w:styleId="812" w:customStyle="1">
    <w:name w:val="Normal_19"/>
    <w:next w:val="813"/>
    <w:uiPriority w:val="0"/>
    <w:qFormat/>
    <w:rPr>
      <w:rFonts w:ascii="黑体" w:hAnsi="黑体" w:eastAsia="黑体" w:cs="黑体"/>
      <w:b/>
      <w:sz w:val="32"/>
      <w:szCs w:val="24"/>
      <w:lang w:val="en-US" w:eastAsia="zh-CN" w:bidi="ar-SA"/>
    </w:rPr>
  </w:style>
  <w:style w:type="paragraph" w:styleId="813" w:customStyle="1">
    <w:name w:val="脚注文本1"/>
    <w:basedOn w:val="799"/>
    <w:uiPriority w:val="0"/>
    <w:qFormat/>
    <w:pPr>
      <w:jc w:val="left"/>
    </w:pPr>
    <w:rPr>
      <w:rFonts w:eastAsia="Times New Roman"/>
      <w:sz w:val="18"/>
      <w:szCs w:val="24"/>
    </w:rPr>
  </w:style>
  <w:style w:type="paragraph" w:styleId="814">
    <w:name w:val="List 3"/>
    <w:basedOn w:val="799"/>
    <w:uiPriority w:val="0"/>
    <w:qFormat/>
    <w:pPr>
      <w:ind w:left="100" w:hanging="200"/>
    </w:pPr>
    <w:rPr>
      <w:rFonts w:ascii="Times New Roman" w:hAnsi="Times New Roman"/>
      <w:szCs w:val="21"/>
    </w:rPr>
  </w:style>
  <w:style w:type="paragraph" w:styleId="815">
    <w:name w:val="toc 7"/>
    <w:basedOn w:val="799"/>
    <w:next w:val="799"/>
    <w:uiPriority w:val="0"/>
    <w:unhideWhenUsed/>
    <w:qFormat/>
    <w:pPr>
      <w:ind w:left="1701"/>
      <w:spacing w:after="57"/>
    </w:pPr>
  </w:style>
  <w:style w:type="paragraph" w:styleId="816">
    <w:name w:val="Normal Indent"/>
    <w:basedOn w:val="799"/>
    <w:link w:val="1154"/>
    <w:uiPriority w:val="0"/>
    <w:qFormat/>
    <w:pPr>
      <w:ind w:firstLine="420"/>
    </w:pPr>
    <w:rPr>
      <w:rFonts w:ascii="宋体"/>
      <w:color w:val="000000"/>
      <w:sz w:val="24"/>
      <w:szCs w:val="20"/>
    </w:rPr>
  </w:style>
  <w:style w:type="paragraph" w:styleId="817">
    <w:name w:val="Caption"/>
    <w:basedOn w:val="799"/>
    <w:next w:val="79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18">
    <w:name w:val="Document Map"/>
    <w:basedOn w:val="799"/>
    <w:link w:val="1155"/>
    <w:uiPriority w:val="0"/>
    <w:semiHidden/>
    <w:qFormat/>
    <w:pPr>
      <w:shd w:val="clear" w:color="auto" w:fill="000080"/>
    </w:pPr>
    <w:rPr>
      <w:rFonts w:ascii="Times New Roman" w:hAnsi="Times New Roman"/>
      <w:szCs w:val="21"/>
    </w:rPr>
  </w:style>
  <w:style w:type="paragraph" w:styleId="819">
    <w:name w:val="annotation text"/>
    <w:basedOn w:val="799"/>
    <w:link w:val="1156"/>
    <w:uiPriority w:val="0"/>
    <w:semiHidden/>
    <w:qFormat/>
    <w:pPr>
      <w:jc w:val="left"/>
    </w:pPr>
    <w:rPr>
      <w:rFonts w:ascii="Times New Roman" w:hAnsi="Times New Roman"/>
      <w:szCs w:val="21"/>
    </w:rPr>
  </w:style>
  <w:style w:type="paragraph" w:styleId="820">
    <w:name w:val="Body Text 3"/>
    <w:basedOn w:val="799"/>
    <w:link w:val="1157"/>
    <w:uiPriority w:val="0"/>
    <w:qFormat/>
    <w:rPr>
      <w:rFonts w:ascii="仿宋_GB2312" w:hAnsi="Arial" w:eastAsia="仿宋_GB2312"/>
      <w:sz w:val="32"/>
      <w:szCs w:val="32"/>
    </w:rPr>
  </w:style>
  <w:style w:type="paragraph" w:styleId="821">
    <w:name w:val="Body Text"/>
    <w:basedOn w:val="799"/>
    <w:next w:val="799"/>
    <w:link w:val="1167"/>
    <w:uiPriority w:val="0"/>
    <w:qFormat/>
    <w:pPr>
      <w:spacing w:after="120"/>
    </w:pPr>
    <w:rPr>
      <w:sz w:val="28"/>
      <w:szCs w:val="24"/>
    </w:rPr>
  </w:style>
  <w:style w:type="paragraph" w:styleId="822">
    <w:name w:val="Body Text Indent"/>
    <w:basedOn w:val="799"/>
    <w:link w:val="1169"/>
    <w:uiPriority w:val="0"/>
    <w:qFormat/>
    <w:pPr>
      <w:ind w:firstLine="225"/>
    </w:pPr>
    <w:rPr>
      <w:rFonts w:ascii="仿宋_GB2312" w:eastAsia="仿宋_GB2312"/>
      <w:sz w:val="32"/>
    </w:rPr>
  </w:style>
  <w:style w:type="paragraph" w:styleId="823">
    <w:name w:val="List 2"/>
    <w:basedOn w:val="799"/>
    <w:uiPriority w:val="0"/>
    <w:qFormat/>
    <w:pPr>
      <w:ind w:left="100" w:hanging="200"/>
    </w:pPr>
    <w:rPr>
      <w:rFonts w:ascii="Times New Roman" w:hAnsi="Times New Roman"/>
      <w:szCs w:val="21"/>
    </w:rPr>
  </w:style>
  <w:style w:type="paragraph" w:styleId="824">
    <w:name w:val="toc 5"/>
    <w:basedOn w:val="799"/>
    <w:next w:val="799"/>
    <w:uiPriority w:val="0"/>
    <w:unhideWhenUsed/>
    <w:qFormat/>
    <w:pPr>
      <w:ind w:left="1134"/>
      <w:spacing w:after="57"/>
    </w:pPr>
  </w:style>
  <w:style w:type="paragraph" w:styleId="825">
    <w:name w:val="toc 3"/>
    <w:basedOn w:val="799"/>
    <w:next w:val="799"/>
    <w:uiPriority w:val="0"/>
    <w:unhideWhenUsed/>
    <w:qFormat/>
    <w:pPr>
      <w:ind w:left="567"/>
      <w:spacing w:after="57"/>
    </w:pPr>
  </w:style>
  <w:style w:type="paragraph" w:styleId="826">
    <w:name w:val="Plain Text"/>
    <w:basedOn w:val="799"/>
    <w:link w:val="1160"/>
    <w:uiPriority w:val="0"/>
    <w:qFormat/>
    <w:rPr>
      <w:rFonts w:ascii="宋体" w:hAnsi="Courier New" w:cs="Courier New"/>
      <w:szCs w:val="21"/>
    </w:rPr>
  </w:style>
  <w:style w:type="paragraph" w:styleId="827">
    <w:name w:val="toc 8"/>
    <w:basedOn w:val="799"/>
    <w:next w:val="799"/>
    <w:uiPriority w:val="0"/>
    <w:unhideWhenUsed/>
    <w:qFormat/>
    <w:pPr>
      <w:ind w:left="1984"/>
      <w:spacing w:after="57"/>
    </w:pPr>
  </w:style>
  <w:style w:type="paragraph" w:styleId="828">
    <w:name w:val="Date"/>
    <w:basedOn w:val="799"/>
    <w:next w:val="799"/>
    <w:link w:val="1161"/>
    <w:uiPriority w:val="0"/>
    <w:qFormat/>
    <w:rPr>
      <w:rFonts w:ascii="Times New Roman" w:hAnsi="Times New Roman"/>
      <w:sz w:val="24"/>
      <w:szCs w:val="24"/>
    </w:rPr>
  </w:style>
  <w:style w:type="paragraph" w:styleId="829">
    <w:name w:val="Body Text Indent 2"/>
    <w:basedOn w:val="799"/>
    <w:link w:val="1162"/>
    <w:uiPriority w:val="0"/>
    <w:qFormat/>
    <w:pPr>
      <w:ind w:left="630" w:firstLine="645"/>
    </w:pPr>
    <w:rPr>
      <w:rFonts w:ascii="Arial" w:hAnsi="Arial" w:eastAsia="仿宋_GB2312" w:cs="Arial"/>
      <w:sz w:val="32"/>
      <w:szCs w:val="32"/>
    </w:rPr>
  </w:style>
  <w:style w:type="paragraph" w:styleId="830">
    <w:name w:val="endnote text"/>
    <w:basedOn w:val="799"/>
    <w:link w:val="1028"/>
    <w:uiPriority w:val="99"/>
    <w:semiHidden/>
    <w:unhideWhenUsed/>
    <w:qFormat/>
    <w:rPr>
      <w:sz w:val="20"/>
    </w:rPr>
  </w:style>
  <w:style w:type="paragraph" w:styleId="831">
    <w:name w:val="Balloon Text"/>
    <w:basedOn w:val="799"/>
    <w:link w:val="1163"/>
    <w:uiPriority w:val="0"/>
    <w:qFormat/>
    <w:rPr>
      <w:rFonts w:ascii="Times New Roman" w:hAnsi="Times New Roman"/>
      <w:sz w:val="18"/>
      <w:szCs w:val="18"/>
    </w:rPr>
  </w:style>
  <w:style w:type="paragraph" w:styleId="832">
    <w:name w:val="Footer"/>
    <w:basedOn w:val="799"/>
    <w:link w:val="920"/>
    <w:uiPriority w:val="99"/>
    <w:qFormat/>
    <w:pPr>
      <w:jc w:val="left"/>
      <w:tabs>
        <w:tab w:val="center" w:pos="4153" w:leader="none"/>
        <w:tab w:val="right" w:pos="8306" w:leader="none"/>
      </w:tabs>
    </w:pPr>
    <w:rPr>
      <w:sz w:val="18"/>
      <w:szCs w:val="18"/>
    </w:rPr>
  </w:style>
  <w:style w:type="paragraph" w:styleId="833">
    <w:name w:val="Header"/>
    <w:basedOn w:val="799"/>
    <w:link w:val="1094"/>
    <w:uiPriority w:val="0"/>
    <w:qFormat/>
    <w:pPr>
      <w:jc w:val="center"/>
      <w:tabs>
        <w:tab w:val="center" w:pos="4153" w:leader="none"/>
        <w:tab w:val="right" w:pos="8306" w:leader="none"/>
      </w:tabs>
    </w:pPr>
    <w:rPr>
      <w:sz w:val="18"/>
      <w:szCs w:val="18"/>
    </w:rPr>
  </w:style>
  <w:style w:type="paragraph" w:styleId="834">
    <w:name w:val="toc 1"/>
    <w:basedOn w:val="799"/>
    <w:next w:val="799"/>
    <w:uiPriority w:val="0"/>
    <w:qFormat/>
    <w:pPr>
      <w:jc w:val="left"/>
      <w:spacing w:before="120" w:after="120"/>
    </w:pPr>
    <w:rPr>
      <w:rFonts w:cs="Calibri"/>
      <w:b/>
      <w:bCs/>
      <w:caps/>
      <w:sz w:val="20"/>
      <w:szCs w:val="20"/>
    </w:rPr>
  </w:style>
  <w:style w:type="paragraph" w:styleId="835">
    <w:name w:val="toc 4"/>
    <w:basedOn w:val="799"/>
    <w:next w:val="799"/>
    <w:uiPriority w:val="0"/>
    <w:unhideWhenUsed/>
    <w:qFormat/>
    <w:pPr>
      <w:ind w:left="850"/>
      <w:spacing w:after="57"/>
    </w:pPr>
  </w:style>
  <w:style w:type="paragraph" w:styleId="836">
    <w:name w:val="Subtitle"/>
    <w:basedOn w:val="799"/>
    <w:next w:val="799"/>
    <w:link w:val="913"/>
    <w:uiPriority w:val="11"/>
    <w:qFormat/>
    <w:pPr>
      <w:spacing w:before="200" w:after="200"/>
    </w:pPr>
    <w:rPr>
      <w:sz w:val="24"/>
      <w:szCs w:val="24"/>
    </w:rPr>
  </w:style>
  <w:style w:type="paragraph" w:styleId="837">
    <w:name w:val="List"/>
    <w:basedOn w:val="799"/>
    <w:uiPriority w:val="0"/>
    <w:qFormat/>
    <w:pPr>
      <w:ind w:left="200" w:hanging="200"/>
    </w:pPr>
    <w:rPr>
      <w:rFonts w:ascii="Times New Roman" w:hAnsi="Times New Roman"/>
      <w:szCs w:val="21"/>
    </w:rPr>
  </w:style>
  <w:style w:type="paragraph" w:styleId="838">
    <w:name w:val="footnote text"/>
    <w:basedOn w:val="799"/>
    <w:link w:val="1027"/>
    <w:uiPriority w:val="99"/>
    <w:semiHidden/>
    <w:unhideWhenUsed/>
    <w:qFormat/>
    <w:pPr>
      <w:spacing w:after="40"/>
    </w:pPr>
    <w:rPr>
      <w:sz w:val="18"/>
    </w:rPr>
  </w:style>
  <w:style w:type="paragraph" w:styleId="839">
    <w:name w:val="toc 6"/>
    <w:basedOn w:val="799"/>
    <w:next w:val="799"/>
    <w:uiPriority w:val="0"/>
    <w:unhideWhenUsed/>
    <w:qFormat/>
    <w:pPr>
      <w:ind w:left="1417"/>
      <w:spacing w:after="57"/>
    </w:pPr>
  </w:style>
  <w:style w:type="paragraph" w:styleId="840">
    <w:name w:val="Body Text Indent 3"/>
    <w:basedOn w:val="799"/>
    <w:link w:val="1164"/>
    <w:uiPriority w:val="0"/>
    <w:qFormat/>
    <w:pPr>
      <w:ind w:left="645" w:firstLine="645"/>
    </w:pPr>
    <w:rPr>
      <w:rFonts w:ascii="Arial" w:hAnsi="Arial" w:eastAsia="仿宋_GB2312" w:cs="Arial"/>
      <w:color w:val="ffff00"/>
      <w:sz w:val="32"/>
      <w:szCs w:val="32"/>
    </w:rPr>
  </w:style>
  <w:style w:type="paragraph" w:styleId="841">
    <w:name w:val="table of figures"/>
    <w:basedOn w:val="799"/>
    <w:next w:val="799"/>
    <w:uiPriority w:val="0"/>
    <w:unhideWhenUsed/>
    <w:qFormat/>
  </w:style>
  <w:style w:type="paragraph" w:styleId="842">
    <w:name w:val="toc 2"/>
    <w:basedOn w:val="799"/>
    <w:next w:val="799"/>
    <w:uiPriority w:val="0"/>
    <w:qFormat/>
    <w:pPr>
      <w:ind w:left="210"/>
      <w:jc w:val="left"/>
    </w:pPr>
    <w:rPr>
      <w:rFonts w:cs="Calibri"/>
      <w:smallCaps/>
      <w:sz w:val="20"/>
      <w:szCs w:val="20"/>
    </w:rPr>
  </w:style>
  <w:style w:type="paragraph" w:styleId="843">
    <w:name w:val="toc 9"/>
    <w:basedOn w:val="799"/>
    <w:next w:val="799"/>
    <w:uiPriority w:val="0"/>
    <w:unhideWhenUsed/>
    <w:qFormat/>
    <w:pPr>
      <w:ind w:left="2268"/>
      <w:spacing w:after="57"/>
    </w:pPr>
  </w:style>
  <w:style w:type="paragraph" w:styleId="844">
    <w:name w:val="Body Text 2"/>
    <w:basedOn w:val="799"/>
    <w:link w:val="1165"/>
    <w:uiPriority w:val="0"/>
    <w:qFormat/>
    <w:pPr>
      <w:jc w:val="center"/>
      <w:widowControl/>
    </w:pPr>
    <w:rPr>
      <w:rFonts w:ascii="楷体_GB2312" w:hAnsi="Times New Roman" w:eastAsia="楷体_GB2312"/>
      <w:sz w:val="28"/>
      <w:szCs w:val="28"/>
    </w:rPr>
  </w:style>
  <w:style w:type="paragraph" w:styleId="845">
    <w:name w:val="HTML Preformatted"/>
    <w:basedOn w:val="799"/>
    <w:link w:val="121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46">
    <w:name w:val="Normal (Web)"/>
    <w:basedOn w:val="799"/>
    <w:uiPriority w:val="99"/>
    <w:qFormat/>
    <w:pPr>
      <w:jc w:val="left"/>
      <w:spacing w:before="100" w:beforeAutospacing="1" w:after="100" w:afterAutospacing="1"/>
      <w:widowControl/>
    </w:pPr>
    <w:rPr>
      <w:rFonts w:ascii="宋体" w:hAnsi="宋体" w:cs="宋体"/>
      <w:sz w:val="24"/>
      <w:szCs w:val="24"/>
    </w:rPr>
  </w:style>
  <w:style w:type="paragraph" w:styleId="847">
    <w:name w:val="index 1"/>
    <w:basedOn w:val="799"/>
    <w:next w:val="799"/>
    <w:uiPriority w:val="0"/>
    <w:semiHidden/>
    <w:qFormat/>
    <w:pPr>
      <w:spacing w:line="240" w:lineRule="atLeast"/>
    </w:pPr>
    <w:rPr>
      <w:rFonts w:ascii="Times New Roman" w:hAnsi="Times New Roman"/>
      <w:b/>
      <w:bCs/>
      <w:szCs w:val="21"/>
    </w:rPr>
  </w:style>
  <w:style w:type="paragraph" w:styleId="848">
    <w:name w:val="Title"/>
    <w:basedOn w:val="799"/>
    <w:next w:val="799"/>
    <w:link w:val="912"/>
    <w:uiPriority w:val="10"/>
    <w:qFormat/>
    <w:pPr>
      <w:contextualSpacing/>
      <w:spacing w:before="300" w:after="200"/>
    </w:pPr>
    <w:rPr>
      <w:sz w:val="48"/>
      <w:szCs w:val="48"/>
    </w:rPr>
  </w:style>
  <w:style w:type="paragraph" w:styleId="849">
    <w:name w:val="annotation subject"/>
    <w:basedOn w:val="819"/>
    <w:next w:val="819"/>
    <w:link w:val="1166"/>
    <w:uiPriority w:val="0"/>
    <w:semiHidden/>
    <w:qFormat/>
    <w:rPr>
      <w:b/>
      <w:bCs/>
    </w:rPr>
  </w:style>
  <w:style w:type="paragraph" w:styleId="850">
    <w:name w:val="Body Text First Indent"/>
    <w:basedOn w:val="799"/>
    <w:link w:val="1168"/>
    <w:uiPriority w:val="0"/>
    <w:qFormat/>
    <w:pPr>
      <w:ind w:firstLine="200"/>
      <w:spacing w:line="360" w:lineRule="auto"/>
    </w:pPr>
    <w:rPr>
      <w:rFonts w:ascii="仿宋_GB2312" w:hAnsi="Times New Roman" w:eastAsia="仿宋_GB2312"/>
      <w:sz w:val="30"/>
      <w:szCs w:val="30"/>
    </w:rPr>
  </w:style>
  <w:style w:type="paragraph" w:styleId="851">
    <w:name w:val="Body Text First Indent 2"/>
    <w:basedOn w:val="822"/>
    <w:link w:val="1170"/>
    <w:uiPriority w:val="0"/>
    <w:qFormat/>
    <w:pPr>
      <w:ind w:firstLine="420"/>
      <w:spacing w:line="360" w:lineRule="auto"/>
    </w:pPr>
    <w:rPr>
      <w:rFonts w:ascii="宋体" w:hAnsi="宋体" w:eastAsia="宋体"/>
      <w:sz w:val="21"/>
      <w:szCs w:val="20"/>
    </w:rPr>
  </w:style>
  <w:style w:type="table" w:styleId="852">
    <w:name w:val="Table Grid"/>
    <w:basedOn w:val="81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3">
    <w:name w:val="Strong"/>
    <w:uiPriority w:val="0"/>
    <w:qFormat/>
    <w:rPr>
      <w:b/>
      <w:bCs/>
    </w:rPr>
  </w:style>
  <w:style w:type="character" w:styleId="854">
    <w:name w:val="endnote reference"/>
    <w:basedOn w:val="809"/>
    <w:uiPriority w:val="99"/>
    <w:semiHidden/>
    <w:unhideWhenUsed/>
    <w:qFormat/>
    <w:rPr>
      <w:vertAlign w:val="superscript"/>
    </w:rPr>
  </w:style>
  <w:style w:type="character" w:styleId="855">
    <w:name w:val="page number"/>
    <w:uiPriority w:val="0"/>
    <w:qFormat/>
  </w:style>
  <w:style w:type="character" w:styleId="856">
    <w:name w:val="FollowedHyperlink"/>
    <w:uiPriority w:val="0"/>
    <w:qFormat/>
    <w:rPr>
      <w:color w:val="800080"/>
      <w:u w:val="single"/>
    </w:rPr>
  </w:style>
  <w:style w:type="character" w:styleId="857">
    <w:name w:val="Hyperlink"/>
    <w:basedOn w:val="809"/>
    <w:uiPriority w:val="0"/>
    <w:qFormat/>
    <w:rPr>
      <w:color w:val="0000ff"/>
      <w:u w:val="single"/>
    </w:rPr>
  </w:style>
  <w:style w:type="character" w:styleId="858">
    <w:name w:val="annotation reference"/>
    <w:uiPriority w:val="0"/>
    <w:semiHidden/>
    <w:qFormat/>
    <w:rPr>
      <w:sz w:val="21"/>
      <w:szCs w:val="21"/>
    </w:rPr>
  </w:style>
  <w:style w:type="character" w:styleId="859">
    <w:name w:val="footnote reference"/>
    <w:basedOn w:val="809"/>
    <w:uiPriority w:val="99"/>
    <w:unhideWhenUsed/>
    <w:qFormat/>
    <w:rPr>
      <w:vertAlign w:val="superscript"/>
    </w:rPr>
  </w:style>
  <w:style w:type="table" w:styleId="860" w:customStyle="1">
    <w:name w:val="无格式表格 11"/>
    <w:basedOn w:val="8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21"/>
    <w:basedOn w:val="81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31"/>
    <w:basedOn w:val="8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无格式表格 41"/>
    <w:basedOn w:val="8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无格式表格 51"/>
    <w:basedOn w:val="81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网格表 1 浅色1"/>
    <w:basedOn w:val="81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网格表 21"/>
    <w:basedOn w:val="8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7" w:customStyle="1">
    <w:name w:val="网格表 31"/>
    <w:basedOn w:val="81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网格表 41"/>
    <w:basedOn w:val="81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网格表 5 深色1"/>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网格表 6 彩色1"/>
    <w:basedOn w:val="81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网格表 7 彩色1"/>
    <w:basedOn w:val="81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清单表 1 浅色1"/>
    <w:basedOn w:val="81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清单表 21"/>
    <w:basedOn w:val="81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清单表 31"/>
    <w:basedOn w:val="8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清单表 41"/>
    <w:basedOn w:val="8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清单表 5 深色1"/>
    <w:basedOn w:val="81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清单表 6 彩色1"/>
    <w:basedOn w:val="81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清单表 7 彩色1"/>
    <w:basedOn w:val="81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9" w:customStyle="1">
    <w:name w:val="TOC 标题1"/>
    <w:uiPriority w:val="39"/>
    <w:unhideWhenUsed/>
    <w:qFormat/>
    <w:rPr>
      <w:rFonts w:ascii="Times New Roman" w:hAnsi="Times New Roman" w:eastAsia="宋体" w:cs="Times New Roman"/>
      <w:lang w:val="en-US" w:eastAsia="zh-CN" w:bidi="ar-SA"/>
    </w:rPr>
  </w:style>
  <w:style w:type="paragraph" w:styleId="880" w:customStyle="1">
    <w:name w:val="TOC 标题111"/>
    <w:uiPriority w:val="39"/>
    <w:unhideWhenUsed/>
    <w:qFormat/>
    <w:rPr>
      <w:rFonts w:ascii="Times New Roman" w:hAnsi="Times New Roman" w:eastAsia="宋体" w:cs="Times New Roman"/>
      <w:lang w:val="en-US" w:eastAsia="zh-CN" w:bidi="ar-SA"/>
    </w:rPr>
  </w:style>
  <w:style w:type="paragraph" w:styleId="881" w:customStyle="1">
    <w:name w:val="Normal_21"/>
    <w:basedOn w:val="882"/>
    <w:next w:val="882"/>
    <w:uiPriority w:val="0"/>
    <w:qFormat/>
    <w:rPr>
      <w:rFonts w:ascii="Times New Roman" w:hAnsi="Times New Roman"/>
      <w:szCs w:val="24"/>
    </w:rPr>
  </w:style>
  <w:style w:type="paragraph" w:styleId="882"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883" w:customStyle="1">
    <w:name w:val="正文_17"/>
    <w:next w:val="884"/>
    <w:uiPriority w:val="0"/>
    <w:qFormat/>
    <w:pPr>
      <w:jc w:val="both"/>
      <w:widowControl w:val="off"/>
    </w:pPr>
    <w:rPr>
      <w:rFonts w:ascii="Times New Roman" w:hAnsi="Times New Roman" w:eastAsia="宋体" w:cs="Times New Roman"/>
      <w:sz w:val="21"/>
      <w:szCs w:val="22"/>
      <w:lang w:val="en-US" w:eastAsia="zh-CN" w:bidi="ar-SA"/>
    </w:rPr>
  </w:style>
  <w:style w:type="paragraph" w:styleId="884" w:customStyle="1">
    <w:name w:val="标题 4_1"/>
    <w:basedOn w:val="883"/>
    <w:next w:val="88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885" w:customStyle="1">
    <w:name w:val="Heading 1 Char"/>
    <w:basedOn w:val="809"/>
    <w:uiPriority w:val="9"/>
    <w:qFormat/>
    <w:rPr>
      <w:rFonts w:ascii="Arial" w:hAnsi="Arial" w:eastAsia="Arial" w:cs="Arial"/>
      <w:sz w:val="40"/>
      <w:szCs w:val="40"/>
    </w:rPr>
  </w:style>
  <w:style w:type="character" w:styleId="886" w:customStyle="1">
    <w:name w:val="Heading 2 Char"/>
    <w:basedOn w:val="809"/>
    <w:uiPriority w:val="9"/>
    <w:qFormat/>
    <w:rPr>
      <w:rFonts w:ascii="Arial" w:hAnsi="Arial" w:eastAsia="Arial" w:cs="Arial"/>
      <w:sz w:val="34"/>
    </w:rPr>
  </w:style>
  <w:style w:type="character" w:styleId="887" w:customStyle="1">
    <w:name w:val="Heading 3 Char"/>
    <w:basedOn w:val="809"/>
    <w:uiPriority w:val="9"/>
    <w:qFormat/>
    <w:rPr>
      <w:rFonts w:ascii="Arial" w:hAnsi="Arial" w:eastAsia="Arial" w:cs="Arial"/>
      <w:sz w:val="30"/>
      <w:szCs w:val="30"/>
    </w:rPr>
  </w:style>
  <w:style w:type="character" w:styleId="888" w:customStyle="1">
    <w:name w:val="Heading 4 Char"/>
    <w:basedOn w:val="809"/>
    <w:uiPriority w:val="9"/>
    <w:qFormat/>
    <w:rPr>
      <w:rFonts w:ascii="Arial" w:hAnsi="Arial" w:eastAsia="Arial" w:cs="Arial"/>
      <w:b/>
      <w:bCs/>
      <w:sz w:val="26"/>
      <w:szCs w:val="26"/>
    </w:rPr>
  </w:style>
  <w:style w:type="character" w:styleId="889" w:customStyle="1">
    <w:name w:val="Heading 5 Char"/>
    <w:basedOn w:val="809"/>
    <w:uiPriority w:val="9"/>
    <w:qFormat/>
    <w:rPr>
      <w:rFonts w:ascii="Arial" w:hAnsi="Arial" w:eastAsia="Arial" w:cs="Arial"/>
      <w:b/>
      <w:bCs/>
      <w:sz w:val="24"/>
      <w:szCs w:val="24"/>
    </w:rPr>
  </w:style>
  <w:style w:type="character" w:styleId="890" w:customStyle="1">
    <w:name w:val="Heading 6 Char"/>
    <w:basedOn w:val="809"/>
    <w:uiPriority w:val="9"/>
    <w:qFormat/>
    <w:rPr>
      <w:rFonts w:ascii="Arial" w:hAnsi="Arial" w:eastAsia="Arial" w:cs="Arial"/>
      <w:b/>
      <w:bCs/>
      <w:sz w:val="22"/>
      <w:szCs w:val="22"/>
    </w:rPr>
  </w:style>
  <w:style w:type="character" w:styleId="891" w:customStyle="1">
    <w:name w:val="Heading 7 Char"/>
    <w:basedOn w:val="809"/>
    <w:uiPriority w:val="9"/>
    <w:qFormat/>
    <w:rPr>
      <w:rFonts w:ascii="Arial" w:hAnsi="Arial" w:eastAsia="Arial" w:cs="Arial"/>
      <w:b/>
      <w:bCs/>
      <w:i/>
      <w:iCs/>
      <w:sz w:val="22"/>
      <w:szCs w:val="22"/>
    </w:rPr>
  </w:style>
  <w:style w:type="character" w:styleId="892" w:customStyle="1">
    <w:name w:val="Heading 8 Char"/>
    <w:basedOn w:val="809"/>
    <w:uiPriority w:val="9"/>
    <w:qFormat/>
    <w:rPr>
      <w:rFonts w:ascii="Arial" w:hAnsi="Arial" w:eastAsia="Arial" w:cs="Arial"/>
      <w:i/>
      <w:iCs/>
      <w:sz w:val="22"/>
      <w:szCs w:val="22"/>
    </w:rPr>
  </w:style>
  <w:style w:type="character" w:styleId="893" w:customStyle="1">
    <w:name w:val="Heading 9 Char"/>
    <w:basedOn w:val="809"/>
    <w:uiPriority w:val="9"/>
    <w:qFormat/>
    <w:rPr>
      <w:rFonts w:ascii="Arial" w:hAnsi="Arial" w:eastAsia="Arial" w:cs="Arial"/>
      <w:i/>
      <w:iCs/>
      <w:sz w:val="21"/>
      <w:szCs w:val="21"/>
    </w:rPr>
  </w:style>
  <w:style w:type="character" w:styleId="894" w:customStyle="1">
    <w:name w:val="Title Char"/>
    <w:basedOn w:val="809"/>
    <w:uiPriority w:val="10"/>
    <w:qFormat/>
    <w:rPr>
      <w:sz w:val="48"/>
      <w:szCs w:val="48"/>
    </w:rPr>
  </w:style>
  <w:style w:type="character" w:styleId="895" w:customStyle="1">
    <w:name w:val="Subtitle Char"/>
    <w:basedOn w:val="809"/>
    <w:uiPriority w:val="11"/>
    <w:qFormat/>
    <w:rPr>
      <w:sz w:val="24"/>
      <w:szCs w:val="24"/>
    </w:rPr>
  </w:style>
  <w:style w:type="character" w:styleId="896" w:customStyle="1">
    <w:name w:val="Quote Char"/>
    <w:uiPriority w:val="29"/>
    <w:qFormat/>
    <w:rPr>
      <w:i/>
    </w:rPr>
  </w:style>
  <w:style w:type="character" w:styleId="897" w:customStyle="1">
    <w:name w:val="Intense Quote Char"/>
    <w:uiPriority w:val="30"/>
    <w:qFormat/>
    <w:rPr>
      <w:i/>
    </w:rPr>
  </w:style>
  <w:style w:type="character" w:styleId="898" w:customStyle="1">
    <w:name w:val="Caption Char"/>
    <w:uiPriority w:val="99"/>
    <w:qFormat/>
  </w:style>
  <w:style w:type="character" w:styleId="899" w:customStyle="1">
    <w:name w:val="Footnote Text Char"/>
    <w:uiPriority w:val="99"/>
    <w:qFormat/>
    <w:rPr>
      <w:sz w:val="18"/>
    </w:rPr>
  </w:style>
  <w:style w:type="character" w:styleId="900" w:customStyle="1">
    <w:name w:val="Endnote Text Char"/>
    <w:uiPriority w:val="99"/>
    <w:qFormat/>
    <w:rPr>
      <w:sz w:val="20"/>
    </w:rPr>
  </w:style>
  <w:style w:type="character" w:styleId="901" w:customStyle="1">
    <w:name w:val="标题 1 字符"/>
    <w:basedOn w:val="809"/>
    <w:link w:val="800"/>
    <w:uiPriority w:val="0"/>
    <w:qFormat/>
    <w:rPr>
      <w:rFonts w:ascii="Arial" w:hAnsi="Arial" w:eastAsia="Arial" w:cs="Arial"/>
      <w:sz w:val="40"/>
      <w:szCs w:val="40"/>
    </w:rPr>
  </w:style>
  <w:style w:type="character" w:styleId="902" w:customStyle="1">
    <w:name w:val="标题 2 字符"/>
    <w:basedOn w:val="809"/>
    <w:link w:val="801"/>
    <w:uiPriority w:val="0"/>
    <w:qFormat/>
    <w:rPr>
      <w:rFonts w:ascii="Arial" w:hAnsi="Arial" w:eastAsia="Arial" w:cs="Arial"/>
      <w:sz w:val="34"/>
    </w:rPr>
  </w:style>
  <w:style w:type="character" w:styleId="903" w:customStyle="1">
    <w:name w:val="标题 3 字符"/>
    <w:basedOn w:val="809"/>
    <w:link w:val="802"/>
    <w:uiPriority w:val="0"/>
    <w:qFormat/>
    <w:rPr>
      <w:rFonts w:ascii="Arial" w:hAnsi="Arial" w:eastAsia="Arial" w:cs="Arial"/>
      <w:sz w:val="30"/>
      <w:szCs w:val="30"/>
    </w:rPr>
  </w:style>
  <w:style w:type="character" w:styleId="904" w:customStyle="1">
    <w:name w:val="标题 4 字符"/>
    <w:basedOn w:val="809"/>
    <w:link w:val="803"/>
    <w:uiPriority w:val="0"/>
    <w:qFormat/>
    <w:rPr>
      <w:rFonts w:ascii="Arial" w:hAnsi="Arial" w:eastAsia="Arial" w:cs="Arial"/>
      <w:b/>
      <w:bCs/>
      <w:sz w:val="26"/>
      <w:szCs w:val="26"/>
    </w:rPr>
  </w:style>
  <w:style w:type="character" w:styleId="905" w:customStyle="1">
    <w:name w:val="标题 5 字符"/>
    <w:basedOn w:val="809"/>
    <w:link w:val="804"/>
    <w:uiPriority w:val="0"/>
    <w:qFormat/>
    <w:rPr>
      <w:rFonts w:ascii="Arial" w:hAnsi="Arial" w:eastAsia="Arial" w:cs="Arial"/>
      <w:b/>
      <w:bCs/>
      <w:sz w:val="24"/>
      <w:szCs w:val="24"/>
    </w:rPr>
  </w:style>
  <w:style w:type="character" w:styleId="906" w:customStyle="1">
    <w:name w:val="标题 6 字符"/>
    <w:basedOn w:val="809"/>
    <w:link w:val="805"/>
    <w:uiPriority w:val="0"/>
    <w:qFormat/>
    <w:rPr>
      <w:rFonts w:ascii="Arial" w:hAnsi="Arial" w:eastAsia="Arial" w:cs="Arial"/>
      <w:b/>
      <w:bCs/>
      <w:sz w:val="22"/>
      <w:szCs w:val="22"/>
    </w:rPr>
  </w:style>
  <w:style w:type="character" w:styleId="907" w:customStyle="1">
    <w:name w:val="标题 7 字符"/>
    <w:basedOn w:val="809"/>
    <w:link w:val="806"/>
    <w:uiPriority w:val="0"/>
    <w:qFormat/>
    <w:rPr>
      <w:rFonts w:ascii="Arial" w:hAnsi="Arial" w:eastAsia="Arial" w:cs="Arial"/>
      <w:b/>
      <w:bCs/>
      <w:i/>
      <w:iCs/>
      <w:sz w:val="22"/>
      <w:szCs w:val="22"/>
    </w:rPr>
  </w:style>
  <w:style w:type="character" w:styleId="908" w:customStyle="1">
    <w:name w:val="标题 8 字符"/>
    <w:basedOn w:val="809"/>
    <w:link w:val="807"/>
    <w:uiPriority w:val="0"/>
    <w:qFormat/>
    <w:rPr>
      <w:rFonts w:ascii="Arial" w:hAnsi="Arial" w:eastAsia="Arial" w:cs="Arial"/>
      <w:i/>
      <w:iCs/>
      <w:sz w:val="22"/>
      <w:szCs w:val="22"/>
    </w:rPr>
  </w:style>
  <w:style w:type="character" w:styleId="909" w:customStyle="1">
    <w:name w:val="标题 9 字符"/>
    <w:basedOn w:val="809"/>
    <w:link w:val="808"/>
    <w:uiPriority w:val="0"/>
    <w:qFormat/>
    <w:rPr>
      <w:rFonts w:ascii="Arial" w:hAnsi="Arial" w:eastAsia="Arial" w:cs="Arial"/>
      <w:i/>
      <w:iCs/>
      <w:sz w:val="21"/>
      <w:szCs w:val="21"/>
    </w:rPr>
  </w:style>
  <w:style w:type="paragraph" w:styleId="910">
    <w:name w:val="List Paragraph"/>
    <w:basedOn w:val="799"/>
    <w:uiPriority w:val="0"/>
    <w:qFormat/>
    <w:pPr>
      <w:contextualSpacing/>
      <w:ind w:left="720"/>
    </w:pPr>
  </w:style>
  <w:style w:type="paragraph" w:styleId="911">
    <w:name w:val="No Spacing"/>
    <w:uiPriority w:val="99"/>
    <w:qFormat/>
    <w:rPr>
      <w:rFonts w:ascii="Times New Roman" w:hAnsi="Times New Roman" w:eastAsia="宋体" w:cs="Times New Roman"/>
      <w:lang w:val="en-US" w:eastAsia="zh-CN" w:bidi="ar-SA"/>
    </w:rPr>
  </w:style>
  <w:style w:type="character" w:styleId="912" w:customStyle="1">
    <w:name w:val="标题 字符"/>
    <w:basedOn w:val="809"/>
    <w:link w:val="848"/>
    <w:uiPriority w:val="10"/>
    <w:qFormat/>
    <w:rPr>
      <w:sz w:val="48"/>
      <w:szCs w:val="48"/>
    </w:rPr>
  </w:style>
  <w:style w:type="character" w:styleId="913" w:customStyle="1">
    <w:name w:val="副标题 字符"/>
    <w:basedOn w:val="809"/>
    <w:link w:val="836"/>
    <w:uiPriority w:val="11"/>
    <w:qFormat/>
    <w:rPr>
      <w:sz w:val="24"/>
      <w:szCs w:val="24"/>
    </w:rPr>
  </w:style>
  <w:style w:type="paragraph" w:styleId="914">
    <w:name w:val="Quote"/>
    <w:basedOn w:val="799"/>
    <w:next w:val="799"/>
    <w:link w:val="915"/>
    <w:uiPriority w:val="29"/>
    <w:qFormat/>
    <w:pPr>
      <w:ind w:left="720" w:right="720"/>
    </w:pPr>
    <w:rPr>
      <w:i/>
    </w:rPr>
  </w:style>
  <w:style w:type="character" w:styleId="915" w:customStyle="1">
    <w:name w:val="引用 字符"/>
    <w:link w:val="914"/>
    <w:uiPriority w:val="29"/>
    <w:qFormat/>
    <w:rPr>
      <w:i/>
    </w:rPr>
  </w:style>
  <w:style w:type="paragraph" w:styleId="916">
    <w:name w:val="Intense Quote"/>
    <w:basedOn w:val="799"/>
    <w:next w:val="799"/>
    <w:link w:val="9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customStyle="1">
    <w:name w:val="明显引用 字符"/>
    <w:link w:val="916"/>
    <w:uiPriority w:val="30"/>
    <w:qFormat/>
    <w:rPr>
      <w:i/>
    </w:rPr>
  </w:style>
  <w:style w:type="character" w:styleId="918" w:customStyle="1">
    <w:name w:val="Header Char"/>
    <w:basedOn w:val="809"/>
    <w:uiPriority w:val="99"/>
    <w:qFormat/>
  </w:style>
  <w:style w:type="character" w:styleId="919" w:customStyle="1">
    <w:name w:val="Footer Char"/>
    <w:basedOn w:val="809"/>
    <w:uiPriority w:val="99"/>
    <w:qFormat/>
  </w:style>
  <w:style w:type="character" w:styleId="920" w:customStyle="1">
    <w:name w:val="页脚 字符"/>
    <w:link w:val="832"/>
    <w:uiPriority w:val="99"/>
    <w:qFormat/>
  </w:style>
  <w:style w:type="table" w:styleId="921" w:customStyle="1">
    <w:name w:val="Table Grid Light"/>
    <w:basedOn w:val="81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2" w:customStyle="1">
    <w:name w:val="Grid Table 1 Light - Accent 1"/>
    <w:basedOn w:val="81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2"/>
    <w:basedOn w:val="81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3"/>
    <w:basedOn w:val="81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4"/>
    <w:basedOn w:val="81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5"/>
    <w:basedOn w:val="81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6"/>
    <w:basedOn w:val="81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8" w:customStyle="1">
    <w:name w:val="Grid Table 2 - Accent 1"/>
    <w:basedOn w:val="81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9" w:customStyle="1">
    <w:name w:val="Grid Table 2 - Accent 2"/>
    <w:basedOn w:val="81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0" w:customStyle="1">
    <w:name w:val="Grid Table 2 - Accent 3"/>
    <w:basedOn w:val="81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1" w:customStyle="1">
    <w:name w:val="Grid Table 2 - Accent 4"/>
    <w:basedOn w:val="81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2" w:customStyle="1">
    <w:name w:val="Grid Table 2 - Accent 5"/>
    <w:basedOn w:val="81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33" w:customStyle="1">
    <w:name w:val="Grid Table 2 - Accent 6"/>
    <w:basedOn w:val="81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4" w:customStyle="1">
    <w:name w:val="Grid Table 3 - Accent 1"/>
    <w:basedOn w:val="81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2"/>
    <w:basedOn w:val="81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3"/>
    <w:basedOn w:val="81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4"/>
    <w:basedOn w:val="81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5"/>
    <w:basedOn w:val="81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6"/>
    <w:basedOn w:val="81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4 - Accent 1"/>
    <w:basedOn w:val="81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41" w:customStyle="1">
    <w:name w:val="Grid Table 4 - Accent 2"/>
    <w:basedOn w:val="81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2" w:customStyle="1">
    <w:name w:val="Grid Table 4 - Accent 3"/>
    <w:basedOn w:val="81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3" w:customStyle="1">
    <w:name w:val="Grid Table 4 - Accent 4"/>
    <w:basedOn w:val="81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4" w:customStyle="1">
    <w:name w:val="Grid Table 4 - Accent 5"/>
    <w:basedOn w:val="81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5" w:customStyle="1">
    <w:name w:val="Grid Table 4 - Accent 6"/>
    <w:basedOn w:val="81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6" w:customStyle="1">
    <w:name w:val="Grid Table 5 Dark- Accent 1"/>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7" w:customStyle="1">
    <w:name w:val="Grid Table 5 Dark - Accent 2"/>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8" w:customStyle="1">
    <w:name w:val="Grid Table 5 Dark - Accent 3"/>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9" w:customStyle="1">
    <w:name w:val="Grid Table 5 Dark- Accent 4"/>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0" w:customStyle="1">
    <w:name w:val="Grid Table 5 Dark - Accent 5"/>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51" w:customStyle="1">
    <w:name w:val="Grid Table 5 Dark - Accent 6"/>
    <w:basedOn w:val="8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2" w:customStyle="1">
    <w:name w:val="Grid Table 6 Colorful - Accent 1"/>
    <w:basedOn w:val="81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53" w:customStyle="1">
    <w:name w:val="Grid Table 6 Colorful - Accent 2"/>
    <w:basedOn w:val="81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4" w:customStyle="1">
    <w:name w:val="Grid Table 6 Colorful - Accent 3"/>
    <w:basedOn w:val="81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5" w:customStyle="1">
    <w:name w:val="Grid Table 6 Colorful - Accent 4"/>
    <w:basedOn w:val="81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6" w:customStyle="1">
    <w:name w:val="Grid Table 6 Colorful - Accent 5"/>
    <w:basedOn w:val="81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7" w:customStyle="1">
    <w:name w:val="Grid Table 6 Colorful - Accent 6"/>
    <w:basedOn w:val="81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8" w:customStyle="1">
    <w:name w:val="Grid Table 7 Colorful - Accent 1"/>
    <w:basedOn w:val="81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9" w:customStyle="1">
    <w:name w:val="Grid Table 7 Colorful - Accent 2"/>
    <w:basedOn w:val="81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0" w:customStyle="1">
    <w:name w:val="Grid Table 7 Colorful - Accent 3"/>
    <w:basedOn w:val="81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1" w:customStyle="1">
    <w:name w:val="Grid Table 7 Colorful - Accent 4"/>
    <w:basedOn w:val="81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2" w:customStyle="1">
    <w:name w:val="Grid Table 7 Colorful - Accent 5"/>
    <w:basedOn w:val="81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63" w:customStyle="1">
    <w:name w:val="Grid Table 7 Colorful - Accent 6"/>
    <w:basedOn w:val="81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4" w:customStyle="1">
    <w:name w:val="List Table 1 Light - Accent 1"/>
    <w:basedOn w:val="81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5" w:customStyle="1">
    <w:name w:val="List Table 1 Light - Accent 2"/>
    <w:basedOn w:val="81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6" w:customStyle="1">
    <w:name w:val="List Table 1 Light - Accent 3"/>
    <w:basedOn w:val="81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7" w:customStyle="1">
    <w:name w:val="List Table 1 Light - Accent 4"/>
    <w:basedOn w:val="81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8" w:customStyle="1">
    <w:name w:val="List Table 1 Light - Accent 5"/>
    <w:basedOn w:val="81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9" w:customStyle="1">
    <w:name w:val="List Table 1 Light - Accent 6"/>
    <w:basedOn w:val="81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0" w:customStyle="1">
    <w:name w:val="List Table 2 - Accent 1"/>
    <w:basedOn w:val="81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71" w:customStyle="1">
    <w:name w:val="List Table 2 - Accent 2"/>
    <w:basedOn w:val="81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2" w:customStyle="1">
    <w:name w:val="List Table 2 - Accent 3"/>
    <w:basedOn w:val="81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3" w:customStyle="1">
    <w:name w:val="List Table 2 - Accent 4"/>
    <w:basedOn w:val="81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4" w:customStyle="1">
    <w:name w:val="List Table 2 - Accent 5"/>
    <w:basedOn w:val="81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5" w:customStyle="1">
    <w:name w:val="List Table 2 - Accent 6"/>
    <w:basedOn w:val="81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6" w:customStyle="1">
    <w:name w:val="List Table 3 - Accent 1"/>
    <w:basedOn w:val="81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7" w:customStyle="1">
    <w:name w:val="List Table 3 - Accent 2"/>
    <w:basedOn w:val="81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8" w:customStyle="1">
    <w:name w:val="List Table 3 - Accent 3"/>
    <w:basedOn w:val="81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9" w:customStyle="1">
    <w:name w:val="List Table 3 - Accent 4"/>
    <w:basedOn w:val="81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0" w:customStyle="1">
    <w:name w:val="List Table 3 - Accent 5"/>
    <w:basedOn w:val="81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1" w:customStyle="1">
    <w:name w:val="List Table 3 - Accent 6"/>
    <w:basedOn w:val="81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2" w:customStyle="1">
    <w:name w:val="List Table 4 - Accent 1"/>
    <w:basedOn w:val="81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3" w:customStyle="1">
    <w:name w:val="List Table 4 - Accent 2"/>
    <w:basedOn w:val="81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4" w:customStyle="1">
    <w:name w:val="List Table 4 - Accent 3"/>
    <w:basedOn w:val="81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5" w:customStyle="1">
    <w:name w:val="List Table 4 - Accent 4"/>
    <w:basedOn w:val="81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6" w:customStyle="1">
    <w:name w:val="List Table 4 - Accent 5"/>
    <w:basedOn w:val="81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7" w:customStyle="1">
    <w:name w:val="List Table 4 - Accent 6"/>
    <w:basedOn w:val="81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8" w:customStyle="1">
    <w:name w:val="List Table 5 Dark - Accent 1"/>
    <w:basedOn w:val="81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2"/>
    <w:basedOn w:val="81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3"/>
    <w:basedOn w:val="81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4"/>
    <w:basedOn w:val="81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5"/>
    <w:basedOn w:val="81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6"/>
    <w:basedOn w:val="81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6 Colorful - Accent 1"/>
    <w:basedOn w:val="81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5" w:customStyle="1">
    <w:name w:val="List Table 6 Colorful - Accent 2"/>
    <w:basedOn w:val="81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6" w:customStyle="1">
    <w:name w:val="List Table 6 Colorful - Accent 3"/>
    <w:basedOn w:val="81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7" w:customStyle="1">
    <w:name w:val="List Table 6 Colorful - Accent 4"/>
    <w:basedOn w:val="81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8" w:customStyle="1">
    <w:name w:val="List Table 6 Colorful - Accent 5"/>
    <w:basedOn w:val="81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99" w:customStyle="1">
    <w:name w:val="List Table 6 Colorful - Accent 6"/>
    <w:basedOn w:val="81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0" w:customStyle="1">
    <w:name w:val="List Table 7 Colorful - Accent 1"/>
    <w:basedOn w:val="81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1" w:customStyle="1">
    <w:name w:val="List Table 7 Colorful - Accent 2"/>
    <w:basedOn w:val="81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2" w:customStyle="1">
    <w:name w:val="List Table 7 Colorful - Accent 3"/>
    <w:basedOn w:val="81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3" w:customStyle="1">
    <w:name w:val="List Table 7 Colorful - Accent 4"/>
    <w:basedOn w:val="81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4" w:customStyle="1">
    <w:name w:val="List Table 7 Colorful - Accent 5"/>
    <w:basedOn w:val="81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5" w:customStyle="1">
    <w:name w:val="List Table 7 Colorful - Accent 6"/>
    <w:basedOn w:val="81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6" w:customStyle="1">
    <w:name w:val="Lined - Accent"/>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7" w:customStyle="1">
    <w:name w:val="Lined - Accent 1"/>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8" w:customStyle="1">
    <w:name w:val="Lined - Accent 2"/>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9" w:customStyle="1">
    <w:name w:val="Lined - Accent 3"/>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0" w:customStyle="1">
    <w:name w:val="Lined - Accent 4"/>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1" w:customStyle="1">
    <w:name w:val="Lined - Accent 5"/>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2" w:customStyle="1">
    <w:name w:val="Lined - Accent 6"/>
    <w:basedOn w:val="8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3" w:customStyle="1">
    <w:name w:val="Bordered &amp; Lined - Accent"/>
    <w:basedOn w:val="81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Bordered &amp; Lined - Accent 1"/>
    <w:basedOn w:val="81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5" w:customStyle="1">
    <w:name w:val="Bordered &amp; Lined - Accent 2"/>
    <w:basedOn w:val="81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6" w:customStyle="1">
    <w:name w:val="Bordered &amp; Lined - Accent 3"/>
    <w:basedOn w:val="81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7" w:customStyle="1">
    <w:name w:val="Bordered &amp; Lined - Accent 4"/>
    <w:basedOn w:val="81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8" w:customStyle="1">
    <w:name w:val="Bordered &amp; Lined - Accent 5"/>
    <w:basedOn w:val="81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9" w:customStyle="1">
    <w:name w:val="Bordered &amp; Lined - Accent 6"/>
    <w:basedOn w:val="81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0" w:customStyle="1">
    <w:name w:val="Bordered"/>
    <w:basedOn w:val="81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1" w:customStyle="1">
    <w:name w:val="Bordered - Accent 1"/>
    <w:basedOn w:val="81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2" w:customStyle="1">
    <w:name w:val="Bordered - Accent 2"/>
    <w:basedOn w:val="81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3" w:customStyle="1">
    <w:name w:val="Bordered - Accent 3"/>
    <w:basedOn w:val="81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4" w:customStyle="1">
    <w:name w:val="Bordered - Accent 4"/>
    <w:basedOn w:val="81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5" w:customStyle="1">
    <w:name w:val="Bordered - Accent 5"/>
    <w:basedOn w:val="81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6" w:customStyle="1">
    <w:name w:val="Bordered - Accent 6"/>
    <w:basedOn w:val="81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7" w:customStyle="1">
    <w:name w:val="脚注文本 字符"/>
    <w:link w:val="838"/>
    <w:uiPriority w:val="99"/>
    <w:qFormat/>
    <w:rPr>
      <w:sz w:val="18"/>
    </w:rPr>
  </w:style>
  <w:style w:type="character" w:styleId="1028" w:customStyle="1">
    <w:name w:val="尾注文本 字符"/>
    <w:link w:val="830"/>
    <w:uiPriority w:val="99"/>
    <w:qFormat/>
    <w:rPr>
      <w:sz w:val="20"/>
    </w:rPr>
  </w:style>
  <w:style w:type="paragraph" w:styleId="1029" w:customStyle="1">
    <w:name w:val="TOC 标题11"/>
    <w:uiPriority w:val="39"/>
    <w:unhideWhenUsed/>
    <w:qFormat/>
    <w:rPr>
      <w:rFonts w:ascii="Times New Roman" w:hAnsi="Times New Roman" w:eastAsia="宋体" w:cs="Times New Roman"/>
      <w:lang w:val="en-US" w:eastAsia="zh-CN" w:bidi="ar-SA"/>
    </w:rPr>
  </w:style>
  <w:style w:type="paragraph" w:styleId="1030" w:customStyle="1">
    <w:name w:val="Normal_0"/>
    <w:uiPriority w:val="0"/>
    <w:qFormat/>
    <w:rPr>
      <w:rFonts w:ascii="黑体" w:hAnsi="黑体" w:eastAsia="黑体" w:cs="Times New Roman"/>
      <w:b/>
      <w:sz w:val="32"/>
      <w:szCs w:val="24"/>
      <w:lang w:val="en-US" w:eastAsia="zh-CN" w:bidi="ar-SA"/>
    </w:rPr>
  </w:style>
  <w:style w:type="paragraph" w:styleId="1031" w:customStyle="1">
    <w:name w:val="正文1"/>
    <w:uiPriority w:val="0"/>
    <w:qFormat/>
    <w:rPr>
      <w:rFonts w:ascii="Times New Roman" w:hAnsi="Times New Roman" w:eastAsia="Times New Roman" w:cs="Times New Roman"/>
      <w:sz w:val="24"/>
      <w:szCs w:val="24"/>
      <w:lang w:val="en-US" w:eastAsia="zh-CN" w:bidi="ar-SA"/>
    </w:rPr>
  </w:style>
  <w:style w:type="paragraph" w:styleId="1032" w:customStyle="1">
    <w:name w:val="Normal_0_3"/>
    <w:uiPriority w:val="0"/>
    <w:qFormat/>
    <w:rPr>
      <w:rFonts w:ascii="黑体" w:hAnsi="黑体" w:eastAsia="黑体" w:cs="黑体"/>
      <w:b/>
      <w:sz w:val="32"/>
      <w:szCs w:val="24"/>
      <w:lang w:val="en-US" w:eastAsia="zh-CN" w:bidi="ar-SA"/>
    </w:rPr>
  </w:style>
  <w:style w:type="paragraph" w:styleId="1033" w:customStyle="1">
    <w:name w:val="正文首行缩进 2_0"/>
    <w:basedOn w:val="1034"/>
    <w:uiPriority w:val="0"/>
    <w:qFormat/>
    <w:pPr>
      <w:ind w:left="200" w:firstLine="200"/>
      <w:spacing w:after="120"/>
    </w:pPr>
    <w:rPr>
      <w:rFonts w:ascii="Times New Roman" w:hAnsi="Times New Roman"/>
      <w:sz w:val="24"/>
      <w:szCs w:val="24"/>
    </w:rPr>
  </w:style>
  <w:style w:type="paragraph" w:styleId="1034" w:customStyle="1">
    <w:name w:val="正文文本缩进_0"/>
    <w:basedOn w:val="1035"/>
    <w:uiPriority w:val="0"/>
    <w:qFormat/>
    <w:pPr>
      <w:ind w:firstLine="225"/>
    </w:pPr>
    <w:rPr>
      <w:rFonts w:ascii="仿宋_GB2312" w:eastAsia="仿宋_GB2312"/>
      <w:sz w:val="32"/>
    </w:rPr>
  </w:style>
  <w:style w:type="paragraph" w:styleId="1035"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036" w:customStyle="1">
    <w:name w:val="Normal_0_2"/>
    <w:uiPriority w:val="0"/>
    <w:qFormat/>
    <w:rPr>
      <w:rFonts w:ascii="黑体" w:hAnsi="黑体" w:eastAsia="黑体" w:cs="黑体"/>
      <w:b/>
      <w:sz w:val="32"/>
      <w:szCs w:val="24"/>
      <w:lang w:val="en-US" w:eastAsia="zh-CN" w:bidi="ar-SA"/>
    </w:rPr>
  </w:style>
  <w:style w:type="paragraph" w:styleId="1037" w:customStyle="1">
    <w:name w:val="Normal_1_2"/>
    <w:uiPriority w:val="0"/>
    <w:qFormat/>
    <w:rPr>
      <w:rFonts w:ascii="Times New Roman" w:hAnsi="Times New Roman" w:eastAsia="Times New Roman" w:cs="Times New Roman"/>
      <w:sz w:val="24"/>
      <w:szCs w:val="24"/>
      <w:lang w:val="en-US" w:eastAsia="zh-CN" w:bidi="ar-SA"/>
    </w:rPr>
  </w:style>
  <w:style w:type="paragraph" w:styleId="1038" w:customStyle="1">
    <w:name w:val="Normal_0_1"/>
    <w:uiPriority w:val="0"/>
    <w:qFormat/>
    <w:rPr>
      <w:rFonts w:ascii="黑体" w:hAnsi="黑体" w:eastAsia="黑体" w:cs="黑体"/>
      <w:b/>
      <w:sz w:val="32"/>
      <w:szCs w:val="24"/>
      <w:lang w:val="en-US" w:eastAsia="zh-CN" w:bidi="ar-SA"/>
    </w:rPr>
  </w:style>
  <w:style w:type="paragraph" w:styleId="1039" w:customStyle="1">
    <w:name w:val="Normal_1_1"/>
    <w:uiPriority w:val="0"/>
    <w:qFormat/>
    <w:rPr>
      <w:rFonts w:ascii="黑体" w:hAnsi="黑体" w:eastAsia="黑体" w:cs="黑体"/>
      <w:b/>
      <w:sz w:val="32"/>
      <w:szCs w:val="24"/>
      <w:lang w:val="en-US" w:eastAsia="zh-CN" w:bidi="ar-SA"/>
    </w:rPr>
  </w:style>
  <w:style w:type="paragraph" w:styleId="1040"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041"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042" w:customStyle="1">
    <w:name w:val="Normal_2_0"/>
    <w:uiPriority w:val="0"/>
    <w:qFormat/>
    <w:rPr>
      <w:rFonts w:ascii="黑体" w:hAnsi="黑体" w:eastAsia="黑体" w:cs="黑体"/>
      <w:b/>
      <w:sz w:val="32"/>
      <w:szCs w:val="24"/>
      <w:lang w:val="en-US" w:eastAsia="zh-CN" w:bidi="ar-SA"/>
    </w:rPr>
  </w:style>
  <w:style w:type="paragraph" w:styleId="1043"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044" w:customStyle="1">
    <w:name w:val="Normal_4_0"/>
    <w:uiPriority w:val="0"/>
    <w:qFormat/>
    <w:rPr>
      <w:rFonts w:ascii="黑体" w:hAnsi="黑体" w:eastAsia="黑体" w:cs="黑体"/>
      <w:b/>
      <w:sz w:val="32"/>
      <w:szCs w:val="24"/>
      <w:lang w:val="en-US" w:eastAsia="zh-CN" w:bidi="ar-SA"/>
    </w:rPr>
  </w:style>
  <w:style w:type="paragraph" w:styleId="1045"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46" w:customStyle="1">
    <w:name w:val="Normal_6_0"/>
    <w:uiPriority w:val="0"/>
    <w:qFormat/>
    <w:rPr>
      <w:rFonts w:ascii="黑体" w:hAnsi="黑体" w:eastAsia="黑体" w:cs="黑体"/>
      <w:b/>
      <w:sz w:val="32"/>
      <w:szCs w:val="24"/>
      <w:lang w:val="en-US" w:eastAsia="zh-CN" w:bidi="ar-SA"/>
    </w:rPr>
  </w:style>
  <w:style w:type="paragraph" w:styleId="1047"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48"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49"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050" w:customStyle="1">
    <w:name w:val="Normal_7_0"/>
    <w:uiPriority w:val="0"/>
    <w:qFormat/>
    <w:rPr>
      <w:rFonts w:ascii="黑体" w:hAnsi="黑体" w:eastAsia="黑体" w:cs="黑体"/>
      <w:b/>
      <w:sz w:val="32"/>
      <w:szCs w:val="24"/>
      <w:lang w:val="en-US" w:eastAsia="zh-CN" w:bidi="ar-SA"/>
    </w:rPr>
  </w:style>
  <w:style w:type="paragraph" w:styleId="1051" w:customStyle="1">
    <w:name w:val="Normal_8_0"/>
    <w:uiPriority w:val="0"/>
    <w:qFormat/>
    <w:rPr>
      <w:rFonts w:ascii="Times New Roman" w:hAnsi="Times New Roman" w:eastAsia="Times New Roman" w:cs="Times New Roman"/>
      <w:sz w:val="24"/>
      <w:szCs w:val="24"/>
      <w:lang w:val="en-US" w:eastAsia="zh-CN" w:bidi="ar-SA"/>
    </w:rPr>
  </w:style>
  <w:style w:type="paragraph" w:styleId="1052" w:customStyle="1">
    <w:name w:val="Normal_9_0"/>
    <w:uiPriority w:val="0"/>
    <w:qFormat/>
    <w:rPr>
      <w:rFonts w:ascii="Times New Roman" w:hAnsi="Times New Roman" w:eastAsia="Times New Roman" w:cs="Times New Roman"/>
      <w:sz w:val="24"/>
      <w:szCs w:val="24"/>
      <w:lang w:val="en-US" w:eastAsia="zh-CN" w:bidi="ar-SA"/>
    </w:rPr>
  </w:style>
  <w:style w:type="paragraph" w:styleId="1053" w:customStyle="1">
    <w:name w:val="Normal_10_0"/>
    <w:uiPriority w:val="0"/>
    <w:qFormat/>
    <w:rPr>
      <w:rFonts w:ascii="黑体" w:hAnsi="黑体" w:eastAsia="黑体" w:cs="黑体"/>
      <w:b/>
      <w:sz w:val="32"/>
      <w:szCs w:val="24"/>
      <w:lang w:val="en-US" w:eastAsia="zh-CN" w:bidi="ar-SA"/>
    </w:rPr>
  </w:style>
  <w:style w:type="paragraph" w:styleId="1054" w:customStyle="1">
    <w:name w:val="正文_3"/>
    <w:next w:val="1055"/>
    <w:uiPriority w:val="0"/>
    <w:qFormat/>
    <w:pPr>
      <w:jc w:val="both"/>
      <w:widowControl w:val="off"/>
    </w:pPr>
    <w:rPr>
      <w:rFonts w:ascii="Calibri" w:hAnsi="Calibri" w:eastAsia="宋体" w:cs="Times New Roman"/>
      <w:sz w:val="21"/>
      <w:szCs w:val="22"/>
      <w:lang w:val="en-US" w:eastAsia="zh-CN" w:bidi="ar-SA"/>
    </w:rPr>
  </w:style>
  <w:style w:type="paragraph" w:styleId="1055" w:customStyle="1">
    <w:name w:val="正文首行缩进 2_1"/>
    <w:basedOn w:val="1056"/>
    <w:next w:val="1058"/>
    <w:uiPriority w:val="0"/>
    <w:qFormat/>
    <w:pPr>
      <w:ind w:left="200" w:firstLine="200"/>
      <w:spacing w:after="120"/>
    </w:pPr>
    <w:rPr>
      <w:rFonts w:ascii="Times New Roman"/>
      <w:szCs w:val="24"/>
    </w:rPr>
  </w:style>
  <w:style w:type="paragraph" w:styleId="1056" w:customStyle="1">
    <w:name w:val="正文文本缩进_1"/>
    <w:basedOn w:val="1057"/>
    <w:next w:val="1055"/>
    <w:uiPriority w:val="0"/>
    <w:qFormat/>
    <w:pPr>
      <w:ind w:firstLine="225"/>
    </w:pPr>
    <w:rPr>
      <w:rFonts w:ascii="仿宋_GB2312" w:eastAsia="仿宋_GB2312"/>
      <w:sz w:val="32"/>
    </w:rPr>
  </w:style>
  <w:style w:type="paragraph" w:styleId="1057" w:customStyle="1">
    <w:name w:val="正文_18"/>
    <w:next w:val="1056"/>
    <w:uiPriority w:val="0"/>
    <w:qFormat/>
    <w:pPr>
      <w:jc w:val="both"/>
      <w:widowControl w:val="off"/>
    </w:pPr>
    <w:rPr>
      <w:rFonts w:ascii="Calibri" w:hAnsi="Calibri" w:eastAsia="宋体" w:cs="Times New Roman"/>
      <w:sz w:val="21"/>
      <w:szCs w:val="22"/>
      <w:lang w:val="en-US" w:eastAsia="zh-CN" w:bidi="ar-SA"/>
    </w:rPr>
  </w:style>
  <w:style w:type="paragraph" w:styleId="1058" w:customStyle="1">
    <w:name w:val="xl53_0"/>
    <w:next w:val="1054"/>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059"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60" w:customStyle="1">
    <w:name w:val="Normal_11_0"/>
    <w:uiPriority w:val="0"/>
    <w:qFormat/>
    <w:rPr>
      <w:rFonts w:ascii="黑体" w:hAnsi="黑体" w:eastAsia="黑体" w:cs="黑体"/>
      <w:b/>
      <w:sz w:val="32"/>
      <w:szCs w:val="24"/>
      <w:lang w:val="en-US" w:eastAsia="zh-CN" w:bidi="ar-SA"/>
    </w:rPr>
  </w:style>
  <w:style w:type="paragraph" w:styleId="1061"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062"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063"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064"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065" w:customStyle="1">
    <w:name w:val="列出段落_2"/>
    <w:basedOn w:val="1063"/>
    <w:uiPriority w:val="34"/>
    <w:qFormat/>
    <w:pPr>
      <w:ind w:firstLine="420"/>
    </w:pPr>
  </w:style>
  <w:style w:type="paragraph" w:styleId="1066" w:customStyle="1">
    <w:name w:val="Normal_13_0"/>
    <w:uiPriority w:val="0"/>
    <w:qFormat/>
    <w:rPr>
      <w:rFonts w:ascii="黑体" w:hAnsi="黑体" w:eastAsia="黑体" w:cs="黑体"/>
      <w:b/>
      <w:sz w:val="32"/>
      <w:szCs w:val="24"/>
      <w:lang w:val="en-US" w:eastAsia="zh-CN" w:bidi="ar-SA"/>
    </w:rPr>
  </w:style>
  <w:style w:type="paragraph" w:styleId="1067"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068" w:customStyle="1">
    <w:name w:val="纯文本_0_0"/>
    <w:basedOn w:val="1067"/>
    <w:uiPriority w:val="0"/>
    <w:unhideWhenUsed/>
    <w:qFormat/>
    <w:rPr>
      <w:rFonts w:ascii="宋体" w:hAnsi="Courier New"/>
      <w:szCs w:val="21"/>
    </w:rPr>
  </w:style>
  <w:style w:type="paragraph" w:styleId="1069"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070" w:customStyle="1">
    <w:name w:val="Normal_14_0"/>
    <w:uiPriority w:val="0"/>
    <w:qFormat/>
    <w:rPr>
      <w:rFonts w:ascii="黑体" w:hAnsi="黑体" w:eastAsia="黑体" w:cs="黑体"/>
      <w:b/>
      <w:sz w:val="32"/>
      <w:szCs w:val="24"/>
      <w:lang w:val="en-US" w:eastAsia="zh-CN" w:bidi="ar-SA"/>
    </w:rPr>
  </w:style>
  <w:style w:type="paragraph" w:styleId="1071"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072" w:customStyle="1">
    <w:name w:val="Normal_15_0"/>
    <w:uiPriority w:val="0"/>
    <w:qFormat/>
    <w:rPr>
      <w:rFonts w:ascii="黑体" w:hAnsi="黑体" w:eastAsia="黑体" w:cs="黑体"/>
      <w:b/>
      <w:sz w:val="32"/>
      <w:szCs w:val="24"/>
      <w:lang w:val="en-US" w:eastAsia="zh-CN" w:bidi="ar-SA"/>
    </w:rPr>
  </w:style>
  <w:style w:type="paragraph" w:styleId="1073"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07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75" w:customStyle="1">
    <w:name w:val="Normal_16_0"/>
    <w:uiPriority w:val="0"/>
    <w:qFormat/>
    <w:rPr>
      <w:rFonts w:ascii="黑体" w:hAnsi="黑体" w:eastAsia="黑体" w:cs="黑体"/>
      <w:b/>
      <w:sz w:val="32"/>
      <w:szCs w:val="24"/>
      <w:lang w:val="en-US" w:eastAsia="zh-CN" w:bidi="ar-SA"/>
    </w:rPr>
  </w:style>
  <w:style w:type="paragraph" w:styleId="1076"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77" w:customStyle="1">
    <w:name w:val="Normal_17_0"/>
    <w:uiPriority w:val="0"/>
    <w:qFormat/>
    <w:rPr>
      <w:rFonts w:ascii="黑体" w:hAnsi="黑体" w:eastAsia="黑体" w:cs="黑体"/>
      <w:b/>
      <w:sz w:val="32"/>
      <w:szCs w:val="24"/>
      <w:lang w:val="en-US" w:eastAsia="zh-CN" w:bidi="ar-SA"/>
    </w:rPr>
  </w:style>
  <w:style w:type="paragraph" w:styleId="1078"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079" w:customStyle="1">
    <w:name w:val="Normal_18_0"/>
    <w:uiPriority w:val="0"/>
    <w:qFormat/>
    <w:rPr>
      <w:rFonts w:ascii="黑体" w:hAnsi="黑体" w:eastAsia="黑体" w:cs="黑体"/>
      <w:b/>
      <w:sz w:val="32"/>
      <w:szCs w:val="24"/>
      <w:lang w:val="en-US" w:eastAsia="zh-CN" w:bidi="ar-SA"/>
    </w:rPr>
  </w:style>
  <w:style w:type="paragraph" w:styleId="1080"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81"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82" w:customStyle="1">
    <w:name w:val="Normal_14_0_0"/>
    <w:uiPriority w:val="0"/>
    <w:qFormat/>
    <w:rPr>
      <w:rFonts w:ascii="黑体" w:hAnsi="黑体" w:eastAsia="黑体" w:cs="Times New Roman"/>
      <w:b/>
      <w:sz w:val="32"/>
      <w:szCs w:val="24"/>
      <w:lang w:val="en-US" w:eastAsia="zh-CN" w:bidi="ar-SA"/>
    </w:rPr>
  </w:style>
  <w:style w:type="paragraph" w:styleId="1083"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084"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85"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086"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087"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88"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89" w:customStyle="1">
    <w:name w:val="Normal_20"/>
    <w:next w:val="1090"/>
    <w:uiPriority w:val="0"/>
    <w:qFormat/>
    <w:rPr>
      <w:rFonts w:ascii="黑体" w:hAnsi="黑体" w:eastAsia="黑体" w:cs="黑体"/>
      <w:b/>
      <w:sz w:val="32"/>
      <w:szCs w:val="24"/>
      <w:lang w:val="en-US" w:eastAsia="zh-CN" w:bidi="ar-SA"/>
    </w:rPr>
  </w:style>
  <w:style w:type="paragraph" w:styleId="1090" w:customStyle="1">
    <w:name w:val="Normal Indent_0"/>
    <w:basedOn w:val="1089"/>
    <w:uiPriority w:val="0"/>
    <w:qFormat/>
    <w:pPr>
      <w:ind w:firstLine="420"/>
    </w:pPr>
    <w:rPr>
      <w:rFonts w:ascii="宋体" w:eastAsia="Times New Roman"/>
      <w:color w:val="000000"/>
      <w:sz w:val="24"/>
      <w:szCs w:val="20"/>
    </w:rPr>
  </w:style>
  <w:style w:type="paragraph" w:styleId="1091" w:customStyle="1">
    <w:name w:val="Heading 3_0"/>
    <w:basedOn w:val="1089"/>
    <w:next w:val="1089"/>
    <w:uiPriority w:val="0"/>
    <w:qFormat/>
    <w:pPr>
      <w:keepLines/>
      <w:keepNext/>
      <w:spacing w:before="260" w:after="260" w:line="413" w:lineRule="auto"/>
      <w:outlineLvl w:val="2"/>
    </w:pPr>
    <w:rPr>
      <w:rFonts w:ascii="Times New Roman" w:hAnsi="Times New Roman" w:eastAsia="Times New Roman"/>
      <w:szCs w:val="20"/>
    </w:rPr>
  </w:style>
  <w:style w:type="paragraph" w:styleId="1092"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93" w:customStyle="1">
    <w:name w:val="正文2"/>
    <w:basedOn w:val="799"/>
    <w:uiPriority w:val="0"/>
    <w:qFormat/>
    <w:pPr>
      <w:ind w:firstLine="510"/>
      <w:spacing w:before="156" w:line="360" w:lineRule="auto"/>
    </w:pPr>
    <w:rPr>
      <w:sz w:val="24"/>
      <w:szCs w:val="20"/>
    </w:rPr>
  </w:style>
  <w:style w:type="character" w:styleId="1094" w:customStyle="1">
    <w:name w:val="页眉 字符"/>
    <w:basedOn w:val="809"/>
    <w:link w:val="833"/>
    <w:uiPriority w:val="0"/>
    <w:qFormat/>
    <w:rPr>
      <w:rFonts w:ascii="Calibri" w:hAnsi="Calibri"/>
      <w:sz w:val="18"/>
      <w:szCs w:val="18"/>
    </w:rPr>
  </w:style>
  <w:style w:type="paragraph" w:styleId="109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96"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097" w:customStyle="1">
    <w:name w:val="Normal_19_1_0"/>
    <w:uiPriority w:val="0"/>
    <w:qFormat/>
    <w:pPr>
      <w:jc w:val="both"/>
      <w:widowControl w:val="off"/>
    </w:pPr>
    <w:rPr>
      <w:rFonts w:ascii="Calibri" w:hAnsi="Calibri" w:eastAsia="宋体" w:cs="Times New Roman"/>
      <w:szCs w:val="24"/>
      <w:lang w:val="en-US" w:eastAsia="zh-CN" w:bidi="ar-SA"/>
    </w:rPr>
  </w:style>
  <w:style w:type="paragraph" w:styleId="1098" w:customStyle="1">
    <w:name w:val="正文_16_0"/>
    <w:basedOn w:val="1057"/>
    <w:next w:val="1055"/>
    <w:uiPriority w:val="0"/>
    <w:qFormat/>
    <w:rPr>
      <w:rFonts w:ascii="Times New Roman" w:hAnsi="Times New Roman"/>
    </w:rPr>
  </w:style>
  <w:style w:type="paragraph" w:styleId="1099" w:customStyle="1">
    <w:name w:val="Normal_19_0"/>
    <w:basedOn w:val="811"/>
    <w:next w:val="1100"/>
    <w:uiPriority w:val="0"/>
    <w:qFormat/>
    <w:rPr>
      <w:szCs w:val="24"/>
    </w:rPr>
  </w:style>
  <w:style w:type="paragraph" w:styleId="1100" w:customStyle="1">
    <w:name w:val="Body Text_0"/>
    <w:basedOn w:val="1099"/>
    <w:uiPriority w:val="0"/>
    <w:qFormat/>
    <w:pPr>
      <w:spacing w:line="60" w:lineRule="auto"/>
    </w:pPr>
    <w:rPr>
      <w:rFonts w:ascii="仿宋_GB2312" w:eastAsia="仿宋_GB2312"/>
      <w:sz w:val="32"/>
    </w:rPr>
  </w:style>
  <w:style w:type="paragraph" w:styleId="1101" w:customStyle="1">
    <w:name w:val="Normal_19_1"/>
    <w:next w:val="882"/>
    <w:uiPriority w:val="0"/>
    <w:qFormat/>
    <w:pPr>
      <w:jc w:val="both"/>
      <w:widowControl w:val="off"/>
    </w:pPr>
    <w:rPr>
      <w:rFonts w:ascii="Calibri" w:hAnsi="Calibri" w:eastAsia="宋体" w:cs="Times New Roman"/>
      <w:szCs w:val="24"/>
      <w:lang w:val="en-US" w:eastAsia="zh-CN" w:bidi="ar-SA"/>
    </w:rPr>
  </w:style>
  <w:style w:type="paragraph" w:styleId="1102" w:customStyle="1">
    <w:name w:val="正文_6_0_0"/>
    <w:uiPriority w:val="0"/>
    <w:qFormat/>
    <w:pPr>
      <w:jc w:val="both"/>
      <w:widowControl w:val="off"/>
    </w:pPr>
    <w:rPr>
      <w:rFonts w:ascii="Calibri" w:hAnsi="Calibri" w:eastAsia="宋体" w:cs="Times New Roman"/>
      <w:lang w:val="en-US" w:eastAsia="zh-CN" w:bidi="ar-SA"/>
    </w:rPr>
  </w:style>
  <w:style w:type="paragraph" w:styleId="1103" w:customStyle="1">
    <w:name w:val="正文_7_1"/>
    <w:uiPriority w:val="0"/>
    <w:qFormat/>
    <w:pPr>
      <w:jc w:val="both"/>
      <w:widowControl w:val="off"/>
    </w:pPr>
    <w:rPr>
      <w:rFonts w:ascii="Calibri" w:hAnsi="Calibri" w:eastAsia="宋体" w:cs="Times New Roman"/>
      <w:lang w:val="en-US" w:eastAsia="zh-CN" w:bidi="ar-SA"/>
    </w:rPr>
  </w:style>
  <w:style w:type="paragraph" w:styleId="1104" w:customStyle="1">
    <w:name w:val="正文1_1"/>
    <w:basedOn w:val="1051"/>
    <w:uiPriority w:val="0"/>
    <w:qFormat/>
    <w:pPr>
      <w:jc w:val="both"/>
      <w:widowControl w:val="off"/>
    </w:pPr>
    <w:rPr>
      <w:sz w:val="20"/>
      <w:szCs w:val="20"/>
    </w:rPr>
  </w:style>
  <w:style w:type="paragraph" w:styleId="1105" w:customStyle="1">
    <w:name w:val="Normal_8_0_0"/>
    <w:uiPriority w:val="0"/>
    <w:qFormat/>
    <w:rPr>
      <w:rFonts w:ascii="Times New Roman" w:hAnsi="Times New Roman" w:eastAsia="Times New Roman" w:cs="Times New Roman"/>
      <w:sz w:val="24"/>
      <w:szCs w:val="24"/>
      <w:lang w:val="en-US" w:eastAsia="zh-CN" w:bidi="ar-SA"/>
    </w:rPr>
  </w:style>
  <w:style w:type="paragraph" w:styleId="1106" w:customStyle="1">
    <w:name w:val="Normal_8_0_0_0"/>
    <w:uiPriority w:val="0"/>
    <w:qFormat/>
    <w:pPr>
      <w:jc w:val="both"/>
      <w:widowControl w:val="off"/>
    </w:pPr>
    <w:rPr>
      <w:rFonts w:ascii="Calibri" w:hAnsi="Calibri" w:eastAsia="宋体" w:cs="Times New Roman"/>
      <w:lang w:val="en-US" w:eastAsia="zh-CN" w:bidi="ar-SA"/>
    </w:rPr>
  </w:style>
  <w:style w:type="paragraph" w:styleId="1107" w:customStyle="1">
    <w:name w:val="Normal_16_1"/>
    <w:uiPriority w:val="0"/>
    <w:qFormat/>
    <w:rPr>
      <w:rFonts w:ascii="黑体" w:hAnsi="黑体" w:eastAsia="黑体" w:cs="Times New Roman"/>
      <w:b/>
      <w:sz w:val="32"/>
      <w:szCs w:val="24"/>
      <w:lang w:val="en-US" w:eastAsia="zh-CN" w:bidi="ar-SA"/>
    </w:rPr>
  </w:style>
  <w:style w:type="paragraph" w:styleId="1108" w:customStyle="1">
    <w:name w:val="Normal_19_0_1"/>
    <w:uiPriority w:val="0"/>
    <w:qFormat/>
    <w:rPr>
      <w:rFonts w:ascii="Tahoma" w:hAnsi="Tahoma" w:eastAsia="微软雅黑" w:cs="Times New Roman"/>
      <w:lang w:val="en-US" w:eastAsia="zh-CN" w:bidi="ar-SA"/>
    </w:rPr>
  </w:style>
  <w:style w:type="paragraph" w:styleId="1109" w:customStyle="1">
    <w:name w:val="Normal_16_0_0"/>
    <w:uiPriority w:val="0"/>
    <w:qFormat/>
    <w:pPr>
      <w:jc w:val="both"/>
      <w:widowControl w:val="off"/>
    </w:pPr>
    <w:rPr>
      <w:rFonts w:ascii="Calibri" w:hAnsi="Calibri" w:eastAsia="宋体" w:cs="Times New Roman"/>
      <w:lang w:val="en-US" w:eastAsia="zh-CN" w:bidi="ar-SA"/>
    </w:rPr>
  </w:style>
  <w:style w:type="paragraph" w:styleId="1110"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111" w:customStyle="1">
    <w:name w:val="Normal_17_0_0"/>
    <w:uiPriority w:val="0"/>
    <w:qFormat/>
    <w:rPr>
      <w:rFonts w:ascii="黑体" w:hAnsi="黑体" w:eastAsia="黑体" w:cs="Times New Roman"/>
      <w:b/>
      <w:sz w:val="32"/>
      <w:szCs w:val="24"/>
      <w:lang w:val="en-US" w:eastAsia="zh-CN" w:bidi="ar-SA"/>
    </w:rPr>
  </w:style>
  <w:style w:type="paragraph" w:styleId="1112" w:customStyle="1">
    <w:name w:val="Normal_19_0_1_0"/>
    <w:uiPriority w:val="0"/>
    <w:qFormat/>
    <w:rPr>
      <w:rFonts w:ascii="Tahoma" w:hAnsi="Tahoma" w:eastAsia="微软雅黑" w:cs="Times New Roman"/>
      <w:lang w:val="en-US" w:eastAsia="zh-CN" w:bidi="ar-SA"/>
    </w:rPr>
  </w:style>
  <w:style w:type="paragraph" w:styleId="1113" w:customStyle="1">
    <w:name w:val="Normal_19_3"/>
    <w:next w:val="1114"/>
    <w:uiPriority w:val="0"/>
    <w:qFormat/>
    <w:pPr>
      <w:jc w:val="both"/>
      <w:widowControl w:val="off"/>
    </w:pPr>
    <w:rPr>
      <w:rFonts w:ascii="Calibri" w:hAnsi="Calibri" w:eastAsia="Times New Roman" w:cs="Times New Roman"/>
      <w:szCs w:val="24"/>
      <w:lang w:val="en-US" w:eastAsia="zh-CN" w:bidi="ar-SA"/>
    </w:rPr>
  </w:style>
  <w:style w:type="paragraph" w:styleId="1114"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115"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116" w:customStyle="1">
    <w:name w:val="custom-tag-placeholder-class"/>
    <w:basedOn w:val="809"/>
    <w:uiPriority w:val="0"/>
    <w:qFormat/>
  </w:style>
  <w:style w:type="paragraph" w:styleId="1117" w:customStyle="1">
    <w:name w:val="Normal_19_0_0"/>
    <w:basedOn w:val="1089"/>
    <w:uiPriority w:val="0"/>
    <w:qFormat/>
    <w:rPr>
      <w:rFonts w:ascii="Calibri" w:hAnsi="Calibri" w:eastAsia="Times New Roman"/>
      <w:sz w:val="24"/>
    </w:rPr>
  </w:style>
  <w:style w:type="paragraph" w:styleId="1118" w:customStyle="1">
    <w:name w:val="正文首行缩进1"/>
    <w:basedOn w:val="1119"/>
    <w:uiPriority w:val="0"/>
    <w:qFormat/>
    <w:pPr>
      <w:ind w:firstLine="100"/>
      <w:spacing w:after="120" w:line="240" w:lineRule="auto"/>
    </w:pPr>
    <w:rPr>
      <w:rFonts w:ascii="Times New Roman" w:hAnsi="Times New Roman" w:eastAsia="宋体"/>
      <w:sz w:val="21"/>
    </w:rPr>
  </w:style>
  <w:style w:type="paragraph" w:styleId="1119" w:customStyle="1">
    <w:name w:val="正文文本1"/>
    <w:basedOn w:val="799"/>
    <w:uiPriority w:val="0"/>
    <w:qFormat/>
    <w:pPr>
      <w:spacing w:line="60" w:lineRule="auto"/>
    </w:pPr>
    <w:rPr>
      <w:rFonts w:ascii="仿宋_GB2312" w:eastAsia="仿宋_GB2312"/>
      <w:sz w:val="32"/>
    </w:rPr>
  </w:style>
  <w:style w:type="paragraph" w:styleId="1120" w:customStyle="1">
    <w:name w:val="标题 41"/>
    <w:basedOn w:val="1089"/>
    <w:next w:val="1089"/>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1121"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122" w:customStyle="1">
    <w:name w:val="List Paragraph_0"/>
    <w:basedOn w:val="1035"/>
    <w:uiPriority w:val="0"/>
    <w:qFormat/>
    <w:pPr>
      <w:ind w:firstLine="420"/>
    </w:pPr>
  </w:style>
  <w:style w:type="paragraph" w:styleId="1123" w:customStyle="1">
    <w:name w:val="纯文本_1"/>
    <w:basedOn w:val="1121"/>
    <w:uiPriority w:val="0"/>
    <w:qFormat/>
    <w:rPr>
      <w:rFonts w:ascii="宋体" w:hAnsi="Times New Roman"/>
      <w:sz w:val="20"/>
      <w:szCs w:val="21"/>
    </w:rPr>
  </w:style>
  <w:style w:type="paragraph" w:styleId="1124" w:customStyle="1">
    <w:name w:val="正文_16_0_0"/>
    <w:next w:val="883"/>
    <w:uiPriority w:val="0"/>
    <w:qFormat/>
    <w:pPr>
      <w:jc w:val="both"/>
      <w:widowControl w:val="off"/>
    </w:pPr>
    <w:rPr>
      <w:rFonts w:ascii="Calibri" w:hAnsi="Calibri" w:eastAsia="宋体" w:cs="Times New Roman"/>
      <w:sz w:val="21"/>
      <w:szCs w:val="22"/>
      <w:lang w:val="en-US" w:eastAsia="zh-CN" w:bidi="ar-SA"/>
    </w:rPr>
  </w:style>
  <w:style w:type="paragraph" w:styleId="1125" w:customStyle="1">
    <w:name w:val="正文_11_0"/>
    <w:basedOn w:val="883"/>
    <w:uiPriority w:val="0"/>
    <w:qFormat/>
    <w:rPr>
      <w:rFonts w:ascii="Calibri" w:hAnsi="Calibri"/>
      <w:szCs w:val="20"/>
    </w:rPr>
  </w:style>
  <w:style w:type="paragraph" w:styleId="1126" w:customStyle="1">
    <w:name w:val="Normal_19_0_0_0"/>
    <w:basedOn w:val="811"/>
    <w:uiPriority w:val="0"/>
    <w:qFormat/>
    <w:rPr>
      <w:rFonts w:cs="黑体"/>
      <w:szCs w:val="24"/>
    </w:rPr>
  </w:style>
  <w:style w:type="paragraph" w:styleId="1127" w:customStyle="1">
    <w:name w:val="无间隔1"/>
    <w:basedOn w:val="1128"/>
    <w:uiPriority w:val="0"/>
    <w:qFormat/>
    <w:rPr>
      <w:rFonts w:ascii="Calibri" w:hAnsi="Calibri" w:cs="Calibri"/>
    </w:rPr>
  </w:style>
  <w:style w:type="paragraph" w:styleId="1128" w:customStyle="1">
    <w:name w:val="正文3"/>
    <w:next w:val="1129"/>
    <w:uiPriority w:val="0"/>
    <w:qFormat/>
    <w:rPr>
      <w:rFonts w:ascii="Times New Roman" w:hAnsi="Times New Roman" w:eastAsia="Times New Roman" w:cs="Times New Roman"/>
      <w:sz w:val="24"/>
      <w:szCs w:val="24"/>
      <w:lang w:val="en-US" w:eastAsia="zh-CN" w:bidi="ar-SA"/>
    </w:rPr>
  </w:style>
  <w:style w:type="paragraph" w:styleId="1129" w:customStyle="1">
    <w:name w:val="标题 31"/>
    <w:basedOn w:val="1128"/>
    <w:next w:val="1128"/>
    <w:uiPriority w:val="0"/>
    <w:qFormat/>
    <w:pPr>
      <w:keepLines/>
      <w:keepNext/>
      <w:spacing w:before="260" w:after="260" w:line="413" w:lineRule="auto"/>
      <w:outlineLvl w:val="2"/>
    </w:pPr>
    <w:rPr>
      <w:b/>
      <w:sz w:val="32"/>
      <w:szCs w:val="20"/>
    </w:rPr>
  </w:style>
  <w:style w:type="character" w:styleId="1130" w:customStyle="1">
    <w:name w:val="标题 2 Char_0"/>
    <w:link w:val="1131"/>
    <w:uiPriority w:val="0"/>
    <w:qFormat/>
    <w:rPr>
      <w:rFonts w:ascii="Arial" w:hAnsi="Arial" w:eastAsia="黑体"/>
      <w:b/>
      <w:sz w:val="32"/>
      <w:szCs w:val="22"/>
    </w:rPr>
  </w:style>
  <w:style w:type="paragraph" w:styleId="1131" w:customStyle="1">
    <w:name w:val="标题 21"/>
    <w:basedOn w:val="812"/>
    <w:next w:val="812"/>
    <w:link w:val="1130"/>
    <w:uiPriority w:val="0"/>
    <w:unhideWhenUsed/>
    <w:qFormat/>
    <w:pPr>
      <w:keepLines/>
      <w:keepNext/>
      <w:spacing w:before="260" w:after="260" w:line="413" w:lineRule="auto"/>
      <w:outlineLvl w:val="1"/>
    </w:pPr>
    <w:rPr>
      <w:rFonts w:ascii="Arial" w:hAnsi="Arial"/>
      <w:szCs w:val="22"/>
    </w:rPr>
  </w:style>
  <w:style w:type="paragraph" w:styleId="1132" w:customStyle="1">
    <w:name w:val="Normal_19_1_0_0"/>
    <w:next w:val="1133"/>
    <w:uiPriority w:val="0"/>
    <w:qFormat/>
    <w:pPr>
      <w:jc w:val="both"/>
      <w:widowControl w:val="off"/>
    </w:pPr>
    <w:rPr>
      <w:rFonts w:ascii="Calibri" w:hAnsi="Calibri" w:eastAsia="宋体" w:cs="Times New Roman"/>
      <w:sz w:val="21"/>
      <w:szCs w:val="24"/>
      <w:lang w:val="en-US" w:eastAsia="zh-CN" w:bidi="ar-SA"/>
    </w:rPr>
  </w:style>
  <w:style w:type="paragraph" w:styleId="1133"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正文1_0_0"/>
    <w:basedOn w:val="812"/>
    <w:uiPriority w:val="0"/>
    <w:qFormat/>
    <w:pPr>
      <w:ind w:left="357" w:firstLine="420"/>
      <w:spacing w:line="360" w:lineRule="auto"/>
    </w:pPr>
    <w:rPr>
      <w:rFonts w:eastAsia="Times New Roman" w:cs="Arial"/>
    </w:rPr>
  </w:style>
  <w:style w:type="paragraph" w:styleId="1135" w:customStyle="1">
    <w:name w:val="普通正文"/>
    <w:basedOn w:val="799"/>
    <w:uiPriority w:val="0"/>
    <w:qFormat/>
    <w:pPr>
      <w:ind w:firstLine="480"/>
      <w:jc w:val="left"/>
      <w:spacing w:before="120" w:after="120" w:line="360" w:lineRule="auto"/>
    </w:pPr>
    <w:rPr>
      <w:rFonts w:ascii="Arial" w:hAnsi="Arial"/>
      <w:sz w:val="24"/>
      <w:szCs w:val="24"/>
    </w:rPr>
  </w:style>
  <w:style w:type="paragraph" w:styleId="1136" w:customStyle="1">
    <w:name w:val="正文空2字"/>
    <w:basedOn w:val="1137"/>
    <w:uiPriority w:val="99"/>
    <w:qFormat/>
    <w:pPr>
      <w:ind w:firstLine="640"/>
      <w:spacing w:line="560" w:lineRule="exact"/>
      <w:widowControl w:val="off"/>
    </w:pPr>
    <w:rPr>
      <w:rFonts w:ascii="仿宋_GB2312" w:hAnsi="仿宋_GB2312" w:cs="仿宋_GB2312"/>
      <w:lang w:val="zh-TW"/>
    </w:rPr>
  </w:style>
  <w:style w:type="paragraph" w:styleId="1137" w:customStyle="1">
    <w:name w:val="左对齐正文"/>
    <w:uiPriority w:val="99"/>
    <w:qFormat/>
    <w:rPr>
      <w:rFonts w:ascii="Calibri" w:hAnsi="Calibri" w:eastAsia="仿宋_GB2312" w:cs="Calibri"/>
      <w:sz w:val="32"/>
      <w:szCs w:val="32"/>
      <w:lang w:val="en-US" w:eastAsia="zh-CN" w:bidi="ar-SA"/>
    </w:rPr>
  </w:style>
  <w:style w:type="paragraph" w:styleId="1138" w:customStyle="1">
    <w:name w:val="普通(网站)1"/>
    <w:basedOn w:val="799"/>
    <w:uiPriority w:val="0"/>
    <w:qFormat/>
    <w:rPr>
      <w:sz w:val="24"/>
    </w:rPr>
  </w:style>
  <w:style w:type="character" w:styleId="1139" w:customStyle="1">
    <w:name w:val="16"/>
    <w:uiPriority w:val="0"/>
    <w:qFormat/>
    <w:rPr>
      <w:rFonts w:ascii="Times New Roman" w:hAnsi="Times New Roman"/>
      <w:sz w:val="21"/>
      <w:szCs w:val="21"/>
      <w:lang w:val="en-US" w:eastAsia="zh-CN" w:bidi="ar-SA"/>
    </w:rPr>
  </w:style>
  <w:style w:type="paragraph" w:styleId="1140" w:customStyle="1">
    <w:name w:val="正文文本_0"/>
    <w:basedOn w:val="1035"/>
    <w:next w:val="1141"/>
    <w:uiPriority w:val="0"/>
    <w:qFormat/>
    <w:pPr>
      <w:spacing w:line="60" w:lineRule="auto"/>
    </w:pPr>
    <w:rPr>
      <w:rFonts w:ascii="仿宋_GB2312" w:eastAsia="仿宋_GB2312"/>
      <w:sz w:val="32"/>
    </w:rPr>
  </w:style>
  <w:style w:type="paragraph" w:styleId="1141" w:customStyle="1">
    <w:name w:val="正文缩进_1"/>
    <w:basedOn w:val="1035"/>
    <w:next w:val="1035"/>
    <w:uiPriority w:val="0"/>
    <w:qFormat/>
    <w:pPr>
      <w:ind w:firstLine="420"/>
    </w:pPr>
    <w:rPr>
      <w:rFonts w:ascii="宋体"/>
      <w:color w:val="000000"/>
      <w:sz w:val="24"/>
      <w:szCs w:val="20"/>
    </w:rPr>
  </w:style>
  <w:style w:type="paragraph" w:styleId="1142" w:customStyle="1">
    <w:name w:val="Table Paragraph"/>
    <w:basedOn w:val="1089"/>
    <w:uiPriority w:val="1"/>
    <w:qFormat/>
    <w:rPr>
      <w:rFonts w:ascii="宋体" w:hAnsi="宋体" w:cs="宋体"/>
      <w:sz w:val="22"/>
      <w:lang w:val="zh-CN" w:bidi="zh-CN"/>
    </w:rPr>
  </w:style>
  <w:style w:type="paragraph" w:styleId="1143" w:customStyle="1">
    <w:name w:val="Normal_19_2"/>
    <w:basedOn w:val="1144"/>
    <w:uiPriority w:val="0"/>
    <w:qFormat/>
    <w:rPr>
      <w:rFonts w:ascii="Times New Roman" w:hAnsi="Times New Roman"/>
      <w:szCs w:val="21"/>
    </w:rPr>
  </w:style>
  <w:style w:type="paragraph" w:styleId="1144"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145" w:customStyle="1">
    <w:name w:val="正文文本2"/>
    <w:basedOn w:val="881"/>
    <w:uiPriority w:val="0"/>
    <w:qFormat/>
    <w:pPr>
      <w:spacing w:line="60" w:lineRule="auto"/>
    </w:pPr>
    <w:rPr>
      <w:rFonts w:ascii="仿宋_GB2312" w:eastAsia="仿宋_GB2312"/>
      <w:sz w:val="32"/>
      <w:szCs w:val="22"/>
    </w:rPr>
  </w:style>
  <w:style w:type="paragraph" w:styleId="1146" w:customStyle="1">
    <w:name w:val="正文1_0"/>
    <w:basedOn w:val="1121"/>
    <w:uiPriority w:val="0"/>
    <w:qFormat/>
    <w:pPr>
      <w:ind w:left="357" w:firstLine="420"/>
      <w:jc w:val="left"/>
      <w:spacing w:line="360" w:lineRule="auto"/>
      <w:widowControl/>
    </w:pPr>
    <w:rPr>
      <w:rFonts w:cs="Arial"/>
      <w:szCs w:val="20"/>
    </w:rPr>
  </w:style>
  <w:style w:type="paragraph" w:styleId="1147" w:customStyle="1">
    <w:name w:val="Normal_19_2_0"/>
    <w:basedOn w:val="1148"/>
    <w:uiPriority w:val="0"/>
    <w:qFormat/>
    <w:rPr>
      <w:rFonts w:ascii="Times New Roman" w:hAnsi="Times New Roman"/>
      <w:szCs w:val="21"/>
    </w:rPr>
  </w:style>
  <w:style w:type="paragraph" w:styleId="1148"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149" w:customStyle="1">
    <w:name w:val="正文缩进1"/>
    <w:basedOn w:val="799"/>
    <w:next w:val="799"/>
    <w:uiPriority w:val="0"/>
    <w:qFormat/>
    <w:pPr>
      <w:ind w:firstLine="420"/>
      <w:jc w:val="left"/>
    </w:pPr>
    <w:rPr>
      <w:rFonts w:ascii="宋体" w:hAnsiTheme="minorHAnsi" w:eastAsiaTheme="minorEastAsia" w:cstheme="minorBidi"/>
      <w:sz w:val="24"/>
    </w:rPr>
  </w:style>
  <w:style w:type="paragraph" w:styleId="1150" w:customStyle="1">
    <w:name w:val="纯文本1"/>
    <w:basedOn w:val="882"/>
    <w:uiPriority w:val="0"/>
    <w:qFormat/>
    <w:rPr>
      <w:rFonts w:ascii="宋体" w:hAnsi="Courier New" w:eastAsiaTheme="minorEastAsia" w:cstheme="minorBidi"/>
    </w:rPr>
  </w:style>
  <w:style w:type="paragraph" w:styleId="1151" w:customStyle="1">
    <w:name w:val="Normal_21_0"/>
    <w:next w:val="1152"/>
    <w:uiPriority w:val="0"/>
    <w:qFormat/>
    <w:pPr>
      <w:jc w:val="both"/>
      <w:widowControl w:val="off"/>
    </w:pPr>
    <w:rPr>
      <w:rFonts w:ascii="Times New Roman" w:hAnsi="Times New Roman" w:eastAsia="宋体" w:cs="Times New Roman"/>
      <w:sz w:val="21"/>
      <w:szCs w:val="24"/>
      <w:lang w:val="en-US" w:eastAsia="zh-CN" w:bidi="ar-SA"/>
    </w:rPr>
  </w:style>
  <w:style w:type="paragraph" w:styleId="1152" w:customStyle="1">
    <w:name w:val="Heading 1_0"/>
    <w:basedOn w:val="1151"/>
    <w:next w:val="1151"/>
    <w:uiPriority w:val="0"/>
    <w:qFormat/>
    <w:pPr>
      <w:jc w:val="center"/>
      <w:keepLines/>
      <w:keepNext/>
      <w:spacing w:before="240" w:after="120" w:line="300" w:lineRule="auto"/>
      <w:outlineLvl w:val="0"/>
    </w:pPr>
    <w:rPr>
      <w:rFonts w:ascii="宋体"/>
      <w:b/>
      <w:sz w:val="32"/>
      <w:szCs w:val="20"/>
    </w:rPr>
  </w:style>
  <w:style w:type="paragraph" w:styleId="1153"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154" w:customStyle="1">
    <w:name w:val="正文缩进 字符"/>
    <w:link w:val="816"/>
    <w:uiPriority w:val="0"/>
    <w:qFormat/>
    <w:rPr>
      <w:rFonts w:ascii="宋体" w:hAnsi="Calibri"/>
      <w:color w:val="000000"/>
      <w:sz w:val="24"/>
    </w:rPr>
  </w:style>
  <w:style w:type="character" w:styleId="1155" w:customStyle="1">
    <w:name w:val="文档结构图 字符"/>
    <w:basedOn w:val="809"/>
    <w:link w:val="818"/>
    <w:uiPriority w:val="0"/>
    <w:semiHidden/>
    <w:qFormat/>
    <w:rPr>
      <w:sz w:val="21"/>
      <w:szCs w:val="21"/>
      <w:shd w:val="clear" w:color="auto" w:fill="000080"/>
    </w:rPr>
  </w:style>
  <w:style w:type="character" w:styleId="1156" w:customStyle="1">
    <w:name w:val="批注文字 字符"/>
    <w:basedOn w:val="809"/>
    <w:link w:val="819"/>
    <w:uiPriority w:val="0"/>
    <w:semiHidden/>
    <w:qFormat/>
    <w:rPr>
      <w:sz w:val="21"/>
      <w:szCs w:val="21"/>
    </w:rPr>
  </w:style>
  <w:style w:type="character" w:styleId="1157" w:customStyle="1">
    <w:name w:val="正文文本 3 字符"/>
    <w:basedOn w:val="809"/>
    <w:link w:val="820"/>
    <w:uiPriority w:val="0"/>
    <w:qFormat/>
    <w:rPr>
      <w:rFonts w:ascii="仿宋_GB2312" w:hAnsi="Arial" w:eastAsia="仿宋_GB2312"/>
      <w:sz w:val="32"/>
      <w:szCs w:val="32"/>
    </w:rPr>
  </w:style>
  <w:style w:type="character" w:styleId="1158" w:customStyle="1">
    <w:name w:val="正文文本 字符"/>
    <w:uiPriority w:val="0"/>
    <w:qFormat/>
    <w:rPr>
      <w:rFonts w:ascii="楷体_GB2312" w:hAnsi="Arial" w:eastAsia="楷体_GB2312" w:cs="Times New Roman"/>
      <w:sz w:val="28"/>
      <w:szCs w:val="28"/>
    </w:rPr>
  </w:style>
  <w:style w:type="character" w:styleId="1159" w:customStyle="1">
    <w:name w:val="正文文本缩进 字符"/>
    <w:uiPriority w:val="0"/>
    <w:qFormat/>
    <w:rPr>
      <w:rFonts w:ascii="楷体_GB2312" w:hAnsi="Times New Roman" w:eastAsia="楷体_GB2312" w:cs="Times New Roman"/>
      <w:sz w:val="32"/>
      <w:szCs w:val="32"/>
    </w:rPr>
  </w:style>
  <w:style w:type="character" w:styleId="1160" w:customStyle="1">
    <w:name w:val="纯文本 字符"/>
    <w:basedOn w:val="809"/>
    <w:link w:val="826"/>
    <w:uiPriority w:val="0"/>
    <w:qFormat/>
    <w:rPr>
      <w:rFonts w:ascii="宋体" w:hAnsi="Courier New" w:cs="Courier New"/>
      <w:sz w:val="21"/>
      <w:szCs w:val="21"/>
    </w:rPr>
  </w:style>
  <w:style w:type="character" w:styleId="1161" w:customStyle="1">
    <w:name w:val="日期 字符"/>
    <w:basedOn w:val="809"/>
    <w:link w:val="828"/>
    <w:uiPriority w:val="0"/>
    <w:qFormat/>
    <w:rPr>
      <w:sz w:val="24"/>
      <w:szCs w:val="24"/>
    </w:rPr>
  </w:style>
  <w:style w:type="character" w:styleId="1162" w:customStyle="1">
    <w:name w:val="正文文本缩进 2 字符"/>
    <w:basedOn w:val="809"/>
    <w:link w:val="829"/>
    <w:uiPriority w:val="0"/>
    <w:qFormat/>
    <w:rPr>
      <w:rFonts w:ascii="Arial" w:hAnsi="Arial" w:eastAsia="仿宋_GB2312" w:cs="Arial"/>
      <w:sz w:val="32"/>
      <w:szCs w:val="32"/>
    </w:rPr>
  </w:style>
  <w:style w:type="character" w:styleId="1163" w:customStyle="1">
    <w:name w:val="批注框文本 字符"/>
    <w:basedOn w:val="809"/>
    <w:link w:val="831"/>
    <w:uiPriority w:val="0"/>
    <w:qFormat/>
    <w:rPr>
      <w:sz w:val="18"/>
      <w:szCs w:val="18"/>
    </w:rPr>
  </w:style>
  <w:style w:type="character" w:styleId="1164" w:customStyle="1">
    <w:name w:val="正文文本缩进 3 字符"/>
    <w:basedOn w:val="809"/>
    <w:link w:val="840"/>
    <w:uiPriority w:val="0"/>
    <w:qFormat/>
    <w:rPr>
      <w:rFonts w:ascii="Arial" w:hAnsi="Arial" w:eastAsia="仿宋_GB2312" w:cs="Arial"/>
      <w:color w:val="ffff00"/>
      <w:sz w:val="32"/>
      <w:szCs w:val="32"/>
    </w:rPr>
  </w:style>
  <w:style w:type="character" w:styleId="1165" w:customStyle="1">
    <w:name w:val="正文文本 2 字符"/>
    <w:basedOn w:val="809"/>
    <w:link w:val="844"/>
    <w:uiPriority w:val="0"/>
    <w:qFormat/>
    <w:rPr>
      <w:rFonts w:ascii="楷体_GB2312" w:eastAsia="楷体_GB2312"/>
      <w:sz w:val="28"/>
      <w:szCs w:val="28"/>
    </w:rPr>
  </w:style>
  <w:style w:type="character" w:styleId="1166" w:customStyle="1">
    <w:name w:val="批注主题 字符"/>
    <w:basedOn w:val="1156"/>
    <w:link w:val="849"/>
    <w:uiPriority w:val="0"/>
    <w:semiHidden/>
    <w:qFormat/>
    <w:rPr>
      <w:b/>
      <w:bCs/>
      <w:sz w:val="21"/>
      <w:szCs w:val="21"/>
    </w:rPr>
  </w:style>
  <w:style w:type="character" w:styleId="1167" w:customStyle="1">
    <w:name w:val="正文文本 字符1"/>
    <w:basedOn w:val="809"/>
    <w:link w:val="821"/>
    <w:uiPriority w:val="0"/>
    <w:qFormat/>
    <w:rPr>
      <w:rFonts w:ascii="Calibri" w:hAnsi="Calibri"/>
      <w:sz w:val="28"/>
      <w:szCs w:val="24"/>
    </w:rPr>
  </w:style>
  <w:style w:type="character" w:styleId="1168" w:customStyle="1">
    <w:name w:val="正文文本首行缩进 字符"/>
    <w:basedOn w:val="1167"/>
    <w:link w:val="850"/>
    <w:uiPriority w:val="0"/>
    <w:qFormat/>
    <w:rPr>
      <w:rFonts w:ascii="仿宋_GB2312" w:hAnsi="Calibri" w:eastAsia="仿宋_GB2312"/>
      <w:sz w:val="30"/>
      <w:szCs w:val="30"/>
    </w:rPr>
  </w:style>
  <w:style w:type="character" w:styleId="1169" w:customStyle="1">
    <w:name w:val="正文文本缩进 字符1"/>
    <w:basedOn w:val="809"/>
    <w:link w:val="822"/>
    <w:uiPriority w:val="0"/>
    <w:qFormat/>
    <w:rPr>
      <w:rFonts w:ascii="仿宋_GB2312" w:hAnsi="Calibri" w:eastAsia="仿宋_GB2312"/>
      <w:sz w:val="32"/>
      <w:szCs w:val="22"/>
    </w:rPr>
  </w:style>
  <w:style w:type="character" w:styleId="1170" w:customStyle="1">
    <w:name w:val="正文文本首行缩进 2 字符"/>
    <w:basedOn w:val="1169"/>
    <w:link w:val="851"/>
    <w:uiPriority w:val="0"/>
    <w:qFormat/>
    <w:rPr>
      <w:rFonts w:ascii="宋体" w:hAnsi="宋体" w:eastAsia="仿宋_GB2312"/>
      <w:sz w:val="21"/>
      <w:szCs w:val="22"/>
    </w:rPr>
  </w:style>
  <w:style w:type="paragraph" w:styleId="1171" w:customStyle="1">
    <w:name w:val="索引 41"/>
    <w:basedOn w:val="799"/>
    <w:next w:val="799"/>
    <w:uiPriority w:val="0"/>
    <w:semiHidden/>
    <w:qFormat/>
    <w:pPr>
      <w:ind w:left="1260"/>
    </w:pPr>
    <w:rPr>
      <w:rFonts w:eastAsia="Calibri" w:cs="宋体"/>
      <w:sz w:val="20"/>
      <w:szCs w:val="21"/>
      <w:lang w:val="zh-CN"/>
    </w:rPr>
  </w:style>
  <w:style w:type="character" w:styleId="1172" w:customStyle="1">
    <w:name w:val="font5 Char"/>
    <w:uiPriority w:val="0"/>
    <w:qFormat/>
    <w:rPr>
      <w:rFonts w:ascii="宋体" w:hAnsi="宋体" w:eastAsia="宋体"/>
      <w:sz w:val="28"/>
      <w:szCs w:val="28"/>
      <w:lang w:val="en-US" w:eastAsia="zh-CN" w:bidi="ar-SA"/>
    </w:rPr>
  </w:style>
  <w:style w:type="character" w:styleId="1173" w:customStyle="1">
    <w:name w:val="二级目录 Char"/>
    <w:link w:val="1174"/>
    <w:uiPriority w:val="0"/>
    <w:qFormat/>
    <w:rPr>
      <w:b/>
      <w:sz w:val="30"/>
      <w:szCs w:val="28"/>
    </w:rPr>
  </w:style>
  <w:style w:type="paragraph" w:styleId="1174" w:customStyle="1">
    <w:name w:val="二级目录"/>
    <w:next w:val="799"/>
    <w:link w:val="1173"/>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75" w:customStyle="1">
    <w:name w:val="列出段落 Char"/>
    <w:link w:val="1176"/>
    <w:uiPriority w:val="0"/>
    <w:qFormat/>
    <w:rPr>
      <w:rFonts w:ascii="Calibri" w:hAnsi="Calibri"/>
      <w:sz w:val="24"/>
      <w:szCs w:val="24"/>
      <w:lang w:eastAsia="en-US" w:bidi="en-US"/>
    </w:rPr>
  </w:style>
  <w:style w:type="paragraph" w:styleId="1176" w:customStyle="1">
    <w:name w:val="列出段落1"/>
    <w:basedOn w:val="799"/>
    <w:link w:val="1175"/>
    <w:uiPriority w:val="0"/>
    <w:qFormat/>
    <w:pPr>
      <w:contextualSpacing/>
      <w:ind w:left="720"/>
      <w:jc w:val="left"/>
      <w:widowControl/>
    </w:pPr>
    <w:rPr>
      <w:sz w:val="24"/>
      <w:szCs w:val="24"/>
      <w:lang w:eastAsia="en-US" w:bidi="en-US"/>
    </w:rPr>
  </w:style>
  <w:style w:type="paragraph" w:styleId="1177" w:customStyle="1">
    <w:name w:val="Body Text(ch)"/>
    <w:basedOn w:val="799"/>
    <w:next w:val="821"/>
    <w:uiPriority w:val="0"/>
    <w:qFormat/>
    <w:pPr>
      <w:spacing w:after="120"/>
    </w:pPr>
    <w:rPr>
      <w:rFonts w:ascii="宋体" w:hAnsi="Arial"/>
      <w:bCs/>
      <w:iCs/>
      <w:szCs w:val="24"/>
    </w:rPr>
  </w:style>
  <w:style w:type="paragraph" w:styleId="1178" w:customStyle="1">
    <w:name w:val="xl27"/>
    <w:basedOn w:val="79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79" w:customStyle="1">
    <w:name w:val="xl26"/>
    <w:basedOn w:val="79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80" w:customStyle="1">
    <w:name w:val="Char"/>
    <w:basedOn w:val="799"/>
    <w:uiPriority w:val="0"/>
    <w:qFormat/>
    <w:pPr>
      <w:ind w:firstLine="200"/>
      <w:tabs>
        <w:tab w:val="left" w:pos="360" w:leader="none"/>
      </w:tabs>
    </w:pPr>
    <w:rPr>
      <w:rFonts w:ascii="Times New Roman" w:hAnsi="Times New Roman"/>
      <w:sz w:val="28"/>
      <w:szCs w:val="30"/>
    </w:rPr>
  </w:style>
  <w:style w:type="paragraph" w:styleId="1181" w:customStyle="1">
    <w:name w:val="Char1"/>
    <w:basedOn w:val="818"/>
    <w:uiPriority w:val="0"/>
    <w:qFormat/>
    <w:rPr>
      <w:rFonts w:ascii="Tahoma" w:hAnsi="Tahoma"/>
      <w:sz w:val="24"/>
      <w:szCs w:val="24"/>
    </w:rPr>
  </w:style>
  <w:style w:type="paragraph" w:styleId="1182" w:customStyle="1">
    <w:name w:val="table_lines"/>
    <w:basedOn w:val="799"/>
    <w:uiPriority w:val="0"/>
    <w:qFormat/>
    <w:pPr>
      <w:jc w:val="left"/>
      <w:widowControl/>
    </w:pPr>
    <w:rPr>
      <w:rFonts w:ascii="Times New Roman" w:hAnsi="Times New Roman"/>
      <w:sz w:val="20"/>
      <w:szCs w:val="20"/>
      <w:lang w:val="de-DE" w:eastAsia="de-DE"/>
    </w:rPr>
  </w:style>
  <w:style w:type="paragraph" w:styleId="1183"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84" w:customStyle="1">
    <w:name w:val="font7"/>
    <w:basedOn w:val="799"/>
    <w:uiPriority w:val="0"/>
    <w:qFormat/>
    <w:pPr>
      <w:jc w:val="left"/>
      <w:spacing w:before="100" w:beforeAutospacing="1" w:after="100" w:afterAutospacing="1"/>
      <w:widowControl/>
    </w:pPr>
    <w:rPr>
      <w:rFonts w:hint="eastAsia" w:ascii="宋体" w:hAnsi="宋体"/>
      <w:sz w:val="18"/>
      <w:szCs w:val="18"/>
    </w:rPr>
  </w:style>
  <w:style w:type="paragraph" w:styleId="1185" w:customStyle="1">
    <w:name w:val="Char Char Char Char"/>
    <w:basedOn w:val="818"/>
    <w:uiPriority w:val="0"/>
    <w:qFormat/>
    <w:pPr>
      <w:spacing w:line="360" w:lineRule="auto"/>
    </w:pPr>
    <w:rPr>
      <w:rFonts w:ascii="Tahoma" w:hAnsi="Tahoma"/>
      <w:sz w:val="24"/>
      <w:szCs w:val="24"/>
    </w:rPr>
  </w:style>
  <w:style w:type="paragraph" w:styleId="1186" w:customStyle="1">
    <w:name w:val="4"/>
    <w:basedOn w:val="799"/>
    <w:next w:val="840"/>
    <w:uiPriority w:val="0"/>
    <w:qFormat/>
    <w:pPr>
      <w:ind w:firstLine="420"/>
      <w:spacing w:line="360" w:lineRule="auto"/>
    </w:pPr>
    <w:rPr>
      <w:rFonts w:ascii="Times New Roman" w:hAnsi="Times New Roman"/>
      <w:color w:val="ff0000"/>
      <w:sz w:val="24"/>
      <w:szCs w:val="24"/>
    </w:rPr>
  </w:style>
  <w:style w:type="paragraph" w:styleId="1187" w:customStyle="1">
    <w:name w:val="普通 (Web)"/>
    <w:basedOn w:val="799"/>
    <w:uiPriority w:val="0"/>
    <w:qFormat/>
    <w:pPr>
      <w:jc w:val="left"/>
      <w:spacing w:before="100" w:beforeAutospacing="1" w:after="100" w:afterAutospacing="1"/>
      <w:widowControl/>
    </w:pPr>
    <w:rPr>
      <w:rFonts w:ascii="宋体" w:hAnsi="宋体"/>
      <w:sz w:val="24"/>
      <w:szCs w:val="24"/>
    </w:rPr>
  </w:style>
  <w:style w:type="paragraph" w:styleId="1188" w:customStyle="1">
    <w:name w:val="Char Char Char Char Char Char Char Char Char Char"/>
    <w:basedOn w:val="799"/>
    <w:uiPriority w:val="0"/>
    <w:qFormat/>
    <w:pPr>
      <w:spacing w:line="360" w:lineRule="auto"/>
    </w:pPr>
    <w:rPr>
      <w:rFonts w:ascii="Times New Roman" w:hAnsi="Times New Roman"/>
      <w:sz w:val="24"/>
      <w:szCs w:val="20"/>
    </w:rPr>
  </w:style>
  <w:style w:type="paragraph" w:styleId="1189" w:customStyle="1">
    <w:name w:val="样式1"/>
    <w:basedOn w:val="799"/>
    <w:uiPriority w:val="0"/>
    <w:qFormat/>
    <w:pPr>
      <w:numPr>
        <w:ilvl w:val="0"/>
        <w:numId w:val="2"/>
      </w:numPr>
      <w:tabs>
        <w:tab w:val="left" w:pos="709" w:leader="none"/>
      </w:tabs>
    </w:pPr>
    <w:rPr>
      <w:rFonts w:ascii="宋体" w:hAnsi="宋体"/>
      <w:szCs w:val="21"/>
    </w:rPr>
  </w:style>
  <w:style w:type="paragraph" w:styleId="1190" w:customStyle="1">
    <w:name w:val="font6"/>
    <w:basedOn w:val="799"/>
    <w:uiPriority w:val="0"/>
    <w:qFormat/>
    <w:pPr>
      <w:jc w:val="left"/>
      <w:spacing w:before="100" w:beforeAutospacing="1" w:after="100" w:afterAutospacing="1"/>
      <w:widowControl/>
    </w:pPr>
    <w:rPr>
      <w:rFonts w:hint="eastAsia" w:ascii="宋体" w:hAnsi="宋体"/>
      <w:sz w:val="28"/>
      <w:szCs w:val="28"/>
      <w:u w:val="single"/>
    </w:rPr>
  </w:style>
  <w:style w:type="paragraph" w:styleId="1191" w:customStyle="1">
    <w:name w:val="xl25"/>
    <w:basedOn w:val="79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92" w:customStyle="1">
    <w:name w:val="图标"/>
    <w:basedOn w:val="799"/>
    <w:next w:val="79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93" w:customStyle="1">
    <w:name w:val="标题3"/>
    <w:basedOn w:val="799"/>
    <w:next w:val="799"/>
    <w:uiPriority w:val="0"/>
    <w:qFormat/>
    <w:pPr>
      <w:ind w:firstLine="624"/>
      <w:spacing w:line="590" w:lineRule="atLeast"/>
    </w:pPr>
    <w:rPr>
      <w:rFonts w:ascii="方正黑体_GBK" w:hAnsi="Times New Roman" w:eastAsia="方正黑体_GBK"/>
      <w:sz w:val="32"/>
      <w:szCs w:val="32"/>
    </w:rPr>
  </w:style>
  <w:style w:type="paragraph" w:styleId="1194" w:customStyle="1">
    <w:name w:val="xl24"/>
    <w:basedOn w:val="79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95" w:customStyle="1">
    <w:name w:val="xl29"/>
    <w:basedOn w:val="799"/>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96" w:customStyle="1">
    <w:name w:val="Char Char Char Char Char Char Char Char"/>
    <w:basedOn w:val="799"/>
    <w:uiPriority w:val="0"/>
    <w:qFormat/>
    <w:pPr>
      <w:jc w:val="left"/>
      <w:spacing w:after="160" w:line="240" w:lineRule="exact"/>
      <w:widowControl/>
    </w:pPr>
    <w:rPr>
      <w:rFonts w:ascii="Verdana" w:hAnsi="Verdana"/>
      <w:sz w:val="20"/>
      <w:szCs w:val="20"/>
      <w:lang w:eastAsia="en-US"/>
    </w:rPr>
  </w:style>
  <w:style w:type="paragraph" w:styleId="1197" w:customStyle="1">
    <w:name w:val="xl28"/>
    <w:basedOn w:val="79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98" w:customStyle="1">
    <w:name w:val="Char Char Char Char Char Char Char Char1"/>
    <w:basedOn w:val="799"/>
    <w:uiPriority w:val="0"/>
    <w:qFormat/>
    <w:pPr>
      <w:jc w:val="left"/>
      <w:spacing w:after="160" w:line="240" w:lineRule="exact"/>
      <w:widowControl/>
    </w:pPr>
    <w:rPr>
      <w:rFonts w:ascii="Verdana" w:hAnsi="Verdana"/>
      <w:sz w:val="20"/>
      <w:szCs w:val="20"/>
      <w:lang w:eastAsia="en-US"/>
    </w:rPr>
  </w:style>
  <w:style w:type="paragraph" w:styleId="1199" w:customStyle="1">
    <w:name w:val="xl30"/>
    <w:basedOn w:val="799"/>
    <w:uiPriority w:val="0"/>
    <w:qFormat/>
    <w:pPr>
      <w:jc w:val="center"/>
      <w:spacing w:before="100" w:beforeAutospacing="1" w:after="100" w:afterAutospacing="1"/>
      <w:widowControl/>
    </w:pPr>
    <w:rPr>
      <w:rFonts w:ascii="宋体" w:hAnsi="宋体"/>
      <w:b/>
      <w:bCs/>
      <w:sz w:val="36"/>
      <w:szCs w:val="36"/>
    </w:rPr>
  </w:style>
  <w:style w:type="paragraph" w:styleId="1200" w:customStyle="1">
    <w:name w:val="Char Char Char Char1"/>
    <w:basedOn w:val="818"/>
    <w:uiPriority w:val="0"/>
    <w:qFormat/>
    <w:pPr>
      <w:spacing w:line="360" w:lineRule="auto"/>
    </w:pPr>
    <w:rPr>
      <w:rFonts w:ascii="Tahoma" w:hAnsi="Tahoma"/>
      <w:sz w:val="24"/>
      <w:szCs w:val="24"/>
    </w:rPr>
  </w:style>
  <w:style w:type="paragraph" w:styleId="1201" w:customStyle="1">
    <w:name w:val="table_1stline"/>
    <w:basedOn w:val="799"/>
    <w:uiPriority w:val="0"/>
    <w:qFormat/>
    <w:pPr>
      <w:jc w:val="left"/>
      <w:spacing w:before="120"/>
      <w:widowControl/>
    </w:pPr>
    <w:rPr>
      <w:rFonts w:ascii="Times New Roman" w:hAnsi="Times New Roman"/>
      <w:bCs/>
      <w:sz w:val="20"/>
      <w:szCs w:val="20"/>
      <w:lang w:val="de-DE" w:eastAsia="de-DE"/>
    </w:rPr>
  </w:style>
  <w:style w:type="paragraph" w:styleId="1202" w:customStyle="1">
    <w:name w:val="font5"/>
    <w:basedOn w:val="799"/>
    <w:uiPriority w:val="0"/>
    <w:qFormat/>
    <w:pPr>
      <w:jc w:val="left"/>
      <w:spacing w:before="100" w:beforeAutospacing="1" w:after="100" w:afterAutospacing="1"/>
      <w:widowControl/>
    </w:pPr>
    <w:rPr>
      <w:rFonts w:hint="eastAsia" w:ascii="宋体" w:hAnsi="宋体"/>
      <w:sz w:val="28"/>
      <w:szCs w:val="28"/>
    </w:rPr>
  </w:style>
  <w:style w:type="paragraph" w:styleId="1203" w:customStyle="1">
    <w:name w:val="标题1"/>
    <w:basedOn w:val="799"/>
    <w:next w:val="799"/>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04" w:customStyle="1">
    <w:name w:val="修订1"/>
    <w:uiPriority w:val="99"/>
    <w:semiHidden/>
    <w:qFormat/>
    <w:rPr>
      <w:rFonts w:ascii="Times New Roman" w:hAnsi="Times New Roman" w:eastAsia="宋体" w:cs="Times New Roman"/>
      <w:sz w:val="21"/>
      <w:szCs w:val="21"/>
      <w:lang w:val="en-US" w:eastAsia="zh-CN" w:bidi="ar-SA"/>
    </w:rPr>
  </w:style>
  <w:style w:type="table" w:styleId="1205" w:customStyle="1">
    <w:name w:val="Table Normal"/>
    <w:uiPriority w:val="0"/>
    <w:qFormat/>
    <w:tblPr>
      <w:tblCellMar>
        <w:left w:w="0" w:type="dxa"/>
        <w:top w:w="0" w:type="dxa"/>
        <w:right w:w="0" w:type="dxa"/>
        <w:bottom w:w="0" w:type="dxa"/>
      </w:tblCellMar>
    </w:tblPr>
  </w:style>
  <w:style w:type="paragraph" w:styleId="1206" w:customStyle="1">
    <w:name w:val="正文文本12"/>
    <w:basedOn w:val="799"/>
    <w:uiPriority w:val="1"/>
    <w:qFormat/>
    <w:pPr>
      <w:ind w:left="120"/>
    </w:pPr>
    <w:rPr>
      <w:rFonts w:ascii="宋体" w:hAnsi="宋体" w:cs="宋体"/>
      <w:szCs w:val="21"/>
      <w:lang w:val="zh-CN" w:bidi="zh-CN"/>
    </w:rPr>
  </w:style>
  <w:style w:type="paragraph" w:styleId="1207" w:customStyle="1">
    <w:name w:val="首行缩进"/>
    <w:basedOn w:val="799"/>
    <w:uiPriority w:val="0"/>
    <w:qFormat/>
    <w:pPr>
      <w:ind w:firstLine="480"/>
    </w:pPr>
    <w:rPr>
      <w:rFonts w:ascii="Times New Roman" w:hAnsi="Times New Roman"/>
      <w:szCs w:val="21"/>
      <w:lang w:val="zh-CN"/>
    </w:rPr>
  </w:style>
  <w:style w:type="paragraph" w:styleId="1208" w:customStyle="1">
    <w:name w:val="部分1"/>
    <w:basedOn w:val="799"/>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09" w:customStyle="1">
    <w:name w:val="15"/>
    <w:uiPriority w:val="0"/>
    <w:qFormat/>
    <w:rPr>
      <w:rFonts w:hint="default" w:ascii="Times New Roman" w:hAnsi="Times New Roman" w:cs="Times New Roman"/>
    </w:rPr>
  </w:style>
  <w:style w:type="character" w:styleId="1210" w:customStyle="1">
    <w:name w:val="HTML 预设格式 字符"/>
    <w:basedOn w:val="809"/>
    <w:link w:val="845"/>
    <w:uiPriority w:val="99"/>
    <w:qFormat/>
    <w:rPr>
      <w:rFonts w:ascii="宋体" w:hAnsi="宋体"/>
      <w:sz w:val="24"/>
      <w:szCs w:val="24"/>
    </w:rPr>
  </w:style>
  <w:style w:type="paragraph" w:styleId="1211" w:customStyle="1">
    <w:name w:val="正文文本缩进 2_0"/>
    <w:basedOn w:val="1035"/>
    <w:uiPriority w:val="0"/>
    <w:qFormat/>
    <w:pPr>
      <w:ind w:firstLine="720"/>
      <w:jc w:val="left"/>
      <w:spacing w:line="540" w:lineRule="exact"/>
    </w:pPr>
    <w:rPr>
      <w:rFonts w:ascii="仿宋_GB2312" w:hAnsi="仿宋_GB2312" w:cs="宋体"/>
      <w:sz w:val="32"/>
      <w:szCs w:val="32"/>
    </w:rPr>
  </w:style>
  <w:style w:type="character" w:styleId="1212" w:customStyle="1">
    <w:name w:val="10"/>
    <w:basedOn w:val="809"/>
    <w:uiPriority w:val="0"/>
    <w:qFormat/>
    <w:rPr>
      <w:rFonts w:hint="default" w:ascii="Times New Roman" w:hAnsi="Times New Roman" w:cs="Times New Roman"/>
    </w:rPr>
  </w:style>
  <w:style w:type="paragraph" w:styleId="1213" w:customStyle="1">
    <w:name w:val="正文_16_1"/>
    <w:basedOn w:val="799"/>
    <w:uiPriority w:val="0"/>
    <w:qFormat/>
    <w:rPr>
      <w:rFonts w:ascii="Times New Roman" w:hAnsi="Times New Roman"/>
      <w:szCs w:val="21"/>
    </w:rPr>
  </w:style>
  <w:style w:type="paragraph" w:styleId="1214" w:customStyle="1">
    <w:name w:val="页脚1"/>
    <w:basedOn w:val="799"/>
    <w:uiPriority w:val="0"/>
    <w:qFormat/>
    <w:pPr>
      <w:jc w:val="left"/>
      <w:tabs>
        <w:tab w:val="center" w:pos="4153" w:leader="none"/>
        <w:tab w:val="right" w:pos="8306" w:leader="none"/>
      </w:tabs>
    </w:pPr>
    <w:rPr>
      <w:sz w:val="18"/>
      <w:szCs w:val="18"/>
    </w:rPr>
  </w:style>
  <w:style w:type="character" w:styleId="1215" w:customStyle="1">
    <w:name w:val="页码1"/>
    <w:uiPriority w:val="0"/>
    <w:qFormat/>
  </w:style>
  <w:style w:type="paragraph" w:styleId="1216" w:customStyle="1">
    <w:name w:val="*正文"/>
    <w:basedOn w:val="816"/>
    <w:uiPriority w:val="0"/>
    <w:qFormat/>
    <w:pPr>
      <w:ind w:firstLine="200"/>
    </w:pPr>
    <w:rPr>
      <w:rFonts w:hAnsi="宋体"/>
      <w:szCs w:val="24"/>
    </w:rPr>
  </w:style>
  <w:style w:type="paragraph" w:styleId="1217" w:customStyle="1">
    <w:name w:val="*正文_0"/>
    <w:basedOn w:val="1218"/>
    <w:uiPriority w:val="0"/>
    <w:qFormat/>
    <w:pPr>
      <w:ind w:firstLine="200"/>
      <w:spacing w:line="360" w:lineRule="auto"/>
    </w:pPr>
    <w:rPr>
      <w:rFonts w:ascii="宋体" w:hAnsi="宋体" w:eastAsia="Arial" w:cs="Arial"/>
      <w:color w:val="000000"/>
      <w:sz w:val="24"/>
    </w:rPr>
  </w:style>
  <w:style w:type="paragraph" w:styleId="1218" w:customStyle="1">
    <w:name w:val="正文缩进_2"/>
    <w:basedOn w:val="1054"/>
    <w:uiPriority w:val="0"/>
    <w:unhideWhenUsed/>
    <w:qFormat/>
    <w:pPr>
      <w:ind w:firstLine="420"/>
      <w:jc w:val="left"/>
      <w:widowControl/>
    </w:pPr>
    <w:rPr>
      <w:rFonts w:ascii="Times New Roman" w:hAnsi="Times New Roman"/>
      <w:sz w:val="20"/>
      <w:szCs w:val="24"/>
    </w:rPr>
  </w:style>
  <w:style w:type="paragraph" w:styleId="1219" w:customStyle="1">
    <w:name w:val="*正文_0_0"/>
    <w:basedOn w:val="1054"/>
    <w:uiPriority w:val="0"/>
    <w:qFormat/>
    <w:pPr>
      <w:ind w:firstLine="200"/>
      <w:jc w:val="left"/>
      <w:spacing w:line="360" w:lineRule="auto"/>
      <w:widowControl/>
    </w:pPr>
    <w:rPr>
      <w:rFonts w:ascii="宋体" w:hAnsi="宋体" w:eastAsia="Arial" w:cs="Arial"/>
      <w:color w:val="000000"/>
      <w:sz w:val="24"/>
      <w:szCs w:val="24"/>
    </w:rPr>
  </w:style>
  <w:style w:type="paragraph" w:styleId="1220" w:customStyle="1">
    <w:name w:val="无间隔1_0_0"/>
    <w:basedOn w:val="1054"/>
    <w:link w:val="1233"/>
    <w:uiPriority w:val="0"/>
    <w:qFormat/>
    <w:rPr>
      <w:rFonts w:ascii="Times New Roman" w:hAnsi="Times New Roman"/>
      <w:szCs w:val="21"/>
    </w:rPr>
  </w:style>
  <w:style w:type="paragraph" w:styleId="1221"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222" w:customStyle="1">
    <w:name w:val="标题 4_0"/>
    <w:basedOn w:val="1223"/>
    <w:next w:val="1223"/>
    <w:uiPriority w:val="9"/>
    <w:unhideWhenUsed/>
    <w:qFormat/>
    <w:pPr>
      <w:keepLines/>
      <w:keepNext/>
      <w:spacing w:before="280" w:after="290" w:line="372" w:lineRule="auto"/>
      <w:outlineLvl w:val="3"/>
    </w:pPr>
    <w:rPr>
      <w:rFonts w:ascii="Arial" w:hAnsi="Arial" w:eastAsia="黑体"/>
      <w:b/>
      <w:sz w:val="28"/>
    </w:rPr>
  </w:style>
  <w:style w:type="paragraph" w:styleId="1223" w:customStyle="1">
    <w:name w:val="正文4"/>
    <w:uiPriority w:val="0"/>
    <w:qFormat/>
    <w:pPr>
      <w:jc w:val="both"/>
      <w:widowControl w:val="off"/>
    </w:pPr>
    <w:rPr>
      <w:rFonts w:ascii="Calibri" w:hAnsi="Calibri" w:eastAsia="宋体" w:cs="Times New Roman"/>
      <w:lang w:val="en-US" w:eastAsia="zh-CN" w:bidi="ar-SA"/>
    </w:rPr>
  </w:style>
  <w:style w:type="paragraph" w:styleId="1224"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225" w:customStyle="1">
    <w:name w:val="批注文字1"/>
    <w:basedOn w:val="799"/>
    <w:uiPriority w:val="99"/>
    <w:qFormat/>
    <w:pPr>
      <w:jc w:val="left"/>
    </w:pPr>
    <w:rPr>
      <w:szCs w:val="20"/>
    </w:rPr>
  </w:style>
  <w:style w:type="paragraph" w:styleId="1226" w:customStyle="1">
    <w:name w:val="Normal_18_0_0"/>
    <w:uiPriority w:val="0"/>
    <w:qFormat/>
    <w:pPr>
      <w:jc w:val="both"/>
      <w:widowControl w:val="off"/>
    </w:pPr>
    <w:rPr>
      <w:rFonts w:ascii="Times New Roman" w:hAnsi="Times New Roman" w:eastAsia="Times New Roman" w:cs="Times New Roman"/>
      <w:lang w:val="en-US" w:eastAsia="zh-CN" w:bidi="ar-SA"/>
    </w:rPr>
  </w:style>
  <w:style w:type="paragraph" w:styleId="1227" w:customStyle="1">
    <w:name w:val="Normal_25"/>
    <w:uiPriority w:val="0"/>
    <w:qFormat/>
    <w:rPr>
      <w:rFonts w:ascii="Tahoma" w:hAnsi="Tahoma" w:eastAsia="微软雅黑" w:cs="Times New Roman"/>
      <w:lang w:val="en-US" w:eastAsia="zh-CN" w:bidi="ar-SA"/>
    </w:rPr>
  </w:style>
  <w:style w:type="paragraph" w:styleId="1228" w:customStyle="1">
    <w:name w:val="修订2"/>
    <w:hidden/>
    <w:uiPriority w:val="99"/>
    <w:unhideWhenUsed/>
    <w:qFormat/>
    <w:rPr>
      <w:rFonts w:ascii="Calibri" w:hAnsi="Calibri" w:eastAsia="宋体" w:cs="Times New Roman"/>
      <w:sz w:val="21"/>
      <w:szCs w:val="22"/>
      <w:lang w:val="en-US" w:eastAsia="zh-CN" w:bidi="ar-SA"/>
    </w:rPr>
  </w:style>
  <w:style w:type="character" w:styleId="1229" w:customStyle="1">
    <w:name w:val="font51"/>
    <w:basedOn w:val="809"/>
    <w:uiPriority w:val="0"/>
    <w:qFormat/>
    <w:rPr>
      <w:rFonts w:hint="eastAsia" w:ascii="宋体" w:hAnsi="宋体" w:eastAsia="宋体" w:cs="宋体"/>
      <w:color w:val="ff0000"/>
      <w:sz w:val="20"/>
      <w:szCs w:val="20"/>
      <w:u w:val="none"/>
    </w:rPr>
  </w:style>
  <w:style w:type="character" w:styleId="1230" w:customStyle="1">
    <w:name w:val="font21"/>
    <w:basedOn w:val="809"/>
    <w:uiPriority w:val="0"/>
    <w:qFormat/>
    <w:rPr>
      <w:rFonts w:hint="eastAsia" w:ascii="宋体" w:hAnsi="宋体" w:eastAsia="宋体" w:cs="宋体"/>
      <w:color w:val="000000"/>
      <w:sz w:val="20"/>
      <w:szCs w:val="20"/>
      <w:u w:val="none"/>
    </w:rPr>
  </w:style>
  <w:style w:type="character" w:styleId="1231" w:customStyle="1">
    <w:name w:val="font81"/>
    <w:basedOn w:val="809"/>
    <w:uiPriority w:val="0"/>
    <w:qFormat/>
    <w:rPr>
      <w:rFonts w:hint="eastAsia" w:ascii="宋体" w:hAnsi="宋体" w:eastAsia="宋体" w:cs="宋体"/>
      <w:color w:val="000000"/>
      <w:sz w:val="20"/>
      <w:szCs w:val="20"/>
      <w:u w:val="none"/>
    </w:rPr>
  </w:style>
  <w:style w:type="paragraph" w:styleId="1232" w:customStyle="1">
    <w:name w:val="普通(网站)12"/>
    <w:basedOn w:val="799"/>
    <w:uiPriority w:val="99"/>
    <w:qFormat/>
    <w:pPr>
      <w:jc w:val="left"/>
      <w:spacing w:before="100" w:beforeAutospacing="1" w:after="100" w:afterAutospacing="1"/>
      <w:widowControl/>
    </w:pPr>
    <w:rPr>
      <w:rFonts w:ascii="宋体" w:hAnsi="宋体" w:cs="宋体"/>
      <w:sz w:val="24"/>
      <w:szCs w:val="24"/>
    </w:rPr>
  </w:style>
  <w:style w:type="character" w:styleId="1233" w:customStyle="1">
    <w:name w:val="无间隔1_0_0 Char"/>
    <w:link w:val="1220"/>
    <w:uiPriority w:val="0"/>
    <w:qFormat/>
    <w:rPr>
      <w:rFonts w:ascii="Times New Roman" w:hAnsi="Times New Roman"/>
      <w:szCs w:val="21"/>
    </w:rPr>
  </w:style>
  <w:style w:type="paragraph" w:styleId="1234" w:customStyle="1">
    <w:name w:val="Revision"/>
    <w:hidden/>
    <w:uiPriority w:val="99"/>
    <w:unhideWhenUsed/>
    <w:qFormat/>
    <w:rPr>
      <w:rFonts w:ascii="Calibri" w:hAnsi="Calibri" w:eastAsia="宋体" w:cs="Times New Roman"/>
      <w:sz w:val="21"/>
      <w:szCs w:val="22"/>
      <w:lang w:val="en-US" w:eastAsia="zh-CN" w:bidi="ar-SA"/>
    </w:rPr>
  </w:style>
  <w:style w:type="numbering" w:styleId="134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b2c605db-9f5f-4762-8505-8435cd95f703</errorID>
      <errorWord>(</errorWord>
      <group>L1_Format</group>
      <groupName>格式问题</groupName>
      <ability>L2_HalfPunc</ability>
      <abilityName>全半角检查</abilityName>
      <candidateList>
        <item>（</item>
      </candidateList>
      <explain>文本全半角错误。</explain>
      <paraID>37107E11</paraID>
      <start>60</start>
      <end>61</end>
      <status>unmodified</status>
      <modifiedWord/>
      <trackRevisions>false</trackRevisions>
    </reviewItem>
    <reviewItem>
      <errorID>5c2fa131-30ad-42fe-b088-1abf873a3543</errorID>
      <errorWord>)</errorWord>
      <group>L1_Format</group>
      <groupName>格式问题</groupName>
      <ability>L2_HalfPunc</ability>
      <abilityName>全半角检查</abilityName>
      <candidateList>
        <item>）</item>
      </candidateList>
      <explain>文本全半角错误。</explain>
      <paraID>37107E11</paraID>
      <start>88</start>
      <end>89</end>
      <status>unmodified</status>
      <modifiedWord/>
      <trackRevisions>false</trackRevisions>
    </reviewItem>
    <reviewItem>
      <errorID>4a060d1b-3569-4a84-bd68-0dc243c3f4d0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68D8735C</paraID>
      <start>36</start>
      <end>39</end>
      <status>unmodified</status>
      <modifiedWord/>
      <trackRevisions>false</trackRevisions>
    </reviewItem>
    <reviewItem>
      <errorID>53369af9-74fd-4ee3-99ee-1ef05e84a93b</errorID>
      <errorWord>2026年06月</errorWord>
      <group>L1_Knowledge</group>
      <groupName>知识性问题</groupName>
      <ability>L2_Time</ability>
      <abilityName>日期时间</abilityName>
      <candidateList>
        <item>2026年6月</item>
      </candidateList>
      <explain>根据日常书写习惯，月份一般会省略前导零。</explain>
      <paraID>68D8735C</paraID>
      <start>61</start>
      <end>69</end>
      <status>unmodified</status>
      <modifiedWord/>
      <trackRevisions>false</trackRevisions>
    </reviewItem>
    <reviewItem>
      <errorID>6c355861-adf8-43b2-98e4-838e88ab17cb</errorID>
      <errorWord>：</errorWord>
      <group>L1_Format</group>
      <groupName>格式问题</groupName>
      <ability>L2_HalfPunc</ability>
      <abilityName>全半角检查</abilityName>
      <candidateList>
        <item>:</item>
      </candidateList>
      <explain>文本全半角错误。</explain>
      <paraID>7DEBF138</paraID>
      <start>16</start>
      <end>17</end>
      <status>unmodified</status>
      <modifiedWord/>
      <trackRevisions>false</trackRevisions>
    </reviewItem>
    <reviewItem>
      <errorID>7a48e661-c3ff-4f4e-ad74-121639ee4dbd</errorID>
      <errorWord>：</errorWord>
      <group>L1_Format</group>
      <groupName>格式问题</groupName>
      <ability>L2_HalfPunc</ability>
      <abilityName>全半角检查</abilityName>
      <candidateList>
        <item>:</item>
      </candidateList>
      <explain>文本全半角错误。</explain>
      <paraID>7DEBF138</paraID>
      <start>25</start>
      <end>26</end>
      <status>unmodified</status>
      <modifiedWord/>
      <trackRevisions>false</trackRevisions>
    </reviewItem>
    <reviewItem>
      <errorID>fa829603-6c1f-4840-8745-70043ddf4b7e</errorID>
      <errorWord>；）</errorWord>
      <group>L1_Punc</group>
      <groupName>标点问题</groupName>
      <ability>L2_Punc</ability>
      <abilityName>标点符号检查</abilityName>
      <candidateList>
        <item>）</item>
      </candidateList>
      <explain/>
      <paraID>7DEBF138</paraID>
      <start>30</start>
      <end>32</end>
      <status>unmodified</status>
      <modifiedWord/>
      <trackRevisions>false</trackRevisions>
    </reviewItem>
    <reviewItem>
      <errorID>6452c544-44d2-4722-ab52-781cfa3a72dc</errorID>
      <errorWord>期</errorWord>
      <group>L1_Word</group>
      <groupName>字词问题</groupName>
      <ability>L2_Typo</ability>
      <abilityName>字词错误</abilityName>
      <candidateList>
        <item>期为</item>
      </candidateList>
      <explain/>
      <paraID>501D99A4</paraID>
      <start>19</start>
      <end>20</end>
      <status>unmodified</status>
      <modifiedWord/>
      <trackRevisions>false</trackRevisions>
    </reviewItem>
    <reviewItem>
      <errorID>3691ea48-07d8-44d1-aaff-d6ab590874f0</errorID>
      <errorWord>“.</errorWord>
      <group>L1_Punc</group>
      <groupName>标点问题</groupName>
      <ability>L2_Punc</ability>
      <abilityName>标点符号检查</abilityName>
      <candidateList>
        <item>“</item>
      </candidateList>
      <explain/>
      <paraID> 2A52DE2</paraID>
      <start>87</start>
      <end>89</end>
      <status>unmodified</status>
      <modifiedWord/>
      <trackRevisions>false</trackRevisions>
    </reviewItem>
    <reviewItem>
      <errorID>5e2f1a6d-b448-4993-9dfe-a74231c2d536</errorID>
      <errorWord>2026年06月</errorWord>
      <group>L1_Knowledge</group>
      <groupName>知识性问题</groupName>
      <ability>L2_Time</ability>
      <abilityName>日期时间</abilityName>
      <candidateList>
        <item>2026年6月</item>
      </candidateList>
      <explain>根据日常书写习惯，月份一般会省略前导零。</explain>
      <paraID> A2CB780</paraID>
      <start>19</start>
      <end>27</end>
      <status>unmodified</status>
      <modifiedWord/>
      <trackRevisions>false</trackRevisions>
    </reviewItem>
    <reviewItem>
      <errorID>1ebfeb91-75d4-4812-b35e-ad3beed5bc4b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50E3FEEB</paraID>
      <start>0</start>
      <end>2</end>
      <status>unmodified</status>
      <modifiedWord/>
      <trackRevisions>false</trackRevisions>
    </reviewItem>
    <reviewItem>
      <errorID>3824a5ca-5a21-4dec-821d-2de1609a5462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11079F41</paraID>
      <start>0</start>
      <end>2</end>
      <status>unmodified</status>
      <modifiedWord/>
      <trackRevisions>false</trackRevisions>
    </reviewItem>
    <reviewItem>
      <errorID>c257d83e-030a-41ff-ad0e-c799b491ca92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2FDF36FB</paraID>
      <start>0</start>
      <end>2</end>
      <status>unmodified</status>
      <modifiedWord/>
      <trackRevisions>false</trackRevisions>
    </reviewItem>
    <reviewItem>
      <errorID>3cfd1f2e-89ba-4d2b-a5e7-8c524a2d3fc8</errorID>
      <errorWord>法律、法规</errorWord>
      <group>L1_Word</group>
      <groupName>字词问题</groupName>
      <ability>L2_Typo</ability>
      <abilityName>字词错误</abilityName>
      <candidateList>
        <item>法律法规</item>
      </candidateList>
      <explain/>
      <paraID>508C2A8E</paraID>
      <start>24</start>
      <end>29</end>
      <status>unmodified</status>
      <modifiedWord/>
      <trackRevisions>false</trackRevisions>
    </reviewItem>
    <reviewItem>
      <errorID>9e95645e-84bb-44c1-bcde-1df681f8cf06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196F9120</paraID>
      <start>0</start>
      <end>2</end>
      <status>unmodified</status>
      <modifiedWord/>
      <trackRevisions>false</trackRevisions>
    </reviewItem>
    <reviewItem>
      <errorID>e8a761d6-a327-4a10-b4d2-62a229cfa749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175C1B15</paraID>
      <start>0</start>
      <end>2</end>
      <status>unmodified</status>
      <modifiedWord/>
      <trackRevisions>false</trackRevisions>
    </reviewItem>
    <reviewItem>
      <errorID>060a60d3-4517-41c3-9fdb-82197eb6b1ed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7F01B93E</paraID>
      <start>0</start>
      <end>2</end>
      <status>unmodified</status>
      <modifiedWord/>
      <trackRevisions>false</trackRevisions>
    </reviewItem>
    <reviewItem>
      <errorID>81d3e919-1b41-49b6-bf26-3f7101dc9870</errorID>
      <errorWord>(</errorWord>
      <group>L1_Format</group>
      <groupName>格式问题</groupName>
      <ability>L2_HalfPunc</ability>
      <abilityName>全半角检查</abilityName>
      <candidateList>
        <item>（</item>
      </candidateList>
      <explain>文本全半角错误。</explain>
      <paraID>46BD6E6E</paraID>
      <start>94</start>
      <end>95</end>
      <status>unmodified</status>
      <modifiedWord/>
      <trackRevisions>false</trackRevisions>
    </reviewItem>
    <reviewItem>
      <errorID>747c787b-4266-479d-9c22-4da04c0add7c</errorID>
      <errorWord>)</errorWord>
      <group>L1_Format</group>
      <groupName>格式问题</groupName>
      <ability>L2_HalfPunc</ability>
      <abilityName>全半角检查</abilityName>
      <candidateList>
        <item>）</item>
      </candidateList>
      <explain>文本全半角错误。</explain>
      <paraID>46BD6E6E</paraID>
      <start>104</start>
      <end>105</end>
      <status>unmodified</status>
      <modifiedWord/>
      <trackRevisions>false</trackRevisions>
    </reviewItem>
    <reviewItem>
      <errorID>ad758b8d-c9a7-4995-9d56-33d72d4d856b</errorID>
      <errorWord>（</errorWord>
      <group>L1_Word</group>
      <groupName>字词问题</groupName>
      <ability>L2_Typo</ability>
      <abilityName>字词错误</abilityName>
      <candidateList>
        <item>（在</item>
      </candidateList>
      <explain/>
      <paraID>46BD6E6E</paraID>
      <start>119</start>
      <end>120</end>
      <status>unmodified</status>
      <modifiedWord/>
      <trackRevisions>false</trackRevisions>
    </reviewItem>
    <reviewItem>
      <errorID>b8a5b7e5-c65d-4b68-a29e-0af03c0f8d5f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476BB139</paraID>
      <start>182</start>
      <end>185</end>
      <status>unmodified</status>
      <modifiedWord/>
      <trackRevisions>false</trackRevisions>
    </reviewItem>
    <reviewItem>
      <errorID>d96028a3-ee3b-4658-b270-23d039233ea6</errorID>
      <errorWord>》</errorWord>
      <group>L1_Word</group>
      <groupName>字词问题</groupName>
      <ability>L2_Typo</ability>
      <abilityName>字词错误</abilityName>
      <candidateList>
        <item>》和</item>
      </candidateList>
      <explain/>
      <paraID>117BA458</paraID>
      <start>25</start>
      <end>26</end>
      <status>unmodified</status>
      <modifiedWord/>
      <trackRevisions>false</trackRevisions>
    </reviewItem>
    <reviewItem>
      <errorID>8d1ebba7-a7eb-4eca-817c-73de4f6cf502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64034B08</paraID>
      <start>46</start>
      <end>47</end>
      <status>unmodified</status>
      <modifiedWord/>
      <trackRevisions>false</trackRevisions>
    </reviewItem>
    <reviewItem>
      <errorID>99d006b0-3db9-4f1f-963f-8750ad18413c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61745AA7</paraID>
      <start>0</start>
      <end>2</end>
      <status>unmodified</status>
      <modifiedWord/>
      <trackRevisions>false</trackRevisions>
    </reviewItem>
    <reviewItem>
      <errorID>81ee60b4-22a7-44ac-b390-3696342d13f5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50AA00C4</paraID>
      <start>0</start>
      <end>2</end>
      <status>unmodified</status>
      <modifiedWord/>
      <trackRevisions>false</trackRevisions>
    </reviewItem>
    <reviewItem>
      <errorID>7dc7f968-0a18-4086-847c-9821296cbe3f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808772</paraID>
      <start>0</start>
      <end>2</end>
      <status>unmodified</status>
      <modifiedWord/>
      <trackRevisions>false</trackRevisions>
    </reviewItem>
    <reviewItem>
      <errorID>4660569d-2955-4c1b-8426-a4f44f27e0a7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10677C37</paraID>
      <start>0</start>
      <end>3</end>
      <status>unmodified</status>
      <modifiedWord/>
      <trackRevisions>false</trackRevisions>
    </reviewItem>
    <reviewItem>
      <errorID>16f0ff6d-db0c-4478-98df-4206dfe776af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6F64B9E0</paraID>
      <start>0</start>
      <end>3</end>
      <status>unmodified</status>
      <modifiedWord/>
      <trackRevisions>false</trackRevisions>
    </reviewItem>
    <reviewItem>
      <errorID>e40f33d2-68c1-4c22-8b9e-b80f99f29adb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3F2D597A</paraID>
      <start>0</start>
      <end>3</end>
      <status>unmodified</status>
      <modifiedWord/>
      <trackRevisions>false</trackRevisions>
    </reviewItem>
    <reviewItem>
      <errorID>dfa63d90-21a8-4818-ad8a-aea128d6f468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6AEAD1AE</paraID>
      <start>0</start>
      <end>3</end>
      <status>unmodified</status>
      <modifiedWord/>
      <trackRevisions>false</trackRevisions>
    </reviewItem>
    <reviewItem>
      <errorID>2ebba389-0bc8-49cd-86e1-f4ea8f6aa15f</errorID>
      <errorWord>间</errorWord>
      <group>L1_Word</group>
      <groupName>字词问题</groupName>
      <ability>L2_Typo</ability>
      <abilityName>字词错误</abilityName>
      <candidateList>
        <item>间之</item>
      </candidateList>
      <explain/>
      <paraID>79C1E96B</paraID>
      <start>21</start>
      <end>22</end>
      <status>unmodified</status>
      <modifiedWord/>
      <trackRevisions>false</trackRevisions>
    </reviewItem>
    <reviewItem>
      <errorID>5691d5d4-8f12-4c62-a25f-4ad541b2a74c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5B118D3F</paraID>
      <start>0</start>
      <end>3</end>
      <status>unmodified</status>
      <modifiedWord/>
      <trackRevisions>false</trackRevisions>
    </reviewItem>
    <reviewItem>
      <errorID>b0b84812-f986-4281-aac2-73d1f4837393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7B2C473C</paraID>
      <start>0</start>
      <end>3</end>
      <status>unmodified</status>
      <modifiedWord/>
      <trackRevisions>false</trackRevisions>
    </reviewItem>
    <reviewItem>
      <errorID>5054046e-437a-4eb6-9cd2-e4330c67913b</errorID>
      <errorWord>保持通讯畅通</errorWord>
      <group>L1_Word</group>
      <groupName>字词问题</groupName>
      <ability>L2_Typo</ability>
      <abilityName>字词错误</abilityName>
      <candidateList>
        <item>保持通信畅通</item>
      </candidateList>
      <explain/>
      <paraID>414A0DD9</paraID>
      <start>15</start>
      <end>21</end>
      <status>unmodified</status>
      <modifiedWord/>
      <trackRevisions>false</trackRevisions>
    </reviewItem>
    <reviewItem>
      <errorID>0bf89911-0ff3-4040-8437-1b996e7e5675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769749A1</paraID>
      <start>0</start>
      <end>3</end>
      <status>unmodified</status>
      <modifiedWord/>
      <trackRevisions>false</trackRevisions>
    </reviewItem>
    <reviewItem>
      <errorID>011cf28d-9d0a-4f2b-a42b-822247435ee9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76407D65</paraID>
      <start>0</start>
      <end>3</end>
      <status>unmodified</status>
      <modifiedWord/>
      <trackRevisions>false</trackRevisions>
    </reviewItem>
    <reviewItem>
      <errorID>cbc37370-b37e-4851-bdb9-e575af062e40</errorID>
      <errorWord>[2015]124号</errorWord>
      <group>L1_Knowledge</group>
      <groupName>知识性问题</groupName>
      <ability>L2_Knowledge</ability>
      <abilityName>其他知识</abilityName>
      <candidateList>
        <item>〔2015〕124号</item>
      </candidateList>
      <explain>发文字号格式错误。</explain>
      <paraID>19D9B8ED</paraID>
      <start>73</start>
      <end>83</end>
      <status>unmodified</status>
      <modifiedWord/>
      <trackRevisions>false</trackRevisions>
    </reviewItem>
    <reviewItem>
      <errorID>ee3bf2aa-889e-49e5-9f4f-e59b2bc58bf0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7947BF3D</paraID>
      <start>0</start>
      <end>3</end>
      <status>unmodified</status>
      <modifiedWord/>
      <trackRevisions>false</trackRevisions>
    </reviewItem>
    <reviewItem>
      <errorID>64d3bee0-6136-4939-82f1-6b3c687bff10</errorID>
      <errorWord>&lt;</errorWord>
      <group>L1_Format</group>
      <groupName>格式问题</groupName>
      <ability>L2_HalfPunc</ability>
      <abilityName>全半角检查</abilityName>
      <candidateList>
        <item>〈</item>
      </candidateList>
      <explain>文本全半角错误。</explain>
      <paraID>7947BF3D</paraID>
      <start>50</start>
      <end>51</end>
      <status>unmodified</status>
      <modifiedWord/>
      <trackRevisions>false</trackRevisions>
    </reviewItem>
    <reviewItem>
      <errorID>846358d7-24da-4d24-a71f-8e1c9fb124eb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5D0FBF6</paraID>
      <start>0</start>
      <end>3</end>
      <status>unmodified</status>
      <modifiedWord/>
      <trackRevisions>false</trackRevisions>
    </reviewItem>
    <reviewItem>
      <errorID>6cfbb439-e5a6-48bd-b322-7ccf6fe9a331</errorID>
      <errorWord>&lt;</errorWord>
      <group>L1_Format</group>
      <groupName>格式问题</groupName>
      <ability>L2_HalfPunc</ability>
      <abilityName>全半角检查</abilityName>
      <candidateList>
        <item>〈</item>
      </candidateList>
      <explain>文本全半角错误。</explain>
      <paraID> 5D0FBF6</paraID>
      <start>50</start>
      <end>51</end>
      <status>unmodified</status>
      <modifiedWord/>
      <trackRevisions>false</trackRevisions>
    </reviewItem>
    <reviewItem>
      <errorID>fe38c490-5e47-4683-a04d-f28338ce6405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149323FA</paraID>
      <start>0</start>
      <end>3</end>
      <status>unmodified</status>
      <modifiedWord/>
      <trackRevisions>false</trackRevisions>
    </reviewItem>
    <reviewItem>
      <errorID>878af984-0bc2-4080-b1c8-9062971312e3</errorID>
      <errorWord>&lt;</errorWord>
      <group>L1_Format</group>
      <groupName>格式问题</groupName>
      <ability>L2_HalfPunc</ability>
      <abilityName>全半角检查</abilityName>
      <candidateList>
        <item>〈</item>
      </candidateList>
      <explain>文本全半角错误。</explain>
      <paraID>149323FA</paraID>
      <start>35</start>
      <end>36</end>
      <status>unmodified</status>
      <modifiedWord/>
      <trackRevisions>false</trackRevisions>
    </reviewItem>
    <reviewItem>
      <errorID>13aaa49b-e157-4075-b77b-44aa4fe78c3d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2C7A8497</paraID>
      <start>0</start>
      <end>3</end>
      <status>unmodified</status>
      <modifiedWord/>
      <trackRevisions>false</trackRevisions>
    </reviewItem>
    <reviewItem>
      <errorID>b756e838-5b3c-4309-aa01-ece0eefd662f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361EB943</paraID>
      <start>0</start>
      <end>3</end>
      <status>unmodified</status>
      <modifiedWord/>
      <trackRevisions>false</trackRevisions>
    </reviewItem>
    <reviewItem>
      <errorID>8294138e-8596-4302-8547-ac25e0317334</errorID>
      <errorWord>法律、法规</errorWord>
      <group>L1_Word</group>
      <groupName>字词问题</groupName>
      <ability>L2_Typo</ability>
      <abilityName>字词错误</abilityName>
      <candidateList>
        <item>法律法规</item>
      </candidateList>
      <explain/>
      <paraID>7ECF5E80</paraID>
      <start>5</start>
      <end>10</end>
      <status>unmodified</status>
      <modifiedWord/>
      <trackRevisions>false</trackRevisions>
    </reviewItem>
    <reviewItem>
      <errorID>e987a847-d74b-44dc-8b86-8a900f84e72a</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7ECF5E80</paraID>
      <start>13</start>
      <end>17</end>
      <status>unmodified</status>
      <modifiedWord/>
      <trackRevisions>false</trackRevisions>
    </reviewItem>
    <reviewItem>
      <errorID>b98da801-8b07-4664-8e03-b2f0b5afad1f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14341790</paraID>
      <start>0</start>
      <end>3</end>
      <status>unmodified</status>
      <modifiedWord/>
      <trackRevisions>false</trackRevisions>
    </reviewItem>
    <reviewItem>
      <errorID>1f0714a3-200a-437f-8b53-6e0da5e402bd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35307EE4</paraID>
      <start>0</start>
      <end>3</end>
      <status>unmodified</status>
      <modifiedWord/>
      <trackRevisions>false</trackRevisions>
    </reviewItem>
    <reviewItem>
      <errorID>277b204b-caba-4157-a5af-51b09e210e22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6230686A</paraID>
      <start>0</start>
      <end>3</end>
      <status>unmodified</status>
      <modifiedWord/>
      <trackRevisions>false</trackRevisions>
    </reviewItem>
    <reviewItem>
      <errorID>49330dbe-f5cc-4b60-aedc-7d429c61bbe6</errorID>
      <errorWord>法律、法规</errorWord>
      <group>L1_Word</group>
      <groupName>字词问题</groupName>
      <ability>L2_Typo</ability>
      <abilityName>字词错误</abilityName>
      <candidateList>
        <item>法律法规</item>
      </candidateList>
      <explain/>
      <paraID> A45E5BC</paraID>
      <start>4</start>
      <end>9</end>
      <status>unmodified</status>
      <modifiedWord/>
      <trackRevisions>false</trackRevisions>
    </reviewItem>
    <reviewItem>
      <errorID>65bbf061-c2bf-4ade-acf0-325f87123f77</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 A45E5BC</paraID>
      <start>12</start>
      <end>16</end>
      <status>unmodified</status>
      <modifiedWord/>
      <trackRevisions>false</trackRevisions>
    </reviewItem>
    <reviewItem>
      <errorID>8ff3be74-14d6-4ee2-9026-2fac797914a9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667C9F1C</paraID>
      <start>0</start>
      <end>3</end>
      <status>unmodified</status>
      <modifiedWord/>
      <trackRevisions>false</trackRevisions>
    </reviewItem>
    <reviewItem>
      <errorID>c38f4ae6-bc79-424e-8291-e25240c77c8b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2BE5CA61</paraID>
      <start>0</start>
      <end>3</end>
      <status>unmodified</status>
      <modifiedWord/>
      <trackRevisions>false</trackRevisions>
    </reviewItem>
    <reviewItem>
      <errorID>563f77f5-ffc1-4840-b455-69b634c4e36a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307FC045</paraID>
      <start>0</start>
      <end>3</end>
      <status>unmodified</status>
      <modifiedWord/>
      <trackRevisions>false</trackRevisions>
    </reviewItem>
    <reviewItem>
      <errorID>e2b9d550-8e14-485b-a11a-e40cc6a1e70d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37AA6354</paraID>
      <start>0</start>
      <end>3</end>
      <status>unmodified</status>
      <modifiedWord/>
      <trackRevisions>false</trackRevisions>
    </reviewItem>
    <reviewItem>
      <errorID>2d425347-7892-450f-a734-b267c1b9b686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58F258D0</paraID>
      <start>0</start>
      <end>3</end>
      <status>unmodified</status>
      <modifiedWord/>
      <trackRevisions>false</trackRevisions>
    </reviewItem>
    <reviewItem>
      <errorID>f6e77d9d-0e28-4da5-9baf-64e0b69cbff5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6B5D1AD</paraID>
      <start>0</start>
      <end>3</end>
      <status>unmodified</status>
      <modifiedWord/>
      <trackRevisions>false</trackRevisions>
    </reviewItem>
    <reviewItem>
      <errorID>ead3ee4b-3f8a-49ca-97a7-7de59ebf999c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2910BE2E</paraID>
      <start>0</start>
      <end>3</end>
      <status>unmodified</status>
      <modifiedWord/>
      <trackRevisions>false</trackRevisions>
    </reviewItem>
    <reviewItem>
      <errorID>9ee147ab-252c-4cef-9060-ece6597d1558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4DFC33B0</paraID>
      <start>0</start>
      <end>3</end>
      <status>unmodified</status>
      <modifiedWord/>
      <trackRevisions>false</trackRevisions>
    </reviewItem>
    <reviewItem>
      <errorID>9ee12d5a-e23e-497f-a5d5-245a5d35e435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3F065EC5</paraID>
      <start>0</start>
      <end>3</end>
      <status>unmodified</status>
      <modifiedWord/>
      <trackRevisions>false</trackRevisions>
    </reviewItem>
    <reviewItem>
      <errorID>8584e64b-378e-4410-877f-6b685a3111f3</errorID>
      <errorWord>程</errorWord>
      <group>L1_Word</group>
      <groupName>字词问题</groupName>
      <ability>L2_Typo</ability>
      <abilityName>字词错误</abilityName>
      <candidateList>
        <item>程中</item>
      </candidateList>
      <explain/>
      <paraID>3F065EC5</paraID>
      <start>30</start>
      <end>31</end>
      <status>unmodified</status>
      <modifiedWord/>
      <trackRevisions>false</trackRevisions>
    </reviewItem>
    <reviewItem>
      <errorID>4596ba71-1f48-403d-8e4e-7ee6fd544f27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3945A2AF</paraID>
      <start>0</start>
      <end>2</end>
      <status>unmodified</status>
      <modifiedWord/>
      <trackRevisions>false</trackRevisions>
    </reviewItem>
    <reviewItem>
      <errorID>76541578-a802-4832-8f0b-9ab5d5a83ce1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44B189F6</paraID>
      <start>0</start>
      <end>2</end>
      <status>unmodified</status>
      <modifiedWord/>
      <trackRevisions>false</trackRevisions>
    </reviewItem>
    <reviewItem>
      <errorID>364e75c2-07cf-4065-9daa-d5c13473cc6f</errorID>
      <errorWord>详实</errorWord>
      <group>L1_Word</group>
      <groupName>字词问题</groupName>
      <ability>L2_Typo</ability>
      <abilityName>字词错误</abilityName>
      <candidateList>
        <item>翔实</item>
      </candidateList>
      <explain/>
      <paraID>60002B02</paraID>
      <start>106</start>
      <end>108</end>
      <status>unmodified</status>
      <modifiedWord/>
      <trackRevisions>false</trackRevisions>
    </reviewItem>
    <reviewItem>
      <errorID>d84076c3-8d0e-4ed9-85fa-4ce27859987f</errorID>
      <errorWord>详实</errorWord>
      <group>L1_Word</group>
      <groupName>字词问题</groupName>
      <ability>L2_Typo</ability>
      <abilityName>字词错误</abilityName>
      <candidateList>
        <item>翔实</item>
      </candidateList>
      <explain>存在发音相同字词的误用。</explain>
      <paraID>46AEB6C5</paraID>
      <start>45</start>
      <end>47</end>
      <status>unmodified</status>
      <modifiedWord/>
      <trackRevisions>false</trackRevisions>
    </reviewItem>
    <reviewItem>
      <errorID>0e669adf-a241-4c1a-bad6-9d97b4fc503b</errorID>
      <errorWord>详实</errorWord>
      <group>L1_Word</group>
      <groupName>字词问题</groupName>
      <ability>L2_Typo</ability>
      <abilityName>字词错误</abilityName>
      <candidateList>
        <item>翔实</item>
      </candidateList>
      <explain>存在发音相同字词的误用。</explain>
      <paraID>5C425533</paraID>
      <start>68</start>
      <end>70</end>
      <status>unmodified</status>
      <modifiedWord/>
      <trackRevisions>false</trackRevisions>
    </reviewItem>
    <reviewItem>
      <errorID>ee65b75a-f8f6-4f59-9024-4c51d851c75f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38BF062B</paraID>
      <start>0</start>
      <end>2</end>
      <status>unmodified</status>
      <modifiedWord/>
      <trackRevisions>false</trackRevisions>
    </reviewItem>
    <reviewItem>
      <errorID>348983a7-f7cf-47dc-b425-44e17f111829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5B425593</paraID>
      <start>0</start>
      <end>2</end>
      <status>unmodified</status>
      <modifiedWord/>
      <trackRevisions>false</trackRevisions>
    </reviewItem>
    <reviewItem>
      <errorID>576eb8b5-18d0-4229-b2f6-f5fee6e5ade2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78E9A783</paraID>
      <start>0</start>
      <end>2</end>
      <status>unmodified</status>
      <modifiedWord/>
      <trackRevisions>false</trackRevisions>
    </reviewItem>
    <reviewItem>
      <errorID>b2bf71e9-944e-49a0-8e6c-51a4bf25ff88</errorID>
      <errorWord>需具备</errorWord>
      <group>L1_Word</group>
      <groupName>字词问题</groupName>
      <ability>L2_Typo</ability>
      <abilityName>字词错误</abilityName>
      <candidateList>
        <item>须具备</item>
      </candidateList>
      <explain/>
      <paraID>3595C457</paraID>
      <start>46</start>
      <end>49</end>
      <status>unmodified</status>
      <modifiedWord/>
      <trackRevisions>false</trackRevisions>
    </reviewItem>
    <reviewItem>
      <errorID>7cd08822-fca3-4b5f-868d-c12624c8e4ef</errorID>
      <errorWord>详实</errorWord>
      <group>L1_Word</group>
      <groupName>字词问题</groupName>
      <ability>L2_Typo</ability>
      <abilityName>字词错误</abilityName>
      <candidateList>
        <item>翔实</item>
      </candidateList>
      <explain/>
      <paraID>3595C457</paraID>
      <start>83</start>
      <end>85</end>
      <status>unmodified</status>
      <modifiedWord/>
      <trackRevisions>false</trackRevisions>
    </reviewItem>
    <reviewItem>
      <errorID>028d4656-c882-49c5-a640-c8c6389111b4</errorID>
      <errorWord>详实</errorWord>
      <group>L1_Word</group>
      <groupName>字词问题</groupName>
      <ability>L2_Typo</ability>
      <abilityName>字词错误</abilityName>
      <candidateList>
        <item>翔实</item>
      </candidateList>
      <explain>存在发音相同字词的误用。</explain>
      <paraID>3713B524</paraID>
      <start>45</start>
      <end>47</end>
      <status>unmodified</status>
      <modifiedWord/>
      <trackRevisions>false</trackRevisions>
    </reviewItem>
    <reviewItem>
      <errorID>b28d61ad-094f-4ff7-8af3-fe08f037aca7</errorID>
      <errorWord>详实</errorWord>
      <group>L1_Word</group>
      <groupName>字词问题</groupName>
      <ability>L2_Typo</ability>
      <abilityName>字词错误</abilityName>
      <candidateList>
        <item>翔实</item>
      </candidateList>
      <explain>存在发音相同字词的误用。</explain>
      <paraID>377496AC</paraID>
      <start>68</start>
      <end>70</end>
      <status>unmodified</status>
      <modifiedWord/>
      <trackRevisions>false</trackRevisions>
    </reviewItem>
    <reviewItem>
      <errorID>3adef884-b27e-4839-8a4e-ddb76375545c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3F4EC953</paraID>
      <start>0</start>
      <end>2</end>
      <status>unmodified</status>
      <modifiedWord/>
      <trackRevisions>false</trackRevisions>
    </reviewItem>
    <reviewItem>
      <errorID>d09e253c-561a-4871-b56c-27b301f37abc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2C7878EE</paraID>
      <start>0</start>
      <end>1</end>
      <status>unmodified</status>
      <modifiedWord/>
      <trackRevisions>false</trackRevisions>
    </reviewItem>
    <reviewItem>
      <errorID>f07c8f42-e222-4cfa-ab75-5f88bf274d00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5A1057F7</paraID>
      <start>0</start>
      <end>1</end>
      <status>unmodified</status>
      <modifiedWord/>
      <trackRevisions>false</trackRevisions>
    </reviewItem>
    <reviewItem>
      <errorID>4dd909f6-4b1f-47de-a84e-e19bbb6cd660</errorID>
      <errorWord>定</errorWord>
      <group>L1_Word</group>
      <groupName>字词问题</groupName>
      <ability>L2_Typo</ability>
      <abilityName>字词错误</abilityName>
      <candidateList>
        <item>定等</item>
      </candidateList>
      <explain/>
      <paraID> EAE9AFD</paraID>
      <start>41</start>
      <end>42</end>
      <status>unmodified</status>
      <modifiedWord/>
      <trackRevisions>false</trackRevisions>
    </reviewItem>
    <reviewItem>
      <errorID>1e52e66a-5799-4d32-8a48-883737b63105</errorID>
      <errorWord>时时</errorWord>
      <group>L1_Word</group>
      <groupName>字词问题</groupName>
      <ability>L2_Typo</ability>
      <abilityName>字词错误</abilityName>
      <candidateList>
        <item>适时</item>
      </candidateList>
      <explain>存在发音相同字词的误用。</explain>
      <paraID> F40F065</paraID>
      <start>141</start>
      <end>143</end>
      <status>unmodified</status>
      <modifiedWord/>
      <trackRevisions>false</trackRevisions>
    </reviewItem>
    <reviewItem>
      <errorID>556bec90-5f8b-498a-a9ac-ab6cc9ac32f3</errorID>
      <errorWord>、等</errorWord>
      <group>L1_Punc</group>
      <groupName>标点问题</groupName>
      <ability>L2_Punc</ability>
      <abilityName>标点符号检查</abilityName>
      <candidateList>
        <item>等</item>
      </candidateList>
      <explain>“及”“和”“等”连词前不宜使用顿号，建议删除（或使用逗号）。</explain>
      <paraID>659A2D54</paraID>
      <start>23</start>
      <end>25</end>
      <status>unmodified</status>
      <modifiedWord/>
      <trackRevisions>false</trackRevisions>
    </reviewItem>
    <reviewItem>
      <errorID>abfa37e7-f070-4ac0-b933-22ba14b5276c</errorID>
      <errorWord>电口</errorWord>
      <group>L1_Word</group>
      <groupName>字词问题</groupName>
      <ability>L2_Typo</ability>
      <abilityName>字词错误</abilityName>
      <candidateList>
        <item>端口</item>
      </candidateList>
      <explain>存在发音相近字词的误用。</explain>
      <paraID>7A0CC274</paraID>
      <start>10</start>
      <end>12</end>
      <status>unmodified</status>
      <modifiedWord/>
      <trackRevisions>false</trackRevisions>
    </reviewItem>
    <reviewItem>
      <errorID>d8230360-e89e-4528-9228-c7a16c039ca0</errorID>
      <errorWord>-</errorWord>
      <group>L1_Format</group>
      <groupName>格式问题</groupName>
      <ability>L2_HalfPunc</ability>
      <abilityName>全半角检查</abilityName>
      <candidateList>
        <item>－</item>
      </candidateList>
      <explain>文本全半角错误。</explain>
      <paraID>47A95CB7</paraID>
      <start>33</start>
      <end>34</end>
      <status>unmodified</status>
      <modifiedWord/>
      <trackRevisions>false</trackRevisions>
    </reviewItem>
    <reviewItem>
      <errorID>07bdfc74-54c7-460f-a111-2bd1b7ee94c0</errorID>
      <errorWord>音箱</errorWord>
      <group>L1_Word</group>
      <groupName>字词问题</groupName>
      <ability>L2_Typo</ability>
      <abilityName>字词错误</abilityName>
      <candidateList>
        <item>音响</item>
      </candidateList>
      <explain/>
      <paraID>60001E15</paraID>
      <start>30</start>
      <end>32</end>
      <status>unmodified</status>
      <modifiedWord/>
      <trackRevisions>false</trackRevisions>
    </reviewItem>
    <reviewItem>
      <errorID>304a8af0-6aab-4c4d-84a0-4432e7984fe5</errorID>
      <errorWord>复发</errorWord>
      <group>L1_Word</group>
      <groupName>字词问题</groupName>
      <ability>L2_Typo</ability>
      <abilityName>字词错误</abilityName>
      <candidateList>
        <item>突发</item>
      </candidateList>
      <explain/>
      <paraID>1229F63F</paraID>
      <start>8</start>
      <end>10</end>
      <status>unmodified</status>
      <modifiedWord/>
      <trackRevisions>false</trackRevisions>
    </reviewItem>
    <reviewItem>
      <errorID>666f51ec-e5c7-4e02-aa60-ecf24e64a3cf</errorID>
      <errorWord>操作合</errorWord>
      <group>L1_Word</group>
      <groupName>字词问题</groupName>
      <ability>L2_Typo</ability>
      <abilityName>字词错误</abilityName>
      <candidateList>
        <item>操作台</item>
      </candidateList>
      <explain/>
      <paraID>3A0C660A</paraID>
      <start>20</start>
      <end>23</end>
      <status>unmodified</status>
      <modifiedWord/>
      <trackRevisions>false</trackRevisions>
    </reviewItem>
    <reviewItem>
      <errorID>13bd4f56-9282-4aa8-8c57-980583b8840a</errorID>
      <errorWord>、等</errorWord>
      <group>L1_Punc</group>
      <groupName>标点问题</groupName>
      <ability>L2_Punc</ability>
      <abilityName>标点符号检查</abilityName>
      <candidateList>
        <item>等</item>
      </candidateList>
      <explain>“及”“和”“等”连词前不宜使用顿号，建议删除（或使用逗号）。</explain>
      <paraID>15021B00</paraID>
      <start>27</start>
      <end>29</end>
      <status>unmodified</status>
      <modifiedWord/>
      <trackRevisions>false</trackRevisions>
    </reviewItem>
    <reviewItem>
      <errorID>193d9e0c-a305-4af6-97e7-a33fe4faf994</errorID>
      <errorWord>操作合</errorWord>
      <group>L1_Word</group>
      <groupName>字词问题</groupName>
      <ability>L2_Typo</ability>
      <abilityName>字词错误</abilityName>
      <candidateList>
        <item>操作台</item>
      </candidateList>
      <explain/>
      <paraID>3A1A745D</paraID>
      <start>20</start>
      <end>23</end>
      <status>unmodified</status>
      <modifiedWord/>
      <trackRevisions>false</trackRevisions>
    </reviewItem>
    <reviewItem>
      <errorID>bb2736ed-b45d-4eec-8045-95107da6e3bc</errorID>
      <errorWord>日向甲方提交</errorWord>
      <group>L1_Word</group>
      <groupName>字词问题</groupName>
      <ability>L2_Typo</ability>
      <abilityName>字词错误</abilityName>
      <candidateList>
        <item>日内向甲方提交</item>
      </candidateList>
      <explain/>
      <paraID> 4B8DF2F</paraID>
      <start>34</start>
      <end>40</end>
      <status>unmodified</status>
      <modifiedWord/>
      <trackRevisions>false</trackRevisions>
    </reviewItem>
    <reviewItem>
      <errorID>6d65117e-a641-4ca9-809b-cfb6601c9cde</errorID>
      <errorWord>泄露</errorWord>
      <group>L1_Word</group>
      <groupName>字词问题</groupName>
      <ability>L2_Typo</ability>
      <abilityName>字词错误</abilityName>
      <candidateList>
        <item>泄漏</item>
      </candidateList>
      <explain>存在发音相同字词的误用。</explain>
      <paraID>247FB1FF</paraID>
      <start>75</start>
      <end>77</end>
      <status>unmodified</status>
      <modifiedWord/>
      <trackRevisions>false</trackRevisions>
    </reviewItem>
    <reviewItem>
      <errorID>b9ec56d7-6741-4b10-8d28-cf83a33d9078</errorID>
      <errorWord>泄露</errorWord>
      <group>L1_Word</group>
      <groupName>字词问题</groupName>
      <ability>L2_Typo</ability>
      <abilityName>字词错误</abilityName>
      <candidateList>
        <item>泄漏</item>
      </candidateList>
      <explain>存在发音相同字词的误用。</explain>
      <paraID>7ECB8659</paraID>
      <start>76</start>
      <end>78</end>
      <status>unmodified</status>
      <modifiedWord/>
      <trackRevisions>false</trackRevisions>
    </reviewItem>
    <reviewItem>
      <errorID>5267ff0a-d2aa-4121-a762-03f2b767a862</errorID>
      <errorWord>计</errorWord>
      <group>L1_Word</group>
      <groupName>字词问题</groupName>
      <ability>L2_Typo</ability>
      <abilityName>字词错误</abilityName>
      <candidateList>
        <item>计算</item>
      </candidateList>
      <explain/>
      <paraID>2ED00028</paraID>
      <start>50</start>
      <end>51</end>
      <status>unmodified</status>
      <modifiedWord/>
      <trackRevisions>false</trackRevisions>
    </reviewItem>
    <reviewItem>
      <errorID>8f610dc6-3225-4574-a69e-ebf31bf719e3</errorID>
      <errorWord>、等</errorWord>
      <group>L1_Punc</group>
      <groupName>标点问题</groupName>
      <ability>L2_Punc</ability>
      <abilityName>标点符号检查</abilityName>
      <candidateList>
        <item>等</item>
      </candidateList>
      <explain>“及”“和”“等”连词前不宜使用顿号，建议删除（或使用逗号）。</explain>
      <paraID>6A0F7440</paraID>
      <start>26</start>
      <end>28</end>
      <status>unmodified</status>
      <modifiedWord/>
      <trackRevisions>false</trackRevisions>
    </reviewItem>
    <reviewItem>
      <errorID>23b792c9-0785-4140-a123-de97cf23c789</errorID>
      <errorWord>,</errorWord>
      <group>L1_Format</group>
      <groupName>格式问题</groupName>
      <ability>L2_HalfPunc</ability>
      <abilityName>全半角检查</abilityName>
      <candidateList>
        <item>，</item>
      </candidateList>
      <explain>文本全半角错误。</explain>
      <paraID>72A4FD6C</paraID>
      <start>8</start>
      <end>9</end>
      <status>unmodified</status>
      <modifiedWord/>
      <trackRevisions>false</trackRevisions>
    </reviewItem>
    <reviewItem>
      <errorID>0d80f6ed-7dda-4d87-af66-49dd1223eb5d</errorID>
      <errorWord>,</errorWord>
      <group>L1_Format</group>
      <groupName>格式问题</groupName>
      <ability>L2_HalfPunc</ability>
      <abilityName>全半角检查</abilityName>
      <candidateList>
        <item>，</item>
      </candidateList>
      <explain>文本全半角错误。</explain>
      <paraID>72A4FD6C</paraID>
      <start>14</start>
      <end>15</end>
      <status>unmodified</status>
      <modifiedWord/>
      <trackRevisions>false</trackRevisions>
    </reviewItem>
    <reviewItem>
      <errorID>7aeba25a-05be-4bdd-a4a8-06941360ce76</errorID>
      <errorWord>按《中华人民共和国</errorWord>
      <group>L1_Political</group>
      <groupName>政治性问题</groupName>
      <ability>L2_Unpolitical</ability>
      <abilityName>政治敏感错误</abilityName>
      <candidateList>
        <item>按照《中华人民共和国</item>
      </candidateList>
      <explain/>
      <paraID>7838D651</paraID>
      <start>18</start>
      <end>27</end>
      <status>unmodified</status>
      <modifiedWord/>
      <trackRevisions>false</trackRevisions>
    </reviewItem>
    <reviewItem>
      <errorID>68847518-5103-4fe8-b3d6-2a2413ef66b5</errorID>
      <errorWord>法律、法规</errorWord>
      <group>L1_Word</group>
      <groupName>字词问题</groupName>
      <ability>L2_Typo</ability>
      <abilityName>字词错误</abilityName>
      <candidateList>
        <item>法律法规</item>
      </candidateList>
      <explain/>
      <paraID>7838D651</paraID>
      <start>43</start>
      <end>48</end>
      <status>unmodified</status>
      <modifiedWord/>
      <trackRevisions>false</trackRevisions>
    </reviewItem>
    <reviewItem>
      <errorID>7a7be5e4-ffaa-4882-8c64-0a00cbd1d215</errorID>
      <errorWord>(</errorWord>
      <group>L1_Format</group>
      <groupName>格式问题</groupName>
      <ability>L2_HalfPunc</ability>
      <abilityName>全半角检查</abilityName>
      <candidateList>
        <item>（</item>
      </candidateList>
      <explain>文本全半角错误。</explain>
      <paraID>185F8826</paraID>
      <start>33</start>
      <end>34</end>
      <status>unmodified</status>
      <modifiedWord/>
      <trackRevisions>false</trackRevisions>
    </reviewItem>
    <reviewItem>
      <errorID>f76c9386-dcd0-4d4a-80ba-dffe7a78fa96</errorID>
      <errorWord>)</errorWord>
      <group>L1_Format</group>
      <groupName>格式问题</groupName>
      <ability>L2_HalfPunc</ability>
      <abilityName>全半角检查</abilityName>
      <candidateList>
        <item>）</item>
      </candidateList>
      <explain>文本全半角错误。</explain>
      <paraID>185F8826</paraID>
      <start>45</start>
      <end>46</end>
      <status>unmodified</status>
      <modifiedWord/>
      <trackRevisions>false</trackRevisions>
    </reviewItem>
    <reviewItem>
      <errorID>67c0b51a-f76e-4e59-96a9-fafe1f088628</errorID>
      <errorWord>(</errorWord>
      <group>L1_Format</group>
      <groupName>格式问题</groupName>
      <ability>L2_HalfPunc</ability>
      <abilityName>全半角检查</abilityName>
      <candidateList>
        <item>（</item>
      </candidateList>
      <explain>文本全半角错误。</explain>
      <paraID>3F6C78DF</paraID>
      <start>51</start>
      <end>52</end>
      <status>unmodified</status>
      <modifiedWord/>
      <trackRevisions>false</trackRevisions>
    </reviewItem>
    <reviewItem>
      <errorID>7d3a922b-558d-474d-8caa-8826664d247d</errorID>
      <errorWord>[2011]300号</errorWord>
      <group>L1_Knowledge</group>
      <groupName>知识性问题</groupName>
      <ability>L2_Knowledge</ability>
      <abilityName>其他知识</abilityName>
      <candidateList>
        <item>〔2011〕300号</item>
      </candidateList>
      <explain>发文字号格式错误。</explain>
      <paraID>3F6C78DF</paraID>
      <start>58</start>
      <end>68</end>
      <status>unmodified</status>
      <modifiedWord/>
      <trackRevisions>false</trackRevisions>
    </reviewItem>
    <reviewItem>
      <errorID>044de2ff-0c89-4b2e-ae4a-1236290d535a</errorID>
      <errorWord>)</errorWord>
      <group>L1_Format</group>
      <groupName>格式问题</groupName>
      <ability>L2_HalfPunc</ability>
      <abilityName>全半角检查</abilityName>
      <candidateList>
        <item>）</item>
      </candidateList>
      <explain>文本全半角错误。</explain>
      <paraID>3F6C78DF</paraID>
      <start>68</start>
      <end>69</end>
      <status>unmodified</status>
      <modifiedWord/>
      <trackRevisions>false</trackRevisions>
    </reviewItem>
    <reviewItem>
      <errorID>2296d0e5-7ed5-485e-bcbb-ff7d63bc5f7c</errorID>
      <errorWord>(</errorWord>
      <group>L1_Format</group>
      <groupName>格式问题</groupName>
      <ability>L2_HalfPunc</ability>
      <abilityName>全半角检查</abilityName>
      <candidateList>
        <item>（</item>
      </candidateList>
      <explain>文本全半角错误。</explain>
      <paraID>2A3D89D0</paraID>
      <start>42</start>
      <end>43</end>
      <status>unmodified</status>
      <modifiedWord/>
      <trackRevisions>false</trackRevisions>
    </reviewItem>
    <reviewItem>
      <errorID>6187ceb8-79c5-4e56-bbc9-cbe5209cc390</errorID>
      <errorWord>)</errorWord>
      <group>L1_Format</group>
      <groupName>格式问题</groupName>
      <ability>L2_HalfPunc</ability>
      <abilityName>全半角检查</abilityName>
      <candidateList>
        <item>）</item>
      </candidateList>
      <explain>文本全半角错误。</explain>
      <paraID>2A3D89D0</paraID>
      <start>56</start>
      <end>57</end>
      <status>unmodified</status>
      <modifiedWord/>
      <trackRevisions>false</trackRevisions>
    </reviewItem>
    <reviewItem>
      <errorID>8f89e89b-8168-40b1-85b1-da72b080d8ff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467DBD9D</paraID>
      <start>0</start>
      <end>2</end>
      <status>unmodified</status>
      <modifiedWord/>
      <trackRevisions>false</trackRevisions>
    </reviewItem>
    <reviewItem>
      <errorID>9c2628e3-7b47-4e6e-a059-ca7b287ffb88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4AEB2EC3</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B5BCE0D-7FC5-4EB7-8A48-E5C5392755A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李朝</cp:lastModifiedBy>
  <cp:revision>3</cp:revision>
  <dcterms:created xsi:type="dcterms:W3CDTF">2026-05-26T16:26:00Z</dcterms:created>
  <dcterms:modified xsi:type="dcterms:W3CDTF">2026-07-01T23:58:41Z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216268A381E2401890CC1A3C23061DF9_13</vt:lpwstr>
  </property>
  <property fmtid="{D5CDD505-2E9C-101B-9397-08002B2CF9AE}" pid="4" name="KSOTemplateDocerSaveRecord">
    <vt:lpwstr>eyJoZGlkIjoiZjkzNTBkNzlmMDRiNjU4NTUwMDk3MWI1NWVkNTI3ZWYiLCJ1c2VySWQiOiIzNjg4MDg0NDQifQ==</vt:lpwstr>
  </property>
</Properties>
</file>