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tabs>
          <w:tab w:val="left" w:pos="7642"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96"/>
        <w:ind w:firstLine="0"/>
        <w:tabs>
          <w:tab w:val="left" w:pos="7642"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996"/>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6"/>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6"/>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6"/>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JSZC-320900-YCLX-G2026-0009</w:t>
      </w:r>
      <w:r/>
    </w:p>
    <w:p>
      <w:pPr>
        <w:ind w:firstLine="2168"/>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6"/>
          <w:highlight w:val="none"/>
        </w:rPr>
        <w:t xml:space="preserve">项目名称：</w:t>
      </w:r>
      <w:r>
        <w:rPr>
          <w:rFonts w:hint="eastAsia" w:ascii="宋体" w:hAnsi="宋体" w:cs="宋体"/>
          <w:b/>
          <w:color w:val="auto"/>
          <w:sz w:val="32"/>
          <w:szCs w:val="32"/>
          <w:highlight w:val="none"/>
          <w:lang w:eastAsia="zh-CN"/>
        </w:rPr>
        <w:t xml:space="preserve">盐城中国海盐博物馆可移动文物数字化保护利用项目</w:t>
      </w:r>
      <w:r/>
    </w:p>
    <w:p>
      <w:pPr>
        <w:pStyle w:val="996"/>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96"/>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96"/>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96"/>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96"/>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96"/>
        <w:ind w:firstLine="0"/>
        <w:jc w:val="center"/>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盐城中国海盐博物馆</w:t>
      </w:r>
      <w:r/>
    </w:p>
    <w:p>
      <w:pPr>
        <w:pStyle w:val="996"/>
        <w:ind w:firstLine="0"/>
        <w:jc w:val="center"/>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盐城立信造价工程师事务所有限公司</w:t>
      </w:r>
      <w:r/>
    </w:p>
    <w:p>
      <w:pPr>
        <w:pStyle w:val="996"/>
        <w:ind w:firstLine="0"/>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7</w:t>
      </w:r>
      <w:r>
        <w:rPr>
          <w:rFonts w:hint="eastAsia" w:ascii="宋体" w:hAnsi="宋体" w:eastAsia="宋体" w:cs="宋体"/>
          <w:b/>
          <w:bCs/>
          <w:color w:val="auto"/>
          <w:sz w:val="32"/>
          <w:highlight w:val="none"/>
        </w:rPr>
        <w:t xml:space="preserve">月</w:t>
      </w:r>
      <w:r/>
    </w:p>
    <w:p>
      <w:pP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rPr>
          <w:rFonts w:hint="eastAsia" w:ascii="宋体" w:hAnsi="宋体" w:eastAsia="宋体" w:cs="宋体"/>
          <w:b/>
          <w:color w:val="auto"/>
          <w:sz w:val="44"/>
          <w:szCs w:val="21"/>
          <w:highlight w:val="none"/>
        </w:rPr>
        <w:sectPr>
          <w:headerReference w:type="default" r:id="rId9"/>
          <w:headerReference w:type="firs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21"/>
          <w:highlight w:val="none"/>
        </w:rPr>
        <w:t xml:space="preserve">目 录</w:t>
      </w:r>
      <w:r/>
    </w:p>
    <w:p>
      <w:pPr>
        <w:ind w:left="0" w:right="0"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1"/>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_Toc29404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_Toc29404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1"/>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1"/>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_Toc16269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1"/>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_Toc15384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_Toc15384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1"/>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1</w:t>
      </w:r>
      <w:r/>
    </w:p>
    <w:p>
      <w:pPr>
        <w:pStyle w:val="801"/>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_Toc29394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_Toc29394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68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769"/>
        <w:numPr>
          <w:ilvl w:val="0"/>
          <w:numId w:val="1"/>
        </w:numPr>
        <w:ind w:left="2660" w:firstLine="0"/>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color w:val="auto"/>
          <w:sz w:val="44"/>
          <w:szCs w:val="44"/>
          <w:highlight w:val="none"/>
        </w:rPr>
      </w:r>
      <w:r/>
    </w:p>
    <w:p>
      <w:pPr>
        <w:pStyle w:val="769"/>
        <w:numPr>
          <w:ilvl w:val="0"/>
          <w:numId w:val="0"/>
        </w:numPr>
        <w:ind w:left="2660"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bidi="ar-SA"/>
        </w:rPr>
        <w:t xml:space="preserve">第一章</w:t>
      </w:r>
      <w:r>
        <w:rPr>
          <w:rFonts w:hint="eastAsia" w:ascii="宋体" w:hAnsi="宋体" w:eastAsia="宋体" w:cs="宋体"/>
          <w:b/>
          <w:bCs/>
          <w:color w:val="auto"/>
          <w:sz w:val="44"/>
          <w:szCs w:val="44"/>
          <w:highlight w:val="none"/>
        </w:rPr>
        <w:t xml:space="preserve"> </w:t>
      </w:r>
      <w:bookmarkStart w:id="0" w:name="_Toc29404"/>
      <w:r>
        <w:rPr>
          <w:rFonts w:hint="eastAsia" w:ascii="宋体" w:hAnsi="宋体" w:eastAsia="宋体" w:cs="宋体"/>
          <w:b/>
          <w:bCs/>
          <w:color w:val="auto"/>
          <w:sz w:val="44"/>
          <w:szCs w:val="44"/>
          <w:highlight w:val="none"/>
        </w:rPr>
        <w:t xml:space="preserve">招标公告</w:t>
      </w:r>
      <w:bookmarkEnd w:id="0"/>
      <w:r/>
      <w:r/>
    </w:p>
    <w:p>
      <w:pPr>
        <w:ind w:firstLine="482"/>
        <w:keepLines w:val="0"/>
        <w:pageBreakBefore w:val="0"/>
        <w:spacing w:line="500" w:lineRule="exact"/>
        <w:rPr>
          <w:rFonts w:hint="eastAsia" w:ascii="宋体" w:hAnsi="宋体" w:eastAsia="宋体" w:cs="宋体"/>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4"/>
          <w:szCs w:val="24"/>
          <w:highlight w:val="none"/>
        </w:rPr>
        <w:t xml:space="preserve">项目概况</w:t>
      </w:r>
      <w:r/>
    </w:p>
    <w:p>
      <w:pPr>
        <w:ind w:firstLine="480"/>
        <w:keepLines w:val="0"/>
        <w:pageBreakBefore w:val="0"/>
        <w:spacing w:line="500" w:lineRule="exact"/>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lang w:eastAsia="zh-CN"/>
        </w:rPr>
        <w:t xml:space="preserve">盐城中国海盐博物馆可移动文物数字化保护利用项目</w:t>
      </w:r>
      <w:r>
        <w:rPr>
          <w:rFonts w:hint="eastAsia" w:ascii="宋体" w:hAnsi="宋体" w:eastAsia="宋体" w:cs="宋体"/>
          <w:color w:val="auto"/>
          <w:sz w:val="24"/>
          <w:szCs w:val="24"/>
          <w:highlight w:val="none"/>
        </w:rPr>
        <w:t xml:space="preserve">的潜在投标人应在“苏采云”系统内免费下载（投标人必须在苏采云系统中获取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，方能参与政府采购项目）获取招标文件，并于202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年7月27日09:00</w:t>
      </w:r>
      <w:r>
        <w:rPr>
          <w:rFonts w:hint="eastAsia" w:ascii="宋体" w:hAnsi="宋体" w:eastAsia="宋体" w:cs="宋体"/>
          <w:color w:val="auto"/>
          <w:sz w:val="24"/>
          <w:szCs w:val="24"/>
          <w:highlight w:val="none"/>
        </w:rPr>
        <w:t xml:space="preserve">（北京时间）前递交投标文件</w:t>
      </w:r>
      <w:r>
        <w:rPr>
          <w:rFonts w:hint="eastAsia" w:ascii="宋体" w:hAnsi="宋体" w:eastAsia="宋体" w:cs="宋体"/>
          <w:b w:val="0"/>
          <w:bCs w:val="0"/>
          <w:color w:val="auto"/>
          <w:sz w:val="24"/>
          <w:szCs w:val="24"/>
          <w:highlight w:val="none"/>
          <w:lang w:eastAsia="zh-CN"/>
        </w:rPr>
        <w:t xml:space="preserve">。</w:t>
      </w:r>
      <w:r/>
    </w:p>
    <w:p>
      <w:pPr>
        <w:pStyle w:val="770"/>
        <w:ind w:firstLine="482"/>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1" w:name="_Toc35393621"/>
      <w:r/>
      <w:bookmarkStart w:id="2" w:name="_Toc28359002"/>
      <w:r/>
      <w:bookmarkStart w:id="3" w:name="_Toc35393790"/>
      <w:r/>
      <w:bookmarkStart w:id="4" w:name="_Toc28359079"/>
      <w:r/>
      <w:bookmarkStart w:id="5"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1.项目编号：</w:t>
      </w:r>
      <w:r>
        <w:rPr>
          <w:rFonts w:hint="eastAsia" w:ascii="宋体" w:hAnsi="宋体" w:cs="宋体"/>
          <w:color w:val="auto"/>
          <w:sz w:val="24"/>
          <w:highlight w:val="none"/>
          <w:lang w:val="en-US" w:eastAsia="zh-CN"/>
        </w:rPr>
        <w:t xml:space="preserve">JSZC-320900-YCLX-G2026-0009</w:t>
      </w:r>
      <w:r>
        <w:rPr>
          <w:rFonts w:hint="eastAsia" w:ascii="宋体" w:hAnsi="宋体" w:eastAsia="宋体" w:cs="宋体"/>
          <w:color w:val="auto"/>
          <w:sz w:val="24"/>
          <w:highlight w:val="none"/>
          <w:lang w:val="en-US" w:eastAsia="zh-CN"/>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盐城中国海盐博物馆可移动文物数字化保护利用项目</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采购方式：</w:t>
      </w:r>
      <w:r>
        <w:rPr>
          <w:rFonts w:hint="eastAsia" w:ascii="宋体" w:hAnsi="宋体" w:eastAsia="宋体" w:cs="宋体"/>
          <w:color w:val="auto"/>
          <w:sz w:val="24"/>
          <w:highlight w:val="none"/>
          <w:lang w:val="en-US" w:eastAsia="zh-CN"/>
        </w:rPr>
        <w:t xml:space="preserve">公开招标</w:t>
      </w:r>
      <w:bookmarkEnd w:id="5"/>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120万元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119万元</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szCs w:val="20"/>
          <w:highlight w:val="none"/>
        </w:rPr>
        <w:t xml:space="preserve">（简介）：</w:t>
      </w:r>
      <w:r>
        <w:rPr>
          <w:rFonts w:hint="eastAsia" w:ascii="宋体" w:hAnsi="宋体" w:cs="宋体"/>
          <w:color w:val="auto"/>
          <w:sz w:val="24"/>
          <w:szCs w:val="20"/>
          <w:highlight w:val="none"/>
        </w:rPr>
        <w:t xml:space="preserve">本项目涉及的建设内容包括：珍贵文物二维高清图片采集；珍贵文物多光谱成像采集分析；珍贵文物数字拓片制作；珍贵文物三维数据采集制作。本项目计划单件类文物二维采集41件、套件类文物二维采集24套（167件），多光谱成像采集分析5件，珍贵文物数字拓片制作2件，单件类</w:t>
      </w:r>
      <w:r>
        <w:rPr>
          <w:rFonts w:hint="eastAsia" w:ascii="宋体" w:hAnsi="宋体" w:cs="宋体"/>
          <w:color w:val="auto"/>
          <w:sz w:val="24"/>
          <w:szCs w:val="20"/>
          <w:highlight w:val="none"/>
        </w:rPr>
        <w:t xml:space="preserve">文物三维采集176件、套件类文物三维采集20套（69件）。文物二三维数据采集制作输出成果规范，符合文物采集相关标准及要求，可按计划应用于各管理和传播系统。同时，在文物采集过程中保障措施到位，未因为采集工作导致文物受到损害。项目各阶段完成后，质量控制组对成果进行全面检测。采用专业检测设备与软件，对关键指标进行定量分析与定性评估，重点核查数据精度是否符合质量标准。成果交付前，对所有数据成果与技术文档进行归档审查。核查数据格式、文件命名、目录结构是否规范统一，技术文档是否齐全完整，确保归档资料准确、规范、可追溯。</w:t>
      </w:r>
      <w:r>
        <w:rPr>
          <w:rFonts w:ascii="宋体" w:hAnsi="宋体" w:cs="宋体"/>
          <w:color w:val="auto"/>
          <w:sz w:val="24"/>
          <w:szCs w:val="20"/>
          <w:highlight w:val="none"/>
        </w:rPr>
        <w:t xml:space="preserve">具体见</w:t>
      </w:r>
      <w:r>
        <w:rPr>
          <w:rFonts w:hint="eastAsia" w:ascii="宋体" w:hAnsi="宋体" w:cs="宋体"/>
          <w:color w:val="auto"/>
          <w:sz w:val="24"/>
          <w:szCs w:val="20"/>
          <w:highlight w:val="none"/>
        </w:rPr>
        <w:t xml:space="preserve">招标</w:t>
      </w:r>
      <w:r>
        <w:rPr>
          <w:rFonts w:ascii="宋体" w:hAnsi="宋体" w:cs="宋体"/>
          <w:color w:val="auto"/>
          <w:sz w:val="24"/>
          <w:szCs w:val="20"/>
          <w:highlight w:val="none"/>
        </w:rPr>
        <w:t xml:space="preserve">文件第四章“</w:t>
      </w:r>
      <w:bookmarkStart w:id="6" w:name="OLE_LINK52"/>
      <w:r>
        <w:rPr>
          <w:rFonts w:ascii="宋体" w:hAnsi="宋体" w:cs="宋体"/>
          <w:color w:val="auto"/>
          <w:sz w:val="24"/>
          <w:szCs w:val="20"/>
          <w:highlight w:val="none"/>
        </w:rPr>
        <w:t xml:space="preserve">项目需求</w:t>
      </w:r>
      <w:bookmarkEnd w:id="6"/>
      <w:r>
        <w:rPr>
          <w:rFonts w:ascii="宋体" w:hAnsi="宋体" w:cs="宋体"/>
          <w:color w:val="auto"/>
          <w:sz w:val="24"/>
          <w:szCs w:val="20"/>
          <w:highlight w:val="none"/>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合同履行期限：</w:t>
      </w:r>
      <w:r>
        <w:rPr>
          <w:rFonts w:hint="eastAsia" w:ascii="宋体" w:hAnsi="宋体" w:eastAsia="宋体" w:cs="宋体"/>
          <w:i w:val="0"/>
          <w:iCs w:val="0"/>
          <w:color w:val="auto"/>
          <w:sz w:val="24"/>
          <w:szCs w:val="24"/>
          <w:highlight w:val="none"/>
          <w:u w:val="none"/>
          <w:lang w:val="en-US" w:eastAsia="zh-CN"/>
        </w:rPr>
        <w:t xml:space="preserve">自合同签订之日起90日历天内完成全部工作内容，并通过采购人及</w:t>
      </w:r>
      <w:r>
        <w:rPr>
          <w:rFonts w:hint="eastAsia" w:ascii="宋体" w:hAnsi="宋体" w:eastAsia="宋体" w:cs="宋体"/>
          <w:b w:val="0"/>
          <w:bCs w:val="0"/>
          <w:color w:val="auto"/>
          <w:sz w:val="24"/>
          <w:highlight w:val="none"/>
          <w:lang w:val="en-US" w:eastAsia="zh-CN"/>
        </w:rPr>
        <w:t xml:space="preserve">省文物局（或上级主管部门）</w:t>
      </w:r>
      <w:r>
        <w:rPr>
          <w:rFonts w:hint="eastAsia" w:ascii="宋体" w:hAnsi="宋体" w:eastAsia="宋体" w:cs="宋体"/>
          <w:i w:val="0"/>
          <w:iCs w:val="0"/>
          <w:color w:val="auto"/>
          <w:sz w:val="24"/>
          <w:szCs w:val="24"/>
          <w:highlight w:val="none"/>
          <w:u w:val="none"/>
          <w:lang w:val="en-US" w:eastAsia="zh-CN"/>
        </w:rPr>
        <w:t xml:space="preserve">的最终验收</w:t>
      </w:r>
      <w:r>
        <w:rPr>
          <w:rFonts w:hint="eastAsia" w:ascii="宋体" w:hAnsi="宋体" w:eastAsia="宋体" w:cs="宋体"/>
          <w:color w:val="auto"/>
          <w:sz w:val="24"/>
          <w:highlight w:val="none"/>
          <w:shd w:val="clear" w:color="auto" w:fill="auto"/>
          <w:lang w:eastAsia="zh-CN"/>
        </w:rPr>
        <w:t xml:space="preserve">。</w:t>
      </w:r>
      <w:r/>
    </w:p>
    <w:p>
      <w:pPr>
        <w:ind w:left="479" w:firstLine="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0"/>
          <w:highlight w:val="none"/>
        </w:rPr>
        <w:t xml:space="preserve">本项目（是/否）接受联合体投标：</w:t>
      </w:r>
      <w:r>
        <w:rPr>
          <w:rFonts w:hint="eastAsia" w:ascii="宋体" w:hAnsi="宋体" w:eastAsia="宋体" w:cs="宋体"/>
          <w:color w:val="auto"/>
          <w:sz w:val="24"/>
          <w:highlight w:val="none"/>
        </w:rPr>
        <w:t xml:space="preserve">否。</w:t>
      </w:r>
      <w:r/>
    </w:p>
    <w:p>
      <w:pPr>
        <w:pStyle w:val="770"/>
        <w:ind w:firstLine="482"/>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7" w:name="_Toc35393791"/>
      <w:r/>
      <w:bookmarkStart w:id="8" w:name="_Toc35393622"/>
      <w:r/>
      <w:bookmarkStart w:id="9" w:name="_Toc28359080"/>
      <w:r/>
      <w:bookmarkStart w:id="10" w:name="_Toc28359003"/>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的资格要求：</w:t>
      </w:r>
      <w:bookmarkEnd w:id="7"/>
      <w:r/>
      <w:bookmarkEnd w:id="8"/>
      <w:r/>
      <w:bookmarkEnd w:id="9"/>
      <w:r/>
      <w:bookmarkEnd w:id="10"/>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满足《中华人民共和国政府采购法》第二十二条规定，并提供下列材料：</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法人或者其他组织的营业执照等证明文件，自然人的身份证明；</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上一年度的财务状况报</w:t>
      </w:r>
      <w:r>
        <w:rPr>
          <w:rFonts w:hint="eastAsia" w:ascii="宋体" w:hAnsi="宋体" w:cs="宋体"/>
          <w:color w:val="auto"/>
          <w:sz w:val="24"/>
          <w:highlight w:val="none"/>
          <w:lang w:eastAsia="zh-CN"/>
        </w:rPr>
        <w:t xml:space="preserve">告</w:t>
      </w:r>
      <w:r>
        <w:rPr>
          <w:rFonts w:hint="eastAsia" w:ascii="宋体" w:hAnsi="宋体" w:eastAsia="宋体" w:cs="宋体"/>
          <w:color w:val="auto"/>
          <w:sz w:val="24"/>
          <w:highlight w:val="none"/>
        </w:rPr>
        <w:t xml:space="preserve">（成立不满一年无需提供）；</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依法缴纳税收和社会保障资金的相关材料（提供提交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截止时间前一年内至少一个月依法缴纳税收及缴纳社会保障资金的证明材料</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依法享受缓缴、免缴税收、社会保障资金的提供证明材料）；</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参加政府采购活动前3年内在经营活动中没有重大违法记录的书面声明。</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6.法律、行政法规规定的其他条件。</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中无需提供证明材料）</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单位负责人为同一人或者存在直接控股、管理关系的不同</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，不得参加同一合同项下的政府采购活动。</w:t>
      </w:r>
      <w:r/>
    </w:p>
    <w:p>
      <w:pPr>
        <w:numPr>
          <w:ilvl w:val="0"/>
          <w:numId w:val="0"/>
        </w:numPr>
        <w:ind w:firstLine="480"/>
        <w:keepLines w:val="0"/>
        <w:pageBreakBefore w:val="0"/>
        <w:spacing w:line="500" w:lineRule="exact"/>
        <w:widowControl w:val="off"/>
        <w:rPr>
          <w:rFonts w:hint="eastAsia" w:ascii="宋体" w:hAnsi="宋体" w:eastAsia="宋体" w:cs="宋体"/>
          <w:color w:val="auto"/>
          <w:sz w:val="24"/>
          <w:highlight w:val="none"/>
          <w:lang w:val="en-US" w:eastAsia="zh-CN"/>
        </w:rPr>
      </w:pPr>
      <w:r/>
      <w:bookmarkStart w:id="11" w:name="_Toc28359004"/>
      <w:r/>
      <w:bookmarkStart w:id="12" w:name="_Toc28359081"/>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highlight w:val="none"/>
        </w:rPr>
        <w:t xml:space="preserve">落实政府采购政策需满足的资格要求：本项目专门面向中小企业采购。采购标的所属行业为其他未列明行业，投标人需按照采购文件的要求提供相应的《企业声明函》。企业标准请参照《关于印发中小企业划型标准规定的通知》（工信部联企业[2011]300号）文件规定自行填写。</w:t>
      </w:r>
      <w:r/>
    </w:p>
    <w:p>
      <w:pPr>
        <w:ind w:firstLine="480"/>
        <w:keepLines w:val="0"/>
        <w:pageBreakBefore w:val="0"/>
        <w:spacing w:line="500" w:lineRule="exact"/>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本项目的特定资格要求：</w:t>
      </w:r>
      <w:bookmarkEnd w:id="11"/>
      <w:r/>
      <w:bookmarkEnd w:id="12"/>
      <w:r>
        <w:rPr>
          <w:rFonts w:hint="eastAsia" w:ascii="宋体" w:hAnsi="宋体" w:cs="宋体"/>
          <w:color w:val="auto"/>
          <w:sz w:val="24"/>
          <w:highlight w:val="none"/>
          <w:lang w:val="en-US" w:eastAsia="zh-CN"/>
        </w:rPr>
        <w:t xml:space="preserve">无。</w:t>
      </w:r>
      <w:r/>
    </w:p>
    <w:p>
      <w:pPr>
        <w:pStyle w:val="770"/>
        <w:ind w:firstLine="482"/>
        <w:jc w:val="left"/>
        <w:keepLines w:val="0"/>
        <w:pageBreakBefore w:val="0"/>
        <w:spacing w:line="500" w:lineRule="exact"/>
        <w:tabs>
          <w:tab w:val="left" w:pos="0" w:leader="none"/>
          <w:tab w:val="left" w:pos="3165" w:leader="none"/>
          <w:tab w:val="center" w:pos="4153" w:leader="none"/>
        </w:tabs>
        <w:rPr>
          <w:rFonts w:hint="eastAsia" w:ascii="宋体" w:hAnsi="宋体" w:eastAsia="宋体" w:cs="宋体"/>
          <w:bCs/>
          <w:color w:val="auto"/>
          <w:sz w:val="24"/>
          <w:szCs w:val="24"/>
          <w:highlight w:val="none"/>
        </w:rPr>
      </w:pPr>
      <w:r/>
      <w:bookmarkStart w:id="13" w:name="_Toc28359082"/>
      <w:r/>
      <w:bookmarkStart w:id="14" w:name="_Toc28359005"/>
      <w:r/>
      <w:bookmarkStart w:id="15" w:name="_Toc35393624"/>
      <w:r/>
      <w:bookmarkStart w:id="16" w:name="_Toc35393793"/>
      <w:r/>
      <w:bookmarkStart w:id="17" w:name="_Toc35393796"/>
      <w:r/>
      <w:bookmarkStart w:id="18" w:name="_Toc28359085"/>
      <w:r/>
      <w:bookmarkStart w:id="19" w:name="_Toc28359008"/>
      <w:r/>
      <w:bookmarkStart w:id="20" w:name="_Toc35393627"/>
      <w:r>
        <w:rPr>
          <w:rFonts w:hint="eastAsia" w:ascii="宋体" w:hAnsi="宋体" w:eastAsia="宋体" w:cs="宋体"/>
          <w:bCs/>
          <w:color w:val="auto"/>
          <w:sz w:val="24"/>
          <w:szCs w:val="24"/>
          <w:highlight w:val="none"/>
        </w:rPr>
        <w:t xml:space="preserve">三、获取招标文件</w:t>
      </w:r>
      <w:r/>
    </w:p>
    <w:p>
      <w:pPr>
        <w:ind w:firstLine="480"/>
        <w:keepLines w:val="0"/>
        <w:pageBreakBefore w:val="0"/>
        <w:spacing w:line="500" w:lineRule="exact"/>
        <w:tabs>
          <w:tab w:val="left" w:pos="6529"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时间：自招标文件公告发布之日起5个工作日 </w:t>
      </w:r>
      <w:r>
        <w:rPr>
          <w:rFonts w:hint="eastAsia" w:ascii="宋体" w:hAnsi="宋体" w:eastAsia="宋体" w:cs="宋体"/>
          <w:color w:val="auto"/>
          <w:sz w:val="24"/>
          <w:highlight w:val="none"/>
          <w:lang w:eastAsia="zh-CN"/>
        </w:rPr>
        <w:tab/>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地点：“苏采云”系统内免费下载（投标人必须在苏采云系统中获取招标文件，方能参与政府采购项目）</w:t>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方式：本项目采用网上注册登记方式。 </w:t>
      </w:r>
      <w:r/>
    </w:p>
    <w:p>
      <w:pPr>
        <w:numPr>
          <w:ilvl w:val="0"/>
          <w:numId w:val="0"/>
        </w:num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售价：0元</w:t>
      </w:r>
      <w:r/>
    </w:p>
    <w:p>
      <w:pPr>
        <w:numPr>
          <w:ilvl w:val="0"/>
          <w:numId w:val="0"/>
        </w:numPr>
        <w:ind w:firstLine="482"/>
        <w:keepLines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p>
    <w:p>
      <w:pPr>
        <w:ind w:firstLine="482"/>
        <w:jc w:val="left"/>
        <w:keepLines w:val="0"/>
        <w:keepNext w:val="0"/>
        <w:pageBreakBefore w:val="0"/>
        <w:spacing w:line="500" w:lineRule="exact"/>
        <w:widowControl/>
        <w:rPr>
          <w:rFonts w:hint="eastAsia" w:ascii="宋体" w:hAnsi="宋体" w:eastAsia="宋体" w:cs="宋体"/>
          <w:color w:val="auto"/>
          <w:sz w:val="24"/>
          <w:szCs w:val="20"/>
          <w:highlight w:val="yellow"/>
        </w:rPr>
      </w:pPr>
      <w:r>
        <w:rPr>
          <w:rFonts w:hint="eastAsia" w:ascii="宋体" w:hAnsi="宋体" w:eastAsia="宋体" w:cs="宋体"/>
          <w:color w:val="auto"/>
          <w:sz w:val="24"/>
          <w:szCs w:val="20"/>
          <w:highlight w:val="none"/>
        </w:rPr>
        <w:t xml:space="preserve">1.时间：2</w:t>
      </w:r>
      <w:r>
        <w:rPr>
          <w:rFonts w:hint="eastAsia" w:ascii="宋体" w:hAnsi="宋体" w:eastAsia="宋体" w:cs="宋体"/>
          <w:color w:val="auto"/>
          <w:sz w:val="24"/>
          <w:szCs w:val="20"/>
          <w:highlight w:val="none"/>
          <w:shd w:val="clear" w:color="auto"/>
        </w:rPr>
        <w:t xml:space="preserve">026年</w:t>
      </w:r>
      <w:r>
        <w:rPr>
          <w:rFonts w:hint="eastAsia" w:ascii="宋体" w:hAnsi="宋体" w:cs="宋体"/>
          <w:color w:val="auto"/>
          <w:sz w:val="24"/>
          <w:szCs w:val="20"/>
          <w:highlight w:val="none"/>
          <w:shd w:val="clear" w:color="auto"/>
          <w:lang w:val="en-US" w:eastAsia="zh-CN"/>
        </w:rPr>
        <w:t xml:space="preserve">7</w:t>
      </w:r>
      <w:r>
        <w:rPr>
          <w:rFonts w:hint="eastAsia" w:ascii="宋体" w:hAnsi="宋体" w:eastAsia="宋体" w:cs="宋体"/>
          <w:color w:val="auto"/>
          <w:sz w:val="24"/>
          <w:szCs w:val="20"/>
          <w:highlight w:val="none"/>
          <w:shd w:val="clear" w:color="auto"/>
        </w:rPr>
        <w:t xml:space="preserve">月</w:t>
      </w:r>
      <w:r>
        <w:rPr>
          <w:rFonts w:hint="eastAsia" w:ascii="宋体" w:hAnsi="宋体" w:cs="宋体"/>
          <w:color w:val="auto"/>
          <w:sz w:val="24"/>
          <w:szCs w:val="20"/>
          <w:highlight w:val="none"/>
          <w:shd w:val="clear" w:color="auto"/>
          <w:lang w:val="en-US" w:eastAsia="zh-CN"/>
        </w:rPr>
        <w:t xml:space="preserve">27</w:t>
      </w:r>
      <w:r>
        <w:rPr>
          <w:rFonts w:hint="eastAsia" w:ascii="宋体" w:hAnsi="宋体" w:eastAsia="宋体" w:cs="宋体"/>
          <w:color w:val="auto"/>
          <w:sz w:val="24"/>
          <w:szCs w:val="20"/>
          <w:highlight w:val="none"/>
          <w:shd w:val="clear" w:color="auto"/>
        </w:rPr>
        <w:t xml:space="preserve">日9点</w:t>
      </w:r>
      <w:r>
        <w:rPr>
          <w:rFonts w:hint="eastAsia" w:ascii="宋体" w:hAnsi="宋体" w:eastAsia="宋体" w:cs="宋体"/>
          <w:color w:val="auto"/>
          <w:sz w:val="24"/>
          <w:szCs w:val="20"/>
          <w:highlight w:val="none"/>
          <w:shd w:val="clear" w:color="auto"/>
          <w:lang w:val="en-US" w:eastAsia="zh-CN"/>
        </w:rPr>
        <w:t xml:space="preserve">00</w:t>
      </w:r>
      <w:r>
        <w:rPr>
          <w:rFonts w:hint="eastAsia" w:ascii="宋体" w:hAnsi="宋体" w:eastAsia="宋体" w:cs="宋体"/>
          <w:color w:val="auto"/>
          <w:sz w:val="24"/>
          <w:szCs w:val="20"/>
          <w:highlight w:val="none"/>
          <w:shd w:val="clear" w:color="auto"/>
        </w:rPr>
        <w:t xml:space="preserve">分（北京时间）</w:t>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0"/>
        </w:rPr>
        <w:t xml:space="preserve">2.地点：苏采云“不见面”开标大厅。</w:t>
      </w:r>
      <w:r/>
    </w:p>
    <w:p>
      <w:pPr>
        <w:ind w:firstLine="482"/>
        <w:keepLines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五、公告期限</w:t>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个工作日。</w:t>
      </w:r>
      <w:r/>
    </w:p>
    <w:p>
      <w:pPr>
        <w:numPr>
          <w:ilvl w:val="0"/>
          <w:numId w:val="2"/>
        </w:numPr>
        <w:ind w:firstLine="482"/>
        <w:keepLines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其他补充事宜</w:t>
      </w:r>
      <w:bookmarkEnd w:id="13"/>
      <w:r/>
      <w:bookmarkEnd w:id="14"/>
      <w:r/>
      <w:bookmarkEnd w:id="15"/>
      <w:r/>
      <w:bookmarkEnd w:id="16"/>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1.根据省财政厅《关于更换全省政府采购交易系统CA数字证书和电子签章的通知》（苏财购〔2023〕101号），“苏采云”政府采购交易系</w:t>
      </w:r>
      <w:r>
        <w:rPr>
          <w:rFonts w:hint="eastAsia" w:ascii="宋体" w:hAnsi="宋体" w:eastAsia="宋体" w:cs="宋体"/>
          <w:sz w:val="24"/>
        </w:rPr>
        <w:t xml:space="preserve">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领取CA和办理电子签章（请至</w:t>
      </w:r>
      <w:r>
        <w:rPr>
          <w:rFonts w:hint="eastAsia" w:ascii="宋体" w:hAnsi="宋体" w:eastAsia="宋体" w:cs="宋体"/>
          <w:color w:val="ff0000"/>
          <w:sz w:val="24"/>
        </w:rPr>
        <w:t xml:space="preserve">盐城市盐都区府西路1号盐城市政务服务中心4楼盐城市公共资源交易中心10号、11号窗口办理</w:t>
      </w:r>
      <w:r>
        <w:rPr>
          <w:rFonts w:hint="eastAsia" w:ascii="宋体" w:hAnsi="宋体" w:eastAsia="宋体" w:cs="宋体"/>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 潜在供应商访问电子招标响应交易平台的网络地址和方法：</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 潜在投标人访问“苏采云”系统方法：江苏省政府采购网首页-“苏采云”链接。</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 采购文件（后缀名为“.kedt”）、供应商操作手册及政府采购客户端 工具可通过“苏采云”系统相应链接进行下载。</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 采购代理机构将数据电文形式的采购文件加载至“苏采云”系统，供潜在供应商下载或者查阅。</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如潜在投标人未按上述要求操作，将自行承担所产生的风险。</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3.有关本次招标的事项若存在变动或修改，敬请及时关注采购代理机构在“中国政府采购网”“江苏政府采购网”“盐城市政府采购网”发布的更正公告。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rPr>
        <w:t xml:space="preserve">4.本次招标不收取投标保证金。</w:t>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七、对本次招标提出询问，请按以下方式联系。</w:t>
      </w:r>
      <w:bookmarkEnd w:id="17"/>
      <w:r/>
      <w:bookmarkEnd w:id="18"/>
      <w:r/>
      <w:bookmarkEnd w:id="19"/>
      <w:r/>
      <w:bookmarkEnd w:id="20"/>
      <w:r/>
      <w:r/>
    </w:p>
    <w:p>
      <w:pPr>
        <w:ind w:firstLine="480"/>
        <w:keepLines w:val="0"/>
        <w:pageBreakBefore w:val="0"/>
        <w:spacing w:line="500" w:lineRule="exact"/>
        <w:widowControl w:val="off"/>
        <w:rPr>
          <w:rFonts w:hint="eastAsia" w:ascii="宋体" w:hAnsi="宋体" w:eastAsia="宋体" w:cs="宋体"/>
          <w:sz w:val="24"/>
          <w:lang w:val="en-US" w:eastAsia="zh-CN"/>
        </w:rPr>
      </w:pPr>
      <w:r/>
      <w:bookmarkStart w:id="21" w:name="_Toc120614211"/>
      <w:r>
        <w:rPr>
          <w:rFonts w:hint="eastAsia" w:ascii="宋体" w:hAnsi="宋体" w:eastAsia="宋体" w:cs="宋体"/>
          <w:sz w:val="24"/>
          <w:lang w:val="en-US" w:eastAsia="zh-CN"/>
        </w:rPr>
        <w:t xml:space="preserve">1.采购人信息</w:t>
      </w:r>
      <w:r/>
    </w:p>
    <w:p>
      <w:pPr>
        <w:ind w:firstLine="480"/>
        <w:keepLines w:val="0"/>
        <w:pageBreakBefore w:val="0"/>
        <w:spacing w:line="500" w:lineRule="exact"/>
        <w:widowControl w:val="off"/>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cs="宋体"/>
          <w:sz w:val="24"/>
          <w:lang w:eastAsia="zh-CN"/>
        </w:rPr>
        <w:t xml:space="preserve">盐城中国海盐博物馆</w:t>
      </w:r>
      <w:r/>
    </w:p>
    <w:p>
      <w:pPr>
        <w:ind w:firstLine="480"/>
        <w:keepLines w:val="0"/>
        <w:pageBreakBefore w:val="0"/>
        <w:spacing w:line="500" w:lineRule="exact"/>
        <w:widowControl w:val="off"/>
        <w:rPr>
          <w:rFonts w:hint="eastAsia" w:ascii="宋体" w:hAnsi="宋体" w:eastAsia="宋体" w:cs="宋体"/>
          <w:sz w:val="24"/>
          <w:lang w:eastAsia="zh-CN"/>
        </w:rPr>
      </w:pPr>
      <w:r>
        <w:rPr>
          <w:rFonts w:hint="eastAsia" w:ascii="宋体" w:hAnsi="宋体" w:eastAsia="宋体" w:cs="宋体"/>
          <w:sz w:val="24"/>
        </w:rPr>
        <w:t xml:space="preserve">地    </w:t>
      </w:r>
      <w:r>
        <w:rPr>
          <w:rFonts w:hint="eastAsia" w:ascii="宋体" w:hAnsi="宋体" w:eastAsia="宋体" w:cs="宋体"/>
          <w:sz w:val="24"/>
          <w:lang w:eastAsia="zh-CN"/>
        </w:rPr>
        <w:t xml:space="preserve">址：盐城市开放大道2号</w:t>
      </w:r>
      <w:r/>
    </w:p>
    <w:p>
      <w:pPr>
        <w:ind w:firstLine="480"/>
        <w:keepLines w:val="0"/>
        <w:pageBreakBefore w:val="0"/>
        <w:spacing w:line="500" w:lineRule="exact"/>
        <w:widowControl w:val="off"/>
        <w:rPr>
          <w:rFonts w:hint="default" w:ascii="宋体" w:hAnsi="宋体" w:eastAsia="宋体" w:cs="宋体"/>
          <w:sz w:val="24"/>
          <w:highlight w:val="yellow"/>
          <w:lang w:val="en-US" w:eastAsia="zh-CN"/>
        </w:rPr>
      </w:pPr>
      <w:r/>
      <w:bookmarkStart w:id="22" w:name="OLE_LINK23"/>
      <w:r/>
      <w:bookmarkStart w:id="23" w:name="OLE_LINK31"/>
      <w:r>
        <w:rPr>
          <w:rFonts w:hint="eastAsia" w:ascii="宋体" w:hAnsi="宋体" w:eastAsia="宋体" w:cs="宋体"/>
          <w:sz w:val="24"/>
        </w:rPr>
        <w:t xml:space="preserve">联 系 人：</w:t>
      </w:r>
      <w:r>
        <w:rPr>
          <w:rFonts w:hint="eastAsia" w:ascii="宋体" w:hAnsi="宋体" w:cs="宋体"/>
          <w:sz w:val="24"/>
          <w:lang w:eastAsia="zh-CN"/>
        </w:rPr>
        <w:t xml:space="preserve">王女士</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cs="宋体"/>
          <w:sz w:val="24"/>
          <w:highlight w:val="none"/>
          <w:lang w:val="en-US" w:eastAsia="zh-CN"/>
        </w:rPr>
        <w:t xml:space="preserve">18921817959</w:t>
      </w:r>
      <w:r>
        <w:rPr>
          <w:rFonts w:hint="eastAsia" w:ascii="宋体" w:hAnsi="宋体" w:eastAsia="宋体" w:cs="宋体"/>
          <w:sz w:val="24"/>
          <w:highlight w:val="none"/>
        </w:rPr>
        <w:t xml:space="preserve"> </w:t>
      </w:r>
      <w:bookmarkEnd w:id="22"/>
      <w:r/>
      <w:bookmarkEnd w:id="23"/>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2.采购代理机构信息（如有）</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名    称：</w:t>
      </w:r>
      <w:bookmarkStart w:id="24" w:name="OLE_LINK187"/>
      <w:r/>
      <w:bookmarkStart w:id="25" w:name="OLE_LINK205"/>
      <w:r/>
      <w:bookmarkStart w:id="26" w:name="OLE_LINK186"/>
      <w:r>
        <w:rPr>
          <w:rFonts w:hint="eastAsia" w:ascii="宋体" w:hAnsi="宋体" w:eastAsia="宋体" w:cs="宋体"/>
          <w:sz w:val="24"/>
          <w:lang w:eastAsia="zh-CN"/>
        </w:rPr>
        <w:t xml:space="preserve">盐城立信造价工程师事务所有限公司</w:t>
      </w:r>
      <w:r>
        <w:rPr>
          <w:rFonts w:hint="eastAsia" w:ascii="宋体" w:hAnsi="宋体" w:eastAsia="宋体" w:cs="宋体"/>
          <w:sz w:val="24"/>
        </w:rPr>
        <w:t xml:space="preserve">　</w:t>
      </w:r>
      <w:bookmarkEnd w:id="24"/>
      <w:r/>
      <w:bookmarkEnd w:id="25"/>
      <w:r/>
      <w:bookmarkEnd w:id="26"/>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地　　址：盐城市金座广场B座11楼</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w:t>
      </w:r>
      <w:r>
        <w:rPr>
          <w:rFonts w:hint="eastAsia" w:ascii="宋体" w:hAnsi="宋体" w:cs="宋体"/>
          <w:sz w:val="24"/>
          <w:lang w:val="en-US" w:eastAsia="zh-CN"/>
        </w:rPr>
        <w:t xml:space="preserve"> </w:t>
      </w:r>
      <w:r>
        <w:rPr>
          <w:rFonts w:hint="eastAsia" w:ascii="宋体" w:hAnsi="宋体" w:eastAsia="宋体" w:cs="宋体"/>
          <w:sz w:val="24"/>
        </w:rPr>
        <w:t xml:space="preserve">系</w:t>
      </w:r>
      <w:r>
        <w:rPr>
          <w:rFonts w:hint="eastAsia" w:ascii="宋体" w:hAnsi="宋体" w:cs="宋体"/>
          <w:sz w:val="24"/>
          <w:lang w:val="en-US" w:eastAsia="zh-CN"/>
        </w:rPr>
        <w:t xml:space="preserve"> </w:t>
      </w:r>
      <w:r>
        <w:rPr>
          <w:rFonts w:hint="eastAsia" w:ascii="宋体" w:hAnsi="宋体" w:eastAsia="宋体" w:cs="宋体"/>
          <w:sz w:val="24"/>
        </w:rPr>
        <w:t xml:space="preserve">人：杨工</w:t>
      </w:r>
      <w:r/>
    </w:p>
    <w:p>
      <w:pPr>
        <w:ind w:firstLine="480"/>
        <w:jc w:val="left"/>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联系电话：</w:t>
      </w:r>
      <w:bookmarkStart w:id="27" w:name="OLE_LINK41"/>
      <w:r/>
      <w:bookmarkStart w:id="28" w:name="OLE_LINK190"/>
      <w:r>
        <w:rPr>
          <w:rFonts w:hint="eastAsia" w:ascii="宋体" w:hAnsi="宋体" w:eastAsia="宋体" w:cs="宋体"/>
          <w:sz w:val="24"/>
          <w:lang w:val="en-US" w:eastAsia="zh-CN"/>
        </w:rPr>
        <w:t xml:space="preserve">15358266233</w:t>
      </w:r>
      <w:bookmarkEnd w:id="27"/>
      <w:r/>
      <w:bookmarkEnd w:id="28"/>
      <w:r/>
      <w:r/>
    </w:p>
    <w:p>
      <w:pPr>
        <w:ind w:firstLine="480"/>
        <w:jc w:val="left"/>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3.项目联系方式</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 系 人：杨工</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联系电话：</w:t>
      </w:r>
      <w:bookmarkStart w:id="29" w:name="OLE_LINK32"/>
      <w:r>
        <w:rPr>
          <w:rFonts w:hint="eastAsia" w:ascii="宋体" w:hAnsi="宋体" w:eastAsia="宋体" w:cs="宋体"/>
          <w:sz w:val="24"/>
          <w:lang w:val="en-US" w:eastAsia="zh-CN"/>
        </w:rPr>
        <w:t xml:space="preserve">15358266233</w:t>
      </w:r>
      <w:r>
        <w:rPr>
          <w:rFonts w:hint="eastAsia" w:ascii="宋体" w:hAnsi="宋体" w:eastAsia="宋体" w:cs="宋体"/>
          <w:sz w:val="24"/>
        </w:rPr>
        <w:t xml:space="preserve">  </w:t>
      </w:r>
      <w:bookmarkEnd w:id="29"/>
      <w:r/>
      <w:r/>
    </w:p>
    <w:p>
      <w:pPr>
        <w:jc w:val="left"/>
        <w:spacing w:line="4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3"/>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9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numPr>
          <w:ilvl w:val="0"/>
          <w:numId w:val="0"/>
        </w:numPr>
        <w:ind w:left="2660" w:firstLine="0"/>
        <w:rPr>
          <w:rFonts w:hint="eastAsia" w:ascii="宋体" w:hAnsi="宋体" w:eastAsia="宋体" w:cs="宋体"/>
          <w:b/>
          <w:bCs/>
          <w:color w:val="auto"/>
          <w:sz w:val="44"/>
          <w:szCs w:val="44"/>
          <w:highlight w:val="none"/>
        </w:rPr>
      </w:pPr>
      <w:r/>
      <w:bookmarkStart w:id="30" w:name="_Toc120614213"/>
      <w:r/>
      <w:bookmarkStart w:id="31" w:name="_Toc513029202"/>
      <w:r/>
      <w:bookmarkStart w:id="32" w:name="_Toc16938518"/>
      <w:r/>
      <w:bookmarkStart w:id="33" w:name="_Toc2588"/>
      <w:r/>
      <w:bookmarkStart w:id="34" w:name="_Toc20823274"/>
      <w:r>
        <w:rPr>
          <w:rFonts w:hint="eastAsia" w:ascii="宋体" w:hAnsi="宋体" w:eastAsia="宋体" w:cs="宋体"/>
          <w:b/>
          <w:bCs/>
          <w:color w:val="auto"/>
          <w:sz w:val="44"/>
          <w:szCs w:val="44"/>
          <w:lang w:val="en-US" w:eastAsia="zh-CN" w:bidi="ar-SA"/>
        </w:rPr>
        <w:t xml:space="preserve">第二章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投标人须知</w:t>
      </w:r>
      <w:bookmarkEnd w:id="30"/>
      <w:r/>
      <w:bookmarkEnd w:id="31"/>
      <w:r/>
      <w:bookmarkEnd w:id="32"/>
      <w:r/>
      <w:bookmarkEnd w:id="33"/>
      <w:r/>
      <w:bookmarkEnd w:id="34"/>
      <w:r/>
      <w:r/>
    </w:p>
    <w:p>
      <w:pPr>
        <w:ind w:firstLine="482"/>
        <w:pageBreakBefore w:val="0"/>
        <w:spacing w:line="500" w:lineRule="exact"/>
        <w:widowControl w:val="off"/>
        <w:rPr>
          <w:rFonts w:hint="eastAsia" w:ascii="宋体" w:hAnsi="宋体" w:eastAsia="宋体" w:cs="宋体"/>
          <w:color w:val="auto"/>
          <w:sz w:val="24"/>
          <w:highlight w:val="none"/>
        </w:rPr>
      </w:pPr>
      <w:r/>
      <w:bookmarkStart w:id="35" w:name="_Toc120614214"/>
      <w:r/>
      <w:bookmarkStart w:id="36" w:name="_Toc16938519"/>
      <w:r/>
      <w:bookmarkStart w:id="37" w:name="_Toc20823275"/>
      <w:r/>
      <w:bookmarkStart w:id="38" w:name="_Toc513029203"/>
      <w:r>
        <w:rPr>
          <w:rFonts w:hint="eastAsia" w:ascii="宋体" w:hAnsi="宋体" w:eastAsia="宋体" w:cs="宋体"/>
          <w:b/>
          <w:color w:val="auto"/>
          <w:sz w:val="24"/>
          <w:highlight w:val="none"/>
        </w:rPr>
        <w:t xml:space="preserve">一、总则</w:t>
      </w:r>
      <w:bookmarkEnd w:id="35"/>
      <w:r/>
      <w:bookmarkEnd w:id="36"/>
      <w:r/>
      <w:bookmarkEnd w:id="37"/>
      <w:r/>
      <w:bookmarkEnd w:id="38"/>
      <w:r/>
      <w:r/>
    </w:p>
    <w:p>
      <w:pPr>
        <w:pStyle w:val="813"/>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bookmarkStart w:id="39" w:name="_Toc20823276"/>
      <w:r/>
      <w:bookmarkStart w:id="40" w:name="_Toc16938520"/>
      <w:r/>
      <w:bookmarkStart w:id="41" w:name="_Toc513029204"/>
      <w:r/>
      <w:bookmarkStart w:id="42" w:name="_Toc458694821"/>
      <w:r>
        <w:rPr>
          <w:rFonts w:hint="eastAsia" w:ascii="宋体" w:hAnsi="宋体" w:eastAsia="宋体" w:cs="宋体"/>
          <w:b/>
          <w:bCs/>
          <w:color w:val="auto"/>
          <w:sz w:val="24"/>
          <w:szCs w:val="24"/>
          <w:highlight w:val="none"/>
        </w:rPr>
        <w:t xml:space="preserve">1</w:t>
      </w:r>
      <w:bookmarkEnd w:id="39"/>
      <w:r>
        <w:rPr>
          <w:rFonts w:hint="eastAsia" w:ascii="宋体" w:hAnsi="宋体" w:eastAsia="宋体" w:cs="宋体"/>
          <w:b/>
          <w:bCs/>
          <w:color w:val="auto"/>
          <w:sz w:val="24"/>
          <w:szCs w:val="24"/>
          <w:highlight w:val="none"/>
        </w:rPr>
        <w:t xml:space="preserve">、招标方式</w:t>
      </w:r>
      <w:bookmarkEnd w:id="40"/>
      <w:r/>
      <w:bookmarkEnd w:id="41"/>
      <w:r/>
      <w:bookmarkEnd w:id="42"/>
      <w:r/>
      <w:r/>
    </w:p>
    <w:p>
      <w:pPr>
        <w:pStyle w:val="813"/>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13"/>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bookmarkStart w:id="43" w:name="_Toc513029205"/>
      <w:r/>
      <w:bookmarkStart w:id="44" w:name="_Toc20823277"/>
      <w:r/>
      <w:bookmarkStart w:id="45" w:name="_Toc16938521"/>
      <w:r>
        <w:rPr>
          <w:rFonts w:hint="eastAsia" w:ascii="宋体" w:hAnsi="宋体" w:eastAsia="宋体" w:cs="宋体"/>
          <w:b/>
          <w:bCs/>
          <w:color w:val="auto"/>
          <w:sz w:val="24"/>
          <w:szCs w:val="24"/>
          <w:highlight w:val="none"/>
        </w:rPr>
        <w:t xml:space="preserve">2、合格的投标人</w:t>
      </w:r>
      <w:bookmarkEnd w:id="43"/>
      <w:r/>
      <w:bookmarkEnd w:id="44"/>
      <w:r/>
      <w:bookmarkEnd w:id="45"/>
      <w:r/>
      <w:r/>
    </w:p>
    <w:p>
      <w:pPr>
        <w:pStyle w:val="813"/>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13"/>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13"/>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bookmarkStart w:id="46" w:name="_Toc513029206"/>
      <w:r/>
      <w:bookmarkStart w:id="47" w:name="_Toc20823278"/>
      <w:r/>
      <w:bookmarkStart w:id="48" w:name="_Toc16938522"/>
      <w:r>
        <w:rPr>
          <w:rFonts w:hint="eastAsia" w:ascii="宋体" w:hAnsi="宋体" w:eastAsia="宋体" w:cs="宋体"/>
          <w:b/>
          <w:bCs/>
          <w:color w:val="auto"/>
          <w:sz w:val="24"/>
          <w:szCs w:val="24"/>
          <w:highlight w:val="none"/>
        </w:rPr>
        <w:t xml:space="preserve">3、适用法律</w:t>
      </w:r>
      <w:bookmarkEnd w:id="46"/>
      <w:r/>
      <w:bookmarkEnd w:id="47"/>
      <w:r/>
      <w:bookmarkEnd w:id="48"/>
      <w:r/>
      <w:r/>
    </w:p>
    <w:p>
      <w:pPr>
        <w:pStyle w:val="813"/>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13"/>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49" w:name="_Toc513029207"/>
      <w:r/>
      <w:bookmarkStart w:id="50" w:name="_Toc16938523"/>
      <w:r/>
      <w:bookmarkStart w:id="51" w:name="_Toc20823279"/>
      <w:r/>
      <w:bookmarkStart w:id="52" w:name="_Toc462564067"/>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813"/>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4、投标费用</w:t>
      </w:r>
      <w:bookmarkEnd w:id="49"/>
      <w:r/>
      <w:bookmarkEnd w:id="50"/>
      <w:r/>
      <w:bookmarkEnd w:id="51"/>
      <w:r/>
      <w:bookmarkEnd w:id="52"/>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4.1投标人应自行承担所有与参加投标有关的费用，无论投标过程中的做法和结果如何，采购人和代理机构在任何情况下均无义务和责任承担这些费用。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4.2招标代理服务费（中标/成交服务费）：本项目的招标代理服务费由中标人承担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根据代理合同约定</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苏政采协[2024]20号文收费标准的</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0%收取代理服务费，由中标人向代理公司支付。</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投标时综合考虑招标代理服务费报价中，此项费用不得单列，凡漏项或少计均视为优惠采购人，不另行增加费用。中标后由中标人在领取中标（成交）通知书前直接向</w:t>
      </w:r>
      <w:r>
        <w:rPr>
          <w:rFonts w:hint="eastAsia" w:ascii="宋体" w:hAnsi="宋体" w:eastAsia="宋体" w:cs="宋体"/>
          <w:color w:val="auto"/>
          <w:sz w:val="24"/>
          <w:highlight w:val="none"/>
          <w:lang w:val="en-US" w:eastAsia="zh-CN"/>
        </w:rPr>
        <w:t xml:space="preserve">采购代理机构</w:t>
      </w:r>
      <w:r>
        <w:rPr>
          <w:rFonts w:hint="eastAsia" w:ascii="宋体" w:hAnsi="宋体" w:eastAsia="宋体" w:cs="宋体"/>
          <w:color w:val="auto"/>
          <w:sz w:val="24"/>
          <w:highlight w:val="none"/>
        </w:rPr>
        <w:t xml:space="preserve">一次性付清。</w:t>
      </w:r>
      <w:r/>
    </w:p>
    <w:p>
      <w:pPr>
        <w:pStyle w:val="813"/>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5、招标文件的约束力</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2"/>
        <w:pageBreakBefore w:val="0"/>
        <w:spacing w:line="500" w:lineRule="exact"/>
        <w:widowControl w:val="off"/>
        <w:rPr>
          <w:rFonts w:hint="eastAsia" w:ascii="宋体" w:hAnsi="宋体" w:eastAsia="宋体" w:cs="宋体"/>
          <w:color w:val="auto"/>
          <w:sz w:val="24"/>
          <w:highlight w:val="none"/>
        </w:rPr>
      </w:pPr>
      <w:r/>
      <w:bookmarkStart w:id="53" w:name="_Toc120614215"/>
      <w:r/>
      <w:bookmarkStart w:id="54" w:name="_Toc20823281"/>
      <w:r/>
      <w:bookmarkStart w:id="55" w:name="_Toc16938525"/>
      <w:r/>
      <w:bookmarkStart w:id="56" w:name="_Toc513029209"/>
      <w:r>
        <w:rPr>
          <w:rFonts w:hint="eastAsia" w:ascii="宋体" w:hAnsi="宋体" w:eastAsia="宋体" w:cs="宋体"/>
          <w:b/>
          <w:color w:val="auto"/>
          <w:sz w:val="24"/>
          <w:highlight w:val="none"/>
        </w:rPr>
        <w:t xml:space="preserve">二、招标文件</w:t>
      </w:r>
      <w:bookmarkEnd w:id="53"/>
      <w:r/>
      <w:bookmarkEnd w:id="54"/>
      <w:r/>
      <w:bookmarkEnd w:id="55"/>
      <w:r/>
      <w:bookmarkEnd w:id="56"/>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57" w:name="_Toc513029210"/>
      <w:r/>
      <w:bookmarkStart w:id="58" w:name="_Toc20823282"/>
      <w:r/>
      <w:bookmarkStart w:id="59" w:name="_Toc16938526"/>
      <w:r>
        <w:rPr>
          <w:rFonts w:hint="eastAsia" w:ascii="宋体" w:hAnsi="宋体" w:eastAsia="宋体" w:cs="宋体"/>
          <w:b/>
          <w:bCs/>
          <w:color w:val="auto"/>
          <w:sz w:val="24"/>
          <w:highlight w:val="none"/>
        </w:rPr>
        <w:t xml:space="preserve">6、招标文件构成</w:t>
      </w:r>
      <w:bookmarkEnd w:id="57"/>
      <w:r/>
      <w:bookmarkEnd w:id="58"/>
      <w:r/>
      <w:bookmarkEnd w:id="59"/>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6.1招标文件由以下部分组成：</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招标公告</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（3）合同</w:t>
      </w:r>
      <w:r>
        <w:rPr>
          <w:rFonts w:hint="eastAsia" w:ascii="宋体" w:hAnsi="宋体" w:eastAsia="宋体" w:cs="宋体"/>
          <w:color w:val="auto"/>
          <w:sz w:val="24"/>
          <w:highlight w:val="none"/>
          <w:lang w:val="en-US" w:eastAsia="zh-CN"/>
        </w:rPr>
        <w:t xml:space="preserve">条款</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（4）项目需求</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（5）评标方法与评标标准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请仔细检查招标文件是否齐全，如有缺漏请立即与招标代理机构联系解决。</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60" w:name="_Toc513029211"/>
      <w:r/>
      <w:bookmarkStart w:id="61" w:name="_Toc16938527"/>
      <w:r/>
      <w:bookmarkStart w:id="62" w:name="_Toc462564070"/>
      <w:r/>
      <w:bookmarkStart w:id="63" w:name="_Toc20823283"/>
      <w:r>
        <w:rPr>
          <w:rFonts w:hint="eastAsia" w:ascii="宋体" w:hAnsi="宋体" w:eastAsia="宋体" w:cs="宋体"/>
          <w:b/>
          <w:bCs/>
          <w:color w:val="auto"/>
          <w:sz w:val="24"/>
          <w:highlight w:val="none"/>
        </w:rPr>
        <w:t xml:space="preserve">7、招标文件的澄清</w:t>
      </w:r>
      <w:bookmarkEnd w:id="60"/>
      <w:r/>
      <w:bookmarkEnd w:id="61"/>
      <w:r/>
      <w:bookmarkEnd w:id="62"/>
      <w:r/>
      <w:bookmarkEnd w:id="63"/>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auto"/>
          <w:sz w:val="24"/>
          <w:highlight w:val="none"/>
          <w:lang w:eastAsia="zh-CN"/>
        </w:rPr>
        <w:t xml:space="preserve">招标代理机构</w:t>
      </w:r>
      <w:r>
        <w:rPr>
          <w:rFonts w:hint="eastAsia" w:ascii="宋体" w:hAnsi="宋体" w:eastAsia="宋体" w:cs="宋体"/>
          <w:color w:val="auto"/>
          <w:sz w:val="24"/>
          <w:highlight w:val="none"/>
        </w:rPr>
        <w:t xml:space="preserve">。</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64" w:name="_Toc462564071"/>
      <w:r/>
      <w:bookmarkStart w:id="65" w:name="_Toc16938528"/>
      <w:r/>
      <w:bookmarkStart w:id="66" w:name="_Toc513029212"/>
      <w:r/>
      <w:bookmarkStart w:id="67" w:name="_Toc20823284"/>
      <w:r>
        <w:rPr>
          <w:rFonts w:hint="eastAsia" w:ascii="宋体" w:hAnsi="宋体" w:eastAsia="宋体" w:cs="宋体"/>
          <w:b/>
          <w:bCs/>
          <w:color w:val="auto"/>
          <w:sz w:val="24"/>
          <w:highlight w:val="none"/>
        </w:rPr>
        <w:t xml:space="preserve">8、招标文件的修改</w:t>
      </w:r>
      <w:bookmarkEnd w:id="64"/>
      <w:r/>
      <w:bookmarkEnd w:id="65"/>
      <w:r/>
      <w:bookmarkEnd w:id="66"/>
      <w:r/>
      <w:bookmarkEnd w:id="67"/>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8.1在投标截止时间前，招标代理机构可以对招标文件进行修改。</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8.2招标代理机构有权按照法定的要求推迟投标截止日期和开标日期。</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w:t>
      </w:r>
      <w:r>
        <w:rPr>
          <w:rFonts w:hint="eastAsia" w:ascii="宋体" w:hAnsi="宋体" w:eastAsia="宋体" w:cs="宋体"/>
          <w:color w:val="auto"/>
          <w:sz w:val="24"/>
          <w:highlight w:val="none"/>
          <w:lang w:val="en-US" w:eastAsia="zh-CN"/>
        </w:rPr>
        <w:t xml:space="preserve">中国政府采购网、</w:t>
      </w:r>
      <w:r>
        <w:rPr>
          <w:rFonts w:hint="eastAsia" w:ascii="宋体" w:hAnsi="宋体" w:eastAsia="宋体" w:cs="宋体"/>
          <w:color w:val="auto"/>
          <w:sz w:val="24"/>
          <w:highlight w:val="none"/>
        </w:rPr>
        <w:t xml:space="preserve">江苏政府采购网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盐城市政府采购网</w:t>
      </w:r>
      <w:r>
        <w:rPr>
          <w:rFonts w:hint="eastAsia" w:ascii="宋体" w:hAnsi="宋体" w:eastAsia="宋体" w:cs="宋体"/>
          <w:color w:val="auto"/>
          <w:sz w:val="24"/>
          <w:highlight w:val="none"/>
        </w:rPr>
        <w:t xml:space="preserve">公布，补充文件将作为招标文件的组成部分，并对投标人具有约束力。</w:t>
      </w:r>
      <w:r/>
    </w:p>
    <w:p>
      <w:pPr>
        <w:ind w:firstLine="482"/>
        <w:pageBreakBefore w:val="0"/>
        <w:spacing w:line="500" w:lineRule="exact"/>
        <w:widowControl w:val="off"/>
        <w:rPr>
          <w:rFonts w:hint="eastAsia" w:ascii="宋体" w:hAnsi="宋体" w:eastAsia="宋体" w:cs="宋体"/>
          <w:b/>
          <w:color w:val="auto"/>
          <w:sz w:val="24"/>
          <w:highlight w:val="none"/>
        </w:rPr>
      </w:pPr>
      <w:r/>
      <w:bookmarkStart w:id="68" w:name="_Toc462564072"/>
      <w:r/>
      <w:bookmarkStart w:id="69" w:name="_Toc20823285"/>
      <w:r/>
      <w:bookmarkStart w:id="70" w:name="_Toc513029213"/>
      <w:r/>
      <w:bookmarkStart w:id="71" w:name="_Toc120614216"/>
      <w:r/>
      <w:bookmarkStart w:id="72" w:name="_Toc16938529"/>
      <w:r>
        <w:rPr>
          <w:rFonts w:hint="eastAsia" w:ascii="宋体" w:hAnsi="宋体" w:eastAsia="宋体" w:cs="宋体"/>
          <w:b/>
          <w:color w:val="auto"/>
          <w:sz w:val="24"/>
          <w:highlight w:val="none"/>
        </w:rPr>
        <w:t xml:space="preserve">三、投标文件的编制</w:t>
      </w:r>
      <w:bookmarkEnd w:id="68"/>
      <w:r/>
      <w:bookmarkEnd w:id="69"/>
      <w:r/>
      <w:bookmarkEnd w:id="70"/>
      <w:r/>
      <w:bookmarkEnd w:id="71"/>
      <w:r/>
      <w:bookmarkEnd w:id="72"/>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73" w:name="_Toc462564073"/>
      <w:r/>
      <w:bookmarkStart w:id="74" w:name="_Toc513029214"/>
      <w:r/>
      <w:bookmarkStart w:id="75" w:name="_Toc20823286"/>
      <w:r/>
      <w:bookmarkStart w:id="76" w:name="_Toc16938530"/>
      <w:r>
        <w:rPr>
          <w:rFonts w:hint="eastAsia" w:ascii="宋体" w:hAnsi="宋体" w:eastAsia="宋体" w:cs="宋体"/>
          <w:b/>
          <w:bCs/>
          <w:color w:val="auto"/>
          <w:sz w:val="24"/>
          <w:highlight w:val="none"/>
        </w:rPr>
        <w:t xml:space="preserve">9、投标文件的语言及度量衡单位</w:t>
      </w:r>
      <w:bookmarkEnd w:id="73"/>
      <w:r/>
      <w:bookmarkEnd w:id="74"/>
      <w:r/>
      <w:bookmarkEnd w:id="75"/>
      <w:r/>
      <w:bookmarkEnd w:id="76"/>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9.1投标人提交的投标文件以及投标人与采购代理机构就有关投标的所有来往通知、函件和文件均应使用简体中文。</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9.2除技术性能另有规定外，投标文件所使用的度量衡单位，均须采用国家法定计量单位。</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77" w:name="_Toc16938531"/>
      <w:r/>
      <w:bookmarkStart w:id="78" w:name="_Toc462564074"/>
      <w:r/>
      <w:bookmarkStart w:id="79" w:name="_Toc513029215"/>
      <w:r/>
      <w:bookmarkStart w:id="80" w:name="_Toc20823287"/>
      <w:r>
        <w:rPr>
          <w:rFonts w:hint="eastAsia" w:ascii="宋体" w:hAnsi="宋体" w:eastAsia="宋体" w:cs="宋体"/>
          <w:b/>
          <w:bCs/>
          <w:color w:val="auto"/>
          <w:sz w:val="24"/>
          <w:highlight w:val="none"/>
        </w:rPr>
        <w:t xml:space="preserve">10、投标文件构成</w:t>
      </w:r>
      <w:bookmarkEnd w:id="77"/>
      <w:r/>
      <w:bookmarkEnd w:id="78"/>
      <w:r/>
      <w:bookmarkEnd w:id="79"/>
      <w:r/>
      <w:bookmarkEnd w:id="80"/>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81" w:name="_Toc513029219"/>
      <w:r/>
      <w:bookmarkStart w:id="82" w:name="_Toc513029216"/>
      <w:r/>
      <w:bookmarkStart w:id="83" w:name="_Toc49090507"/>
      <w:r/>
      <w:bookmarkStart w:id="84" w:name="_Toc14577354"/>
      <w:r/>
      <w:bookmarkStart w:id="85" w:name="_Toc14577357"/>
      <w:r/>
      <w:bookmarkStart w:id="86" w:name="_Toc49090509"/>
      <w:r>
        <w:rPr>
          <w:rFonts w:hint="eastAsia" w:ascii="宋体" w:hAnsi="宋体" w:eastAsia="宋体" w:cs="宋体"/>
          <w:b/>
          <w:bCs/>
          <w:color w:val="auto"/>
          <w:sz w:val="24"/>
          <w:highlight w:val="none"/>
        </w:rPr>
        <w:t xml:space="preserve">11、证明投标人及投标标的符合招标文件规定的文件</w:t>
      </w:r>
      <w:bookmarkEnd w:id="81"/>
      <w:r/>
      <w:bookmarkEnd w:id="82"/>
      <w:r/>
      <w:bookmarkEnd w:id="83"/>
      <w:r/>
      <w:bookmarkEnd w:id="84"/>
      <w:r/>
      <w:bookmarkEnd w:id="85"/>
      <w:r/>
      <w:bookmarkEnd w:id="86"/>
      <w:r/>
      <w:r/>
    </w:p>
    <w:p>
      <w:pPr>
        <w:ind w:firstLine="480"/>
        <w:pageBreakBefore w:val="0"/>
        <w:spacing w:line="500" w:lineRule="exact"/>
        <w:widowControl w:val="off"/>
        <w:rPr>
          <w:rFonts w:hint="eastAsia" w:ascii="宋体" w:hAnsi="宋体" w:eastAsia="宋体" w:cs="宋体"/>
          <w:color w:val="auto"/>
          <w:sz w:val="24"/>
          <w:highlight w:val="none"/>
        </w:rPr>
      </w:pPr>
      <w:r/>
      <w:bookmarkStart w:id="87" w:name="_Toc14577355"/>
      <w:r/>
      <w:bookmarkStart w:id="88" w:name="_Toc49090508"/>
      <w:r>
        <w:rPr>
          <w:rFonts w:hint="eastAsia" w:ascii="宋体" w:hAnsi="宋体" w:eastAsia="宋体" w:cs="宋体"/>
          <w:color w:val="auto"/>
          <w:sz w:val="24"/>
          <w:highlight w:val="none"/>
        </w:rPr>
        <w:t xml:space="preserve">11.1投标人应按照法律、法规、规章和规范性文件以及招标文件要求提交证明文件，证明其及投标标的符合招标文件规定。</w:t>
      </w:r>
      <w:bookmarkEnd w:id="87"/>
      <w:r/>
      <w:bookmarkEnd w:id="88"/>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12、投标分项报价表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12.1投标人应按照招标文件规定格式填报投标分项报价表。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13、技术要求响应及偏离表、商务要求响应及偏离表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13.1投标人需对招标文件中的技术要求与商务要求逐项作出响应或偏离，并说明原因。</w:t>
      </w:r>
      <w:r/>
    </w:p>
    <w:p>
      <w:pPr>
        <w:ind w:firstLine="480"/>
        <w:pageBreakBefore w:val="0"/>
        <w:spacing w:line="500" w:lineRule="exact"/>
        <w:widowControl w:val="off"/>
        <w:tabs>
          <w:tab w:val="left" w:pos="103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13.2投标人可在投标文件中提供认为需要的其他技术文件或说明。</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89" w:name="_Toc14577359"/>
      <w:r/>
      <w:bookmarkStart w:id="90" w:name="_Toc49090510"/>
      <w:r>
        <w:rPr>
          <w:rFonts w:hint="eastAsia" w:ascii="宋体" w:hAnsi="宋体" w:eastAsia="宋体" w:cs="宋体"/>
          <w:b/>
          <w:bCs/>
          <w:color w:val="auto"/>
          <w:sz w:val="24"/>
          <w:highlight w:val="none"/>
        </w:rPr>
        <w:t xml:space="preserve">14、投标函和开标一览表</w:t>
      </w:r>
      <w:bookmarkEnd w:id="89"/>
      <w:r/>
      <w:bookmarkEnd w:id="90"/>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14.1投标人应按照招标文件中提供的格式完整、正确填写投标函、开标一览表。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 xml:space="preserve">。</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91" w:name="_Toc14577360"/>
      <w:r/>
      <w:bookmarkStart w:id="92" w:name="_Toc49090511"/>
      <w:r>
        <w:rPr>
          <w:rFonts w:hint="eastAsia" w:ascii="宋体" w:hAnsi="宋体" w:eastAsia="宋体" w:cs="宋体"/>
          <w:b/>
          <w:bCs/>
          <w:color w:val="auto"/>
          <w:sz w:val="24"/>
          <w:highlight w:val="none"/>
        </w:rPr>
        <w:t xml:space="preserve">15、投标有效期</w:t>
      </w:r>
      <w:bookmarkEnd w:id="91"/>
      <w:r/>
      <w:bookmarkEnd w:id="92"/>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15.1投标有效期为采购代理机构规定的开标之日后</w:t>
      </w:r>
      <w:r>
        <w:rPr>
          <w:rFonts w:hint="eastAsia" w:ascii="宋体" w:hAnsi="宋体" w:eastAsia="宋体" w:cs="宋体"/>
          <w:b/>
          <w:color w:val="auto"/>
          <w:sz w:val="24"/>
          <w:highlight w:val="none"/>
          <w:u w:val="single"/>
        </w:rPr>
        <w:t xml:space="preserve">九十（90）天</w:t>
      </w:r>
      <w:r>
        <w:rPr>
          <w:rFonts w:hint="eastAsia" w:ascii="宋体" w:hAnsi="宋体" w:eastAsia="宋体" w:cs="宋体"/>
          <w:color w:val="auto"/>
          <w:sz w:val="24"/>
          <w:highlight w:val="none"/>
        </w:rPr>
        <w:t xml:space="preserve">。投标有效期比规定短的将被视为未实质性响应招标文件而予以拒绝。</w:t>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16、投标有效期的延长</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2"/>
        <w:pageBreakBefore w:val="0"/>
        <w:spacing w:line="500" w:lineRule="exact"/>
        <w:widowControl w:val="off"/>
        <w:rPr>
          <w:rFonts w:hint="eastAsia" w:ascii="宋体" w:hAnsi="宋体" w:eastAsia="宋体" w:cs="宋体"/>
          <w:color w:val="auto"/>
          <w:sz w:val="24"/>
          <w:highlight w:val="none"/>
        </w:rPr>
      </w:pPr>
      <w:r/>
      <w:bookmarkStart w:id="93" w:name="_Toc16938540"/>
      <w:r/>
      <w:bookmarkStart w:id="94" w:name="_Toc20823296"/>
      <w:r/>
      <w:bookmarkStart w:id="95" w:name="_Toc120614217"/>
      <w:r/>
      <w:bookmarkStart w:id="96" w:name="_Toc513029224"/>
      <w:r>
        <w:rPr>
          <w:rFonts w:hint="eastAsia" w:ascii="宋体" w:hAnsi="宋体" w:eastAsia="宋体" w:cs="宋体"/>
          <w:b/>
          <w:color w:val="auto"/>
          <w:sz w:val="24"/>
          <w:highlight w:val="none"/>
        </w:rPr>
        <w:t xml:space="preserve">四、投标文件的递交</w:t>
      </w:r>
      <w:bookmarkEnd w:id="93"/>
      <w:r/>
      <w:bookmarkEnd w:id="94"/>
      <w:r/>
      <w:bookmarkEnd w:id="95"/>
      <w:r/>
      <w:bookmarkEnd w:id="96"/>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97" w:name="_Toc16938541"/>
      <w:r/>
      <w:bookmarkStart w:id="98" w:name="_Toc513029225"/>
      <w:r/>
      <w:bookmarkStart w:id="99" w:name="_Toc20823297"/>
      <w:r/>
      <w:bookmarkStart w:id="100" w:name="_Toc462564084"/>
      <w:r>
        <w:rPr>
          <w:rFonts w:hint="eastAsia" w:ascii="宋体" w:hAnsi="宋体" w:eastAsia="宋体" w:cs="宋体"/>
          <w:b/>
          <w:bCs/>
          <w:color w:val="auto"/>
          <w:sz w:val="24"/>
          <w:highlight w:val="none"/>
        </w:rPr>
        <w:t xml:space="preserve">17、投标文件</w:t>
      </w:r>
      <w:bookmarkEnd w:id="97"/>
      <w:r/>
      <w:bookmarkEnd w:id="98"/>
      <w:r/>
      <w:bookmarkEnd w:id="99"/>
      <w:r/>
      <w:bookmarkEnd w:id="100"/>
      <w:r>
        <w:rPr>
          <w:rFonts w:hint="eastAsia" w:ascii="宋体" w:hAnsi="宋体" w:eastAsia="宋体" w:cs="宋体"/>
          <w:b/>
          <w:bCs/>
          <w:color w:val="auto"/>
          <w:sz w:val="24"/>
          <w:highlight w:val="none"/>
        </w:rPr>
        <w:t xml:space="preserve">的递交</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17.1电子投标文件的递交</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投标人应当按照《操作手册》规定，在投标截止时间前制作并上传电子投标文件。</w:t>
      </w:r>
      <w:bookmarkStart w:id="101" w:name="_Toc20823298"/>
      <w:r/>
      <w:bookmarkEnd w:id="101"/>
      <w:r/>
      <w:bookmarkStart w:id="102" w:name="_Toc16938542"/>
      <w:r/>
      <w:bookmarkEnd w:id="102"/>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18、投标截止时间</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color w:val="auto"/>
          <w:sz w:val="24"/>
          <w:highlight w:val="none"/>
          <w:u w:val="single"/>
        </w:rPr>
        <w:t xml:space="preserve">18.1投标人上传电子投标文件的时间不得迟于招标公告中规定的投标截止时间。</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03" w:name="_Toc16938543"/>
      <w:r/>
      <w:bookmarkStart w:id="104" w:name="_Toc20823299"/>
      <w:r/>
      <w:bookmarkStart w:id="105" w:name="_Toc513029227"/>
      <w:r>
        <w:rPr>
          <w:rFonts w:hint="eastAsia" w:ascii="宋体" w:hAnsi="宋体" w:eastAsia="宋体" w:cs="宋体"/>
          <w:b/>
          <w:bCs/>
          <w:color w:val="auto"/>
          <w:sz w:val="24"/>
          <w:highlight w:val="none"/>
        </w:rPr>
        <w:t xml:space="preserve">19、投标文件</w:t>
      </w:r>
      <w:bookmarkEnd w:id="103"/>
      <w:r/>
      <w:bookmarkEnd w:id="104"/>
      <w:r/>
      <w:bookmarkEnd w:id="105"/>
      <w:r>
        <w:rPr>
          <w:rFonts w:hint="eastAsia" w:ascii="宋体" w:hAnsi="宋体" w:eastAsia="宋体" w:cs="宋体"/>
          <w:b/>
          <w:bCs/>
          <w:color w:val="auto"/>
          <w:sz w:val="24"/>
          <w:highlight w:val="none"/>
        </w:rPr>
        <w:t xml:space="preserve">的拒收</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拒绝接收在其规定的投标截止时间后上传的任何投标文件。</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06" w:name="_Toc16938544"/>
      <w:r/>
      <w:bookmarkStart w:id="107" w:name="_Toc20823300"/>
      <w:r/>
      <w:bookmarkStart w:id="108" w:name="_Toc513029228"/>
      <w:r>
        <w:rPr>
          <w:rFonts w:hint="eastAsia" w:ascii="宋体" w:hAnsi="宋体" w:eastAsia="宋体" w:cs="宋体"/>
          <w:b/>
          <w:bCs/>
          <w:color w:val="auto"/>
          <w:sz w:val="24"/>
          <w:highlight w:val="none"/>
        </w:rPr>
        <w:t xml:space="preserve">20、投标文件的撤回和修改</w:t>
      </w:r>
      <w:bookmarkEnd w:id="106"/>
      <w:r/>
      <w:bookmarkEnd w:id="107"/>
      <w:r/>
      <w:bookmarkEnd w:id="108"/>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20.1.2投标人撤回电子投标文件，则认为其不再参与本项目投标活动。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20.2投标文件的修改</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20.2.2在投标截止时间之后，投标人不得对其电子投标文件作任何修改。</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20.3在投标截止时间至招标文件中规定的投标有效期满之间的这段时间内，投标人不得撤回其投标。</w:t>
      </w:r>
      <w:r/>
    </w:p>
    <w:p>
      <w:pPr>
        <w:ind w:firstLine="482"/>
        <w:pageBreakBefore w:val="0"/>
        <w:spacing w:line="500" w:lineRule="exact"/>
        <w:widowControl w:val="off"/>
        <w:rPr>
          <w:rFonts w:hint="eastAsia" w:ascii="宋体" w:hAnsi="宋体" w:eastAsia="宋体" w:cs="宋体"/>
          <w:color w:val="auto"/>
          <w:sz w:val="24"/>
          <w:highlight w:val="none"/>
        </w:rPr>
      </w:pPr>
      <w:r/>
      <w:bookmarkStart w:id="109" w:name="_Toc513029229"/>
      <w:r/>
      <w:bookmarkStart w:id="110" w:name="_Toc16938545"/>
      <w:r/>
      <w:bookmarkStart w:id="111" w:name="_Toc20823301"/>
      <w:r/>
      <w:bookmarkStart w:id="112" w:name="_Toc120614218"/>
      <w:r>
        <w:rPr>
          <w:rFonts w:hint="eastAsia" w:ascii="宋体" w:hAnsi="宋体" w:eastAsia="宋体" w:cs="宋体"/>
          <w:b/>
          <w:color w:val="auto"/>
          <w:sz w:val="24"/>
          <w:highlight w:val="none"/>
        </w:rPr>
        <w:t xml:space="preserve">五、开标与评标</w:t>
      </w:r>
      <w:bookmarkEnd w:id="109"/>
      <w:r/>
      <w:bookmarkEnd w:id="110"/>
      <w:r/>
      <w:bookmarkEnd w:id="111"/>
      <w:r/>
      <w:bookmarkEnd w:id="112"/>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13" w:name="_Toc513029230"/>
      <w:r/>
      <w:bookmarkStart w:id="114" w:name="_Toc16938546"/>
      <w:r/>
      <w:bookmarkStart w:id="115" w:name="_Toc20823302"/>
      <w:r>
        <w:rPr>
          <w:rFonts w:hint="eastAsia" w:ascii="宋体" w:hAnsi="宋体" w:eastAsia="宋体" w:cs="宋体"/>
          <w:b/>
          <w:bCs/>
          <w:color w:val="auto"/>
          <w:sz w:val="24"/>
          <w:highlight w:val="none"/>
        </w:rPr>
        <w:t xml:space="preserve">21、开标</w:t>
      </w:r>
      <w:bookmarkEnd w:id="113"/>
      <w:r/>
      <w:bookmarkEnd w:id="114"/>
      <w:r/>
      <w:bookmarkEnd w:id="115"/>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21.1采购代理机构将在招标公告中规定的时间和地点组织公开开标。投标人应当按照《操作手册》规定，参加开标活动和在苏采云系统规定的时间内对投标文件进行解密。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组织。苏采云系统将自动对项目进行开标，并宣布各投标人名称和投标价格。</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21.3投标人在开标过程中涉及到的投标文件解密、开标结果确认等工作，应按照《操作手册》规定执行。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16" w:name="_Toc16938547"/>
      <w:r/>
      <w:bookmarkStart w:id="117" w:name="_Toc20823303"/>
      <w:r/>
      <w:bookmarkStart w:id="118" w:name="_Toc513029231"/>
      <w:r>
        <w:rPr>
          <w:rFonts w:hint="eastAsia" w:ascii="宋体" w:hAnsi="宋体" w:eastAsia="宋体" w:cs="宋体"/>
          <w:b/>
          <w:bCs/>
          <w:color w:val="auto"/>
          <w:sz w:val="24"/>
          <w:highlight w:val="none"/>
        </w:rPr>
        <w:t xml:space="preserve">22、评标委员会</w:t>
      </w:r>
      <w:bookmarkEnd w:id="116"/>
      <w:r/>
      <w:bookmarkEnd w:id="117"/>
      <w:r/>
      <w:bookmarkEnd w:id="118"/>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22.1开标后，采购代理机构将立即组织评标委员会（以下简称</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）进行评标。</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由采购人代表和有关技术、经济等方面的专家组成，且人员构成符合政府采购有关规定。</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独立工作，负责评审所有投标文件并确定中标</w:t>
      </w:r>
      <w:r>
        <w:rPr>
          <w:rFonts w:hint="eastAsia" w:ascii="宋体" w:hAnsi="宋体" w:eastAsia="宋体" w:cs="宋体"/>
          <w:color w:val="auto"/>
          <w:sz w:val="24"/>
          <w:szCs w:val="24"/>
          <w:highlight w:val="none"/>
        </w:rPr>
        <w:t xml:space="preserve">候</w:t>
      </w:r>
      <w:r>
        <w:rPr>
          <w:rFonts w:hint="eastAsia" w:ascii="宋体" w:hAnsi="宋体" w:eastAsia="宋体" w:cs="宋体"/>
          <w:color w:val="auto"/>
          <w:sz w:val="24"/>
          <w:highlight w:val="none"/>
        </w:rPr>
        <w:t xml:space="preserve">选人。</w:t>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23、评标过程的保密与公正</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23.2在评标过程中，投标人不得以任何行为影响评标过程，否则其投标文件将被作为无效投标文件。</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23.3采购代理机构和</w:t>
      </w:r>
      <w:r>
        <w:rPr>
          <w:rFonts w:hint="eastAsia" w:ascii="宋体" w:hAnsi="宋体" w:eastAsia="宋体" w:cs="宋体"/>
          <w:color w:val="auto"/>
          <w:sz w:val="24"/>
          <w:szCs w:val="24"/>
          <w:highlight w:val="none"/>
        </w:rPr>
        <w:t xml:space="preserve">评标委员会</w:t>
      </w:r>
      <w:r>
        <w:rPr>
          <w:rFonts w:hint="eastAsia" w:ascii="宋体" w:hAnsi="宋体" w:eastAsia="宋体" w:cs="宋体"/>
          <w:color w:val="auto"/>
          <w:sz w:val="24"/>
          <w:highlight w:val="none"/>
        </w:rPr>
        <w:t xml:space="preserve">不向未中标的投标人解释未中标原因，也不公布评标过程中的相关细节。</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19" w:name="_Toc16938548"/>
      <w:r/>
      <w:bookmarkStart w:id="120" w:name="_Toc20823304"/>
      <w:r/>
      <w:bookmarkStart w:id="121" w:name="_Toc513029232"/>
      <w:r>
        <w:rPr>
          <w:rFonts w:hint="eastAsia" w:ascii="宋体" w:hAnsi="宋体" w:eastAsia="宋体" w:cs="宋体"/>
          <w:b/>
          <w:bCs/>
          <w:color w:val="auto"/>
          <w:sz w:val="24"/>
          <w:highlight w:val="none"/>
        </w:rPr>
        <w:t xml:space="preserve">24、投标文件的澄清</w:t>
      </w:r>
      <w:bookmarkEnd w:id="119"/>
      <w:r/>
      <w:bookmarkEnd w:id="120"/>
      <w:r/>
      <w:bookmarkEnd w:id="121"/>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24.1评标期间，</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对投标文件中含义不明确、同类问题表述不一致或者有明显文字和计算错误的内容，有权要求投标人作出必要的澄清、说明或者补正。</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24.2需要投标人进行澄清、说明和补正的，</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24.3接到</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澄清、说明和补正要求的投标人如未按规定作出澄清、说明和补正，其风险由投标人自行承担。</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22" w:name="_Toc16938549"/>
      <w:r/>
      <w:bookmarkStart w:id="123" w:name="_Toc513029233"/>
      <w:r/>
      <w:bookmarkStart w:id="124" w:name="_Toc20823305"/>
      <w:r>
        <w:rPr>
          <w:rFonts w:hint="eastAsia" w:ascii="宋体" w:hAnsi="宋体" w:eastAsia="宋体" w:cs="宋体"/>
          <w:b/>
          <w:bCs/>
          <w:color w:val="auto"/>
          <w:sz w:val="24"/>
          <w:highlight w:val="none"/>
        </w:rPr>
        <w:t xml:space="preserve">25、对投标文件的初审</w:t>
      </w:r>
      <w:bookmarkEnd w:id="122"/>
      <w:r/>
      <w:bookmarkEnd w:id="123"/>
      <w:r/>
      <w:bookmarkEnd w:id="124"/>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25.1投标文件初审分为资格审查和符合性审查。</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25.1.1资格审查：依据法律法规和招标文件的规定，由采购人对投标文件中的资格证明文件进行审查。资格审查的结论，采购人以书面形式向</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进行反馈。</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eastAsia="宋体" w:cs="宋体"/>
          <w:color w:val="auto"/>
          <w:sz w:val="24"/>
          <w:highlight w:val="none"/>
          <w:lang w:val="en-US" w:eastAsia="zh-CN"/>
        </w:rPr>
        <w:t xml:space="preserve">信用</w:t>
      </w:r>
      <w:r>
        <w:rPr>
          <w:rFonts w:hint="eastAsia" w:ascii="宋体" w:hAnsi="宋体" w:eastAsia="宋体" w:cs="宋体"/>
          <w:color w:val="auto"/>
          <w:sz w:val="24"/>
          <w:highlight w:val="none"/>
        </w:rPr>
        <w:t xml:space="preserve">记录。</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25.1.2符合性审查：依据招标文件的规定，由</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从投标文件的有效性、完整性和对招标文件的响应程度进行审查，以确定是否对招标文件的实质性要求作出响应。</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以少数服从多数的原则作出结论。评委</w:t>
      </w:r>
      <w:r>
        <w:rPr>
          <w:rFonts w:hint="eastAsia" w:ascii="宋体" w:hAnsi="宋体" w:eastAsia="宋体" w:cs="宋体"/>
          <w:color w:val="auto"/>
          <w:sz w:val="24"/>
          <w:highlight w:val="none"/>
          <w:lang w:val="en-US" w:eastAsia="zh-CN"/>
        </w:rPr>
        <w:t xml:space="preserve">会</w:t>
      </w:r>
      <w:r>
        <w:rPr>
          <w:rFonts w:hint="eastAsia" w:ascii="宋体" w:hAnsi="宋体" w:eastAsia="宋体" w:cs="宋体"/>
          <w:color w:val="auto"/>
          <w:sz w:val="24"/>
          <w:highlight w:val="none"/>
        </w:rPr>
        <w:t xml:space="preserve">决定投标文件的响应性只根据投标文件本身的内容，而不寻求外部的证据。</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将予以拒绝，投标人不得通过修改或撤销不符合要求的偏离或保留而使其投标成为实质性响应的投标。</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将对确定为实质性响应的投标进行进一步审核，确定其是否有计算上或累加上的算术错误，修正错误的原则如下：</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80"/>
        <w:pageBreakBefore w:val="0"/>
        <w:spacing w:line="500" w:lineRule="exact"/>
        <w:widowControl w:val="off"/>
        <w:rPr>
          <w:rFonts w:hint="eastAsia" w:ascii="宋体" w:hAnsi="宋体" w:eastAsia="宋体" w:cs="宋体"/>
          <w:color w:val="auto"/>
          <w:sz w:val="24"/>
          <w:highlight w:val="none"/>
        </w:rPr>
      </w:pPr>
      <w:r/>
      <w:bookmarkStart w:id="125" w:name="_Toc513029234"/>
      <w:r/>
      <w:bookmarkStart w:id="126" w:name="_Toc16938550"/>
      <w:r/>
      <w:bookmarkStart w:id="127" w:name="_Toc20823306"/>
      <w:r>
        <w:rPr>
          <w:rFonts w:hint="eastAsia" w:ascii="宋体" w:hAnsi="宋体" w:eastAsia="宋体" w:cs="宋体"/>
          <w:color w:val="auto"/>
          <w:sz w:val="24"/>
          <w:highlight w:val="none"/>
        </w:rPr>
        <w:t xml:space="preserve">25.6投标人在开、评标全过程中应保持通信畅通，及时登录苏采云系统查阅、答复相关信息，并安排专人与采购代理机构及</w:t>
      </w:r>
      <w:r>
        <w:rPr>
          <w:rFonts w:hint="eastAsia" w:ascii="宋体" w:hAnsi="宋体" w:eastAsia="宋体" w:cs="宋体"/>
          <w:color w:val="auto"/>
          <w:sz w:val="24"/>
          <w:szCs w:val="24"/>
          <w:highlight w:val="none"/>
        </w:rPr>
        <w:t xml:space="preserve">评标委员会</w:t>
      </w:r>
      <w:r>
        <w:rPr>
          <w:rFonts w:hint="eastAsia" w:ascii="宋体" w:hAnsi="宋体" w:eastAsia="宋体" w:cs="宋体"/>
          <w:color w:val="auto"/>
          <w:sz w:val="24"/>
          <w:highlight w:val="none"/>
        </w:rPr>
        <w:t xml:space="preserve">联系。</w:t>
      </w:r>
      <w:bookmarkEnd w:id="125"/>
      <w:r/>
      <w:bookmarkEnd w:id="126"/>
      <w:r/>
      <w:bookmarkEnd w:id="127"/>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26、无效投标条款和废标条款</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26.1无效投标条款</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26.1.1投标人在苏采云系统规定的时间内未成功解密电子投标文件的。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26.1.2投标人未按照招标文件要求上传电子投标文件的。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26.1.3同一投标人提交两个（含两个）以上不同的投标报价的。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26.1.4投标人不具备招标文件中规定资格要求的。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26.1.5投标人的报价超过了采购预算或最高限价的。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26.1.6未通过符合性审查的。</w:t>
      </w:r>
      <w:r/>
    </w:p>
    <w:p>
      <w:pPr>
        <w:ind w:firstLine="480"/>
        <w:pageBreakBefore w:val="0"/>
        <w:spacing w:line="50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26.1.7不符合招标文件中规定的实质性要求和条件的</w:t>
      </w:r>
      <w:r>
        <w:rPr>
          <w:rFonts w:hint="eastAsia" w:ascii="宋体" w:hAnsi="宋体" w:eastAsia="宋体" w:cs="宋体"/>
          <w:i/>
          <w:iCs/>
          <w:color w:val="auto"/>
          <w:sz w:val="24"/>
          <w:highlight w:val="none"/>
          <w:u w:val="single"/>
        </w:rPr>
        <w:t xml:space="preserve">（本招标文件中斜体且有下划线部分为实质性要求和条件）。</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26.1.9投标文件含有采购人不能接受的附加条件的。</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26.1.10投标人不能证明其报价合理性的，评标委员会应当将其作为无效投标处理。</w:t>
      </w:r>
      <w:r/>
    </w:p>
    <w:p>
      <w:pPr>
        <w:pStyle w:val="813"/>
        <w:ind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w:t>
      </w:r>
      <w:r>
        <w:rPr>
          <w:rFonts w:hint="eastAsia" w:cs="宋体"/>
          <w:b/>
          <w:bCs/>
          <w:color w:val="ff0000"/>
          <w:sz w:val="24"/>
          <w:szCs w:val="24"/>
          <w:highlight w:val="none"/>
          <w:lang w:val="en-US" w:eastAsia="zh-CN" w:bidi="ar-SA"/>
        </w:rPr>
        <w:t xml:space="preserve">65</w:t>
      </w:r>
      <w:r>
        <w:rPr>
          <w:rFonts w:hint="eastAsia" w:ascii="宋体" w:hAnsi="宋体" w:eastAsia="宋体" w:cs="宋体"/>
          <w:b/>
          <w:bCs/>
          <w:color w:val="ff0000"/>
          <w:sz w:val="24"/>
          <w:szCs w:val="24"/>
          <w:highlight w:val="none"/>
          <w:lang w:val="en-US" w:eastAsia="zh-CN" w:bidi="ar-SA"/>
        </w:rPr>
        <w:t xml:space="preserve">%的，即投标（响应）报价&lt;采购项目最高限价×</w:t>
      </w:r>
      <w:r>
        <w:rPr>
          <w:rFonts w:hint="eastAsia" w:cs="宋体"/>
          <w:b/>
          <w:bCs/>
          <w:color w:val="ff0000"/>
          <w:sz w:val="24"/>
          <w:szCs w:val="24"/>
          <w:highlight w:val="none"/>
          <w:lang w:val="en-US" w:eastAsia="zh-CN" w:bidi="ar-SA"/>
        </w:rPr>
        <w:t xml:space="preserve">65</w:t>
      </w:r>
      <w:r>
        <w:rPr>
          <w:rFonts w:hint="eastAsia" w:ascii="宋体" w:hAnsi="宋体" w:eastAsia="宋体" w:cs="宋体"/>
          <w:b/>
          <w:bCs/>
          <w:color w:val="ff0000"/>
          <w:sz w:val="24"/>
          <w:szCs w:val="24"/>
          <w:highlight w:val="none"/>
          <w:lang w:val="en-US" w:eastAsia="zh-CN" w:bidi="ar-SA"/>
        </w:rPr>
        <w:t xml:space="preserve">%；</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3"/>
        <w:ind w:left="0" w:right="0" w:firstLine="48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ff0000"/>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26.1.11投标文件未按照招标文件要求加盖CA电子公章的。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26.1.12其他法律、法规及本招标文件规定的属无效投标的情形。</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26.2废标条款</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26.2.1符合专业条件的供应商或者对招标文件作实质响应的供应商不足三家的。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26.2.2出现影响采购公正的违法、违规行为的。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26.2.3因重大变故，采购任务取消的。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26.2.4评标委员会认定招标文件存在歧义、重大缺陷导致评审工作无法进行。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26.2.5因苏采云系统系统故障原因造成开标不成功的。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投标截止时间结束后参加投标的供应商不足三家的处理：</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auto"/>
          <w:sz w:val="24"/>
          <w:highlight w:val="none"/>
          <w:lang w:val="en-US" w:eastAsia="zh-CN"/>
        </w:rPr>
        <w:t xml:space="preserve">。</w:t>
      </w:r>
      <w:r/>
    </w:p>
    <w:p>
      <w:pPr>
        <w:ind w:firstLine="482"/>
        <w:pageBreakBefore w:val="0"/>
        <w:spacing w:line="500" w:lineRule="exact"/>
        <w:widowControl w:val="off"/>
        <w:rPr>
          <w:rFonts w:hint="eastAsia" w:ascii="宋体" w:hAnsi="宋体" w:eastAsia="宋体" w:cs="宋体"/>
          <w:color w:val="auto"/>
          <w:sz w:val="24"/>
          <w:highlight w:val="none"/>
        </w:rPr>
      </w:pPr>
      <w:r/>
      <w:bookmarkStart w:id="128" w:name="_Toc120614219"/>
      <w:r>
        <w:rPr>
          <w:rFonts w:hint="eastAsia" w:ascii="宋体" w:hAnsi="宋体" w:eastAsia="宋体" w:cs="宋体"/>
          <w:b/>
          <w:color w:val="auto"/>
          <w:sz w:val="24"/>
          <w:highlight w:val="none"/>
        </w:rPr>
        <w:t xml:space="preserve">六、定标</w:t>
      </w:r>
      <w:bookmarkEnd w:id="128"/>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29" w:name="_Toc20823310"/>
      <w:r/>
      <w:bookmarkStart w:id="130" w:name="_Toc16938554"/>
      <w:r/>
      <w:bookmarkStart w:id="131" w:name="_Toc513029238"/>
      <w:r>
        <w:rPr>
          <w:rFonts w:hint="eastAsia" w:ascii="宋体" w:hAnsi="宋体" w:eastAsia="宋体" w:cs="宋体"/>
          <w:b/>
          <w:bCs/>
          <w:color w:val="auto"/>
          <w:sz w:val="24"/>
          <w:highlight w:val="none"/>
        </w:rPr>
        <w:t xml:space="preserve">27、</w:t>
      </w:r>
      <w:bookmarkEnd w:id="129"/>
      <w:r>
        <w:rPr>
          <w:rFonts w:hint="eastAsia" w:ascii="宋体" w:hAnsi="宋体" w:eastAsia="宋体" w:cs="宋体"/>
          <w:b/>
          <w:bCs/>
          <w:color w:val="auto"/>
          <w:sz w:val="24"/>
          <w:highlight w:val="none"/>
        </w:rPr>
        <w:t xml:space="preserve">确定</w:t>
      </w:r>
      <w:bookmarkEnd w:id="130"/>
      <w:r/>
      <w:bookmarkEnd w:id="131"/>
      <w:r>
        <w:rPr>
          <w:rFonts w:hint="eastAsia" w:ascii="宋体" w:hAnsi="宋体" w:eastAsia="宋体" w:cs="宋体"/>
          <w:b/>
          <w:bCs/>
          <w:color w:val="auto"/>
          <w:sz w:val="24"/>
          <w:highlight w:val="none"/>
        </w:rPr>
        <w:t xml:space="preserve">中标单位</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bookmarkStart w:id="132" w:name="_Toc513029236"/>
      <w:r/>
      <w:bookmarkStart w:id="133" w:name="_Toc20823308"/>
      <w:r/>
      <w:bookmarkStart w:id="134" w:name="_Toc16938552"/>
      <w:r/>
      <w:bookmarkStart w:id="135" w:name="_Toc120614220"/>
      <w:r>
        <w:rPr>
          <w:rFonts w:hint="eastAsia" w:ascii="宋体" w:hAnsi="宋体" w:eastAsia="宋体" w:cs="宋体"/>
          <w:color w:val="000000"/>
          <w:sz w:val="24"/>
          <w:szCs w:val="24"/>
          <w:highlight w:val="none"/>
        </w:rPr>
        <w:t xml:space="preserve">27.1中标候选人的选取原则和数量见招标文件第五章规定。 </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bookmarkStart w:id="136" w:name="_Toc200451960"/>
      <w:r>
        <w:rPr>
          <w:rFonts w:hint="eastAsia" w:ascii="宋体" w:hAnsi="宋体" w:eastAsia="宋体" w:cs="宋体"/>
          <w:color w:val="000000"/>
          <w:sz w:val="24"/>
          <w:szCs w:val="24"/>
          <w:highlight w:val="none"/>
        </w:rPr>
        <w:t xml:space="preserve">27.5 有下列情形之一的，视为投标人串通投标，投标无效：</w:t>
      </w:r>
      <w:bookmarkEnd w:id="136"/>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13"/>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28、质疑处理</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13"/>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13"/>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13"/>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13"/>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13"/>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13"/>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jc w:val="left"/>
        <w:pageBreakBefore w:val="0"/>
        <w:spacing w:line="500" w:lineRule="exac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auto"/>
          <w:sz w:val="24"/>
          <w:szCs w:val="24"/>
          <w:highlight w:val="none"/>
        </w:rPr>
        <w:t xml:space="preserve">联系地址及联系方式同招标公告</w:t>
      </w:r>
      <w:r>
        <w:rPr>
          <w:rFonts w:hint="eastAsia" w:ascii="宋体" w:hAnsi="宋体" w:eastAsia="宋体" w:cs="宋体"/>
          <w:color w:val="000000"/>
          <w:sz w:val="24"/>
          <w:szCs w:val="24"/>
          <w:highlight w:val="none"/>
          <w:lang w:val="en-US" w:eastAsia="zh-CN" w:bidi="ar-SA"/>
        </w:rPr>
        <w:t xml:space="preserve">。</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13"/>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29、中标通知书</w:t>
      </w:r>
      <w:r/>
    </w:p>
    <w:p>
      <w:pPr>
        <w:pStyle w:val="813"/>
        <w:ind w:firstLine="480"/>
        <w:jc w:val="both"/>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ind w:firstLine="482"/>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七、授予合同</w:t>
      </w:r>
      <w:bookmarkEnd w:id="132"/>
      <w:r/>
      <w:bookmarkEnd w:id="133"/>
      <w:r/>
      <w:bookmarkEnd w:id="134"/>
      <w:r/>
      <w:bookmarkEnd w:id="135"/>
      <w:r/>
      <w:r/>
    </w:p>
    <w:p>
      <w:pPr>
        <w:pStyle w:val="813"/>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bookmarkStart w:id="137" w:name="_Toc20823309"/>
      <w:r/>
      <w:bookmarkStart w:id="138" w:name="_Toc16938553"/>
      <w:r/>
      <w:bookmarkStart w:id="139" w:name="_Toc513029237"/>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签订合同</w:t>
      </w:r>
      <w:bookmarkEnd w:id="137"/>
      <w:r/>
      <w:bookmarkEnd w:id="138"/>
      <w:r/>
      <w:bookmarkEnd w:id="139"/>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13"/>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31、服务（包含与服务相关的货物）的追加</w:t>
      </w:r>
      <w:r/>
    </w:p>
    <w:p>
      <w:pPr>
        <w:pStyle w:val="813"/>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3"/>
        <w:ind w:firstLine="482"/>
        <w:jc w:val="both"/>
        <w:keepLines/>
        <w:keepNext/>
        <w:pageBreakBefore w:val="0"/>
        <w:spacing w:before="0" w:beforeAutospacing="0" w:after="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32、政府采购政策功能落实</w:t>
      </w:r>
      <w:r/>
    </w:p>
    <w:p>
      <w:pPr>
        <w:pStyle w:val="813"/>
        <w:ind w:firstLine="480"/>
        <w:jc w:val="both"/>
        <w:keepLines/>
        <w:keepNext/>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13"/>
        <w:ind w:firstLine="480"/>
        <w:jc w:val="both"/>
        <w:keepLines/>
        <w:keepNext/>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13"/>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sz w:val="24"/>
          <w:szCs w:val="24"/>
          <w:highlight w:val="none"/>
        </w:rPr>
        <w:t xml:space="preserve">按一半金额缴纳</w:t>
      </w:r>
      <w:r>
        <w:rPr>
          <w:rFonts w:hint="eastAsia" w:ascii="宋体" w:hAnsi="宋体" w:eastAsia="宋体" w:cs="宋体"/>
          <w:color w:val="000000"/>
          <w:sz w:val="24"/>
          <w:szCs w:val="24"/>
          <w:highlight w:val="none"/>
          <w:lang w:val="en-US" w:eastAsia="zh-CN"/>
        </w:rPr>
        <w:t xml:space="preserve">。</w:t>
      </w:r>
      <w:r/>
    </w:p>
    <w:p>
      <w:pPr>
        <w:pStyle w:val="813"/>
        <w:ind w:firstLine="480"/>
        <w:jc w:val="both"/>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813"/>
        <w:ind w:firstLine="480"/>
        <w:jc w:val="both"/>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1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9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21"/>
      <w:r/>
      <w:r/>
    </w:p>
    <w:p>
      <w:pPr>
        <w:pStyle w:val="769"/>
        <w:numPr>
          <w:ilvl w:val="0"/>
          <w:numId w:val="0"/>
        </w:numPr>
        <w:jc w:val="center"/>
        <w:rPr>
          <w:rFonts w:hint="eastAsia" w:ascii="宋体" w:hAnsi="宋体" w:eastAsia="宋体" w:cs="宋体"/>
          <w:b/>
          <w:bCs/>
          <w:color w:val="auto"/>
          <w:sz w:val="44"/>
          <w:szCs w:val="44"/>
          <w:highlight w:val="none"/>
          <w:lang w:val="en-US" w:eastAsia="zh-CN"/>
        </w:rPr>
      </w:pPr>
      <w:r/>
      <w:bookmarkStart w:id="140" w:name="_Toc16269"/>
      <w:r/>
      <w:bookmarkStart w:id="141" w:name="_Toc26554097"/>
      <w:r/>
      <w:bookmarkStart w:id="142" w:name="_Toc61149622"/>
      <w:r/>
      <w:bookmarkStart w:id="143" w:name="_Toc23828480"/>
      <w:r>
        <w:rPr>
          <w:rFonts w:hint="eastAsia" w:ascii="宋体" w:hAnsi="宋体" w:eastAsia="宋体" w:cs="宋体"/>
          <w:b/>
          <w:bCs/>
          <w:color w:val="auto"/>
          <w:sz w:val="44"/>
          <w:szCs w:val="44"/>
          <w:lang w:val="en-US" w:eastAsia="zh-CN" w:bidi="ar-SA"/>
        </w:rPr>
        <w:t xml:space="preserve">第三章</w:t>
      </w:r>
      <w:r>
        <w:rPr>
          <w:rFonts w:hint="eastAsia" w:ascii="宋体" w:hAnsi="宋体" w:eastAsia="宋体" w:cs="宋体"/>
          <w:b/>
          <w:bCs/>
          <w:color w:val="auto"/>
          <w:sz w:val="44"/>
          <w:szCs w:val="44"/>
          <w:highlight w:val="none"/>
          <w:lang w:val="en-US" w:eastAsia="zh-CN"/>
        </w:rPr>
        <w:t xml:space="preserve"> 合同条款及格式</w:t>
      </w:r>
      <w:bookmarkEnd w:id="140"/>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13"/>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Pr>
      <w:r/>
      <w:bookmarkStart w:id="144" w:name="_Toc513029243"/>
      <w:r/>
      <w:bookmarkStart w:id="145" w:name="_Toc20823315"/>
      <w:r/>
      <w:bookmarkStart w:id="146" w:name="_Toc1693855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44"/>
      <w:r/>
      <w:bookmarkEnd w:id="145"/>
      <w:r/>
      <w:bookmarkEnd w:id="146"/>
      <w:r/>
      <w:r/>
    </w:p>
    <w:p>
      <w:pPr>
        <w:pStyle w:val="813"/>
        <w:ind w:left="0" w:firstLine="602"/>
        <w:jc w:val="center"/>
        <w:keepLines w:val="0"/>
        <w:keepNext w:val="0"/>
        <w:pageBreakBefore w:val="0"/>
        <w:spacing w:beforeAutospacing="0" w:afterAutospacing="0" w:line="50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13"/>
        <w:ind w:left="0" w:firstLine="602"/>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盐城市政府采购合同（合同编号）</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cs="宋体"/>
          <w:color w:val="auto"/>
          <w:highlight w:val="none"/>
          <w:lang w:eastAsia="zh-CN"/>
        </w:rPr>
        <w:t xml:space="preserve">盐城中国海盐博物馆可移动文物数字化保护利用项目</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cs="宋体"/>
          <w:color w:val="auto"/>
          <w:highlight w:val="none"/>
          <w:lang w:eastAsia="zh-CN"/>
        </w:rPr>
        <w:t xml:space="preserve">JSZC-320900-YCLX-G2026-0009</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甲方：（买方）</w:t>
      </w:r>
      <w:r>
        <w:rPr>
          <w:rFonts w:hint="eastAsia" w:cs="宋体"/>
          <w:color w:val="auto"/>
          <w:highlight w:val="none"/>
          <w:u w:val="single"/>
          <w:lang w:eastAsia="zh-CN"/>
        </w:rPr>
        <w:t xml:space="preserve">盐城中国海盐博物馆</w:t>
      </w:r>
      <w:r/>
    </w:p>
    <w:p>
      <w:pPr>
        <w:pStyle w:val="813"/>
        <w:ind w:left="0" w:firstLine="480"/>
        <w:jc w:val="both"/>
        <w:keepLines w:val="0"/>
        <w:keepNext w:val="0"/>
        <w:pageBreakBefore w:val="0"/>
        <w:spacing w:before="0" w:beforeAutospacing="0" w:after="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乙方：（卖方）</w:t>
      </w:r>
      <w:r>
        <w:rPr>
          <w:rFonts w:hint="eastAsia" w:ascii="宋体" w:hAnsi="宋体" w:eastAsia="宋体" w:cs="宋体"/>
          <w:color w:val="auto"/>
          <w:highlight w:val="none"/>
          <w:u w:val="single"/>
          <w:lang w:val="en-US" w:eastAsia="zh-CN"/>
        </w:rPr>
        <w:t xml:space="preserve">                       </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甲、乙双方根据</w:t>
      </w:r>
      <w:r>
        <w:rPr>
          <w:rFonts w:hint="eastAsia" w:cs="宋体"/>
          <w:color w:val="auto"/>
          <w:highlight w:val="none"/>
          <w:u w:val="single"/>
          <w:lang w:eastAsia="zh-CN"/>
        </w:rPr>
        <w:t xml:space="preserve">盐城中国海盐博物馆可移动文物数字化保护利用项目</w:t>
      </w:r>
      <w:r>
        <w:rPr>
          <w:rFonts w:hint="eastAsia" w:ascii="宋体" w:hAnsi="宋体" w:eastAsia="宋体" w:cs="宋体"/>
          <w:color w:val="auto"/>
          <w:highlight w:val="none"/>
          <w:lang w:eastAsia="zh-CN"/>
        </w:rPr>
        <w:t xml:space="preserve">公开招标</w:t>
      </w:r>
      <w:r>
        <w:rPr>
          <w:rFonts w:hint="eastAsia" w:ascii="宋体" w:hAnsi="宋体" w:eastAsia="宋体" w:cs="宋体"/>
          <w:color w:val="auto"/>
          <w:highlight w:val="none"/>
        </w:rPr>
        <w:t xml:space="preserve">的结果，签署本合同。</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标的名称：</w:t>
      </w:r>
      <w:r>
        <w:rPr>
          <w:rFonts w:hint="eastAsia" w:cs="宋体"/>
          <w:color w:val="auto"/>
          <w:highlight w:val="none"/>
          <w:lang w:eastAsia="zh-CN"/>
        </w:rPr>
        <w:t xml:space="preserve">盐城中国海盐博物馆可移动文物数字化保护利用项目</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1.2服务范围：</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1.3服务要求：</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1.4服务标准：</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 验收标准、要求：</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1.6履行时间（期限）：</w:t>
      </w:r>
      <w:r/>
    </w:p>
    <w:p>
      <w:pPr>
        <w:pStyle w:val="813"/>
        <w:ind w:firstLine="480"/>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注：具体服务内容详见</w:t>
      </w:r>
      <w:r>
        <w:rPr>
          <w:rFonts w:hint="eastAsia" w:ascii="宋体" w:hAnsi="宋体" w:eastAsia="宋体" w:cs="宋体"/>
          <w:color w:val="auto"/>
          <w:highlight w:val="none"/>
          <w:lang w:val="en-US" w:eastAsia="zh-CN"/>
        </w:rPr>
        <w:t xml:space="preserve">招标文件及</w:t>
      </w:r>
      <w:r>
        <w:rPr>
          <w:rFonts w:hint="eastAsia" w:ascii="宋体" w:hAnsi="宋体" w:eastAsia="宋体" w:cs="宋体"/>
          <w:color w:val="auto"/>
          <w:highlight w:val="none"/>
        </w:rPr>
        <w:t xml:space="preserve">乙方投标文件。</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本合同金额为（大写）：___________圆（________元）人民币或其他币种。</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3.1乙方应按</w:t>
      </w:r>
      <w:r>
        <w:rPr>
          <w:rFonts w:hint="eastAsia" w:ascii="宋体" w:hAnsi="宋体" w:eastAsia="宋体" w:cs="宋体"/>
          <w:color w:val="auto"/>
          <w:highlight w:val="none"/>
          <w:lang w:eastAsia="zh-CN"/>
        </w:rPr>
        <w:t xml:space="preserve">招标</w:t>
      </w:r>
      <w:r>
        <w:rPr>
          <w:rFonts w:hint="eastAsia" w:ascii="宋体" w:hAnsi="宋体" w:eastAsia="宋体" w:cs="宋体"/>
          <w:color w:val="auto"/>
          <w:highlight w:val="none"/>
        </w:rPr>
        <w:t xml:space="preserve">文件规定的时间向甲方提供与合同标的有关的技术资料。</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五、产权担保</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六、履约保证金</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6.1 乙方交纳人民币（大写</w:t>
      </w:r>
      <w:r>
        <w:rPr>
          <w:rFonts w:hint="eastAsia" w:ascii="宋体" w:hAnsi="宋体" w:eastAsia="宋体" w:cs="宋体"/>
          <w:color w:val="auto"/>
          <w:highlight w:val="none"/>
          <w:u w:val="none"/>
          <w:shd w:val="clear" w:color="auto" w:fill="auto"/>
        </w:rPr>
        <w:t xml:space="preserve">）</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圆整（¥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元）（合同金额的10%）作为本合同的履约保证金；于合同履行完毕后同合同款一起无息退还。引用盐城信用办推行的第三方信用报告，2A及以上的供应商按一半金额缴纳（需提供信用管理部门备案的第三方信用报告)。</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.1方式：退还至投标人缴纳履约保证金的账户。如为保函，在到期时自行失效。</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除不可抗力情况外，投标人出现下列情形之一的，其履约保证金，招标人将视情节决定不予退还或部分不予退还。</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宋体" w:hAnsi="宋体" w:eastAsia="宋体" w:cs="宋体"/>
          <w:color w:val="auto"/>
          <w:sz w:val="24"/>
          <w:highlight w:val="none"/>
          <w:shd w:val="clear" w:color="auto" w:fill="auto"/>
          <w:lang w:val="en-US" w:eastAsia="zh-CN"/>
        </w:rPr>
        <w:t xml:space="preserve">招标</w:t>
      </w:r>
      <w:r>
        <w:rPr>
          <w:rFonts w:hint="eastAsia" w:ascii="宋体" w:hAnsi="宋体" w:eastAsia="宋体" w:cs="宋体"/>
          <w:color w:val="auto"/>
          <w:sz w:val="24"/>
          <w:highlight w:val="none"/>
          <w:shd w:val="clear" w:color="auto" w:fill="auto"/>
        </w:rPr>
        <w:t xml:space="preserve">文件规定要求的；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w:t>
      </w:r>
      <w:r>
        <w:rPr>
          <w:rFonts w:hint="eastAsia" w:ascii="宋体" w:hAnsi="宋体" w:eastAsia="宋体" w:cs="宋体"/>
          <w:color w:val="auto"/>
          <w:sz w:val="24"/>
          <w:highlight w:val="none"/>
          <w:shd w:val="clear" w:color="auto" w:fill="auto"/>
          <w:lang w:eastAsia="zh-CN"/>
        </w:rPr>
        <w:t xml:space="preserve">其他</w:t>
      </w:r>
      <w:r>
        <w:rPr>
          <w:rFonts w:hint="eastAsia" w:ascii="宋体" w:hAnsi="宋体" w:eastAsia="宋体" w:cs="宋体"/>
          <w:color w:val="auto"/>
          <w:sz w:val="24"/>
          <w:highlight w:val="none"/>
          <w:shd w:val="clear" w:color="auto" w:fill="auto"/>
        </w:rPr>
        <w:t xml:space="preserve">投标人串通投标的；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七、合同转包或分包</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7.2</w:t>
      </w:r>
      <w:r>
        <w:rPr>
          <w:rFonts w:hint="eastAsia" w:cs="宋体"/>
          <w:color w:val="auto"/>
          <w:highlight w:val="none"/>
          <w:shd w:val="clear" w:color="auto" w:fill="auto"/>
          <w:lang w:eastAsia="zh-CN"/>
        </w:rPr>
        <w:t xml:space="preserve">未经甲方同意，</w:t>
      </w:r>
      <w:r>
        <w:rPr>
          <w:rFonts w:hint="eastAsia" w:ascii="宋体" w:hAnsi="宋体" w:eastAsia="宋体" w:cs="宋体"/>
          <w:color w:val="auto"/>
          <w:highlight w:val="none"/>
          <w:shd w:val="clear" w:color="auto" w:fill="auto"/>
        </w:rPr>
        <w:t xml:space="preserve">乙方不得将合同标的分包给他人履行。</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八、合同款项支付</w:t>
      </w:r>
      <w:r/>
    </w:p>
    <w:p>
      <w:pPr>
        <w:pStyle w:val="813"/>
        <w:ind w:firstLine="482"/>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付款方式：合同签订后，在收到乙方发票后10个工作日内付合同价款的</w:t>
      </w:r>
      <w:r>
        <w:rPr>
          <w:rFonts w:hint="eastAsia" w:cs="宋体"/>
          <w:color w:val="auto"/>
          <w:highlight w:val="none"/>
          <w:lang w:val="en-US" w:eastAsia="zh-CN"/>
        </w:rPr>
        <w:t xml:space="preserve">40</w:t>
      </w:r>
      <w:r>
        <w:rPr>
          <w:rFonts w:hint="eastAsia" w:ascii="宋体" w:hAnsi="宋体" w:eastAsia="宋体" w:cs="宋体"/>
          <w:color w:val="auto"/>
          <w:highlight w:val="none"/>
          <w:lang w:val="en-US" w:eastAsia="zh-CN"/>
        </w:rPr>
        <w:t xml:space="preserve">%作为预付款（在签订合同时，乙方明确书面表示无需预付款或者主动要求降低预付款比例的，甲方可就预付款比例作相应调整）；乙方完成合同所有项目内容并验收合格后，在收到乙方发票后10个工作日内付至合同价款的80%；项目审计结束后，在收到乙方发票后10个工作日内付至审定价的97%；验收合格满一年后按审定价结清余款。每次付款前，乙方提供增值税发票，以上付款均不计任何利息和有关费用。 </w:t>
      </w:r>
      <w:r/>
    </w:p>
    <w:p>
      <w:pPr>
        <w:pStyle w:val="813"/>
        <w:ind w:firstLine="482"/>
        <w:jc w:val="both"/>
        <w:keepLines w:val="0"/>
        <w:keepNext w:val="0"/>
        <w:pageBreakBefore w:val="0"/>
        <w:spacing w:before="0" w:beforeAutospacing="0" w:after="0" w:afterAutospacing="0" w:line="50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注：以上付款均不计任何利息和相关费用。本项目价款一律通过银行非现金结算，款项汇入乙方账户，实行专款专用。</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九、税费</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十、项目验收</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10.1 甲方依法组织履约验收工作。</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10.3 对于实际使用人和甲方分离的项目，甲方邀请实际使用人参与验收。</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10.4 如有必要，甲方邀请参加本项目的其他供应商或第三方专业机构及专家参与验收，相关意见将作为验收书的参考资料。</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shd w:val="clear" w:color="auto" w:fill="auto"/>
          <w:lang w:eastAsia="zh-CN"/>
        </w:rPr>
        <w:t xml:space="preserve">中华人民共和国民法典</w:t>
      </w:r>
      <w:r>
        <w:rPr>
          <w:rFonts w:hint="eastAsia" w:ascii="宋体" w:hAnsi="宋体" w:eastAsia="宋体" w:cs="宋体"/>
          <w:color w:val="auto"/>
          <w:highlight w:val="none"/>
          <w:shd w:val="clear" w:color="auto" w:fill="auto"/>
        </w:rPr>
        <w:t xml:space="preserve">》。乙方在履约过程中有政府采购法律法规规定的违法违规情形的,甲方将及时报告本级财政部门。</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十一、违约责任</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cs="宋体"/>
          <w:color w:val="auto"/>
          <w:highlight w:val="none"/>
          <w:u w:val="single"/>
          <w:shd w:val="clear" w:color="auto" w:fill="auto"/>
          <w:lang w:val="en-US" w:eastAsia="zh-CN"/>
        </w:rPr>
        <w:t xml:space="preserve">3%</w:t>
      </w:r>
      <w:r>
        <w:rPr>
          <w:rFonts w:hint="eastAsia" w:ascii="宋体" w:hAnsi="宋体" w:eastAsia="宋体" w:cs="宋体"/>
          <w:color w:val="auto"/>
          <w:highlight w:val="none"/>
          <w:shd w:val="clear" w:color="auto" w:fill="auto"/>
        </w:rPr>
        <w:t xml:space="preserve">的违约金。</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11.2 甲方无故逾期验收和办理合同款项支付手续的,甲方应按逾期付款总额</w:t>
      </w:r>
      <w:r>
        <w:rPr>
          <w:rFonts w:hint="eastAsia" w:cs="宋体"/>
          <w:color w:val="auto"/>
          <w:highlight w:val="none"/>
          <w:u w:val="single"/>
          <w:shd w:val="clear" w:color="auto" w:fill="auto"/>
          <w:lang w:val="en-US" w:eastAsia="zh-CN"/>
        </w:rPr>
        <w:t xml:space="preserve">0.05%</w:t>
      </w:r>
      <w:r>
        <w:rPr>
          <w:rFonts w:hint="eastAsia" w:ascii="宋体" w:hAnsi="宋体" w:eastAsia="宋体" w:cs="宋体"/>
          <w:color w:val="auto"/>
          <w:highlight w:val="none"/>
          <w:shd w:val="clear" w:color="auto" w:fill="auto"/>
        </w:rPr>
        <w:t xml:space="preserve">每日向乙方支付违约金。</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11.3 乙方逾期交付合同标的的，乙方应按逾期交付合同总额每日千分之</w:t>
      </w:r>
      <w:r>
        <w:rPr>
          <w:rFonts w:hint="eastAsia" w:cs="宋体"/>
          <w:color w:val="auto"/>
          <w:highlight w:val="none"/>
          <w:shd w:val="clear" w:color="auto" w:fill="auto"/>
          <w:lang w:val="en-US" w:eastAsia="zh-CN"/>
        </w:rPr>
        <w:t xml:space="preserve">一</w:t>
      </w:r>
      <w:r>
        <w:rPr>
          <w:rFonts w:hint="eastAsia" w:ascii="宋体" w:hAnsi="宋体" w:eastAsia="宋体" w:cs="宋体"/>
          <w:color w:val="auto"/>
          <w:highlight w:val="none"/>
          <w:shd w:val="clear" w:color="auto" w:fill="auto"/>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cs="宋体"/>
          <w:color w:val="auto"/>
          <w:highlight w:val="none"/>
          <w:u w:val="single"/>
          <w:shd w:val="clear" w:color="auto" w:fill="auto"/>
          <w:lang w:val="en-US" w:eastAsia="zh-CN"/>
        </w:rPr>
        <w:t xml:space="preserve">10%</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11.4 乙方交付合同标的的标准不符合合同规定及</w:t>
      </w:r>
      <w:r>
        <w:rPr>
          <w:rFonts w:hint="eastAsia" w:ascii="宋体" w:hAnsi="宋体" w:eastAsia="宋体" w:cs="宋体"/>
          <w:color w:val="auto"/>
          <w:highlight w:val="none"/>
          <w:shd w:val="clear" w:color="auto" w:fill="auto"/>
          <w:lang w:eastAsia="zh-CN"/>
        </w:rPr>
        <w:t xml:space="preserve">招标</w:t>
      </w:r>
      <w:r>
        <w:rPr>
          <w:rFonts w:hint="eastAsia" w:ascii="宋体" w:hAnsi="宋体" w:eastAsia="宋体" w:cs="宋体"/>
          <w:color w:val="auto"/>
          <w:highlight w:val="none"/>
          <w:shd w:val="clear" w:color="auto" w:fill="auto"/>
        </w:rPr>
        <w:t xml:space="preserve">文件规定标准的，甲方有权拒绝接受合同标的，并可单方面解除合同。</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十二、不可抗力事件处理</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12.1 在合同有效期内，任何一方因不可抗力事件导致不能履行合同，则合同履行期可延长，其延长期与不可抗力影响 期相同。</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12.2 不可抗力事件发生后，应立即通知对方，并寄送有关权威机构出具的证明。</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12.3 不可抗力事件延续120天以上，双方应通过友好协商，确定是否继续履行合同。</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十三、解决争议的方法</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13.1双方在签订、履行合同中所发生的一切争议，应通过友好协商解决。如协商不成，由甲方住所地人民法院管辖。</w:t>
      </w:r>
      <w:r/>
    </w:p>
    <w:p>
      <w:pPr>
        <w:pStyle w:val="813"/>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十四、合同生效及其</w:t>
      </w:r>
      <w:r>
        <w:rPr>
          <w:rFonts w:hint="eastAsia" w:ascii="宋体" w:hAnsi="宋体" w:eastAsia="宋体" w:cs="宋体"/>
          <w:b/>
          <w:color w:val="auto"/>
          <w:highlight w:val="none"/>
          <w:shd w:val="clear" w:color="auto" w:fill="auto"/>
          <w:lang w:eastAsia="zh-CN"/>
        </w:rPr>
        <w:t xml:space="preserve">他</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14.1 合同经双方法定代表人或授权委托代表人签字并加盖单位公章后生效。</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14.2本合同未尽事宜，遵照《</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政府采购法》有关条文执行。</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w:t>
      </w:r>
      <w:r>
        <w:rPr>
          <w:rFonts w:hint="eastAsia" w:ascii="宋体" w:hAnsi="宋体" w:eastAsia="宋体" w:cs="宋体"/>
          <w:color w:val="auto"/>
          <w:highlight w:val="none"/>
          <w:shd w:val="clear" w:color="auto" w:fill="auto"/>
          <w:lang w:val="en-US" w:eastAsia="zh-CN"/>
        </w:rPr>
        <w:t xml:space="preserve">肆</w:t>
      </w:r>
      <w:r>
        <w:rPr>
          <w:rFonts w:hint="eastAsia" w:ascii="宋体" w:hAnsi="宋体" w:eastAsia="宋体" w:cs="宋体"/>
          <w:color w:val="auto"/>
          <w:highlight w:val="none"/>
          <w:shd w:val="clear" w:color="auto" w:fill="auto"/>
        </w:rPr>
        <w:t xml:space="preserve">份，具有同等法律效力，</w:t>
      </w:r>
      <w:r>
        <w:rPr>
          <w:rFonts w:hint="eastAsia" w:ascii="宋体" w:hAnsi="宋体" w:eastAsia="宋体" w:cs="宋体"/>
          <w:color w:val="auto"/>
          <w:highlight w:val="none"/>
          <w:shd w:val="clear" w:color="auto" w:fill="auto"/>
          <w:lang w:val="en-US" w:eastAsia="zh-CN"/>
        </w:rPr>
        <w:t xml:space="preserve">甲乙双方</w:t>
      </w:r>
      <w:r>
        <w:rPr>
          <w:rFonts w:hint="eastAsia" w:ascii="宋体" w:hAnsi="宋体" w:eastAsia="宋体" w:cs="宋体"/>
          <w:color w:val="auto"/>
          <w:highlight w:val="none"/>
          <w:shd w:val="clear" w:color="auto" w:fill="auto"/>
        </w:rPr>
        <w:t xml:space="preserve">各执</w:t>
      </w:r>
      <w:r>
        <w:rPr>
          <w:rFonts w:hint="eastAsia" w:ascii="宋体" w:hAnsi="宋体" w:eastAsia="宋体" w:cs="宋体"/>
          <w:color w:val="auto"/>
          <w:highlight w:val="none"/>
          <w:shd w:val="clear" w:color="auto" w:fill="auto"/>
          <w:lang w:val="en-US" w:eastAsia="zh-CN"/>
        </w:rPr>
        <w:t xml:space="preserve">贰</w:t>
      </w:r>
      <w:r>
        <w:rPr>
          <w:rFonts w:hint="eastAsia" w:ascii="宋体" w:hAnsi="宋体" w:eastAsia="宋体" w:cs="宋体"/>
          <w:color w:val="auto"/>
          <w:highlight w:val="none"/>
          <w:shd w:val="clear" w:color="auto" w:fill="auto"/>
        </w:rPr>
        <w:t xml:space="preserve">份。</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甲方：               乙方： </w:t>
      </w:r>
      <w:r/>
    </w:p>
    <w:p>
      <w:pPr>
        <w:pStyle w:val="813"/>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地址：               地址： </w:t>
      </w:r>
      <w:r/>
    </w:p>
    <w:p>
      <w:pPr>
        <w:pStyle w:val="813"/>
        <w:ind w:left="0" w:firstLine="72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       法定代表人或授权代表：</w:t>
      </w:r>
      <w:r/>
    </w:p>
    <w:p>
      <w:pPr>
        <w:pStyle w:val="813"/>
        <w:ind w:firstLine="72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r/>
    </w:p>
    <w:p>
      <w:pPr>
        <w:pStyle w:val="813"/>
        <w:ind w:left="0" w:firstLine="42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highlight w:val="none"/>
          <w:shd w:val="clear" w:color="auto" w:fill="auto"/>
          <w:lang w:val="en-US" w:eastAsia="zh-CN"/>
        </w:rPr>
        <w:t xml:space="preserve">        </w:t>
      </w:r>
      <w:r/>
    </w:p>
    <w:p>
      <w:pPr>
        <w:pStyle w:val="813"/>
        <w:ind w:left="0" w:firstLine="480"/>
        <w:jc w:val="right"/>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签订日期：    年    月   日</w:t>
      </w:r>
      <w:r/>
    </w:p>
    <w:p>
      <w:pPr>
        <w:rPr>
          <w:rFonts w:hint="eastAsia" w:ascii="宋体" w:hAnsi="宋体" w:eastAsia="宋体" w:cs="宋体"/>
          <w:color w:val="auto"/>
          <w:sz w:val="44"/>
          <w:szCs w:val="44"/>
          <w:lang w:val="en-US" w:eastAsia="zh-CN" w:bidi="ar-SA"/>
        </w:rPr>
      </w:pPr>
      <w:r>
        <w:rPr>
          <w:rFonts w:hint="eastAsia" w:ascii="宋体" w:hAnsi="宋体" w:eastAsia="宋体" w:cs="宋体"/>
          <w:color w:val="auto"/>
          <w:sz w:val="44"/>
          <w:szCs w:val="44"/>
          <w:lang w:val="en-US" w:eastAsia="zh-CN" w:bidi="ar-SA"/>
        </w:rPr>
        <w:br w:type="page" w:clear="all"/>
      </w:r>
      <w:r/>
    </w:p>
    <w:p>
      <w:pPr>
        <w:jc w:val="center"/>
        <w:spacing w:beforeAutospacing="0" w:afterAutospacing="0" w:line="360" w:lineRule="auto"/>
        <w:widowControl w:val="off"/>
        <w:tabs>
          <w:tab w:val="left" w:pos="2100" w:leader="none"/>
        </w:tabs>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lang w:val="en-US" w:eastAsia="zh-CN" w:bidi="ar-SA"/>
        </w:rPr>
        <w:t xml:space="preserve">第四章</w:t>
      </w:r>
      <w:r>
        <w:rPr>
          <w:rFonts w:hint="eastAsia" w:ascii="宋体" w:hAnsi="宋体" w:eastAsia="宋体" w:cs="宋体"/>
          <w:b/>
          <w:bCs/>
          <w:color w:val="auto"/>
          <w:sz w:val="44"/>
          <w:szCs w:val="44"/>
          <w:highlight w:val="none"/>
          <w:lang w:val="en-US" w:eastAsia="zh-CN"/>
        </w:rPr>
        <w:t xml:space="preserve"> </w:t>
      </w:r>
      <w:bookmarkStart w:id="147" w:name="_Toc15384"/>
      <w:r>
        <w:rPr>
          <w:rFonts w:hint="eastAsia" w:ascii="宋体" w:hAnsi="宋体" w:eastAsia="宋体" w:cs="宋体"/>
          <w:b/>
          <w:bCs/>
          <w:color w:val="auto"/>
          <w:sz w:val="44"/>
          <w:szCs w:val="44"/>
          <w:highlight w:val="none"/>
        </w:rPr>
        <w:t xml:space="preserve">项目需求</w:t>
      </w:r>
      <w:bookmarkEnd w:id="147"/>
      <w:r/>
      <w:r/>
    </w:p>
    <w:p>
      <w:pPr>
        <w:pStyle w:val="770"/>
        <w:jc w:val="both"/>
        <w:keepNex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一、项目概况</w:t>
      </w:r>
      <w:r/>
    </w:p>
    <w:p>
      <w:pPr>
        <w:ind w:firstLine="480"/>
        <w:keepNex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1、项目名称：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盐城中国海盐博物馆可移动文物数字化保护利用项目</w:t>
      </w:r>
      <w:r/>
    </w:p>
    <w:p>
      <w:pPr>
        <w:ind w:firstLine="480"/>
        <w:keepNex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项目概况：为深入贯彻落实《关于加强可移动文物预防性保护和数字化保护利用工作的通知》等相关政策要求，针对中国海盐博物馆文物数字化程度不足的现实问题，本项目拟重点开展文物信息资源数字化工作，旨在全面提升博物馆馆藏珍贵文物的数字化保护与利用水平。</w:t>
      </w:r>
      <w:r/>
    </w:p>
    <w:p>
      <w:pPr>
        <w:pStyle w:val="770"/>
        <w:jc w:val="both"/>
        <w:keepNex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二、项目采购清单</w:t>
      </w:r>
      <w:r/>
    </w:p>
    <w:tbl>
      <w:tblPr>
        <w:tblStyle w:val="77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57" w:type="dxa"/>
          <w:top w:w="0" w:type="dxa"/>
          <w:right w:w="57" w:type="dxa"/>
          <w:bottom w:w="0" w:type="dxa"/>
        </w:tblCellMar>
        <w:tblLook w:val="04A0" w:firstRow="1" w:lastRow="0" w:firstColumn="1" w:lastColumn="0" w:noHBand="0" w:noVBand="1"/>
      </w:tblPr>
      <w:tblGrid>
        <w:gridCol w:w="777"/>
        <w:gridCol w:w="1173"/>
        <w:gridCol w:w="2544"/>
        <w:gridCol w:w="3468"/>
        <w:gridCol w:w="589"/>
        <w:gridCol w:w="613"/>
      </w:tblGrid>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gridSpan w:val="2"/>
            <w:shd w:val="clear" w:color="auto" w:fill="auto"/>
            <w:tcW w:w="2027"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建设内容</w:t>
            </w:r>
            <w:r/>
          </w:p>
        </w:tc>
        <w:tc>
          <w:tcPr>
            <w:shd w:val="clear" w:color="auto" w:fill="auto"/>
            <w:tcW w:w="1891"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参数信息</w:t>
            </w:r>
            <w:r/>
          </w:p>
        </w:tc>
        <w:tc>
          <w:tcPr>
            <w:shd w:val="clear" w:color="auto" w:fill="auto"/>
            <w:tcW w:w="321"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W w:w="334" w:type="pct"/>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单位</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W w:w="640" w:type="pct"/>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文物信息资源数字化</w:t>
            </w:r>
            <w:r/>
          </w:p>
        </w:tc>
        <w:tc>
          <w:tcPr>
            <w:shd w:val="clear" w:color="auto" w:fill="auto"/>
            <w:tcW w:w="1386" w:type="pct"/>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珍贵文物二维高清图片采集</w:t>
            </w:r>
            <w:r/>
          </w:p>
        </w:tc>
        <w:tc>
          <w:tcPr>
            <w:shd w:val="clear" w:color="auto" w:fill="auto"/>
            <w:tcW w:w="1891"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二维高清图片采集（单件类），共41件</w:t>
            </w:r>
            <w:r/>
          </w:p>
        </w:tc>
        <w:tc>
          <w:tcPr>
            <w:shd w:val="clear" w:color="auto" w:fill="auto"/>
            <w:tcW w:w="32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shd w:val="clear" w:color="auto" w:fill="auto"/>
            <w:tcW w:w="33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W w:w="640"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386"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891"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二维高清图片采集（套件类），共24套，167件</w:t>
            </w:r>
            <w:r/>
          </w:p>
        </w:tc>
        <w:tc>
          <w:tcPr>
            <w:shd w:val="clear" w:color="auto" w:fill="auto"/>
            <w:tcW w:w="32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167</w:t>
            </w:r>
            <w:r/>
          </w:p>
        </w:tc>
        <w:tc>
          <w:tcPr>
            <w:shd w:val="clear" w:color="auto" w:fill="auto"/>
            <w:tcW w:w="33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W w:w="640"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386" w:type="pct"/>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珍贵文物多光谱成像采集分析</w:t>
            </w:r>
            <w:r/>
          </w:p>
        </w:tc>
        <w:tc>
          <w:tcPr>
            <w:shd w:val="clear" w:color="auto" w:fill="auto"/>
            <w:tcW w:w="1891" w:type="pct"/>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多光谱成像采集</w:t>
            </w:r>
            <w:r/>
          </w:p>
        </w:tc>
        <w:tc>
          <w:tcPr>
            <w:shd w:val="clear" w:color="auto" w:fill="auto"/>
            <w:tcW w:w="321" w:type="pct"/>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W w:w="334" w:type="pct"/>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W w:w="640"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386"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891" w:type="pct"/>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多光谱成像分析</w:t>
            </w:r>
            <w:r/>
          </w:p>
        </w:tc>
        <w:tc>
          <w:tcPr>
            <w:shd w:val="clear" w:color="auto" w:fill="auto"/>
            <w:tcW w:w="321" w:type="pct"/>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W w:w="334" w:type="pct"/>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W w:w="640"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386"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珍贵文物数字拓片制作</w:t>
            </w:r>
            <w:r/>
          </w:p>
        </w:tc>
        <w:tc>
          <w:tcPr>
            <w:shd w:val="clear" w:color="auto" w:fill="auto"/>
            <w:tcW w:w="1891" w:type="pct"/>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数字拓片采集制作</w:t>
            </w:r>
            <w:r/>
          </w:p>
        </w:tc>
        <w:tc>
          <w:tcPr>
            <w:shd w:val="clear" w:color="auto" w:fill="auto"/>
            <w:tcW w:w="321" w:type="pct"/>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W w:w="334" w:type="pct"/>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W w:w="640"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386" w:type="pct"/>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珍贵文物三维数据采集制作</w:t>
            </w:r>
            <w:r/>
          </w:p>
        </w:tc>
        <w:tc>
          <w:tcPr>
            <w:shd w:val="clear" w:color="auto" w:fill="auto"/>
            <w:tcW w:w="1891"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三维数据采集制作（单件类），共176件</w:t>
            </w:r>
            <w:r/>
          </w:p>
        </w:tc>
        <w:tc>
          <w:tcPr>
            <w:shd w:val="clear" w:color="auto" w:fill="auto"/>
            <w:tcW w:w="32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176</w:t>
            </w:r>
            <w:r/>
          </w:p>
        </w:tc>
        <w:tc>
          <w:tcPr>
            <w:shd w:val="clear" w:color="auto" w:fill="auto"/>
            <w:tcW w:w="33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W w:w="640"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386" w:type="pct"/>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891"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三维数据采集制作（套件类），共20套，69件</w:t>
            </w:r>
            <w:r/>
          </w:p>
        </w:tc>
        <w:tc>
          <w:tcPr>
            <w:shd w:val="clear" w:color="auto" w:fill="auto"/>
            <w:tcW w:w="32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w:t>
            </w:r>
            <w:r/>
          </w:p>
        </w:tc>
        <w:tc>
          <w:tcPr>
            <w:shd w:val="clear" w:color="auto" w:fill="auto"/>
            <w:tcW w:w="33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W w:w="640" w:type="pct"/>
            <w:vAlign w:val="center"/>
            <w:vMerge w:val="restart"/>
            <w:textDirection w:val="lrTb"/>
            <w:noWrap w:val="false"/>
          </w:tcPr>
          <w:p>
            <w:pPr>
              <w:ind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存储设备</w:t>
            </w:r>
            <w:r/>
          </w:p>
        </w:tc>
        <w:tc>
          <w:tcPr>
            <w:shd w:val="clear" w:color="auto" w:fill="auto"/>
            <w:tcW w:w="1386" w:type="pct"/>
            <w:vAlign w:val="center"/>
            <w:textDirection w:val="lrTb"/>
            <w:noWrap w:val="false"/>
          </w:tcPr>
          <w:p>
            <w:pPr>
              <w:ind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文物数据移动存储介质</w:t>
            </w:r>
            <w:r/>
          </w:p>
        </w:tc>
        <w:tc>
          <w:tcPr>
            <w:shd w:val="clear" w:color="auto" w:fill="auto"/>
            <w:tcW w:w="1891"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1）容量：不低于20TB；</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2）接口：不低于USB3.0；</w:t>
            </w:r>
            <w:r/>
          </w:p>
        </w:tc>
        <w:tc>
          <w:tcPr>
            <w:shd w:val="clear" w:color="auto" w:fill="auto"/>
            <w:tcW w:w="32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W w:w="33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r>
      <w:tr>
        <w:trPr>
          <w:trHeight w:val="567"/>
        </w:trPr>
        <w:tc>
          <w:tcPr>
            <w:shd w:val="clear" w:color="auto" w:fill="auto"/>
            <w:tcW w:w="42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W w:w="640" w:type="pct"/>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386"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文物数据节点存储介质</w:t>
            </w:r>
            <w:r/>
          </w:p>
        </w:tc>
        <w:tc>
          <w:tcPr>
            <w:shd w:val="clear" w:color="auto" w:fill="auto"/>
            <w:tcW w:w="1891" w:type="pct"/>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1）容量：不低于20TB</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2）接口：3.5寸SATA</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W w:w="321"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W w:w="334" w:type="pct"/>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r>
    </w:tbl>
    <w:p>
      <w:pPr>
        <w:pStyle w:val="770"/>
        <w:jc w:val="both"/>
        <w:keepNex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三、技术参数要求</w:t>
      </w:r>
      <w:r/>
    </w:p>
    <w:p>
      <w:pPr>
        <w:ind w:firstLine="482"/>
        <w:jc w:val="left"/>
        <w:keepLines w:val="0"/>
        <w:keepNext w:val="0"/>
        <w:pageBreakBefore w:val="0"/>
        <w:spacing w:line="500" w:lineRule="exact"/>
        <w:widowControl/>
        <w:rPr>
          <w:rFonts w:hint="eastAsia" w:ascii="宋体" w:hAnsi="宋体" w:cs="宋体"/>
          <w:b w:val="0"/>
          <w:bCs w:val="0"/>
          <w:color w:val="auto"/>
          <w:sz w:val="24"/>
          <w:highlight w:val="none"/>
          <w:lang w:val="en-US" w:eastAsia="zh-CN"/>
        </w:rPr>
        <w:outlineLvl w:val="2"/>
      </w:pPr>
      <w:r>
        <w:rPr>
          <w:rFonts w:hint="eastAsia" w:ascii="宋体" w:hAnsi="宋体" w:cs="宋体"/>
          <w:b/>
          <w:bCs/>
          <w:color w:val="auto"/>
          <w:sz w:val="24"/>
          <w:highlight w:val="none"/>
          <w:lang w:val="en-US" w:eastAsia="zh-CN"/>
        </w:rPr>
        <w:t xml:space="preserve">1.珍贵文物二维高清图片采集要求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本项目需完成二维高清图片采集（单件类），共41件，同时完成二维高清图片采集（套件类），共24套，167件。采集环节需采用高精度图像采集设备进行拍摄，并完成相应数字化成果的制作，为后续项目成果的应用提供基础支撑。同时，针对不同</w:t>
      </w:r>
      <w:r>
        <w:rPr>
          <w:rFonts w:hint="eastAsia" w:ascii="宋体" w:hAnsi="宋体" w:eastAsia="宋体" w:cs="宋体"/>
          <w:b w:val="0"/>
          <w:bCs w:val="0"/>
          <w:color w:val="auto"/>
          <w:sz w:val="24"/>
          <w:highlight w:val="none"/>
          <w:lang w:val="en-US" w:eastAsia="zh-CN"/>
        </w:rPr>
        <w:t xml:space="preserve">类型的文物应制定针对性的拍摄方案。</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1.1采集制作要求</w:t>
      </w:r>
      <w:r/>
    </w:p>
    <w:p>
      <w:pPr>
        <w:ind w:firstLine="480"/>
        <w:jc w:val="left"/>
        <w:keepLines w:val="0"/>
        <w:keepNext w:val="0"/>
        <w:pageBreakBefore w:val="0"/>
        <w:spacing w:line="500" w:lineRule="exact"/>
        <w:widowControl/>
        <w:rPr>
          <w:rFonts w:hint="default" w:ascii="宋体" w:hAnsi="宋体" w:eastAsia="宋体" w:cs="宋体"/>
          <w:b w:val="0"/>
          <w:bCs w:val="0"/>
          <w:color w:val="auto"/>
          <w:sz w:val="24"/>
          <w:highlight w:val="none"/>
          <w:lang w:val="en-US" w:eastAsia="zh-CN"/>
        </w:rPr>
        <w:outlineLvl w:val="4"/>
      </w:pPr>
      <w:r>
        <w:rPr>
          <w:rFonts w:hint="default" w:ascii="宋体" w:hAnsi="宋体" w:eastAsia="宋体" w:cs="宋体"/>
          <w:b w:val="0"/>
          <w:bCs w:val="0"/>
          <w:color w:val="auto"/>
          <w:sz w:val="24"/>
          <w:highlight w:val="none"/>
          <w:lang w:val="en-US" w:eastAsia="zh-CN"/>
        </w:rPr>
        <w:t xml:space="preserve">1.1.1设备要求</w:t>
      </w:r>
      <w:r/>
    </w:p>
    <w:p>
      <w:pPr>
        <w:ind w:firstLine="480"/>
        <w:jc w:val="left"/>
        <w:keepLines w:val="0"/>
        <w:keepNext w:val="0"/>
        <w:pageBreakBefore w:val="0"/>
        <w:spacing w:line="500" w:lineRule="exact"/>
        <w:widowControl/>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 xml:space="preserve">①数码相机配备定焦镜头，对焦功能正常；图像传感器尺寸不小于32 mm×43 mm、像素数不小于1亿，无脏点、坏点；</w:t>
      </w:r>
      <w:r/>
    </w:p>
    <w:p>
      <w:pPr>
        <w:ind w:firstLine="480"/>
        <w:jc w:val="left"/>
        <w:keepLines w:val="0"/>
        <w:keepNext w:val="0"/>
        <w:pageBreakBefore w:val="0"/>
        <w:spacing w:line="500" w:lineRule="exact"/>
        <w:widowControl/>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 xml:space="preserve">②显示器能覆盖99%以上的Adobe RGB 色彩空间，亮度不小于350cd/m2，对比度不小于1000:1, 视角不小于178°，色彩深度不小于10bit，△E00不大于3；配备深灰色或黑色遮光罩； </w:t>
      </w:r>
      <w:r/>
    </w:p>
    <w:p>
      <w:pPr>
        <w:ind w:firstLine="480"/>
        <w:jc w:val="left"/>
        <w:keepLines w:val="0"/>
        <w:keepNext w:val="0"/>
        <w:pageBreakBefore w:val="0"/>
        <w:spacing w:line="500" w:lineRule="exact"/>
        <w:widowControl/>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 xml:space="preserve">③摄影灯采用冷光源，输出功率和色温统一、稳定，色温宜为5500K，显色指数应不小于95%；</w:t>
      </w:r>
      <w:r/>
    </w:p>
    <w:p>
      <w:pPr>
        <w:ind w:firstLine="480"/>
        <w:jc w:val="left"/>
        <w:keepLines w:val="0"/>
        <w:keepNext w:val="0"/>
        <w:pageBreakBefore w:val="0"/>
        <w:spacing w:line="500" w:lineRule="exact"/>
        <w:widowControl/>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 xml:space="preserve">④色卡为摄影专用色卡且不少于24色，支持创建ICC色彩特性文件、校正白平衡、校准色彩；</w:t>
      </w:r>
      <w:r/>
    </w:p>
    <w:p>
      <w:pPr>
        <w:ind w:firstLine="480"/>
        <w:jc w:val="left"/>
        <w:keepLines w:val="0"/>
        <w:keepNext w:val="0"/>
        <w:pageBreakBefore w:val="0"/>
        <w:spacing w:line="500" w:lineRule="exact"/>
        <w:widowControl/>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 xml:space="preserve">⑤背景纸应为摄影专用背景纸，颜色应为灰、白、黑色，纸面应平整、干净。</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4"/>
      </w:pPr>
      <w:r>
        <w:rPr>
          <w:rFonts w:hint="eastAsia" w:ascii="宋体" w:hAnsi="宋体" w:eastAsia="宋体" w:cs="宋体"/>
          <w:b w:val="0"/>
          <w:bCs w:val="0"/>
          <w:color w:val="auto"/>
          <w:sz w:val="24"/>
          <w:highlight w:val="none"/>
          <w:lang w:val="en-US" w:eastAsia="zh-CN"/>
        </w:rPr>
        <w:t xml:space="preserve">1.1.2采集要求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1.1.2.1立体类文物影像采集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（1）影像采集内容</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①色卡影像：拍摄带有色卡的文物影像；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②全形影像：拍摄反映文物典型特征的代表影像；拍摄文物四周、顶部、底部的影像；成套文物宜拍摄能表现每件文物在群组中的位置及其组合（组装）关系的影像；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③局部影像：拍摄文物的纹饰、铭文、款识、病害、工艺结构等文物重要特征的局部影像，以及底座、包装等附件影像。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（2）影像采集质量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①珍贵文物的影像像素数不小于5000万、色彩深度不小于16bit，一般文物的影像像素数不小于3000万、色彩深度不小于12bit；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②构图合理、焦点清晰、曝光精确、色彩准确、反差适中、画面整洁。</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1.1.2.2平面类文物影像采集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（1）影像采集内容</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①色卡影像：应采集带有140色色卡的文物影像；无法在1张影像中记录文物全形影像时，在分段采集中至少采集1张带有140色色卡的分段影像；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②全形影像：应采集包括文物主要信息的全形影像；无法在1张影像中记录文物全形影像时，应分段采集，相邻两张影像重叠度不小于30%，分段影像独立编号，拼合出的全形影像重新编号；</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③局部影像：应采集包首、题签、款识、纹饰、病害等带有文物重要信息的影像，以及包装等文物附件影像。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（2）影像采集质量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①珍贵文物的影像分辨率不小于300dpi，色彩深度为16bit；一般文物的影像分辨率不小于200dpi，色彩深度不小于8bit；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②构图合理、焦点清晰、曝光精确、色彩准确、反差适中、画面整洁。</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1.2成果要求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（1）成果数量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①立体文物影像输出7张，包括顶面、底面、侧面以及全形图；扁平文物影像输出3张，包括正面、背面、全形图；</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②平面文物影像输出正面1张；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③成套文物影像输出数量根据组件数量调整；</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④局部影像根据文物实际情况拍摄，保证文物信息完整。</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（2）成果质量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①珍贵文物影像输出为RAW或TIFF格式文件，色彩空间为Adobe RGB，色彩深度为16bit；一般文物影像宜输出为TIFF或JPEG格式文件，色彩空间为Adobe RGB，色彩深度不小于8bit；</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②立体文物档案留存级影像，珍贵文物有效像素≥5000万，一般文物有效像素≥3000万；平面文物档案留存级影像，珍贵文物采样分辨率≥300dpi，一般文物采样分辨率≥200dpi，其他级别输出影像按下表：</w:t>
      </w:r>
      <w:r/>
    </w:p>
    <w:tbl>
      <w:tblPr>
        <w:tblStyle w:val="104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57" w:type="dxa"/>
          <w:right w:w="0" w:type="dxa"/>
          <w:bottom w:w="0" w:type="dxa"/>
        </w:tblCellMar>
        <w:tblLook w:val="04A0" w:firstRow="1" w:lastRow="0" w:firstColumn="1" w:lastColumn="0" w:noHBand="0" w:noVBand="1"/>
      </w:tblPr>
      <w:tblGrid>
        <w:gridCol w:w="1207"/>
        <w:gridCol w:w="1498"/>
        <w:gridCol w:w="1574"/>
        <w:gridCol w:w="1349"/>
        <w:gridCol w:w="3432"/>
      </w:tblGrid>
      <w:tr>
        <w:trPr>
          <w:jc w:val="center"/>
          <w:trHeight w:val="567"/>
        </w:trPr>
        <w:tc>
          <w:tcPr>
            <w:tcW w:w="66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影像用途</w:t>
            </w:r>
            <w:r/>
          </w:p>
        </w:tc>
        <w:tc>
          <w:tcPr>
            <w:tcW w:w="82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影像格式</w:t>
            </w:r>
            <w:r/>
          </w:p>
        </w:tc>
        <w:tc>
          <w:tcPr>
            <w:tcW w:w="868"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文件大小</w:t>
            </w:r>
            <w:r/>
          </w:p>
        </w:tc>
        <w:tc>
          <w:tcPr>
            <w:tcW w:w="744"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色彩空间</w:t>
            </w:r>
            <w:r/>
          </w:p>
        </w:tc>
        <w:tc>
          <w:tcPr>
            <w:tcW w:w="1893"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分辨率</w:t>
            </w:r>
            <w:r/>
          </w:p>
        </w:tc>
      </w:tr>
      <w:tr>
        <w:trPr>
          <w:jc w:val="center"/>
          <w:trHeight w:val="567"/>
        </w:trPr>
        <w:tc>
          <w:tcPr>
            <w:tcW w:w="666" w:type="pct"/>
            <w:vAlign w:val="center"/>
            <w:textDirection w:val="lrTb"/>
            <w:noWrap w:val="false"/>
          </w:tcPr>
          <w:p>
            <w:pPr>
              <w:ind w:left="0" w:firstLine="0"/>
              <w:jc w:val="center"/>
              <w:keepLines w:val="0"/>
              <w:keepNext w:val="0"/>
              <w:pageBreakBefore w:val="0"/>
              <w:spacing w:before="0" w:line="36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档案留存</w:t>
            </w:r>
            <w:r/>
          </w:p>
        </w:tc>
        <w:tc>
          <w:tcPr>
            <w:tcW w:w="82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TIFF</w:t>
            </w:r>
            <w:r/>
          </w:p>
        </w:tc>
        <w:tc>
          <w:tcPr>
            <w:tcW w:w="868"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不小于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0 M</w:t>
            </w:r>
            <w:r/>
          </w:p>
        </w:tc>
        <w:tc>
          <w:tcPr>
            <w:tcW w:w="744"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Adobe RGB</w:t>
            </w:r>
            <w:r/>
          </w:p>
        </w:tc>
        <w:tc>
          <w:tcPr>
            <w:tcW w:w="1893"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cs="宋体"/>
                <w:b w:val="0"/>
                <w:bCs w:val="0"/>
                <w:color w:val="000000" w:themeColor="text1"/>
                <w:sz w:val="24"/>
                <w:szCs w:val="24"/>
                <w:highlight w:val="none"/>
                <w:lang w:val="en-US" w:eastAsia="zh-CN"/>
                <w14:textFill>
                  <w14:solidFill>
                    <w14:schemeClr w14:val="tx1"/>
                  </w14:solidFill>
                </w14:textFill>
              </w:rPr>
              <w:t xml:space="preserve">—</w:t>
            </w:r>
            <w:r/>
          </w:p>
        </w:tc>
      </w:tr>
      <w:tr>
        <w:trPr>
          <w:jc w:val="center"/>
          <w:trHeight w:val="567"/>
        </w:trPr>
        <w:tc>
          <w:tcPr>
            <w:tcW w:w="66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文物图录</w:t>
            </w:r>
            <w:r/>
          </w:p>
        </w:tc>
        <w:tc>
          <w:tcPr>
            <w:tcW w:w="82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TIFF</w:t>
            </w:r>
            <w:r/>
          </w:p>
        </w:tc>
        <w:tc>
          <w:tcPr>
            <w:tcW w:w="868"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不小于30 M</w:t>
            </w:r>
            <w:r/>
          </w:p>
        </w:tc>
        <w:tc>
          <w:tcPr>
            <w:tcW w:w="744"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Adobe RGB</w:t>
            </w:r>
            <w:r/>
          </w:p>
        </w:tc>
        <w:tc>
          <w:tcPr>
            <w:tcW w:w="1893"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b w:val="0"/>
                <w:bCs w:val="0"/>
                <w:color w:val="000000" w:themeColor="text1"/>
                <w:sz w:val="24"/>
                <w:szCs w:val="24"/>
                <w:highlight w:val="none"/>
                <w:lang w:val="en-US" w:eastAsia="zh-CN"/>
                <w14:textFill>
                  <w14:solidFill>
                    <w14:schemeClr w14:val="tx1"/>
                  </w14:solidFill>
                </w14:textFill>
              </w:rPr>
              <w:t xml:space="preserve">—</w:t>
            </w:r>
            <w:r/>
          </w:p>
        </w:tc>
      </w:tr>
      <w:tr>
        <w:trPr>
          <w:jc w:val="center"/>
          <w:trHeight w:val="567"/>
        </w:trPr>
        <w:tc>
          <w:tcPr>
            <w:tcW w:w="66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论文配图</w:t>
            </w:r>
            <w:r/>
          </w:p>
        </w:tc>
        <w:tc>
          <w:tcPr>
            <w:tcW w:w="82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TIFF、JPEG</w:t>
            </w:r>
            <w:r/>
          </w:p>
        </w:tc>
        <w:tc>
          <w:tcPr>
            <w:tcW w:w="868"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不小于15 M</w:t>
            </w:r>
            <w:r/>
          </w:p>
        </w:tc>
        <w:tc>
          <w:tcPr>
            <w:tcW w:w="744"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Adobe RGB</w:t>
            </w:r>
            <w:r/>
          </w:p>
        </w:tc>
        <w:tc>
          <w:tcPr>
            <w:tcW w:w="1893"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b w:val="0"/>
                <w:bCs w:val="0"/>
                <w:color w:val="000000" w:themeColor="text1"/>
                <w:sz w:val="24"/>
                <w:szCs w:val="24"/>
                <w:highlight w:val="none"/>
                <w:lang w:val="en-US" w:eastAsia="zh-CN"/>
                <w14:textFill>
                  <w14:solidFill>
                    <w14:schemeClr w14:val="tx1"/>
                  </w14:solidFill>
                </w14:textFill>
              </w:rPr>
              <w:t xml:space="preserve">—</w:t>
            </w:r>
            <w:r/>
          </w:p>
        </w:tc>
      </w:tr>
      <w:tr>
        <w:trPr>
          <w:jc w:val="center"/>
          <w:trHeight w:val="567"/>
        </w:trPr>
        <w:tc>
          <w:tcPr>
            <w:tcW w:w="66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网络宣传</w:t>
            </w:r>
            <w:r/>
          </w:p>
        </w:tc>
        <w:tc>
          <w:tcPr>
            <w:tcW w:w="82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JPEG</w:t>
            </w:r>
            <w:r/>
          </w:p>
        </w:tc>
        <w:tc>
          <w:tcPr>
            <w:tcW w:w="868"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不小于2M</w:t>
            </w:r>
            <w:r/>
          </w:p>
        </w:tc>
        <w:tc>
          <w:tcPr>
            <w:tcW w:w="744"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sRGB</w:t>
            </w:r>
            <w:r/>
          </w:p>
        </w:tc>
        <w:tc>
          <w:tcPr>
            <w:tcW w:w="1893"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不小于1920×1080像素数</w:t>
            </w:r>
            <w:r/>
          </w:p>
        </w:tc>
      </w:tr>
      <w:tr>
        <w:trPr>
          <w:jc w:val="center"/>
          <w:trHeight w:val="567"/>
        </w:trPr>
        <w:tc>
          <w:tcPr>
            <w:tcW w:w="66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数字展示</w:t>
            </w:r>
            <w:r/>
          </w:p>
        </w:tc>
        <w:tc>
          <w:tcPr>
            <w:tcW w:w="826"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JPEG</w:t>
            </w:r>
            <w:r/>
          </w:p>
        </w:tc>
        <w:tc>
          <w:tcPr>
            <w:tcW w:w="868"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不小于5M</w:t>
            </w:r>
            <w:r/>
          </w:p>
        </w:tc>
        <w:tc>
          <w:tcPr>
            <w:tcW w:w="744"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sRGB</w:t>
            </w:r>
            <w:r/>
          </w:p>
        </w:tc>
        <w:tc>
          <w:tcPr>
            <w:tcW w:w="1893" w:type="pct"/>
            <w:vAlign w:val="center"/>
            <w:textDirection w:val="lrTb"/>
            <w:noWrap w:val="false"/>
          </w:tcPr>
          <w:p>
            <w:pPr>
              <w:ind w:left="0" w:firstLine="0"/>
              <w:jc w:val="center"/>
              <w:keepLines w:val="0"/>
              <w:keepNext w:val="0"/>
              <w:pageBreakBefore w:val="0"/>
              <w:spacing w:before="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适配展陈设备</w:t>
            </w:r>
            <w:r/>
          </w:p>
        </w:tc>
      </w:tr>
    </w:tbl>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▲为保障文物二维数字化采集精度和质量，投标人应</w:t>
      </w:r>
      <w:r>
        <w:rPr>
          <w:rFonts w:hint="eastAsia" w:ascii="宋体" w:hAnsi="宋体" w:cs="宋体"/>
          <w:b w:val="0"/>
          <w:bCs w:val="0"/>
          <w:color w:val="auto"/>
          <w:sz w:val="24"/>
          <w:highlight w:val="none"/>
          <w:lang w:val="en-US" w:eastAsia="zh-CN"/>
        </w:rPr>
        <w:t xml:space="preserve">配备</w:t>
      </w:r>
      <w:r>
        <w:rPr>
          <w:rFonts w:hint="eastAsia" w:ascii="宋体" w:hAnsi="宋体" w:eastAsia="宋体" w:cs="宋体"/>
          <w:b w:val="0"/>
          <w:bCs w:val="0"/>
          <w:color w:val="auto"/>
          <w:sz w:val="24"/>
          <w:highlight w:val="none"/>
          <w:lang w:val="en-US" w:eastAsia="zh-CN"/>
        </w:rPr>
        <w:t xml:space="preserve">中画幅数码相机，在投标文件中提供购买/租赁中画幅数码相机及定焦镜头的发票/租赁合同扫描件并加盖投标人公章。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▲同时应</w:t>
      </w:r>
      <w:r>
        <w:rPr>
          <w:rFonts w:hint="eastAsia" w:ascii="宋体" w:hAnsi="宋体" w:cs="宋体"/>
          <w:b w:val="0"/>
          <w:bCs w:val="0"/>
          <w:color w:val="auto"/>
          <w:sz w:val="24"/>
          <w:highlight w:val="none"/>
          <w:lang w:val="en-US" w:eastAsia="zh-CN"/>
        </w:rPr>
        <w:t xml:space="preserve">配备</w:t>
      </w:r>
      <w:r>
        <w:rPr>
          <w:rFonts w:hint="eastAsia" w:ascii="宋体" w:hAnsi="宋体" w:eastAsia="宋体" w:cs="宋体"/>
          <w:b w:val="0"/>
          <w:bCs w:val="0"/>
          <w:color w:val="auto"/>
          <w:sz w:val="24"/>
          <w:highlight w:val="none"/>
          <w:lang w:val="en-US" w:eastAsia="zh-CN"/>
        </w:rPr>
        <w:t xml:space="preserve">23mm广角镜头、63mm标准镜头、120mm微距镜头、100—200mm长焦变焦镜头，需提供购买/租赁该设备的发票/租赁合同扫描件并加盖投标人公章。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▲投标人应具备高清影像采集处理相关的由中华人民共和国国家版权局颁发的计算机软件著作权登记证书并提供证明文件扫描件并加盖投标人公章。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1.3采集清单</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(1)单件类文物</w:t>
      </w:r>
      <w:r/>
    </w:p>
    <w:tbl>
      <w:tblPr>
        <w:tblStyle w:val="77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512"/>
        <w:gridCol w:w="661"/>
        <w:gridCol w:w="3182"/>
        <w:gridCol w:w="513"/>
        <w:gridCol w:w="702"/>
        <w:gridCol w:w="513"/>
        <w:gridCol w:w="513"/>
        <w:gridCol w:w="2674"/>
      </w:tblGrid>
      <w:tr>
        <w:trPr>
          <w:jc w:val="center"/>
          <w:trHeight w:val="706"/>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文物号</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年代</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质地</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文物尺寸信息</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H22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清光绪水程执照</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一级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清光绪</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通长39.4，通宽30.3</w:t>
            </w:r>
            <w:r/>
          </w:p>
        </w:tc>
      </w:tr>
      <w:tr>
        <w:trPr>
          <w:jc w:val="center"/>
          <w:trHeight w:val="1021"/>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G2050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为改变人民武装编制及目前应注意事项的通知</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一级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1942年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15.8×12.8</w:t>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G113</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关于今后各县对行署报告制度的决定</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一级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1942年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37×19.2</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1428</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汉漆耳杯</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漆木器</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口8.7-14</w:t>
            </w:r>
            <w:r>
              <w:rPr>
                <w:rFonts w:hint="eastAsia"/>
                <w:sz w:val="24"/>
                <w:szCs w:val="24"/>
                <w:lang w:eastAsia="zh-CN"/>
              </w:rPr>
              <w:t xml:space="preserve">，</w:t>
            </w:r>
            <w:r>
              <w:rPr>
                <w:rFonts w:hint="eastAsia"/>
                <w:sz w:val="24"/>
                <w:szCs w:val="24"/>
              </w:rPr>
              <w:t xml:space="preserve">底3.6-7.5</w:t>
            </w:r>
            <w:r>
              <w:rPr>
                <w:rFonts w:hint="eastAsia"/>
                <w:sz w:val="24"/>
                <w:szCs w:val="24"/>
                <w:lang w:eastAsia="zh-CN"/>
              </w:rPr>
              <w:t xml:space="preserve">，</w:t>
            </w:r>
            <w:r>
              <w:rPr>
                <w:rFonts w:hint="eastAsia"/>
                <w:sz w:val="24"/>
                <w:szCs w:val="24"/>
              </w:rPr>
              <w:t xml:space="preserve">连耳宽10.8</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1429</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汉漆耳杯</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漆木器</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口7.6-12.7</w:t>
            </w:r>
            <w:r>
              <w:rPr>
                <w:rFonts w:hint="eastAsia"/>
                <w:sz w:val="24"/>
                <w:szCs w:val="24"/>
                <w:lang w:eastAsia="zh-CN"/>
              </w:rPr>
              <w:t xml:space="preserve">，</w:t>
            </w:r>
            <w:r>
              <w:rPr>
                <w:rFonts w:hint="eastAsia"/>
                <w:sz w:val="24"/>
                <w:szCs w:val="24"/>
              </w:rPr>
              <w:t xml:space="preserve">底3.2-7</w:t>
            </w:r>
            <w:r>
              <w:rPr>
                <w:rFonts w:hint="eastAsia"/>
                <w:sz w:val="24"/>
                <w:szCs w:val="24"/>
                <w:lang w:eastAsia="zh-CN"/>
              </w:rPr>
              <w:t xml:space="preserve">，</w:t>
            </w:r>
            <w:r>
              <w:rPr>
                <w:rFonts w:hint="eastAsia"/>
                <w:sz w:val="24"/>
                <w:szCs w:val="24"/>
              </w:rPr>
              <w:t xml:space="preserve">连耳宽9.7</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1696</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汉漆耳杯</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漆木器</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口9.2-15.5</w:t>
            </w:r>
            <w:r>
              <w:rPr>
                <w:rFonts w:hint="eastAsia"/>
                <w:sz w:val="24"/>
                <w:szCs w:val="24"/>
                <w:lang w:eastAsia="zh-CN"/>
              </w:rPr>
              <w:t xml:space="preserve">，</w:t>
            </w:r>
            <w:r>
              <w:rPr>
                <w:rFonts w:hint="eastAsia"/>
                <w:sz w:val="24"/>
                <w:szCs w:val="24"/>
              </w:rPr>
              <w:t xml:space="preserve">底3.5-8.1</w:t>
            </w:r>
            <w:r>
              <w:rPr>
                <w:rFonts w:hint="eastAsia"/>
                <w:sz w:val="24"/>
                <w:szCs w:val="24"/>
                <w:lang w:eastAsia="zh-CN"/>
              </w:rPr>
              <w:t xml:space="preserve">，</w:t>
            </w:r>
            <w:r>
              <w:rPr>
                <w:rFonts w:hint="eastAsia"/>
                <w:sz w:val="24"/>
                <w:szCs w:val="24"/>
              </w:rPr>
              <w:t xml:space="preserve">连耳宽11.5</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1699</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汉漆耳杯</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漆木器</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口9.2-15.5</w:t>
            </w:r>
            <w:r>
              <w:rPr>
                <w:rFonts w:hint="eastAsia"/>
                <w:sz w:val="24"/>
                <w:szCs w:val="24"/>
                <w:lang w:eastAsia="zh-CN"/>
              </w:rPr>
              <w:t xml:space="preserve">，</w:t>
            </w:r>
            <w:r>
              <w:rPr>
                <w:rFonts w:hint="eastAsia"/>
                <w:sz w:val="24"/>
                <w:szCs w:val="24"/>
              </w:rPr>
              <w:t xml:space="preserve">底3.5-8.1</w:t>
            </w:r>
            <w:r>
              <w:rPr>
                <w:rFonts w:hint="eastAsia"/>
                <w:sz w:val="24"/>
                <w:szCs w:val="24"/>
                <w:lang w:eastAsia="zh-CN"/>
              </w:rPr>
              <w:t xml:space="preserve">，</w:t>
            </w:r>
            <w:r>
              <w:rPr>
                <w:rFonts w:hint="eastAsia"/>
                <w:sz w:val="24"/>
                <w:szCs w:val="24"/>
              </w:rPr>
              <w:t xml:space="preserve">连耳宽11.5</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1711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汉素漆盆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漆木器</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口径23，底径9.4</w:t>
            </w:r>
            <w:r>
              <w:rPr>
                <w:rFonts w:hint="eastAsia"/>
                <w:sz w:val="24"/>
                <w:szCs w:val="24"/>
                <w:lang w:eastAsia="zh-CN"/>
              </w:rPr>
              <w:t xml:space="preserve">，</w:t>
            </w:r>
            <w:r>
              <w:rPr>
                <w:rFonts w:hint="eastAsia"/>
                <w:sz w:val="24"/>
                <w:szCs w:val="24"/>
              </w:rPr>
              <w:t xml:space="preserve">高6.2</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1713</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汉素漆盆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漆木器</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口径23，底径9.4，高6.2</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1715</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汉素漆盆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漆木器</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口径23，底径9.4，高6.2</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7055</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漆碗</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通高9.7，口径20.4，底径11.4</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7056</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漆盘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通高3.7，口径19.7，底径13.4</w:t>
            </w:r>
            <w:r/>
          </w:p>
        </w:tc>
      </w:tr>
      <w:tr>
        <w:trPr>
          <w:jc w:val="center"/>
          <w:trHeight w:val="1007"/>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G1075</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关于休养所与修械所的经费标准的通知</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1943年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37×26.7</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G1112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重订契税章程的通令</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1943年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27.4×17.8</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5347</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商半月形双孔石刀</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通长10.2，通宽5.2</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6833</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东晋青釉点褐彩鸡首壶</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东晋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通高9，口径4.9，底径4.1</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3679</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汉青釉弦纹双耳三足带盖陶瓿</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通高28，口径11.5</w:t>
            </w:r>
            <w:r>
              <w:rPr>
                <w:rFonts w:hint="eastAsia"/>
                <w:sz w:val="24"/>
                <w:szCs w:val="24"/>
                <w:lang w:eastAsia="zh-CN"/>
              </w:rPr>
              <w:t xml:space="preserve">，</w:t>
            </w:r>
            <w:r>
              <w:rPr>
                <w:rFonts w:hint="eastAsia"/>
                <w:sz w:val="24"/>
                <w:szCs w:val="24"/>
              </w:rPr>
              <w:t xml:space="preserve">底径16</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7687</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林雪岩、戈湘岚双骏图扇子</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扇骨长31，扇面长49.5，半径18</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7433</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协昌盐号汇票正副票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通长27.6，通宽26.3</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7584</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咸丰四年壹两户部官票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咸丰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通长24.5，通宽15.6</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7585</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咸丰七年壹仟文大清宝钞</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咸丰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通长23.8，通宽13.6</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H26</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民国清理盐田执业凭证</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通长48.7，通宽29.3</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G114</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通令</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1943年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17×13.8</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M23:1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ind w:firstLine="0"/>
              <w:keepLines w:val="0"/>
              <w:keepNext w:val="0"/>
              <w:pageBreakBefore w:val="0"/>
              <w:spacing w:line="300" w:lineRule="exact"/>
              <w:widowControl w:val="off"/>
              <w:rPr>
                <w:sz w:val="24"/>
                <w:szCs w:val="24"/>
              </w:rPr>
            </w:pPr>
            <w:r>
              <w:rPr>
                <w:rFonts w:hint="eastAsia"/>
                <w:sz w:val="24"/>
                <w:szCs w:val="24"/>
              </w:rPr>
              <w:t xml:space="preserve">明代青花瓷罐</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口长：5.6 口宽4.2 高：11.5 底长6.2</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G1150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关于发放优抗证的信件</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抗日战争时期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21.2×12.4</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1801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清金德辉山水画轴</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书画</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通长166厘米，通宽93.5厘米</w:t>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4706</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清姜焘八骏图横幅</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纵122.5，横63.5</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4731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清王素设色山水画轴</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书画</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通长85.5厘米，通宽39.5厘米</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4739</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民国洪沛霖</w:t>
            </w:r>
            <w:r>
              <w:rPr>
                <w:rFonts w:hint="eastAsia"/>
                <w:sz w:val="24"/>
                <w:szCs w:val="24"/>
                <w:lang w:eastAsia="zh-CN"/>
              </w:rPr>
              <w:t xml:space="preserve">“</w:t>
            </w:r>
            <w:r>
              <w:rPr>
                <w:rFonts w:hint="eastAsia"/>
                <w:sz w:val="24"/>
                <w:szCs w:val="24"/>
              </w:rPr>
              <w:t xml:space="preserve">塞外胡笳</w:t>
            </w:r>
            <w:r>
              <w:rPr>
                <w:rFonts w:hint="eastAsia"/>
                <w:sz w:val="24"/>
                <w:szCs w:val="24"/>
                <w:lang w:eastAsia="zh-CN"/>
              </w:rPr>
              <w:t xml:space="preserve">”</w:t>
            </w:r>
            <w:r>
              <w:rPr>
                <w:rFonts w:hint="eastAsia"/>
                <w:sz w:val="24"/>
                <w:szCs w:val="24"/>
              </w:rPr>
              <w:t xml:space="preserve">等画轴</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纵137，横35.5</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7062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清光绪盐务运司衔十家牌</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通长40.5，通宽33.5，</w:t>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7147</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民国川盐银行支票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w:t>
            </w:r>
            <w:r>
              <w:rPr>
                <w:rFonts w:hint="eastAsia"/>
                <w:sz w:val="24"/>
                <w:szCs w:val="24"/>
                <w:lang w:eastAsia="zh-CN"/>
              </w:rPr>
              <w:t xml:space="preserve">：</w:t>
            </w:r>
            <w:r>
              <w:rPr>
                <w:rFonts w:hint="eastAsia"/>
                <w:sz w:val="24"/>
                <w:szCs w:val="24"/>
              </w:rPr>
              <w:t xml:space="preserve">18.6 ，宽</w:t>
            </w:r>
            <w:r>
              <w:rPr>
                <w:rFonts w:hint="eastAsia"/>
                <w:sz w:val="24"/>
                <w:szCs w:val="24"/>
                <w:lang w:eastAsia="zh-CN"/>
              </w:rPr>
              <w:t xml:space="preserve">：</w:t>
            </w:r>
            <w:r>
              <w:rPr>
                <w:rFonts w:hint="eastAsia"/>
                <w:sz w:val="24"/>
                <w:szCs w:val="24"/>
              </w:rPr>
              <w:t xml:space="preserve">7.4</w:t>
            </w:r>
            <w:r/>
          </w:p>
        </w:tc>
      </w:tr>
      <w:tr>
        <w:trPr>
          <w:jc w:val="center"/>
          <w:trHeight w:val="1039"/>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7226</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洪宪元年山东盐运使契尾、民国验买契</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w:t>
            </w:r>
            <w:r>
              <w:rPr>
                <w:rFonts w:hint="eastAsia"/>
                <w:sz w:val="24"/>
                <w:szCs w:val="24"/>
                <w:lang w:eastAsia="zh-CN"/>
              </w:rPr>
              <w:t xml:space="preserve">：</w:t>
            </w:r>
            <w:r>
              <w:rPr>
                <w:rFonts w:hint="eastAsia"/>
                <w:sz w:val="24"/>
                <w:szCs w:val="24"/>
              </w:rPr>
              <w:t xml:space="preserve">53 ，宽</w:t>
            </w:r>
            <w:r>
              <w:rPr>
                <w:rFonts w:hint="eastAsia"/>
                <w:sz w:val="24"/>
                <w:szCs w:val="24"/>
                <w:lang w:eastAsia="zh-CN"/>
              </w:rPr>
              <w:t xml:space="preserve">：</w:t>
            </w:r>
            <w:r>
              <w:rPr>
                <w:rFonts w:hint="eastAsia"/>
                <w:sz w:val="24"/>
                <w:szCs w:val="24"/>
              </w:rPr>
              <w:t xml:space="preserve">84</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7277</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民国十二年财政部秋节支付券</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通长37.5，通宽26.5</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7422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清光绪十八年皖岸督销淮盐总局“皖岸南盐水程执照”</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w:t>
            </w:r>
            <w:r>
              <w:rPr>
                <w:rFonts w:hint="eastAsia"/>
                <w:sz w:val="24"/>
                <w:szCs w:val="24"/>
                <w:lang w:eastAsia="zh-CN"/>
              </w:rPr>
              <w:t xml:space="preserve">：</w:t>
            </w:r>
            <w:r>
              <w:rPr>
                <w:rFonts w:hint="eastAsia"/>
                <w:sz w:val="24"/>
                <w:szCs w:val="24"/>
              </w:rPr>
              <w:t xml:space="preserve">41.3，宽</w:t>
            </w:r>
            <w:r>
              <w:rPr>
                <w:rFonts w:hint="eastAsia"/>
                <w:sz w:val="24"/>
                <w:szCs w:val="24"/>
                <w:lang w:eastAsia="zh-CN"/>
              </w:rPr>
              <w:t xml:space="preserve">：</w:t>
            </w:r>
            <w:r>
              <w:rPr>
                <w:rFonts w:hint="eastAsia"/>
                <w:sz w:val="24"/>
                <w:szCs w:val="24"/>
              </w:rPr>
              <w:t xml:space="preserve">28.6</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7495</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清代陆秀夫拓片</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书画</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长239厘米，宽29.52厘米</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G1170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抗日战争时期盐阜地委关于发起群众献铁献钢的通知</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抗日战争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文件、宣传品</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w:t>
            </w:r>
            <w:r>
              <w:rPr>
                <w:rFonts w:hint="eastAsia"/>
                <w:sz w:val="24"/>
                <w:szCs w:val="24"/>
                <w:lang w:eastAsia="zh-CN"/>
              </w:rPr>
              <w:t xml:space="preserve">：</w:t>
            </w:r>
            <w:r>
              <w:rPr>
                <w:rFonts w:hint="eastAsia"/>
                <w:sz w:val="24"/>
                <w:szCs w:val="24"/>
              </w:rPr>
              <w:t xml:space="preserve">24.6厘米，宽</w:t>
            </w:r>
            <w:r>
              <w:rPr>
                <w:rFonts w:hint="eastAsia"/>
                <w:sz w:val="24"/>
                <w:szCs w:val="24"/>
                <w:lang w:eastAsia="zh-CN"/>
              </w:rPr>
              <w:t xml:space="preserve">：</w:t>
            </w:r>
            <w:r>
              <w:rPr>
                <w:rFonts w:hint="eastAsia"/>
                <w:sz w:val="24"/>
                <w:szCs w:val="24"/>
              </w:rPr>
              <w:t xml:space="preserve">17.8厘米</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G3138</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民国二十年鄂岸榷运分拨运照</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长30.5厘米，宽22.2厘米</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H120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清光绪六年发官盐票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长31.5，宽31.5</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39</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H14</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清光绪三十年新兴场正堂谕</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w:t>
            </w:r>
            <w:r>
              <w:rPr>
                <w:rFonts w:hint="eastAsia"/>
                <w:sz w:val="24"/>
                <w:szCs w:val="24"/>
                <w:lang w:eastAsia="zh-CN"/>
              </w:rPr>
              <w:t xml:space="preserve">：</w:t>
            </w:r>
            <w:r>
              <w:rPr>
                <w:rFonts w:hint="eastAsia"/>
                <w:sz w:val="24"/>
                <w:szCs w:val="24"/>
              </w:rPr>
              <w:t xml:space="preserve">76 ，宽</w:t>
            </w:r>
            <w:r>
              <w:rPr>
                <w:rFonts w:hint="eastAsia"/>
                <w:sz w:val="24"/>
                <w:szCs w:val="24"/>
                <w:lang w:eastAsia="zh-CN"/>
              </w:rPr>
              <w:t xml:space="preserve">：</w:t>
            </w:r>
            <w:r>
              <w:rPr>
                <w:rFonts w:hint="eastAsia"/>
                <w:sz w:val="24"/>
                <w:szCs w:val="24"/>
              </w:rPr>
              <w:t xml:space="preserve">23.6</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H18</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清光绪三十三年新兴场正堂谕</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w:t>
            </w:r>
            <w:r>
              <w:rPr>
                <w:rFonts w:hint="eastAsia"/>
                <w:sz w:val="24"/>
                <w:szCs w:val="24"/>
                <w:lang w:eastAsia="zh-CN"/>
              </w:rPr>
              <w:t xml:space="preserve">：</w:t>
            </w:r>
            <w:r>
              <w:rPr>
                <w:rFonts w:hint="eastAsia"/>
                <w:sz w:val="24"/>
                <w:szCs w:val="24"/>
              </w:rPr>
              <w:t xml:space="preserve">71 ，宽</w:t>
            </w:r>
            <w:r>
              <w:rPr>
                <w:rFonts w:hint="eastAsia"/>
                <w:sz w:val="24"/>
                <w:szCs w:val="24"/>
                <w:lang w:eastAsia="zh-CN"/>
              </w:rPr>
              <w:t xml:space="preserve">：</w:t>
            </w:r>
            <w:r>
              <w:rPr>
                <w:rFonts w:hint="eastAsia"/>
                <w:sz w:val="24"/>
                <w:szCs w:val="24"/>
              </w:rPr>
              <w:t xml:space="preserve">22.7</w:t>
            </w:r>
            <w:r/>
          </w:p>
        </w:tc>
      </w:tr>
      <w:tr>
        <w:trPr>
          <w:jc w:val="center"/>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H23</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ind w:firstLine="0"/>
              <w:keepLines w:val="0"/>
              <w:keepNext w:val="0"/>
              <w:pageBreakBefore w:val="0"/>
              <w:spacing w:line="300" w:lineRule="exact"/>
              <w:widowControl w:val="off"/>
              <w:rPr>
                <w:sz w:val="24"/>
                <w:szCs w:val="24"/>
              </w:rPr>
            </w:pPr>
            <w:r>
              <w:rPr>
                <w:rFonts w:hint="eastAsia"/>
                <w:sz w:val="24"/>
                <w:szCs w:val="24"/>
              </w:rPr>
              <w:t xml:space="preserve">清宣统二年新兴场关于禁止宰杀煎牛的告示</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长64，宽45</w:t>
            </w:r>
            <w:r/>
          </w:p>
        </w:tc>
      </w:tr>
    </w:tbl>
    <w:p>
      <w:pPr>
        <w:pStyle w:val="786"/>
        <w:ind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pStyle w:val="786"/>
        <w:ind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(2)套件类文物</w:t>
      </w:r>
      <w:r/>
    </w:p>
    <w:tbl>
      <w:tblPr>
        <w:tblStyle w:val="77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52"/>
        <w:gridCol w:w="1107"/>
        <w:gridCol w:w="2227"/>
        <w:gridCol w:w="416"/>
        <w:gridCol w:w="818"/>
        <w:gridCol w:w="416"/>
        <w:gridCol w:w="416"/>
        <w:gridCol w:w="3318"/>
      </w:tblGrid>
      <w:tr>
        <w:trPr>
          <w:trHeight w:val="67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文物号</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年代</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质地</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文物尺寸信息</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1617-1625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汉素漆耳杯</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漆</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口12.4</w:t>
            </w:r>
            <w:r>
              <w:rPr>
                <w:rFonts w:hint="eastAsia"/>
                <w:sz w:val="24"/>
                <w:szCs w:val="24"/>
                <w:lang w:eastAsia="zh-CN"/>
              </w:rPr>
              <w:t xml:space="preserve">，</w:t>
            </w:r>
            <w:r>
              <w:rPr>
                <w:rFonts w:hint="eastAsia"/>
                <w:sz w:val="24"/>
                <w:szCs w:val="24"/>
              </w:rPr>
              <w:t xml:space="preserve">连耳宽9.5</w:t>
            </w:r>
            <w:r>
              <w:rPr>
                <w:rFonts w:hint="eastAsia"/>
                <w:sz w:val="24"/>
                <w:szCs w:val="24"/>
                <w:lang w:eastAsia="zh-CN"/>
              </w:rPr>
              <w:t xml:space="preserve">，</w:t>
            </w:r>
            <w:r>
              <w:rPr>
                <w:rFonts w:hint="eastAsia"/>
                <w:sz w:val="24"/>
                <w:szCs w:val="24"/>
              </w:rPr>
              <w:t xml:space="preserve">底6.6</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7582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盐阜银行纸币</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9.7×5,10.2×5.6,10.4×5.6,12.2×5.9,11.2×6.1</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1593-1607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汉代冥器一组</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通长14.5，通宽11，通高13.5</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H54、H57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周代陶圜底罐</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周</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通高11.1，口径11.2，通高14.1，口径11.5</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5926</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胡公石书杜少陵秋兴八首十条屏</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公元20世纪</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纵148，横40</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M46</w:t>
            </w:r>
            <w:r>
              <w:rPr>
                <w:rFonts w:hint="eastAsia"/>
                <w:sz w:val="24"/>
                <w:szCs w:val="24"/>
                <w:lang w:eastAsia="zh-CN"/>
              </w:rPr>
              <w:t xml:space="preserve">:</w:t>
            </w:r>
            <w:r>
              <w:rPr>
                <w:rFonts w:hint="eastAsia"/>
                <w:sz w:val="24"/>
                <w:szCs w:val="24"/>
              </w:rPr>
              <w:t xml:space="preserve">28</w:t>
            </w:r>
            <w:r>
              <w:rPr>
                <w:rFonts w:hint="eastAsia"/>
                <w:sz w:val="24"/>
                <w:szCs w:val="24"/>
                <w:lang w:eastAsia="zh-CN"/>
              </w:rPr>
              <w:t xml:space="preserve">, </w:t>
            </w:r>
            <w:r>
              <w:rPr>
                <w:rFonts w:hint="eastAsia"/>
                <w:sz w:val="24"/>
                <w:szCs w:val="24"/>
              </w:rPr>
              <w:t xml:space="preserve">M46</w:t>
            </w:r>
            <w:r>
              <w:rPr>
                <w:rFonts w:hint="eastAsia"/>
                <w:sz w:val="24"/>
                <w:szCs w:val="24"/>
                <w:lang w:eastAsia="zh-CN"/>
              </w:rPr>
              <w:t xml:space="preserve">:</w:t>
            </w:r>
            <w:r>
              <w:rPr>
                <w:rFonts w:hint="eastAsia"/>
                <w:sz w:val="24"/>
                <w:szCs w:val="24"/>
              </w:rPr>
              <w:t xml:space="preserve">30-M46</w:t>
            </w:r>
            <w:r>
              <w:rPr>
                <w:rFonts w:hint="eastAsia"/>
                <w:sz w:val="24"/>
                <w:szCs w:val="24"/>
                <w:lang w:eastAsia="zh-CN"/>
              </w:rPr>
              <w:t xml:space="preserve">:</w:t>
            </w:r>
            <w:r>
              <w:rPr>
                <w:rFonts w:hint="eastAsia"/>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汉代玉窍塞</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玉</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长1.8，长2，直径0.7长2.2，长4.3宽2，直径0.8长2</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7583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华中银行纸币</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最大10.6×5.6 最小9.6×4.8</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G580-G595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民国朱松华缴费票据</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G580:26cm×9.2cm</w:t>
            </w:r>
            <w:r>
              <w:rPr>
                <w:rFonts w:hint="eastAsia"/>
                <w:sz w:val="24"/>
                <w:szCs w:val="24"/>
                <w:lang w:eastAsia="zh-CN"/>
              </w:rPr>
              <w:t xml:space="preserve">,</w:t>
            </w:r>
            <w:r>
              <w:rPr>
                <w:rFonts w:hint="eastAsia"/>
                <w:sz w:val="24"/>
                <w:szCs w:val="24"/>
              </w:rPr>
              <w:t xml:space="preserve">   G581:24.3cm×7.4cm G582:24.8cm×7.7cm</w:t>
            </w:r>
            <w:r>
              <w:rPr>
                <w:rFonts w:hint="eastAsia"/>
                <w:sz w:val="24"/>
                <w:szCs w:val="24"/>
                <w:lang w:eastAsia="zh-CN"/>
              </w:rPr>
              <w:t xml:space="preserve">,</w:t>
            </w:r>
            <w:r>
              <w:rPr>
                <w:rFonts w:hint="eastAsia"/>
                <w:sz w:val="24"/>
                <w:szCs w:val="24"/>
              </w:rPr>
              <w:t xml:space="preserve">  G583:24.4cm×8.2cm G584:24.5cm×8.2cm</w:t>
            </w:r>
            <w:r>
              <w:rPr>
                <w:rFonts w:hint="eastAsia"/>
                <w:sz w:val="24"/>
                <w:szCs w:val="24"/>
                <w:lang w:eastAsia="zh-CN"/>
              </w:rPr>
              <w:t xml:space="preserve">,</w:t>
            </w:r>
            <w:r>
              <w:rPr>
                <w:rFonts w:hint="eastAsia"/>
                <w:sz w:val="24"/>
                <w:szCs w:val="24"/>
              </w:rPr>
              <w:t xml:space="preserve">  G585:27.4cm×10.5cm G586:23.5cm×10.3cm</w:t>
            </w:r>
            <w:r>
              <w:rPr>
                <w:rFonts w:hint="eastAsia"/>
                <w:sz w:val="24"/>
                <w:szCs w:val="24"/>
                <w:lang w:eastAsia="zh-CN"/>
              </w:rPr>
              <w:t xml:space="preserve">,</w:t>
            </w:r>
            <w:r>
              <w:rPr>
                <w:rFonts w:hint="eastAsia"/>
                <w:sz w:val="24"/>
                <w:szCs w:val="24"/>
              </w:rPr>
              <w:t xml:space="preserve"> G587:23.6cm×10.3cm G588:25.6cm×8.9cm</w:t>
            </w:r>
            <w:r>
              <w:rPr>
                <w:rFonts w:hint="eastAsia"/>
                <w:sz w:val="24"/>
                <w:szCs w:val="24"/>
                <w:lang w:eastAsia="zh-CN"/>
              </w:rPr>
              <w:t xml:space="preserve">,</w:t>
            </w:r>
            <w:r>
              <w:rPr>
                <w:rFonts w:hint="eastAsia"/>
                <w:sz w:val="24"/>
                <w:szCs w:val="24"/>
              </w:rPr>
              <w:t xml:space="preserve">  G589:10.7cm×6.7cm G590:25.2cm×8.6cm</w:t>
            </w:r>
            <w:r>
              <w:rPr>
                <w:rFonts w:hint="eastAsia"/>
                <w:sz w:val="24"/>
                <w:szCs w:val="24"/>
                <w:lang w:eastAsia="zh-CN"/>
              </w:rPr>
              <w:t xml:space="preserve">,</w:t>
            </w:r>
            <w:r>
              <w:rPr>
                <w:rFonts w:hint="eastAsia"/>
                <w:sz w:val="24"/>
                <w:szCs w:val="24"/>
              </w:rPr>
              <w:t xml:space="preserve">  G591:22.6cm×8.5cm G592:22.2cm×9cm</w:t>
            </w:r>
            <w:r>
              <w:rPr>
                <w:rFonts w:hint="eastAsia"/>
                <w:sz w:val="24"/>
                <w:szCs w:val="24"/>
                <w:lang w:eastAsia="zh-CN"/>
              </w:rPr>
              <w:t xml:space="preserve">,</w:t>
            </w:r>
            <w:r>
              <w:rPr>
                <w:rFonts w:hint="eastAsia"/>
                <w:sz w:val="24"/>
                <w:szCs w:val="24"/>
              </w:rPr>
              <w:t xml:space="preserve">   G593:26.1cm×11cm G594:26.2cm×8.5cm</w:t>
            </w:r>
            <w:r>
              <w:rPr>
                <w:rFonts w:hint="eastAsia"/>
                <w:sz w:val="24"/>
                <w:szCs w:val="24"/>
                <w:lang w:eastAsia="zh-CN"/>
              </w:rPr>
              <w:t xml:space="preserve">,</w:t>
            </w:r>
            <w:r>
              <w:rPr>
                <w:rFonts w:hint="eastAsia"/>
                <w:sz w:val="24"/>
                <w:szCs w:val="24"/>
              </w:rPr>
              <w:t xml:space="preserve">  G595:25.2cm×29cm</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7592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中华苏维埃共和国国家银行纸币</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抗战时期</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10.6×12.6</w:t>
            </w:r>
            <w:r>
              <w:rPr>
                <w:rFonts w:hint="eastAsia"/>
                <w:sz w:val="24"/>
                <w:szCs w:val="24"/>
                <w:lang w:eastAsia="zh-CN"/>
              </w:rPr>
              <w:t xml:space="preserve">,</w:t>
            </w:r>
            <w:r>
              <w:rPr>
                <w:rFonts w:hint="eastAsia"/>
                <w:sz w:val="24"/>
                <w:szCs w:val="24"/>
              </w:rPr>
              <w:t xml:space="preserve">4.6×6.9</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G106</w:t>
            </w:r>
            <w:r>
              <w:rPr>
                <w:rFonts w:hint="eastAsia"/>
                <w:sz w:val="24"/>
                <w:szCs w:val="24"/>
                <w:lang w:eastAsia="zh-CN"/>
              </w:rPr>
              <w:t xml:space="preserve">, </w:t>
            </w:r>
            <w:r>
              <w:rPr>
                <w:rFonts w:hint="eastAsia"/>
                <w:sz w:val="24"/>
                <w:szCs w:val="24"/>
              </w:rPr>
              <w:t xml:space="preserve">G107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紧急通知</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1943年</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21.4×17.5</w:t>
            </w:r>
            <w:r>
              <w:rPr>
                <w:rFonts w:hint="eastAsia"/>
                <w:sz w:val="24"/>
                <w:szCs w:val="24"/>
                <w:lang w:eastAsia="zh-CN"/>
              </w:rPr>
              <w:t xml:space="preserve">,</w:t>
            </w:r>
            <w:r>
              <w:rPr>
                <w:rFonts w:hint="eastAsia"/>
                <w:sz w:val="24"/>
                <w:szCs w:val="24"/>
              </w:rPr>
              <w:t xml:space="preserve">17.3×12.9</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G1099</w:t>
            </w:r>
            <w:r>
              <w:rPr>
                <w:rFonts w:hint="eastAsia"/>
                <w:sz w:val="24"/>
                <w:szCs w:val="24"/>
                <w:lang w:eastAsia="zh-CN"/>
              </w:rPr>
              <w:t xml:space="preserve">, </w:t>
            </w:r>
            <w:r>
              <w:rPr>
                <w:rFonts w:hint="eastAsia"/>
                <w:sz w:val="24"/>
                <w:szCs w:val="24"/>
              </w:rPr>
              <w:t xml:space="preserve">G94</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关于恢复与重新确立各种制度的决定</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1943年</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52.6×28.4</w:t>
            </w:r>
            <w:r>
              <w:rPr>
                <w:rFonts w:hint="eastAsia"/>
                <w:sz w:val="24"/>
                <w:szCs w:val="24"/>
                <w:lang w:eastAsia="zh-CN"/>
              </w:rPr>
              <w:t xml:space="preserve">,</w:t>
            </w:r>
            <w:r>
              <w:rPr>
                <w:rFonts w:hint="eastAsia"/>
                <w:sz w:val="24"/>
                <w:szCs w:val="24"/>
              </w:rPr>
              <w:t xml:space="preserve">18.1×13.9</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G1117-G1119</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抗日战争时期参军工作通知</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一级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抗日战争时期</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37×24.8</w:t>
            </w:r>
            <w:r>
              <w:rPr>
                <w:rFonts w:hint="eastAsia"/>
                <w:sz w:val="24"/>
                <w:szCs w:val="24"/>
                <w:lang w:eastAsia="zh-CN"/>
              </w:rPr>
              <w:t xml:space="preserve">,</w:t>
            </w:r>
            <w:r>
              <w:rPr>
                <w:rFonts w:hint="eastAsia"/>
                <w:sz w:val="24"/>
                <w:szCs w:val="24"/>
              </w:rPr>
              <w:t xml:space="preserve">36.5×17.4</w:t>
            </w:r>
            <w:r>
              <w:rPr>
                <w:rFonts w:hint="eastAsia"/>
                <w:sz w:val="24"/>
                <w:szCs w:val="24"/>
                <w:lang w:eastAsia="zh-CN"/>
              </w:rPr>
              <w:t xml:space="preserve">,</w:t>
            </w:r>
            <w:r>
              <w:rPr>
                <w:rFonts w:hint="eastAsia"/>
                <w:sz w:val="24"/>
                <w:szCs w:val="24"/>
              </w:rPr>
              <w:t xml:space="preserve">34.4×27.2</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7577-7579</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江淮银行纸币</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12.8×6.5</w:t>
            </w:r>
            <w:r>
              <w:rPr>
                <w:rFonts w:hint="eastAsia"/>
                <w:sz w:val="24"/>
                <w:szCs w:val="24"/>
                <w:lang w:eastAsia="zh-CN"/>
              </w:rPr>
              <w:t xml:space="preserve">,</w:t>
            </w:r>
            <w:r>
              <w:rPr>
                <w:rFonts w:hint="eastAsia"/>
                <w:sz w:val="24"/>
                <w:szCs w:val="24"/>
              </w:rPr>
              <w:t xml:space="preserve">11.5×6.4</w:t>
            </w:r>
            <w:r>
              <w:rPr>
                <w:rFonts w:hint="eastAsia"/>
                <w:sz w:val="24"/>
                <w:szCs w:val="24"/>
                <w:lang w:eastAsia="zh-CN"/>
              </w:rPr>
              <w:t xml:space="preserve">,</w:t>
            </w:r>
            <w:r>
              <w:rPr>
                <w:rFonts w:hint="eastAsia"/>
                <w:sz w:val="24"/>
                <w:szCs w:val="24"/>
              </w:rPr>
              <w:t xml:space="preserve">10.2×5.1,10.3×5.2</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G2097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抗日战争时期盐阜地委、盐阜区行政公署通知</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抗日战争时期</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长27.8，宽17.5；长34.4，宽24.6</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G2111-G2112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通知</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1944年</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35.8×27.6</w:t>
            </w:r>
            <w:r>
              <w:rPr>
                <w:rFonts w:hint="eastAsia"/>
                <w:sz w:val="24"/>
                <w:szCs w:val="24"/>
                <w:lang w:eastAsia="zh-CN"/>
              </w:rPr>
              <w:t xml:space="preserve">,</w:t>
            </w:r>
            <w:r>
              <w:rPr>
                <w:rFonts w:hint="eastAsia"/>
                <w:sz w:val="24"/>
                <w:szCs w:val="24"/>
              </w:rPr>
              <w:t xml:space="preserve">36.6×26.9</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G2116</w:t>
            </w:r>
            <w:r>
              <w:rPr>
                <w:rFonts w:hint="eastAsia"/>
                <w:sz w:val="24"/>
                <w:szCs w:val="24"/>
                <w:lang w:eastAsia="zh-CN"/>
              </w:rPr>
              <w:t xml:space="preserve">, </w:t>
            </w:r>
            <w:r>
              <w:rPr>
                <w:rFonts w:hint="eastAsia"/>
                <w:sz w:val="24"/>
                <w:szCs w:val="24"/>
              </w:rPr>
              <w:t xml:space="preserve">G95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对年关优抗工作的指示</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1943年</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18.2×12</w:t>
            </w:r>
            <w:r>
              <w:rPr>
                <w:rFonts w:hint="eastAsia"/>
                <w:sz w:val="24"/>
                <w:szCs w:val="24"/>
                <w:lang w:eastAsia="zh-CN"/>
              </w:rPr>
              <w:t xml:space="preserve">,</w:t>
            </w:r>
            <w:r>
              <w:rPr>
                <w:rFonts w:hint="eastAsia"/>
                <w:sz w:val="24"/>
                <w:szCs w:val="24"/>
              </w:rPr>
              <w:t xml:space="preserve">18×13.3</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G2354</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临时记功证</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解放战争时期</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10.8×9.5</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H52、H53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商周时期陶制盔形器</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商周</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通高25.1，口径23.5，通高23.5，口径17</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M51</w:t>
            </w:r>
            <w:r>
              <w:rPr>
                <w:rFonts w:hint="eastAsia"/>
                <w:sz w:val="24"/>
                <w:szCs w:val="24"/>
                <w:lang w:eastAsia="zh-CN"/>
              </w:rPr>
              <w:t xml:space="preserve">:</w:t>
            </w:r>
            <w:r>
              <w:rPr>
                <w:rFonts w:hint="eastAsia"/>
                <w:sz w:val="24"/>
                <w:szCs w:val="24"/>
              </w:rPr>
              <w:t xml:space="preserve">64</w:t>
            </w:r>
            <w:r>
              <w:rPr>
                <w:rFonts w:hint="eastAsia"/>
                <w:sz w:val="24"/>
                <w:szCs w:val="24"/>
                <w:lang w:eastAsia="zh-CN"/>
              </w:rPr>
              <w:t xml:space="preserve">, </w:t>
            </w:r>
            <w:r>
              <w:rPr>
                <w:rFonts w:hint="eastAsia"/>
                <w:sz w:val="24"/>
                <w:szCs w:val="24"/>
              </w:rPr>
              <w:t xml:space="preserve">M51</w:t>
            </w:r>
            <w:r>
              <w:rPr>
                <w:rFonts w:hint="eastAsia"/>
                <w:sz w:val="24"/>
                <w:szCs w:val="24"/>
                <w:lang w:eastAsia="zh-CN"/>
              </w:rPr>
              <w:t xml:space="preserve">:</w:t>
            </w:r>
            <w:r>
              <w:rPr>
                <w:rFonts w:hint="eastAsia"/>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汉代陶鼎</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口18.2 通高19.3；口径21.3底径19高19</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1472</w:t>
            </w:r>
            <w:r>
              <w:rPr>
                <w:rFonts w:hint="eastAsia"/>
                <w:sz w:val="24"/>
                <w:szCs w:val="24"/>
                <w:lang w:eastAsia="zh-CN"/>
              </w:rPr>
              <w:t xml:space="preserve">,</w:t>
            </w:r>
            <w:r>
              <w:rPr>
                <w:rFonts w:hint="eastAsia"/>
                <w:sz w:val="24"/>
                <w:szCs w:val="24"/>
              </w:rPr>
              <w:t xml:space="preserve">1473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汉陶舫</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通高39.5，口边长12，底边长14，通高39.8，口边长12，底边长13.5</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G567-G570</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盐城岸盘匾炳记官盐零售盐票</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15×6.6</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G79</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关于拨运粮草的联合通令</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1943年</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长30.2，宽18.8；长26.4，宽17.6</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M51</w:t>
            </w:r>
            <w:r>
              <w:rPr>
                <w:rFonts w:hint="eastAsia"/>
                <w:sz w:val="24"/>
                <w:szCs w:val="24"/>
                <w:lang w:eastAsia="zh-CN"/>
              </w:rPr>
              <w:t xml:space="preserve">:</w:t>
            </w:r>
            <w:r>
              <w:rPr>
                <w:rFonts w:hint="eastAsia"/>
                <w:sz w:val="24"/>
                <w:szCs w:val="24"/>
              </w:rPr>
              <w:t xml:space="preserve">99</w:t>
            </w:r>
            <w:r>
              <w:rPr>
                <w:rFonts w:hint="eastAsia"/>
                <w:sz w:val="24"/>
                <w:szCs w:val="24"/>
                <w:lang w:eastAsia="zh-CN"/>
              </w:rPr>
              <w:t xml:space="preserve">, </w:t>
            </w:r>
            <w:r>
              <w:rPr>
                <w:rFonts w:hint="eastAsia"/>
                <w:sz w:val="24"/>
                <w:szCs w:val="24"/>
              </w:rPr>
              <w:t xml:space="preserve">M51</w:t>
            </w:r>
            <w:r>
              <w:rPr>
                <w:rFonts w:hint="eastAsia"/>
                <w:sz w:val="24"/>
                <w:szCs w:val="24"/>
                <w:lang w:eastAsia="zh-CN"/>
              </w:rPr>
              <w:t xml:space="preserve">:</w:t>
            </w:r>
            <w:r>
              <w:rPr>
                <w:rFonts w:hint="eastAsia"/>
                <w:sz w:val="24"/>
                <w:szCs w:val="24"/>
              </w:rPr>
              <w:t xml:space="preserve">101</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汉陶盒</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口径21.8底径12高18.8；口19.6 底12 通高19.2</w:t>
            </w:r>
            <w:r/>
          </w:p>
        </w:tc>
      </w:tr>
      <w:tr>
        <w:trPr>
          <w:trHeight w:val="30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7224 7225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民国四年商号食盐支取、运输、销售联同验单执照</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firstLine="0"/>
              <w:jc w:val="center"/>
              <w:keepLines w:val="0"/>
              <w:keepNext w:val="0"/>
              <w:pageBreakBefore w:val="0"/>
              <w:spacing w:line="300" w:lineRule="exact"/>
              <w:widowControl w:val="off"/>
              <w:rPr>
                <w:sz w:val="24"/>
                <w:szCs w:val="24"/>
              </w:rPr>
            </w:pPr>
            <w:r>
              <w:rPr>
                <w:rFonts w:hint="eastAsia"/>
                <w:sz w:val="24"/>
                <w:szCs w:val="24"/>
              </w:rPr>
              <w:t xml:space="preserve">长：28.5 宽15.5；长28.5 宽10.5</w:t>
            </w:r>
            <w:r/>
          </w:p>
        </w:tc>
      </w:tr>
    </w:tbl>
    <w:p>
      <w:pPr>
        <w:pStyle w:val="786"/>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2.珍贵文物多光谱成像要求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本项目需完成5件文物的多光谱成像采集与分析，为后续的文物保护、艺术研究及真实性鉴定提供可靠的数据支持。</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2.1采集制作要求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4"/>
      </w:pPr>
      <w:r>
        <w:rPr>
          <w:rFonts w:hint="eastAsia" w:ascii="宋体" w:hAnsi="宋体" w:eastAsia="宋体" w:cs="宋体"/>
          <w:b w:val="0"/>
          <w:bCs w:val="0"/>
          <w:color w:val="auto"/>
          <w:sz w:val="24"/>
          <w:highlight w:val="none"/>
          <w:lang w:val="en-US" w:eastAsia="zh-CN"/>
        </w:rPr>
        <w:t xml:space="preserve">2.1.1设备要求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（1）多光谱相机</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①光谱范围：400-1000nm；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②光谱波段：≥16；</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③滤波通道宽度（半高宽）：20nm；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④透过率：≥90%；</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⑤截止深度：OD4（0.01%）；</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⑥截止范围：200-1100nm；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⑦CCD制冷方式：风冷；</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⑧图像格式：BMP/PNG/JPG；</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⑨数据输出：10 Gigabit Ethernet（10000Mbit/s）；</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⑩图片质量：≥1600万像素。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（2）便携式工作站</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①CPU：不小于6核12线程3.1Ghz；</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②内存：不小于32G；</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③硬盘：不小于1T。</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（3）卤素光源</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①光谱范围覆盖：400-1000nm；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②色温：3200—5500K；</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③功率：100—250W；</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④工作电压：220V。</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（4）聚焦调试纸和背景纸及白板</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①聚焦调试纸：1m×0.8m；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②背景纸：8m×5m 中灰；</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③白板：250-2500nm  反射比不低于0.9。</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4"/>
      </w:pPr>
      <w:r>
        <w:rPr>
          <w:rFonts w:hint="eastAsia" w:ascii="宋体" w:hAnsi="宋体" w:eastAsia="宋体" w:cs="宋体"/>
          <w:b w:val="0"/>
          <w:bCs w:val="0"/>
          <w:color w:val="auto"/>
          <w:sz w:val="24"/>
          <w:highlight w:val="none"/>
          <w:lang w:val="en-US" w:eastAsia="zh-CN"/>
        </w:rPr>
        <w:t xml:space="preserve">2.1.2采集要求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须提供满足文物摆放、设备布设的充足采集空间，确保作业安全顺畅。并完成多光谱相机、卤素灯、便携式工作站等设备的组装与测试，确保安装牢固、运行正常，消除安全隐患。</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须将相机置于文物中心位置，镜头光轴垂直于文物；调节光源使拍摄区域四角与中心照度差异应≤10%。同时进行分波段试拍，确保各波段影像清晰、亮度均匀，无曝光异常、虚焦等问题，试拍合格后方可正式采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若更换采集对象须重新测光；大型文物分区域拍摄，相邻区域重合度应≥30%。</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2.2成果要求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1)图像格式：BMP/PNG/JPG；</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2)图像分辨率：≥1600万像素；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3)单张图像数据量：≥20M；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4)单次采集图像数量：16张。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▲投标人应具备多光谱采集相关的由中华人民共和国国家版权局颁发的计算机软件著作权登记证书并提供证明文件扫描件并加盖投标人公章。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2.3采集清单</w:t>
      </w:r>
      <w:r/>
    </w:p>
    <w:tbl>
      <w:tblPr>
        <w:tblStyle w:val="7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0" w:type="dxa"/>
        </w:tblCellMar>
        <w:tblLook w:val="04A0" w:firstRow="1" w:lastRow="0" w:firstColumn="1" w:lastColumn="0" w:noHBand="0" w:noVBand="1"/>
      </w:tblPr>
      <w:tblGrid>
        <w:gridCol w:w="547"/>
        <w:gridCol w:w="713"/>
        <w:gridCol w:w="2202"/>
        <w:gridCol w:w="547"/>
        <w:gridCol w:w="878"/>
        <w:gridCol w:w="547"/>
        <w:gridCol w:w="878"/>
        <w:gridCol w:w="2958"/>
      </w:tblGrid>
      <w:tr>
        <w:trPr>
          <w:trHeight w:val="711"/>
        </w:trPr>
        <w:tc>
          <w:tcPr>
            <w:tcW w:w="38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序号</w:t>
            </w:r>
            <w:r/>
          </w:p>
        </w:tc>
        <w:tc>
          <w:tcPr>
            <w:tcW w:w="4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文物号</w:t>
            </w:r>
            <w:r/>
          </w:p>
        </w:tc>
        <w:tc>
          <w:tcPr>
            <w:tcW w:w="99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名称</w:t>
            </w:r>
            <w:r/>
          </w:p>
        </w:tc>
        <w:tc>
          <w:tcPr>
            <w:tcW w:w="41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等级</w:t>
            </w:r>
            <w:r/>
          </w:p>
        </w:tc>
        <w:tc>
          <w:tcPr>
            <w:tcW w:w="616"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年代</w:t>
            </w:r>
            <w:r/>
          </w:p>
        </w:tc>
        <w:tc>
          <w:tcPr>
            <w:tcW w:w="39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数量</w:t>
            </w:r>
            <w:r/>
          </w:p>
        </w:tc>
        <w:tc>
          <w:tcPr>
            <w:tcW w:w="435"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质地</w:t>
            </w:r>
            <w:r/>
          </w:p>
        </w:tc>
        <w:tc>
          <w:tcPr>
            <w:tcW w:w="127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文物尺寸信息</w:t>
            </w:r>
            <w:r/>
          </w:p>
        </w:tc>
      </w:tr>
      <w:tr>
        <w:trPr>
          <w:trHeight w:val="580"/>
        </w:trPr>
        <w:tc>
          <w:tcPr>
            <w:tcW w:w="38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W w:w="4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H22</w:t>
            </w:r>
            <w:r/>
          </w:p>
        </w:tc>
        <w:tc>
          <w:tcPr>
            <w:tcW w:w="99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清光绪水程执照</w:t>
            </w:r>
            <w:r/>
          </w:p>
        </w:tc>
        <w:tc>
          <w:tcPr>
            <w:tcW w:w="41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一级</w:t>
            </w:r>
            <w:r/>
          </w:p>
        </w:tc>
        <w:tc>
          <w:tcPr>
            <w:tcW w:w="616"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清光绪</w:t>
            </w:r>
            <w:r/>
          </w:p>
        </w:tc>
        <w:tc>
          <w:tcPr>
            <w:tcW w:w="39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W w:w="435"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W w:w="127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通长39.4，通宽30.3</w:t>
            </w:r>
            <w:r/>
          </w:p>
        </w:tc>
      </w:tr>
      <w:tr>
        <w:trPr>
          <w:trHeight w:val="300"/>
        </w:trPr>
        <w:tc>
          <w:tcPr>
            <w:tcW w:w="38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W w:w="4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4698</w:t>
            </w:r>
            <w:r/>
          </w:p>
        </w:tc>
        <w:tc>
          <w:tcPr>
            <w:tcW w:w="99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明末清初重彩如来佛像画轴</w:t>
            </w:r>
            <w:r/>
          </w:p>
        </w:tc>
        <w:tc>
          <w:tcPr>
            <w:tcW w:w="41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W w:w="616"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明末清初</w:t>
            </w:r>
            <w:r/>
          </w:p>
        </w:tc>
        <w:tc>
          <w:tcPr>
            <w:tcW w:w="39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W w:w="435"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绢</w:t>
            </w:r>
            <w:r/>
          </w:p>
        </w:tc>
        <w:tc>
          <w:tcPr>
            <w:tcW w:w="127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纵166，横92</w:t>
            </w:r>
            <w:r/>
          </w:p>
        </w:tc>
      </w:tr>
      <w:tr>
        <w:trPr>
          <w:trHeight w:val="300"/>
        </w:trPr>
        <w:tc>
          <w:tcPr>
            <w:tcW w:w="38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3</w:t>
            </w:r>
            <w:r/>
          </w:p>
        </w:tc>
        <w:tc>
          <w:tcPr>
            <w:tcW w:w="4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5318</w:t>
            </w:r>
            <w:r/>
          </w:p>
        </w:tc>
        <w:tc>
          <w:tcPr>
            <w:tcW w:w="99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明达那给译师唐卡</w:t>
            </w:r>
            <w:r/>
          </w:p>
        </w:tc>
        <w:tc>
          <w:tcPr>
            <w:tcW w:w="41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三级</w:t>
            </w:r>
            <w:r/>
          </w:p>
        </w:tc>
        <w:tc>
          <w:tcPr>
            <w:tcW w:w="616"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明</w:t>
            </w:r>
            <w:r/>
          </w:p>
        </w:tc>
        <w:tc>
          <w:tcPr>
            <w:tcW w:w="39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W w:w="435"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棉麻纤维</w:t>
            </w:r>
            <w:r/>
          </w:p>
        </w:tc>
        <w:tc>
          <w:tcPr>
            <w:tcW w:w="127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边框纵118，横67；画心纵70，横42</w:t>
            </w:r>
            <w:r/>
          </w:p>
        </w:tc>
      </w:tr>
      <w:tr>
        <w:trPr>
          <w:trHeight w:val="300"/>
        </w:trPr>
        <w:tc>
          <w:tcPr>
            <w:tcW w:w="38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4</w:t>
            </w:r>
            <w:r/>
          </w:p>
        </w:tc>
        <w:tc>
          <w:tcPr>
            <w:tcW w:w="4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7584</w:t>
            </w:r>
            <w:r/>
          </w:p>
        </w:tc>
        <w:tc>
          <w:tcPr>
            <w:tcW w:w="99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咸丰四年壹两户部官票</w:t>
            </w:r>
            <w:r/>
          </w:p>
        </w:tc>
        <w:tc>
          <w:tcPr>
            <w:tcW w:w="41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W w:w="616"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咸丰</w:t>
            </w:r>
            <w:r/>
          </w:p>
        </w:tc>
        <w:tc>
          <w:tcPr>
            <w:tcW w:w="39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W w:w="435"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W w:w="127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通长24.5，通宽15.6</w:t>
            </w:r>
            <w:r/>
          </w:p>
        </w:tc>
      </w:tr>
      <w:tr>
        <w:trPr>
          <w:trHeight w:val="300"/>
        </w:trPr>
        <w:tc>
          <w:tcPr>
            <w:tcW w:w="38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5</w:t>
            </w:r>
            <w:r/>
          </w:p>
        </w:tc>
        <w:tc>
          <w:tcPr>
            <w:tcW w:w="48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7585</w:t>
            </w:r>
            <w:r/>
          </w:p>
        </w:tc>
        <w:tc>
          <w:tcPr>
            <w:tcW w:w="99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咸丰七年壹仟文大清宝钞</w:t>
            </w:r>
            <w:r/>
          </w:p>
        </w:tc>
        <w:tc>
          <w:tcPr>
            <w:tcW w:w="413"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W w:w="616"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咸丰</w:t>
            </w:r>
            <w:r/>
          </w:p>
        </w:tc>
        <w:tc>
          <w:tcPr>
            <w:tcW w:w="391"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W w:w="435"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纸</w:t>
            </w:r>
            <w:r/>
          </w:p>
        </w:tc>
        <w:tc>
          <w:tcPr>
            <w:tcW w:w="127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通长23.8，通宽13.6</w:t>
            </w:r>
            <w:r/>
          </w:p>
        </w:tc>
      </w:tr>
    </w:tbl>
    <w:p>
      <w:pPr>
        <w:pStyle w:val="786"/>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3.珍贵文物数字拓片制作要求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本项目须对2件碑刻类文物进行数字拓片制作。</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3.1采集制作要求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须采用激光扫描设备对碑刻文物进行三维扫描，获取三维空间信息并完成模型重建；基于模型生成深度图，通过专业软件调整曲线、增强暗部细节；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须通过计算模型顶点法向量、深度信息生成灰度值，利用OpenGL渲染管线完成数字拓片生成，并根据拓片质量选用边缘检测、滤波、形态学处理等方式优化效果；</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须将最终渲染成果输出为标准图片格式，通过背景去除、边缘检测及数学形态学运算提取有效图像，按要求整理保存并归档。</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3.2成果要求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（1）比例尺正确，大小形状应与原物一致，拓片方向应与文物摆放或观赏方向一致；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（2）背景应使用灰白色纸张纹理填充；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（3）从三维投影到平面的投影方式应为透视投影。数字拓片字口或图案线条应保持清晰，字口或图案边缘应保持线条连续、平滑，无毛刺；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（4）数字拓片成果各部分应确保位置关系、结构关系正确，结构层次清晰，数字拓片效果与传统拓片中全形拓效果相似；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（5）数据格式应分别提供*.jpg及*.tif格式，影像分辨率应不低于300DPI，色彩模式为灰度，灰度级256级。</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▲投标人应具备通过人工智能进行碑刻数字拓片提取相关的由中华人民共和国国家版权局颁发的计算机软件著作权登记证书并提供证明文件扫描件并加盖投标人公章。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3.3采集清单</w:t>
      </w:r>
      <w:r/>
    </w:p>
    <w:tbl>
      <w:tblPr>
        <w:tblStyle w:val="779"/>
        <w:tblW w:w="5031" w:type="pct"/>
        <w:tblInd w:w="0" w:type="dxa"/>
        <w:tblLayout w:type="fixed"/>
        <w:tblCellMar>
          <w:left w:w="108" w:type="dxa"/>
          <w:top w:w="0" w:type="dxa"/>
          <w:right w:w="108" w:type="dxa"/>
          <w:bottom w:w="0" w:type="dxa"/>
        </w:tblCellMar>
        <w:tblLook w:val="04A0" w:firstRow="1" w:lastRow="0" w:firstColumn="1" w:lastColumn="0" w:noHBand="0" w:noVBand="1"/>
      </w:tblPr>
      <w:tblGrid>
        <w:gridCol w:w="703"/>
        <w:gridCol w:w="900"/>
        <w:gridCol w:w="2685"/>
        <w:gridCol w:w="855"/>
        <w:gridCol w:w="765"/>
        <w:gridCol w:w="765"/>
        <w:gridCol w:w="750"/>
        <w:gridCol w:w="1905"/>
      </w:tblGrid>
      <w:tr>
        <w:trPr>
          <w:trHeight w:val="5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00" w:lineRule="exact"/>
              <w:widowControl w:val="off"/>
              <w:rPr>
                <w:sz w:val="24"/>
                <w:szCs w:val="24"/>
                <w:highlight w:val="none"/>
              </w:rPr>
            </w:pPr>
            <w:r>
              <w:rPr>
                <w:rFonts w:hint="eastAsia"/>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firstLine="0"/>
              <w:jc w:val="center"/>
              <w:keepLines w:val="0"/>
              <w:keepNext w:val="0"/>
              <w:pageBreakBefore w:val="0"/>
              <w:spacing w:line="300" w:lineRule="exact"/>
              <w:widowControl w:val="off"/>
              <w:rPr>
                <w:sz w:val="24"/>
                <w:szCs w:val="24"/>
                <w:highlight w:val="none"/>
              </w:rPr>
            </w:pPr>
            <w:r>
              <w:rPr>
                <w:rFonts w:hint="eastAsia"/>
                <w:sz w:val="24"/>
                <w:szCs w:val="24"/>
                <w:highlight w:val="none"/>
              </w:rPr>
              <w:t xml:space="preserve">文物号</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tcPr>
          <w:p>
            <w:pPr>
              <w:ind w:firstLine="0"/>
              <w:jc w:val="center"/>
              <w:keepLines w:val="0"/>
              <w:keepNext w:val="0"/>
              <w:pageBreakBefore w:val="0"/>
              <w:spacing w:line="300" w:lineRule="exact"/>
              <w:widowControl w:val="off"/>
              <w:rPr>
                <w:sz w:val="24"/>
                <w:szCs w:val="24"/>
                <w:highlight w:val="none"/>
              </w:rPr>
            </w:pPr>
            <w:r>
              <w:rPr>
                <w:rFonts w:hint="eastAsia"/>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ind w:firstLine="0"/>
              <w:jc w:val="center"/>
              <w:keepLines w:val="0"/>
              <w:keepNext w:val="0"/>
              <w:pageBreakBefore w:val="0"/>
              <w:spacing w:line="300" w:lineRule="exact"/>
              <w:widowControl w:val="off"/>
              <w:rPr>
                <w:sz w:val="24"/>
                <w:szCs w:val="24"/>
                <w:highlight w:val="none"/>
              </w:rPr>
            </w:pPr>
            <w:r>
              <w:rPr>
                <w:rFonts w:hint="eastAsia"/>
                <w:sz w:val="24"/>
                <w:szCs w:val="24"/>
                <w:highlight w:val="none"/>
              </w:rPr>
              <w:t xml:space="preserve">等级</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ind w:firstLine="0"/>
              <w:jc w:val="center"/>
              <w:keepLines w:val="0"/>
              <w:keepNext w:val="0"/>
              <w:pageBreakBefore w:val="0"/>
              <w:spacing w:line="300" w:lineRule="exact"/>
              <w:widowControl w:val="off"/>
              <w:rPr>
                <w:sz w:val="24"/>
                <w:szCs w:val="24"/>
                <w:highlight w:val="none"/>
              </w:rPr>
            </w:pPr>
            <w:r>
              <w:rPr>
                <w:rFonts w:hint="eastAsia"/>
                <w:sz w:val="24"/>
                <w:szCs w:val="24"/>
                <w:highlight w:val="none"/>
              </w:rPr>
              <w:t xml:space="preserve">年代</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ind w:firstLine="0"/>
              <w:jc w:val="center"/>
              <w:keepLines w:val="0"/>
              <w:keepNext w:val="0"/>
              <w:pageBreakBefore w:val="0"/>
              <w:spacing w:line="300" w:lineRule="exact"/>
              <w:widowControl w:val="off"/>
              <w:rPr>
                <w:sz w:val="24"/>
                <w:szCs w:val="24"/>
                <w:highlight w:val="none"/>
              </w:rPr>
            </w:pPr>
            <w:r>
              <w:rPr>
                <w:rFonts w:hint="eastAsia"/>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ind w:firstLine="0"/>
              <w:jc w:val="center"/>
              <w:keepLines w:val="0"/>
              <w:keepNext w:val="0"/>
              <w:pageBreakBefore w:val="0"/>
              <w:spacing w:line="300" w:lineRule="exact"/>
              <w:widowControl w:val="off"/>
              <w:rPr>
                <w:sz w:val="24"/>
                <w:szCs w:val="24"/>
                <w:highlight w:val="none"/>
              </w:rPr>
            </w:pPr>
            <w:r>
              <w:rPr>
                <w:rFonts w:hint="eastAsia"/>
                <w:sz w:val="24"/>
                <w:szCs w:val="24"/>
                <w:highlight w:val="none"/>
              </w:rPr>
              <w:t xml:space="preserve">质地</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ind w:firstLine="0"/>
              <w:jc w:val="center"/>
              <w:keepLines w:val="0"/>
              <w:keepNext w:val="0"/>
              <w:pageBreakBefore w:val="0"/>
              <w:spacing w:line="300" w:lineRule="exact"/>
              <w:widowControl w:val="off"/>
              <w:rPr>
                <w:sz w:val="24"/>
                <w:szCs w:val="24"/>
                <w:highlight w:val="none"/>
              </w:rPr>
            </w:pPr>
            <w:r>
              <w:rPr>
                <w:rFonts w:hint="eastAsia"/>
                <w:sz w:val="24"/>
                <w:szCs w:val="24"/>
                <w:highlight w:val="none"/>
              </w:rPr>
              <w:t xml:space="preserve">文物尺寸信息</w:t>
            </w:r>
            <w:r/>
          </w:p>
        </w:tc>
      </w:tr>
      <w:tr>
        <w:trPr>
          <w:trHeight w:val="639"/>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7544</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民国重修北恒丰堤纪念碑</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ind w:firstLine="0"/>
              <w:jc w:val="center"/>
              <w:keepLines w:val="0"/>
              <w:keepNext w:val="0"/>
              <w:pageBreakBefore w:val="0"/>
              <w:spacing w:line="300" w:lineRule="exact"/>
              <w:widowControl w:val="off"/>
              <w:rPr>
                <w:rFonts w:hint="eastAsia" w:eastAsia="宋体"/>
                <w:sz w:val="24"/>
                <w:szCs w:val="24"/>
                <w:lang w:val="en-US" w:eastAsia="zh-CN"/>
              </w:rPr>
            </w:pPr>
            <w:r>
              <w:rPr>
                <w:rFonts w:hint="eastAsia"/>
                <w:sz w:val="24"/>
                <w:szCs w:val="24"/>
              </w:rPr>
              <w:t xml:space="preserve">通长127，通宽40</w:t>
            </w:r>
            <w:r>
              <w:rPr>
                <w:rFonts w:hint="eastAsia"/>
                <w:sz w:val="24"/>
                <w:szCs w:val="24"/>
                <w:lang w:val="en-US" w:eastAsia="zh-CN"/>
              </w:rPr>
              <w:t xml:space="preserve">厘米</w:t>
            </w:r>
            <w:r/>
          </w:p>
        </w:tc>
      </w:tr>
      <w:tr>
        <w:trPr>
          <w:trHeight w:val="709"/>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7191</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咸丰五年署理两淮都转盐运司通州分司勒石</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一般</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ind w:firstLine="0"/>
              <w:jc w:val="center"/>
              <w:keepLines w:val="0"/>
              <w:keepNext w:val="0"/>
              <w:pageBreakBefore w:val="0"/>
              <w:spacing w:line="300" w:lineRule="exact"/>
              <w:widowControl w:val="off"/>
              <w:rPr>
                <w:sz w:val="24"/>
                <w:szCs w:val="24"/>
              </w:rPr>
            </w:pPr>
            <w:r>
              <w:rPr>
                <w:rFonts w:hint="eastAsia"/>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ind w:firstLine="0"/>
              <w:jc w:val="center"/>
              <w:keepLines w:val="0"/>
              <w:keepNext w:val="0"/>
              <w:pageBreakBefore w:val="0"/>
              <w:spacing w:line="300" w:lineRule="exact"/>
              <w:widowControl w:val="off"/>
              <w:rPr>
                <w:rFonts w:hint="default" w:eastAsia="宋体"/>
                <w:sz w:val="24"/>
                <w:szCs w:val="24"/>
                <w:lang w:val="en-US" w:eastAsia="zh-CN"/>
              </w:rPr>
            </w:pPr>
            <w:r>
              <w:rPr>
                <w:rFonts w:hint="eastAsia"/>
                <w:sz w:val="24"/>
                <w:szCs w:val="24"/>
                <w:lang w:val="en-US" w:eastAsia="zh-CN"/>
              </w:rPr>
              <w:t xml:space="preserve">通高120，长58，宽17厘米</w:t>
            </w:r>
            <w:r/>
          </w:p>
        </w:tc>
      </w:tr>
    </w:tbl>
    <w:p>
      <w:pPr>
        <w:pStyle w:val="786"/>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4.珍贵文物三维数据采集制作要求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须完成三维数据采集制作（单件类），共176件，同时完成三维数据采集制作（套件类），共20套，69件。采集过程中应采用非接触式三维激光扫描仪，现场作业需结合所采集文物的实际情况，合理选用相适应的采集方式。同时针对不同类型的文物，应提供针对性采集方案。</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4.1采集制作要求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4"/>
      </w:pPr>
      <w:r>
        <w:rPr>
          <w:rFonts w:hint="eastAsia" w:ascii="宋体" w:hAnsi="宋体" w:eastAsia="宋体" w:cs="宋体"/>
          <w:b w:val="0"/>
          <w:bCs w:val="0"/>
          <w:color w:val="auto"/>
          <w:sz w:val="24"/>
          <w:highlight w:val="none"/>
          <w:lang w:val="en-US" w:eastAsia="zh-CN"/>
        </w:rPr>
        <w:t xml:space="preserve">4.1.1设备要求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（1）三维扫描设备</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①应采用无损、非接触式数据采集设备；</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②扫描工作方式与采集对象的大小、材质等特点相适应；</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③小型文物采用手持式三维扫描仪，设备精度≤0.01mm，扫描分辨率≤0.01mm；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④中大型文物采用跟踪式三维扫描仪，设备精度≤0.02mm，扫描分辨率≤0.02mm。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（2）照片拍摄设备</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①成像传感器尺寸不小于24mm×36mm；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②成像的 RGB每通道颜色深度值不小于12bit；</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③具有 Adobe RGB及以上色域；</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④单张照片不小于5000万像素；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⑤支持 RAW文件。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（3）照明设备</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①使用冷光源作为照明设备。合理布置光源，文物本体上不应出现影响拍摄质量的阴影、强反光等；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②拍摄光源的色温应为5500K的人工光源，色温偏差不超过10%，显色指数（CRI）≥96，能真实反映文物的纹理色彩及特点。</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③拍摄光源输出稳定，连续拍摄时光源亮度差异≤10%。</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（4）颜色管理设备</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①标准色卡不少于24色，大、中、小规格成套配置；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②显示器能覆盖99%以上的Adobe RGB色彩空间，色彩位深度不小于10bit；</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③显示器使用分光光度计定期进行颜色校准。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（5）模型标准器</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①尺寸不小于采集对象的1/3，且不大于采集对象的3倍；</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②精度指标不低于采集技术指标；</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③具有已知几何参数。</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▲为保障文物三维数字化采集精度和质量，投标人应</w:t>
      </w:r>
      <w:r>
        <w:rPr>
          <w:rFonts w:hint="eastAsia" w:ascii="宋体" w:hAnsi="宋体" w:cs="宋体"/>
          <w:b w:val="0"/>
          <w:bCs w:val="0"/>
          <w:color w:val="auto"/>
          <w:sz w:val="24"/>
          <w:highlight w:val="none"/>
          <w:lang w:val="en-US" w:eastAsia="zh-CN"/>
        </w:rPr>
        <w:t xml:space="preserve">配备</w:t>
      </w:r>
      <w:r>
        <w:rPr>
          <w:rFonts w:hint="eastAsia" w:ascii="宋体" w:hAnsi="宋体" w:eastAsia="宋体" w:cs="宋体"/>
          <w:b w:val="0"/>
          <w:bCs w:val="0"/>
          <w:color w:val="auto"/>
          <w:sz w:val="24"/>
          <w:highlight w:val="none"/>
          <w:lang w:val="en-US" w:eastAsia="zh-CN"/>
        </w:rPr>
        <w:t xml:space="preserve">复合式、跟踪式三维扫描仪设备，并在响应文件中提供购买/租赁扫描仪设备的发票/租赁合同扫描件和国家认可的第三方检测机构出具的符合精度要求的检验报告扫描件。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▲为保障文物三维数字化纹理采集精度和质量，投标人应</w:t>
      </w:r>
      <w:r>
        <w:rPr>
          <w:rFonts w:hint="eastAsia" w:ascii="宋体" w:hAnsi="宋体" w:cs="宋体"/>
          <w:b w:val="0"/>
          <w:bCs w:val="0"/>
          <w:color w:val="auto"/>
          <w:sz w:val="24"/>
          <w:highlight w:val="none"/>
          <w:lang w:val="en-US" w:eastAsia="zh-CN"/>
        </w:rPr>
        <w:t xml:space="preserve">配备</w:t>
      </w:r>
      <w:r>
        <w:rPr>
          <w:rFonts w:hint="eastAsia" w:ascii="宋体" w:hAnsi="宋体" w:eastAsia="宋体" w:cs="宋体"/>
          <w:b w:val="0"/>
          <w:bCs w:val="0"/>
          <w:color w:val="auto"/>
          <w:sz w:val="24"/>
          <w:highlight w:val="none"/>
          <w:lang w:val="en-US" w:eastAsia="zh-CN"/>
        </w:rPr>
        <w:t xml:space="preserve">全画幅数码相机，并在投标文件中提供购买/租赁全画幅数码相机及定焦镜头的发票/租赁合同扫描件并加盖投标人公章。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4"/>
      </w:pPr>
      <w:r>
        <w:rPr>
          <w:rFonts w:hint="eastAsia" w:ascii="宋体" w:hAnsi="宋体" w:eastAsia="宋体" w:cs="宋体"/>
          <w:b w:val="0"/>
          <w:bCs w:val="0"/>
          <w:color w:val="auto"/>
          <w:sz w:val="24"/>
          <w:highlight w:val="none"/>
          <w:lang w:val="en-US" w:eastAsia="zh-CN"/>
        </w:rPr>
        <w:t xml:space="preserve">4.1.2采集要求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（1）点云采集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①在文物旁放置模型标准器并随文物一起扫描；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②针对不同类型藏品特点，有不同的藏品空间数据采集方法；</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③空间数据采集按藏品拆分构造单独采集；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④原始点云数据点云平均点间距≤0.05mm，最大点间距≤0.2mm；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⑤藏品空间数据完整率≥98%，对于少量无法获取的结构（即遮挡、孔洞），进行专业处理，保证三维数据的完整性及后期展示效果。</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（2）纹理采集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①照片采集分辨率高于贴图分辨率；</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②拍摄过程中优先使用定焦镜头，使用非定焦镜头时采取焦距固定措施；</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③文物在照片中的画面占比大于70%；</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④航向重叠度大于80%，旁向重叠度大于60%；</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⑤文物上同一特征点的相邻照片数不少于3张；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⑥在文物旁放置模型标准器并随文物一起拍摄；</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⑦单张纹理图像受光均匀，明暗无明显差异；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⑧纹理采集时要在同样的光环境下拍摄色卡，供后期校色和加工处理；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⑨拍摄色卡时，色卡放置于文物前方，色卡在照片中的画幅面积占比≥50%。</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（3）三维数字化采集技术指标</w:t>
      </w:r>
      <w:r/>
    </w:p>
    <w:tbl>
      <w:tblPr>
        <w:tblStyle w:val="1047"/>
        <w:tblW w:w="5007" w:type="pct"/>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57" w:type="dxa"/>
          <w:top w:w="28" w:type="dxa"/>
          <w:right w:w="57" w:type="dxa"/>
          <w:bottom w:w="0" w:type="dxa"/>
        </w:tblCellMar>
        <w:tblLook w:val="04A0" w:firstRow="1" w:lastRow="0" w:firstColumn="1" w:lastColumn="0" w:noHBand="0" w:noVBand="1"/>
      </w:tblPr>
      <w:tblGrid>
        <w:gridCol w:w="1561"/>
        <w:gridCol w:w="1335"/>
        <w:gridCol w:w="6285"/>
      </w:tblGrid>
      <w:tr>
        <w:trPr>
          <w:trHeight w:val="703"/>
        </w:trPr>
        <w:tc>
          <w:tcPr>
            <w:tcW w:w="1561"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采集成果类型</w:t>
            </w:r>
            <w:r/>
          </w:p>
        </w:tc>
        <w:tc>
          <w:tcPr>
            <w:tcW w:w="133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内容</w:t>
            </w:r>
            <w:r/>
          </w:p>
        </w:tc>
        <w:tc>
          <w:tcPr>
            <w:tcW w:w="628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技术指标</w:t>
            </w:r>
            <w:r/>
          </w:p>
        </w:tc>
      </w:tr>
      <w:tr>
        <w:trPr>
          <w:trHeight w:val="716"/>
        </w:trPr>
        <w:tc>
          <w:tcPr>
            <w:tcW w:w="1561"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三维扫描数据</w:t>
            </w:r>
            <w:r/>
          </w:p>
        </w:tc>
        <w:tc>
          <w:tcPr>
            <w:tcW w:w="133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点云</w:t>
            </w:r>
            <w:r/>
          </w:p>
        </w:tc>
        <w:tc>
          <w:tcPr>
            <w:tcW w:w="6285" w:type="dxa"/>
            <w:vAlign w:val="center"/>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平均点间距</w:t>
            </w:r>
            <w:r>
              <w:rPr>
                <w:rFonts w:hint="eastAsia" w:ascii="宋体" w:hAnsi="宋体" w:eastAsia="宋体" w:cs="宋体"/>
                <w:color w:val="000000" w:themeColor="text1"/>
                <w:sz w:val="24"/>
                <w:szCs w:val="24"/>
                <w:vertAlign w:val="superscript"/>
                <w14:textFill>
                  <w14:solidFill>
                    <w14:schemeClr w14:val="tx1"/>
                  </w14:solidFill>
                </w14:textFill>
              </w:rPr>
              <w:t xml:space="preserve">a</w:t>
            </w:r>
            <w:r>
              <w:rPr>
                <w:rFonts w:hint="eastAsia" w:ascii="宋体" w:hAnsi="宋体" w:eastAsia="宋体" w:cs="宋体"/>
                <w:color w:val="000000" w:themeColor="text1"/>
                <w:sz w:val="24"/>
                <w:szCs w:val="24"/>
                <w14:textFill>
                  <w14:solidFill>
                    <w14:schemeClr w14:val="tx1"/>
                  </w14:solidFill>
                </w14:textFill>
              </w:rPr>
              <w:t xml:space="preserve"> 小于等于0.05mm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最大点间距</w:t>
            </w:r>
            <w:r>
              <w:rPr>
                <w:rFonts w:hint="eastAsia" w:ascii="宋体" w:hAnsi="宋体" w:eastAsia="宋体" w:cs="宋体"/>
                <w:color w:val="000000" w:themeColor="text1"/>
                <w:sz w:val="24"/>
                <w:szCs w:val="24"/>
                <w:vertAlign w:val="superscript"/>
                <w14:textFill>
                  <w14:solidFill>
                    <w14:schemeClr w14:val="tx1"/>
                  </w14:solidFill>
                </w14:textFill>
              </w:rPr>
              <w:t xml:space="preserve">a </w:t>
            </w:r>
            <w:r>
              <w:rPr>
                <w:rFonts w:hint="eastAsia" w:ascii="宋体" w:hAnsi="宋体" w:eastAsia="宋体" w:cs="宋体"/>
                <w:color w:val="000000" w:themeColor="text1"/>
                <w:sz w:val="24"/>
                <w:szCs w:val="24"/>
                <w14:textFill>
                  <w14:solidFill>
                    <w14:schemeClr w14:val="tx1"/>
                  </w14:solidFill>
                </w14:textFill>
              </w:rPr>
              <w:t xml:space="preserve">小于等于0.20mm</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538"/>
        </w:trPr>
        <w:tc>
          <w:tcPr>
            <w:tcW w:w="1561"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3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网格模型</w:t>
            </w:r>
            <w:r/>
          </w:p>
        </w:tc>
        <w:tc>
          <w:tcPr>
            <w:tcW w:w="6285" w:type="dxa"/>
            <w:vAlign w:val="center"/>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模型精度</w:t>
            </w:r>
            <w:r>
              <w:rPr>
                <w:rFonts w:hint="eastAsia" w:ascii="宋体" w:hAnsi="宋体" w:eastAsia="宋体" w:cs="宋体"/>
                <w:color w:val="000000" w:themeColor="text1"/>
                <w:sz w:val="24"/>
                <w:szCs w:val="24"/>
                <w:vertAlign w:val="superscript"/>
                <w14:textFill>
                  <w14:solidFill>
                    <w14:schemeClr w14:val="tx1"/>
                  </w14:solidFill>
                </w14:textFill>
              </w:rPr>
              <w:t xml:space="preserve">b </w:t>
            </w:r>
            <w:r>
              <w:rPr>
                <w:rFonts w:hint="eastAsia" w:ascii="宋体" w:hAnsi="宋体" w:eastAsia="宋体" w:cs="宋体"/>
                <w:color w:val="000000" w:themeColor="text1"/>
                <w:sz w:val="24"/>
                <w:szCs w:val="24"/>
                <w14:textFill>
                  <w14:solidFill>
                    <w14:schemeClr w14:val="tx1"/>
                  </w14:solidFill>
                </w14:textFill>
              </w:rPr>
              <w:t xml:space="preserve">小于等于0.10mm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完整度大于等于98%</w:t>
            </w:r>
            <w:r/>
          </w:p>
        </w:tc>
      </w:tr>
      <w:tr>
        <w:trPr>
          <w:trHeight w:val="536"/>
        </w:trPr>
        <w:tc>
          <w:tcPr>
            <w:tcW w:w="1561"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摄影测量纹理模型数据</w:t>
            </w:r>
            <w:r>
              <w:rPr>
                <w:rFonts w:hint="eastAsia" w:ascii="宋体" w:hAnsi="宋体" w:eastAsia="宋体" w:cs="宋体"/>
                <w:color w:val="000000" w:themeColor="text1"/>
                <w:sz w:val="24"/>
                <w:szCs w:val="24"/>
                <w:vertAlign w:val="superscript"/>
                <w14:textFill>
                  <w14:solidFill>
                    <w14:schemeClr w14:val="tx1"/>
                  </w14:solidFill>
                </w14:textFill>
              </w:rPr>
              <w:t xml:space="preserve">d</w:t>
            </w:r>
            <w:r/>
          </w:p>
        </w:tc>
        <w:tc>
          <w:tcPr>
            <w:tcW w:w="133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网格模型</w:t>
            </w:r>
            <w:r/>
          </w:p>
        </w:tc>
        <w:tc>
          <w:tcPr>
            <w:tcW w:w="6285" w:type="dxa"/>
            <w:vAlign w:val="center"/>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模型精度</w:t>
            </w:r>
            <w:r>
              <w:rPr>
                <w:rFonts w:hint="eastAsia" w:ascii="宋体" w:hAnsi="宋体" w:eastAsia="宋体" w:cs="宋体"/>
                <w:color w:val="000000" w:themeColor="text1"/>
                <w:sz w:val="24"/>
                <w:szCs w:val="24"/>
                <w:vertAlign w:val="superscript"/>
                <w14:textFill>
                  <w14:solidFill>
                    <w14:schemeClr w14:val="tx1"/>
                  </w14:solidFill>
                </w14:textFill>
              </w:rPr>
              <w:t xml:space="preserve">b</w:t>
            </w:r>
            <w:r>
              <w:rPr>
                <w:rFonts w:hint="eastAsia" w:ascii="宋体" w:hAnsi="宋体" w:eastAsia="宋体" w:cs="宋体"/>
                <w:color w:val="000000" w:themeColor="text1"/>
                <w:sz w:val="24"/>
                <w:szCs w:val="24"/>
                <w14:textFill>
                  <w14:solidFill>
                    <w14:schemeClr w14:val="tx1"/>
                  </w14:solidFill>
                </w14:textFill>
              </w:rPr>
              <w:t xml:space="preserve"> 小于等于0.15mm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完整度大于等于95%</w:t>
            </w:r>
            <w:r/>
          </w:p>
        </w:tc>
      </w:tr>
      <w:tr>
        <w:trPr>
          <w:trHeight w:val="748"/>
        </w:trPr>
        <w:tc>
          <w:tcPr>
            <w:tcW w:w="1561"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3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纹理贴图</w:t>
            </w:r>
            <w:r/>
          </w:p>
        </w:tc>
        <w:tc>
          <w:tcPr>
            <w:tcW w:w="6285" w:type="dxa"/>
            <w:vAlign w:val="center"/>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贴图分辨率</w:t>
            </w:r>
            <w:r>
              <w:rPr>
                <w:rFonts w:hint="eastAsia" w:ascii="宋体" w:hAnsi="宋体" w:eastAsia="宋体" w:cs="宋体"/>
                <w:color w:val="000000" w:themeColor="text1"/>
                <w:sz w:val="24"/>
                <w:szCs w:val="24"/>
                <w:vertAlign w:val="superscript"/>
                <w14:textFill>
                  <w14:solidFill>
                    <w14:schemeClr w14:val="tx1"/>
                  </w14:solidFill>
                </w14:textFill>
              </w:rPr>
              <w:t xml:space="preserve">c</w:t>
            </w:r>
            <w:r>
              <w:rPr>
                <w:rFonts w:hint="eastAsia" w:ascii="宋体" w:hAnsi="宋体" w:eastAsia="宋体" w:cs="宋体"/>
                <w:color w:val="000000" w:themeColor="text1"/>
                <w:sz w:val="24"/>
                <w:szCs w:val="24"/>
                <w14:textFill>
                  <w14:solidFill>
                    <w14:schemeClr w14:val="tx1"/>
                  </w14:solidFill>
                </w14:textFill>
              </w:rPr>
              <w:t xml:space="preserve"> 大于等于300dpi</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CIEDE2000色差平均值小于等于3.5</w:t>
            </w:r>
            <w:r/>
          </w:p>
        </w:tc>
      </w:tr>
      <w:tr>
        <w:trPr>
          <w:trHeight w:val="581"/>
        </w:trPr>
        <w:tc>
          <w:tcPr>
            <w:gridSpan w:val="3"/>
            <w:tcW w:w="9181" w:type="dxa"/>
            <w:vAlign w:val="center"/>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精度类指标</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 、平均点间距 、最大点间距</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均为中误差。</w:t>
            </w:r>
            <w:r/>
          </w:p>
        </w:tc>
      </w:tr>
      <w:tr>
        <w:trPr>
          <w:trHeight w:val="23"/>
        </w:trPr>
        <w:tc>
          <w:tcPr>
            <w:gridSpan w:val="3"/>
            <w:tcW w:w="9181"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 本表中涉及平均点间距 、最大点间距指标适用于尺寸小于等于0.5</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m的文物 。当文物尺寸大于0.5m时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平均点间距</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最大点间距</w:t>
            </w:r>
            <w:r>
              <w:rPr>
                <w:rFonts w:hint="eastAsia" w:ascii="宋体" w:hAnsi="宋体" w:eastAsia="宋体" w:cs="宋体"/>
                <w:color w:val="000000" w:themeColor="text1"/>
                <w:sz w:val="24"/>
                <w:szCs w:val="24"/>
                <w:lang w:val="en-US" w:eastAsia="zh-CN"/>
                <w14:textFill>
                  <w14:solidFill>
                    <w14:schemeClr w14:val="tx1"/>
                  </w14:solidFill>
                </w14:textFill>
              </w:rPr>
              <w:t xml:space="preserve">根据项目需求制定相关指标</w:t>
            </w:r>
            <w:r>
              <w:rPr>
                <w:rFonts w:hint="eastAsia" w:ascii="宋体" w:hAnsi="宋体" w:eastAsia="宋体" w:cs="宋体"/>
                <w:color w:val="000000" w:themeColor="text1"/>
                <w:sz w:val="24"/>
                <w:szCs w:val="24"/>
                <w14:textFill>
                  <w14:solidFill>
                    <w14:schemeClr w14:val="tx1"/>
                  </w14:solidFill>
                </w14:textFill>
              </w:rPr>
              <w:t xml:space="preserve">。</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 本表中涉及模型精度指标适用于尺寸小于等于 0.50m的文物。当文物尺寸大于0.50m且小于等于5.00m时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模型精度按公式</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B.1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计算。当文物尺寸大于5.00m时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模型精度根据项目需求制定相关指标。</w:t>
            </w:r>
            <w:r/>
          </w:p>
          <w:p>
            <w:pPr>
              <w:ind w:firstLine="0"/>
              <w:jc w:val="left"/>
              <w:keepLines w:val="0"/>
              <w:keepNext w:val="0"/>
              <w:pageBreakBefore w:val="0"/>
              <w:spacing w:line="36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084705" cy="163830"/>
                      <wp:effectExtent l="0" t="0" r="10795" b="762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
                              <pic:cNvPicPr>
                                <a:picLocks noChangeAspect="1"/>
                              </pic:cNvPicPr>
                              <pic:nvPr/>
                            </pic:nvPicPr>
                            <pic:blipFill>
                              <a:blip r:embed="rId17"/>
                              <a:stretch/>
                            </pic:blipFill>
                            <pic:spPr bwMode="auto">
                              <a:xfrm>
                                <a:off x="0" y="0"/>
                                <a:ext cx="2084705" cy="163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2pt;height:12.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themeColor="text1"/>
                <w14:textFill>
                  <w14:solidFill>
                    <w14:schemeClr w14:val="tx1"/>
                  </w14:solidFill>
                </w14:textFill>
              </w:rPr>
              <w:t xml:space="preserve">………………………………(B.1)</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式中</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V—新指标值</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单位为毫米</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mm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B—表中已有指标值</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L—文物三维模型最小包围盒的最长边长度</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单位为米</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 本表中涉及贴图分辨率指标适用于尺寸小于等于0.50m的文物。当文物尺寸大于0.50m且小于等于5.00m时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贴图分辨率按公式</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B.2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计算 。当文物尺寸大于5.00m时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贴图分辨率根据项目需求制定相关指标。</w:t>
            </w:r>
            <w:r/>
          </w:p>
          <w:p>
            <w:pPr>
              <w:ind w:left="0" w:right="0" w:firstLine="0"/>
              <w:jc w:val="left"/>
              <w:keepLines w:val="0"/>
              <w:keepNext w:val="0"/>
              <w:pageBreakBefore w:val="0"/>
              <w:spacing w:before="0" w:line="36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884680" cy="375920"/>
                      <wp:effectExtent l="0" t="0" r="1270" b="508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
                              <pic:cNvPicPr>
                                <a:picLocks noChangeAspect="1"/>
                              </pic:cNvPicPr>
                              <pic:nvPr/>
                            </pic:nvPicPr>
                            <pic:blipFill>
                              <a:blip r:embed="rId18"/>
                              <a:stretch/>
                            </pic:blipFill>
                            <pic:spPr bwMode="auto">
                              <a:xfrm>
                                <a:off x="0" y="0"/>
                                <a:ext cx="1884680" cy="37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4pt;height:29.6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B</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2</w:t>
            </w:r>
            <w:r>
              <w:rPr>
                <w:rFonts w:hint="eastAsia" w:ascii="宋体" w:hAnsi="宋体" w:eastAsia="宋体" w:cs="宋体"/>
                <w:color w:val="000000" w:themeColor="text1"/>
                <w14:textFill>
                  <w14:solidFill>
                    <w14:schemeClr w14:val="tx1"/>
                  </w14:solidFill>
                </w14:textFill>
              </w:rPr>
              <w:t xml:space="preserve">)</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式中</w:t>
            </w:r>
            <w:r>
              <w:rPr>
                <w:rFonts w:hint="eastAsia" w:cs="宋体"/>
                <w:color w:val="000000" w:themeColor="text1"/>
                <w:sz w:val="24"/>
                <w:szCs w:val="24"/>
                <w:lang w:eastAsia="zh-CN"/>
                <w14:textFill>
                  <w14:solidFill>
                    <w14:schemeClr w14:val="tx1"/>
                  </w14:solidFill>
                </w14:textFill>
              </w:rPr>
              <w:t xml:space="preserve">：</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V—新指标值 </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B—表中已有指标值 </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L—文物三维模型最小包围盒的最长边长度</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单位为米  (m) 。</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d 馆藏一级文物使用摄影测量采集三维数据时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技术指标宜为</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模型精度小于等于0.10mm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模型完整度大于等于95%</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贴图分辨率大于等于450dpi</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CIEDE2000色差平均值小于等于3.0。</w:t>
            </w:r>
            <w:r/>
          </w:p>
        </w:tc>
      </w:tr>
    </w:tbl>
    <w:p>
      <w:pPr>
        <w:pStyle w:val="786"/>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4.2成果要求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（1）点云处理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①删除多余点，只保留采集对象的点云数据，对数据进行降噪，并过滤、剔除异常点；</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②采用标靶点、控制点、点云相结合的方式进行分块点云拼接配准，配准后点云尺寸精度≤0.1mm；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③按曲率采样方式进行点云抽稀、抽稀后点云的平均点间距≤0.2mm，最大点间距≤0.5mm。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④输出点云格式应为asc、txt、xyz等通用格式，点云文件坐标轴中心，保证在藏品中心；</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⑤处理后点云采用三角网封装，生成网格模型。</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（2）影像数据处理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①相机、显示器及照片处理软件的颜色空间设置一致；</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②有基于ICC标准的色彩管理流程，藏品影像从raw格式矫正至jpg格式，保证照片色彩还原准确；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③jpg格式矫正输出保持raw原始尺寸大小，影像质量高级别。</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（3）模型数据处理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①网格模型不包含除文物之外的多余部分；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②网格模型中无变形、 叠面 、交叉面 、异常  突出面等缺陷；</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③网格模型格式应为obj等通用格式；</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④纹理模型完整度≥95%，模型精度≤0.2mm。</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（4）贴图处理</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①贴图无模糊、重影等，贴图边缘融合自然、无接缝；</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②UV展开均匀，切线位置合理、无重叠，摆放充满UV格；</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③纹理贴图格式根据实际需求输出，参考格式为jpg、png、tif等；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④法线贴图需要有足够的体积感；</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⑤贴图分辨率≥300dpi，CIEDE2000色差平均值≤3.5；</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⑥与网格模型映射的位置误差≤0.2mm。</w:t>
      </w:r>
      <w:r/>
    </w:p>
    <w:p>
      <w:pPr>
        <w:ind w:firstLine="480"/>
        <w:jc w:val="left"/>
        <w:keepLines w:val="0"/>
        <w:keepNext w:val="0"/>
        <w:pageBreakBefore w:val="0"/>
        <w:spacing w:line="500" w:lineRule="exact"/>
        <w:widowControl/>
        <w:rPr>
          <w:rFonts w:hint="eastAsia"/>
          <w:lang w:val="en-US" w:eastAsia="zh-CN"/>
        </w:rPr>
      </w:pPr>
      <w:r>
        <w:rPr>
          <w:rFonts w:hint="eastAsia" w:ascii="宋体" w:hAnsi="宋体" w:eastAsia="宋体" w:cs="宋体"/>
          <w:b w:val="0"/>
          <w:bCs w:val="0"/>
          <w:color w:val="auto"/>
          <w:sz w:val="24"/>
          <w:highlight w:val="none"/>
          <w:lang w:val="en-US" w:eastAsia="zh-CN"/>
        </w:rPr>
        <w:t xml:space="preserve">（5）三维数字化成果技术指标</w:t>
      </w:r>
      <w:r/>
    </w:p>
    <w:tbl>
      <w:tblPr>
        <w:tblStyle w:val="779"/>
        <w:tblpPr w:horzAnchor="page" w:tblpX="1257" w:vertAnchor="text" w:tblpY="464" w:leftFromText="180" w:topFromText="0" w:rightFromText="180" w:bottomFromText="0"/>
        <w:tblW w:w="53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28" w:type="dxa"/>
          <w:right w:w="57" w:type="dxa"/>
          <w:bottom w:w="28" w:type="dxa"/>
        </w:tblCellMar>
        <w:tblLook w:val="04A0" w:firstRow="1" w:lastRow="0" w:firstColumn="1" w:lastColumn="0" w:noHBand="0" w:noVBand="1"/>
      </w:tblPr>
      <w:tblGrid>
        <w:gridCol w:w="686"/>
        <w:gridCol w:w="724"/>
        <w:gridCol w:w="1145"/>
        <w:gridCol w:w="669"/>
        <w:gridCol w:w="3930"/>
        <w:gridCol w:w="2577"/>
      </w:tblGrid>
      <w:tr>
        <w:trPr>
          <w:trHeight w:val="1007"/>
        </w:trPr>
        <w:tc>
          <w:tcPr>
            <w:gridSpan w:val="2"/>
            <w:tcW w:w="141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加工成果</w:t>
            </w:r>
            <w:r/>
          </w:p>
          <w:p>
            <w:pPr>
              <w:ind w:firstLine="0"/>
              <w:jc w:val="center"/>
              <w:keepLines w:val="0"/>
              <w:keepNext w:val="0"/>
              <w:pageBreakBefore w:val="0"/>
              <w:spacing w:line="3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类型</w:t>
            </w:r>
            <w:r/>
          </w:p>
        </w:tc>
        <w:tc>
          <w:tcPr>
            <w:tcW w:w="114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适用范围</w:t>
            </w:r>
            <w:r/>
          </w:p>
        </w:tc>
        <w:tc>
          <w:tcPr>
            <w:tcW w:w="669"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内容</w:t>
            </w:r>
            <w:r/>
          </w:p>
        </w:tc>
        <w:tc>
          <w:tcPr>
            <w:tcW w:w="393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技术指标</w:t>
            </w:r>
            <w:r/>
          </w:p>
        </w:tc>
        <w:tc>
          <w:tcPr>
            <w:tcW w:w="257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其他技术要求</w:t>
            </w:r>
            <w:r/>
          </w:p>
        </w:tc>
      </w:tr>
      <w:tr>
        <w:trPr>
          <w:trHeight w:val="1490"/>
        </w:trPr>
        <w:tc>
          <w:tcPr>
            <w:tcW w:w="686"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存档数据</w:t>
            </w:r>
            <w:r/>
          </w:p>
        </w:tc>
        <w:tc>
          <w:tcPr>
            <w:tcW w:w="724"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存档</w:t>
            </w:r>
            <w:r/>
          </w:p>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纹理</w:t>
            </w:r>
            <w:r/>
          </w:p>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模型</w:t>
            </w:r>
            <w:r>
              <w:rPr>
                <w:rFonts w:hint="eastAsia" w:ascii="宋体" w:hAnsi="宋体" w:eastAsia="宋体" w:cs="宋体"/>
                <w:color w:val="000000" w:themeColor="text1"/>
                <w:sz w:val="24"/>
                <w:szCs w:val="24"/>
                <w:vertAlign w:val="superscript"/>
                <w14:textFill>
                  <w14:solidFill>
                    <w14:schemeClr w14:val="tx1"/>
                  </w14:solidFill>
                </w14:textFill>
              </w:rPr>
              <w:t xml:space="preserve">d</w:t>
            </w:r>
            <w:r/>
          </w:p>
        </w:tc>
        <w:tc>
          <w:tcPr>
            <w:tcW w:w="1145"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可用于模型数据的长期保存</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为后续应用提供数据基础</w:t>
            </w:r>
            <w:r/>
          </w:p>
        </w:tc>
        <w:tc>
          <w:tcPr>
            <w:tcW w:w="669"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网格模型</w:t>
            </w:r>
            <w:r/>
          </w:p>
        </w:tc>
        <w:tc>
          <w:tcPr>
            <w:tcW w:w="3930" w:type="dxa"/>
            <w:vAlign w:val="center"/>
            <w:textDirection w:val="lrTb"/>
            <w:noWrap w:val="false"/>
          </w:tcPr>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模型完整度大于等于95% </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w:t>
            </w:r>
            <w:r>
              <w:rPr>
                <w:rFonts w:hint="eastAsia" w:ascii="宋体" w:hAnsi="宋体" w:eastAsia="宋体" w:cs="宋体"/>
                <w:color w:val="000000" w:themeColor="text1"/>
                <w:sz w:val="24"/>
                <w:szCs w:val="24"/>
                <w:vertAlign w:val="superscript"/>
                <w14:textFill>
                  <w14:solidFill>
                    <w14:schemeClr w14:val="tx1"/>
                  </w14:solidFill>
                </w14:textFill>
              </w:rPr>
              <w:t xml:space="preserve">a </w:t>
            </w:r>
            <w:r>
              <w:rPr>
                <w:rFonts w:hint="eastAsia" w:ascii="宋体" w:hAnsi="宋体" w:eastAsia="宋体" w:cs="宋体"/>
                <w:color w:val="000000" w:themeColor="text1"/>
                <w:sz w:val="24"/>
                <w:szCs w:val="24"/>
                <w14:textFill>
                  <w14:solidFill>
                    <w14:schemeClr w14:val="tx1"/>
                  </w14:solidFill>
                </w14:textFill>
              </w:rPr>
              <w:t xml:space="preserve">小于等于0.20mm</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平均点间距</w:t>
            </w:r>
            <w:r>
              <w:rPr>
                <w:rFonts w:hint="eastAsia" w:ascii="宋体" w:hAnsi="宋体" w:eastAsia="宋体" w:cs="宋体"/>
                <w:color w:val="000000" w:themeColor="text1"/>
                <w:sz w:val="24"/>
                <w:szCs w:val="24"/>
                <w:vertAlign w:val="superscript"/>
                <w14:textFill>
                  <w14:solidFill>
                    <w14:schemeClr w14:val="tx1"/>
                  </w14:solidFill>
                </w14:textFill>
              </w:rPr>
              <w:t xml:space="preserve">b</w:t>
            </w:r>
            <w:r>
              <w:rPr>
                <w:rFonts w:hint="eastAsia" w:ascii="宋体" w:hAnsi="宋体" w:eastAsia="宋体" w:cs="宋体"/>
                <w:color w:val="000000" w:themeColor="text1"/>
                <w:sz w:val="24"/>
                <w:szCs w:val="24"/>
                <w14:textFill>
                  <w14:solidFill>
                    <w14:schemeClr w14:val="tx1"/>
                  </w14:solidFill>
                </w14:textFill>
              </w:rPr>
              <w:t xml:space="preserve"> 小于等于0.20mm</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d</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最大点间距</w:t>
            </w:r>
            <w:r>
              <w:rPr>
                <w:rFonts w:hint="eastAsia" w:ascii="宋体" w:hAnsi="宋体" w:eastAsia="宋体" w:cs="宋体"/>
                <w:color w:val="000000" w:themeColor="text1"/>
                <w:sz w:val="24"/>
                <w:szCs w:val="24"/>
                <w:vertAlign w:val="superscript"/>
                <w14:textFill>
                  <w14:solidFill>
                    <w14:schemeClr w14:val="tx1"/>
                  </w14:solidFill>
                </w14:textFill>
              </w:rPr>
              <w:t xml:space="preserve">b </w:t>
            </w:r>
            <w:r>
              <w:rPr>
                <w:rFonts w:hint="eastAsia" w:ascii="宋体" w:hAnsi="宋体" w:eastAsia="宋体" w:cs="宋体"/>
                <w:color w:val="000000" w:themeColor="text1"/>
                <w:sz w:val="24"/>
                <w:szCs w:val="24"/>
                <w14:textFill>
                  <w14:solidFill>
                    <w14:schemeClr w14:val="tx1"/>
                  </w14:solidFill>
                </w14:textFill>
              </w:rPr>
              <w:t xml:space="preserve">小于等于0.50mm</w:t>
            </w:r>
            <w:r>
              <w:rPr>
                <w:rFonts w:hint="eastAsia" w:cs="宋体"/>
                <w:color w:val="000000" w:themeColor="text1"/>
                <w:sz w:val="24"/>
                <w:szCs w:val="24"/>
                <w:lang w:eastAsia="zh-CN"/>
                <w14:textFill>
                  <w14:solidFill>
                    <w14:schemeClr w14:val="tx1"/>
                  </w14:solidFill>
                </w14:textFill>
              </w:rPr>
              <w:t xml:space="preserve">。</w:t>
            </w:r>
            <w:r/>
          </w:p>
        </w:tc>
        <w:tc>
          <w:tcPr>
            <w:tcW w:w="2577" w:type="dxa"/>
            <w:vAlign w:val="center"/>
            <w:vMerge w:val="restart"/>
            <w:textDirection w:val="lrTb"/>
            <w:noWrap w:val="false"/>
          </w:tcPr>
          <w:p>
            <w:pPr>
              <w:ind w:left="0" w:righ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网格模型不包含除文物之外的多余部分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righ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网格模型中无变形、 叠面 、交叉面 、异常突出面</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网格模型无接缝</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d</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纹理贴图无模糊、变形</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e</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纹理模型颜色与校色 后摄影测量照片颜色一致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1795"/>
        </w:trPr>
        <w:tc>
          <w:tcPr>
            <w:tcW w:w="686"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24"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4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69"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纹理贴图</w:t>
            </w:r>
            <w:r/>
          </w:p>
        </w:tc>
        <w:tc>
          <w:tcPr>
            <w:tcW w:w="3930" w:type="dxa"/>
            <w:vAlign w:val="center"/>
            <w:textDirection w:val="lrTb"/>
            <w:noWrap w:val="false"/>
          </w:tcPr>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贴图分辨率</w:t>
            </w:r>
            <w:r>
              <w:rPr>
                <w:rFonts w:hint="eastAsia" w:ascii="宋体" w:hAnsi="宋体" w:eastAsia="宋体" w:cs="宋体"/>
                <w:color w:val="000000" w:themeColor="text1"/>
                <w:sz w:val="24"/>
                <w:szCs w:val="24"/>
                <w:vertAlign w:val="superscript"/>
                <w14:textFill>
                  <w14:solidFill>
                    <w14:schemeClr w14:val="tx1"/>
                  </w14:solidFill>
                </w14:textFill>
              </w:rPr>
              <w:t xml:space="preserve">c </w:t>
            </w:r>
            <w:r>
              <w:rPr>
                <w:rFonts w:hint="eastAsia" w:ascii="宋体" w:hAnsi="宋体" w:eastAsia="宋体" w:cs="宋体"/>
                <w:color w:val="000000" w:themeColor="text1"/>
                <w:sz w:val="24"/>
                <w:szCs w:val="24"/>
                <w14:textFill>
                  <w14:solidFill>
                    <w14:schemeClr w14:val="tx1"/>
                  </w14:solidFill>
                </w14:textFill>
              </w:rPr>
              <w:t xml:space="preserve">大于等于300dpi</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righ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b）</w:t>
            </w:r>
            <w:r>
              <w:rPr>
                <w:rFonts w:hint="eastAsia" w:ascii="宋体" w:hAnsi="宋体" w:eastAsia="宋体" w:cs="宋体"/>
                <w:color w:val="000000" w:themeColor="text1"/>
                <w:sz w:val="24"/>
                <w:szCs w:val="24"/>
                <w14:textFill>
                  <w14:solidFill>
                    <w14:schemeClr w14:val="tx1"/>
                  </w14:solidFill>
                </w14:textFill>
              </w:rPr>
              <w:t xml:space="preserve">CIEDE2000色差平均值小于等于3.5</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与网格模型映射的位置误差小于等于0.20mm</w:t>
            </w:r>
            <w:r/>
          </w:p>
        </w:tc>
        <w:tc>
          <w:tcPr>
            <w:tcW w:w="2577" w:type="dxa"/>
            <w:vAlign w:val="center"/>
            <w:vMerge w:val="continue"/>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1577"/>
        </w:trPr>
        <w:tc>
          <w:tcPr>
            <w:tcW w:w="686"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应用数据</w:t>
            </w:r>
            <w:r/>
          </w:p>
        </w:tc>
        <w:tc>
          <w:tcPr>
            <w:tcW w:w="724"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高网</w:t>
            </w:r>
            <w:r/>
          </w:p>
          <w:p>
            <w:pPr>
              <w:ind w:firstLine="0"/>
              <w:jc w:val="center"/>
              <w:keepLines w:val="0"/>
              <w:keepNext w:val="0"/>
              <w:pageBreakBefore w:val="0"/>
              <w:spacing w:line="300" w:lineRule="exact"/>
              <w:widowControl w:val="off"/>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格面</w:t>
            </w:r>
            <w:r/>
          </w:p>
          <w:p>
            <w:pPr>
              <w:ind w:firstLine="0"/>
              <w:jc w:val="center"/>
              <w:keepLines w:val="0"/>
              <w:keepNext w:val="0"/>
              <w:pageBreakBefore w:val="0"/>
              <w:spacing w:line="300" w:lineRule="exact"/>
              <w:widowControl w:val="off"/>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纹理</w:t>
            </w:r>
            <w:r/>
          </w:p>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模型</w:t>
            </w:r>
            <w:r/>
          </w:p>
        </w:tc>
        <w:tc>
          <w:tcPr>
            <w:tcW w:w="1145"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可用于文物修</w:t>
            </w:r>
            <w:r>
              <w:rPr>
                <w:rFonts w:hint="eastAsia" w:ascii="宋体" w:hAnsi="宋体" w:eastAsia="宋体" w:cs="宋体"/>
                <w:color w:val="000000" w:themeColor="text1"/>
                <w:sz w:val="24"/>
                <w:szCs w:val="24"/>
                <w14:textFill>
                  <w14:solidFill>
                    <w14:schemeClr w14:val="tx1"/>
                  </w14:solidFill>
                </w14:textFill>
              </w:rPr>
              <w:t xml:space="preserve">复、研究等领域</w:t>
            </w:r>
            <w:r/>
          </w:p>
        </w:tc>
        <w:tc>
          <w:tcPr>
            <w:tcW w:w="669"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网格模型</w:t>
            </w:r>
            <w:r/>
          </w:p>
        </w:tc>
        <w:tc>
          <w:tcPr>
            <w:tcW w:w="3930" w:type="dxa"/>
            <w:vAlign w:val="center"/>
            <w:textDirection w:val="lrTb"/>
            <w:noWrap w:val="false"/>
          </w:tcPr>
          <w:p>
            <w:pPr>
              <w:ind w:left="0" w:righ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a</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14:textFill>
                  <w14:solidFill>
                    <w14:schemeClr w14:val="tx1"/>
                  </w14:solidFill>
                </w14:textFill>
              </w:rPr>
              <w:t xml:space="preserve">网格面数为相应存档网格模型的</w:t>
            </w:r>
            <w:r>
              <w:rPr>
                <w:rFonts w:hint="eastAsia" w:ascii="宋体" w:hAnsi="宋体" w:eastAsia="宋体" w:cs="宋体"/>
                <w:color w:val="000000" w:themeColor="text1"/>
                <w:spacing w:val="0"/>
                <w:position w:val="0"/>
                <w:sz w:val="24"/>
                <w:szCs w:val="24"/>
                <w14:textFill>
                  <w14:solidFill>
                    <w14:schemeClr w14:val="tx1"/>
                  </w14:solidFill>
                </w14:textFill>
              </w:rPr>
              <w:t xml:space="preserve">50%</w:t>
            </w:r>
            <w:r>
              <w:rPr>
                <w:rFonts w:hint="eastAsia" w:ascii="宋体" w:hAnsi="宋体" w:eastAsia="宋体" w:cs="宋体"/>
                <w:color w:val="000000" w:themeColor="text1"/>
                <w:spacing w:val="0"/>
                <w:position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14:textFill>
                  <w14:solidFill>
                    <w14:schemeClr w14:val="tx1"/>
                  </w14:solidFill>
                </w14:textFill>
              </w:rPr>
              <w:t xml:space="preserve">网格面数宜小于</w:t>
            </w:r>
            <w:r>
              <w:rPr>
                <w:rFonts w:hint="eastAsia" w:cs="宋体"/>
                <w:color w:val="000000" w:themeColor="text1"/>
                <w:spacing w:val="0"/>
                <w:sz w:val="24"/>
                <w:szCs w:val="24"/>
                <w:lang w:val="en-US" w:eastAsia="zh-CN"/>
                <w14:textFill>
                  <w14:solidFill>
                    <w14:schemeClr w14:val="tx1"/>
                  </w14:solidFill>
                </w14:textFill>
              </w:rPr>
              <w:t xml:space="preserve">等于</w:t>
            </w:r>
            <w:r>
              <w:rPr>
                <w:rFonts w:hint="eastAsia" w:ascii="宋体" w:hAnsi="宋体" w:eastAsia="宋体" w:cs="宋体"/>
                <w:color w:val="000000" w:themeColor="text1"/>
                <w:spacing w:val="0"/>
                <w:sz w:val="24"/>
                <w:szCs w:val="24"/>
                <w14:textFill>
                  <w14:solidFill>
                    <w14:schemeClr w14:val="tx1"/>
                  </w14:solidFill>
                </w14:textFill>
              </w:rPr>
              <w:t xml:space="preserve">1000万面</w:t>
            </w:r>
            <w:r>
              <w:rPr>
                <w:rFonts w:hint="eastAsia" w:ascii="宋体" w:hAnsi="宋体" w:eastAsia="宋体" w:cs="宋体"/>
                <w:color w:val="000000" w:themeColor="text1"/>
                <w:spacing w:val="0"/>
                <w:position w:val="0"/>
                <w:sz w:val="24"/>
                <w:szCs w:val="24"/>
                <w:lang w:eastAsia="zh-CN"/>
                <w14:textFill>
                  <w14:solidFill>
                    <w14:schemeClr w14:val="tx1"/>
                  </w14:solidFill>
                </w14:textFill>
              </w:rPr>
              <w:t xml:space="preserve">；</w:t>
            </w:r>
            <w:r/>
          </w:p>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b</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14:textFill>
                  <w14:solidFill>
                    <w14:schemeClr w14:val="tx1"/>
                  </w14:solidFill>
                </w14:textFill>
              </w:rPr>
              <w:t xml:space="preserve">模型完整度为 </w:t>
            </w:r>
            <w:r>
              <w:rPr>
                <w:rFonts w:hint="eastAsia" w:ascii="宋体" w:hAnsi="宋体" w:eastAsia="宋体" w:cs="宋体"/>
                <w:color w:val="000000" w:themeColor="text1"/>
                <w:spacing w:val="0"/>
                <w:position w:val="0"/>
                <w:sz w:val="24"/>
                <w:szCs w:val="24"/>
                <w14:textFill>
                  <w14:solidFill>
                    <w14:schemeClr w14:val="tx1"/>
                  </w14:solidFill>
                </w14:textFill>
              </w:rPr>
              <w:t xml:space="preserve">100%</w:t>
            </w:r>
            <w:r/>
          </w:p>
        </w:tc>
        <w:tc>
          <w:tcPr>
            <w:tcW w:w="2577" w:type="dxa"/>
            <w:vAlign w:val="center"/>
            <w:vMerge w:val="restart"/>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网格模型不包含除文物之外的多余部分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网格模型中无变形、叠面、交叉面、尖锐</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网格模型无接缝 </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d</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纹理贴图无模糊、变形</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e</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纹理模型颜色与校色后摄影测量照片颜色一致 </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f</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网格模型和纹理贴图的 修补区域应与摄影测量 照片的视觉感官一致</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g</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低网格面纹理模型的相邻结构起伏变化小于等于2mm的部分用法线贴图表现</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法线贴图的法线方向和模拟的凹凸程度应与文物形态一致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1666"/>
        </w:trPr>
        <w:tc>
          <w:tcPr>
            <w:tcW w:w="686"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24"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4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69"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纹理贴图</w:t>
            </w:r>
            <w:r/>
          </w:p>
        </w:tc>
        <w:tc>
          <w:tcPr>
            <w:tcW w:w="3930" w:type="dxa"/>
            <w:vAlign w:val="center"/>
            <w:textDirection w:val="lrTb"/>
            <w:noWrap w:val="false"/>
          </w:tcPr>
          <w:p>
            <w:pPr>
              <w:ind w:left="0" w:righ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a</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14:textFill>
                  <w14:solidFill>
                    <w14:schemeClr w14:val="tx1"/>
                  </w14:solidFill>
                </w14:textFill>
              </w:rPr>
              <w:t xml:space="preserve">贴图分辨率大于等于</w:t>
            </w:r>
            <w:r>
              <w:rPr>
                <w:rFonts w:hint="eastAsia" w:ascii="宋体" w:hAnsi="宋体" w:eastAsia="宋体" w:cs="宋体"/>
                <w:color w:val="000000" w:themeColor="text1"/>
                <w:spacing w:val="0"/>
                <w:position w:val="0"/>
                <w:sz w:val="24"/>
                <w:szCs w:val="24"/>
                <w14:textFill>
                  <w14:solidFill>
                    <w14:schemeClr w14:val="tx1"/>
                  </w14:solidFill>
                </w14:textFill>
              </w:rPr>
              <w:t xml:space="preserve">0.5</w:t>
            </w:r>
            <w:r>
              <w:rPr>
                <w:rFonts w:hint="eastAsia" w:ascii="宋体" w:hAnsi="宋体" w:eastAsia="宋体" w:cs="宋体"/>
                <w:color w:val="000000" w:themeColor="text1"/>
                <w:spacing w:val="0"/>
                <w:sz w:val="24"/>
                <w:szCs w:val="24"/>
                <w14:textFill>
                  <w14:solidFill>
                    <w14:schemeClr w14:val="tx1"/>
                  </w14:solidFill>
                </w14:textFill>
              </w:rPr>
              <w:t xml:space="preserve">倍存档纹理模型的纹理贴图分辨率 </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p>
          <w:p>
            <w:pPr>
              <w:ind w:left="0" w:righ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b</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14:textFill>
                  <w14:solidFill>
                    <w14:schemeClr w14:val="tx1"/>
                  </w14:solidFill>
                </w14:textFill>
              </w:rPr>
              <w:t xml:space="preserve">与网格模型映射的位置误差不超过存档纹理模型的纹理贴图与网格模型映射位置误差的2倍</w:t>
            </w:r>
            <w:r/>
          </w:p>
        </w:tc>
        <w:tc>
          <w:tcPr>
            <w:tcW w:w="257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1728"/>
        </w:trPr>
        <w:tc>
          <w:tcPr>
            <w:tcW w:w="686"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24"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低网</w:t>
            </w:r>
            <w:r/>
          </w:p>
          <w:p>
            <w:pPr>
              <w:ind w:firstLine="0"/>
              <w:jc w:val="center"/>
              <w:keepLines w:val="0"/>
              <w:keepNext w:val="0"/>
              <w:pageBreakBefore w:val="0"/>
              <w:spacing w:line="300" w:lineRule="exact"/>
              <w:widowControl w:val="off"/>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格面</w:t>
            </w:r>
            <w:r/>
          </w:p>
          <w:p>
            <w:pPr>
              <w:ind w:firstLine="0"/>
              <w:jc w:val="center"/>
              <w:keepLines w:val="0"/>
              <w:keepNext w:val="0"/>
              <w:pageBreakBefore w:val="0"/>
              <w:spacing w:line="300" w:lineRule="exact"/>
              <w:widowControl w:val="off"/>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纹理</w:t>
            </w:r>
            <w:r/>
          </w:p>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模型</w:t>
            </w:r>
            <w:r/>
          </w:p>
        </w:tc>
        <w:tc>
          <w:tcPr>
            <w:tcW w:w="1145"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可用于文物展示、传播等领域</w:t>
            </w:r>
            <w:r/>
          </w:p>
        </w:tc>
        <w:tc>
          <w:tcPr>
            <w:tcW w:w="669" w:type="dxa"/>
            <w:vAlign w:val="center"/>
            <w:textDirection w:val="lrTb"/>
            <w:noWrap w:val="false"/>
          </w:tcPr>
          <w:p>
            <w:pPr>
              <w:ind w:left="0" w:right="0" w:firstLine="0"/>
              <w:jc w:val="center"/>
              <w:keepLines w:val="0"/>
              <w:keepNext w:val="0"/>
              <w:pageBreakBefore w:val="0"/>
              <w:spacing w:before="0" w:line="300" w:lineRule="exact"/>
              <w:widowControl w:val="off"/>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网格</w:t>
            </w:r>
            <w:r/>
          </w:p>
          <w:p>
            <w:pPr>
              <w:ind w:left="0" w:right="0" w:firstLine="0"/>
              <w:jc w:val="center"/>
              <w:keepLines w:val="0"/>
              <w:keepNext w:val="0"/>
              <w:pageBreakBefore w:val="0"/>
              <w:spacing w:before="0"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模型</w:t>
            </w:r>
            <w:r/>
          </w:p>
        </w:tc>
        <w:tc>
          <w:tcPr>
            <w:tcW w:w="3930" w:type="dxa"/>
            <w:vAlign w:val="center"/>
            <w:textDirection w:val="lrTb"/>
            <w:noWrap w:val="false"/>
          </w:tcPr>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a</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14:textFill>
                  <w14:solidFill>
                    <w14:schemeClr w14:val="tx1"/>
                  </w14:solidFill>
                </w14:textFill>
              </w:rPr>
              <w:t xml:space="preserve">网格面数宜小于等于30万面</w:t>
            </w:r>
            <w:r>
              <w:rPr>
                <w:rFonts w:hint="eastAsia" w:ascii="宋体" w:hAnsi="宋体" w:eastAsia="宋体" w:cs="宋体"/>
                <w:color w:val="000000" w:themeColor="text1"/>
                <w:spacing w:val="0"/>
                <w:position w:val="0"/>
                <w:sz w:val="24"/>
                <w:szCs w:val="24"/>
                <w:lang w:eastAsia="zh-CN"/>
                <w14:textFill>
                  <w14:solidFill>
                    <w14:schemeClr w14:val="tx1"/>
                  </w14:solidFill>
                </w14:textFill>
              </w:rPr>
              <w:t xml:space="preserve">；</w:t>
            </w:r>
            <w:r/>
          </w:p>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b</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14:textFill>
                  <w14:solidFill>
                    <w14:schemeClr w14:val="tx1"/>
                  </w14:solidFill>
                </w14:textFill>
              </w:rPr>
              <w:t xml:space="preserve">模型完整度为</w:t>
            </w:r>
            <w:r>
              <w:rPr>
                <w:rFonts w:hint="eastAsia" w:ascii="宋体" w:hAnsi="宋体" w:eastAsia="宋体" w:cs="宋体"/>
                <w:color w:val="000000" w:themeColor="text1"/>
                <w:spacing w:val="0"/>
                <w:position w:val="0"/>
                <w:sz w:val="24"/>
                <w:szCs w:val="24"/>
                <w14:textFill>
                  <w14:solidFill>
                    <w14:schemeClr w14:val="tx1"/>
                  </w14:solidFill>
                </w14:textFill>
              </w:rPr>
              <w:t xml:space="preserve">100%</w:t>
            </w:r>
            <w:r/>
          </w:p>
        </w:tc>
        <w:tc>
          <w:tcPr>
            <w:tcW w:w="257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23"/>
        </w:trPr>
        <w:tc>
          <w:tcPr>
            <w:tcW w:w="686"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24"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4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69" w:type="dxa"/>
            <w:vAlign w:val="center"/>
            <w:textDirection w:val="lrTb"/>
            <w:noWrap w:val="false"/>
          </w:tcPr>
          <w:p>
            <w:pPr>
              <w:ind w:left="0" w:right="0" w:firstLine="0"/>
              <w:jc w:val="center"/>
              <w:keepLines w:val="0"/>
              <w:keepNext w:val="0"/>
              <w:pageBreakBefore w:val="0"/>
              <w:spacing w:before="0" w:line="300" w:lineRule="exact"/>
              <w:widowControl w:val="off"/>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纹理</w:t>
            </w:r>
            <w:r/>
          </w:p>
          <w:p>
            <w:pPr>
              <w:ind w:left="0" w:right="0" w:firstLine="0"/>
              <w:jc w:val="center"/>
              <w:keepLines w:val="0"/>
              <w:keepNext w:val="0"/>
              <w:pageBreakBefore w:val="0"/>
              <w:spacing w:before="0"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贴图</w:t>
            </w:r>
            <w:r/>
          </w:p>
        </w:tc>
        <w:tc>
          <w:tcPr>
            <w:tcW w:w="3930" w:type="dxa"/>
            <w:vAlign w:val="center"/>
            <w:textDirection w:val="lrTb"/>
            <w:noWrap w:val="false"/>
          </w:tcPr>
          <w:p>
            <w:pPr>
              <w:ind w:left="0" w:firstLine="0"/>
              <w:jc w:val="both"/>
              <w:keepLines w:val="0"/>
              <w:keepNext w:val="0"/>
              <w:pageBreakBefore w:val="0"/>
              <w:spacing w:before="0"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单张纹理贴图满足4096×4096像素</w:t>
            </w:r>
            <w:r/>
          </w:p>
        </w:tc>
        <w:tc>
          <w:tcPr>
            <w:tcW w:w="257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678"/>
        </w:trPr>
        <w:tc>
          <w:tcPr>
            <w:gridSpan w:val="6"/>
            <w:tcW w:w="9731"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精度类指标  </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 、平均点间距 、最大点间距</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均为中误差。</w:t>
            </w:r>
            <w:r/>
          </w:p>
        </w:tc>
      </w:tr>
      <w:tr>
        <w:trPr>
          <w:trHeight w:val="23"/>
        </w:trPr>
        <w:tc>
          <w:tcPr>
            <w:gridSpan w:val="6"/>
            <w:tcW w:w="9731" w:type="dxa"/>
            <w:vAlign w:val="center"/>
            <w:textDirection w:val="lrTb"/>
            <w:noWrap w:val="false"/>
          </w:tcPr>
          <w:p>
            <w:pPr>
              <w:ind w:left="0"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 本表中模型精度指标适用于尺寸小于等于0.50m的文物 。当文物尺寸大于0.50m且小于等于5.00m时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模型精度按公式 (E. 1)  计算</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当文物尺寸大于5.00m时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模型精度根据项目需求制定相关指标。</w:t>
            </w:r>
            <w:r/>
          </w:p>
          <w:p>
            <w:pPr>
              <w:ind w:left="0" w:firstLine="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260600" cy="177800"/>
                      <wp:effectExtent l="0" t="0" r="6350" b="1270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260600" cy="17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8.0pt;height:14.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………………………………(E. 1)</w:t>
            </w:r>
            <w:r/>
          </w:p>
          <w:p>
            <w:pPr>
              <w:ind w:left="0" w:firstLine="0"/>
              <w:jc w:val="left"/>
              <w:keepLines w:val="0"/>
              <w:keepNext w:val="0"/>
              <w:pageBreakBefore w:val="0"/>
              <w:spacing w:before="0" w:line="30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式中</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left="0" w:right="0" w:firstLine="0"/>
              <w:jc w:val="left"/>
              <w:keepLines w:val="0"/>
              <w:keepNext w:val="0"/>
              <w:pageBreakBefore w:val="0"/>
              <w:spacing w:before="0" w:line="300" w:lineRule="exact"/>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V—新指标值</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单位为毫米  (mm) </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left="0" w:right="0" w:firstLine="0"/>
              <w:jc w:val="left"/>
              <w:keepLines w:val="0"/>
              <w:keepNext w:val="0"/>
              <w:pageBreakBefore w:val="0"/>
              <w:spacing w:before="0" w:line="300" w:lineRule="exact"/>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B—表中已有指标值 </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left="0" w:firstLine="0"/>
              <w:jc w:val="left"/>
              <w:keepLines w:val="0"/>
              <w:keepNext w:val="0"/>
              <w:pageBreakBefore w:val="0"/>
              <w:spacing w:line="30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L—文物三维模型最小包围盒的最长边长度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单位为米 (m) 。</w:t>
            </w:r>
            <w:r/>
          </w:p>
          <w:p>
            <w:pPr>
              <w:ind w:left="0" w:right="0" w:firstLine="0"/>
              <w:jc w:val="left"/>
              <w:keepLines w:val="0"/>
              <w:keepNext w:val="0"/>
              <w:pageBreakBefore w:val="0"/>
              <w:spacing w:before="0" w:line="30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b 本表中平均点间距</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最大点间距指标适用于尺寸小于等于5.00m的文物 。当文物尺寸大于5.00m时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平均点间距</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最大点间距根据项目需求制定相关指标。</w:t>
            </w:r>
            <w:r/>
          </w:p>
          <w:p>
            <w:pPr>
              <w:ind w:left="0" w:right="0" w:firstLine="0"/>
              <w:jc w:val="left"/>
              <w:keepLines w:val="0"/>
              <w:keepNext w:val="0"/>
              <w:pageBreakBefore w:val="0"/>
              <w:spacing w:before="0" w:line="30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c 本表中贴图分辨率指标适用于尺寸小于等于0.50m的文物 。当文物尺寸大于0.50m且小于等于5.00m时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贴图分辨率按公式  (E.2) 计算</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当文物尺寸大于5.00m时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贴图分辨率根据项目需求制定相关指标。</w:t>
            </w:r>
            <w:r/>
          </w:p>
          <w:p>
            <w:pPr>
              <w:ind w:left="0" w:right="0" w:firstLine="0"/>
              <w:jc w:val="left"/>
              <w:keepLines w:val="0"/>
              <w:keepNext w:val="0"/>
              <w:pageBreakBefore w:val="0"/>
              <w:spacing w:before="0"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168525" cy="432435"/>
                      <wp:effectExtent l="0" t="0" r="3175" b="571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r/>
                            </pic:nvPicPr>
                            <pic:blipFill>
                              <a:blip r:embed="rId18"/>
                              <a:stretch/>
                            </pic:blipFill>
                            <pic:spPr bwMode="auto">
                              <a:xfrm>
                                <a:off x="0" y="0"/>
                                <a:ext cx="2168525" cy="432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0.8pt;height:34.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z w:val="24"/>
                <w:szCs w:val="24"/>
                <w14:textFill>
                  <w14:solidFill>
                    <w14:schemeClr w14:val="tx1"/>
                  </w14:solidFill>
                </w14:textFill>
              </w:rPr>
              <w:t xml:space="preserve">………………………………(E. </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0"/>
              <w:jc w:val="left"/>
              <w:keepLines w:val="0"/>
              <w:keepNext w:val="0"/>
              <w:pageBreakBefore w:val="0"/>
              <w:spacing w:before="0"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式中</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jc w:val="left"/>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V—新指标值 </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jc w:val="left"/>
              <w:keepLines w:val="0"/>
              <w:keepNext w:val="0"/>
              <w:pageBreakBefore w:val="0"/>
              <w:spacing w:before="0" w:line="3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B—表中已有指标值 </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jc w:val="left"/>
              <w:keepLines w:val="0"/>
              <w:keepNext w:val="0"/>
              <w:pageBreakBefore w:val="0"/>
              <w:spacing w:before="0"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L—文物三维模型最小包围盒的最长边长度</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单位为米  (m) 。</w:t>
            </w:r>
            <w:r/>
          </w:p>
          <w:p>
            <w:pPr>
              <w:ind w:firstLine="0"/>
              <w:jc w:val="left"/>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d馆藏一级文物存档纹理模型的技术指标为</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模型完整度</w:t>
            </w:r>
            <w:r>
              <w:rPr>
                <w:rFonts w:hint="eastAsia" w:ascii="宋体" w:hAnsi="宋体" w:eastAsia="宋体" w:cs="宋体"/>
                <w:color w:val="000000" w:themeColor="text1"/>
                <w:sz w:val="24"/>
                <w:szCs w:val="24"/>
                <w:lang w:eastAsia="zh-CN"/>
                <w14:textFill>
                  <w14:solidFill>
                    <w14:schemeClr w14:val="tx1"/>
                  </w14:solidFill>
                </w14:textFill>
              </w:rPr>
              <w:t xml:space="preserve">大于</w:t>
            </w:r>
            <w:r>
              <w:rPr>
                <w:rFonts w:hint="eastAsia" w:ascii="宋体" w:hAnsi="宋体" w:eastAsia="宋体" w:cs="宋体"/>
                <w:color w:val="000000" w:themeColor="text1"/>
                <w:sz w:val="24"/>
                <w:szCs w:val="24"/>
                <w14:textFill>
                  <w14:solidFill>
                    <w14:schemeClr w14:val="tx1"/>
                  </w14:solidFill>
                </w14:textFill>
              </w:rPr>
              <w:t xml:space="preserve">95% </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模型精度小于等于0.15mm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平均点间距小于等于0.10mm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最大点间距小于等于0.30mm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贴图分辨率大于等于450dpi</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CIEDE2000色差平均值小于等于3.0</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与网格模型映射的位置误差小于等于0.20mm。</w:t>
            </w:r>
            <w:r/>
          </w:p>
        </w:tc>
      </w:tr>
    </w:tbl>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▲投标人应具备三维建模软件平台相关的由中华人民共和国国家版权局颁发的计算机软件著作权登记证书并提供证明文件扫描件并加盖投标人公章。 </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▲投标人应具备三维模型纹理处理软件相关的由中华人民共和国国家版权局颁发的计算机软件著作权登记证书并提供证明文件扫描件并加盖投标人公章。</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outlineLvl w:val="3"/>
      </w:pPr>
      <w:r>
        <w:rPr>
          <w:rFonts w:hint="eastAsia" w:ascii="宋体" w:hAnsi="宋体" w:eastAsia="宋体" w:cs="宋体"/>
          <w:b w:val="0"/>
          <w:bCs w:val="0"/>
          <w:color w:val="auto"/>
          <w:sz w:val="24"/>
          <w:highlight w:val="none"/>
          <w:lang w:val="en-US" w:eastAsia="zh-CN"/>
        </w:rPr>
        <w:t xml:space="preserve">4.3采集清单</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（1）单件类文物</w:t>
      </w:r>
      <w:r/>
    </w:p>
    <w:tbl>
      <w:tblPr>
        <w:tblStyle w:val="77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00"/>
        <w:gridCol w:w="779"/>
        <w:gridCol w:w="2954"/>
        <w:gridCol w:w="500"/>
        <w:gridCol w:w="682"/>
        <w:gridCol w:w="500"/>
        <w:gridCol w:w="500"/>
        <w:gridCol w:w="2855"/>
      </w:tblGrid>
      <w:tr>
        <w:trPr>
          <w:trHeight w:val="646"/>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文物号</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年代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质地</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文物尺寸信息</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1403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汉铭文铜镜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直径18，厚0.6，边宽1.3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1411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汉铜壶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口径14.5，足径17，高39.5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1428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汉漆耳杯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漆木器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口8.7-14</w:t>
            </w:r>
            <w:r>
              <w:rPr>
                <w:rFonts w:hint="eastAsia"/>
                <w:sz w:val="24"/>
                <w:szCs w:val="24"/>
                <w:lang w:eastAsia="zh-CN"/>
              </w:rPr>
              <w:t xml:space="preserve">，</w:t>
            </w:r>
            <w:r>
              <w:rPr>
                <w:rFonts w:hint="eastAsia"/>
                <w:sz w:val="24"/>
                <w:szCs w:val="24"/>
              </w:rPr>
              <w:t xml:space="preserve">底3.6-7.5</w:t>
            </w:r>
            <w:r>
              <w:rPr>
                <w:rFonts w:hint="eastAsia"/>
                <w:sz w:val="24"/>
                <w:szCs w:val="24"/>
                <w:lang w:eastAsia="zh-CN"/>
              </w:rPr>
              <w:t xml:space="preserve">，</w:t>
            </w:r>
            <w:r>
              <w:rPr>
                <w:rFonts w:hint="eastAsia"/>
                <w:sz w:val="24"/>
                <w:szCs w:val="24"/>
              </w:rPr>
              <w:t xml:space="preserve">连耳宽10.8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1751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黄釉带盖茶壶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明万历</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通高10.1，口径6.6</w:t>
            </w:r>
            <w:r>
              <w:rPr>
                <w:rFonts w:hint="eastAsia"/>
                <w:sz w:val="24"/>
                <w:szCs w:val="24"/>
                <w:lang w:eastAsia="zh-CN"/>
              </w:rPr>
              <w:t xml:space="preserve">，</w:t>
            </w:r>
            <w:r>
              <w:rPr>
                <w:rFonts w:hint="eastAsia"/>
                <w:sz w:val="24"/>
                <w:szCs w:val="24"/>
              </w:rPr>
              <w:t xml:space="preserve">底径6.8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3614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青石环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新石器时代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直径9.3</w:t>
            </w:r>
            <w:r>
              <w:rPr>
                <w:rFonts w:hint="eastAsia"/>
                <w:sz w:val="24"/>
                <w:szCs w:val="24"/>
                <w:lang w:eastAsia="zh-CN"/>
              </w:rPr>
              <w:t xml:space="preserve">，</w:t>
            </w:r>
            <w:r>
              <w:rPr>
                <w:rFonts w:hint="eastAsia"/>
                <w:sz w:val="24"/>
                <w:szCs w:val="24"/>
              </w:rPr>
              <w:t xml:space="preserve">厚0.4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4319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莲池鸳鸯纹斗彩盘</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清雍正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通高4.2，口径22.8，底径14.2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4436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隋青釉莲花团花四系瓷罐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口径13</w:t>
            </w:r>
            <w:r>
              <w:rPr>
                <w:rFonts w:hint="eastAsia"/>
                <w:sz w:val="24"/>
                <w:szCs w:val="24"/>
                <w:lang w:eastAsia="zh-CN"/>
              </w:rPr>
              <w:t xml:space="preserve">，</w:t>
            </w:r>
            <w:r>
              <w:rPr>
                <w:rFonts w:hint="eastAsia"/>
                <w:sz w:val="24"/>
                <w:szCs w:val="24"/>
              </w:rPr>
              <w:t xml:space="preserve">底径13</w:t>
            </w:r>
            <w:r>
              <w:rPr>
                <w:rFonts w:hint="eastAsia"/>
                <w:sz w:val="24"/>
                <w:szCs w:val="24"/>
                <w:lang w:eastAsia="zh-CN"/>
              </w:rPr>
              <w:t xml:space="preserve">，</w:t>
            </w:r>
            <w:r>
              <w:rPr>
                <w:rFonts w:hint="eastAsia"/>
                <w:sz w:val="24"/>
                <w:szCs w:val="24"/>
              </w:rPr>
              <w:t xml:space="preserve">高29</w:t>
            </w:r>
            <w:r/>
          </w:p>
        </w:tc>
      </w:tr>
      <w:tr>
        <w:trPr>
          <w:trHeight w:val="556"/>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4543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商红陶鬲</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商</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口径12</w:t>
            </w:r>
            <w:r>
              <w:rPr>
                <w:rFonts w:hint="eastAsia"/>
                <w:sz w:val="24"/>
                <w:szCs w:val="24"/>
                <w:lang w:eastAsia="zh-CN"/>
              </w:rPr>
              <w:t xml:space="preserve">，</w:t>
            </w:r>
            <w:r>
              <w:rPr>
                <w:rFonts w:hint="eastAsia"/>
                <w:sz w:val="24"/>
                <w:szCs w:val="24"/>
              </w:rPr>
              <w:t xml:space="preserve">高22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4574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汉代几何纹陶拍子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长14.2</w:t>
            </w:r>
            <w:r>
              <w:rPr>
                <w:rFonts w:hint="eastAsia"/>
                <w:sz w:val="24"/>
                <w:szCs w:val="24"/>
                <w:lang w:eastAsia="zh-CN"/>
              </w:rPr>
              <w:t xml:space="preserve">，</w:t>
            </w:r>
            <w:r>
              <w:rPr>
                <w:rFonts w:hint="eastAsia"/>
                <w:sz w:val="24"/>
                <w:szCs w:val="24"/>
              </w:rPr>
              <w:t xml:space="preserve">宽5.3</w:t>
            </w:r>
            <w:r>
              <w:rPr>
                <w:rFonts w:hint="eastAsia"/>
                <w:sz w:val="24"/>
                <w:szCs w:val="24"/>
                <w:lang w:eastAsia="zh-CN"/>
              </w:rPr>
              <w:t xml:space="preserve">，</w:t>
            </w:r>
            <w:r>
              <w:rPr>
                <w:rFonts w:hint="eastAsia"/>
                <w:sz w:val="24"/>
                <w:szCs w:val="24"/>
              </w:rPr>
              <w:t xml:space="preserve">厚3.2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7055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漆碗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漆</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通高9.7，口径20.4，底径11.4</w:t>
            </w:r>
            <w:r/>
          </w:p>
        </w:tc>
      </w:tr>
      <w:tr>
        <w:trPr>
          <w:trHeight w:val="56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H24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锅丿</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铁</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通高13，直径113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南朝莲瓣纹青瓷碗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南朝</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口径19.5，底径8.7，高10.8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唐四系青瓷罐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口径18.8，底径19，高29.2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7691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清雍正斗彩暗八仙纹瓷碗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清雍正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口径13.5，底径5.5，高5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7689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明弘治黄釉瓷盘</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明弘治</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口径27.8，底径13，高4.5</w:t>
            </w:r>
            <w:r/>
          </w:p>
        </w:tc>
      </w:tr>
      <w:tr>
        <w:trPr>
          <w:trHeight w:val="65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7690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明嘉靖青花云龙纹大缸</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明嘉靖</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口径58.5，底径37，高31.5</w:t>
            </w:r>
            <w:r/>
          </w:p>
        </w:tc>
      </w:tr>
      <w:tr>
        <w:trPr>
          <w:trHeight w:val="702"/>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3679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汉青釉弦纹双耳三足带盖陶瓿</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通高28，口径11.5</w:t>
            </w:r>
            <w:r>
              <w:rPr>
                <w:rFonts w:hint="eastAsia"/>
                <w:sz w:val="24"/>
                <w:szCs w:val="24"/>
                <w:lang w:eastAsia="zh-CN"/>
              </w:rPr>
              <w:t xml:space="preserve">，</w:t>
            </w:r>
            <w:r>
              <w:rPr>
                <w:rFonts w:hint="eastAsia"/>
                <w:sz w:val="24"/>
                <w:szCs w:val="24"/>
              </w:rPr>
              <w:t xml:space="preserve">底径16</w:t>
            </w:r>
            <w:r/>
          </w:p>
        </w:tc>
      </w:tr>
      <w:tr>
        <w:trPr>
          <w:trHeight w:val="672"/>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M23:1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明代青花瓷罐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口长：5.6 口宽4.2 高：11.5 底长6.2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187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隋青釉莲瓣纹团花纹八系罐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口径17.3</w:t>
            </w:r>
            <w:r>
              <w:rPr>
                <w:rFonts w:hint="eastAsia"/>
                <w:sz w:val="24"/>
                <w:szCs w:val="24"/>
                <w:lang w:eastAsia="zh-CN"/>
              </w:rPr>
              <w:t xml:space="preserve">，</w:t>
            </w:r>
            <w:r>
              <w:rPr>
                <w:rFonts w:hint="eastAsia"/>
                <w:sz w:val="24"/>
                <w:szCs w:val="24"/>
              </w:rPr>
              <w:t xml:space="preserve">底径17.3，高30</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3679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汉波浪纹双兽耳陶瓿</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通高28，口径11.5</w:t>
            </w:r>
            <w:r>
              <w:rPr>
                <w:rFonts w:hint="eastAsia"/>
                <w:sz w:val="24"/>
                <w:szCs w:val="24"/>
                <w:lang w:eastAsia="zh-CN"/>
              </w:rPr>
              <w:t xml:space="preserve">，</w:t>
            </w:r>
            <w:r>
              <w:rPr>
                <w:rFonts w:hint="eastAsia"/>
                <w:sz w:val="24"/>
                <w:szCs w:val="24"/>
              </w:rPr>
              <w:t xml:space="preserve">底径16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7056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宋花口漆盘</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漆</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通高3.7，口径19.7，底径13.4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7775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明正德青花莲池鸳鸯纹八棱瓷瓶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口长：5.6 口宽4.2 高：11.5 底长6.2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7771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明青白釉带盖瓷罐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口径：5.9通高13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7777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明正德青花荷塘清趣纹八棱瓷罐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长：5.6 口宽4.2 高：11.5 底长6.2</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7780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清青花带盖瓷罐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口径5.3高11.4</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7787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汉铜弩机</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长9.8宽2.6高14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7795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明“吕”字款铜镜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直径5.7厚4.5</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7820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汉铜盉</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腹径17.9，高15.2</w:t>
            </w:r>
            <w:r/>
          </w:p>
        </w:tc>
      </w:tr>
      <w:tr>
        <w:trPr>
          <w:trHeight w:val="51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7825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汉铜弩机</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长12 宽2.8</w:t>
            </w:r>
            <w:r/>
          </w:p>
        </w:tc>
      </w:tr>
      <w:tr>
        <w:trPr>
          <w:trHeight w:val="51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7870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汉星云纹铜镜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直径11高0.5</w:t>
            </w:r>
            <w:r/>
          </w:p>
        </w:tc>
      </w:tr>
      <w:tr>
        <w:trPr>
          <w:trHeight w:val="51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7884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汉铜带钩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长10.4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元“官”铭瓷瓶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口径4.5，足径9.3，高31.3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明青花瓷碗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口径14.5</w:t>
            </w:r>
            <w:r>
              <w:rPr>
                <w:rFonts w:hint="eastAsia"/>
                <w:sz w:val="24"/>
                <w:szCs w:val="24"/>
                <w:lang w:eastAsia="zh-CN"/>
              </w:rPr>
              <w:t xml:space="preserve">，</w:t>
            </w:r>
            <w:r>
              <w:rPr>
                <w:rFonts w:hint="eastAsia"/>
                <w:sz w:val="24"/>
                <w:szCs w:val="24"/>
              </w:rPr>
              <w:t xml:space="preserve">足径7.2</w:t>
            </w:r>
            <w:r>
              <w:rPr>
                <w:rFonts w:hint="eastAsia"/>
                <w:sz w:val="24"/>
                <w:szCs w:val="24"/>
                <w:lang w:eastAsia="zh-CN"/>
              </w:rPr>
              <w:t xml:space="preserve">，</w:t>
            </w:r>
            <w:r>
              <w:rPr>
                <w:rFonts w:hint="eastAsia"/>
                <w:sz w:val="24"/>
                <w:szCs w:val="24"/>
              </w:rPr>
              <w:t xml:space="preserve">高7.4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明青花瓷碗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口径14.6</w:t>
            </w:r>
            <w:r>
              <w:rPr>
                <w:rFonts w:hint="eastAsia"/>
                <w:sz w:val="24"/>
                <w:szCs w:val="24"/>
                <w:lang w:eastAsia="zh-CN"/>
              </w:rPr>
              <w:t xml:space="preserve">，</w:t>
            </w:r>
            <w:r>
              <w:rPr>
                <w:rFonts w:hint="eastAsia"/>
                <w:sz w:val="24"/>
                <w:szCs w:val="24"/>
              </w:rPr>
              <w:t xml:space="preserve">足径7.6</w:t>
            </w:r>
            <w:r>
              <w:rPr>
                <w:rFonts w:hint="eastAsia"/>
                <w:sz w:val="24"/>
                <w:szCs w:val="24"/>
                <w:lang w:eastAsia="zh-CN"/>
              </w:rPr>
              <w:t xml:space="preserve">，</w:t>
            </w:r>
            <w:r>
              <w:rPr>
                <w:rFonts w:hint="eastAsia"/>
                <w:sz w:val="24"/>
                <w:szCs w:val="24"/>
              </w:rPr>
              <w:t xml:space="preserve">高7.2</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叶云纹瓦当</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直径16.4</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方格卷云纹瓦当</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通高6.8，直径16.3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98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清蝠蝶玉佩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最长8，最宽5.2，厚0.5</w:t>
            </w:r>
            <w:r/>
          </w:p>
        </w:tc>
      </w:tr>
      <w:tr>
        <w:trPr>
          <w:trHeight w:val="9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104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清青玉龙首螭虎纹带钩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长9.4</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135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清白玉福寿发簪</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长12.5，宽1.2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138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清灰白玉龙首螭虎纹带钩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长11.8</w:t>
            </w:r>
            <w:r>
              <w:rPr>
                <w:rFonts w:hint="eastAsia"/>
                <w:sz w:val="24"/>
                <w:szCs w:val="24"/>
                <w:lang w:eastAsia="zh-CN"/>
              </w:rPr>
              <w:t xml:space="preserve">，</w:t>
            </w:r>
            <w:r>
              <w:rPr>
                <w:rFonts w:hint="eastAsia"/>
                <w:sz w:val="24"/>
                <w:szCs w:val="24"/>
              </w:rPr>
              <w:t xml:space="preserve">宽3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汉双兽耳釉陶壶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口径16.2底径17，高44.5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明青釉印花瓷碗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口径15.5，足径6.5，高7.8</w:t>
            </w:r>
            <w:r/>
          </w:p>
        </w:tc>
      </w:tr>
      <w:tr>
        <w:trPr>
          <w:trHeight w:val="74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206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清青花缠枝莲瓷挂灯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口径23.3</w:t>
            </w:r>
            <w:r>
              <w:rPr>
                <w:rFonts w:hint="eastAsia"/>
                <w:sz w:val="24"/>
                <w:szCs w:val="24"/>
                <w:lang w:eastAsia="zh-CN"/>
              </w:rPr>
              <w:t xml:space="preserve">，</w:t>
            </w:r>
            <w:r>
              <w:rPr>
                <w:rFonts w:hint="eastAsia"/>
                <w:sz w:val="24"/>
                <w:szCs w:val="24"/>
              </w:rPr>
              <w:t xml:space="preserve">足径14.3</w:t>
            </w:r>
            <w:r>
              <w:rPr>
                <w:rFonts w:hint="eastAsia"/>
                <w:sz w:val="24"/>
                <w:szCs w:val="24"/>
                <w:lang w:eastAsia="zh-CN"/>
              </w:rPr>
              <w:t xml:space="preserve">，</w:t>
            </w:r>
            <w:r>
              <w:rPr>
                <w:rFonts w:hint="eastAsia"/>
                <w:sz w:val="24"/>
                <w:szCs w:val="24"/>
              </w:rPr>
              <w:t xml:space="preserve">高3.6</w:t>
            </w:r>
            <w:r/>
          </w:p>
        </w:tc>
      </w:tr>
      <w:tr>
        <w:trPr>
          <w:trHeight w:val="51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246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清青花瓷鼓櫈</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直径27，高45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328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青花团寿梵文瓷盘</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通高6.3，口径26</w:t>
            </w:r>
            <w:r>
              <w:rPr>
                <w:rFonts w:hint="eastAsia"/>
                <w:sz w:val="24"/>
                <w:szCs w:val="24"/>
                <w:lang w:eastAsia="zh-CN"/>
              </w:rPr>
              <w:t xml:space="preserve">，</w:t>
            </w:r>
            <w:r>
              <w:rPr>
                <w:rFonts w:hint="eastAsia"/>
                <w:sz w:val="24"/>
                <w:szCs w:val="24"/>
              </w:rPr>
              <w:t xml:space="preserve">底径15.3</w:t>
            </w:r>
            <w:r/>
          </w:p>
        </w:tc>
      </w:tr>
      <w:tr>
        <w:trPr>
          <w:trHeight w:val="51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1324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清龙首玉带钩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长9.6，宽1.5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1404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汉铜博山炉</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腹径12.8，底径8.8，高20.4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1420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汉青釉陶罐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口径18，底径13.2，高41</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1445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汉釉陶壶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口径17.9，底径18.8，高43.5</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1462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西汉星云纹铜镜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直径13，厚0.6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1470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汉席纹硬陶罐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口径17，底径16，高28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1476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汉三足铜樽</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口径12，底径12.5，高16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1481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宋影青印花粉盒</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口径5.3，底径4.5，高3.9</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1489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唐越窑青瓷盒</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口径7，足径4.6，带盖高6.6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1492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宋黑釉茶盏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口径12.3，足径3.5，高4.1</w:t>
            </w:r>
            <w:r/>
          </w:p>
        </w:tc>
      </w:tr>
      <w:tr>
        <w:trPr>
          <w:trHeight w:val="51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1497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宋玉镯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 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1575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明青花缠枝莲碗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口径21.4，足径9.4，高9.7</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1633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汉灰陶盖罐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口径17，底径15.5，高29.5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59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1750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明青花瓷碗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口径19.6，足径7.6，高8.5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3645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五代黄釉瓷缽</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五代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口径17.5，底径9.9，高13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3684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唐黄釉瓷枕</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长15.5，宽11.2，高7.5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4304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青花山水镂空瓷盘</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清雍正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通高5.8，口径26</w:t>
            </w:r>
            <w:r>
              <w:rPr>
                <w:rFonts w:hint="eastAsia"/>
                <w:sz w:val="24"/>
                <w:szCs w:val="24"/>
                <w:lang w:eastAsia="zh-CN"/>
              </w:rPr>
              <w:t xml:space="preserve">，</w:t>
            </w:r>
            <w:r>
              <w:rPr>
                <w:rFonts w:hint="eastAsia"/>
                <w:sz w:val="24"/>
                <w:szCs w:val="24"/>
              </w:rPr>
              <w:t xml:space="preserve">底径16.1</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4311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青花缠枝莲笔洗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清乾隆</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通高8，口径23.7，底径21.7</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4345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清白玉双龙衔耳杯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高3.5 足径2.5 宽9.5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4350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清白玉镂雕福寿双龙纹佩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长7.7，宽8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4424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汉双耳釉陶壶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口径14.3，底径14.5，高35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4544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隋代盘口壶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口径13.7，底径11.9，高41</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4570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明龙纹玉璧</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直径5.9，厚0.9</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4572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战国青铜剑</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战国</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通长46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4582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汉动物纹铭文铜镜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直径18.8，厚0.6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4617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釉陶泡菜坛</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通宽26，通高25，内口径12.5，外口径22，底径14.5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4656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汉方格纹圆形陶拍</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直径7.6，厚3.8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5066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宋黄釉划花纹陶碗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口径16.9，足径6，高7.3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5333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唐代越窑青瓷碗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口径14.5</w:t>
            </w:r>
            <w:r>
              <w:rPr>
                <w:rFonts w:hint="eastAsia"/>
                <w:sz w:val="24"/>
                <w:szCs w:val="24"/>
                <w:lang w:eastAsia="zh-CN"/>
              </w:rPr>
              <w:t xml:space="preserve">，</w:t>
            </w:r>
            <w:r>
              <w:rPr>
                <w:rFonts w:hint="eastAsia"/>
                <w:sz w:val="24"/>
                <w:szCs w:val="24"/>
              </w:rPr>
              <w:t xml:space="preserve">足径8</w:t>
            </w:r>
            <w:r>
              <w:rPr>
                <w:rFonts w:hint="eastAsia"/>
                <w:sz w:val="24"/>
                <w:szCs w:val="24"/>
                <w:lang w:eastAsia="zh-CN"/>
              </w:rPr>
              <w:t xml:space="preserve">，</w:t>
            </w:r>
            <w:r>
              <w:rPr>
                <w:rFonts w:hint="eastAsia"/>
                <w:sz w:val="24"/>
                <w:szCs w:val="24"/>
              </w:rPr>
              <w:t xml:space="preserve">高4.3</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5345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商代弦纹盖形器</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商</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口径14.3，高29.4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6136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宋绿釉陶枕</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长26.1，宽13，高9.5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6215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新石器时代陶壶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新石器时代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口径7.6，高10.8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6774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清玉带扣</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长10.5，宽4.9</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6784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清龙虎纹“风云际会”玉佩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长5，宽4.4</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6786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清蟠螭纹玉挂件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长4.5，厚0.7</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6787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龙形玉饰件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长5.7，宽0.55</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6851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蓝彩陶鼎</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通高10.6，口径6.2</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7049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官字铜镜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南唐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直径17.6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7050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凤字砚</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南唐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通长17.6，通宽13，通高4.5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4307、4308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祭红瓷盘</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通高2.9，口径11.8，底径6.9</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G2201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陈毅在阜宁军部时使用的铁夹</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1942年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铁</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6.6×6.2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G2202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陈毅在阜宁军部使用的铜锁</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1942年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6.1×2.1</w:t>
            </w:r>
            <w:r/>
          </w:p>
        </w:tc>
      </w:tr>
      <w:tr>
        <w:trPr>
          <w:trHeight w:val="68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G2205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陈毅在盐城军部使用的石砚</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1941年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长16.9，宽11.3，高1.7</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89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G2206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刘少奇、陈毅在阜宁军部时使用的电话机架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1942年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长10.9，高12.9</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90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G2207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刘少奇、陈毅在阜宁军部使用的铁皮茶壶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1942年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金属</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口径5.4，底径19.2，高27</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91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G2208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刘少奇、陈毅在阜宁军部时使用的铁皮文件箱</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1942年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金属</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26.7</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G3053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1963年虞受言刻的黄励烈士事迹印章</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1963年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rFonts w:hint="eastAsia"/>
                <w:color w:val="auto"/>
                <w:sz w:val="24"/>
                <w:szCs w:val="24"/>
              </w:rPr>
            </w:pPr>
            <w:r>
              <w:rPr>
                <w:rFonts w:hint="eastAsia"/>
                <w:color w:val="auto"/>
                <w:sz w:val="24"/>
                <w:szCs w:val="24"/>
              </w:rPr>
              <w:t xml:space="preserve">长3.5，宽1.8，</w:t>
            </w:r>
            <w:r/>
          </w:p>
          <w:p>
            <w:pPr>
              <w:ind w:firstLine="0"/>
              <w:jc w:val="center"/>
              <w:keepLines w:val="0"/>
              <w:keepNext w:val="0"/>
              <w:pageBreakBefore w:val="0"/>
              <w:widowControl w:val="off"/>
              <w:rPr>
                <w:rFonts w:hint="eastAsia" w:eastAsia="宋体"/>
                <w:color w:val="auto"/>
                <w:sz w:val="24"/>
                <w:szCs w:val="24"/>
                <w:lang w:val="en-US" w:eastAsia="zh-CN"/>
              </w:rPr>
            </w:pPr>
            <w:r>
              <w:rPr>
                <w:rFonts w:hint="eastAsia"/>
                <w:color w:val="auto"/>
                <w:sz w:val="24"/>
                <w:szCs w:val="24"/>
              </w:rPr>
              <w:t xml:space="preserve">高</w:t>
            </w:r>
            <w:r>
              <w:rPr>
                <w:rFonts w:hint="eastAsia"/>
                <w:color w:val="auto"/>
                <w:sz w:val="24"/>
                <w:szCs w:val="24"/>
                <w:lang w:val="en-US" w:eastAsia="zh-CN"/>
              </w:rPr>
              <w:t xml:space="preserve">7</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93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G3054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1963年虞受言刻的陈子涛烈士事迹石刻印章</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1963年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rFonts w:hint="eastAsia"/>
                <w:color w:val="auto"/>
                <w:sz w:val="24"/>
                <w:szCs w:val="24"/>
              </w:rPr>
            </w:pPr>
            <w:r>
              <w:rPr>
                <w:rFonts w:hint="eastAsia"/>
                <w:color w:val="auto"/>
                <w:sz w:val="24"/>
                <w:szCs w:val="24"/>
              </w:rPr>
              <w:t xml:space="preserve">长2.1，宽2.1，</w:t>
            </w:r>
            <w:r/>
          </w:p>
          <w:p>
            <w:pPr>
              <w:ind w:firstLine="0"/>
              <w:jc w:val="center"/>
              <w:keepLines w:val="0"/>
              <w:keepNext w:val="0"/>
              <w:pageBreakBefore w:val="0"/>
              <w:widowControl w:val="off"/>
              <w:rPr>
                <w:rFonts w:hint="eastAsia"/>
                <w:color w:val="auto"/>
                <w:sz w:val="24"/>
                <w:szCs w:val="24"/>
              </w:rPr>
            </w:pPr>
            <w:r>
              <w:rPr>
                <w:rFonts w:hint="eastAsia"/>
                <w:color w:val="auto"/>
                <w:sz w:val="24"/>
                <w:szCs w:val="24"/>
              </w:rPr>
              <w:t xml:space="preserve">高4.8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94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G3055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1963年虞受言刻的晋夫烈士事迹石刻印章</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1963年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rFonts w:hint="eastAsia"/>
                <w:color w:val="auto"/>
                <w:sz w:val="24"/>
                <w:szCs w:val="24"/>
              </w:rPr>
            </w:pPr>
            <w:r>
              <w:rPr>
                <w:rFonts w:hint="eastAsia"/>
                <w:color w:val="auto"/>
                <w:sz w:val="24"/>
                <w:szCs w:val="24"/>
              </w:rPr>
              <w:t xml:space="preserve">长2.5，宽2.5，</w:t>
            </w:r>
            <w:r/>
          </w:p>
          <w:p>
            <w:pPr>
              <w:ind w:firstLine="0"/>
              <w:jc w:val="center"/>
              <w:keepLines w:val="0"/>
              <w:keepNext w:val="0"/>
              <w:pageBreakBefore w:val="0"/>
              <w:widowControl w:val="off"/>
              <w:rPr>
                <w:rFonts w:hint="eastAsia"/>
                <w:color w:val="auto"/>
                <w:sz w:val="24"/>
                <w:szCs w:val="24"/>
                <w:lang w:val="en-US" w:eastAsia="zh-CN"/>
              </w:rPr>
            </w:pPr>
            <w:r>
              <w:rPr>
                <w:rFonts w:hint="eastAsia"/>
                <w:color w:val="auto"/>
                <w:sz w:val="24"/>
                <w:szCs w:val="24"/>
              </w:rPr>
              <w:t xml:space="preserve">高</w:t>
            </w:r>
            <w:r>
              <w:rPr>
                <w:rFonts w:hint="eastAsia"/>
                <w:color w:val="auto"/>
                <w:sz w:val="24"/>
                <w:szCs w:val="24"/>
                <w:lang w:val="en-US" w:eastAsia="zh-CN"/>
              </w:rPr>
              <w:t xml:space="preserve">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95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L13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北宋葵口青白瓷碗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北宋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口径10，高3，足径4.3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96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L15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唐四系青瓷罐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口径10，高15.2，底径8.6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97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L16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唐青瓷灯盏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口径11.5，高3.7，底径5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98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L17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南朝青瓷碗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南朝</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口径8.6，高4.3，足径4.5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99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L18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西晋网纹青瓷缽</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西晋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口径15.6，高5.6，底径7.6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L19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唐代印花瓷枕</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长15.5，宽11，高9.4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L20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唐长沙窑双系青瓷罐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口径6.4，高11.5，底径6.7</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L22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唐酱釉瓜楞带盖瓷瓶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盖部：口径2.8，高3.6；瓶部：口径2.5，底径5.8高12；连盖高13.5</w:t>
            </w:r>
            <w:r/>
          </w:p>
        </w:tc>
      </w:tr>
      <w:tr>
        <w:trPr>
          <w:trHeight w:val="71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清青花仙人乘槎纹高足杯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口径6.7，高11.6，足径5.7</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清青花龙凤纹碗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口径9.5，高6，足径4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清青花菱口高足盘</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口径10.8，高4.8，底径6.2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L35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青花花卉纹碗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通高7.1，口径14.5，底径5.5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L64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长沙窑点彩水盂</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通高3.8，口径3，底径4.2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L65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三彩水盂</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通高4.3，口径3，底径3.4</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109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M51</w:t>
            </w:r>
            <w:r>
              <w:rPr>
                <w:rFonts w:hint="eastAsia"/>
                <w:sz w:val="24"/>
                <w:szCs w:val="24"/>
                <w:lang w:eastAsia="zh-CN"/>
              </w:rPr>
              <w:t xml:space="preserve">:</w:t>
            </w:r>
            <w:r>
              <w:rPr>
                <w:rFonts w:hint="eastAsia"/>
                <w:sz w:val="24"/>
                <w:szCs w:val="24"/>
              </w:rPr>
              <w:t xml:space="preserve">72-1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直径13.8厘米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3681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汉青釉水波纹双耳陶壶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通高25，口径11.5</w:t>
            </w:r>
            <w:r>
              <w:rPr>
                <w:rFonts w:hint="eastAsia"/>
                <w:sz w:val="24"/>
                <w:szCs w:val="24"/>
                <w:lang w:eastAsia="zh-CN"/>
              </w:rPr>
              <w:t xml:space="preserve">，</w:t>
            </w:r>
            <w:r>
              <w:rPr>
                <w:rFonts w:hint="eastAsia"/>
                <w:sz w:val="24"/>
                <w:szCs w:val="24"/>
              </w:rPr>
              <w:t xml:space="preserve">底径11.5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清“喜生贵子”大铜镜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直径30.6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188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青釉六系莲瓣纹带盖瓷罐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北朝</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通高24，口径14.1</w:t>
            </w:r>
            <w:r>
              <w:rPr>
                <w:rFonts w:hint="eastAsia"/>
                <w:sz w:val="24"/>
                <w:szCs w:val="24"/>
                <w:lang w:eastAsia="zh-CN"/>
              </w:rPr>
              <w:t xml:space="preserve">，</w:t>
            </w:r>
            <w:r>
              <w:rPr>
                <w:rFonts w:hint="eastAsia"/>
                <w:sz w:val="24"/>
                <w:szCs w:val="24"/>
              </w:rPr>
              <w:t xml:space="preserve">底径13.7</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M49</w:t>
            </w:r>
            <w:r>
              <w:rPr>
                <w:rFonts w:hint="eastAsia"/>
                <w:sz w:val="24"/>
                <w:szCs w:val="24"/>
                <w:lang w:eastAsia="zh-CN"/>
              </w:rPr>
              <w:t xml:space="preserve">:</w:t>
            </w: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汉代铜弩机</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长12 宽2.8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7692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清康熙青花云中雅书款笔筒</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清康熙</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口径10.5，底径9.5，高15</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M47</w:t>
            </w:r>
            <w:r>
              <w:rPr>
                <w:rFonts w:hint="eastAsia"/>
                <w:sz w:val="24"/>
                <w:szCs w:val="24"/>
                <w:lang w:eastAsia="zh-CN"/>
              </w:rPr>
              <w:t xml:space="preserve">:</w:t>
            </w:r>
            <w:r>
              <w:rPr>
                <w:rFonts w:hint="eastAsia"/>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汉铜盉</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腹径17.9，高15.2</w:t>
            </w:r>
            <w:r/>
          </w:p>
        </w:tc>
      </w:tr>
      <w:tr>
        <w:trPr>
          <w:trHeight w:val="523"/>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6105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商撇口红陶罐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商</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通宽19.5，通高18.5，口径16.2，底径9.6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6854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元白釉罐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通高15，口径7，底径7.3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1467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汉青釉弦纹双耳三足带盖陶瓿</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通高15.8，口径11.2，底径20.6</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119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1496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宋水晶帽顶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水晶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通高3.5，直径4.2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120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1640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清牧童骑牛铜香炉</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通宽25，通高23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121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1665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西汉双兽耳带盖陶罐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通宽28，通高20，口径9</w:t>
            </w:r>
            <w:r>
              <w:rPr>
                <w:rFonts w:hint="eastAsia"/>
                <w:color w:val="auto"/>
                <w:sz w:val="24"/>
                <w:szCs w:val="24"/>
                <w:lang w:eastAsia="zh-CN"/>
              </w:rPr>
              <w:t xml:space="preserve">，</w:t>
            </w:r>
            <w:r>
              <w:rPr>
                <w:rFonts w:hint="eastAsia"/>
                <w:color w:val="auto"/>
                <w:sz w:val="24"/>
                <w:szCs w:val="24"/>
              </w:rPr>
              <w:t xml:space="preserve">底径13.5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122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G2639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盐城县政府铜印</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一级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1943年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rFonts w:hint="eastAsia"/>
                <w:color w:val="auto"/>
                <w:sz w:val="24"/>
                <w:szCs w:val="24"/>
              </w:rPr>
            </w:pPr>
            <w:r>
              <w:rPr>
                <w:rFonts w:hint="eastAsia"/>
                <w:color w:val="auto"/>
                <w:sz w:val="24"/>
                <w:szCs w:val="24"/>
              </w:rPr>
              <w:t xml:space="preserve">长6.5，宽6.5，</w:t>
            </w:r>
            <w:r/>
          </w:p>
          <w:p>
            <w:pPr>
              <w:ind w:firstLine="0"/>
              <w:jc w:val="center"/>
              <w:keepLines w:val="0"/>
              <w:keepNext w:val="0"/>
              <w:pageBreakBefore w:val="0"/>
              <w:widowControl w:val="off"/>
              <w:rPr>
                <w:color w:val="auto"/>
                <w:sz w:val="24"/>
                <w:szCs w:val="24"/>
              </w:rPr>
            </w:pPr>
            <w:r>
              <w:rPr>
                <w:rFonts w:hint="eastAsia"/>
                <w:color w:val="auto"/>
                <w:sz w:val="24"/>
                <w:szCs w:val="24"/>
              </w:rPr>
              <w:t xml:space="preserve">高5.5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G2729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抗大五分校证章</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1941年</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金属</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直径2.5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124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H87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“淑德永年”匾</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清光绪</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长186，宽66，厚6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125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L31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唐代四系青瓷罐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通高23.6，口径10.5，底径11.4</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126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L85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隋莲花纹瓦当</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直径14，长12.8</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127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M18:1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明代瓷罐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口径：5.9通高13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128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M25:1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明代青花瓷罐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长：5.6 口宽4.2 高：11.5 底长6.2</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129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M33:1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清代青花瓷罐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口径5.3高11.4</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M38</w:t>
            </w:r>
            <w:r>
              <w:rPr>
                <w:rFonts w:hint="eastAsia"/>
                <w:sz w:val="24"/>
                <w:szCs w:val="24"/>
                <w:lang w:eastAsia="zh-CN"/>
              </w:rPr>
              <w:t xml:space="preserve">:</w:t>
            </w: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汉代铜弩机</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长9.8宽2.6高14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7086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两淮通州分司文记包场斗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通高29.2，底径22.2厘米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M48</w:t>
            </w:r>
            <w:r>
              <w:rPr>
                <w:rFonts w:hint="eastAsia"/>
                <w:sz w:val="24"/>
                <w:szCs w:val="24"/>
                <w:lang w:eastAsia="zh-CN"/>
              </w:rPr>
              <w:t xml:space="preserve">:</w:t>
            </w:r>
            <w:r>
              <w:rPr>
                <w:rFonts w:hint="eastAsia"/>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汉陶灯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最大直径13.8高12</w:t>
            </w:r>
            <w:r/>
          </w:p>
        </w:tc>
      </w:tr>
      <w:tr>
        <w:trPr>
          <w:trHeight w:val="51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M51</w:t>
            </w:r>
            <w:r>
              <w:rPr>
                <w:rFonts w:hint="eastAsia"/>
                <w:sz w:val="24"/>
                <w:szCs w:val="24"/>
                <w:lang w:eastAsia="zh-CN"/>
              </w:rPr>
              <w:t xml:space="preserve">:</w:t>
            </w:r>
            <w:r>
              <w:rPr>
                <w:rFonts w:hint="eastAsia"/>
                <w:sz w:val="24"/>
                <w:szCs w:val="24"/>
              </w:rPr>
              <w:t xml:space="preserve">108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汉代铜带钩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长10.4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M51</w:t>
            </w:r>
            <w:r>
              <w:rPr>
                <w:rFonts w:hint="eastAsia"/>
                <w:sz w:val="24"/>
                <w:szCs w:val="24"/>
                <w:lang w:eastAsia="zh-CN"/>
              </w:rPr>
              <w:t xml:space="preserve">:</w:t>
            </w:r>
            <w:r>
              <w:rPr>
                <w:rFonts w:hint="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汉陶壶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口11.6 底12.2 高30.3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阜7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夹砂陶鬲</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商</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口径15cm，通高14cm，颈径12cm</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M18</w:t>
            </w:r>
            <w:r>
              <w:rPr>
                <w:rFonts w:hint="eastAsia"/>
                <w:sz w:val="24"/>
                <w:szCs w:val="24"/>
                <w:lang w:eastAsia="zh-CN"/>
              </w:rPr>
              <w:t xml:space="preserve">:</w:t>
            </w: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明陶罐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口径：6.6高11</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M40</w:t>
            </w:r>
            <w:r>
              <w:rPr>
                <w:rFonts w:hint="eastAsia"/>
                <w:sz w:val="24"/>
                <w:szCs w:val="24"/>
                <w:lang w:eastAsia="zh-CN"/>
              </w:rPr>
              <w:t xml:space="preserve">:</w:t>
            </w:r>
            <w:r>
              <w:rPr>
                <w:rFonts w:hint="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明代铜镜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明代</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直径7.2厘米，厚0.8厘米</w:t>
            </w:r>
            <w:r/>
          </w:p>
        </w:tc>
      </w:tr>
      <w:tr>
        <w:trPr>
          <w:trHeight w:val="51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M44</w:t>
            </w:r>
            <w:r>
              <w:rPr>
                <w:rFonts w:hint="eastAsia"/>
                <w:sz w:val="24"/>
                <w:szCs w:val="24"/>
                <w:lang w:eastAsia="zh-CN"/>
              </w:rPr>
              <w:t xml:space="preserve">:</w:t>
            </w:r>
            <w:r>
              <w:rPr>
                <w:rFonts w:hint="eastAsia"/>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汉铜勺</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长32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139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M51</w:t>
            </w:r>
            <w:r>
              <w:rPr>
                <w:rFonts w:hint="eastAsia"/>
                <w:sz w:val="24"/>
                <w:szCs w:val="24"/>
                <w:lang w:eastAsia="zh-CN"/>
              </w:rPr>
              <w:t xml:space="preserve">:</w:t>
            </w:r>
            <w:r>
              <w:rPr>
                <w:rFonts w:hint="eastAsia"/>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汉铜盆</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口径21.6底径15.6高10.8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205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清青花缠枝莲纹瓷挂灯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通高5.2，口径27.5</w:t>
            </w:r>
            <w:r>
              <w:rPr>
                <w:rFonts w:hint="eastAsia"/>
                <w:sz w:val="24"/>
                <w:szCs w:val="24"/>
                <w:lang w:eastAsia="zh-CN"/>
              </w:rPr>
              <w:t xml:space="preserve">，</w:t>
            </w:r>
            <w:r>
              <w:rPr>
                <w:rFonts w:hint="eastAsia"/>
                <w:sz w:val="24"/>
                <w:szCs w:val="24"/>
              </w:rPr>
              <w:t xml:space="preserve">底径16.4</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1405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汉铜灯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通高12.4，口径11.5</w:t>
            </w:r>
            <w:r>
              <w:rPr>
                <w:rFonts w:hint="eastAsia"/>
                <w:sz w:val="24"/>
                <w:szCs w:val="24"/>
                <w:lang w:eastAsia="zh-CN"/>
              </w:rPr>
              <w:t xml:space="preserve">，</w:t>
            </w:r>
            <w:r>
              <w:rPr>
                <w:rFonts w:hint="eastAsia"/>
                <w:sz w:val="24"/>
                <w:szCs w:val="24"/>
              </w:rPr>
              <w:t xml:space="preserve">底径9.8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7887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银印章</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长1.3厘米，宽1.3厘米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7892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北宋瓷钵</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北宋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口径21.7厘米，底径5.9厘米，高10.8厘米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919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南宋“临安府行用”钱牌</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钱币</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通长5.7，通宽1.6</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1315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明端砚</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长15.5厘米，宽10.2厘米，高2.5厘米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1383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清酱黄釉缠枝莲纹陶罐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口径8.5厘米</w:t>
            </w:r>
            <w:r>
              <w:rPr>
                <w:rFonts w:hint="eastAsia"/>
                <w:sz w:val="24"/>
                <w:szCs w:val="24"/>
                <w:lang w:eastAsia="zh-CN"/>
              </w:rPr>
              <w:t xml:space="preserve">，</w:t>
            </w:r>
            <w:r>
              <w:rPr>
                <w:rFonts w:hint="eastAsia"/>
                <w:sz w:val="24"/>
                <w:szCs w:val="24"/>
              </w:rPr>
              <w:t xml:space="preserve">底径8.5厘米，高12.8厘米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1412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汉四乳钉纹小铜镜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直径9.4厘米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1490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宋青釉撇口瓷碗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口径9厘米</w:t>
            </w:r>
            <w:r>
              <w:rPr>
                <w:rFonts w:hint="eastAsia"/>
                <w:sz w:val="24"/>
                <w:szCs w:val="24"/>
                <w:lang w:eastAsia="zh-CN"/>
              </w:rPr>
              <w:t xml:space="preserve">，</w:t>
            </w:r>
            <w:r>
              <w:rPr>
                <w:rFonts w:hint="eastAsia"/>
                <w:sz w:val="24"/>
                <w:szCs w:val="24"/>
              </w:rPr>
              <w:t xml:space="preserve">底径3.3厘米，通高3.6厘米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149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4317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汉禽鸟规矩纹铜镜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直径11.3，厚0.3</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4341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清青玉雕花荔枝杯</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通长15.8厘米，通宽13.3厘米，通高6厘米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7089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民国绍萧引盐运销公所第20号引筒</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竹木雕</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w:t>
            </w:r>
            <w:r>
              <w:rPr>
                <w:rFonts w:hint="eastAsia"/>
                <w:sz w:val="24"/>
                <w:szCs w:val="24"/>
                <w:lang w:eastAsia="zh-CN"/>
              </w:rPr>
              <w:t xml:space="preserve">：</w:t>
            </w:r>
            <w:r>
              <w:rPr>
                <w:rFonts w:hint="eastAsia"/>
                <w:sz w:val="24"/>
                <w:szCs w:val="24"/>
              </w:rPr>
              <w:t xml:space="preserve"> 27，直径6.8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7190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清代盐神殿木匾</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长146.5，宽84，厚5.5</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7797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直径7.2厘米，厚0.8厘米</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7806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直径13.8厘米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7821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汉铜鐏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口径9.7厘米，高14.3厘米</w:t>
            </w:r>
            <w:r/>
          </w:p>
        </w:tc>
      </w:tr>
      <w:tr>
        <w:trPr>
          <w:trHeight w:val="454"/>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7886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铜带钩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通长10.4cm</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7896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砚台</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长10厘米，宽8厘米，高1.7厘米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7907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口径14.5厘米</w:t>
            </w:r>
            <w:r>
              <w:rPr>
                <w:rFonts w:hint="eastAsia"/>
                <w:sz w:val="24"/>
                <w:szCs w:val="24"/>
                <w:lang w:eastAsia="zh-CN"/>
              </w:rPr>
              <w:t xml:space="preserve">；</w:t>
            </w:r>
            <w:r>
              <w:rPr>
                <w:rFonts w:hint="eastAsia"/>
                <w:sz w:val="24"/>
                <w:szCs w:val="24"/>
              </w:rPr>
              <w:t xml:space="preserve">高7.2厘米</w:t>
            </w:r>
            <w:r>
              <w:rPr>
                <w:rFonts w:hint="eastAsia"/>
                <w:sz w:val="24"/>
                <w:szCs w:val="24"/>
                <w:lang w:eastAsia="zh-CN"/>
              </w:rPr>
              <w:t xml:space="preserve">；</w:t>
            </w:r>
            <w:r>
              <w:rPr>
                <w:rFonts w:hint="eastAsia"/>
                <w:sz w:val="24"/>
                <w:szCs w:val="24"/>
              </w:rPr>
              <w:br/>
            </w:r>
            <w:r>
              <w:rPr>
                <w:rFonts w:hint="eastAsia"/>
                <w:sz w:val="24"/>
                <w:szCs w:val="24"/>
              </w:rPr>
              <w:t xml:space="preserve">底径4.9厘米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159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7916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青白瓷壶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口径7.2厘米</w:t>
            </w:r>
            <w:r>
              <w:rPr>
                <w:rFonts w:hint="eastAsia"/>
                <w:sz w:val="24"/>
                <w:szCs w:val="24"/>
                <w:lang w:eastAsia="zh-CN"/>
              </w:rPr>
              <w:t xml:space="preserve">；</w:t>
            </w:r>
            <w:r>
              <w:rPr>
                <w:rFonts w:hint="eastAsia"/>
                <w:sz w:val="24"/>
                <w:szCs w:val="24"/>
              </w:rPr>
              <w:t xml:space="preserve">腹径9.4厘米</w:t>
            </w:r>
            <w:r>
              <w:rPr>
                <w:rFonts w:hint="eastAsia"/>
                <w:sz w:val="24"/>
                <w:szCs w:val="24"/>
                <w:lang w:eastAsia="zh-CN"/>
              </w:rPr>
              <w:t xml:space="preserve">；</w:t>
            </w:r>
            <w:r>
              <w:rPr>
                <w:rFonts w:hint="eastAsia"/>
                <w:sz w:val="24"/>
                <w:szCs w:val="24"/>
              </w:rPr>
              <w:br/>
            </w:r>
            <w:r>
              <w:rPr>
                <w:rFonts w:hint="eastAsia"/>
                <w:sz w:val="24"/>
                <w:szCs w:val="24"/>
              </w:rPr>
              <w:t xml:space="preserve">高9.2厘米</w:t>
            </w:r>
            <w:r>
              <w:rPr>
                <w:rFonts w:hint="eastAsia"/>
                <w:sz w:val="24"/>
                <w:szCs w:val="24"/>
                <w:lang w:eastAsia="zh-CN"/>
              </w:rPr>
              <w:t xml:space="preserve">；</w:t>
            </w:r>
            <w:r>
              <w:rPr>
                <w:rFonts w:hint="eastAsia"/>
                <w:sz w:val="24"/>
                <w:szCs w:val="24"/>
              </w:rPr>
              <w:t xml:space="preserve">底径4.7厘米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7927</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铜镜</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铜器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直径14.8厘米，厚0.5厘米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7930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东周双耳陶罐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东周</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口径6厘米，腹径11.5厘米，底径7厘米，高8厘米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7931</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汉青釉水波弦纹双耳壶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高：43.9厘米 口径：17.9厘米底径：19.1厘米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7932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汉青釉弦纹陶瓿</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高：30厘米 ，上口：12厘米，底足：18.7厘米。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7933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汉代彩绘茧型壶</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高：31.6厘米 上口：13.6厘米 底足：12.9厘米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7934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明末清初青釉鼓丁纹绣墩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明</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高：23.8厘米 上口：20.4厘米 底足：21.4厘米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7935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唐白釉双龙尊</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高：41.6厘米 底足：9.6厘米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7936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宋建窑酱釉瓷盏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高5.5厘米，口：12厘米，底：3.8厘米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7944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唐瓷钵</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口径18厘米，底径9.5厘米，高13.4厘米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169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7959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三彩罐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口径2.3底径2.4高3.2</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170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7998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宋玉钗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长11.8厘米，宽2.7厘米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171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8000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陶钵</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陶器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高7.8口径13.5底径8.8</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172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8009</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宋影青瓷砚滴</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高3.65厘米，底径3.2厘米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173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8010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唐青釉瓷罐</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口径12.3厘米，底径6.3厘米，高14.5厘米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sz w:val="24"/>
                <w:szCs w:val="24"/>
              </w:rPr>
            </w:pPr>
            <w:r>
              <w:rPr>
                <w:rFonts w:hint="eastAsia"/>
                <w:sz w:val="24"/>
                <w:szCs w:val="24"/>
              </w:rPr>
              <w:t xml:space="preserve">174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8506</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青白瓷瓜楞纹花口尊</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高13.5厘米，口径11.5厘米，底径7厘米</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175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M82</w:t>
            </w:r>
            <w:r>
              <w:rPr>
                <w:rFonts w:hint="eastAsia"/>
                <w:color w:val="auto"/>
                <w:sz w:val="24"/>
                <w:szCs w:val="24"/>
                <w:lang w:eastAsia="zh-CN"/>
              </w:rPr>
              <w:t xml:space="preserve">:</w:t>
            </w:r>
            <w:r>
              <w:rPr>
                <w:rFonts w:hint="eastAsia"/>
                <w:color w:val="auto"/>
                <w:sz w:val="24"/>
                <w:szCs w:val="24"/>
              </w:rPr>
              <w:t xml:space="preserve">112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玉璧</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未定级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玉器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rFonts w:hint="eastAsia"/>
                <w:color w:val="auto"/>
                <w:sz w:val="24"/>
                <w:szCs w:val="24"/>
              </w:rPr>
            </w:pPr>
            <w:r>
              <w:rPr>
                <w:rFonts w:hint="eastAsia"/>
                <w:color w:val="auto"/>
                <w:sz w:val="24"/>
                <w:szCs w:val="24"/>
              </w:rPr>
              <w:t xml:space="preserve">径13.9</w:t>
            </w:r>
            <w:r/>
          </w:p>
        </w:tc>
      </w:tr>
      <w:tr>
        <w:trPr>
          <w:trHeight w:val="30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ind w:firstLine="0"/>
              <w:jc w:val="center"/>
              <w:keepLines w:val="0"/>
              <w:keepNext w:val="0"/>
              <w:pageBreakBefore w:val="0"/>
              <w:widowControl w:val="off"/>
              <w:rPr>
                <w:color w:val="auto"/>
                <w:sz w:val="24"/>
                <w:szCs w:val="24"/>
              </w:rPr>
            </w:pPr>
            <w:r>
              <w:rPr>
                <w:rFonts w:hint="eastAsia"/>
                <w:color w:val="auto"/>
                <w:sz w:val="24"/>
                <w:szCs w:val="24"/>
              </w:rPr>
              <w:t xml:space="preserve">176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M82</w:t>
            </w:r>
            <w:r>
              <w:rPr>
                <w:rFonts w:hint="eastAsia"/>
                <w:color w:val="auto"/>
                <w:sz w:val="24"/>
                <w:szCs w:val="24"/>
                <w:lang w:eastAsia="zh-CN"/>
              </w:rPr>
              <w:t xml:space="preserve">:</w:t>
            </w:r>
            <w:r>
              <w:rPr>
                <w:rFonts w:hint="eastAsia"/>
                <w:color w:val="auto"/>
                <w:sz w:val="24"/>
                <w:szCs w:val="24"/>
              </w:rPr>
              <w:t xml:space="preserve">113</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口晗</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未定级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ind w:firstLine="0"/>
              <w:jc w:val="center"/>
              <w:keepLines w:val="0"/>
              <w:keepNext w:val="0"/>
              <w:pageBreakBefore w:val="0"/>
              <w:widowControl w:val="off"/>
              <w:rPr>
                <w:color w:val="auto"/>
                <w:sz w:val="24"/>
                <w:szCs w:val="24"/>
              </w:rPr>
            </w:pPr>
            <w:r>
              <w:rPr>
                <w:rFonts w:hint="eastAsia"/>
                <w:color w:val="auto"/>
                <w:sz w:val="24"/>
                <w:szCs w:val="24"/>
              </w:rPr>
              <w:t xml:space="preserve">玉器</w:t>
            </w:r>
            <w:r/>
          </w:p>
        </w:tc>
        <w:tc>
          <w:tcPr>
            <w:tcBorders>
              <w:top w:val="single" w:color="000000" w:sz="4" w:space="0"/>
              <w:left w:val="single" w:color="000000" w:sz="4" w:space="0"/>
              <w:bottom w:val="single" w:color="000000" w:sz="4" w:space="0"/>
              <w:right w:val="single" w:color="000000" w:sz="4" w:space="0"/>
            </w:tcBorders>
            <w:tcW w:w="1165" w:type="pct"/>
            <w:vAlign w:val="center"/>
            <w:textDirection w:val="lrTb"/>
            <w:noWrap w:val="false"/>
          </w:tcPr>
          <w:p>
            <w:pPr>
              <w:ind w:firstLine="0"/>
              <w:jc w:val="center"/>
              <w:keepLines w:val="0"/>
              <w:keepNext w:val="0"/>
              <w:pageBreakBefore w:val="0"/>
              <w:widowControl w:val="off"/>
              <w:rPr>
                <w:rFonts w:hint="eastAsia"/>
                <w:color w:val="auto"/>
                <w:sz w:val="24"/>
                <w:szCs w:val="24"/>
              </w:rPr>
            </w:pPr>
            <w:r>
              <w:rPr>
                <w:rFonts w:hint="eastAsia"/>
                <w:color w:val="auto"/>
                <w:sz w:val="24"/>
                <w:szCs w:val="24"/>
              </w:rPr>
              <w:t xml:space="preserve">长4.9</w:t>
            </w:r>
            <w:r/>
          </w:p>
        </w:tc>
      </w:tr>
    </w:tbl>
    <w:p>
      <w:pPr>
        <w:pStyle w:val="786"/>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（2）套件类文物</w:t>
      </w:r>
      <w:r/>
    </w:p>
    <w:tbl>
      <w:tblPr>
        <w:tblStyle w:val="77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494"/>
        <w:gridCol w:w="1229"/>
        <w:gridCol w:w="1052"/>
        <w:gridCol w:w="495"/>
        <w:gridCol w:w="495"/>
        <w:gridCol w:w="495"/>
        <w:gridCol w:w="495"/>
        <w:gridCol w:w="4515"/>
      </w:tblGrid>
      <w:tr>
        <w:trPr>
          <w:trHeight w:val="771"/>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文物号</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年代</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质地</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文物尺寸信息</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1617-1625</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汉素漆耳杯</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漆</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口12.4</w:t>
            </w:r>
            <w:r>
              <w:rPr>
                <w:rFonts w:hint="eastAsia"/>
                <w:sz w:val="24"/>
                <w:szCs w:val="24"/>
                <w:lang w:eastAsia="zh-CN"/>
              </w:rPr>
              <w:t xml:space="preserve">，</w:t>
            </w:r>
            <w:r>
              <w:rPr>
                <w:rFonts w:hint="eastAsia"/>
                <w:sz w:val="24"/>
                <w:szCs w:val="24"/>
              </w:rPr>
              <w:t xml:space="preserve">连耳宽9.5</w:t>
            </w:r>
            <w:r>
              <w:rPr>
                <w:rFonts w:hint="eastAsia"/>
                <w:sz w:val="24"/>
                <w:szCs w:val="24"/>
                <w:lang w:eastAsia="zh-CN"/>
              </w:rPr>
              <w:t xml:space="preserve">，</w:t>
            </w:r>
            <w:r>
              <w:rPr>
                <w:rFonts w:hint="eastAsia"/>
                <w:sz w:val="24"/>
                <w:szCs w:val="24"/>
              </w:rPr>
              <w:t xml:space="preserve">底6.6</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1593-1607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汉代冥器一组</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二级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通长14.5，通宽11，通高13.5</w:t>
            </w:r>
            <w:r/>
          </w:p>
        </w:tc>
      </w:tr>
      <w:tr>
        <w:trPr>
          <w:trHeight w:val="546"/>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6117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宋金耳坠</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最长3.1</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1390、1391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清翠玉镯</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直径7.5</w:t>
            </w:r>
            <w:r/>
          </w:p>
        </w:tc>
      </w:tr>
      <w:tr>
        <w:trPr>
          <w:trHeight w:val="51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1494\1495</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宋金耳坠</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宋</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通长3.2 最长3.2</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348-354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民国刻花银器</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民国</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金属器</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口4.8，底2.4，高3.5；口6.6，底4.1，高1.4；口7.7，底4.2，高1.8；口7.8，底4.2，高1.6；口6.9，底3.7，高1.4；长18.3；长12.4</w:t>
            </w:r>
            <w:r/>
          </w:p>
        </w:tc>
      </w:tr>
      <w:tr>
        <w:trPr>
          <w:trHeight w:val="51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widowControl w:val="off"/>
              <w:rPr>
                <w:sz w:val="24"/>
                <w:szCs w:val="24"/>
              </w:rPr>
            </w:pPr>
            <w:r>
              <w:rPr>
                <w:rFonts w:hint="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99、100</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清玉镯</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玉石</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widowControl w:val="off"/>
              <w:rPr>
                <w:sz w:val="24"/>
                <w:szCs w:val="24"/>
              </w:rPr>
            </w:pPr>
            <w:r>
              <w:rPr>
                <w:rFonts w:hint="eastAsia"/>
                <w:sz w:val="24"/>
                <w:szCs w:val="24"/>
              </w:rPr>
              <w:t xml:space="preserve">直径7.4</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H52、H53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商周时期陶制盔形器</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商周</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通高25.1，口径23.5，通高23.5，口径17</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H54、H57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周代陶圜底罐</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周</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通高11.1，口径11.2，通高14.1，口径11.5</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L9</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唐唇口白瓷碗</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唐</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瓷</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L9之1：口径14，高4.4，足径5.6；L9之2：口径14.3，高4.3，足径5.7</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M51</w:t>
            </w:r>
            <w:r>
              <w:rPr>
                <w:rFonts w:hint="eastAsia"/>
                <w:sz w:val="24"/>
                <w:szCs w:val="24"/>
                <w:lang w:eastAsia="zh-CN"/>
              </w:rPr>
              <w:t xml:space="preserve">:</w:t>
            </w:r>
            <w:r>
              <w:rPr>
                <w:rFonts w:hint="eastAsia"/>
                <w:sz w:val="24"/>
                <w:szCs w:val="24"/>
              </w:rPr>
              <w:t xml:space="preserve">64</w:t>
            </w:r>
            <w:r>
              <w:rPr>
                <w:rFonts w:hint="eastAsia"/>
                <w:sz w:val="24"/>
                <w:szCs w:val="24"/>
                <w:lang w:eastAsia="zh-CN"/>
              </w:rPr>
              <w:t xml:space="preserve">, </w:t>
            </w:r>
            <w:r>
              <w:rPr>
                <w:rFonts w:hint="eastAsia"/>
                <w:sz w:val="24"/>
                <w:szCs w:val="24"/>
              </w:rPr>
              <w:t xml:space="preserve">M51</w:t>
            </w:r>
            <w:r>
              <w:rPr>
                <w:rFonts w:hint="eastAsia"/>
                <w:sz w:val="24"/>
                <w:szCs w:val="24"/>
                <w:lang w:eastAsia="zh-CN"/>
              </w:rPr>
              <w:t xml:space="preserve">:</w:t>
            </w:r>
            <w:r>
              <w:rPr>
                <w:rFonts w:hint="eastAsia"/>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汉代陶鼎</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口18.2 通高19.3；口径21.3底径19高19</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14,721,473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汉陶舫</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通高39.5，口边长12，底边长14，通高39.8，口边长12，底边长13.5</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M51</w:t>
            </w:r>
            <w:r>
              <w:rPr>
                <w:rFonts w:hint="eastAsia"/>
                <w:sz w:val="24"/>
                <w:szCs w:val="24"/>
                <w:lang w:eastAsia="zh-CN"/>
              </w:rPr>
              <w:t xml:space="preserve">:</w:t>
            </w:r>
            <w:r>
              <w:rPr>
                <w:rFonts w:hint="eastAsia"/>
                <w:sz w:val="24"/>
                <w:szCs w:val="24"/>
              </w:rPr>
              <w:t xml:space="preserve">99</w:t>
            </w:r>
            <w:r>
              <w:rPr>
                <w:rFonts w:hint="eastAsia"/>
                <w:sz w:val="24"/>
                <w:szCs w:val="24"/>
                <w:lang w:eastAsia="zh-CN"/>
              </w:rPr>
              <w:t xml:space="preserve">, </w:t>
            </w:r>
            <w:r>
              <w:rPr>
                <w:rFonts w:hint="eastAsia"/>
                <w:sz w:val="24"/>
                <w:szCs w:val="24"/>
              </w:rPr>
              <w:t xml:space="preserve">M51</w:t>
            </w:r>
            <w:r>
              <w:rPr>
                <w:rFonts w:hint="eastAsia"/>
                <w:sz w:val="24"/>
                <w:szCs w:val="24"/>
                <w:lang w:eastAsia="zh-CN"/>
              </w:rPr>
              <w:t xml:space="preserve">:</w:t>
            </w:r>
            <w:r>
              <w:rPr>
                <w:rFonts w:hint="eastAsia"/>
                <w:sz w:val="24"/>
                <w:szCs w:val="24"/>
              </w:rPr>
              <w:t xml:space="preserve">101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汉陶盒</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口径21.8底径12高18.8；口19.6 底12 通高19.2</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7905 7906</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瓷碗</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青瓷</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口径14.5</w:t>
            </w:r>
            <w:r>
              <w:rPr>
                <w:rFonts w:hint="eastAsia"/>
                <w:sz w:val="24"/>
                <w:szCs w:val="24"/>
                <w:lang w:eastAsia="zh-CN"/>
              </w:rPr>
              <w:t xml:space="preserve">，</w:t>
            </w:r>
            <w:r>
              <w:rPr>
                <w:rFonts w:hint="eastAsia"/>
                <w:sz w:val="24"/>
                <w:szCs w:val="24"/>
              </w:rPr>
              <w:t xml:space="preserve">高7.9</w:t>
            </w:r>
            <w:r>
              <w:rPr>
                <w:rFonts w:hint="eastAsia"/>
                <w:sz w:val="24"/>
                <w:szCs w:val="24"/>
              </w:rPr>
              <w:br/>
            </w:r>
            <w:r>
              <w:rPr>
                <w:rFonts w:hint="eastAsia"/>
                <w:sz w:val="24"/>
                <w:szCs w:val="24"/>
              </w:rPr>
              <w:t xml:space="preserve">底径5.9</w:t>
            </w:r>
            <w:r>
              <w:rPr>
                <w:rFonts w:hint="eastAsia"/>
                <w:sz w:val="24"/>
                <w:szCs w:val="24"/>
                <w:lang w:eastAsia="zh-CN"/>
              </w:rPr>
              <w:t xml:space="preserve">；</w:t>
            </w:r>
            <w:r>
              <w:rPr>
                <w:rFonts w:hint="eastAsia"/>
                <w:sz w:val="24"/>
                <w:szCs w:val="24"/>
              </w:rPr>
              <w:t xml:space="preserve">口径14.5</w:t>
            </w:r>
            <w:r>
              <w:rPr>
                <w:rFonts w:hint="eastAsia"/>
                <w:sz w:val="24"/>
                <w:szCs w:val="24"/>
                <w:lang w:eastAsia="zh-CN"/>
              </w:rPr>
              <w:t xml:space="preserve">，</w:t>
            </w:r>
            <w:r>
              <w:rPr>
                <w:rFonts w:hint="eastAsia"/>
                <w:sz w:val="24"/>
                <w:szCs w:val="24"/>
              </w:rPr>
              <w:t xml:space="preserve">高7.8,</w:t>
            </w:r>
            <w:r>
              <w:rPr>
                <w:rFonts w:hint="eastAsia"/>
                <w:sz w:val="24"/>
                <w:szCs w:val="24"/>
              </w:rPr>
              <w:br/>
            </w:r>
            <w:r>
              <w:rPr>
                <w:rFonts w:hint="eastAsia"/>
                <w:sz w:val="24"/>
                <w:szCs w:val="24"/>
              </w:rPr>
              <w:t xml:space="preserve">底径5.6</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7923 7924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青花盖罐</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口径5.0，腹径8.3</w:t>
            </w:r>
            <w:r>
              <w:rPr>
                <w:rFonts w:hint="eastAsia"/>
                <w:sz w:val="24"/>
                <w:szCs w:val="24"/>
                <w:lang w:eastAsia="zh-CN"/>
              </w:rPr>
              <w:t xml:space="preserve">，</w:t>
            </w:r>
            <w:r>
              <w:rPr>
                <w:rFonts w:hint="eastAsia"/>
                <w:sz w:val="24"/>
                <w:szCs w:val="24"/>
              </w:rPr>
              <w:t xml:space="preserve">通高10.7，底径5.0；口径5.0，腹径8.0</w:t>
            </w:r>
            <w:r>
              <w:rPr>
                <w:rFonts w:hint="eastAsia"/>
                <w:sz w:val="24"/>
                <w:szCs w:val="24"/>
                <w:lang w:eastAsia="zh-CN"/>
              </w:rPr>
              <w:t xml:space="preserve">，</w:t>
            </w:r>
            <w:r>
              <w:rPr>
                <w:rFonts w:hint="eastAsia"/>
                <w:sz w:val="24"/>
                <w:szCs w:val="24"/>
              </w:rPr>
              <w:t xml:space="preserve">通高10.7，底径5.0；</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7937 7938</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手镯</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清</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玉器</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内径5.7</w:t>
            </w:r>
            <w:r>
              <w:rPr>
                <w:rFonts w:hint="eastAsia"/>
                <w:sz w:val="24"/>
                <w:szCs w:val="24"/>
                <w:lang w:eastAsia="zh-CN"/>
              </w:rPr>
              <w:t xml:space="preserve">；</w:t>
            </w:r>
            <w:r>
              <w:rPr>
                <w:rFonts w:hint="eastAsia"/>
                <w:sz w:val="24"/>
                <w:szCs w:val="24"/>
              </w:rPr>
              <w:t xml:space="preserve">外径7.6</w:t>
            </w:r>
            <w:r>
              <w:rPr>
                <w:rFonts w:hint="eastAsia"/>
                <w:sz w:val="24"/>
                <w:szCs w:val="24"/>
                <w:lang w:eastAsia="zh-CN"/>
              </w:rPr>
              <w:t xml:space="preserve">；</w:t>
            </w:r>
            <w:r>
              <w:rPr>
                <w:rFonts w:hint="eastAsia"/>
                <w:sz w:val="24"/>
                <w:szCs w:val="24"/>
              </w:rPr>
              <w:t xml:space="preserve">厚1.0内径5.7</w:t>
            </w:r>
            <w:r>
              <w:rPr>
                <w:rFonts w:hint="eastAsia"/>
                <w:sz w:val="24"/>
                <w:szCs w:val="24"/>
                <w:lang w:eastAsia="zh-CN"/>
              </w:rPr>
              <w:t xml:space="preserve">；</w:t>
            </w:r>
            <w:r>
              <w:rPr>
                <w:rFonts w:hint="eastAsia"/>
                <w:sz w:val="24"/>
                <w:szCs w:val="24"/>
              </w:rPr>
              <w:t xml:space="preserve">外径7.7</w:t>
            </w:r>
            <w:r>
              <w:rPr>
                <w:rFonts w:hint="eastAsia"/>
                <w:sz w:val="24"/>
                <w:szCs w:val="24"/>
                <w:lang w:eastAsia="zh-CN"/>
              </w:rPr>
              <w:t xml:space="preserve">；</w:t>
            </w:r>
            <w:r>
              <w:rPr>
                <w:rFonts w:hint="eastAsia"/>
                <w:sz w:val="24"/>
                <w:szCs w:val="24"/>
              </w:rPr>
              <w:t xml:space="preserve">厚1.0</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7947 7948</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元瓷碗</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瓷器</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M18:8：口径15.1厘米，底径5.4厘米，高7.9厘米；M18:9：口径15.7厘米，底径5厘米，高7.5厘米</w:t>
            </w:r>
            <w:r/>
          </w:p>
        </w:tc>
      </w:tr>
      <w:tr>
        <w:trPr>
          <w:trHeight w:val="454"/>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7949</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元金环</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金</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直径1厘米</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7866 7867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汉陶鼎</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口18.2 通高19.3；口径21.3底径19高19</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7879 7880</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汉陶盒</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三级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汉</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陶</w:t>
            </w:r>
            <w:r/>
          </w:p>
        </w:tc>
        <w:tc>
          <w:tcPr>
            <w:tcBorders>
              <w:top w:val="single" w:color="000000" w:sz="4" w:space="0"/>
              <w:left w:val="single" w:color="000000" w:sz="4" w:space="0"/>
              <w:bottom w:val="single" w:color="000000" w:sz="4" w:space="0"/>
              <w:right w:val="single" w:color="000000" w:sz="4" w:space="0"/>
            </w:tcBorders>
            <w:tcW w:w="1506" w:type="pct"/>
            <w:vAlign w:val="center"/>
            <w:textDirection w:val="lrTb"/>
            <w:noWrap/>
          </w:tcPr>
          <w:p>
            <w:pPr>
              <w:ind w:left="0" w:right="0" w:firstLine="0"/>
              <w:jc w:val="center"/>
              <w:keepLines w:val="0"/>
              <w:keepNext w:val="0"/>
              <w:pageBreakBefore w:val="0"/>
              <w:spacing w:line="240" w:lineRule="auto"/>
              <w:widowControl w:val="off"/>
              <w:rPr>
                <w:sz w:val="24"/>
                <w:szCs w:val="24"/>
              </w:rPr>
            </w:pPr>
            <w:r>
              <w:rPr>
                <w:rFonts w:hint="eastAsia"/>
                <w:sz w:val="24"/>
                <w:szCs w:val="24"/>
              </w:rPr>
              <w:t xml:space="preserve">口径21.8底径12高18.8；口19.6 底12 通高19.2</w:t>
            </w:r>
            <w:r/>
          </w:p>
        </w:tc>
      </w:tr>
    </w:tbl>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5.采集成果数据存储要求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为满足数据存储需求，本项目需提供存储设施。设备参数要求如下：</w:t>
      </w:r>
      <w:r/>
    </w:p>
    <w:tbl>
      <w:tblPr>
        <w:tblStyle w:val="81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296"/>
        <w:gridCol w:w="2719"/>
        <w:gridCol w:w="3153"/>
        <w:gridCol w:w="725"/>
        <w:gridCol w:w="725"/>
      </w:tblGrid>
      <w:tr>
        <w:trPr>
          <w:jc w:val="center"/>
          <w:trHeight w:val="601"/>
        </w:trPr>
        <w:tc>
          <w:tcPr>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序号</w:t>
            </w:r>
            <w:r/>
          </w:p>
        </w:tc>
        <w:tc>
          <w:tcPr>
            <w:gridSpan w:val="2"/>
            <w:tcW w:w="1296"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4"/>
                <w:szCs w:val="24"/>
                <w:u w:val="none"/>
                <w:lang w:val="en-US" w:eastAsia="zh-CN" w:bidi="ar"/>
                <w14:textFill>
                  <w14:solidFill>
                    <w14:schemeClr w14:val="tx1"/>
                  </w14:solidFill>
                </w14:textFill>
              </w:rPr>
              <w:t xml:space="preserve">建设内容</w:t>
            </w:r>
            <w:r/>
          </w:p>
        </w:tc>
        <w:tc>
          <w:tcPr>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内容/参数</w:t>
            </w:r>
            <w:r/>
          </w:p>
        </w:tc>
        <w:tc>
          <w:tcPr>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数量</w:t>
            </w:r>
            <w:r/>
          </w:p>
        </w:tc>
        <w:tc>
          <w:tcPr>
            <w:tcW w:w="72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单位</w:t>
            </w:r>
            <w:r/>
          </w:p>
        </w:tc>
      </w:tr>
      <w:tr>
        <w:trPr>
          <w:jc w:val="center"/>
          <w:trHeight w:val="1012"/>
        </w:trPr>
        <w:tc>
          <w:tcPr>
            <w:tcW w:w="0" w:type="auto"/>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W w:w="1296" w:type="dxa"/>
            <w:vAlign w:val="center"/>
            <w:vMerge w:val="restart"/>
            <w:textDirection w:val="lrTb"/>
            <w:noWrap w:val="false"/>
          </w:tcPr>
          <w:p>
            <w:pPr>
              <w:ind w:left="0" w:right="0" w:firstLine="0"/>
              <w:jc w:val="center"/>
              <w:keepLines w:val="0"/>
              <w:keepNext w:val="0"/>
              <w:widowControl/>
              <w:rPr>
                <w:rFonts w:hint="default" w:ascii="宋体" w:hAnsi="宋体" w:eastAsia="宋体" w:cs="宋体"/>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color w:val="000000" w:themeColor="text1"/>
                <w:sz w:val="24"/>
                <w:szCs w:val="24"/>
                <w:u w:val="none"/>
                <w:lang w:val="en-US" w:eastAsia="zh-CN" w:bidi="ar"/>
                <w14:textFill>
                  <w14:solidFill>
                    <w14:schemeClr w14:val="tx1"/>
                  </w14:solidFill>
                </w14:textFill>
              </w:rPr>
              <w:t xml:space="preserve">存储设备</w:t>
            </w:r>
            <w:r/>
          </w:p>
        </w:tc>
        <w:tc>
          <w:tcPr>
            <w:tcW w:w="0" w:type="auto"/>
            <w:vAlign w:val="center"/>
            <w:textDirection w:val="lrTb"/>
            <w:noWrap w:val="false"/>
          </w:tcPr>
          <w:p>
            <w:pPr>
              <w:ind w:left="0" w:right="0" w:firstLine="0"/>
              <w:jc w:val="center"/>
              <w:keepLines w:val="0"/>
              <w:keepNext w:val="0"/>
              <w:widowControl/>
              <w:rPr>
                <w:rFonts w:hint="default" w:ascii="宋体" w:hAnsi="宋体" w:eastAsia="宋体" w:cs="宋体"/>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color w:val="000000" w:themeColor="text1"/>
                <w:sz w:val="24"/>
                <w:szCs w:val="24"/>
                <w:u w:val="none"/>
                <w:lang w:val="en-US" w:eastAsia="zh-CN" w:bidi="ar"/>
                <w14:textFill>
                  <w14:solidFill>
                    <w14:schemeClr w14:val="tx1"/>
                  </w14:solidFill>
                </w14:textFill>
              </w:rPr>
              <w:t xml:space="preserve">文物数据移动存储介质</w:t>
            </w:r>
            <w:r/>
          </w:p>
        </w:tc>
        <w:tc>
          <w:tcPr>
            <w:tcW w:w="0" w:type="auto"/>
            <w:vAlign w:val="center"/>
            <w:textDirection w:val="lrTb"/>
            <w:noWrap w:val="false"/>
          </w:tcPr>
          <w:p>
            <w:pPr>
              <w:ind w:left="0" w:right="0" w:firstLine="0"/>
              <w:jc w:val="left"/>
              <w:keepLines w:val="0"/>
              <w:keepNext w:val="0"/>
              <w:widowControl/>
              <w:rPr>
                <w:rFonts w:hint="eastAsia" w:ascii="宋体" w:hAnsi="宋体" w:eastAsia="宋体" w:cs="宋体"/>
                <w:color w:val="000000" w:themeColor="text1"/>
                <w:sz w:val="24"/>
                <w:szCs w:val="24"/>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1）容量：不低于20TB</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2）接口：不低于USB3.0</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w:t>
            </w:r>
            <w:r/>
          </w:p>
        </w:tc>
        <w:tc>
          <w:tcP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c>
          <w:tcPr>
            <w:tcW w:w="72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块</w:t>
            </w:r>
            <w:r/>
          </w:p>
        </w:tc>
      </w:tr>
      <w:tr>
        <w:trPr>
          <w:jc w:val="center"/>
          <w:trHeight w:val="1063"/>
        </w:trPr>
        <w:tc>
          <w:tcPr>
            <w:tcW w:w="724" w:type="dxa"/>
            <w:vAlign w:val="center"/>
            <w:textDirection w:val="lrTb"/>
            <w:noWrap w:val="false"/>
          </w:tcPr>
          <w:p>
            <w:pPr>
              <w:ind w:left="0" w:right="0" w:firstLine="0"/>
              <w:jc w:val="center"/>
              <w:spacing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c>
          <w:tcPr>
            <w:tcW w:w="129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r>
            <w:r/>
          </w:p>
        </w:tc>
        <w:tc>
          <w:tcPr>
            <w:tcW w:w="271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文物数据节点存储介质</w:t>
            </w:r>
            <w:r/>
          </w:p>
        </w:tc>
        <w:tc>
          <w:tcPr>
            <w:tcW w:w="315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1）容量：不低于20TB</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2）接口：3.5寸SATA</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w:t>
            </w:r>
            <w:r/>
          </w:p>
        </w:tc>
        <w:tc>
          <w:tcPr>
            <w:tcW w:w="72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c>
          <w:tcPr>
            <w:tcW w:w="72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块</w:t>
            </w:r>
            <w:r/>
          </w:p>
        </w:tc>
      </w:tr>
    </w:tbl>
    <w:p>
      <w:pPr>
        <w:ind w:firstLine="480"/>
        <w:jc w:val="left"/>
        <w:keepLines w:val="0"/>
        <w:keepNext w:val="0"/>
        <w:pageBreakBefore w:val="0"/>
        <w:spacing w:line="500" w:lineRule="exact"/>
        <w:widowControl/>
        <w:rPr>
          <w:rFonts w:hint="eastAsia" w:ascii="宋体" w:hAnsi="宋体" w:eastAsia="宋体" w:cs="宋体"/>
          <w:b w:val="0"/>
          <w:bCs w:val="0"/>
          <w:i/>
          <w:iCs/>
          <w:color w:val="auto"/>
          <w:sz w:val="24"/>
          <w:highlight w:val="none"/>
          <w:u w:val="single"/>
          <w:lang w:val="en-US" w:eastAsia="zh-CN"/>
        </w:rPr>
        <w:outlineLvl w:val="2"/>
      </w:pPr>
      <w:r>
        <w:rPr>
          <w:rFonts w:hint="eastAsia" w:ascii="宋体" w:hAnsi="宋体" w:eastAsia="宋体" w:cs="宋体"/>
          <w:b w:val="0"/>
          <w:bCs w:val="0"/>
          <w:i/>
          <w:iCs/>
          <w:color w:val="auto"/>
          <w:sz w:val="24"/>
          <w:highlight w:val="none"/>
          <w:u w:val="single"/>
          <w:lang w:val="en-US" w:eastAsia="zh-CN"/>
        </w:rPr>
        <w:t xml:space="preserve">6.文物数字化成果展示应用服务</w:t>
      </w:r>
      <w:r/>
    </w:p>
    <w:p>
      <w:pPr>
        <w:ind w:firstLine="480"/>
        <w:jc w:val="left"/>
        <w:keepLines w:val="0"/>
        <w:keepNext w:val="0"/>
        <w:pageBreakBefore w:val="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val="0"/>
          <w:i/>
          <w:iCs/>
          <w:color w:val="auto"/>
          <w:sz w:val="24"/>
          <w:highlight w:val="none"/>
          <w:u w:val="single"/>
          <w:lang w:val="en-US" w:eastAsia="zh-CN"/>
        </w:rPr>
        <w:t xml:space="preserve">中标方须配合采购人，从本项目采集范围内遴选1件代表性馆藏文物，协助完成该文物数字化展示资源制作，配合采购人将相关成果纳入“江苏数字文物百宝箱”计划</w:t>
      </w:r>
      <w:r>
        <w:rPr>
          <w:rFonts w:hint="eastAsia" w:ascii="宋体" w:hAnsi="宋体" w:cs="宋体"/>
          <w:b w:val="0"/>
          <w:bCs w:val="0"/>
          <w:i/>
          <w:iCs/>
          <w:color w:val="auto"/>
          <w:sz w:val="24"/>
          <w:highlight w:val="none"/>
          <w:u w:val="single"/>
          <w:lang w:val="en-US" w:eastAsia="zh-CN"/>
        </w:rPr>
        <w:t xml:space="preserve">，投标时提供承诺书并加盖投标人公章，格式自拟，不提供或提供不全的做无效标处理</w:t>
      </w:r>
      <w:r>
        <w:rPr>
          <w:rFonts w:hint="eastAsia" w:ascii="宋体" w:hAnsi="宋体" w:eastAsia="宋体" w:cs="宋体"/>
          <w:b w:val="0"/>
          <w:bCs w:val="0"/>
          <w:i/>
          <w:iCs/>
          <w:color w:val="auto"/>
          <w:sz w:val="24"/>
          <w:highlight w:val="none"/>
          <w:u w:val="single"/>
          <w:lang w:val="en-US" w:eastAsia="zh-CN"/>
        </w:rPr>
        <w:t xml:space="preserve">。</w:t>
      </w:r>
      <w:r/>
    </w:p>
    <w:p>
      <w:pPr>
        <w:pStyle w:val="786"/>
        <w:keepLines w:val="0"/>
        <w:keepNext w:val="0"/>
        <w:pageBreakBefore w:val="0"/>
        <w:spacing w:line="500" w:lineRule="exact"/>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四、现场踏勘</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因本项目报价需结合文物实际情况及现场采集条件，各投标人投标前应踏勘现场以了解项目实际情况（包括文物存放环境、采集场</w:t>
      </w:r>
      <w:r>
        <w:rPr>
          <w:rFonts w:hint="eastAsia" w:ascii="宋体" w:hAnsi="宋体" w:eastAsia="宋体" w:cs="宋体"/>
          <w:b w:val="0"/>
          <w:bCs w:val="0"/>
          <w:color w:val="auto"/>
          <w:sz w:val="24"/>
          <w:highlight w:val="none"/>
          <w:lang w:val="en-US" w:eastAsia="zh-CN"/>
        </w:rPr>
        <w:t xml:space="preserve">地条件、设备布设空间、采购人对数字化成果的具体要求以及演示所需采集的指定文物现状等）。</w:t>
      </w:r>
      <w:r>
        <w:rPr>
          <w:rFonts w:hint="eastAsia" w:ascii="宋体" w:hAnsi="宋体" w:eastAsia="宋体" w:cs="宋体"/>
          <w:b w:val="0"/>
          <w:bCs w:val="0"/>
          <w:color w:val="auto"/>
          <w:sz w:val="24"/>
          <w:highlight w:val="none"/>
          <w:lang w:val="en-US" w:eastAsia="zh-CN"/>
        </w:rPr>
        <w:t xml:space="preserve">现场踏勘</w:t>
      </w:r>
      <w:r>
        <w:rPr>
          <w:rFonts w:hint="eastAsia" w:ascii="宋体" w:hAnsi="宋体" w:cs="宋体"/>
          <w:b w:val="0"/>
          <w:bCs w:val="0"/>
          <w:color w:val="auto"/>
          <w:sz w:val="24"/>
          <w:highlight w:val="none"/>
          <w:lang w:val="en-US" w:eastAsia="zh-CN"/>
        </w:rPr>
        <w:t xml:space="preserve">联系人</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江先生</w:t>
      </w:r>
      <w:r>
        <w:rPr>
          <w:rFonts w:hint="eastAsia" w:ascii="宋体" w:hAnsi="宋体" w:eastAsia="宋体" w:cs="宋体"/>
          <w:b w:val="0"/>
          <w:bCs w:val="0"/>
          <w:color w:val="auto"/>
          <w:sz w:val="24"/>
          <w:highlight w:val="none"/>
          <w:lang w:val="en-US" w:eastAsia="zh-CN"/>
        </w:rPr>
        <w:t xml:space="preserve">，联系电话</w:t>
      </w:r>
      <w:r>
        <w:rPr>
          <w:rFonts w:hint="eastAsia" w:ascii="宋体" w:hAnsi="宋体" w:cs="宋体"/>
          <w:b w:val="0"/>
          <w:bCs w:val="0"/>
          <w:color w:val="auto"/>
          <w:sz w:val="24"/>
          <w:highlight w:val="none"/>
          <w:lang w:val="en-US" w:eastAsia="zh-CN"/>
        </w:rPr>
        <w:t xml:space="preserve">：13615161361</w:t>
      </w:r>
      <w:r>
        <w:rPr>
          <w:rFonts w:hint="eastAsia" w:ascii="宋体" w:hAnsi="宋体" w:eastAsia="宋体" w:cs="宋体"/>
          <w:b w:val="0"/>
          <w:bCs w:val="0"/>
          <w:color w:val="auto"/>
          <w:sz w:val="24"/>
          <w:highlight w:val="none"/>
          <w:lang w:val="en-US" w:eastAsia="zh-CN"/>
        </w:rPr>
        <w:t xml:space="preserve">；踏勘时间：2026年</w:t>
      </w:r>
      <w:r>
        <w:rPr>
          <w:rFonts w:hint="eastAsia" w:ascii="宋体" w:hAnsi="宋体" w:cs="宋体"/>
          <w:b w:val="0"/>
          <w:bCs w:val="0"/>
          <w:color w:val="auto"/>
          <w:sz w:val="24"/>
          <w:highlight w:val="none"/>
          <w:lang w:val="en-US" w:eastAsia="zh-CN"/>
        </w:rPr>
        <w:t xml:space="preserve">7</w:t>
      </w:r>
      <w:r>
        <w:rPr>
          <w:rFonts w:hint="eastAsia" w:ascii="宋体" w:hAnsi="宋体" w:eastAsia="宋体" w:cs="宋体"/>
          <w:b w:val="0"/>
          <w:bCs w:val="0"/>
          <w:color w:val="auto"/>
          <w:sz w:val="24"/>
          <w:highlight w:val="none"/>
          <w:lang w:val="en-US" w:eastAsia="zh-CN"/>
        </w:rPr>
        <w:t xml:space="preserve">月</w:t>
      </w:r>
      <w:r>
        <w:rPr>
          <w:rFonts w:hint="eastAsia" w:ascii="宋体" w:hAnsi="宋体" w:cs="宋体"/>
          <w:b w:val="0"/>
          <w:bCs w:val="0"/>
          <w:color w:val="auto"/>
          <w:sz w:val="24"/>
          <w:highlight w:val="none"/>
          <w:lang w:val="en-US" w:eastAsia="zh-CN"/>
        </w:rPr>
        <w:t xml:space="preserve">16</w:t>
      </w:r>
      <w:r>
        <w:rPr>
          <w:rFonts w:hint="eastAsia" w:ascii="宋体" w:hAnsi="宋体" w:eastAsia="宋体" w:cs="宋体"/>
          <w:b w:val="0"/>
          <w:bCs w:val="0"/>
          <w:color w:val="auto"/>
          <w:sz w:val="24"/>
          <w:highlight w:val="none"/>
          <w:lang w:val="en-US" w:eastAsia="zh-CN"/>
        </w:rPr>
        <w:t xml:space="preserve">日</w:t>
      </w:r>
      <w:r>
        <w:rPr>
          <w:rFonts w:hint="eastAsia" w:ascii="宋体" w:hAnsi="宋体" w:cs="宋体"/>
          <w:b w:val="0"/>
          <w:bCs w:val="0"/>
          <w:color w:val="auto"/>
          <w:sz w:val="24"/>
          <w:highlight w:val="none"/>
          <w:lang w:val="en-US" w:eastAsia="zh-CN"/>
        </w:rPr>
        <w:t xml:space="preserve">-2026年7</w:t>
      </w:r>
      <w:r>
        <w:rPr>
          <w:rFonts w:hint="eastAsia" w:ascii="宋体" w:hAnsi="宋体" w:eastAsia="宋体" w:cs="宋体"/>
          <w:b w:val="0"/>
          <w:bCs w:val="0"/>
          <w:color w:val="auto"/>
          <w:sz w:val="24"/>
          <w:highlight w:val="none"/>
          <w:lang w:val="en-US" w:eastAsia="zh-CN"/>
        </w:rPr>
        <w:t xml:space="preserve">月</w:t>
      </w:r>
      <w:r>
        <w:rPr>
          <w:rFonts w:hint="eastAsia" w:ascii="宋体" w:hAnsi="宋体" w:cs="宋体"/>
          <w:b w:val="0"/>
          <w:bCs w:val="0"/>
          <w:color w:val="auto"/>
          <w:sz w:val="24"/>
          <w:highlight w:val="none"/>
          <w:lang w:val="en-US" w:eastAsia="zh-CN"/>
        </w:rPr>
        <w:t xml:space="preserve">17</w:t>
      </w:r>
      <w:r>
        <w:rPr>
          <w:rFonts w:hint="eastAsia" w:ascii="宋体" w:hAnsi="宋体" w:eastAsia="宋体" w:cs="宋体"/>
          <w:b w:val="0"/>
          <w:bCs w:val="0"/>
          <w:color w:val="auto"/>
          <w:sz w:val="24"/>
          <w:highlight w:val="none"/>
          <w:lang w:val="en-US" w:eastAsia="zh-CN"/>
        </w:rPr>
        <w:t xml:space="preserve">日</w:t>
      </w:r>
      <w:r>
        <w:rPr>
          <w:rFonts w:hint="eastAsia" w:ascii="宋体" w:hAnsi="宋体" w:cs="宋体"/>
          <w:b w:val="0"/>
          <w:bCs w:val="0"/>
          <w:color w:val="auto"/>
          <w:sz w:val="24"/>
          <w:highlight w:val="none"/>
          <w:lang w:val="en-US" w:eastAsia="zh-CN"/>
        </w:rPr>
        <w:t xml:space="preserve">，9:00——11:00，15:00——17:00</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现场踏勘时，投标人须全面掌握文物现状及采集环境，并审慎评估所有可能影响项目实施及报价的因素。同时，投标人应在踏勘时确认演</w:t>
      </w:r>
      <w:r>
        <w:rPr>
          <w:rFonts w:hint="eastAsia" w:ascii="宋体" w:hAnsi="宋体" w:eastAsia="宋体" w:cs="宋体"/>
          <w:b w:val="0"/>
          <w:bCs w:val="0"/>
          <w:color w:val="auto"/>
          <w:sz w:val="24"/>
          <w:highlight w:val="none"/>
          <w:lang w:val="en-US" w:eastAsia="zh-CN"/>
        </w:rPr>
        <w:t xml:space="preserve">示部分需现场采集的文物对象、采集条件及数据保密要求，以便后续按要求完成演示视频的制作。本项目实施期间所涉文物交接、场地协调等事宜均由中标单位与采购人协商解决，并承担相应责任。中标后，投标人不得以未踏勘现场或踏勘不细致为由提出费用增加、工期延长或消极履约等要求。</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参加项目现场集中踏勘的人员须现场提供单位介绍信、成功获取招标文件的报名截图证明及委派人员的身份证复印件。因未参加统一现场集中踏勘而产生的相关风险由投标人自行承担（包括无法获知演示采集文物的具体信息及采集条件）。踏勘现场所发生的费用及风险由投标人自行承担，投标人需自行准备踏勘所需的工具和</w:t>
      </w:r>
      <w:r>
        <w:rPr>
          <w:rFonts w:hint="eastAsia" w:ascii="宋体" w:hAnsi="宋体" w:cs="宋体"/>
          <w:b w:val="0"/>
          <w:bCs w:val="0"/>
          <w:color w:val="auto"/>
          <w:sz w:val="24"/>
          <w:highlight w:val="none"/>
          <w:lang w:val="en-US" w:eastAsia="zh-CN"/>
        </w:rPr>
        <w:t xml:space="preserve">设备</w:t>
      </w:r>
      <w:r>
        <w:rPr>
          <w:rFonts w:hint="eastAsia" w:ascii="宋体" w:hAnsi="宋体" w:eastAsia="宋体" w:cs="宋体"/>
          <w:b w:val="0"/>
          <w:bCs w:val="0"/>
          <w:color w:val="auto"/>
          <w:sz w:val="24"/>
          <w:highlight w:val="none"/>
          <w:lang w:val="en-US" w:eastAsia="zh-CN"/>
        </w:rPr>
        <w:t xml:space="preserve">（如测量工具、记录设备等）。</w:t>
      </w:r>
      <w:r/>
    </w:p>
    <w:p>
      <w:pPr>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bidi="ar-SA"/>
        </w:rPr>
        <w:outlineLvl w:val="1"/>
      </w:pPr>
      <w:r>
        <w:rPr>
          <w:rFonts w:hint="eastAsia" w:ascii="宋体" w:hAnsi="宋体" w:cs="宋体"/>
          <w:b/>
          <w:bCs/>
          <w:color w:val="auto"/>
          <w:sz w:val="24"/>
          <w:szCs w:val="20"/>
          <w:highlight w:val="none"/>
          <w:lang w:val="en-US" w:eastAsia="zh-CN" w:bidi="ar-SA"/>
        </w:rPr>
        <w:t xml:space="preserve">五</w:t>
      </w:r>
      <w:r>
        <w:rPr>
          <w:rFonts w:hint="eastAsia" w:ascii="宋体" w:hAnsi="宋体" w:eastAsia="宋体" w:cs="宋体"/>
          <w:b/>
          <w:bCs/>
          <w:color w:val="auto"/>
          <w:sz w:val="24"/>
          <w:szCs w:val="20"/>
          <w:highlight w:val="none"/>
          <w:lang w:val="en-US" w:eastAsia="zh-CN" w:bidi="ar-SA"/>
        </w:rPr>
        <w:t xml:space="preserve">、商务要求</w:t>
      </w:r>
      <w:r/>
    </w:p>
    <w:p>
      <w:pPr>
        <w:pStyle w:val="1043"/>
        <w:ind w:firstLine="480"/>
        <w:keepLines w:val="0"/>
        <w:keepNext w:val="0"/>
        <w:pageBreakBefore w:val="0"/>
        <w:spacing w:before="0" w:beforeAutospacing="0" w:after="0" w:afterAutospacing="0" w:line="500" w:lineRule="exact"/>
        <w:rPr>
          <w:rFonts w:hint="eastAsia" w:eastAsia="宋体"/>
          <w:color w:val="auto"/>
          <w:highlight w:val="none"/>
        </w:rPr>
      </w:pPr>
      <w:r>
        <w:rPr>
          <w:rFonts w:hint="eastAsia" w:eastAsia="宋体"/>
          <w:color w:val="auto"/>
          <w:highlight w:val="none"/>
        </w:rPr>
        <w:t xml:space="preserve">1</w:t>
      </w:r>
      <w:r>
        <w:rPr>
          <w:rFonts w:hint="eastAsia" w:eastAsia="宋体"/>
          <w:color w:val="auto"/>
          <w:highlight w:val="none"/>
          <w:lang w:eastAsia="zh-CN"/>
        </w:rPr>
        <w:t xml:space="preserve">.</w:t>
      </w:r>
      <w:r>
        <w:rPr>
          <w:rFonts w:hint="eastAsia" w:eastAsia="宋体"/>
          <w:color w:val="auto"/>
          <w:highlight w:val="none"/>
        </w:rPr>
        <w:t xml:space="preserve">合同履行期限：</w:t>
      </w:r>
      <w:r>
        <w:rPr>
          <w:rFonts w:hint="eastAsia" w:ascii="宋体" w:hAnsi="宋体" w:eastAsia="宋体" w:cs="宋体"/>
          <w:i w:val="0"/>
          <w:iCs w:val="0"/>
          <w:color w:val="auto"/>
          <w:sz w:val="24"/>
          <w:szCs w:val="24"/>
          <w:highlight w:val="none"/>
          <w:u w:val="none"/>
          <w:lang w:val="en-US" w:eastAsia="zh-CN"/>
        </w:rPr>
        <w:t xml:space="preserve">自合同签订之日起90日历天内完成全部工作内容，并通过采购人及</w:t>
      </w:r>
      <w:r>
        <w:rPr>
          <w:rFonts w:hint="eastAsia" w:ascii="宋体" w:hAnsi="宋体" w:eastAsia="宋体" w:cs="宋体"/>
          <w:b w:val="0"/>
          <w:bCs w:val="0"/>
          <w:color w:val="auto"/>
          <w:sz w:val="24"/>
          <w:highlight w:val="none"/>
          <w:lang w:val="en-US" w:eastAsia="zh-CN"/>
        </w:rPr>
        <w:t xml:space="preserve">省文物局（或上级主管部门）</w:t>
      </w:r>
      <w:r>
        <w:rPr>
          <w:rFonts w:hint="eastAsia" w:ascii="宋体" w:hAnsi="宋体" w:eastAsia="宋体" w:cs="宋体"/>
          <w:i w:val="0"/>
          <w:iCs w:val="0"/>
          <w:color w:val="auto"/>
          <w:sz w:val="24"/>
          <w:szCs w:val="24"/>
          <w:highlight w:val="none"/>
          <w:u w:val="none"/>
          <w:lang w:val="en-US" w:eastAsia="zh-CN"/>
        </w:rPr>
        <w:t xml:space="preserve">的最终验收</w:t>
      </w:r>
      <w:r>
        <w:rPr>
          <w:rFonts w:hint="eastAsia" w:ascii="宋体" w:hAnsi="宋体" w:eastAsia="宋体" w:cs="宋体"/>
          <w:color w:val="auto"/>
          <w:sz w:val="24"/>
          <w:highlight w:val="none"/>
          <w:shd w:val="clear" w:color="auto" w:fill="auto"/>
          <w:lang w:eastAsia="zh-CN"/>
        </w:rPr>
        <w:t xml:space="preserve">。</w:t>
      </w:r>
      <w:r/>
    </w:p>
    <w:p>
      <w:pPr>
        <w:pStyle w:val="1043"/>
        <w:ind w:firstLine="480"/>
        <w:keepLines w:val="0"/>
        <w:keepNext w:val="0"/>
        <w:pageBreakBefore w:val="0"/>
        <w:spacing w:before="0" w:beforeAutospacing="0" w:after="0" w:afterAutospacing="0" w:line="500" w:lineRule="exact"/>
        <w:rPr>
          <w:rFonts w:hint="eastAsia" w:eastAsia="宋体"/>
          <w:color w:val="auto"/>
          <w:highlight w:val="none"/>
        </w:rPr>
      </w:pPr>
      <w:r>
        <w:rPr>
          <w:rFonts w:hint="eastAsia" w:eastAsia="宋体"/>
          <w:color w:val="auto"/>
          <w:highlight w:val="none"/>
        </w:rPr>
        <w:t xml:space="preserve">2</w:t>
      </w:r>
      <w:r>
        <w:rPr>
          <w:rFonts w:hint="eastAsia" w:eastAsia="宋体"/>
          <w:color w:val="auto"/>
          <w:highlight w:val="none"/>
          <w:lang w:eastAsia="zh-CN"/>
        </w:rPr>
        <w:t xml:space="preserve">.</w:t>
      </w:r>
      <w:r>
        <w:rPr>
          <w:rFonts w:hint="eastAsia" w:eastAsia="宋体"/>
          <w:color w:val="auto"/>
          <w:highlight w:val="none"/>
        </w:rPr>
        <w:t xml:space="preserve">服务地点：采购人指定地点。</w:t>
      </w:r>
      <w:r/>
    </w:p>
    <w:p>
      <w:pPr>
        <w:pStyle w:val="1043"/>
        <w:ind w:firstLine="480"/>
        <w:keepLines w:val="0"/>
        <w:keepNext w:val="0"/>
        <w:pageBreakBefore w:val="0"/>
        <w:spacing w:before="0" w:beforeAutospacing="0" w:after="0" w:afterAutospacing="0" w:line="5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default" w:ascii="宋体" w:hAnsi="宋体" w:eastAsia="宋体" w:cs="宋体"/>
          <w:color w:val="auto"/>
          <w:highlight w:val="none"/>
          <w:lang w:val="en-US" w:eastAsia="zh-CN"/>
        </w:rPr>
        <w:t xml:space="preserve">.报价要求</w:t>
      </w:r>
      <w:r/>
    </w:p>
    <w:p>
      <w:pPr>
        <w:pStyle w:val="1043"/>
        <w:ind w:firstLine="480"/>
        <w:keepLines w:val="0"/>
        <w:keepNext w:val="0"/>
        <w:pageBreakBefore w:val="0"/>
        <w:spacing w:before="0" w:beforeAutospacing="0" w:after="0" w:afterAutospacing="0" w:line="5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default" w:ascii="宋体" w:hAnsi="宋体" w:eastAsia="宋体" w:cs="宋体"/>
          <w:color w:val="auto"/>
          <w:highlight w:val="none"/>
          <w:lang w:val="en-US" w:eastAsia="zh-CN"/>
        </w:rPr>
        <w:t xml:space="preserve">.1本项目采用固定总价方式报价，报价应包括但不限于人员工资、加班费、临时突击费用、文物交接费用、社会保障缴费、福利、运输费、包装费、差旅费、工具、通讯设施、物资消耗、备品、方案设计费、交通费，住宿费、管理费、利润、税费、政策性文件规定及合同包含的所有风险、责任等。要充分考虑所有工作人员的值休、轮休、法定假日休息以及岗位顶班、日常机动人员的配备，以上所有费用均计入总价。</w:t>
      </w:r>
      <w:r/>
    </w:p>
    <w:p>
      <w:pPr>
        <w:pStyle w:val="1043"/>
        <w:ind w:firstLine="480"/>
        <w:keepLines w:val="0"/>
        <w:keepNext w:val="0"/>
        <w:pageBreakBefore w:val="0"/>
        <w:spacing w:before="0" w:beforeAutospacing="0" w:after="0" w:afterAutospacing="0" w:line="500" w:lineRule="exact"/>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3.2本项目从启动到最终通过省级文物主管部门专项验收期间，所涉及的全部专家论证费、评估费、验收相关费用（含资料整理、报告出版、检测配合、会议组织等）及项目管理费，均由中标人承担。投标人应综合考虑纳入总报价，合同价款不因实际发生费用增减而调整。</w:t>
      </w:r>
      <w:r/>
    </w:p>
    <w:p>
      <w:pPr>
        <w:pStyle w:val="1043"/>
        <w:ind w:firstLine="480"/>
        <w:keepLines w:val="0"/>
        <w:keepNext w:val="0"/>
        <w:pageBreakBefore w:val="0"/>
        <w:spacing w:before="0" w:beforeAutospacing="0" w:after="0" w:afterAutospacing="0" w:line="5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default" w:ascii="宋体" w:hAnsi="宋体" w:eastAsia="宋体" w:cs="宋体"/>
          <w:color w:val="auto"/>
          <w:highlight w:val="none"/>
          <w:lang w:val="en-US" w:eastAsia="zh-CN"/>
        </w:rPr>
        <w:t xml:space="preserve">.</w:t>
      </w:r>
      <w:r>
        <w:rPr>
          <w:rFonts w:hint="eastAsia" w:cs="宋体"/>
          <w:color w:val="auto"/>
          <w:highlight w:val="none"/>
          <w:lang w:val="en-US" w:eastAsia="zh-CN"/>
        </w:rPr>
        <w:t xml:space="preserve">3</w:t>
      </w:r>
      <w:r>
        <w:rPr>
          <w:rFonts w:hint="default" w:ascii="宋体" w:hAnsi="宋体" w:eastAsia="宋体" w:cs="宋体"/>
          <w:color w:val="auto"/>
          <w:highlight w:val="none"/>
          <w:lang w:val="en-US" w:eastAsia="zh-CN"/>
        </w:rPr>
        <w:t xml:space="preserve">供应商应对所投项目的全部内容进行报价，完成招标文件规定的货物或服务等全部相关工作所涉及到的一切相关费用。对在合同实施过程中可能发生的其他费用，采购人概不负责。</w:t>
      </w:r>
      <w:r/>
    </w:p>
    <w:p>
      <w:pPr>
        <w:pStyle w:val="1043"/>
        <w:ind w:firstLine="480"/>
        <w:keepLines w:val="0"/>
        <w:keepNext w:val="0"/>
        <w:pageBreakBefore w:val="0"/>
        <w:spacing w:before="0" w:beforeAutospacing="0" w:after="0" w:afterAutospacing="0" w:line="500" w:lineRule="exact"/>
        <w:rPr>
          <w:rFonts w:hint="default" w:cs="宋体"/>
          <w:b w:val="0"/>
          <w:bCs w:val="0"/>
          <w:color w:val="auto"/>
          <w:sz w:val="24"/>
          <w:highlight w:val="none"/>
          <w:lang w:val="en-US" w:eastAsia="zh-CN"/>
        </w:rPr>
      </w:pPr>
      <w:r>
        <w:rPr>
          <w:rFonts w:hint="eastAsia" w:cs="宋体"/>
          <w:b w:val="0"/>
          <w:bCs w:val="0"/>
          <w:color w:val="auto"/>
          <w:sz w:val="24"/>
          <w:highlight w:val="none"/>
          <w:lang w:val="en-US" w:eastAsia="zh-CN"/>
        </w:rPr>
        <w:t xml:space="preserve">3.4本项目采购内容以数字化采集、制作等服务为主体，存储设备仅用于数据归档存储，系实现项目功能的辅助配套货物。</w:t>
      </w:r>
      <w:r/>
    </w:p>
    <w:p>
      <w:pPr>
        <w:pStyle w:val="1043"/>
        <w:ind w:firstLine="480"/>
        <w:keepLines w:val="0"/>
        <w:keepNext w:val="0"/>
        <w:pageBreakBefore w:val="0"/>
        <w:spacing w:before="0" w:beforeAutospacing="0" w:after="0" w:afterAutospacing="0" w:line="500" w:lineRule="exact"/>
        <w:rPr>
          <w:rFonts w:hint="eastAsia" w:ascii="宋体" w:hAnsi="宋体" w:eastAsia="宋体" w:cs="宋体"/>
          <w:color w:val="auto"/>
          <w:highlight w:val="none"/>
          <w:lang w:val="en-US" w:eastAsia="zh-CN"/>
        </w:rPr>
      </w:pPr>
      <w:r>
        <w:rPr>
          <w:rFonts w:hint="eastAsia"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en-US" w:eastAsia="zh-CN"/>
        </w:rPr>
        <w:t xml:space="preserve">.验收标准</w:t>
      </w:r>
      <w:r>
        <w:rPr>
          <w:rFonts w:hint="eastAsia" w:cs="宋体"/>
          <w:b w:val="0"/>
          <w:bCs w:val="0"/>
          <w:color w:val="auto"/>
          <w:sz w:val="24"/>
          <w:highlight w:val="none"/>
          <w:lang w:val="en-US" w:eastAsia="zh-CN"/>
        </w:rPr>
        <w:t xml:space="preserve">、要求</w:t>
      </w:r>
      <w:r>
        <w:rPr>
          <w:rFonts w:hint="eastAsia" w:ascii="宋体" w:hAnsi="宋体" w:eastAsia="宋体" w:cs="宋体"/>
          <w:b w:val="0"/>
          <w:bCs w:val="0"/>
          <w:color w:val="auto"/>
          <w:sz w:val="24"/>
          <w:highlight w:val="none"/>
          <w:lang w:val="en-US" w:eastAsia="zh-CN"/>
        </w:rPr>
        <w:t xml:space="preserve">：按照国家文物局相关行业标准规范，完成本项目全部数字化成果交付及结项报告的编写，配合采购人做好项目结项验收工作，并确保顺利通过</w:t>
      </w:r>
      <w:r>
        <w:rPr>
          <w:rFonts w:hint="eastAsia" w:ascii="宋体" w:hAnsi="宋体" w:eastAsia="宋体" w:cs="宋体"/>
          <w:i w:val="0"/>
          <w:iCs w:val="0"/>
          <w:color w:val="auto"/>
          <w:sz w:val="24"/>
          <w:szCs w:val="24"/>
          <w:highlight w:val="none"/>
          <w:u w:val="none"/>
          <w:lang w:val="en-US" w:eastAsia="zh-CN"/>
        </w:rPr>
        <w:t xml:space="preserve">采购人及</w:t>
      </w:r>
      <w:r>
        <w:rPr>
          <w:rFonts w:hint="eastAsia" w:ascii="宋体" w:hAnsi="宋体" w:eastAsia="宋体" w:cs="宋体"/>
          <w:b w:val="0"/>
          <w:bCs w:val="0"/>
          <w:color w:val="auto"/>
          <w:sz w:val="24"/>
          <w:highlight w:val="none"/>
          <w:lang w:val="en-US" w:eastAsia="zh-CN"/>
        </w:rPr>
        <w:t xml:space="preserve">省文物局（或上级主管部门）</w:t>
      </w:r>
      <w:r>
        <w:rPr>
          <w:rFonts w:hint="eastAsia" w:ascii="宋体" w:hAnsi="宋体" w:eastAsia="宋体" w:cs="宋体"/>
          <w:i w:val="0"/>
          <w:iCs w:val="0"/>
          <w:color w:val="auto"/>
          <w:sz w:val="24"/>
          <w:szCs w:val="24"/>
          <w:highlight w:val="none"/>
          <w:u w:val="none"/>
          <w:lang w:val="en-US" w:eastAsia="zh-CN"/>
        </w:rPr>
        <w:t xml:space="preserve">的最终验收</w:t>
      </w:r>
      <w:r>
        <w:rPr>
          <w:rFonts w:hint="eastAsia" w:ascii="宋体" w:hAnsi="宋体" w:eastAsia="宋体" w:cs="宋体"/>
          <w:b w:val="0"/>
          <w:bCs w:val="0"/>
          <w:color w:val="auto"/>
          <w:sz w:val="24"/>
          <w:highlight w:val="none"/>
          <w:lang w:val="en-US" w:eastAsia="zh-CN"/>
        </w:rPr>
        <w:t xml:space="preserve">。</w:t>
      </w:r>
      <w:r/>
    </w:p>
    <w:p>
      <w:pPr>
        <w:pStyle w:val="1043"/>
        <w:ind w:firstLine="480"/>
        <w:keepLines w:val="0"/>
        <w:keepNext w:val="0"/>
        <w:pageBreakBefore w:val="0"/>
        <w:spacing w:before="0" w:beforeAutospacing="0" w:after="0" w:afterAutospacing="0" w:line="500" w:lineRule="exact"/>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5</w:t>
      </w:r>
      <w:r>
        <w:rPr>
          <w:rFonts w:hint="eastAsia" w:ascii="宋体" w:hAnsi="宋体" w:eastAsia="宋体" w:cs="宋体"/>
          <w:color w:val="auto"/>
          <w:highlight w:val="none"/>
          <w:lang w:val="en-US" w:eastAsia="zh-CN"/>
        </w:rPr>
        <w:t xml:space="preserve">.售后服务与质量持续改进要求</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5.1售后服务期限</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本项目免费售后服务周期为自项目最终验收合格之日起1年。服务内容包括：</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数据服务：对交付的数字化成果提供存储、迁移、格式转换等技术支持。</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设备维护：对采购的存储设备提供故障排查、维修或更换服务。</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技术培训：为采购人至少提供1次现场技术培训，内容包括数据使用、简单质检、设备操作等。</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5.2售后响应标准</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中标人须提供7×24小时服务热线。在免费服务期内，接到采购人故障报修或技术咨询后：</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普通问题（如数据调用、格式转换）应在2小时内响应，24小时内提供解决方案。</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紧急问题（如存储设备故障、数据丢失风险）应在1小时内响应，12小时内派员抵达现场处理。</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5.3例行巡检</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中标人须在免费服务期内每半年至少进行一次现场巡检。巡检内容包括：</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检查存储设备的运行状态、健康度。</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评估数据存储环境的温湿度、防磁、防尘等条件。</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6.付款方式：合同签订后，在收到中标供应商发票后10个工作日内付合同价款的40%作为预付款（在签订合同时，中标供应商明确书面表示无需预付款或者主动要求降低预付款比例的，采购人可就预付款比例作相应调整）；中标供应商完成合同所有项目内容并验收合格后，在收到中标供应商发票后10个工作日内付至合同价款的80%；项目审计结束后，在收到中标供应商发票后10个工作日内付至审定价的97%；验收合格满一年后按审定价结清余款。每次付款前，中标供应商提供增值税发票，以上付款均不计任何利息和有关费用。 </w:t>
      </w:r>
      <w:r/>
    </w:p>
    <w:p>
      <w:pPr>
        <w:ind w:firstLine="480"/>
        <w:keepLines w:val="0"/>
        <w:keepNext w:val="0"/>
        <w:pageBreakBefore w:val="0"/>
        <w:spacing w:line="500" w:lineRule="exact"/>
        <w:widowControl w:val="off"/>
        <w:rPr>
          <w:rFonts w:hint="eastAsia" w:cs="Times New Roman"/>
          <w:color w:val="auto"/>
          <w:sz w:val="24"/>
          <w:highlight w:val="none"/>
          <w:lang w:val="en-US" w:eastAsia="zh-CN"/>
        </w:rPr>
        <w:outlineLvl w:val="3"/>
      </w:pPr>
      <w:r>
        <w:rPr>
          <w:rFonts w:hint="eastAsia" w:cs="Times New Roman"/>
          <w:color w:val="auto"/>
          <w:sz w:val="24"/>
          <w:highlight w:val="none"/>
          <w:lang w:val="en-US" w:eastAsia="zh-CN"/>
        </w:rPr>
        <w:t xml:space="preserve">注：以上付款均不计任何利息和相关费用。本项目价款一律通过银行非现金结算，款项汇入中标供应商账户，实行专款专用。</w:t>
      </w:r>
      <w:r/>
    </w:p>
    <w:p>
      <w:pPr>
        <w:pStyle w:val="786"/>
        <w:keepLines w:val="0"/>
        <w:keepNext w:val="0"/>
        <w:pageBreakBefore w:val="0"/>
        <w:spacing w:line="500" w:lineRule="exact"/>
        <w:widowControl w:val="off"/>
        <w:rPr>
          <w:rFonts w:hint="default"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六、项目服务方案及其他</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（一）服务方案编制要求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投标人须严格遵循本项目采购需求，结合文物数字化保护的专业特点，编制详尽、具体、可操作性强的服务方案。方案应内容全面、架构清晰、措施有力，其贯彻与执行应能充分保障本项目“全面提升馆藏珍贵文物的数字化保护与利用水平”总体目标的实现。</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1.项目认知与响应策略，至少包含以下内容：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1）二维图片采集：针对单件类41件、套件类24套（167件）文物，按器形、材质与体量分类制定差异化采集策略，明确不同类别文物对应的设备选型、布光方案与拍摄规范，通过针对性技术措施保障各类成果的产出数量与成像质量，全面适配档案留存、展示传播等多场景应用需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2）多光谱成像：针对5件文物，阐述多光谱成像技术在文物病害识别、颜料成分分析、隐藏信息提取与保护修复研究等领域的应用价值，明确多光谱数据的采集方法、波段设置与核心工作目标，为文物保护与学术研究提供多维度数据支撑。</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（3）数字拓片：针对2件碑刻类文物，围绕数字拓片的字口清晰度、比例准确性、等核心质量要求，从数据采集、数据处理等环节制定全流程质量保障措施，确保数字拓片真实还原碑刻形制与文字细节。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4）三维数据采集制作：针对单件类176件、套件类20套（69件）文物，按文物材质、形制复杂度与体量分级匹配采集方案，明确不同类别文物的设备选型、扫描策略与数据处理全流程，通过闭环质量管控确保三维成果的点云精度、模型完整度等核心技术指标全面满足项目规范要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2.数字化采集专项技术方案，至少包含以下内容：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（1）文物二维高清影像采集制作方案</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①采集设备：列明拟投入的中画幅数码相机、配套定焦/变焦镜头、专业影视灯光系统、标准色卡等核心设备的品牌、型号及关键技术参数，确保设备性能匹配项目采集精度要求。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②采集制作标准：明确原始文件与成品文件的存储格式、色彩空间、色彩深度、立体文物有效像素、平面文物分辨率等核心技术参数，统一全项目采集质量基准。</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③常规文物采集方案：涵盖采集场地布置、相机参数基准设置、立体文物多视角采集、扁平器物采集、平面文物正射采集等全环节标准作业流程，建立统一的操作规范与质量校验要求。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④特殊文物针对性采集方案：针对高反光材质文物、成组成套文物、大型平面文物等特殊品类，制定针对性采集技术方案，按文物材质与形态特点匹配差异化的构图规则、布光组合与拍摄技法，保障特殊文物成像质量。</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⑤成果制作方案：按档案留存、文物图录出版、学术论文配图、网络宣传传播、数字场馆展示等不同应用场景，分级明确成果输出格式、文件大小与画质指标，实现成果的精细化适配。</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（2）文物多光谱成像方案</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①采集设备：列明拟投入的多光谱成像相机、卤素标准光源、便携图形工作站等核心设备的品牌、型号及关键技术参数，保障多波段采集的稳定性与数据精度。</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②采集制作标准：明确拍摄环境要求、拍摄角度基准、照度均匀性、大型文物分幅采集重合度等核心技术指标，统一多光谱数据采集的质量标准。</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③采集方案：明确相机与被摄文物的相对位置校准方式、光源布设角度与布光逻辑、分波段拍摄的操作顺序与校准要求，同时说明单件文物的采集波段数量与单波段图像的数据体量。</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④成果制作方案：明确多光谱成果的输出格式、单波段图像分辨率、单文件数据量与成果交付数量要求。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（3）文物数字拓片制作方案</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①采集设备：列明用于碑刻数据采集的三维扫描设备的品牌、型号及核心技术参数，保障点云数据精度满足拓片制作要求。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②制作标准：比例尺精准无误，字口边缘连续平滑无毛刺，背景模拟灰白纸张纹理，采用透视投影方式；输出格式包含.jpg 与.tif 两种，成品分辨率不低于300DPI，灰度等级为256 级。</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③采集方案：明确碑刻三维扫描的完整技术流程，以及现场作业中的文物保护、数据校准、数据处理等关键注意事项。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④成果制作方案：规范从原始扫描点云数据预处理、数据导入、拓片生成的全流程制作工序。</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（4）文物三维信息采集制作方案，至少包含以下内容：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①采集设备：列明拟投入的复合式/跟踪式三维扫描仪、全画幅纹理采集相机、标准色卡等核心设备的品牌、型号及关键技术参数。</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②采集制作标准：明确点云平均点间距、最大点间距、点云配准误差、纹理采集分辨率、纹理采集重叠率、模型精度、贴图分辨率等采集制作指标，建立统一的质量评判依据。</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③常规文物采集方案：包括但不限于场地布置、三维扫描、纹理采集等标准作业流程。</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④特殊文物针对性采集方案：包括但不限于反光文物、大型文物的针对性采集方案，并针对不同类别文物提出差异化的三维扫描、纹理采集方案，保障三维数据的完整度与精度。</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⑤成果制作方案：包括但不限于存档数据加工流程、应用数据加工流程。</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3.项目实施方案，至少包含以下内容：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（1）实施组织架构：建立权责清晰的项目组织架构，明确各岗位职责，说明关键岗位人员稳定性保障措施、例会制度及进度质量通报机制。</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2）工期计划：制定以“日历天”为单位的详细项目实施总体计划表。总体进度计划编制完成率100%。在项目执行中，月进度计划偏差控制在±3天内，周进度计划偏差控制在±1天内。当进度滞后预警（滞后≥3天）时，须在48小时内向采购人提交包含纠偏措施的书面报告。</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（3）进度保障措施：制定动态进度监控机制，说明进度报告提交频率及内容（含已完成工作、后续计划、风险提示等），确保数据记录准确、报告及时。</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4）质量保障措施：在数据采集与处理阶段，专职质检员每日至少开展2次现场质量巡查；对检查发现的一般质量问题，整改时间不超过2个工作日；重大质量问题，整改时间不超过5个工作日。整改后经验收合格方可交付。</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4.文物安全专项方案，至少包含以下内容：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（1）实施前准备措施：制定文物原件保护专项方案，内容至少包括：采集场地环境控制措施、人员岗前安全培训计划、设备安全检测方案。</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（2）应急预案编制：制定相应应急预案、应急演练组织方式及整改机制。</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（3）数据安全保障措施：保障数据采集、数据处理、数据存储、数据传输与交付等环节的数据安全。</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5.售后服务方案，至少包含以下内容：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（1）售后服务内容及承诺：说明免费服务期（1年）内的服务范围（数据服务、设备维护、技术培训等），以及对服务请求的处理流程。</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（2）售后服务体系及团队：明确售后服务核心成员。保证售后服务团队核心人员相对稳定，如有更换须提前告知采购人并安排同等能力人员接替。</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3）售后服务保障措施：提供7×24小时服务热线。在免费服务期内，接到采购人故障报修或技术咨询后：普通问题应在2小时内响应，24小时内提供解决方案；紧急问题应在1小时内响应，12小时内派员抵达现场处理。每半年至少进行一次现场巡检（含巡检内容、报告提交时间）。建立质量问题台账，实行销号管理</w:t>
      </w:r>
      <w:r>
        <w:rPr>
          <w:rFonts w:hint="eastAsia" w:ascii="宋体" w:hAnsi="宋体" w:cs="宋体"/>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6.培训方案，至少包含以下内容：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（1）培训目标：使采购人指定技术人员（不少于3人）能够独立完成成果调用、设备巡检、基础质检及安全规范执行，培训后考核合格。</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（2）培训内容：至少包括成果文件结构、存储设备操作、质检工具使用、数据备份操作、安全管理制度等内容。</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（3）培训安排：提供差异化的培训计划，明确理论课和实操课的学时分配、课程内容及培训材料的编制与交付安排。</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（4）培训方式：采用理论讲解与现场实操相结合的方式，提供使用说明书供存档学习。</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7.业绩</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本项目涉及珍贵文物的数字化采集与处理，对供应商的项目实施经验和技术积累要求较高。为确保项目顺利实施，投标人自2023年1月1日以来（以合同签订日期为准）具有类似项目业绩的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8.企业实力</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本项目涉及珍贵文物的二维/三维采集、多光谱成像、数字拓片制作等多项数字化处理工作，技术环节多、质量要求高，投标人具备系统化的企业技术标准，有助于规范作业流程、统一质量基准、提升成果一致性。具有在企业标准信息服务公共平台公示的文物数字化技术规范或文物数字化相关企业标准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9.体系认证</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本项目涉及珍贵文物的数字化采集、处理及数据安全管理，对服务质量、信息安全和环境控制有较高要求。投标人需具备完善的管理体系，以规范项目全流程执行，确保数字化加工与平台建设质量稳定可靠，保障文物安全与数据信息安全，并有效提升管理效率。具有在全国认证认可信息公共服务平台查询且在有效期内的售后服务认证证书</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质量管理体系认证证书、环境管理体系认证证书、职业健康安全管理体系认证证书的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3"/>
      </w:pPr>
      <w:r>
        <w:rPr>
          <w:rFonts w:hint="eastAsia" w:ascii="宋体" w:hAnsi="宋体" w:eastAsia="宋体" w:cs="宋体"/>
          <w:color w:val="auto"/>
          <w:sz w:val="24"/>
          <w:highlight w:val="none"/>
          <w:lang w:val="en-US" w:eastAsia="zh-CN"/>
        </w:rPr>
        <w:t xml:space="preserve">10.人员配备</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本项目涉及大量珍贵文物的现场采集与处理，文物年代久远、材质多样（如纸质、漆木器、陶瓷、金属、书画等），对采集过程中的文物安全保护、数据精度控制及技术操作规范要求极高。同时，数字化成果需满足永久保存、研究利用及展示传播等多重目标，项目实施团队的专业能力直接影响项目质量与文物安全。因此，投标人应为本项目配备经验丰富、专业结构合理的实施团队。</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拟派项目负责人需统筹项目整体进度、协调各方资源并处理技术难点，具备信息系统项目管理能力及高级技术职称者更能保障项目顺利实施。因此，拟派项目负责人具有信息系统项目管理师（高级）证书的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拟派项目技术负责人需对文物数字化全流程技术方案负总责，尤其要准确把握文物保护原则和数字化技术标准。因此，拟派项目技术负责人具有</w:t>
      </w:r>
      <w:r>
        <w:rPr>
          <w:rFonts w:hint="eastAsia" w:ascii="宋体" w:hAnsi="宋体" w:eastAsia="宋体" w:cs="宋体"/>
          <w:color w:val="auto"/>
          <w:sz w:val="24"/>
          <w:highlight w:val="none"/>
        </w:rPr>
        <w:t xml:space="preserve">文物博物系列</w:t>
      </w:r>
      <w:r>
        <w:rPr>
          <w:rFonts w:hint="eastAsia" w:ascii="宋体" w:hAnsi="宋体" w:eastAsia="宋体" w:cs="宋体"/>
          <w:color w:val="auto"/>
          <w:sz w:val="24"/>
          <w:highlight w:val="none"/>
          <w:lang w:val="en-US" w:eastAsia="zh-CN"/>
        </w:rPr>
        <w:t xml:space="preserve">相关专业高级工程师职称的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拟派项目团队成员（不含项目负责人、项目技术负责人）中，具有</w:t>
      </w:r>
      <w:r>
        <w:rPr>
          <w:rFonts w:hint="eastAsia" w:ascii="宋体" w:hAnsi="宋体" w:eastAsia="宋体" w:cs="宋体"/>
          <w:color w:val="auto"/>
          <w:sz w:val="24"/>
          <w:highlight w:val="none"/>
        </w:rPr>
        <w:t xml:space="preserve">文物博物系列</w:t>
      </w:r>
      <w:r>
        <w:rPr>
          <w:rFonts w:hint="eastAsia" w:ascii="宋体" w:hAnsi="宋体" w:eastAsia="宋体" w:cs="宋体"/>
          <w:color w:val="auto"/>
          <w:sz w:val="24"/>
          <w:highlight w:val="none"/>
          <w:lang w:val="en-US" w:eastAsia="zh-CN"/>
        </w:rPr>
        <w:t xml:space="preserve">相关专业中级及以上职称的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，以便准确识别文物特征并制定采集策略；具有信息技术、计算机等相关专业中级及以上职称的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，以支撑三维建模、多光谱分析等工作；具有摄影、艺术等相关专业职称的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，以满足对摄影构图、色彩还原的高要求。</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现场采集过程中文物安全是首要红线，需专人负责安全巡查与风险管控。因此，配备文物保护专业中级及以上职称人员担任现场安全管理员的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b/>
          <w:color w:val="auto"/>
          <w:sz w:val="24"/>
          <w:highlight w:val="none"/>
        </w:rPr>
        <w:outlineLvl w:val="3"/>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b/>
          <w:color w:val="auto"/>
          <w:sz w:val="24"/>
          <w:highlight w:val="none"/>
        </w:rPr>
        <w:t xml:space="preserve">视频演示</w:t>
      </w:r>
      <w:r/>
    </w:p>
    <w:p>
      <w:pPr>
        <w:ind w:firstLine="480"/>
        <w:keepLines w:val="0"/>
        <w:keepNext w:val="0"/>
        <w:pageBreakBefore w:val="0"/>
        <w:spacing w:line="500" w:lineRule="exact"/>
        <w:widowControl w:val="off"/>
        <w:rPr>
          <w:rFonts w:hint="eastAsia" w:ascii="宋体" w:hAnsi="宋体" w:eastAsia="宋体" w:cs="宋体"/>
          <w:b/>
          <w:sz w:val="24"/>
        </w:rPr>
      </w:pPr>
      <w:r>
        <w:rPr>
          <w:rFonts w:hint="eastAsia" w:ascii="宋体" w:hAnsi="宋体" w:eastAsia="宋体" w:cs="宋体"/>
          <w:b/>
          <w:color w:val="auto"/>
          <w:sz w:val="24"/>
          <w:highlight w:val="none"/>
        </w:rPr>
        <w:t xml:space="preserve">（1）投标人应根据本项目采购需求，在采购人安排的现场踏勘时间内，自行到中国海盐博物馆对采购人指定的文物进行现场数据采集</w:t>
      </w:r>
      <w:r>
        <w:rPr>
          <w:rFonts w:hint="eastAsia" w:ascii="宋体" w:hAnsi="宋体" w:eastAsia="宋体" w:cs="宋体"/>
          <w:b/>
          <w:sz w:val="24"/>
        </w:rPr>
        <w:t xml:space="preserve">（采集前须签订数据保密协议），并对所采集的文物三维数据</w:t>
      </w:r>
      <w:r>
        <w:rPr>
          <w:rFonts w:hint="eastAsia" w:ascii="宋体" w:hAnsi="宋体" w:eastAsia="宋体" w:cs="宋体"/>
          <w:b/>
          <w:sz w:val="24"/>
          <w:lang w:eastAsia="zh-CN"/>
        </w:rPr>
        <w:t xml:space="preserve">的</w:t>
      </w:r>
      <w:r>
        <w:rPr>
          <w:rFonts w:hint="eastAsia" w:ascii="宋体" w:hAnsi="宋体" w:eastAsia="宋体" w:cs="宋体"/>
          <w:b/>
          <w:sz w:val="24"/>
        </w:rPr>
        <w:t xml:space="preserve">成果进行演示，演示内容如下：</w:t>
      </w:r>
      <w:r/>
    </w:p>
    <w:p>
      <w:pPr>
        <w:ind w:firstLine="480"/>
        <w:keepLines w:val="0"/>
        <w:keepNext w:val="0"/>
        <w:pageBreakBefore w:val="0"/>
        <w:spacing w:line="500" w:lineRule="exact"/>
        <w:widowControl w:val="off"/>
        <w:rPr>
          <w:rFonts w:hint="eastAsia" w:ascii="宋体" w:hAnsi="宋体" w:eastAsia="宋体" w:cs="宋体"/>
          <w:b w:val="0"/>
          <w:bCs/>
          <w:sz w:val="24"/>
        </w:rPr>
      </w:pPr>
      <w:r>
        <w:rPr>
          <w:rFonts w:hint="eastAsia" w:ascii="宋体" w:hAnsi="宋体" w:eastAsia="宋体" w:cs="宋体"/>
          <w:b w:val="0"/>
          <w:bCs/>
          <w:sz w:val="24"/>
        </w:rPr>
        <w:t xml:space="preserve">①采集成果数量</w:t>
      </w:r>
      <w:r/>
    </w:p>
    <w:p>
      <w:pPr>
        <w:ind w:firstLine="480"/>
        <w:keepLines w:val="0"/>
        <w:keepNext w:val="0"/>
        <w:pageBreakBefore w:val="0"/>
        <w:spacing w:line="500" w:lineRule="exact"/>
        <w:widowControl w:val="off"/>
        <w:rPr>
          <w:rFonts w:hint="eastAsia" w:ascii="宋体" w:hAnsi="宋体" w:eastAsia="宋体" w:cs="宋体"/>
          <w:b w:val="0"/>
          <w:bCs/>
          <w:sz w:val="24"/>
        </w:rPr>
      </w:pPr>
      <w:r>
        <w:rPr>
          <w:rFonts w:hint="eastAsia" w:ascii="宋体" w:hAnsi="宋体" w:eastAsia="宋体" w:cs="宋体"/>
          <w:b w:val="0"/>
          <w:bCs/>
          <w:sz w:val="24"/>
        </w:rPr>
        <w:t xml:space="preserve">演示所提交的采集成果包含存档数据、应用数据（含高网格面纹理模型、低网格面纹理模型）等不同级别数据，每类数据均需在视频中逐一展示文件列表及内容。</w:t>
      </w:r>
      <w:r/>
    </w:p>
    <w:p>
      <w:pPr>
        <w:ind w:firstLine="480"/>
        <w:keepLines w:val="0"/>
        <w:keepNext w:val="0"/>
        <w:pageBreakBefore w:val="0"/>
        <w:spacing w:line="500" w:lineRule="exact"/>
        <w:widowControl w:val="off"/>
        <w:rPr>
          <w:rFonts w:hint="eastAsia" w:ascii="宋体" w:hAnsi="宋体" w:eastAsia="宋体" w:cs="宋体"/>
          <w:b w:val="0"/>
          <w:bCs/>
          <w:sz w:val="24"/>
        </w:rPr>
      </w:pPr>
      <w:r>
        <w:rPr>
          <w:rFonts w:hint="eastAsia" w:ascii="宋体" w:hAnsi="宋体" w:eastAsia="宋体" w:cs="宋体"/>
          <w:b w:val="0"/>
          <w:bCs/>
          <w:sz w:val="24"/>
        </w:rPr>
        <w:t xml:space="preserve">②采集成果质量</w:t>
      </w:r>
      <w:r/>
    </w:p>
    <w:p>
      <w:pPr>
        <w:ind w:firstLine="480"/>
        <w:keepLines w:val="0"/>
        <w:keepNext w:val="0"/>
        <w:pageBreakBefore w:val="0"/>
        <w:spacing w:line="500" w:lineRule="exact"/>
        <w:widowControl w:val="off"/>
        <w:rPr>
          <w:rFonts w:hint="eastAsia" w:ascii="宋体" w:hAnsi="宋体" w:eastAsia="宋体" w:cs="宋体"/>
          <w:b w:val="0"/>
          <w:bCs/>
          <w:sz w:val="24"/>
        </w:rPr>
      </w:pPr>
      <w:r>
        <w:rPr>
          <w:rFonts w:hint="eastAsia" w:ascii="宋体" w:hAnsi="宋体" w:eastAsia="宋体" w:cs="宋体"/>
          <w:b w:val="0"/>
          <w:bCs/>
          <w:sz w:val="24"/>
        </w:rPr>
        <w:t xml:space="preserve">A.网格模型要求：网格模型为obj等通用格式，不包含除文物之外的多余部分，无变形、叠面、交叉面、异常突出面；存档数据模型完整度大于等于95%，应用数据模型完整度为100%。视频中需对模型进行360度旋转展示并局部放大检查网格质量，同时通过模型视角切换展示模型的完整程度，对缺失或孔洞位置进行说明。</w:t>
      </w:r>
      <w:r/>
    </w:p>
    <w:p>
      <w:pPr>
        <w:ind w:firstLine="480"/>
        <w:keepLines w:val="0"/>
        <w:keepNext w:val="0"/>
        <w:pageBreakBefore w:val="0"/>
        <w:spacing w:line="500" w:lineRule="exact"/>
        <w:widowControl w:val="off"/>
        <w:rPr>
          <w:rFonts w:hint="eastAsia" w:ascii="宋体" w:hAnsi="宋体" w:eastAsia="宋体" w:cs="宋体"/>
          <w:b w:val="0"/>
          <w:bCs/>
          <w:sz w:val="24"/>
        </w:rPr>
      </w:pPr>
      <w:r>
        <w:rPr>
          <w:rFonts w:hint="eastAsia" w:ascii="宋体" w:hAnsi="宋体" w:eastAsia="宋体" w:cs="宋体"/>
          <w:b w:val="0"/>
          <w:bCs/>
          <w:sz w:val="24"/>
        </w:rPr>
        <w:t xml:space="preserve">B.贴图分辨率要求：存档数据贴图分辨率大于等于300dpi；应用数据高网格面纹理模型的纹理贴图分辨率不低于0.5倍存档纹理模型的纹理贴图分辨率；应用数据低网格面纹理模型的纹理贴图分辨率不低于4096×4096像素。视频中需展示纹理贴图的属性信息或通过软件截图显示分辨率，同时对比展示两套模型的纹理贴图分辨率。</w:t>
      </w:r>
      <w:r/>
    </w:p>
    <w:p>
      <w:pPr>
        <w:ind w:firstLine="480"/>
        <w:keepLines w:val="0"/>
        <w:keepNext w:val="0"/>
        <w:pageBreakBefore w:val="0"/>
        <w:spacing w:line="50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（2）演示要求：演示方式 视频演示</w:t>
      </w:r>
      <w:r/>
    </w:p>
    <w:p>
      <w:pPr>
        <w:ind w:firstLine="480"/>
        <w:keepLines w:val="0"/>
        <w:keepNext w:val="0"/>
        <w:pageBreakBefore w:val="0"/>
        <w:spacing w:line="5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000000"/>
          <w:sz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r/>
    </w:p>
    <w:p>
      <w:pPr>
        <w:pStyle w:val="786"/>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采购标的对应的中小企业划分标准所属行业一览表</w:t>
      </w:r>
      <w:r/>
    </w:p>
    <w:tbl>
      <w:tblPr>
        <w:tblStyle w:val="779"/>
        <w:tblW w:w="5000" w:type="pct"/>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5090"/>
        <w:gridCol w:w="3490"/>
      </w:tblGrid>
      <w:tr>
        <w:trPr>
          <w:jc w:val="center"/>
          <w:tblCellSpacing w:w="0" w:type="dxa"/>
        </w:trPr>
        <w:tc>
          <w:tcPr>
            <w:tcW w:w="372" w:type="pct"/>
            <w:vAlign w:val="center"/>
            <w:textDirection w:val="lrTb"/>
            <w:noWrap/>
          </w:tcPr>
          <w:p>
            <w:pPr>
              <w:pStyle w:val="104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745" w:type="pct"/>
            <w:vAlign w:val="center"/>
            <w:textDirection w:val="lrTb"/>
            <w:noWrap/>
          </w:tcPr>
          <w:p>
            <w:pPr>
              <w:pStyle w:val="104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tcW w:w="1882" w:type="pct"/>
            <w:vAlign w:val="center"/>
            <w:textDirection w:val="lrTb"/>
            <w:noWrap/>
          </w:tcPr>
          <w:p>
            <w:pPr>
              <w:pStyle w:val="104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tcW w:w="372" w:type="pct"/>
            <w:vAlign w:val="center"/>
            <w:textDirection w:val="lrTb"/>
            <w:noWrap/>
          </w:tcPr>
          <w:p>
            <w:pPr>
              <w:pStyle w:val="104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745" w:type="pct"/>
            <w:vAlign w:val="center"/>
            <w:textDirection w:val="lrTb"/>
            <w:noWrap/>
          </w:tcPr>
          <w:p>
            <w:pPr>
              <w:pStyle w:val="1043"/>
              <w:jc w:val="center"/>
              <w:spacing w:beforeAutospacing="0" w:afterAutospacing="0" w:line="0" w:lineRule="atLeast"/>
              <w:rPr>
                <w:rFonts w:hint="eastAsia" w:ascii="宋体" w:hAnsi="宋体" w:eastAsia="宋体" w:cs="宋体"/>
                <w:color w:val="auto"/>
                <w:highlight w:val="none"/>
                <w:lang w:eastAsia="zh-CN"/>
              </w:rPr>
            </w:pPr>
            <w:r>
              <w:rPr>
                <w:rFonts w:hint="eastAsia" w:cs="宋体"/>
                <w:bCs/>
                <w:sz w:val="24"/>
                <w:highlight w:val="none"/>
                <w:lang w:eastAsia="zh-CN"/>
              </w:rPr>
              <w:t xml:space="preserve">盐城中国海盐博物馆可移动文物数字化保护利用项目</w:t>
            </w:r>
            <w:r/>
          </w:p>
        </w:tc>
        <w:tc>
          <w:tcPr>
            <w:tcW w:w="1882" w:type="pct"/>
            <w:vAlign w:val="center"/>
            <w:textDirection w:val="lrTb"/>
            <w:noWrap/>
          </w:tcPr>
          <w:p>
            <w:pPr>
              <w:pStyle w:val="1043"/>
              <w:jc w:val="center"/>
              <w:spacing w:beforeAutospacing="0" w:afterAutospacing="0" w:line="0" w:lineRule="atLeast"/>
              <w:rPr>
                <w:rFonts w:hint="eastAsia" w:ascii="宋体" w:hAnsi="宋体" w:eastAsia="宋体" w:cs="宋体"/>
                <w:color w:val="auto"/>
                <w:highlight w:val="none"/>
                <w:lang w:eastAsia="zh-CN"/>
              </w:rPr>
            </w:pPr>
            <w:r>
              <w:rPr>
                <w:rFonts w:hint="eastAsia" w:cs="宋体"/>
                <w:color w:val="auto"/>
                <w:sz w:val="24"/>
                <w:highlight w:val="none"/>
                <w:lang w:eastAsia="zh-CN"/>
              </w:rPr>
              <w:t xml:space="preserve">其他未列明行业</w:t>
            </w:r>
            <w:r/>
          </w:p>
        </w:tc>
      </w:tr>
    </w:tbl>
    <w:p>
      <w:pPr>
        <w:ind w:firstLine="480"/>
        <w:spacing w:line="440" w:lineRule="exact"/>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rPr>
          <w:rFonts w:hint="eastAsia" w:ascii="宋体" w:hAnsi="宋体" w:eastAsia="宋体" w:cs="宋体"/>
          <w:b/>
          <w:bCs/>
          <w:color w:val="auto"/>
          <w:sz w:val="44"/>
          <w:szCs w:val="44"/>
          <w:lang w:val="en-US" w:eastAsia="zh-CN" w:bidi="ar-SA"/>
        </w:rPr>
      </w:pPr>
      <w:r>
        <w:rPr>
          <w:rFonts w:hint="eastAsia" w:ascii="宋体" w:hAnsi="宋体" w:eastAsia="宋体" w:cs="宋体"/>
          <w:b/>
          <w:bCs/>
          <w:color w:val="auto"/>
          <w:sz w:val="44"/>
          <w:szCs w:val="44"/>
          <w:lang w:val="en-US" w:eastAsia="zh-CN" w:bidi="ar-SA"/>
        </w:rPr>
        <w:br w:type="page" w:clear="all"/>
      </w: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lang w:val="en-US" w:eastAsia="zh-CN" w:bidi="ar-SA"/>
        </w:rPr>
        <w:t xml:space="preserve">第五章</w:t>
      </w:r>
      <w:r>
        <w:rPr>
          <w:rFonts w:hint="eastAsia" w:ascii="宋体" w:hAnsi="宋体" w:eastAsia="宋体" w:cs="宋体"/>
          <w:b/>
          <w:bCs/>
          <w:color w:val="auto"/>
          <w:sz w:val="44"/>
          <w:szCs w:val="44"/>
          <w:highlight w:val="none"/>
          <w:lang w:val="en-US" w:eastAsia="zh-CN"/>
        </w:rPr>
        <w:t xml:space="preserve"> </w:t>
      </w:r>
      <w:bookmarkStart w:id="148" w:name="_Toc1167"/>
      <w:r>
        <w:rPr>
          <w:rFonts w:hint="eastAsia" w:ascii="宋体" w:hAnsi="宋体" w:eastAsia="宋体" w:cs="宋体"/>
          <w:b/>
          <w:bCs/>
          <w:color w:val="auto"/>
          <w:sz w:val="44"/>
          <w:szCs w:val="44"/>
          <w:highlight w:val="none"/>
        </w:rPr>
        <w:t xml:space="preserve">评审方法和评审标准</w:t>
      </w:r>
      <w:bookmarkEnd w:id="148"/>
      <w:r/>
      <w:r/>
    </w:p>
    <w:p>
      <w:pPr>
        <w:ind w:left="0" w:firstLine="482"/>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lef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13"/>
        <w:ind w:firstLine="441"/>
        <w:keepLines w:val="0"/>
        <w:keepNext w:val="0"/>
        <w:pageBreakBefore w:val="0"/>
        <w:spacing w:before="0" w:beforeAutospacing="0" w:after="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b/>
          <w:bCs/>
          <w:color w:val="auto"/>
          <w:sz w:val="24"/>
          <w:szCs w:val="24"/>
          <w:highlight w:val="none"/>
        </w:rPr>
        <w:t xml:space="preserve">1、小微型企业价格扣除</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（1）本项目专门面向中小企业采购，不再对小型和微型企业报价给予价格扣除。</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（2）投标人需按照招标文件的要求提供相应的《中小企业声明函》。</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b/>
          <w:bCs/>
          <w:color w:val="auto"/>
          <w:sz w:val="24"/>
          <w:szCs w:val="24"/>
          <w:highlight w:val="none"/>
        </w:rPr>
        <w:t xml:space="preserve">2、残疾人福利单位价格扣除</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（1）本项目对残疾人福利性单位视同小型、微型企业。</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（2）残疾人福利单位需按照招标文件的要求提供《残疾人福利性单位声明函》。</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13"/>
        <w:ind w:firstLine="0"/>
        <w:keepLines w:val="0"/>
        <w:keepNext w:val="0"/>
        <w:pageBreakBefore w:val="0"/>
        <w:spacing w:before="0" w:beforeAutospacing="0" w:after="0" w:afterAutospacing="0" w:line="500" w:lineRule="exact"/>
        <w:widowControl w:val="off"/>
      </w:pPr>
      <w:r>
        <w:rPr>
          <w:rFonts w:hint="eastAsia" w:ascii="宋体" w:hAnsi="宋体" w:eastAsia="宋体" w:cs="宋体"/>
          <w:b/>
          <w:bCs/>
          <w:color w:val="auto"/>
          <w:sz w:val="24"/>
          <w:szCs w:val="24"/>
          <w:highlight w:val="none"/>
        </w:rPr>
        <w:t xml:space="preserve">    3、监狱和戒毒企业价格扣除</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（1）本项目对监狱和戒毒企业（简称监狱企业）视同小型、微型企业。</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813"/>
        <w:ind w:firstLine="480"/>
        <w:keepLines w:val="0"/>
        <w:keepNext w:val="0"/>
        <w:pageBreakBefore w:val="0"/>
        <w:spacing w:before="0" w:beforeAutospacing="0" w:after="0" w:afterAutospacing="0" w:line="500" w:lineRule="exact"/>
        <w:widowControl w:val="off"/>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2"/>
        <w:jc w:val="left"/>
        <w:keepLines w:val="0"/>
        <w:keepNext w:val="0"/>
        <w:pageBreakBefore w:val="0"/>
        <w:spacing w:line="500" w:lineRule="exact"/>
        <w:widowControl w:val="off"/>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5、采购本国产品的支持政策</w:t>
      </w:r>
      <w:r/>
    </w:p>
    <w:p>
      <w:pPr>
        <w:ind w:firstLine="482"/>
        <w:jc w:val="left"/>
        <w:keepLines w:val="0"/>
        <w:keepNext w:val="0"/>
        <w:pageBreakBefore w:val="0"/>
        <w:spacing w:line="500" w:lineRule="exact"/>
        <w:widowControl w:val="off"/>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keepLines w:val="0"/>
        <w:keepNext w:val="0"/>
        <w:pageBreakBefore w:val="0"/>
        <w:spacing w:line="500" w:lineRule="exact"/>
        <w:widowControl w:val="off"/>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w:t>
      </w:r>
      <w:r>
        <w:rPr>
          <w:rFonts w:hint="eastAsia" w:asciiTheme="minorEastAsia" w:hAnsiTheme="minorEastAsia" w:cstheme="minorEastAsia"/>
          <w:b/>
          <w:bCs/>
          <w:color w:val="ff0000"/>
          <w:sz w:val="24"/>
          <w:highlight w:val="yellow"/>
        </w:rPr>
        <w:t xml:space="preserve">未达到</w:t>
      </w:r>
      <w:r>
        <w:rPr>
          <w:rFonts w:hint="eastAsia" w:asciiTheme="minorEastAsia" w:hAnsiTheme="minorEastAsia" w:cstheme="minorEastAsia"/>
          <w:b/>
          <w:bCs/>
          <w:color w:val="ff0000"/>
          <w:sz w:val="24"/>
        </w:rPr>
        <w:t xml:space="preserve">80%的，将不享受本国产品价格评审优惠。</w:t>
      </w:r>
      <w:r/>
    </w:p>
    <w:p>
      <w:pPr>
        <w:ind w:firstLine="482"/>
        <w:jc w:val="left"/>
        <w:keepLines w:val="0"/>
        <w:keepNext w:val="0"/>
        <w:pageBreakBefore w:val="0"/>
        <w:spacing w:line="500" w:lineRule="exact"/>
        <w:widowControl w:val="off"/>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500" w:lineRule="exact"/>
        <w:widowControl w:val="off"/>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5.4 供应商需在《声明函》中逐一、准确填写产品名称、厂名、生产厂址三项信息（</w:t>
      </w:r>
      <w:r>
        <w:rPr>
          <w:rFonts w:hint="eastAsia" w:asciiTheme="minorEastAsia" w:hAnsiTheme="minorEastAsia" w:cstheme="minorEastAsia"/>
          <w:b/>
          <w:bCs/>
          <w:color w:val="ff0000"/>
          <w:sz w:val="24"/>
          <w:highlight w:val="yellow"/>
        </w:rPr>
        <w:t xml:space="preserve">《声明函》中用横线划除的地方无需填写</w:t>
      </w:r>
      <w:r>
        <w:rPr>
          <w:rFonts w:hint="eastAsia" w:asciiTheme="minorEastAsia" w:hAnsiTheme="minorEastAsia" w:cstheme="minorEastAsia"/>
          <w:b/>
          <w:bCs/>
          <w:color w:val="ff0000"/>
          <w:sz w:val="24"/>
        </w:rPr>
        <w:t xml:space="preserve">），三项信息中任意一项未填写的视为该项产品不符合本国产品标准，不享受本国产品价格评审优惠。</w:t>
      </w:r>
      <w:r/>
    </w:p>
    <w:p>
      <w:pPr>
        <w:ind w:firstLine="482"/>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Theme="minorEastAsia" w:hAnsiTheme="minorEastAsia" w:cstheme="minorEastAsia"/>
          <w:b/>
          <w:bCs/>
          <w:color w:val="ff0000"/>
          <w:sz w:val="24"/>
        </w:rPr>
        <w:t xml:space="preserve">5.5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13"/>
        <w:ind w:firstLine="480"/>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u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rPr>
          <w:rFonts w:hint="eastAsia" w:ascii="宋体" w:hAnsi="宋体" w:eastAsia="宋体" w:cs="宋体"/>
          <w:color w:val="auto"/>
          <w:sz w:val="24"/>
          <w:szCs w:val="24"/>
          <w:highlight w:val="none"/>
          <w:lang w:val="en-US" w:eastAsia="zh-CN"/>
        </w:rPr>
        <w:t xml:space="preserve">  </w:t>
      </w:r>
      <w:r/>
    </w:p>
    <w:p>
      <w:pPr>
        <w:ind w:firstLine="482"/>
        <w:pageBreakBefore w:val="0"/>
        <w:spacing w:line="58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评分标准</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评标时，</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各成员独立对每个投标人的投标文件进行评价，并汇总每个投标人的得分。</w:t>
      </w:r>
      <w:r>
        <w:rPr>
          <w:rFonts w:hint="eastAsia" w:ascii="宋体" w:hAnsi="宋体" w:eastAsia="宋体" w:cs="宋体"/>
          <w:bCs/>
          <w:color w:val="auto"/>
          <w:sz w:val="24"/>
          <w:highlight w:val="none"/>
        </w:rPr>
        <w:t xml:space="preserve">本项目评分总分值为100分。</w:t>
      </w:r>
      <w:r/>
    </w:p>
    <w:tbl>
      <w:tblPr>
        <w:tblStyle w:val="779"/>
        <w:tblW w:w="5111"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57" w:type="dxa"/>
          <w:top w:w="0" w:type="dxa"/>
          <w:right w:w="57" w:type="dxa"/>
          <w:bottom w:w="0" w:type="dxa"/>
        </w:tblCellMar>
        <w:tblLook w:val="04A0" w:firstRow="1" w:lastRow="0" w:firstColumn="1" w:lastColumn="0" w:noHBand="0" w:noVBand="1"/>
      </w:tblPr>
      <w:tblGrid>
        <w:gridCol w:w="670"/>
        <w:gridCol w:w="1097"/>
        <w:gridCol w:w="6836"/>
        <w:gridCol w:w="769"/>
      </w:tblGrid>
      <w:tr>
        <w:trPr>
          <w:trHeight w:val="740"/>
        </w:trPr>
        <w:tc>
          <w:tcPr>
            <w:tcW w:w="358"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序号</w:t>
            </w:r>
            <w:r/>
          </w:p>
        </w:tc>
        <w:tc>
          <w:tcPr>
            <w:tcW w:w="5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评分项目</w:t>
            </w:r>
            <w:r/>
          </w:p>
        </w:tc>
        <w:tc>
          <w:tcPr>
            <w:tcW w:w="364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评分细则</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trHeight w:val="23"/>
        </w:trPr>
        <w:tc>
          <w:tcPr>
            <w:tcW w:w="358"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价格</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采用低价优先法计算，即满足招标文件要求且价格最低的有效供应商的投标报价为评标基准价，其价格分为满分10分。其他有效供应商的价格分统一按照下列公式计算:投标报价得分=(评标基准价／投标报价)×10, 小数点后四舍五入保留2位。</w:t>
            </w:r>
            <w:r/>
          </w:p>
        </w:tc>
        <w:tc>
          <w:tcPr>
            <w:tcW w:w="410"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r>
      <w:tr>
        <w:trPr>
          <w:trHeight w:val="23"/>
        </w:trPr>
        <w:tc>
          <w:tcPr>
            <w:tcW w:w="358"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3645" w:type="pct"/>
            <w:vAlign w:val="center"/>
            <w:textDirection w:val="lrTb"/>
            <w:noWrap w:val="false"/>
          </w:tcPr>
          <w:p>
            <w:pPr>
              <w:ind w:firstLine="48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投标人</w:t>
            </w:r>
            <w:r>
              <w:rPr>
                <w:rFonts w:hint="default" w:ascii="宋体" w:hAnsi="宋体" w:eastAsia="宋体" w:cs="宋体"/>
                <w:i w:val="0"/>
                <w:iCs w:val="0"/>
                <w:color w:val="auto"/>
                <w:sz w:val="24"/>
                <w:szCs w:val="24"/>
                <w:highlight w:val="none"/>
                <w:u w:val="none"/>
                <w:lang w:val="en-US" w:eastAsia="zh-CN" w:bidi="ar"/>
              </w:rPr>
              <w:t xml:space="preserve">自202</w:t>
            </w:r>
            <w:r>
              <w:rPr>
                <w:rFonts w:hint="eastAsia" w:ascii="宋体" w:hAnsi="宋体" w:eastAsia="宋体" w:cs="宋体"/>
                <w:i w:val="0"/>
                <w:iCs w:val="0"/>
                <w:color w:val="auto"/>
                <w:sz w:val="24"/>
                <w:szCs w:val="24"/>
                <w:highlight w:val="none"/>
                <w:u w:val="none"/>
                <w:lang w:val="en-US" w:eastAsia="zh-CN" w:bidi="ar"/>
              </w:rPr>
              <w:t xml:space="preserve">3</w:t>
            </w:r>
            <w:r>
              <w:rPr>
                <w:rFonts w:hint="default" w:ascii="宋体" w:hAnsi="宋体" w:eastAsia="宋体" w:cs="宋体"/>
                <w:i w:val="0"/>
                <w:iCs w:val="0"/>
                <w:color w:val="auto"/>
                <w:sz w:val="24"/>
                <w:szCs w:val="24"/>
                <w:highlight w:val="none"/>
                <w:u w:val="none"/>
                <w:lang w:val="en-US" w:eastAsia="zh-CN" w:bidi="ar"/>
              </w:rPr>
              <w:t xml:space="preserve">年1月1日以来（以合同签订时间为准）具有类似项目业绩的，每提供1个得</w:t>
            </w:r>
            <w:r>
              <w:rPr>
                <w:rFonts w:hint="eastAsia" w:ascii="宋体" w:hAnsi="宋体" w:eastAsia="宋体" w:cs="宋体"/>
                <w:i w:val="0"/>
                <w:iCs w:val="0"/>
                <w:color w:val="auto"/>
                <w:sz w:val="24"/>
                <w:szCs w:val="24"/>
                <w:highlight w:val="none"/>
                <w:u w:val="none"/>
                <w:lang w:val="en-US" w:eastAsia="zh-CN" w:bidi="ar"/>
              </w:rPr>
              <w:t xml:space="preserve">2</w:t>
            </w:r>
            <w:r>
              <w:rPr>
                <w:rFonts w:hint="default"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eastAsia="宋体" w:cs="宋体"/>
                <w:i w:val="0"/>
                <w:iCs w:val="0"/>
                <w:color w:val="auto"/>
                <w:sz w:val="24"/>
                <w:szCs w:val="24"/>
                <w:highlight w:val="none"/>
                <w:u w:val="none"/>
                <w:lang w:val="en-US" w:eastAsia="zh-CN" w:bidi="ar"/>
              </w:rPr>
              <w:t xml:space="preserve">8</w:t>
            </w:r>
            <w:r>
              <w:rPr>
                <w:rFonts w:hint="default" w:ascii="宋体" w:hAnsi="宋体" w:eastAsia="宋体" w:cs="宋体"/>
                <w:i w:val="0"/>
                <w:iCs w:val="0"/>
                <w:color w:val="auto"/>
                <w:sz w:val="24"/>
                <w:szCs w:val="24"/>
                <w:highlight w:val="none"/>
                <w:u w:val="none"/>
                <w:lang w:val="en-US" w:eastAsia="zh-CN" w:bidi="ar"/>
              </w:rPr>
              <w:t xml:space="preserve">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default" w:ascii="宋体" w:hAnsi="宋体" w:eastAsia="宋体" w:cs="宋体"/>
                <w:i w:val="0"/>
                <w:iCs w:val="0"/>
                <w:color w:val="auto"/>
                <w:sz w:val="24"/>
                <w:szCs w:val="24"/>
                <w:highlight w:val="none"/>
                <w:u w:val="none"/>
                <w:lang w:val="en-US" w:eastAsia="zh-CN" w:bidi="ar"/>
              </w:rPr>
              <w:t xml:space="preserve">注：投标时须提供合同（</w:t>
            </w:r>
            <w:r>
              <w:rPr>
                <w:rFonts w:hint="eastAsia" w:ascii="宋体" w:hAnsi="宋体" w:eastAsia="宋体" w:cs="宋体"/>
                <w:i w:val="0"/>
                <w:iCs w:val="0"/>
                <w:color w:val="auto"/>
                <w:sz w:val="24"/>
                <w:szCs w:val="24"/>
                <w:highlight w:val="none"/>
                <w:u w:val="none"/>
                <w:lang w:val="en-US" w:eastAsia="zh-CN" w:bidi="ar"/>
              </w:rPr>
              <w:t xml:space="preserve">至少</w:t>
            </w:r>
            <w:r>
              <w:rPr>
                <w:rFonts w:hint="default" w:ascii="宋体" w:hAnsi="宋体" w:eastAsia="宋体" w:cs="宋体"/>
                <w:i w:val="0"/>
                <w:iCs w:val="0"/>
                <w:color w:val="auto"/>
                <w:sz w:val="24"/>
                <w:szCs w:val="24"/>
                <w:highlight w:val="none"/>
                <w:u w:val="none"/>
                <w:lang w:val="en-US" w:eastAsia="zh-CN" w:bidi="ar"/>
              </w:rPr>
              <w:t xml:space="preserve">包含合同首页、服务内容页、签字盖章页）扫描件并加盖</w:t>
            </w:r>
            <w:r>
              <w:rPr>
                <w:rFonts w:hint="eastAsia" w:ascii="宋体" w:hAnsi="宋体" w:cs="宋体"/>
                <w:i w:val="0"/>
                <w:iCs w:val="0"/>
                <w:color w:val="auto"/>
                <w:sz w:val="24"/>
                <w:szCs w:val="24"/>
                <w:highlight w:val="none"/>
                <w:u w:val="none"/>
                <w:lang w:val="en-US" w:eastAsia="zh-CN" w:bidi="ar"/>
              </w:rPr>
              <w:t xml:space="preserve">投标人</w:t>
            </w:r>
            <w:r>
              <w:rPr>
                <w:rFonts w:hint="default" w:ascii="宋体" w:hAnsi="宋体" w:eastAsia="宋体" w:cs="宋体"/>
                <w:i w:val="0"/>
                <w:iCs w:val="0"/>
                <w:color w:val="auto"/>
                <w:sz w:val="24"/>
                <w:szCs w:val="24"/>
                <w:highlight w:val="none"/>
                <w:u w:val="none"/>
                <w:lang w:val="en-US" w:eastAsia="zh-CN" w:bidi="ar"/>
              </w:rPr>
              <w:t xml:space="preserve">公章，</w:t>
            </w:r>
            <w:r>
              <w:rPr>
                <w:rFonts w:hint="eastAsia" w:ascii="宋体" w:hAnsi="宋体" w:eastAsia="宋体" w:cs="宋体"/>
                <w:i w:val="0"/>
                <w:iCs w:val="0"/>
                <w:color w:val="auto"/>
                <w:sz w:val="24"/>
                <w:szCs w:val="24"/>
                <w:highlight w:val="none"/>
                <w:u w:val="none"/>
                <w:lang w:val="en-US" w:eastAsia="zh-CN" w:bidi="ar"/>
              </w:rPr>
              <w:t xml:space="preserve">提供不全或</w:t>
            </w:r>
            <w:r>
              <w:rPr>
                <w:rFonts w:hint="default" w:ascii="宋体" w:hAnsi="宋体" w:eastAsia="宋体" w:cs="宋体"/>
                <w:i w:val="0"/>
                <w:iCs w:val="0"/>
                <w:color w:val="auto"/>
                <w:sz w:val="24"/>
                <w:szCs w:val="24"/>
                <w:highlight w:val="none"/>
                <w:u w:val="none"/>
                <w:lang w:val="en-US" w:eastAsia="zh-CN" w:bidi="ar"/>
              </w:rPr>
              <w:t xml:space="preserve">不提供不得分。所提供业绩合同的服务内容须体现文物数字化相关内容（如二维/三维采集、多光谱成像、数字拓片制作等）。</w:t>
            </w:r>
            <w:r>
              <w:rPr>
                <w:rFonts w:hint="eastAsia" w:ascii="Times New Roman" w:hAnsi="Times New Roman" w:eastAsia="宋体" w:cs="Times New Roman"/>
                <w:bCs/>
                <w:color w:val="auto"/>
                <w:sz w:val="24"/>
                <w:highlight w:val="none"/>
              </w:rPr>
              <w:t xml:space="preserve">如合同内容无法直接体现</w:t>
            </w:r>
            <w:r>
              <w:rPr>
                <w:rFonts w:hint="eastAsia" w:ascii="Times New Roman" w:hAnsi="Times New Roman" w:eastAsia="宋体" w:cs="Times New Roman"/>
                <w:bCs/>
                <w:color w:val="auto"/>
                <w:sz w:val="24"/>
                <w:highlight w:val="none"/>
                <w:lang w:val="en-US" w:eastAsia="zh-CN"/>
              </w:rPr>
              <w:t xml:space="preserve">服务内容的</w:t>
            </w:r>
            <w:r>
              <w:rPr>
                <w:rFonts w:hint="eastAsia" w:ascii="Times New Roman" w:hAnsi="Times New Roman" w:eastAsia="宋体" w:cs="Times New Roman"/>
                <w:bCs/>
                <w:color w:val="auto"/>
                <w:sz w:val="24"/>
                <w:highlight w:val="none"/>
              </w:rPr>
              <w:t xml:space="preserve">，可补充提供验收报告、用户证明等佐证材料。未按要求提供证明材料或提供的材料无法证明业绩符合要求的，不得分。</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r>
      <w:tr>
        <w:trPr>
          <w:trHeight w:val="23"/>
        </w:trPr>
        <w:tc>
          <w:tcPr>
            <w:tcW w:w="358"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585" w:type="pct"/>
            <w:vAlign w:val="center"/>
            <w:textDirection w:val="lrTb"/>
            <w:noWrap w:val="false"/>
          </w:tcPr>
          <w:p>
            <w:pPr>
              <w:ind w:firstLine="0"/>
              <w:jc w:val="center"/>
              <w:keepLines w:val="0"/>
              <w:keepNext w:val="0"/>
              <w:pageBreakBefore w:val="0"/>
              <w:spacing w:line="400" w:lineRule="exact"/>
              <w:widowControl/>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体系认证</w:t>
            </w:r>
            <w:r/>
          </w:p>
        </w:tc>
        <w:tc>
          <w:tcPr>
            <w:tcW w:w="3645" w:type="pct"/>
            <w:vAlign w:val="center"/>
            <w:textDirection w:val="lrTb"/>
            <w:noWrap w:val="false"/>
          </w:tcPr>
          <w:p>
            <w:pPr>
              <w:numPr>
                <w:ilvl w:val="-1"/>
                <w:numId w:val="0"/>
              </w:numPr>
              <w:ind w:firstLine="480"/>
              <w:jc w:val="left"/>
              <w:keepLines w:val="0"/>
              <w:keepNext w:val="0"/>
              <w:pageBreakBefore w:val="0"/>
              <w:spacing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有效期内</w:t>
            </w:r>
            <w:r>
              <w:rPr>
                <w:rFonts w:ascii="Times New Roman" w:hAnsi="Times New Roman" w:eastAsia="宋体" w:cs="Times New Roman"/>
                <w:bCs/>
                <w:color w:val="auto"/>
                <w:sz w:val="24"/>
                <w:highlight w:val="none"/>
              </w:rPr>
              <w:t xml:space="preserve">的</w:t>
            </w:r>
            <w:r>
              <w:rPr>
                <w:rFonts w:hint="eastAsia" w:ascii="Times New Roman" w:hAnsi="Times New Roman" w:eastAsia="宋体" w:cs="Times New Roman"/>
                <w:bCs/>
                <w:color w:val="auto"/>
                <w:sz w:val="24"/>
                <w:highlight w:val="none"/>
              </w:rPr>
              <w:t xml:space="preserve">售后服务认证证书</w:t>
            </w:r>
            <w:r>
              <w:rPr>
                <w:rFonts w:hint="eastAsia" w:ascii="Times New Roman" w:hAnsi="Times New Roman" w:cs="Times New Roman"/>
                <w:bCs/>
                <w:color w:val="auto"/>
                <w:sz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质量管理体系认证证书、环境管理体系认证证书、</w:t>
            </w:r>
            <w:r>
              <w:rPr>
                <w:rFonts w:hint="eastAsia" w:ascii="宋体" w:hAnsi="宋体" w:cs="宋体"/>
                <w:color w:val="auto"/>
                <w:sz w:val="24"/>
                <w:szCs w:val="24"/>
                <w:highlight w:val="none"/>
                <w:lang w:val="en-US" w:eastAsia="zh-CN" w:bidi="ar"/>
              </w:rPr>
              <w:t xml:space="preserve">职业健康安全管理体系认证证书。每提供1项得1分，本项最高得4分，不提供不得分。</w:t>
            </w:r>
            <w:r/>
          </w:p>
          <w:p>
            <w:pPr>
              <w:numPr>
                <w:ilvl w:val="-1"/>
                <w:numId w:val="0"/>
              </w:num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注：</w:t>
            </w:r>
            <w:r>
              <w:rPr>
                <w:rFonts w:hint="eastAsia" w:ascii="宋体" w:hAnsi="宋体" w:cs="宋体"/>
                <w:color w:val="auto"/>
                <w:sz w:val="24"/>
                <w:szCs w:val="24"/>
                <w:highlight w:val="none"/>
                <w:lang w:val="en-US" w:eastAsia="zh-CN" w:bidi="ar"/>
              </w:rPr>
              <w:t xml:space="preserve">投标时须提供上述证书的原件扫描件</w:t>
            </w:r>
            <w:r>
              <w:rPr>
                <w:rFonts w:hint="eastAsia" w:ascii="宋体" w:hAnsi="宋体" w:eastAsia="宋体" w:cs="宋体"/>
                <w:color w:val="auto"/>
                <w:sz w:val="24"/>
                <w:szCs w:val="24"/>
                <w:highlight w:val="none"/>
                <w:lang w:val="en-US" w:eastAsia="zh-CN" w:bidi="ar"/>
              </w:rPr>
              <w:t xml:space="preserve">，同时</w:t>
            </w:r>
            <w:r>
              <w:rPr>
                <w:rFonts w:hint="eastAsia" w:ascii="Times New Roman" w:hAnsi="Times New Roman" w:eastAsia="宋体" w:cs="Times New Roman"/>
                <w:color w:val="auto"/>
                <w:sz w:val="24"/>
                <w:highlight w:val="none"/>
              </w:rPr>
              <w:t xml:space="preserve">提供上述证书在全国认证认可信息公共服务平台（https://cx.cnca.cn/CertECloud/index/index/page）查询页面完整截图，投标人应当确保证书开标当天处于有效期内，否则不予认可。以上材料均须加盖投标人公章，否则不予认可，不提供</w:t>
            </w:r>
            <w:r>
              <w:rPr>
                <w:rFonts w:hint="eastAsia" w:ascii="Times New Roman" w:hAnsi="Times New Roman" w:eastAsia="宋体" w:cs="Times New Roman"/>
                <w:color w:val="auto"/>
                <w:sz w:val="24"/>
                <w:highlight w:val="none"/>
                <w:lang w:val="en-US" w:eastAsia="zh-CN"/>
              </w:rPr>
              <w:t xml:space="preserve">或提供不全</w:t>
            </w:r>
            <w:r>
              <w:rPr>
                <w:rFonts w:hint="eastAsia" w:ascii="Times New Roman" w:hAnsi="Times New Roman" w:eastAsia="宋体" w:cs="Times New Roman"/>
                <w:color w:val="auto"/>
                <w:sz w:val="24"/>
                <w:highlight w:val="none"/>
              </w:rPr>
              <w:t xml:space="preserve">不得分</w:t>
            </w:r>
            <w:r>
              <w:rPr>
                <w:rFonts w:hint="eastAsia" w:ascii="Times New Roman" w:hAnsi="Times New Roman" w:eastAsia="宋体" w:cs="Times New Roman"/>
                <w:color w:val="auto"/>
                <w:sz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证书已失效或撤销或暂停的不得分</w:t>
            </w:r>
            <w:r>
              <w:rPr>
                <w:rFonts w:hint="eastAsia" w:ascii="Times New Roman" w:hAnsi="Times New Roman" w:eastAsia="宋体" w:cs="Times New Roman"/>
                <w:color w:val="auto"/>
                <w:sz w:val="24"/>
                <w:highlight w:val="none"/>
              </w:rPr>
              <w:t xml:space="preserve">。</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1460"/>
        </w:trPr>
        <w:tc>
          <w:tcPr>
            <w:tcW w:w="358" w:type="pct"/>
            <w:vAlign w:val="center"/>
            <w:vMerge w:val="restart"/>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85" w:type="pct"/>
            <w:vAlign w:val="center"/>
            <w:vMerge w:val="restart"/>
            <w:textDirection w:val="lrTb"/>
            <w:noWrap w:val="false"/>
          </w:tcPr>
          <w:p>
            <w:pPr>
              <w:ind w:firstLine="0"/>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项目组成员</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项目负责人:拟投入本项目的项目负责人具有</w:t>
            </w:r>
            <w:r>
              <w:rPr>
                <w:rFonts w:hint="eastAsia" w:ascii="宋体" w:hAnsi="宋体" w:cs="宋体"/>
                <w:color w:val="auto"/>
                <w:sz w:val="24"/>
                <w:szCs w:val="24"/>
                <w:highlight w:val="none"/>
                <w:lang w:val="en-US" w:eastAsia="zh-CN"/>
              </w:rPr>
              <w:t xml:space="preserve">信息系统项目管理师（高级）证书的得2分，本项最高得2分。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注：投标时须提供证书扫描件及该人员开标前3个月中任意1个月在</w:t>
            </w:r>
            <w:r>
              <w:rPr>
                <w:rFonts w:hint="eastAsia" w:ascii="宋体" w:hAnsi="宋体" w:cs="宋体"/>
                <w:color w:val="auto"/>
                <w:sz w:val="24"/>
                <w:szCs w:val="20"/>
                <w:highlight w:val="none"/>
              </w:rPr>
              <w:t xml:space="preserve">本单位</w:t>
            </w:r>
            <w:r>
              <w:rPr>
                <w:rFonts w:hint="eastAsia" w:ascii="宋体" w:hAnsi="宋体" w:cs="宋体"/>
                <w:color w:val="auto"/>
                <w:sz w:val="24"/>
                <w:szCs w:val="24"/>
                <w:highlight w:val="none"/>
                <w:lang w:val="en-US" w:eastAsia="zh-CN"/>
              </w:rPr>
              <w:t xml:space="preserve">社保缴纳证明扫描件并加盖投标人公章,提供不全或不提供的不得分。</w:t>
            </w:r>
            <w:r/>
          </w:p>
        </w:tc>
        <w:tc>
          <w:tcPr>
            <w:tcW w:w="410" w:type="pct"/>
            <w:vAlign w:val="center"/>
            <w:vMerge w:val="restart"/>
            <w:textDirection w:val="lrTb"/>
            <w:noWrap w:val="false"/>
          </w:tcPr>
          <w:p>
            <w:pPr>
              <w:ind w:firstLine="0"/>
              <w:jc w:val="center"/>
              <w:keepLines w:val="0"/>
              <w:keepNext w:val="0"/>
              <w:pageBreakBefore w:val="0"/>
              <w:spacing w:line="400" w:lineRule="exact"/>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w:t>
            </w:r>
            <w:r/>
          </w:p>
        </w:tc>
      </w:tr>
      <w:tr>
        <w:trPr>
          <w:trHeight w:val="370"/>
        </w:trPr>
        <w:tc>
          <w:tcPr>
            <w:tcW w:w="358" w:type="pct"/>
            <w:vAlign w:val="center"/>
            <w:vMerge w:val="continue"/>
            <w:textDirection w:val="lrTb"/>
            <w:noWrap/>
          </w:tcPr>
          <w:p>
            <w:pPr>
              <w:ind w:firstLine="420"/>
              <w:keepLines w:val="0"/>
              <w:keepNext w:val="0"/>
              <w:pageBreakBefore w:val="0"/>
              <w:spacing w:line="400" w:lineRule="exact"/>
              <w:widowControl/>
            </w:pPr>
            <w:r/>
            <w:r/>
          </w:p>
        </w:tc>
        <w:tc>
          <w:tcPr>
            <w:tcW w:w="585" w:type="pct"/>
            <w:vAlign w:val="center"/>
            <w:vMerge w:val="continue"/>
            <w:textDirection w:val="lrTb"/>
            <w:noWrap w:val="false"/>
          </w:tcPr>
          <w:p>
            <w:pPr>
              <w:ind w:firstLine="420"/>
              <w:keepLines w:val="0"/>
              <w:keepNext w:val="0"/>
              <w:pageBreakBefore w:val="0"/>
              <w:spacing w:line="400" w:lineRule="exact"/>
              <w:widowControl/>
            </w:pPr>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技术负责人：拟投入本项目的项目</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负责人具有</w:t>
            </w:r>
            <w:r>
              <w:rPr>
                <w:rFonts w:hint="eastAsia" w:ascii="宋体" w:hAnsi="宋体" w:cs="宋体"/>
                <w:color w:val="auto"/>
                <w:sz w:val="24"/>
                <w:highlight w:val="none"/>
              </w:rPr>
              <w:t xml:space="preserve">文物博物系列</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lang w:eastAsia="zh-CN"/>
              </w:rPr>
              <w:t xml:space="preserve">专业高级工程师职称</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本项最高得1分。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注：投标时须提供证书扫描件及该人员开标前3个月中任意1个月在</w:t>
            </w:r>
            <w:r>
              <w:rPr>
                <w:rFonts w:hint="eastAsia" w:ascii="宋体" w:hAnsi="宋体" w:cs="宋体"/>
                <w:color w:val="auto"/>
                <w:sz w:val="24"/>
                <w:szCs w:val="20"/>
                <w:highlight w:val="none"/>
              </w:rPr>
              <w:t xml:space="preserve">本单位</w:t>
            </w:r>
            <w:r>
              <w:rPr>
                <w:rFonts w:hint="eastAsia" w:ascii="宋体" w:hAnsi="宋体" w:cs="宋体"/>
                <w:color w:val="auto"/>
                <w:sz w:val="24"/>
                <w:szCs w:val="24"/>
                <w:highlight w:val="none"/>
                <w:lang w:val="en-US" w:eastAsia="zh-CN"/>
              </w:rPr>
              <w:t xml:space="preserve">社保缴纳证明扫描件并加盖投标人公章,提供不全或不提供的不得分。</w:t>
            </w:r>
            <w:r/>
          </w:p>
        </w:tc>
        <w:tc>
          <w:tcPr>
            <w:tcW w:w="410" w:type="pct"/>
            <w:vAlign w:val="center"/>
            <w:vMerge w:val="continue"/>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460"/>
        </w:trPr>
        <w:tc>
          <w:tcPr>
            <w:tcW w:w="358" w:type="pct"/>
            <w:vAlign w:val="center"/>
            <w:vMerge w:val="continue"/>
            <w:textDirection w:val="lrTb"/>
            <w:noWrap/>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pct"/>
            <w:vAlign w:val="center"/>
            <w:vMerge w:val="continue"/>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项目组成员（不含项目经理、项目技术负责人）</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w:t>
            </w:r>
            <w:r>
              <w:rPr>
                <w:rFonts w:hint="eastAsia" w:ascii="宋体" w:hAnsi="宋体" w:cs="宋体"/>
                <w:color w:val="auto"/>
                <w:sz w:val="24"/>
                <w:highlight w:val="none"/>
              </w:rPr>
              <w:t xml:space="preserve">文物博物系列</w:t>
            </w:r>
            <w:r>
              <w:rPr>
                <w:rFonts w:hint="eastAsia" w:ascii="宋体" w:hAnsi="宋体" w:eastAsia="宋体" w:cs="宋体"/>
                <w:color w:val="auto"/>
                <w:sz w:val="24"/>
                <w:szCs w:val="24"/>
                <w:highlight w:val="none"/>
              </w:rPr>
              <w:t xml:space="preserve">相关专业职称的：每提供一名中级职称得0.5分，高级职称得1分，本</w:t>
            </w:r>
            <w:r>
              <w:rPr>
                <w:rFonts w:hint="eastAsia" w:ascii="宋体" w:hAnsi="宋体" w:cs="宋体"/>
                <w:color w:val="auto"/>
                <w:sz w:val="24"/>
                <w:szCs w:val="24"/>
                <w:highlight w:val="none"/>
                <w:lang w:val="en-US" w:eastAsia="zh-CN"/>
              </w:rPr>
              <w:t xml:space="preserve">条</w:t>
            </w:r>
            <w:r>
              <w:rPr>
                <w:rFonts w:hint="eastAsia" w:ascii="宋体" w:hAnsi="宋体" w:eastAsia="宋体" w:cs="宋体"/>
                <w:color w:val="auto"/>
                <w:sz w:val="24"/>
                <w:szCs w:val="24"/>
                <w:highlight w:val="none"/>
              </w:rPr>
              <w:t xml:space="preserve">最高得2分。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（2）具有信息技术、计算机等相关专业职称的：每提供一名中级职称得0.5分，高级职称得1分，本</w:t>
            </w:r>
            <w:r>
              <w:rPr>
                <w:rFonts w:hint="eastAsia" w:ascii="宋体" w:hAnsi="宋体" w:cs="宋体"/>
                <w:color w:val="auto"/>
                <w:sz w:val="24"/>
                <w:szCs w:val="24"/>
                <w:highlight w:val="none"/>
                <w:lang w:val="en-US" w:eastAsia="zh-CN"/>
              </w:rPr>
              <w:t xml:space="preserve">条</w:t>
            </w:r>
            <w:r>
              <w:rPr>
                <w:rFonts w:hint="eastAsia" w:ascii="宋体" w:hAnsi="宋体" w:eastAsia="宋体" w:cs="宋体"/>
                <w:color w:val="auto"/>
                <w:sz w:val="24"/>
                <w:szCs w:val="24"/>
                <w:highlight w:val="none"/>
              </w:rPr>
              <w:t xml:space="preserve">最高得4分。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（3）具有摄影、艺术等相关专业职称的：每提供一名得1分，本</w:t>
            </w:r>
            <w:r>
              <w:rPr>
                <w:rFonts w:hint="eastAsia" w:ascii="宋体" w:hAnsi="宋体" w:cs="宋体"/>
                <w:color w:val="auto"/>
                <w:sz w:val="24"/>
                <w:szCs w:val="24"/>
                <w:highlight w:val="none"/>
                <w:lang w:val="en-US" w:eastAsia="zh-CN"/>
              </w:rPr>
              <w:t xml:space="preserve">条</w:t>
            </w:r>
            <w:r>
              <w:rPr>
                <w:rFonts w:hint="eastAsia" w:ascii="宋体" w:hAnsi="宋体" w:eastAsia="宋体" w:cs="宋体"/>
                <w:color w:val="auto"/>
                <w:sz w:val="24"/>
                <w:szCs w:val="24"/>
                <w:highlight w:val="none"/>
              </w:rPr>
              <w:t xml:space="preserve">最高得2分。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（4）项目组成员</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每配备1名文物保护专业中级及以上职称现场安全管理员</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得1分，本条最高得2分。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注：①同一人员不重复</w:t>
            </w:r>
            <w:r>
              <w:rPr>
                <w:rFonts w:hint="eastAsia" w:ascii="宋体" w:hAnsi="宋体" w:cs="宋体"/>
                <w:color w:val="auto"/>
                <w:sz w:val="24"/>
                <w:szCs w:val="24"/>
                <w:highlight w:val="none"/>
                <w:lang w:val="en-US" w:eastAsia="zh-CN"/>
              </w:rPr>
              <w:t xml:space="preserve">计分</w:t>
            </w:r>
            <w:r>
              <w:rPr>
                <w:rFonts w:hint="eastAsia" w:ascii="宋体" w:hAnsi="宋体" w:eastAsia="宋体" w:cs="宋体"/>
                <w:color w:val="auto"/>
                <w:sz w:val="24"/>
                <w:szCs w:val="24"/>
                <w:highlight w:val="none"/>
              </w:rPr>
              <w:t xml:space="preserve">；②投标时须提供人员职称证书扫描件及该人员开标前3个月内任意1个月</w:t>
            </w:r>
            <w:r>
              <w:rPr>
                <w:rFonts w:hint="eastAsia" w:ascii="宋体" w:hAnsi="宋体" w:cs="宋体"/>
                <w:color w:val="auto"/>
                <w:sz w:val="24"/>
                <w:szCs w:val="20"/>
                <w:highlight w:val="none"/>
              </w:rPr>
              <w:t xml:space="preserve">在本单位</w:t>
            </w:r>
            <w:r>
              <w:rPr>
                <w:rFonts w:hint="eastAsia" w:ascii="宋体" w:hAnsi="宋体" w:eastAsia="宋体" w:cs="宋体"/>
                <w:color w:val="auto"/>
                <w:sz w:val="24"/>
                <w:szCs w:val="24"/>
                <w:highlight w:val="none"/>
              </w:rPr>
              <w:t xml:space="preserve">社保缴纳证明，未提供或提供不全的不得分。</w:t>
            </w:r>
            <w:r/>
          </w:p>
        </w:tc>
        <w:tc>
          <w:tcPr>
            <w:tcW w:w="410" w:type="pct"/>
            <w:vAlign w:val="center"/>
            <w:vMerge w:val="continue"/>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358"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技术响应</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根据各投标人对招标文件第四章第</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条“技术参数要求”的响应情况进行评分：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标注“▲”的技术参数（共9项），响应招标文件的每项加</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eastAsia" w:ascii="宋体" w:hAnsi="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“技术参数要求”中明确要求提供证明材料的以证明材料加盖投标人公章为准，未作要求的以投标人提供的《技术参数响应及偏离表》为准，技术参数中每一小条的要求为一项；</w:t>
            </w:r>
            <w:r>
              <w:rPr>
                <w:rFonts w:hint="eastAsia" w:ascii="宋体" w:hAnsi="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投标人对所提供资料的真实性负责。项目验收时，如发现数字化成果的技术指标、服务内容与投标文件不符，采购人有权拒绝接受交付成果、不予支付相应款项，并依法追究中标人的法律责任。</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9</w:t>
            </w:r>
            <w:r/>
          </w:p>
        </w:tc>
      </w:tr>
      <w:tr>
        <w:trPr>
          <w:trHeight w:val="23"/>
        </w:trPr>
        <w:tc>
          <w:tcPr>
            <w:tcW w:w="358" w:type="pct"/>
            <w:vAlign w:val="center"/>
            <w:textDirection w:val="lrTb"/>
            <w:noWrap w:val="false"/>
          </w:tcPr>
          <w:p>
            <w:pPr>
              <w:ind w:firstLine="0"/>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企业实力</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具有公示在企业标准信息服务公共平台（https://www.qybz.org.cn/）上的文物数字化技术规范或文物数字化相关企业标准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每提供1</w:t>
            </w:r>
            <w:r>
              <w:rPr>
                <w:rFonts w:hint="eastAsia" w:ascii="宋体" w:hAnsi="宋体" w:cs="宋体"/>
                <w:color w:val="auto"/>
                <w:sz w:val="24"/>
                <w:szCs w:val="24"/>
                <w:highlight w:val="none"/>
                <w:lang w:val="en-US" w:eastAsia="zh-CN" w:bidi="ar-SA"/>
              </w:rPr>
              <w:t xml:space="preserve">个</w:t>
            </w:r>
            <w:r>
              <w:rPr>
                <w:rFonts w:hint="eastAsia" w:ascii="宋体" w:hAnsi="宋体" w:eastAsia="宋体" w:cs="宋体"/>
                <w:color w:val="auto"/>
                <w:sz w:val="24"/>
                <w:szCs w:val="24"/>
                <w:highlight w:val="none"/>
                <w:lang w:val="en-US" w:eastAsia="zh-CN" w:bidi="ar-SA"/>
              </w:rPr>
              <w:t xml:space="preserve">得2分，本项</w:t>
            </w:r>
            <w:r>
              <w:rPr>
                <w:rFonts w:hint="eastAsia" w:ascii="宋体" w:hAnsi="宋体" w:cs="宋体"/>
                <w:color w:val="auto"/>
                <w:sz w:val="24"/>
                <w:szCs w:val="24"/>
                <w:highlight w:val="none"/>
                <w:lang w:val="en-US" w:eastAsia="zh-CN" w:bidi="ar-SA"/>
              </w:rPr>
              <w:t xml:space="preserve">最高得</w:t>
            </w:r>
            <w:r>
              <w:rPr>
                <w:rFonts w:hint="eastAsia" w:ascii="宋体" w:hAnsi="宋体" w:eastAsia="宋体" w:cs="宋体"/>
                <w:color w:val="auto"/>
                <w:sz w:val="24"/>
                <w:szCs w:val="24"/>
                <w:highlight w:val="none"/>
                <w:lang w:val="en-US" w:eastAsia="zh-CN" w:bidi="ar-SA"/>
              </w:rPr>
              <w:t xml:space="preserve">2分。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注：投标时须</w:t>
            </w:r>
            <w:r>
              <w:rPr>
                <w:rFonts w:hint="eastAsia" w:ascii="宋体" w:hAnsi="宋体" w:eastAsia="宋体" w:cs="宋体"/>
                <w:color w:val="auto"/>
                <w:sz w:val="24"/>
                <w:szCs w:val="24"/>
                <w:highlight w:val="none"/>
                <w:lang w:val="en-US" w:eastAsia="zh-CN" w:bidi="ar-SA"/>
              </w:rPr>
              <w:t xml:space="preserve">提供网页公示截图</w:t>
            </w:r>
            <w:r>
              <w:rPr>
                <w:rFonts w:hint="eastAsia" w:ascii="宋体" w:hAnsi="宋体" w:cs="宋体"/>
                <w:color w:val="auto"/>
                <w:sz w:val="24"/>
                <w:szCs w:val="24"/>
                <w:highlight w:val="none"/>
                <w:lang w:val="en-US" w:eastAsia="zh-CN" w:bidi="ar-SA"/>
              </w:rPr>
              <w:t xml:space="preserve">并加盖投标人公章</w:t>
            </w:r>
            <w:r>
              <w:rPr>
                <w:rFonts w:hint="eastAsia" w:ascii="宋体" w:hAnsi="宋体" w:eastAsia="宋体" w:cs="宋体"/>
                <w:color w:val="auto"/>
                <w:sz w:val="24"/>
                <w:szCs w:val="24"/>
                <w:highlight w:val="none"/>
                <w:lang w:val="en-US" w:eastAsia="zh-CN" w:bidi="ar-SA"/>
              </w:rPr>
              <w:t xml:space="preserve">，不提供不得分。</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23"/>
        </w:trPr>
        <w:tc>
          <w:tcPr>
            <w:tcW w:w="358"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项目认知与响应策略</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投标人根据第四章第</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lang w:val="en-US" w:eastAsia="zh-CN"/>
              </w:rPr>
              <w:t xml:space="preserve">项中“</w:t>
            </w:r>
            <w:r>
              <w:rPr>
                <w:rFonts w:hint="eastAsia" w:ascii="宋体" w:hAnsi="宋体" w:eastAsia="宋体" w:cs="宋体"/>
                <w:color w:val="auto"/>
                <w:sz w:val="24"/>
                <w:szCs w:val="24"/>
              </w:rPr>
              <w:t xml:space="preserve">项目认知与响应策略</w:t>
            </w:r>
            <w:r>
              <w:rPr>
                <w:rFonts w:hint="eastAsia" w:ascii="宋体" w:hAnsi="宋体" w:eastAsia="宋体" w:cs="宋体"/>
                <w:color w:val="auto"/>
                <w:sz w:val="24"/>
                <w:szCs w:val="24"/>
                <w:lang w:val="en-US" w:eastAsia="zh-CN"/>
              </w:rPr>
              <w:t xml:space="preserve">”要求，方案至少包含：①二维图片采集</w:t>
            </w:r>
            <w:r>
              <w:rPr>
                <w:rFonts w:hint="eastAsia" w:ascii="宋体" w:hAnsi="宋体" w:eastAsia="宋体" w:cs="宋体"/>
                <w:i w:val="0"/>
                <w:iCs w:val="0"/>
                <w:color w:val="auto"/>
                <w:sz w:val="24"/>
                <w:szCs w:val="24"/>
                <w:u w:val="none"/>
                <w:lang w:val="en-US" w:eastAsia="zh-CN" w:bidi="ar"/>
              </w:rPr>
              <w:t xml:space="preserve">；</w:t>
            </w:r>
            <w:r>
              <w:rPr>
                <w:rFonts w:hint="default" w:ascii="宋体" w:hAnsi="宋体" w:eastAsia="宋体" w:cs="宋体"/>
                <w:color w:val="auto"/>
                <w:sz w:val="24"/>
                <w:szCs w:val="24"/>
                <w:lang w:val="en-US" w:eastAsia="zh-CN"/>
              </w:rPr>
              <w:t xml:space="preserve">②多光谱成像</w:t>
            </w:r>
            <w:r>
              <w:rPr>
                <w:rFonts w:hint="eastAsia" w:ascii="宋体" w:hAnsi="宋体" w:eastAsia="宋体" w:cs="宋体"/>
                <w:i w:val="0"/>
                <w:iCs w:val="0"/>
                <w:color w:val="auto"/>
                <w:sz w:val="24"/>
                <w:szCs w:val="24"/>
                <w:u w:val="none"/>
                <w:lang w:val="en-US" w:eastAsia="zh-CN" w:bidi="ar"/>
              </w:rPr>
              <w:t xml:space="preserve">；</w:t>
            </w:r>
            <w:r>
              <w:rPr>
                <w:rFonts w:hint="default" w:ascii="宋体" w:hAnsi="宋体" w:eastAsia="宋体" w:cs="宋体"/>
                <w:color w:val="auto"/>
                <w:sz w:val="24"/>
                <w:szCs w:val="24"/>
                <w:lang w:val="en-US" w:eastAsia="zh-CN"/>
              </w:rPr>
              <w:t xml:space="preserve">③数字拓片</w:t>
            </w:r>
            <w:r>
              <w:rPr>
                <w:rFonts w:hint="eastAsia" w:ascii="宋体" w:hAnsi="宋体" w:eastAsia="宋体" w:cs="宋体"/>
                <w:i w:val="0"/>
                <w:iCs w:val="0"/>
                <w:color w:val="auto"/>
                <w:sz w:val="24"/>
                <w:szCs w:val="24"/>
                <w:u w:val="none"/>
                <w:lang w:val="en-US" w:eastAsia="zh-CN" w:bidi="ar"/>
              </w:rPr>
              <w:t xml:space="preserve">；④三维数据采集制作等内容</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优于项目需求得</w:t>
            </w:r>
            <w:r>
              <w:rPr>
                <w:rFonts w:hint="eastAsia" w:ascii="宋体" w:hAnsi="宋体" w:cs="宋体"/>
                <w:i w:val="0"/>
                <w:iCs w:val="0"/>
                <w:color w:val="auto"/>
                <w:sz w:val="24"/>
                <w:szCs w:val="24"/>
                <w:u w:val="none"/>
                <w:lang w:val="en-US" w:eastAsia="zh-CN" w:bidi="ar"/>
              </w:rPr>
              <w:t xml:space="preserve">10</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项目需求得</w:t>
            </w:r>
            <w:r>
              <w:rPr>
                <w:rFonts w:hint="eastAsia" w:ascii="宋体" w:hAnsi="宋体" w:cs="宋体"/>
                <w:i w:val="0"/>
                <w:iCs w:val="0"/>
                <w:color w:val="auto"/>
                <w:sz w:val="24"/>
                <w:szCs w:val="24"/>
                <w:u w:val="none"/>
                <w:lang w:val="en-US" w:eastAsia="zh-CN" w:bidi="ar"/>
              </w:rPr>
              <w:t xml:space="preserve">8</w:t>
            </w:r>
            <w:r>
              <w:rPr>
                <w:rFonts w:hint="eastAsia" w:ascii="宋体" w:hAnsi="宋体" w:eastAsia="宋体" w:cs="宋体"/>
                <w:i w:val="0"/>
                <w:iCs w:val="0"/>
                <w:color w:val="auto"/>
                <w:sz w:val="24"/>
                <w:szCs w:val="24"/>
                <w:u w:val="none"/>
                <w:lang w:val="en-US" w:eastAsia="zh-CN" w:bidi="ar"/>
              </w:rPr>
              <w:t xml:space="preserve">分，不</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或不提供得0分。  </w:t>
            </w:r>
            <w:r/>
          </w:p>
          <w:p>
            <w:pPr>
              <w:ind w:firstLine="480"/>
              <w:keepLines w:val="0"/>
              <w:keepNext w:val="0"/>
              <w:pageBreakBefore w:val="0"/>
              <w:spacing w:line="400" w:lineRule="exact"/>
              <w:widowControl/>
              <w:rPr>
                <w:rFonts w:hint="default"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10</w:t>
            </w:r>
            <w:r/>
          </w:p>
        </w:tc>
      </w:tr>
      <w:tr>
        <w:trPr>
          <w:trHeight w:val="23"/>
        </w:trPr>
        <w:tc>
          <w:tcPr>
            <w:tcW w:w="358" w:type="pct"/>
            <w:vAlign w:val="center"/>
            <w:textDirection w:val="lrTb"/>
            <w:noWrap/>
          </w:tcPr>
          <w:p>
            <w:pPr>
              <w:ind w:firstLine="0"/>
              <w:jc w:val="center"/>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数字化采集专项技术方案</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投标人根据第四章第</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lang w:val="en-US" w:eastAsia="zh-CN"/>
              </w:rPr>
              <w:t xml:space="preserve">项中“数字化采集专项技术方案”要求，方案至少包含：①</w:t>
            </w:r>
            <w:r>
              <w:rPr>
                <w:rFonts w:hint="eastAsia" w:ascii="宋体" w:hAnsi="宋体" w:eastAsia="宋体" w:cs="宋体"/>
                <w:color w:val="auto"/>
                <w:sz w:val="24"/>
                <w:szCs w:val="24"/>
              </w:rPr>
              <w:t xml:space="preserve">文物二维高清影像采集制作方案</w:t>
            </w:r>
            <w:r>
              <w:rPr>
                <w:rFonts w:hint="eastAsia" w:ascii="宋体" w:hAnsi="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②</w:t>
            </w:r>
            <w:r>
              <w:rPr>
                <w:rFonts w:hint="eastAsia" w:ascii="宋体" w:hAnsi="宋体" w:eastAsia="宋体" w:cs="宋体"/>
                <w:color w:val="auto"/>
                <w:sz w:val="24"/>
                <w:szCs w:val="24"/>
              </w:rPr>
              <w:t xml:space="preserve">文物多光谱成像方案</w:t>
            </w:r>
            <w:r>
              <w:rPr>
                <w:rFonts w:hint="eastAsia" w:ascii="宋体" w:hAnsi="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③</w:t>
            </w:r>
            <w:r>
              <w:rPr>
                <w:rFonts w:hint="eastAsia" w:ascii="宋体" w:hAnsi="宋体" w:eastAsia="宋体" w:cs="宋体"/>
                <w:color w:val="auto"/>
                <w:sz w:val="24"/>
                <w:szCs w:val="24"/>
              </w:rPr>
              <w:t xml:space="preserve">文物数字拓片制作方案</w:t>
            </w:r>
            <w:r>
              <w:rPr>
                <w:rFonts w:hint="eastAsia" w:ascii="宋体" w:hAnsi="宋体" w:cs="宋体"/>
                <w:color w:val="auto"/>
                <w:sz w:val="24"/>
                <w:szCs w:val="24"/>
                <w:lang w:val="en-US" w:eastAsia="zh-CN"/>
              </w:rPr>
              <w:t xml:space="preserve">；</w:t>
            </w:r>
            <w:r>
              <w:rPr>
                <w:rFonts w:hint="eastAsia" w:ascii="宋体" w:hAnsi="宋体" w:eastAsia="宋体" w:cs="宋体"/>
                <w:i w:val="0"/>
                <w:iCs w:val="0"/>
                <w:color w:val="auto"/>
                <w:sz w:val="24"/>
                <w:szCs w:val="24"/>
                <w:u w:val="none"/>
                <w:lang w:val="en-US" w:eastAsia="zh-CN" w:bidi="ar"/>
              </w:rPr>
              <w:t xml:space="preserve">④</w:t>
            </w:r>
            <w:r>
              <w:rPr>
                <w:rFonts w:hint="eastAsia" w:ascii="宋体" w:hAnsi="宋体" w:eastAsia="宋体" w:cs="宋体"/>
                <w:color w:val="auto"/>
                <w:sz w:val="24"/>
                <w:szCs w:val="24"/>
              </w:rPr>
              <w:t xml:space="preserve">文物三维信息采集制作方案</w:t>
            </w:r>
            <w:r>
              <w:rPr>
                <w:rFonts w:hint="eastAsia" w:ascii="宋体" w:hAnsi="宋体" w:eastAsia="宋体" w:cs="宋体"/>
                <w:i w:val="0"/>
                <w:iCs w:val="0"/>
                <w:color w:val="auto"/>
                <w:sz w:val="24"/>
                <w:szCs w:val="24"/>
                <w:u w:val="none"/>
                <w:lang w:val="en-US" w:eastAsia="zh-CN" w:bidi="ar"/>
              </w:rPr>
              <w:t xml:space="preserve">等内容</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优于项目需求得</w:t>
            </w:r>
            <w:r>
              <w:rPr>
                <w:rFonts w:hint="eastAsia" w:ascii="宋体" w:hAnsi="宋体" w:cs="宋体"/>
                <w:i w:val="0"/>
                <w:iCs w:val="0"/>
                <w:color w:val="auto"/>
                <w:sz w:val="24"/>
                <w:szCs w:val="24"/>
                <w:u w:val="none"/>
                <w:lang w:val="en-US" w:eastAsia="zh-CN" w:bidi="ar"/>
              </w:rPr>
              <w:t xml:space="preserve">8</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项目需求得</w:t>
            </w:r>
            <w:r>
              <w:rPr>
                <w:rFonts w:hint="eastAsia" w:ascii="宋体" w:hAnsi="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分，不</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或不提供得0分。  </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r>
      <w:tr>
        <w:trPr>
          <w:trHeight w:val="23"/>
        </w:trPr>
        <w:tc>
          <w:tcPr>
            <w:tcW w:w="358" w:type="pct"/>
            <w:vAlign w:val="center"/>
            <w:textDirection w:val="lrTb"/>
            <w:noWrap/>
          </w:tcPr>
          <w:p>
            <w:pPr>
              <w:ind w:firstLine="0"/>
              <w:jc w:val="center"/>
              <w:keepLines w:val="0"/>
              <w:keepNext w:val="0"/>
              <w:pageBreakBefore w:val="0"/>
              <w:spacing w:line="400" w:lineRule="exact"/>
              <w:widowControl/>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项目实施方案</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投标人根据第四章第</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lang w:val="en-US" w:eastAsia="zh-CN"/>
              </w:rPr>
              <w:t xml:space="preserve">项中“项目实施方案”要求，方案至少包含：①</w:t>
            </w:r>
            <w:r>
              <w:rPr>
                <w:rFonts w:hint="eastAsia" w:ascii="宋体" w:hAnsi="宋体" w:eastAsia="宋体" w:cs="宋体"/>
                <w:i w:val="0"/>
                <w:iCs w:val="0"/>
                <w:color w:val="auto"/>
                <w:sz w:val="24"/>
                <w:szCs w:val="24"/>
                <w:u w:val="none"/>
                <w:lang w:val="en-US" w:eastAsia="zh-CN" w:bidi="ar"/>
              </w:rPr>
              <w:t xml:space="preserve">实施组织架构</w:t>
            </w:r>
            <w:r>
              <w:rPr>
                <w:rFonts w:hint="eastAsia" w:ascii="宋体" w:hAnsi="宋体" w:cs="宋体"/>
                <w:i w:val="0"/>
                <w:iCs w:val="0"/>
                <w:color w:val="auto"/>
                <w:sz w:val="24"/>
                <w:szCs w:val="24"/>
                <w:u w:val="none"/>
                <w:lang w:val="en-US" w:eastAsia="zh-CN" w:bidi="ar"/>
              </w:rPr>
              <w:t xml:space="preserve">；</w:t>
            </w:r>
            <w:r>
              <w:rPr>
                <w:rFonts w:hint="default" w:ascii="宋体" w:hAnsi="宋体" w:eastAsia="宋体" w:cs="宋体"/>
                <w:color w:val="auto"/>
                <w:sz w:val="24"/>
                <w:szCs w:val="24"/>
                <w:lang w:val="en-US" w:eastAsia="zh-CN"/>
              </w:rPr>
              <w:t xml:space="preserve">②</w:t>
            </w:r>
            <w:r>
              <w:rPr>
                <w:rFonts w:hint="eastAsia" w:ascii="宋体" w:hAnsi="宋体" w:eastAsia="宋体" w:cs="宋体"/>
                <w:i w:val="0"/>
                <w:iCs w:val="0"/>
                <w:color w:val="auto"/>
                <w:sz w:val="24"/>
                <w:szCs w:val="24"/>
                <w:u w:val="none"/>
                <w:lang w:val="en-US" w:eastAsia="zh-CN" w:bidi="ar"/>
              </w:rPr>
              <w:t xml:space="preserve">工期计划</w:t>
            </w:r>
            <w:r>
              <w:rPr>
                <w:rFonts w:hint="eastAsia" w:ascii="宋体" w:hAnsi="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③</w:t>
            </w:r>
            <w:r>
              <w:rPr>
                <w:rFonts w:hint="eastAsia" w:ascii="宋体" w:hAnsi="宋体" w:eastAsia="宋体" w:cs="宋体"/>
                <w:i w:val="0"/>
                <w:iCs w:val="0"/>
                <w:color w:val="auto"/>
                <w:sz w:val="24"/>
                <w:szCs w:val="24"/>
                <w:u w:val="none"/>
                <w:lang w:val="en-US" w:eastAsia="zh-CN" w:bidi="ar"/>
              </w:rPr>
              <w:t xml:space="preserve">进度保障措施</w:t>
            </w:r>
            <w:r>
              <w:rPr>
                <w:rFonts w:hint="eastAsia" w:ascii="宋体" w:hAnsi="宋体" w:cs="宋体"/>
                <w:color w:val="auto"/>
                <w:sz w:val="24"/>
                <w:szCs w:val="24"/>
                <w:lang w:val="en-US" w:eastAsia="zh-CN"/>
              </w:rPr>
              <w:t xml:space="preserve">；</w:t>
            </w:r>
            <w:r>
              <w:rPr>
                <w:rFonts w:hint="eastAsia" w:ascii="宋体" w:hAnsi="宋体" w:eastAsia="宋体" w:cs="宋体"/>
                <w:i w:val="0"/>
                <w:iCs w:val="0"/>
                <w:color w:val="auto"/>
                <w:sz w:val="24"/>
                <w:szCs w:val="24"/>
                <w:u w:val="none"/>
                <w:lang w:val="en-US" w:eastAsia="zh-CN" w:bidi="ar"/>
              </w:rPr>
              <w:t xml:space="preserve">④质量保障措施等内容</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优于项目需求得</w:t>
            </w:r>
            <w:r>
              <w:rPr>
                <w:rFonts w:hint="eastAsia" w:ascii="宋体" w:hAnsi="宋体" w:cs="宋体"/>
                <w:i w:val="0"/>
                <w:iCs w:val="0"/>
                <w:color w:val="auto"/>
                <w:sz w:val="24"/>
                <w:szCs w:val="24"/>
                <w:u w:val="none"/>
                <w:lang w:val="en-US" w:eastAsia="zh-CN" w:bidi="ar"/>
              </w:rPr>
              <w:t xml:space="preserve">8</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项目需求得</w:t>
            </w:r>
            <w:r>
              <w:rPr>
                <w:rFonts w:hint="eastAsia" w:ascii="宋体" w:hAnsi="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分，不</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或不提供得0分。  </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r>
      <w:tr>
        <w:trPr>
          <w:trHeight w:val="23"/>
        </w:trPr>
        <w:tc>
          <w:tcPr>
            <w:tcW w:w="358" w:type="pct"/>
            <w:vAlign w:val="center"/>
            <w:textDirection w:val="lrTb"/>
            <w:noWrap/>
          </w:tcPr>
          <w:p>
            <w:pPr>
              <w:ind w:firstLine="0"/>
              <w:jc w:val="center"/>
              <w:keepLines w:val="0"/>
              <w:keepNext w:val="0"/>
              <w:pageBreakBefore w:val="0"/>
              <w:spacing w:line="400" w:lineRule="exact"/>
              <w:widowControl/>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文物安全专项方案</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投标人根据第四章第</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lang w:val="en-US" w:eastAsia="zh-CN"/>
              </w:rPr>
              <w:t xml:space="preserve">项中“</w:t>
            </w:r>
            <w:r>
              <w:rPr>
                <w:rFonts w:hint="eastAsia" w:ascii="宋体" w:hAnsi="宋体" w:eastAsia="宋体" w:cs="宋体"/>
                <w:color w:val="auto"/>
                <w:sz w:val="24"/>
                <w:szCs w:val="24"/>
              </w:rPr>
              <w:t xml:space="preserve">文物安全专项方案</w:t>
            </w:r>
            <w:r>
              <w:rPr>
                <w:rFonts w:hint="eastAsia" w:ascii="宋体" w:hAnsi="宋体" w:eastAsia="宋体" w:cs="宋体"/>
                <w:color w:val="auto"/>
                <w:sz w:val="24"/>
                <w:szCs w:val="24"/>
                <w:lang w:val="en-US" w:eastAsia="zh-CN"/>
              </w:rPr>
              <w:t xml:space="preserve">”要求，方案至少包含：①实施前准备措施</w:t>
            </w:r>
            <w:r>
              <w:rPr>
                <w:rFonts w:hint="eastAsia" w:ascii="宋体" w:hAnsi="宋体" w:cs="宋体"/>
                <w:i w:val="0"/>
                <w:iCs w:val="0"/>
                <w:color w:val="auto"/>
                <w:sz w:val="24"/>
                <w:szCs w:val="24"/>
                <w:u w:val="none"/>
                <w:lang w:val="en-US" w:eastAsia="zh-CN" w:bidi="ar"/>
              </w:rPr>
              <w:t xml:space="preserve">；</w:t>
            </w:r>
            <w:r>
              <w:rPr>
                <w:rFonts w:hint="default" w:ascii="宋体" w:hAnsi="宋体" w:eastAsia="宋体" w:cs="宋体"/>
                <w:color w:val="auto"/>
                <w:sz w:val="24"/>
                <w:szCs w:val="24"/>
                <w:lang w:val="en-US" w:eastAsia="zh-CN"/>
              </w:rPr>
              <w:t xml:space="preserve">②应急预案编制</w:t>
            </w:r>
            <w:r>
              <w:rPr>
                <w:rFonts w:hint="eastAsia" w:ascii="宋体" w:hAnsi="宋体" w:cs="宋体"/>
                <w:color w:val="auto"/>
                <w:sz w:val="24"/>
                <w:szCs w:val="24"/>
                <w:lang w:val="en-US" w:eastAsia="zh-CN"/>
              </w:rPr>
              <w:t xml:space="preserve">；</w:t>
            </w:r>
            <w:r>
              <w:rPr>
                <w:rFonts w:hint="eastAsia" w:ascii="宋体" w:hAnsi="宋体" w:cs="宋体"/>
                <w:i w:val="0"/>
                <w:iCs w:val="0"/>
                <w:color w:val="auto"/>
                <w:sz w:val="24"/>
                <w:szCs w:val="24"/>
                <w:u w:val="none"/>
                <w:lang w:val="en-US" w:eastAsia="zh-CN" w:bidi="ar"/>
              </w:rPr>
              <w:t xml:space="preserve">③</w:t>
            </w:r>
            <w:r>
              <w:rPr>
                <w:rFonts w:hint="eastAsia" w:ascii="宋体" w:hAnsi="宋体" w:eastAsia="宋体" w:cs="宋体"/>
                <w:color w:val="auto"/>
                <w:sz w:val="24"/>
                <w:szCs w:val="24"/>
                <w:lang w:val="en-US" w:eastAsia="zh-CN"/>
              </w:rPr>
              <w:t xml:space="preserve">数据安全保障措施</w:t>
            </w:r>
            <w:r>
              <w:rPr>
                <w:rFonts w:hint="eastAsia" w:ascii="宋体" w:hAnsi="宋体" w:eastAsia="宋体" w:cs="宋体"/>
                <w:i w:val="0"/>
                <w:iCs w:val="0"/>
                <w:color w:val="auto"/>
                <w:sz w:val="24"/>
                <w:szCs w:val="24"/>
                <w:u w:val="none"/>
                <w:lang w:val="en-US" w:eastAsia="zh-CN" w:bidi="ar"/>
              </w:rPr>
              <w:t xml:space="preserve">等内容</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优于项目需求得</w:t>
            </w:r>
            <w:r>
              <w:rPr>
                <w:rFonts w:hint="eastAsia" w:ascii="宋体" w:hAnsi="宋体" w:cs="宋体"/>
                <w:i w:val="0"/>
                <w:iCs w:val="0"/>
                <w:color w:val="auto"/>
                <w:sz w:val="24"/>
                <w:szCs w:val="24"/>
                <w:u w:val="none"/>
                <w:lang w:val="en-US" w:eastAsia="zh-CN" w:bidi="ar"/>
              </w:rPr>
              <w:t xml:space="preserve">8</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项目需求得</w:t>
            </w:r>
            <w:r>
              <w:rPr>
                <w:rFonts w:hint="eastAsia" w:ascii="宋体" w:hAnsi="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分，不</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或不提供得0分。  </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r>
      <w:tr>
        <w:trPr>
          <w:trHeight w:val="23"/>
        </w:trPr>
        <w:tc>
          <w:tcPr>
            <w:tcW w:w="358" w:type="pct"/>
            <w:vAlign w:val="center"/>
            <w:textDirection w:val="lrTb"/>
            <w:noWrap/>
          </w:tcPr>
          <w:p>
            <w:pPr>
              <w:ind w:firstLine="0"/>
              <w:jc w:val="center"/>
              <w:keepLines w:val="0"/>
              <w:keepNext w:val="0"/>
              <w:pageBreakBefore w:val="0"/>
              <w:spacing w:line="400" w:lineRule="exact"/>
              <w:widowControl/>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11</w:t>
            </w:r>
            <w:r/>
          </w:p>
        </w:tc>
        <w:tc>
          <w:tcPr>
            <w:tcW w:w="5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售后服务方案</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投标人根据第四章第</w:t>
            </w:r>
            <w:r>
              <w:rPr>
                <w:rFonts w:hint="eastAsia" w:ascii="宋体" w:hAnsi="宋体" w:cs="宋体"/>
                <w:color w:val="auto"/>
                <w:sz w:val="24"/>
                <w:szCs w:val="24"/>
                <w:lang w:val="en-US" w:eastAsia="zh-CN"/>
              </w:rPr>
              <w:t xml:space="preserve">六</w:t>
            </w:r>
            <w:r>
              <w:rPr>
                <w:rFonts w:hint="eastAsia" w:ascii="宋体" w:hAnsi="宋体" w:eastAsia="宋体" w:cs="宋体"/>
                <w:i w:val="0"/>
                <w:iCs w:val="0"/>
                <w:color w:val="auto"/>
                <w:sz w:val="24"/>
                <w:szCs w:val="24"/>
                <w:u w:val="none"/>
                <w:lang w:val="en-US" w:eastAsia="zh-CN" w:bidi="ar"/>
              </w:rPr>
              <w:t xml:space="preserve">项中“售后服务方案”要求，方案至少包含：①售后服务内容及承诺；</w:t>
            </w:r>
            <w:r>
              <w:rPr>
                <w:rFonts w:hint="default" w:ascii="宋体" w:hAnsi="宋体" w:eastAsia="宋体" w:cs="宋体"/>
                <w:i w:val="0"/>
                <w:iCs w:val="0"/>
                <w:color w:val="auto"/>
                <w:sz w:val="24"/>
                <w:szCs w:val="24"/>
                <w:u w:val="none"/>
                <w:lang w:val="en-US" w:eastAsia="zh-CN" w:bidi="ar"/>
              </w:rPr>
              <w:t xml:space="preserve">②</w:t>
            </w:r>
            <w:r>
              <w:rPr>
                <w:rFonts w:hint="eastAsia" w:ascii="宋体" w:hAnsi="宋体" w:eastAsia="宋体" w:cs="宋体"/>
                <w:i w:val="0"/>
                <w:iCs w:val="0"/>
                <w:color w:val="auto"/>
                <w:sz w:val="24"/>
                <w:szCs w:val="24"/>
                <w:u w:val="none"/>
                <w:lang w:val="en-US" w:eastAsia="zh-CN" w:bidi="ar"/>
              </w:rPr>
              <w:t xml:space="preserve">售后服务体系及团队；</w:t>
            </w:r>
            <w:r>
              <w:rPr>
                <w:rFonts w:hint="default" w:ascii="宋体" w:hAnsi="宋体" w:eastAsia="宋体" w:cs="宋体"/>
                <w:i w:val="0"/>
                <w:iCs w:val="0"/>
                <w:color w:val="auto"/>
                <w:sz w:val="24"/>
                <w:szCs w:val="24"/>
                <w:u w:val="none"/>
                <w:lang w:val="en-US" w:eastAsia="zh-CN" w:bidi="ar"/>
              </w:rPr>
              <w:t xml:space="preserve">③</w:t>
            </w:r>
            <w:r>
              <w:rPr>
                <w:rFonts w:hint="eastAsia" w:ascii="宋体" w:hAnsi="宋体" w:eastAsia="宋体" w:cs="宋体"/>
                <w:i w:val="0"/>
                <w:iCs w:val="0"/>
                <w:color w:val="auto"/>
                <w:sz w:val="24"/>
                <w:szCs w:val="24"/>
                <w:u w:val="none"/>
                <w:lang w:val="en-US" w:eastAsia="zh-CN" w:bidi="ar"/>
              </w:rPr>
              <w:t xml:space="preserve">售后服务保障措施等内容。优于项目需求得</w:t>
            </w:r>
            <w:r>
              <w:rPr>
                <w:rFonts w:hint="eastAsia" w:ascii="宋体" w:hAnsi="宋体" w:cs="宋体"/>
                <w:i w:val="0"/>
                <w:iCs w:val="0"/>
                <w:color w:val="auto"/>
                <w:sz w:val="24"/>
                <w:szCs w:val="24"/>
                <w:u w:val="none"/>
                <w:lang w:val="en-US" w:eastAsia="zh-CN" w:bidi="ar"/>
              </w:rPr>
              <w:t xml:space="preserve">8</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项目需求得</w:t>
            </w:r>
            <w:r>
              <w:rPr>
                <w:rFonts w:hint="eastAsia" w:ascii="宋体" w:hAnsi="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分，不</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或不提供得0分。 </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r>
      <w:tr>
        <w:trPr>
          <w:trHeight w:val="3563"/>
        </w:trPr>
        <w:tc>
          <w:tcPr>
            <w:tcW w:w="358" w:type="pct"/>
            <w:vAlign w:val="center"/>
            <w:textDirection w:val="lrTb"/>
            <w:noWrap/>
          </w:tcPr>
          <w:p>
            <w:pPr>
              <w:ind w:firstLine="0"/>
              <w:jc w:val="center"/>
              <w:keepLines w:val="0"/>
              <w:keepNext w:val="0"/>
              <w:pageBreakBefore w:val="0"/>
              <w:spacing w:line="400" w:lineRule="exact"/>
              <w:widowControl/>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w:t>
            </w:r>
            <w:r/>
          </w:p>
        </w:tc>
        <w:tc>
          <w:tcPr>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培训方案</w:t>
            </w:r>
            <w:r/>
          </w:p>
        </w:tc>
        <w:tc>
          <w:tcPr>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投标人根据第四章第</w:t>
            </w:r>
            <w:r>
              <w:rPr>
                <w:rFonts w:hint="eastAsia" w:ascii="宋体" w:hAnsi="宋体" w:cs="宋体"/>
                <w:color w:val="auto"/>
                <w:sz w:val="24"/>
                <w:szCs w:val="24"/>
                <w:lang w:val="en-US" w:eastAsia="zh-CN"/>
              </w:rPr>
              <w:t xml:space="preserve">六</w:t>
            </w:r>
            <w:r>
              <w:rPr>
                <w:rFonts w:hint="eastAsia" w:ascii="宋体" w:hAnsi="宋体" w:eastAsia="宋体" w:cs="宋体"/>
                <w:i w:val="0"/>
                <w:iCs w:val="0"/>
                <w:color w:val="auto"/>
                <w:sz w:val="24"/>
                <w:szCs w:val="24"/>
                <w:u w:val="none"/>
                <w:lang w:val="en-US" w:eastAsia="zh-CN" w:bidi="ar"/>
              </w:rPr>
              <w:t xml:space="preserve">项中“培训方案”要求，方案至少包含：①培训目标；</w:t>
            </w:r>
            <w:r>
              <w:rPr>
                <w:rFonts w:hint="default" w:ascii="宋体" w:hAnsi="宋体" w:eastAsia="宋体" w:cs="宋体"/>
                <w:i w:val="0"/>
                <w:iCs w:val="0"/>
                <w:color w:val="auto"/>
                <w:sz w:val="24"/>
                <w:szCs w:val="24"/>
                <w:u w:val="none"/>
                <w:lang w:val="en-US" w:eastAsia="zh-CN" w:bidi="ar"/>
              </w:rPr>
              <w:t xml:space="preserve">②</w:t>
            </w:r>
            <w:r>
              <w:rPr>
                <w:rFonts w:hint="eastAsia" w:ascii="宋体" w:hAnsi="宋体" w:eastAsia="宋体" w:cs="宋体"/>
                <w:i w:val="0"/>
                <w:iCs w:val="0"/>
                <w:color w:val="auto"/>
                <w:sz w:val="24"/>
                <w:szCs w:val="24"/>
                <w:u w:val="none"/>
                <w:lang w:val="en-US" w:eastAsia="zh-CN" w:bidi="ar"/>
              </w:rPr>
              <w:t xml:space="preserve">培训内容；</w:t>
            </w:r>
            <w:r>
              <w:rPr>
                <w:rFonts w:hint="default" w:ascii="宋体" w:hAnsi="宋体" w:eastAsia="宋体" w:cs="宋体"/>
                <w:i w:val="0"/>
                <w:iCs w:val="0"/>
                <w:color w:val="auto"/>
                <w:sz w:val="24"/>
                <w:szCs w:val="24"/>
                <w:u w:val="none"/>
                <w:lang w:val="en-US" w:eastAsia="zh-CN" w:bidi="ar"/>
              </w:rPr>
              <w:t xml:space="preserve">③</w:t>
            </w:r>
            <w:r>
              <w:rPr>
                <w:rFonts w:hint="eastAsia" w:ascii="宋体" w:hAnsi="宋体" w:eastAsia="宋体" w:cs="宋体"/>
                <w:i w:val="0"/>
                <w:iCs w:val="0"/>
                <w:color w:val="auto"/>
                <w:sz w:val="24"/>
                <w:szCs w:val="24"/>
                <w:u w:val="none"/>
                <w:lang w:val="en-US" w:eastAsia="zh-CN" w:bidi="ar"/>
              </w:rPr>
              <w:t xml:space="preserve">培训安排</w:t>
            </w:r>
            <w:r>
              <w:rPr>
                <w:rFonts w:hint="eastAsia" w:ascii="宋体" w:hAnsi="宋体" w:cs="宋体"/>
                <w:color w:val="auto"/>
                <w:sz w:val="24"/>
                <w:szCs w:val="24"/>
                <w:lang w:val="en-US" w:eastAsia="zh-CN"/>
              </w:rPr>
              <w:t xml:space="preserve">；</w:t>
            </w:r>
            <w:r>
              <w:rPr>
                <w:rFonts w:hint="eastAsia" w:ascii="宋体" w:hAnsi="宋体" w:eastAsia="宋体" w:cs="宋体"/>
                <w:i w:val="0"/>
                <w:iCs w:val="0"/>
                <w:color w:val="auto"/>
                <w:sz w:val="24"/>
                <w:szCs w:val="24"/>
                <w:u w:val="none"/>
                <w:lang w:val="en-US" w:eastAsia="zh-CN" w:bidi="ar"/>
              </w:rPr>
              <w:t xml:space="preserve">④培训方式等内容。优于项目需求得</w:t>
            </w:r>
            <w:r>
              <w:rPr>
                <w:rFonts w:hint="eastAsia" w:ascii="宋体" w:hAnsi="宋体" w:cs="宋体"/>
                <w:i w:val="0"/>
                <w:iCs w:val="0"/>
                <w:color w:val="auto"/>
                <w:sz w:val="24"/>
                <w:szCs w:val="24"/>
                <w:u w:val="none"/>
                <w:lang w:val="en-US" w:eastAsia="zh-CN" w:bidi="ar"/>
              </w:rPr>
              <w:t xml:space="preserve">8</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项目需求得</w:t>
            </w:r>
            <w:r>
              <w:rPr>
                <w:rFonts w:hint="eastAsia" w:ascii="宋体" w:hAnsi="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分，不</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或不提供得0分。 </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c>
          <w:tcPr>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r>
      <w:tr>
        <w:trPr>
          <w:trHeight w:val="245"/>
        </w:trPr>
        <w:tc>
          <w:tcPr>
            <w:tcBorders>
              <w:top w:val="single" w:color="auto" w:sz="4" w:space="0"/>
            </w:tcBorders>
            <w:tcW w:w="358" w:type="pct"/>
            <w:vAlign w:val="center"/>
            <w:textDirection w:val="lrTb"/>
            <w:noWrap/>
          </w:tcPr>
          <w:p>
            <w:pPr>
              <w:ind w:firstLine="0"/>
              <w:jc w:val="center"/>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w:t>
            </w:r>
            <w:r/>
          </w:p>
        </w:tc>
        <w:tc>
          <w:tcPr>
            <w:tcBorders>
              <w:top w:val="single" w:color="auto" w:sz="4" w:space="0"/>
            </w:tcBorders>
            <w:tcW w:w="585" w:type="pct"/>
            <w:vAlign w:val="center"/>
            <w:textDirection w:val="lrTb"/>
            <w:noWrap w:val="false"/>
          </w:tcPr>
          <w:p>
            <w:pPr>
              <w:ind w:firstLine="0"/>
              <w:jc w:val="center"/>
              <w:keepLines w:val="0"/>
              <w:keepNext w:val="0"/>
              <w:pageBreakBefore w:val="0"/>
              <w:spacing w:line="400" w:lineRule="exact"/>
              <w:widowControl/>
              <w:rPr>
                <w:rFonts w:hint="eastAsia" w:ascii="宋体" w:hAnsi="宋体" w:cs="宋体"/>
                <w:i w:val="0"/>
                <w:iCs w:val="0"/>
                <w:color w:val="auto"/>
                <w:sz w:val="24"/>
                <w:szCs w:val="24"/>
                <w:u w:val="none"/>
                <w:lang w:val="en-US" w:eastAsia="zh-CN" w:bidi="ar"/>
              </w:rPr>
            </w:pPr>
            <w:r>
              <w:rPr>
                <w:rFonts w:hint="eastAsia" w:ascii="宋体" w:hAnsi="宋体" w:cs="宋体"/>
                <w:i w:val="0"/>
                <w:iCs w:val="0"/>
                <w:color w:val="auto"/>
                <w:sz w:val="24"/>
                <w:szCs w:val="24"/>
                <w:u w:val="none"/>
                <w:lang w:val="en-US" w:eastAsia="zh-CN" w:bidi="ar"/>
              </w:rPr>
            </w:r>
            <w:r/>
          </w:p>
          <w:p>
            <w:pPr>
              <w:ind w:firstLine="0"/>
              <w:jc w:val="center"/>
              <w:keepLines w:val="0"/>
              <w:keepNext w:val="0"/>
              <w:pageBreakBefore w:val="0"/>
              <w:spacing w:line="400" w:lineRule="exact"/>
              <w:widowControl/>
              <w:rPr>
                <w:rFonts w:hint="default" w:ascii="宋体" w:hAnsi="宋体" w:cs="宋体"/>
                <w:i w:val="0"/>
                <w:iCs w:val="0"/>
                <w:color w:val="auto"/>
                <w:sz w:val="24"/>
                <w:szCs w:val="24"/>
                <w:u w:val="none"/>
                <w:lang w:val="en-US" w:eastAsia="zh-CN" w:bidi="ar"/>
              </w:rPr>
            </w:pPr>
            <w:r>
              <w:rPr>
                <w:rFonts w:hint="eastAsia" w:ascii="宋体" w:hAnsi="宋体" w:cs="宋体"/>
                <w:i w:val="0"/>
                <w:iCs w:val="0"/>
                <w:color w:val="auto"/>
                <w:sz w:val="24"/>
                <w:szCs w:val="24"/>
                <w:u w:val="none"/>
                <w:lang w:val="en-US" w:eastAsia="zh-CN" w:bidi="ar"/>
              </w:rPr>
              <w:t xml:space="preserve">演示</w:t>
            </w:r>
            <w:r/>
          </w:p>
          <w:p>
            <w:pPr>
              <w:ind w:firstLine="0"/>
              <w:jc w:val="center"/>
              <w:keepLines w:val="0"/>
              <w:keepNext w:val="0"/>
              <w:pageBreakBefore w:val="0"/>
              <w:spacing w:line="400" w:lineRule="exact"/>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c>
          <w:tcPr>
            <w:tcBorders>
              <w:top w:val="single" w:color="auto" w:sz="4" w:space="0"/>
            </w:tcBorders>
            <w:tcW w:w="3645" w:type="pct"/>
            <w:vAlign w:val="center"/>
            <w:textDirection w:val="lrTb"/>
            <w:noWrap w:val="false"/>
          </w:tcPr>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投标人应按照采购需求，对第四章第</w:t>
            </w:r>
            <w:r>
              <w:rPr>
                <w:rFonts w:hint="eastAsia" w:ascii="宋体" w:hAnsi="宋体" w:cs="宋体"/>
                <w:color w:val="auto"/>
                <w:sz w:val="24"/>
                <w:szCs w:val="24"/>
                <w:lang w:val="en-US" w:eastAsia="zh-CN"/>
              </w:rPr>
              <w:t xml:space="preserve">六</w:t>
            </w:r>
            <w:r>
              <w:rPr>
                <w:rFonts w:hint="eastAsia" w:ascii="宋体" w:hAnsi="宋体" w:eastAsia="宋体" w:cs="宋体"/>
                <w:i w:val="0"/>
                <w:iCs w:val="0"/>
                <w:color w:val="auto"/>
                <w:sz w:val="24"/>
                <w:szCs w:val="24"/>
                <w:u w:val="none"/>
                <w:lang w:val="en-US" w:eastAsia="zh-CN" w:bidi="ar"/>
              </w:rPr>
              <w:t xml:space="preserve">项中“视频演示”所要求的现场采集文物三维数据</w:t>
            </w:r>
            <w:r>
              <w:rPr>
                <w:rFonts w:hint="eastAsia" w:ascii="宋体" w:hAnsi="宋体" w:cs="宋体"/>
                <w:i w:val="0"/>
                <w:iCs w:val="0"/>
                <w:color w:val="auto"/>
                <w:sz w:val="24"/>
                <w:szCs w:val="24"/>
                <w:u w:val="none"/>
                <w:lang w:val="en-US" w:eastAsia="zh-CN" w:bidi="ar"/>
              </w:rPr>
              <w:t xml:space="preserve">的</w:t>
            </w:r>
            <w:r>
              <w:rPr>
                <w:rFonts w:hint="eastAsia" w:ascii="宋体" w:hAnsi="宋体" w:eastAsia="宋体" w:cs="宋体"/>
                <w:i w:val="0"/>
                <w:iCs w:val="0"/>
                <w:color w:val="auto"/>
                <w:sz w:val="24"/>
                <w:szCs w:val="24"/>
                <w:u w:val="none"/>
                <w:lang w:val="en-US" w:eastAsia="zh-CN" w:bidi="ar"/>
              </w:rPr>
              <w:t xml:space="preserve">成果进行演示，具体演示内容如下：</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演示成果数据完整性</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演示要求：提交的采集成果包含存档数据、应用数据（含高网格面纹理模型、低网格面纹理模型）等不同级别数据，每类数据均需在视频中逐一展示文件列表及内容。</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评委根据上传的演示视频进行评分：完整展示存档数据得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分，完整展示应用数据（高网格面+低网格面）得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分，本条最高得</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分。未演示的该功能项不得分。</w:t>
            </w:r>
            <w:r/>
          </w:p>
          <w:p>
            <w:pPr>
              <w:ind w:firstLine="480"/>
              <w:keepLines w:val="0"/>
              <w:keepNext w:val="0"/>
              <w:pageBreakBefore w:val="0"/>
              <w:spacing w:line="400" w:lineRule="exact"/>
              <w:widowControl/>
              <w:rPr>
                <w:rFonts w:hint="default" w:ascii="宋体" w:hAnsi="宋体" w:eastAsia="宋体" w:cs="宋体"/>
                <w:i w:val="0"/>
                <w:iCs w:val="0"/>
                <w:color w:val="auto"/>
                <w:sz w:val="24"/>
                <w:szCs w:val="24"/>
                <w:u w:val="none"/>
                <w:lang w:val="en-US" w:eastAsia="zh-CN" w:bidi="ar"/>
              </w:rPr>
            </w:pP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演示</w:t>
            </w:r>
            <w:r>
              <w:rPr>
                <w:rFonts w:hint="eastAsia" w:ascii="宋体" w:hAnsi="宋体" w:cs="宋体"/>
                <w:i w:val="0"/>
                <w:iCs w:val="0"/>
                <w:color w:val="auto"/>
                <w:sz w:val="24"/>
                <w:szCs w:val="24"/>
                <w:u w:val="none"/>
                <w:lang w:val="en-US" w:eastAsia="zh-CN" w:bidi="ar"/>
              </w:rPr>
              <w:t xml:space="preserve">成果质量</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①演示模型格式、网格质量及模型完整度</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演示要求：网格模型为obj等通用格式，不包含除文物之外的多余部分，无变形、叠面、交叉面、异常突出面；存档数据模型完整度大于等于95%，应用数据模型完整度为100%</w:t>
            </w:r>
            <w:bookmarkStart w:id="169" w:name="_GoBack"/>
            <w:r/>
            <w:bookmarkEnd w:id="169"/>
            <w:r>
              <w:rPr>
                <w:rFonts w:hint="eastAsia" w:ascii="宋体" w:hAnsi="宋体" w:eastAsia="宋体" w:cs="宋体"/>
                <w:i w:val="0"/>
                <w:iCs w:val="0"/>
                <w:color w:val="auto"/>
                <w:sz w:val="24"/>
                <w:szCs w:val="24"/>
                <w:u w:val="none"/>
                <w:lang w:val="en-US" w:eastAsia="zh-CN" w:bidi="ar"/>
              </w:rPr>
              <w:t xml:space="preserve">。视频中需对模型进行360度旋转展示并局部放大检查网格质量，同时通过模型视角切换展示模型的完整程度，对缺失或孔洞位置进行说明。</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cs="宋体"/>
                <w:i w:val="0"/>
                <w:iCs w:val="0"/>
                <w:color w:val="auto"/>
                <w:sz w:val="24"/>
                <w:szCs w:val="24"/>
                <w:u w:val="none"/>
                <w:lang w:val="en-US" w:eastAsia="zh-CN" w:bidi="ar"/>
              </w:rPr>
              <w:t xml:space="preserve">②</w:t>
            </w:r>
            <w:r>
              <w:rPr>
                <w:rFonts w:hint="eastAsia" w:ascii="宋体" w:hAnsi="宋体" w:eastAsia="宋体" w:cs="宋体"/>
                <w:i w:val="0"/>
                <w:iCs w:val="0"/>
                <w:color w:val="auto"/>
                <w:sz w:val="24"/>
                <w:szCs w:val="24"/>
                <w:u w:val="none"/>
                <w:lang w:val="en-US" w:eastAsia="zh-CN" w:bidi="ar"/>
              </w:rPr>
              <w:t xml:space="preserve">演示贴图分辨率</w:t>
            </w:r>
            <w:r/>
          </w:p>
          <w:p>
            <w:pPr>
              <w:ind w:firstLine="480"/>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演示要求：</w:t>
            </w:r>
            <w:r>
              <w:rPr>
                <w:rFonts w:ascii="SimSun" w:hAnsi="SimSun" w:eastAsia="SimSun" w:cs="SimSun"/>
                <w:color w:val="000000"/>
                <w:sz w:val="24"/>
              </w:rPr>
              <w:t xml:space="preserve">存档数据贴图分辨率大于等于300dpi；应用数据高网格面纹理模型的纹理贴图分辨率不低于0.5倍存档纹理模型的纹理贴图分辨率；应用数据低网格面纹理模型的纹理贴图分辨率不低于4096×4096像素。视频中需展示纹理贴图的属性信息或通过软件截图显示分辨率，同时对比展示两套模型的纹理贴图分辨率</w:t>
            </w:r>
            <w:r>
              <w:rPr>
                <w:rFonts w:hint="eastAsia" w:ascii="宋体" w:hAnsi="宋体" w:eastAsia="宋体" w:cs="宋体"/>
                <w:i w:val="0"/>
                <w:iCs w:val="0"/>
                <w:color w:val="auto"/>
                <w:sz w:val="24"/>
                <w:szCs w:val="24"/>
                <w:u w:val="none"/>
                <w:lang w:val="en-US" w:eastAsia="zh-CN" w:bidi="ar"/>
              </w:rPr>
              <w:t xml:space="preserve">。</w:t>
            </w:r>
            <w:r/>
          </w:p>
          <w:p>
            <w:pPr>
              <w:ind w:firstLine="480"/>
              <w:keepLines w:val="0"/>
              <w:keepNext w:val="0"/>
              <w:pageBreakBefore w:val="0"/>
              <w:spacing w:line="400" w:lineRule="exact"/>
              <w:widowControl/>
              <w:rPr>
                <w:rFonts w:hint="eastAsia" w:ascii="Times New Roman" w:hAnsi="Times New Roman" w:eastAsia="宋体" w:cs="Times New Roman"/>
                <w:color w:val="auto"/>
                <w:sz w:val="24"/>
                <w:szCs w:val="24"/>
                <w:lang w:val="en-US" w:eastAsia="zh-CN"/>
              </w:rPr>
            </w:pPr>
            <w:r>
              <w:rPr>
                <w:rFonts w:hint="eastAsia" w:ascii="宋体" w:hAnsi="宋体" w:eastAsia="宋体" w:cs="宋体"/>
                <w:i w:val="0"/>
                <w:iCs w:val="0"/>
                <w:color w:val="auto"/>
                <w:sz w:val="24"/>
                <w:szCs w:val="24"/>
                <w:u w:val="none"/>
                <w:lang w:val="en-US" w:eastAsia="zh-CN" w:bidi="ar"/>
              </w:rPr>
              <w:t xml:space="preserve">评委根据上传的演示视频进行评分：每成功演示一项功能得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cs="宋体"/>
                <w:i w:val="0"/>
                <w:iCs w:val="0"/>
                <w:color w:val="auto"/>
                <w:sz w:val="24"/>
                <w:szCs w:val="24"/>
                <w:u w:val="none"/>
                <w:lang w:val="en-US" w:eastAsia="zh-CN" w:bidi="ar"/>
              </w:rPr>
              <w:t xml:space="preserve">两</w:t>
            </w:r>
            <w:r>
              <w:rPr>
                <w:rFonts w:hint="eastAsia" w:ascii="宋体" w:hAnsi="宋体" w:eastAsia="宋体" w:cs="宋体"/>
                <w:i w:val="0"/>
                <w:iCs w:val="0"/>
                <w:color w:val="auto"/>
                <w:sz w:val="24"/>
                <w:szCs w:val="24"/>
                <w:u w:val="none"/>
                <w:lang w:val="en-US" w:eastAsia="zh-CN" w:bidi="ar"/>
              </w:rPr>
              <w:t xml:space="preserve">项功能全部成功演示得</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分。单项功能未演示的</w:t>
            </w:r>
            <w:r>
              <w:rPr>
                <w:rFonts w:hint="eastAsia" w:ascii="宋体" w:hAnsi="宋体" w:cs="宋体"/>
                <w:i w:val="0"/>
                <w:iCs w:val="0"/>
                <w:color w:val="auto"/>
                <w:sz w:val="24"/>
                <w:szCs w:val="24"/>
                <w:u w:val="none"/>
                <w:lang w:val="en-US" w:eastAsia="zh-CN" w:bidi="ar"/>
              </w:rPr>
              <w:t xml:space="preserve">或不符合要求的</w:t>
            </w:r>
            <w:r>
              <w:rPr>
                <w:rFonts w:hint="eastAsia" w:ascii="宋体" w:hAnsi="宋体" w:eastAsia="宋体" w:cs="宋体"/>
                <w:i w:val="0"/>
                <w:iCs w:val="0"/>
                <w:color w:val="auto"/>
                <w:sz w:val="24"/>
                <w:szCs w:val="24"/>
                <w:u w:val="none"/>
                <w:lang w:val="en-US" w:eastAsia="zh-CN" w:bidi="ar"/>
              </w:rPr>
              <w:t xml:space="preserve">，该功能项不得分。</w:t>
            </w:r>
            <w:r/>
          </w:p>
        </w:tc>
        <w:tc>
          <w:tcPr>
            <w:tcBorders>
              <w:top w:val="single" w:color="auto" w:sz="4" w:space="0"/>
            </w:tcBorders>
            <w:tcW w:w="410" w:type="pct"/>
            <w:vAlign w:val="center"/>
            <w:textDirection w:val="lrTb"/>
            <w:noWrap w:val="false"/>
          </w:tcPr>
          <w:p>
            <w:pPr>
              <w:ind w:firstLine="0"/>
              <w:jc w:val="center"/>
              <w:keepLines w:val="0"/>
              <w:keepNext w:val="0"/>
              <w:pageBreakBefore w:val="0"/>
              <w:spacing w:line="400" w:lineRule="exact"/>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23"/>
        </w:trPr>
        <w:tc>
          <w:tcPr>
            <w:gridSpan w:val="3"/>
            <w:tcW w:w="4589"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410"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100</w:t>
            </w:r>
            <w:r/>
          </w:p>
        </w:tc>
      </w:tr>
    </w:tbl>
    <w:p>
      <w:pPr>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0"/>
        <w:spacing w:line="400" w:lineRule="exact"/>
        <w:rPr>
          <w:rFonts w:hint="eastAsia" w:ascii="宋体" w:hAnsi="宋体" w:eastAsia="宋体" w:cs="宋体"/>
          <w:b/>
          <w:bCs/>
          <w:sz w:val="24"/>
        </w:rPr>
      </w:pPr>
      <w:r>
        <w:rPr>
          <w:rFonts w:hint="eastAsia" w:ascii="宋体" w:hAnsi="宋体" w:eastAsia="宋体" w:cs="宋体"/>
          <w:b/>
          <w:bCs/>
          <w:sz w:val="24"/>
        </w:rPr>
        <w:t xml:space="preserve">注：</w:t>
      </w:r>
      <w:r/>
    </w:p>
    <w:p>
      <w:p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①视频演示：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r/>
    </w:p>
    <w:p>
      <w:p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②投标人对所提供资料的真实性负责。采购人保留对中标单位所有资料进行复核的权利。如有弄虚作假者，一经发现，立即取消其中标资格，并向相关主管部门汇报。</w:t>
      </w:r>
      <w:r/>
    </w:p>
    <w:p>
      <w:pPr>
        <w:rPr>
          <w:rFonts w:hint="eastAsia" w:ascii="宋体" w:hAnsi="宋体" w:eastAsia="宋体" w:cs="宋体"/>
          <w:color w:val="auto"/>
          <w:sz w:val="44"/>
          <w:szCs w:val="44"/>
          <w:lang w:val="en-US" w:eastAsia="zh-CN" w:bidi="ar-SA"/>
        </w:rPr>
      </w:pPr>
      <w:r>
        <w:rPr>
          <w:rFonts w:hint="eastAsia" w:ascii="宋体" w:hAnsi="宋体" w:eastAsia="宋体" w:cs="宋体"/>
          <w:color w:val="auto"/>
          <w:sz w:val="44"/>
          <w:szCs w:val="44"/>
          <w:lang w:val="en-US" w:eastAsia="zh-CN" w:bidi="ar-SA"/>
        </w:rPr>
      </w:r>
      <w:r/>
    </w:p>
    <w:p>
      <w:pPr>
        <w:rPr>
          <w:rFonts w:hint="eastAsia" w:ascii="宋体" w:hAnsi="宋体" w:eastAsia="宋体" w:cs="宋体"/>
          <w:b/>
          <w:bCs/>
          <w:color w:val="auto"/>
          <w:sz w:val="44"/>
          <w:szCs w:val="44"/>
          <w:lang w:val="en-US" w:eastAsia="zh-CN" w:bidi="ar-SA"/>
        </w:rPr>
      </w:pPr>
      <w:r>
        <w:rPr>
          <w:rFonts w:hint="eastAsia" w:ascii="宋体" w:hAnsi="宋体" w:eastAsia="宋体" w:cs="宋体"/>
          <w:b/>
          <w:bCs/>
          <w:color w:val="auto"/>
          <w:sz w:val="44"/>
          <w:szCs w:val="44"/>
          <w:lang w:val="en-US" w:eastAsia="zh-CN" w:bidi="ar-SA"/>
        </w:rPr>
        <w:br w:type="page" w:clear="all"/>
      </w: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lang w:val="en-US" w:eastAsia="zh-CN" w:bidi="ar-SA"/>
        </w:rPr>
        <w:t xml:space="preserve">第六章</w:t>
      </w:r>
      <w:r>
        <w:rPr>
          <w:rFonts w:hint="eastAsia" w:ascii="宋体" w:hAnsi="宋体" w:eastAsia="宋体" w:cs="宋体"/>
          <w:b/>
          <w:bCs/>
          <w:color w:val="auto"/>
          <w:sz w:val="44"/>
          <w:szCs w:val="44"/>
          <w:highlight w:val="none"/>
          <w:lang w:val="en-US" w:eastAsia="zh-CN"/>
        </w:rPr>
        <w:t xml:space="preserve"> </w:t>
      </w:r>
      <w:bookmarkStart w:id="149" w:name="_Toc29394"/>
      <w:r>
        <w:rPr>
          <w:rFonts w:hint="eastAsia" w:ascii="宋体" w:hAnsi="宋体" w:eastAsia="宋体" w:cs="宋体"/>
          <w:b/>
          <w:bCs/>
          <w:color w:val="auto"/>
          <w:sz w:val="44"/>
          <w:szCs w:val="44"/>
          <w:highlight w:val="none"/>
        </w:rPr>
        <w:t xml:space="preserve">投标文件格式</w:t>
      </w:r>
      <w:bookmarkEnd w:id="149"/>
      <w:r/>
      <w:r/>
    </w:p>
    <w:p>
      <w:pPr>
        <w:jc w:val="center"/>
        <w:rPr>
          <w:rFonts w:hint="eastAsia" w:ascii="宋体" w:hAnsi="宋体" w:eastAsia="宋体" w:cs="宋体"/>
          <w:b/>
          <w:bCs/>
          <w:color w:val="auto"/>
          <w:sz w:val="72"/>
          <w:szCs w:val="21"/>
          <w:highlight w:val="none"/>
        </w:rPr>
      </w:pPr>
      <w:r>
        <w:rPr>
          <w:rFonts w:hint="eastAsia" w:ascii="宋体" w:hAnsi="宋体" w:eastAsia="宋体" w:cs="宋体"/>
          <w:b/>
          <w:bCs/>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 </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pStyle w:val="996"/>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           </w:t>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813"/>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13"/>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996"/>
        <w:ind w:firstLine="0"/>
        <w:spacing w:before="0" w:after="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95"/>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13"/>
        <w:jc w:val="center"/>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813"/>
        <w:ind w:firstLine="480"/>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bookmarkStart w:id="150" w:name="_Toc24878535"/>
      <w:r/>
      <w:bookmarkStart w:id="151" w:name="_Toc120614291"/>
      <w:r/>
      <w:bookmarkStart w:id="152" w:name="_Toc120614284"/>
      <w:r/>
      <w:bookmarkStart w:id="153" w:name="_Toc513029281"/>
      <w:r/>
      <w:bookmarkStart w:id="154" w:name="_Toc49090582"/>
      <w:r/>
      <w:bookmarkStart w:id="155" w:name="_Toc26554103"/>
      <w:r/>
      <w:bookmarkStart w:id="156" w:name="_Toc23828483"/>
      <w:r/>
      <w:bookmarkStart w:id="157" w:name="_Toc22356583"/>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rPr>
        <w:t xml:space="preserve">二、上一年度的财务状况报</w:t>
      </w:r>
      <w:r>
        <w:rPr>
          <w:rFonts w:hint="eastAsia" w:ascii="宋体" w:hAnsi="宋体" w:cs="宋体"/>
          <w:i w:val="0"/>
          <w:iCs/>
          <w:color w:val="auto"/>
          <w:sz w:val="24"/>
          <w:szCs w:val="24"/>
          <w:highlight w:val="none"/>
          <w:u w:val="none"/>
          <w:lang w:eastAsia="zh-CN"/>
        </w:rPr>
        <w:t xml:space="preserve">告</w:t>
      </w:r>
      <w:r>
        <w:rPr>
          <w:rFonts w:hint="eastAsia" w:ascii="宋体" w:hAnsi="宋体" w:eastAsia="宋体" w:cs="宋体"/>
          <w:i w:val="0"/>
          <w:iCs/>
          <w:color w:val="auto"/>
          <w:sz w:val="24"/>
          <w:szCs w:val="24"/>
          <w:highlight w:val="none"/>
          <w:u w:val="none"/>
        </w:rPr>
        <w:t xml:space="preserve">（</w:t>
      </w:r>
      <w:r>
        <w:rPr>
          <w:rFonts w:hint="eastAsia" w:asciiTheme="minorEastAsia" w:hAnsiTheme="minorEastAsia" w:eastAsiaTheme="minorEastAsia" w:cstheme="minorEastAsia"/>
          <w:color w:val="auto"/>
          <w:sz w:val="24"/>
          <w:highlight w:val="none"/>
        </w:rPr>
        <w:t xml:space="preserve">至少提供资产负债表、利润表、现金流量表，投标人成立不满一年无需提供</w:t>
      </w:r>
      <w:r>
        <w:rPr>
          <w:rFonts w:hint="eastAsia" w:ascii="宋体" w:hAnsi="宋体" w:eastAsia="宋体" w:cs="宋体"/>
          <w:i w:val="0"/>
          <w:iCs/>
          <w:color w:val="auto"/>
          <w:sz w:val="24"/>
          <w:szCs w:val="24"/>
          <w:highlight w:val="none"/>
          <w:u w:val="none"/>
        </w:rPr>
        <w:t xml:space="preserve">）</w:t>
      </w:r>
      <w:r/>
    </w:p>
    <w:p>
      <w:pPr>
        <w:pStyle w:val="813"/>
        <w:ind w:firstLine="480"/>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三、具备履行合同所必需的设备和专业技术能力的书面声明</w:t>
      </w:r>
      <w:r/>
    </w:p>
    <w:p>
      <w:pPr>
        <w:pStyle w:val="813"/>
        <w:ind w:firstLine="480"/>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3"/>
        <w:ind w:firstLine="480"/>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九、中小企业声明函</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Theme="minorEastAsia" w:hAnsiTheme="minorEastAsia" w:cstheme="minorEastAsia"/>
          <w:sz w:val="24"/>
        </w:rPr>
        <w:t xml:space="preserve">十一、关于符合本国产品标准的声明函</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、投标分项报价表</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、项目团队人员一览表</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w:t>
      </w:r>
      <w:r>
        <w:rPr>
          <w:rFonts w:hint="eastAsia" w:cs="宋体"/>
          <w:i w:val="0"/>
          <w:iCs/>
          <w:color w:val="auto"/>
          <w:highlight w:val="none"/>
          <w:u w:val="none"/>
          <w:lang w:eastAsia="zh-CN"/>
        </w:rPr>
        <w:t xml:space="preserve">服务方案</w:t>
      </w:r>
      <w:r>
        <w:rPr>
          <w:rFonts w:hint="eastAsia" w:ascii="宋体" w:hAnsi="宋体" w:eastAsia="宋体" w:cs="宋体"/>
          <w:i w:val="0"/>
          <w:iCs/>
          <w:color w:val="auto"/>
          <w:highlight w:val="none"/>
          <w:u w:val="none"/>
        </w:rPr>
        <w:t xml:space="preserve">等</w:t>
      </w:r>
      <w:r/>
    </w:p>
    <w:p>
      <w:pPr>
        <w:pStyle w:val="813"/>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813"/>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813"/>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81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jc w:val="both"/>
        <w:spacing w:beforeAutospacing="0" w:afterAutospacing="0"/>
        <w:rPr>
          <w:rFonts w:hint="eastAsia" w:ascii="宋体" w:hAnsi="宋体" w:eastAsia="宋体" w:cs="宋体"/>
          <w:b/>
          <w:bCs/>
          <w:i/>
          <w:color w:val="auto"/>
          <w:sz w:val="32"/>
          <w:szCs w:val="32"/>
          <w:highlight w:val="none"/>
          <w:u w:val="single"/>
          <w:lang w:val="en-US" w:eastAsia="zh-CN"/>
        </w:rPr>
        <w:outlineLvl w:val="1"/>
      </w:pPr>
      <w:r>
        <w:rPr>
          <w:rFonts w:hint="eastAsia" w:ascii="宋体" w:hAnsi="宋体" w:eastAsia="宋体" w:cs="宋体"/>
          <w:i/>
          <w:color w:val="auto"/>
          <w:sz w:val="32"/>
          <w:szCs w:val="32"/>
          <w:highlight w:val="none"/>
          <w:u w:val="single"/>
        </w:rPr>
        <w:t xml:space="preserve">二、上一年度的财务状况报</w:t>
      </w:r>
      <w:r>
        <w:rPr>
          <w:rFonts w:hint="eastAsia" w:cs="宋体"/>
          <w:b w:val="0"/>
          <w:bCs w:val="0"/>
          <w:i/>
          <w:color w:val="auto"/>
          <w:sz w:val="32"/>
          <w:szCs w:val="32"/>
          <w:highlight w:val="none"/>
          <w:u w:val="single"/>
          <w:lang w:val="en-US" w:eastAsia="zh-CN"/>
        </w:rPr>
        <w:t xml:space="preserve">告</w:t>
      </w:r>
      <w:r/>
    </w:p>
    <w:p>
      <w:pPr>
        <w:pStyle w:val="813"/>
        <w:ind w:firstLine="492"/>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（至少提供资产负债表、利润表、现金流量表，投标人成立不满一年无需提供</w:t>
      </w:r>
      <w:r>
        <w:rPr>
          <w:rFonts w:hint="eastAsia" w:ascii="宋体" w:hAnsi="宋体" w:eastAsia="宋体" w:cs="宋体"/>
          <w:color w:val="auto"/>
          <w:highlight w:val="none"/>
          <w:lang w:val="en-US" w:eastAsia="zh-CN"/>
        </w:rPr>
        <w:t xml:space="preserve">）</w:t>
      </w:r>
      <w:r/>
    </w:p>
    <w:p>
      <w:pPr>
        <w:pStyle w:val="813"/>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813"/>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13"/>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1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13"/>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r>
      <w:r/>
    </w:p>
    <w:p>
      <w:pPr>
        <w:pStyle w:val="813"/>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81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81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六、特定资格要求的证明文件</w:t>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center"/>
        <w:keepLines w:val="0"/>
        <w:keepNext w:val="0"/>
        <w:pageBreakBefore w:val="0"/>
        <w:spacing w:before="0" w:beforeAutospacing="0" w:after="0" w:afterAutospacing="0" w:line="500" w:lineRule="exact"/>
        <w:widowControl/>
        <w:rPr>
          <w:rFonts w:hint="eastAsia" w:ascii="宋体" w:hAnsi="宋体" w:eastAsia="宋体" w:cs="宋体"/>
          <w:b/>
          <w:bCs/>
          <w:i/>
          <w:iCs w:val="0"/>
          <w:color w:val="auto"/>
          <w:highlight w:val="none"/>
          <w:u w:val="single"/>
        </w:rPr>
        <w:outlineLvl w:val="1"/>
      </w:pPr>
      <w:r>
        <w:rPr>
          <w:rFonts w:hint="eastAsia" w:ascii="宋体" w:hAnsi="宋体" w:eastAsia="宋体" w:cs="宋体"/>
          <w:b/>
          <w:bCs/>
          <w:i/>
          <w:iCs w:val="0"/>
          <w:color w:val="auto"/>
          <w:sz w:val="32"/>
          <w:szCs w:val="32"/>
          <w:highlight w:val="none"/>
          <w:u w:val="single"/>
        </w:rPr>
        <w:t xml:space="preserve">七、法人授权书</w:t>
      </w:r>
      <w:r/>
    </w:p>
    <w:p>
      <w:pPr>
        <w:pStyle w:val="81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cs="宋体"/>
          <w:color w:val="auto"/>
          <w:sz w:val="24"/>
          <w:highlight w:val="none"/>
          <w:u w:val="single"/>
          <w:lang w:val="en-US" w:eastAsia="zh-CN"/>
        </w:rPr>
        <w:t xml:space="preserve">JSZC-320900-YCLX-G2026-0009</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1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13"/>
        <w:ind w:firstLine="480"/>
        <w:jc w:val="left"/>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1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81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13"/>
        <w:ind w:firstLine="480"/>
        <w:jc w:val="left"/>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rPr>
          <w:rFonts w:hint="eastAsia" w:ascii="宋体" w:hAnsi="宋体" w:eastAsia="宋体" w:cs="宋体"/>
          <w:color w:val="auto"/>
          <w:highlight w:val="none"/>
          <w:lang w:val="en-US" w:eastAsia="zh-CN"/>
        </w:rPr>
        <w:t xml:space="preserve">地址</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81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日期</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keepLines w:val="0"/>
        <w:keepNext w:val="0"/>
        <w:pageBreakBefore w:val="0"/>
        <w:spacing w:beforeAutospacing="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法定代表人及被授权人身份证</w:t>
      </w:r>
      <w:r>
        <w:rPr>
          <w:rFonts w:hint="eastAsia" w:ascii="宋体" w:hAnsi="宋体" w:eastAsia="宋体" w:cs="宋体"/>
          <w:color w:val="auto"/>
          <w:highlight w:val="none"/>
          <w:lang w:val="en-US" w:eastAsia="zh-CN"/>
        </w:rPr>
        <w:t xml:space="preserve">复印件</w:t>
      </w:r>
      <w:r>
        <w:rPr>
          <w:rFonts w:hint="eastAsia" w:ascii="宋体" w:hAnsi="宋体" w:eastAsia="宋体" w:cs="宋体"/>
          <w:color w:val="auto"/>
          <w:highlight w:val="none"/>
        </w:rPr>
        <w:t xml:space="preserve">：</w:t>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
          <w:iCs w:val="0"/>
          <w:color w:val="auto"/>
          <w:sz w:val="32"/>
          <w:szCs w:val="32"/>
          <w:highlight w:val="none"/>
          <w:u w:val="single"/>
        </w:rPr>
      </w:pPr>
      <w:r>
        <w:rPr>
          <w:rFonts w:hint="eastAsia" w:ascii="宋体" w:hAnsi="宋体" w:eastAsia="宋体" w:cs="宋体"/>
          <w:b/>
          <w:i/>
          <w:iCs w:val="0"/>
          <w:color w:val="auto"/>
          <w:sz w:val="32"/>
          <w:szCs w:val="32"/>
          <w:highlight w:val="none"/>
          <w:u w:val="single"/>
        </w:rPr>
        <w:br w:type="page" w:clear="all"/>
      </w:r>
      <w:r/>
    </w:p>
    <w:p>
      <w:pPr>
        <w:pStyle w:val="813"/>
        <w:jc w:val="center"/>
        <w:keepLines/>
        <w:keepNext/>
        <w:spacing w:before="260" w:beforeAutospacing="0" w:after="260" w:afterAutospacing="0" w:line="415" w:lineRule="auto"/>
        <w:rPr>
          <w:rFonts w:hint="eastAsia" w:ascii="宋体" w:hAnsi="宋体" w:eastAsia="宋体" w:cs="宋体"/>
          <w:i/>
          <w:iCs w:val="0"/>
          <w:color w:val="auto"/>
          <w:highlight w:val="none"/>
          <w:u w:val="single"/>
        </w:rPr>
        <w:outlineLvl w:val="1"/>
      </w:pPr>
      <w:r>
        <w:rPr>
          <w:rFonts w:hint="eastAsia" w:ascii="宋体" w:hAnsi="宋体" w:eastAsia="宋体" w:cs="宋体"/>
          <w:b/>
          <w:i/>
          <w:iCs w:val="0"/>
          <w:color w:val="auto"/>
          <w:sz w:val="32"/>
          <w:szCs w:val="32"/>
          <w:highlight w:val="none"/>
          <w:u w:val="single"/>
        </w:rPr>
        <w:t xml:space="preserve">八、投标函</w:t>
      </w:r>
      <w:r/>
    </w:p>
    <w:p>
      <w:pPr>
        <w:pStyle w:val="813"/>
        <w:keepLines w:val="0"/>
        <w:keepNext w:val="0"/>
        <w:pageBreakBefore w:val="0"/>
        <w:spacing w:before="0" w:beforeAutospacing="0" w:after="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cs="宋体"/>
          <w:color w:val="auto"/>
          <w:highlight w:val="none"/>
          <w:lang w:val="en-US" w:eastAsia="zh-CN"/>
        </w:rPr>
        <w:t xml:space="preserve">盐城中国海盐博物馆</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cs="宋体"/>
          <w:color w:val="auto"/>
          <w:sz w:val="24"/>
          <w:highlight w:val="none"/>
          <w:u w:val="single"/>
          <w:lang w:val="en-US" w:eastAsia="zh-CN"/>
        </w:rPr>
        <w:t xml:space="preserve">JSZC-320900-YCLX-G2026-0009</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编：</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 </w:t>
      </w:r>
      <w:r/>
    </w:p>
    <w:p>
      <w:pPr>
        <w:pStyle w:val="813"/>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805"/>
        <w:ind w:left="0" w:firstLine="422"/>
        <w:keepLines w:val="0"/>
        <w:keepNext w:val="0"/>
        <w:pageBreakBefore w:val="0"/>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05"/>
        <w:ind w:left="0" w:firstLine="422"/>
        <w:keepLines w:val="0"/>
        <w:keepNext w:val="0"/>
        <w:pageBreakBefore w:val="0"/>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br w:type="page" w:clear="all"/>
      </w:r>
      <w:r/>
    </w:p>
    <w:p>
      <w:pPr>
        <w:numPr>
          <w:ilvl w:val="0"/>
          <w:numId w:val="0"/>
        </w:numPr>
        <w:jc w:val="center"/>
        <w:spacing w:line="560" w:lineRule="exact"/>
        <w:rPr>
          <w:rFonts w:hint="eastAsia" w:ascii="宋体" w:hAnsi="宋体" w:eastAsia="宋体" w:cs="宋体"/>
          <w:b/>
          <w:bCs/>
          <w:color w:val="auto"/>
          <w:sz w:val="32"/>
          <w:szCs w:val="32"/>
          <w:highlight w:val="none"/>
          <w:lang w:val="en-US" w:eastAsia="zh-CN"/>
        </w:rPr>
        <w:outlineLvl w:val="1"/>
      </w:pPr>
      <w:r>
        <w:rPr>
          <w:rFonts w:hint="eastAsia" w:ascii="宋体" w:hAnsi="宋体" w:eastAsia="宋体" w:cs="宋体"/>
          <w:b/>
          <w:bCs/>
          <w:color w:val="auto"/>
          <w:sz w:val="32"/>
          <w:szCs w:val="32"/>
          <w:lang w:val="en-US" w:eastAsia="zh-CN" w:bidi="ar-SA"/>
        </w:rPr>
        <w:t xml:space="preserve">九、</w:t>
      </w:r>
      <w:r>
        <w:rPr>
          <w:rFonts w:hint="eastAsia" w:ascii="宋体" w:hAnsi="宋体" w:eastAsia="宋体" w:cs="宋体"/>
          <w:b/>
          <w:bCs/>
          <w:color w:val="auto"/>
          <w:sz w:val="32"/>
          <w:szCs w:val="32"/>
          <w:highlight w:val="none"/>
          <w:lang w:eastAsia="zh-CN"/>
        </w:rPr>
        <w:t xml:space="preserve">中小企业声明函（服务）</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lang w:eastAsia="zh-CN"/>
        </w:rPr>
        <w:t xml:space="preserve">盐城中国海盐博物馆</w:t>
      </w:r>
      <w:r>
        <w:rPr>
          <w:rFonts w:hint="eastAsia" w:ascii="宋体" w:hAnsi="宋体" w:eastAsia="宋体" w:cs="宋体"/>
          <w:color w:val="auto"/>
          <w:sz w:val="24"/>
          <w:highlight w:val="none"/>
        </w:rPr>
        <w:t xml:space="preserve">组织的采购编号为</w:t>
      </w:r>
      <w:r>
        <w:rPr>
          <w:rFonts w:hint="eastAsia" w:ascii="宋体" w:hAnsi="宋体" w:cs="宋体"/>
          <w:color w:val="auto"/>
          <w:sz w:val="24"/>
          <w:highlight w:val="none"/>
          <w:u w:val="single"/>
          <w:lang w:val="en-US" w:eastAsia="zh-CN"/>
        </w:rPr>
        <w:t xml:space="preserve">JSZC-320900-YCLX-G2026-0009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cs="宋体"/>
          <w:i w:val="0"/>
          <w:iCs w:val="0"/>
          <w:color w:val="auto"/>
          <w:sz w:val="24"/>
          <w:highlight w:val="none"/>
          <w:u w:val="single"/>
          <w:lang w:eastAsia="zh-CN"/>
        </w:rPr>
        <w:t xml:space="preserve">盐城中国海盐博物馆可移动文物数字化保护利用项目</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3"/>
        </w:numPr>
        <w:ind w:lef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13"/>
        <w:ind w:right="72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ind w:right="180" w:firstLine="360"/>
        <w:jc w:val="righ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13"/>
        <w:ind w:right="480" w:firstLine="540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13"/>
        <w:ind w:firstLine="24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13"/>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1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numPr>
          <w:ilvl w:val="0"/>
          <w:numId w:val="0"/>
        </w:numPr>
        <w:jc w:val="center"/>
        <w:spacing w:line="56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残疾人福利性单位声明函</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13"/>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813"/>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13"/>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13"/>
        <w:ind w:firstLine="480"/>
        <w:jc w:val="both"/>
        <w:keepLines w:val="0"/>
        <w:keepNext w:val="0"/>
        <w:pageBreakBefore w:val="0"/>
        <w:spacing w:beforeAutospacing="0" w:afterAutospacing="0" w:line="50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13"/>
        <w:ind w:firstLine="480"/>
        <w:jc w:val="both"/>
        <w:keepLines w:val="0"/>
        <w:keepNext w:val="0"/>
        <w:pageBreakBefore w:val="0"/>
        <w:spacing w:beforeAutospacing="0" w:afterAutospacing="0" w:line="50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813"/>
        <w:ind w:firstLine="624"/>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13"/>
        <w:ind w:right="0" w:firstLine="624"/>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供应商全称（加盖CA电子公章）：</w:t>
      </w:r>
      <w:r/>
    </w:p>
    <w:p>
      <w:pPr>
        <w:pStyle w:val="813"/>
        <w:ind w:right="0" w:firstLine="480"/>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w:t>
      </w:r>
      <w:bookmarkEnd w:id="141"/>
      <w:r/>
      <w:bookmarkEnd w:id="142"/>
      <w:r/>
      <w:bookmarkEnd w:id="143"/>
      <w:r/>
      <w:bookmarkEnd w:id="150"/>
      <w:r/>
      <w:bookmarkEnd w:id="151"/>
      <w:r/>
      <w:bookmarkEnd w:id="152"/>
      <w:r/>
      <w:bookmarkEnd w:id="153"/>
      <w:r/>
      <w:bookmarkEnd w:id="154"/>
      <w:r/>
      <w:bookmarkEnd w:id="155"/>
      <w:r/>
      <w:bookmarkEnd w:id="156"/>
      <w:r/>
      <w:bookmarkEnd w:id="157"/>
      <w:r/>
      <w:r/>
    </w:p>
    <w:p>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br w:type="page" w:clear="all"/>
      </w:r>
      <w:r/>
    </w:p>
    <w:p>
      <w:pPr>
        <w:pStyle w:val="813"/>
        <w:jc w:val="center"/>
        <w:spacing w:beforeAutospacing="0" w:afterAutospacing="0"/>
        <w:widowControl w:val="off"/>
        <w:rPr>
          <w:color w:val="ff0000"/>
        </w:rPr>
        <w:outlineLvl w:val="1"/>
      </w:pPr>
      <w:r>
        <w:rPr>
          <w:rFonts w:ascii="黑体" w:hAnsi="宋体" w:eastAsia="黑体" w:cs="黑体"/>
          <w:b/>
          <w:bCs/>
          <w:color w:val="ff0000"/>
          <w:sz w:val="32"/>
          <w:szCs w:val="32"/>
        </w:rPr>
        <w:t xml:space="preserve">十一、关于符合本国产品标准的声明函</w:t>
      </w:r>
      <w:r/>
    </w:p>
    <w:p>
      <w:pPr>
        <w:pStyle w:val="813"/>
        <w:ind w:firstLine="420"/>
        <w:jc w:val="both"/>
        <w:spacing w:beforeAutospacing="0" w:afterAutospacing="0"/>
        <w:widowControl w:val="off"/>
        <w:rPr>
          <w:color w:val="ff0000"/>
        </w:rPr>
      </w:pPr>
      <w:r>
        <w:rPr>
          <w:rFonts w:ascii="Arial" w:hAnsi="Arial" w:cs="Arial"/>
          <w:color w:val="ff0000"/>
        </w:rPr>
        <w:t xml:space="preserve"> </w:t>
      </w:r>
      <w:r/>
    </w:p>
    <w:p>
      <w:pPr>
        <w:pStyle w:val="813"/>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3"/>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813"/>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813"/>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813"/>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813"/>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813"/>
        <w:ind w:left="0" w:right="480" w:firstLine="37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813"/>
        <w:jc w:val="center"/>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w:t>
      </w:r>
      <w:r/>
    </w:p>
    <w:p>
      <w:pPr>
        <w:pStyle w:val="813"/>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813"/>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813"/>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813"/>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813"/>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813"/>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813"/>
        <w:jc w:val="both"/>
        <w:keepLines w:val="0"/>
        <w:keepNext w:val="0"/>
        <w:pageBreakBefore w:val="0"/>
        <w:spacing w:beforeAutospacing="0" w:afterAutospacing="0" w:line="400" w:lineRule="exact"/>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pStyle w:val="813"/>
        <w:jc w:val="both"/>
        <w:keepLines w:val="0"/>
        <w:keepNext w:val="0"/>
        <w:pageBreakBefore w:val="0"/>
        <w:spacing w:beforeAutospacing="0" w:afterAutospacing="0" w:line="400" w:lineRule="exact"/>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jc w:val="center"/>
        <w:rPr>
          <w:rFonts w:hint="eastAsia" w:ascii="宋体" w:hAnsi="宋体" w:eastAsia="宋体" w:cs="宋体"/>
          <w:color w:val="auto"/>
          <w:sz w:val="24"/>
          <w:szCs w:val="24"/>
          <w:highlight w:val="none"/>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二</w:t>
      </w:r>
      <w:r>
        <w:rPr>
          <w:rFonts w:hint="eastAsia" w:ascii="宋体" w:hAnsi="宋体" w:eastAsia="宋体" w:cs="宋体"/>
          <w:b/>
          <w:color w:val="auto"/>
          <w:sz w:val="36"/>
          <w:szCs w:val="36"/>
          <w:highlight w:val="none"/>
        </w:rPr>
        <w:t xml:space="preserve">、投标分项报价表</w:t>
      </w:r>
      <w:r/>
    </w:p>
    <w:p>
      <w:pPr>
        <w:ind w:firstLine="12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79"/>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13"/>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13"/>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13"/>
              <w:jc w:val="both"/>
              <w:spacing w:beforeAutospacing="0" w:afterAutospacing="0" w:line="0" w:lineRule="atLeast"/>
              <w:rPr>
                <w:highlight w:val="none"/>
              </w:rPr>
            </w:pPr>
            <w:r>
              <w:rPr>
                <w:highlight w:val="none"/>
              </w:rPr>
              <w:t xml:space="preserve"> </w:t>
            </w:r>
            <w:r/>
          </w:p>
        </w:tc>
      </w:tr>
      <w:tr>
        <w:trPr>
          <w:tblCellSpacing w:w="0" w:type="dxa"/>
          <w:trHeight w:val="487"/>
        </w:trPr>
        <w:tc>
          <w:tcPr>
            <w:gridSpan w:val="7"/>
            <w:shd w:val="clear" w:color="auto" w:fill="auto"/>
            <w:tcBorders>
              <w:top w:val="single" w:color="000000" w:sz="4" w:space="0"/>
              <w:left w:val="single" w:color="000000" w:sz="4" w:space="0"/>
              <w:bottom w:val="single" w:color="000000" w:sz="4" w:space="0"/>
              <w:right w:val="single" w:color="000000" w:sz="4" w:space="0"/>
            </w:tcBorders>
            <w:tcW w:w="8518" w:type="dxa"/>
            <w:vAlign w:val="center"/>
            <w:textDirection w:val="lrTb"/>
            <w:noWrap w:val="false"/>
          </w:tcPr>
          <w:p>
            <w:pPr>
              <w:pStyle w:val="813"/>
              <w:jc w:val="both"/>
              <w:spacing w:beforeAutospacing="0" w:afterAutospacing="0" w:line="0" w:lineRule="atLeast"/>
              <w:rPr>
                <w:highlight w:val="none"/>
              </w:rPr>
            </w:pPr>
            <w:r>
              <w:rPr>
                <w:rFonts w:hint="eastAsia" w:asciiTheme="minorEastAsia" w:hAnsiTheme="minorEastAsia" w:eastAsiaTheme="minorEastAsia" w:cstheme="minorEastAsia"/>
                <w:b/>
                <w:bCs/>
                <w:color w:val="ff0000"/>
                <w:sz w:val="24"/>
                <w:szCs w:val="24"/>
              </w:rPr>
              <w:t xml:space="preserve">本采购包中提供的符合本国产品标准的产品成本之和占该采购包提供的全部产品成本之和的比例为</w:t>
            </w:r>
            <w:r>
              <w:rPr>
                <w:rFonts w:hint="eastAsia" w:eastAsia="宋体" w:asciiTheme="minorEastAsia" w:hAnsiTheme="minorEastAsia" w:cstheme="minorEastAsia"/>
                <w:b/>
                <w:bCs/>
                <w:color w:val="ff0000"/>
                <w:sz w:val="24"/>
                <w:szCs w:val="24"/>
                <w:u w:val="single"/>
                <w:lang w:val="en-US" w:eastAsia="zh-CN"/>
              </w:rPr>
              <w:t xml:space="preserve">     </w:t>
            </w:r>
            <w:r>
              <w:rPr>
                <w:rFonts w:hint="eastAsia" w:asciiTheme="minorEastAsia" w:hAnsiTheme="minorEastAsia" w:eastAsiaTheme="minorEastAsia" w:cstheme="minorEastAsia"/>
                <w:b/>
                <w:bCs/>
                <w:color w:val="ff0000"/>
                <w:sz w:val="24"/>
                <w:szCs w:val="24"/>
              </w:rPr>
              <w:t xml:space="preserve">%。</w:t>
            </w:r>
            <w:r/>
          </w:p>
        </w:tc>
      </w:tr>
    </w:tbl>
    <w:p>
      <w:pPr>
        <w:jc w:val="left"/>
        <w:spacing w:line="360" w:lineRule="auto"/>
        <w:widowControl/>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备注：</w:t>
      </w:r>
      <w:r>
        <w:rPr>
          <w:rFonts w:hint="eastAsia" w:ascii="宋体" w:hAnsi="宋体" w:eastAsia="宋体" w:cs="宋体"/>
          <w:color w:val="auto"/>
          <w:sz w:val="24"/>
          <w:szCs w:val="32"/>
          <w:highlight w:val="none"/>
        </w:rPr>
        <w:t xml:space="preserve"> </w:t>
      </w:r>
      <w:r/>
    </w:p>
    <w:p>
      <w:pPr>
        <w:ind w:firstLine="480"/>
        <w:jc w:val="left"/>
        <w:spacing w:line="360" w:lineRule="auto"/>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本表可根据项目实际</w:t>
      </w:r>
      <w:r>
        <w:rPr>
          <w:rFonts w:hint="eastAsia" w:ascii="宋体" w:hAnsi="宋体" w:eastAsia="宋体" w:cs="宋体"/>
          <w:color w:val="auto"/>
          <w:sz w:val="24"/>
          <w:szCs w:val="32"/>
          <w:highlight w:val="none"/>
          <w:lang w:val="en-US" w:eastAsia="zh-CN"/>
        </w:rPr>
        <w:t xml:space="preserve">需求</w:t>
      </w:r>
      <w:r>
        <w:rPr>
          <w:rFonts w:hint="eastAsia" w:ascii="宋体" w:hAnsi="宋体" w:eastAsia="宋体" w:cs="宋体"/>
          <w:color w:val="auto"/>
          <w:sz w:val="24"/>
          <w:szCs w:val="32"/>
          <w:highlight w:val="none"/>
        </w:rPr>
        <w:t xml:space="preserve">，自行调整</w:t>
      </w:r>
      <w:r>
        <w:rPr>
          <w:rFonts w:hint="eastAsia" w:ascii="宋体" w:hAnsi="宋体" w:eastAsia="宋体" w:cs="宋体"/>
          <w:color w:val="auto"/>
          <w:sz w:val="24"/>
          <w:szCs w:val="32"/>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 “投标分项报价表”中“投标总报价”数额应当与“开标一览表”中“投标总报价”数额一致。</w:t>
      </w:r>
      <w:r/>
    </w:p>
    <w:p>
      <w:pPr>
        <w:numPr>
          <w:ilvl w:val="0"/>
          <w:numId w:val="0"/>
        </w:numPr>
        <w:ind w:firstLine="480"/>
        <w:spacing w:line="360" w:lineRule="auto"/>
        <w:rPr>
          <w:rFonts w:hint="eastAsia" w:ascii="宋体" w:hAnsi="宋体" w:eastAsia="宋体" w:cs="宋体"/>
          <w:b/>
          <w:bCs/>
          <w:color w:val="ff0000"/>
          <w:sz w:val="24"/>
          <w:szCs w:val="24"/>
          <w:highlight w:val="none"/>
          <w:lang w:eastAsia="zh-CN"/>
        </w:rPr>
      </w:pPr>
      <w:r>
        <w:rPr>
          <w:rFonts w:hint="eastAsia" w:ascii="宋体" w:hAnsi="宋体" w:cs="宋体"/>
          <w:b/>
          <w:bCs/>
          <w:color w:val="ff0000"/>
          <w:sz w:val="24"/>
          <w:szCs w:val="24"/>
          <w:highlight w:val="none"/>
          <w:lang w:val="en-US" w:eastAsia="zh-CN"/>
        </w:rPr>
        <w:t xml:space="preserve">4</w:t>
      </w:r>
      <w:r>
        <w:rPr>
          <w:rFonts w:hint="eastAsia" w:ascii="宋体" w:hAnsi="宋体" w:eastAsia="宋体" w:cs="宋体"/>
          <w:b/>
          <w:bCs/>
          <w:color w:val="ff0000"/>
          <w:sz w:val="24"/>
          <w:szCs w:val="24"/>
          <w:highlight w:val="none"/>
          <w:lang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0"/>
        </w:num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供应商（加盖CA电子公章）：                      </w:t>
      </w:r>
      <w:r/>
    </w:p>
    <w:p>
      <w:pPr>
        <w:pStyle w:val="818"/>
        <w:ind w:left="0" w:firstLine="48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rPr>
        <w:t xml:space="preserve">委托代理人（签字或签章）：</w:t>
      </w:r>
      <w:r/>
    </w:p>
    <w:p>
      <w:pPr>
        <w:pStyle w:val="818"/>
        <w:ind w:left="0" w:firstLine="480"/>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日期：</w:t>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lang w:val="en-US" w:eastAsia="zh-CN"/>
        </w:rPr>
      </w:pPr>
      <w:r/>
      <w:bookmarkStart w:id="158" w:name="_Toc462564146"/>
      <w:r>
        <w:rPr>
          <w:rFonts w:hint="eastAsia" w:ascii="宋体" w:hAnsi="宋体" w:eastAsia="宋体" w:cs="宋体"/>
          <w:b/>
          <w:color w:val="auto"/>
          <w:sz w:val="36"/>
          <w:szCs w:val="36"/>
          <w:highlight w:val="none"/>
          <w:lang w:val="en-US" w:eastAsia="zh-CN"/>
        </w:rPr>
        <w:br w:type="page" w:clear="all"/>
      </w:r>
      <w:r/>
    </w:p>
    <w:p>
      <w:pPr>
        <w:jc w:val="center"/>
        <w:spacing w:before="50" w:after="50"/>
        <w:rPr>
          <w:rFonts w:hint="eastAsia" w:ascii="宋体" w:hAnsi="宋体" w:eastAsia="宋体" w:cs="宋体"/>
          <w:color w:val="auto"/>
          <w:sz w:val="32"/>
          <w:szCs w:val="32"/>
          <w:highlight w:val="none"/>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三</w:t>
      </w:r>
      <w:r>
        <w:rPr>
          <w:rFonts w:hint="eastAsia" w:ascii="宋体" w:hAnsi="宋体" w:eastAsia="宋体" w:cs="宋体"/>
          <w:b/>
          <w:color w:val="auto"/>
          <w:sz w:val="36"/>
          <w:szCs w:val="36"/>
          <w:highlight w:val="none"/>
          <w:lang w:val="en-US" w:eastAsia="zh-CN"/>
        </w:rPr>
        <w:t xml:space="preserve">、技术参数响应及偏离表</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79"/>
        <w:tblW w:w="89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64"/>
        <w:gridCol w:w="3175"/>
        <w:gridCol w:w="2736"/>
        <w:gridCol w:w="1308"/>
        <w:gridCol w:w="1155"/>
      </w:tblGrid>
      <w:tr>
        <w:trPr>
          <w:tblCellSpacing w:w="0" w:type="dxa"/>
          <w:trHeight w:val="957"/>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ind w:left="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0" w:after="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17"/>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br w:type="page" w:clear="all"/>
      </w:r>
      <w:r/>
    </w:p>
    <w:p>
      <w:pPr>
        <w:jc w:val="center"/>
        <w:spacing w:before="50" w:after="50"/>
        <w:rPr>
          <w:rFonts w:hint="eastAsia" w:ascii="宋体" w:hAnsi="宋体" w:eastAsia="宋体" w:cs="宋体"/>
          <w:b/>
          <w:color w:val="auto"/>
          <w:sz w:val="36"/>
          <w:szCs w:val="36"/>
          <w:highlight w:val="none"/>
          <w:lang w:val="en-US" w:eastAsia="zh-CN"/>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四</w:t>
      </w:r>
      <w:r>
        <w:rPr>
          <w:rFonts w:hint="eastAsia" w:ascii="宋体" w:hAnsi="宋体" w:eastAsia="宋体" w:cs="宋体"/>
          <w:b/>
          <w:color w:val="auto"/>
          <w:sz w:val="36"/>
          <w:szCs w:val="36"/>
          <w:highlight w:val="none"/>
          <w:lang w:val="en-US" w:eastAsia="zh-CN"/>
        </w:rPr>
        <w:t xml:space="preserve">、商务要求响应及偏离表</w:t>
      </w:r>
      <w:r/>
    </w:p>
    <w:tbl>
      <w:tblPr>
        <w:tblStyle w:val="779"/>
        <w:tblW w:w="907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04"/>
        <w:gridCol w:w="2631"/>
        <w:gridCol w:w="2818"/>
        <w:gridCol w:w="1325"/>
        <w:gridCol w:w="1599"/>
      </w:tblGrid>
      <w:tr>
        <w:trPr>
          <w:tblCellSpacing w:w="0" w:type="dxa"/>
          <w:trHeight w:val="97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17"/>
        <w:ind w:firstLine="72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05"/>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17"/>
        <w:ind w:firstLine="72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05"/>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bookmarkEnd w:id="158"/>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color w:val="auto"/>
          <w:sz w:val="36"/>
          <w:szCs w:val="36"/>
          <w:highlight w:val="none"/>
          <w:lang w:val="en-US" w:eastAsia="zh-CN"/>
        </w:rPr>
      </w:pPr>
      <w:r/>
      <w:bookmarkStart w:id="159" w:name="_Toc2880"/>
      <w:r>
        <w:rPr>
          <w:rFonts w:hint="eastAsia" w:ascii="宋体" w:hAnsi="宋体" w:eastAsia="宋体" w:cs="宋体"/>
          <w:b/>
          <w:color w:val="auto"/>
          <w:sz w:val="36"/>
          <w:szCs w:val="36"/>
          <w:highlight w:val="none"/>
          <w:lang w:val="en-US" w:eastAsia="zh-CN"/>
        </w:rPr>
        <w:br w:type="page" w:clear="all"/>
      </w:r>
      <w:r/>
    </w:p>
    <w:p>
      <w:pPr>
        <w:jc w:val="center"/>
        <w:spacing w:before="50" w:after="50"/>
        <w:rPr>
          <w:rFonts w:hint="eastAsia" w:ascii="宋体" w:hAnsi="宋体" w:eastAsia="宋体" w:cs="宋体"/>
          <w:b/>
          <w:color w:val="auto"/>
          <w:sz w:val="36"/>
          <w:szCs w:val="36"/>
          <w:highlight w:val="none"/>
          <w:lang w:val="en-US" w:eastAsia="zh-CN"/>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五</w:t>
      </w:r>
      <w:r>
        <w:rPr>
          <w:rFonts w:hint="eastAsia" w:ascii="宋体" w:hAnsi="宋体" w:eastAsia="宋体" w:cs="宋体"/>
          <w:b/>
          <w:color w:val="auto"/>
          <w:sz w:val="36"/>
          <w:szCs w:val="36"/>
          <w:highlight w:val="none"/>
          <w:lang w:val="en-US" w:eastAsia="zh-CN"/>
        </w:rPr>
        <w:t xml:space="preserve">、开标一览表</w:t>
      </w:r>
      <w:bookmarkEnd w:id="159"/>
      <w:r/>
      <w:r/>
    </w:p>
    <w:p>
      <w:pPr>
        <w:pStyle w:val="81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1043"/>
        <w:ind w:firstLine="480"/>
        <w:jc w:val="both"/>
        <w:spacing w:beforeAutospacing="0" w:afterAutospacing="0" w:line="400" w:lineRule="exact"/>
        <w:rPr>
          <w:rFonts w:hint="eastAsia"/>
          <w:color w:val="auto"/>
          <w:highlight w:val="none"/>
        </w:rPr>
      </w:pPr>
      <w:r>
        <w:rPr>
          <w:rFonts w:hint="eastAsia"/>
          <w:color w:val="auto"/>
          <w:highlight w:val="none"/>
        </w:rPr>
        <w:t xml:space="preserve">项目编号：</w:t>
      </w:r>
      <w:r>
        <w:rPr>
          <w:rFonts w:hint="eastAsia" w:cs="宋体"/>
          <w:color w:val="auto"/>
          <w:highlight w:val="none"/>
          <w:lang w:eastAsia="zh-CN"/>
        </w:rPr>
        <w:t xml:space="preserve">JSZC-320900-YCLX-G2026-0009</w:t>
      </w:r>
      <w:r>
        <w:rPr>
          <w:rFonts w:hint="eastAsia"/>
          <w:color w:val="auto"/>
          <w:highlight w:val="none"/>
        </w:rPr>
        <w:t xml:space="preserve"> </w:t>
      </w:r>
      <w:r/>
    </w:p>
    <w:p>
      <w:pPr>
        <w:pStyle w:val="1043"/>
        <w:ind w:firstLine="480"/>
        <w:jc w:val="both"/>
        <w:spacing w:beforeAutospacing="0" w:afterAutospacing="0" w:line="400" w:lineRule="exact"/>
        <w:rPr>
          <w:rFonts w:hint="eastAsia"/>
          <w:color w:val="auto"/>
          <w:highlight w:val="none"/>
        </w:rPr>
      </w:pPr>
      <w:r>
        <w:rPr>
          <w:rFonts w:hint="eastAsia"/>
          <w:color w:val="auto"/>
          <w:highlight w:val="none"/>
        </w:rPr>
        <w:t xml:space="preserve">货币单位：人民币元    </w:t>
      </w:r>
      <w:r/>
    </w:p>
    <w:tbl>
      <w:tblPr>
        <w:tblStyle w:val="8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86"/>
        <w:gridCol w:w="2194"/>
        <w:gridCol w:w="3090"/>
      </w:tblGrid>
      <w:tr>
        <w:trPr>
          <w:trHeight w:val="956"/>
        </w:trPr>
        <w:tc>
          <w:tcPr>
            <w:tcW w:w="3994" w:type="dxa"/>
            <w:vAlign w:val="center"/>
            <w:textDirection w:val="lrTb"/>
            <w:noWrap w:val="false"/>
          </w:tcPr>
          <w:p>
            <w:pPr>
              <w:pStyle w:val="1043"/>
              <w:jc w:val="center"/>
              <w:spacing w:beforeAutospacing="0" w:afterAutospacing="0" w:line="400" w:lineRule="exact"/>
              <w:rPr>
                <w:rFonts w:hint="eastAsia"/>
                <w:color w:val="auto"/>
                <w:highlight w:val="none"/>
                <w:vertAlign w:val="baseline"/>
              </w:rPr>
            </w:pPr>
            <w:r>
              <w:rPr>
                <w:rFonts w:hint="eastAsia"/>
                <w:color w:val="auto"/>
                <w:highlight w:val="none"/>
                <w:vertAlign w:val="baseline"/>
              </w:rPr>
              <w:t xml:space="preserve">项目名称</w:t>
            </w:r>
            <w:r/>
          </w:p>
        </w:tc>
        <w:tc>
          <w:tcPr>
            <w:tcW w:w="2198" w:type="dxa"/>
            <w:vAlign w:val="center"/>
            <w:textDirection w:val="lrTb"/>
            <w:noWrap w:val="false"/>
          </w:tcPr>
          <w:p>
            <w:pPr>
              <w:pStyle w:val="1043"/>
              <w:jc w:val="center"/>
              <w:spacing w:beforeAutospacing="0" w:afterAutospacing="0" w:line="400" w:lineRule="exact"/>
              <w:rPr>
                <w:rFonts w:hint="eastAsia"/>
                <w:color w:val="auto"/>
                <w:highlight w:val="none"/>
                <w:vertAlign w:val="baseline"/>
              </w:rPr>
            </w:pPr>
            <w:r>
              <w:rPr>
                <w:rFonts w:ascii="宋体" w:hAnsi="宋体" w:eastAsia="宋体" w:cs="宋体"/>
                <w:sz w:val="24"/>
                <w:szCs w:val="24"/>
                <w:highlight w:val="none"/>
              </w:rPr>
              <w:t xml:space="preserve">项目内容</w:t>
            </w:r>
            <w:r/>
          </w:p>
        </w:tc>
        <w:tc>
          <w:tcPr>
            <w:tcW w:w="3096" w:type="dxa"/>
            <w:vAlign w:val="center"/>
            <w:textDirection w:val="lrTb"/>
            <w:noWrap w:val="false"/>
          </w:tcPr>
          <w:p>
            <w:pPr>
              <w:pStyle w:val="1043"/>
              <w:jc w:val="center"/>
              <w:spacing w:beforeAutospacing="0" w:afterAutospacing="0" w:line="400" w:lineRule="exact"/>
              <w:rPr>
                <w:rFonts w:hint="eastAsia"/>
                <w:color w:val="auto"/>
                <w:highlight w:val="none"/>
                <w:vertAlign w:val="baseline"/>
              </w:rPr>
            </w:pPr>
            <w:r>
              <w:rPr>
                <w:rFonts w:ascii="宋体" w:hAnsi="宋体" w:eastAsia="宋体" w:cs="宋体"/>
                <w:sz w:val="24"/>
                <w:szCs w:val="24"/>
                <w:highlight w:val="none"/>
              </w:rPr>
              <w:t xml:space="preserve">总价（小写）</w:t>
            </w:r>
            <w:r/>
          </w:p>
        </w:tc>
      </w:tr>
      <w:tr>
        <w:trPr>
          <w:trHeight w:val="1057"/>
        </w:trPr>
        <w:tc>
          <w:tcPr>
            <w:tcW w:w="3994" w:type="dxa"/>
            <w:vAlign w:val="center"/>
            <w:textDirection w:val="lrTb"/>
            <w:noWrap w:val="false"/>
          </w:tcPr>
          <w:p>
            <w:pPr>
              <w:pStyle w:val="1043"/>
              <w:jc w:val="both"/>
              <w:spacing w:beforeAutospacing="0" w:afterAutospacing="0" w:line="400" w:lineRule="exact"/>
              <w:rPr>
                <w:rFonts w:hint="eastAsia"/>
                <w:color w:val="auto"/>
                <w:highlight w:val="none"/>
                <w:vertAlign w:val="baseline"/>
              </w:rPr>
            </w:pPr>
            <w:r>
              <w:rPr>
                <w:rFonts w:hint="eastAsia" w:cs="宋体"/>
                <w:color w:val="auto"/>
                <w:sz w:val="24"/>
                <w:highlight w:val="none"/>
                <w:lang w:eastAsia="zh-CN"/>
              </w:rPr>
              <w:t xml:space="preserve">盐城中国海盐博物馆可移动文物数字化保护利用项目</w:t>
            </w:r>
            <w:r/>
          </w:p>
        </w:tc>
        <w:tc>
          <w:tcPr>
            <w:tcW w:w="2198" w:type="dxa"/>
            <w:vAlign w:val="center"/>
            <w:textDirection w:val="lrTb"/>
            <w:noWrap w:val="false"/>
          </w:tcPr>
          <w:p>
            <w:pPr>
              <w:pStyle w:val="1043"/>
              <w:jc w:val="both"/>
              <w:spacing w:beforeAutospacing="0" w:afterAutospacing="0" w:line="400" w:lineRule="exact"/>
              <w:rPr>
                <w:rFonts w:hint="eastAsia"/>
                <w:color w:val="auto"/>
                <w:highlight w:val="none"/>
                <w:vertAlign w:val="baseline"/>
              </w:rPr>
            </w:pPr>
            <w:r>
              <w:rPr>
                <w:rFonts w:ascii="宋体" w:hAnsi="宋体" w:eastAsia="宋体" w:cs="宋体"/>
                <w:sz w:val="24"/>
                <w:szCs w:val="24"/>
                <w:highlight w:val="none"/>
              </w:rPr>
              <w:t xml:space="preserve">详见投标文件</w:t>
            </w:r>
            <w:r/>
          </w:p>
        </w:tc>
        <w:tc>
          <w:tcPr>
            <w:tcW w:w="3096" w:type="dxa"/>
            <w:vAlign w:val="center"/>
            <w:textDirection w:val="lrTb"/>
            <w:noWrap w:val="false"/>
          </w:tcPr>
          <w:p>
            <w:pPr>
              <w:pStyle w:val="1043"/>
              <w:jc w:val="both"/>
              <w:spacing w:beforeAutospacing="0" w:afterAutospacing="0" w:line="4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      元</w:t>
            </w:r>
            <w:r/>
          </w:p>
        </w:tc>
      </w:tr>
      <w:tr>
        <w:trPr>
          <w:trHeight w:val="1050"/>
        </w:trPr>
        <w:tc>
          <w:tcPr>
            <w:tcW w:w="3994" w:type="dxa"/>
            <w:vAlign w:val="center"/>
            <w:textDirection w:val="lrTb"/>
            <w:noWrap w:val="false"/>
          </w:tcPr>
          <w:p>
            <w:pPr>
              <w:pStyle w:val="1043"/>
              <w:jc w:val="both"/>
              <w:spacing w:beforeAutospacing="0" w:afterAutospacing="0" w:line="400" w:lineRule="exact"/>
              <w:rPr>
                <w:rFonts w:hint="eastAsia"/>
                <w:color w:val="auto"/>
                <w:highlight w:val="none"/>
                <w:vertAlign w:val="baseline"/>
              </w:rPr>
            </w:pPr>
            <w:r>
              <w:rPr>
                <w:rFonts w:ascii="宋体" w:hAnsi="宋体" w:eastAsia="宋体" w:cs="宋体"/>
                <w:sz w:val="24"/>
                <w:szCs w:val="24"/>
                <w:highlight w:val="none"/>
              </w:rPr>
              <w:t xml:space="preserve">总价（大写）：</w:t>
            </w:r>
            <w:r/>
          </w:p>
        </w:tc>
        <w:tc>
          <w:tcPr>
            <w:gridSpan w:val="2"/>
            <w:tcW w:w="5294" w:type="dxa"/>
            <w:vAlign w:val="center"/>
            <w:textDirection w:val="lrTb"/>
            <w:noWrap w:val="false"/>
          </w:tcPr>
          <w:p>
            <w:pPr>
              <w:pStyle w:val="1043"/>
              <w:jc w:val="both"/>
              <w:spacing w:beforeAutospacing="0" w:afterAutospacing="0" w:line="400" w:lineRule="exact"/>
              <w:rPr>
                <w:rFonts w:hint="eastAsia"/>
                <w:color w:val="auto"/>
                <w:highlight w:val="none"/>
                <w:vertAlign w:val="baseline"/>
              </w:rPr>
            </w:pPr>
            <w:r>
              <w:rPr>
                <w:rFonts w:hint="eastAsia"/>
                <w:color w:val="auto"/>
                <w:highlight w:val="none"/>
                <w:vertAlign w:val="baseline"/>
              </w:rPr>
              <w:t xml:space="preserve">金额大写  </w:t>
            </w:r>
            <w:r/>
          </w:p>
        </w:tc>
      </w:tr>
    </w:tbl>
    <w:p>
      <w:pPr>
        <w:pStyle w:val="1043"/>
        <w:ind w:firstLine="480"/>
        <w:jc w:val="both"/>
        <w:spacing w:beforeAutospacing="0" w:afterAutospacing="0" w:line="400" w:lineRule="exact"/>
        <w:rPr>
          <w:color w:val="auto"/>
          <w:highlight w:val="none"/>
        </w:rPr>
      </w:pPr>
      <w:r>
        <w:rPr>
          <w:rFonts w:hint="eastAsia"/>
          <w:color w:val="auto"/>
          <w:highlight w:val="none"/>
        </w:rPr>
        <w:t xml:space="preserve">     </w:t>
      </w:r>
      <w:r/>
    </w:p>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jc w:val="both"/>
        <w:keepLines w:val="0"/>
        <w:keepNext w:val="0"/>
        <w:pageBreakBefore w:val="0"/>
        <w:spacing w:beforeAutospacing="0" w:afterAutospacing="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13"/>
        <w:jc w:val="both"/>
        <w:keepLines w:val="0"/>
        <w:keepNext w:val="0"/>
        <w:pageBreakBefore w:val="0"/>
        <w:spacing w:beforeAutospacing="0" w:afterAutospacing="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投标人公章：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（电子签章）                             </w:t>
      </w:r>
      <w:r/>
    </w:p>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813"/>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18"/>
        <w:ind w:left="0" w:firstLine="0"/>
        <w:jc w:val="cente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、项目团队人员一览表</w:t>
      </w:r>
      <w:r/>
    </w:p>
    <w:p>
      <w:pPr>
        <w:pStyle w:val="818"/>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8"/>
        <w:ind w:left="0" w:firstLine="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项目名称：</w:t>
      </w:r>
      <w:r>
        <w:rPr>
          <w:rFonts w:hint="eastAsia" w:cs="宋体"/>
          <w:b/>
          <w:color w:val="auto"/>
          <w:sz w:val="24"/>
          <w:szCs w:val="24"/>
          <w:highlight w:val="none"/>
          <w:lang w:eastAsia="zh-CN"/>
        </w:rPr>
        <w:t xml:space="preserve">盐城中国海盐博物馆可移动文物数字化保护利用项目</w:t>
      </w:r>
      <w:r/>
    </w:p>
    <w:tbl>
      <w:tblPr>
        <w:tblStyle w:val="7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2149"/>
        <w:gridCol w:w="3327"/>
        <w:gridCol w:w="2380"/>
      </w:tblGrid>
      <w:tr>
        <w:trPr>
          <w:cantSplit/>
          <w:jc w:val="center"/>
        </w:trPr>
        <w:tc>
          <w:tcPr>
            <w:tcW w:w="1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19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本项目拟担任职务</w:t>
            </w:r>
            <w:r/>
          </w:p>
        </w:tc>
        <w:tc>
          <w:tcPr>
            <w:tcW w:w="30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技术职称、专业资质</w:t>
            </w:r>
            <w:r/>
          </w:p>
        </w:tc>
        <w:tc>
          <w:tcPr>
            <w:tcW w:w="21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主要资历及担任过的职务</w:t>
            </w:r>
            <w:r/>
          </w:p>
        </w:tc>
      </w:tr>
      <w:tr>
        <w:trPr>
          <w:cantSplit/>
          <w:jc w:val="center"/>
          <w:trHeight w:val="640"/>
        </w:trPr>
        <w:tc>
          <w:tcPr>
            <w:tcW w:w="1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059" w:type="dxa"/>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640"/>
        </w:trPr>
        <w:tc>
          <w:tcPr>
            <w:tcW w:w="1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059" w:type="dxa"/>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640"/>
        </w:trPr>
        <w:tc>
          <w:tcPr>
            <w:tcW w:w="1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059" w:type="dxa"/>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供应商（加盖CA电子公章）：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13"/>
        <w:jc w:val="righ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8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3"/>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rPr>
          <w:rFonts w:hint="eastAsia" w:ascii="宋体" w:hAnsi="宋体" w:eastAsia="宋体" w:cs="宋体"/>
          <w:b/>
          <w:color w:val="auto"/>
          <w:sz w:val="36"/>
          <w:szCs w:val="36"/>
          <w:highlight w:val="none"/>
          <w:lang w:val="en-US" w:eastAsia="zh-CN"/>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七</w:t>
      </w:r>
      <w:r>
        <w:rPr>
          <w:rFonts w:hint="eastAsia" w:ascii="宋体" w:hAnsi="宋体" w:eastAsia="宋体" w:cs="宋体"/>
          <w:b/>
          <w:color w:val="auto"/>
          <w:sz w:val="36"/>
          <w:szCs w:val="36"/>
          <w:highlight w:val="none"/>
          <w:lang w:val="en-US" w:eastAsia="zh-CN"/>
        </w:rPr>
        <w:t xml:space="preserve">、</w:t>
      </w:r>
      <w:r>
        <w:rPr>
          <w:rFonts w:hint="eastAsia" w:ascii="宋体" w:hAnsi="宋体" w:cs="宋体"/>
          <w:b/>
          <w:color w:val="auto"/>
          <w:sz w:val="36"/>
          <w:szCs w:val="36"/>
          <w:highlight w:val="none"/>
          <w:lang w:val="en-US" w:eastAsia="zh-CN"/>
        </w:rPr>
        <w:t xml:space="preserve">服务方案</w:t>
      </w:r>
      <w:r>
        <w:rPr>
          <w:rFonts w:hint="eastAsia" w:ascii="宋体" w:hAnsi="宋体" w:eastAsia="宋体" w:cs="宋体"/>
          <w:b/>
          <w:color w:val="auto"/>
          <w:sz w:val="36"/>
          <w:szCs w:val="36"/>
          <w:highlight w:val="none"/>
          <w:lang w:val="en-US" w:eastAsia="zh-CN"/>
        </w:rPr>
        <w:t xml:space="preserve">等</w:t>
      </w:r>
      <w:r/>
    </w:p>
    <w:p>
      <w:pPr>
        <w:pStyle w:val="813"/>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（详见</w:t>
      </w:r>
      <w:r>
        <w:rPr>
          <w:rFonts w:hint="eastAsia" w:cs="宋体"/>
          <w:b/>
          <w:color w:val="auto"/>
          <w:sz w:val="32"/>
          <w:szCs w:val="32"/>
          <w:highlight w:val="none"/>
          <w:lang w:eastAsia="zh-CN"/>
        </w:rPr>
        <w:t xml:space="preserve">评分标准部分内容</w:t>
      </w:r>
      <w:r>
        <w:rPr>
          <w:rFonts w:hint="eastAsia" w:ascii="宋体" w:hAnsi="宋体" w:eastAsia="宋体" w:cs="宋体"/>
          <w:b/>
          <w:color w:val="auto"/>
          <w:sz w:val="32"/>
          <w:szCs w:val="32"/>
          <w:highlight w:val="none"/>
        </w:rPr>
        <w:t xml:space="preserve">）</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13"/>
        <w:jc w:val="center"/>
        <w:spacing w:beforeAutospacing="0" w:afterAutospacing="0"/>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、盐城市政府采购事前信用承诺书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（八）本人已认真阅读了上述承诺，并向本单位员工作了宣传教育。</w:t>
      </w:r>
      <w:r/>
    </w:p>
    <w:p>
      <w:p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5"/>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b/>
          <w:color w:val="auto"/>
          <w:sz w:val="32"/>
          <w:szCs w:val="32"/>
          <w:highlight w:val="none"/>
        </w:rPr>
      </w:pPr>
      <w:r/>
      <w:bookmarkStart w:id="160" w:name="_Hlk132197618"/>
      <w:r>
        <w:rPr>
          <w:rFonts w:hint="eastAsia" w:ascii="宋体" w:hAnsi="宋体" w:eastAsia="宋体" w:cs="宋体"/>
          <w:b/>
          <w:color w:val="auto"/>
          <w:sz w:val="32"/>
          <w:szCs w:val="32"/>
          <w:highlight w:val="none"/>
        </w:rPr>
        <w:br w:type="page" w:clear="all"/>
      </w:r>
      <w:bookmarkEnd w:id="160"/>
      <w:r/>
      <w:r/>
    </w:p>
    <w:p>
      <w:pPr>
        <w:pStyle w:val="81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基本信息</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获取日期：</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13"/>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13"/>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13"/>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提出质疑时，应提交质疑函和必要的证明材料。</w:t>
      </w:r>
      <w:r/>
    </w:p>
    <w:p>
      <w:pPr>
        <w:pStyle w:val="813"/>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若委托代理人进行质疑的，质疑函应按要求列明“授权代表”的有关内容，并在附件中提交由质疑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签署的授权委托书。授权委托书应载明代理人的姓名或者名称、代理事项、具体权限、期限和相关事项。</w:t>
      </w:r>
      <w:r/>
    </w:p>
    <w:p>
      <w:pPr>
        <w:pStyle w:val="813"/>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若对项目的某一分包进行质疑，质疑函中应列明具体分包号。</w:t>
      </w:r>
      <w:r/>
    </w:p>
    <w:p>
      <w:pPr>
        <w:pStyle w:val="813"/>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13"/>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13"/>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为自然人的，质疑函应由本人签字；质疑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为法人或者其他组织的，质疑函应由法定代表人、主要负责人，或者其授权代表签字或者盖章，并加盖公章。</w:t>
      </w:r>
      <w:r/>
    </w:p>
    <w:p>
      <w:pPr>
        <w:pStyle w:val="813"/>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highlight w:val="none"/>
        </w:rPr>
      </w:pPr>
      <w:r/>
      <w:bookmarkStart w:id="161" w:name="_Hlt26955056"/>
      <w:r/>
      <w:bookmarkEnd w:id="161"/>
      <w:r/>
      <w:bookmarkStart w:id="162" w:name="_Hlt26609391"/>
      <w:r/>
      <w:bookmarkEnd w:id="162"/>
      <w:r/>
      <w:bookmarkStart w:id="163" w:name="_Hlt24879081"/>
      <w:r/>
      <w:bookmarkEnd w:id="163"/>
      <w:r/>
      <w:bookmarkStart w:id="164" w:name="_Hlt26671372"/>
      <w:r/>
      <w:bookmarkEnd w:id="164"/>
      <w:r/>
      <w:bookmarkStart w:id="165" w:name="_Hlt26671343"/>
      <w:r/>
      <w:bookmarkEnd w:id="165"/>
      <w:r/>
      <w:bookmarkStart w:id="166" w:name="_Hlt26782999"/>
      <w:r/>
      <w:bookmarkEnd w:id="166"/>
      <w:r/>
      <w:bookmarkStart w:id="167" w:name="_Hlt26955064"/>
      <w:r/>
      <w:bookmarkEnd w:id="167"/>
      <w:r/>
      <w:bookmarkStart w:id="168" w:name="_Hlt26580838"/>
      <w:r/>
      <w:bookmarkEnd w:id="168"/>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footerReference w:type="default" r:id="rId14"/>
      <w:footerReference w:type="first" r:id="rId15"/>
      <w:footnotePr/>
      <w:endnotePr/>
      <w:type w:val="nextPage"/>
      <w:pgSz w:w="11906" w:h="16838" w:orient="portrait"/>
      <w:pgMar w:top="1015" w:right="1423" w:bottom="868" w:left="142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Symbol">
    <w:panose1 w:val="05050102010706020507"/>
  </w:font>
  <w:font w:name="Wingdings">
    <w:panose1 w:val="05000000000000000000"/>
  </w:font>
  <w:font w:name="楷体">
    <w:panose1 w:val="02010609060101010101"/>
  </w:font>
  <w:font w:name="Arial Unicode MS">
    <w:panose1 w:val="020B0604020202020204"/>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p>
  <w:p>
    <w:pPr>
      <w:pStyle w:val="7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017"/>
    <w:uiPriority w:val="0"/>
    <w:qFormat/>
    <w:pPr>
      <w:jc w:val="both"/>
      <w:widowControl w:val="off"/>
    </w:pPr>
    <w:rPr>
      <w:rFonts w:hint="default" w:ascii="Calibri" w:hAnsi="Calibri" w:eastAsia="宋体" w:cs="Times New Roman"/>
      <w:sz w:val="21"/>
      <w:szCs w:val="24"/>
      <w:lang w:val="en-US" w:eastAsia="zh-CN" w:bidi="ar-SA"/>
    </w:rPr>
  </w:style>
  <w:style w:type="paragraph" w:styleId="769">
    <w:name w:val="Heading 1"/>
    <w:basedOn w:val="768"/>
    <w:next w:val="768"/>
    <w:link w:val="1018"/>
    <w:uiPriority w:val="0"/>
    <w:qFormat/>
    <w:pPr>
      <w:keepNext/>
      <w:outlineLvl w:val="0"/>
    </w:pPr>
    <w:rPr>
      <w:rFonts w:ascii="楷体_GB2312" w:eastAsia="楷体_GB2312"/>
      <w:sz w:val="28"/>
      <w:szCs w:val="20"/>
    </w:rPr>
  </w:style>
  <w:style w:type="paragraph" w:styleId="770">
    <w:name w:val="Heading 2"/>
    <w:basedOn w:val="768"/>
    <w:next w:val="768"/>
    <w:link w:val="1019"/>
    <w:uiPriority w:val="0"/>
    <w:qFormat/>
    <w:pPr>
      <w:jc w:val="center"/>
      <w:keepLines/>
      <w:keepNext/>
      <w:spacing w:line="416" w:lineRule="auto"/>
      <w:outlineLvl w:val="1"/>
    </w:pPr>
    <w:rPr>
      <w:rFonts w:ascii="Arial" w:hAnsi="Arial" w:eastAsia="幼圆"/>
      <w:b/>
      <w:sz w:val="44"/>
      <w:szCs w:val="20"/>
    </w:rPr>
  </w:style>
  <w:style w:type="paragraph" w:styleId="771">
    <w:name w:val="Heading 3"/>
    <w:basedOn w:val="768"/>
    <w:next w:val="768"/>
    <w:uiPriority w:val="0"/>
    <w:qFormat/>
    <w:pPr>
      <w:keepLines/>
      <w:keepNext/>
      <w:spacing w:before="260" w:after="260" w:line="416" w:lineRule="auto"/>
      <w:outlineLvl w:val="2"/>
    </w:pPr>
    <w:rPr>
      <w:b/>
      <w:sz w:val="32"/>
      <w:szCs w:val="20"/>
    </w:rPr>
  </w:style>
  <w:style w:type="paragraph" w:styleId="772">
    <w:name w:val="Heading 4"/>
    <w:basedOn w:val="768"/>
    <w:next w:val="768"/>
    <w:uiPriority w:val="0"/>
    <w:qFormat/>
    <w:pPr>
      <w:keepLines/>
      <w:keepNext/>
      <w:spacing w:before="280" w:after="290" w:line="376" w:lineRule="auto"/>
      <w:outlineLvl w:val="3"/>
    </w:pPr>
    <w:rPr>
      <w:rFonts w:ascii="Arial" w:hAnsi="Arial" w:eastAsia="黑体"/>
      <w:b/>
      <w:bCs/>
      <w:sz w:val="28"/>
      <w:szCs w:val="28"/>
    </w:rPr>
  </w:style>
  <w:style w:type="paragraph" w:styleId="773">
    <w:name w:val="Heading 5"/>
    <w:basedOn w:val="768"/>
    <w:next w:val="768"/>
    <w:uiPriority w:val="0"/>
    <w:qFormat/>
    <w:pPr>
      <w:keepNext/>
      <w:outlineLvl w:val="4"/>
    </w:pPr>
    <w:rPr>
      <w:rFonts w:ascii="宋体" w:hAnsi="宋体"/>
      <w:b/>
      <w:bCs/>
    </w:rPr>
  </w:style>
  <w:style w:type="paragraph" w:styleId="774">
    <w:name w:val="Heading 6"/>
    <w:basedOn w:val="768"/>
    <w:next w:val="768"/>
    <w:link w:val="834"/>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uiPriority w:val="1"/>
    <w:unhideWhenUsed/>
    <w:qFormat/>
    <w:pPr>
      <w:ind w:left="582"/>
      <w:spacing w:before="26"/>
      <w:outlineLvl w:val="7"/>
    </w:pPr>
    <w:rPr>
      <w:rFonts w:hint="eastAsia" w:ascii="宋体" w:hAnsi="宋体"/>
      <w:b/>
      <w:sz w:val="24"/>
    </w:rPr>
  </w:style>
  <w:style w:type="paragraph" w:styleId="777">
    <w:name w:val="Heading 9"/>
    <w:basedOn w:val="768"/>
    <w:next w:val="768"/>
    <w:link w:val="837"/>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0"/>
    <w:semiHidden/>
    <w:qFormat/>
    <w:pPr>
      <w:ind w:left="2520"/>
    </w:pPr>
  </w:style>
  <w:style w:type="paragraph" w:styleId="781">
    <w:name w:val="Normal Indent"/>
    <w:basedOn w:val="768"/>
    <w:link w:val="1020"/>
    <w:uiPriority w:val="0"/>
    <w:qFormat/>
    <w:pPr>
      <w:ind w:firstLine="420"/>
    </w:pPr>
    <w:rPr>
      <w:szCs w:val="20"/>
    </w:rPr>
  </w:style>
  <w:style w:type="paragraph" w:styleId="782">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8"/>
    <w:uiPriority w:val="0"/>
    <w:semiHidden/>
    <w:qFormat/>
    <w:pPr>
      <w:shd w:val="clear" w:color="auto" w:fill="000080"/>
    </w:pPr>
  </w:style>
  <w:style w:type="paragraph" w:styleId="784">
    <w:name w:val="annotation text"/>
    <w:basedOn w:val="768"/>
    <w:link w:val="1021"/>
    <w:uiPriority w:val="99"/>
    <w:qFormat/>
    <w:pPr>
      <w:jc w:val="left"/>
    </w:pPr>
  </w:style>
  <w:style w:type="paragraph" w:styleId="785">
    <w:name w:val="Body Text 3"/>
    <w:basedOn w:val="768"/>
    <w:uiPriority w:val="0"/>
    <w:qFormat/>
    <w:rPr>
      <w:rFonts w:ascii="仿宋_GB2312" w:hAnsi="Arial" w:eastAsia="仿宋_GB2312"/>
      <w:sz w:val="32"/>
      <w:szCs w:val="20"/>
    </w:rPr>
  </w:style>
  <w:style w:type="paragraph" w:styleId="786">
    <w:name w:val="Body Text"/>
    <w:basedOn w:val="768"/>
    <w:link w:val="1022"/>
    <w:uiPriority w:val="0"/>
    <w:qFormat/>
    <w:rPr>
      <w:rFonts w:ascii="楷体_GB2312" w:hAnsi="Arial" w:eastAsia="楷体_GB2312"/>
      <w:sz w:val="28"/>
      <w:szCs w:val="20"/>
    </w:rPr>
  </w:style>
  <w:style w:type="paragraph" w:styleId="787">
    <w:name w:val="Body Text Indent"/>
    <w:basedOn w:val="768"/>
    <w:next w:val="788"/>
    <w:uiPriority w:val="0"/>
    <w:qFormat/>
    <w:pPr>
      <w:ind w:firstLine="645"/>
    </w:pPr>
    <w:rPr>
      <w:rFonts w:ascii="楷体_GB2312" w:eastAsia="楷体_GB2312"/>
      <w:sz w:val="32"/>
      <w:szCs w:val="20"/>
    </w:rPr>
  </w:style>
  <w:style w:type="paragraph" w:styleId="788">
    <w:name w:val="envelope return"/>
    <w:basedOn w:val="768"/>
    <w:uiPriority w:val="0"/>
    <w:qFormat/>
    <w:rPr>
      <w:rFonts w:ascii="Arial" w:hAnsi="Arial"/>
    </w:rPr>
  </w:style>
  <w:style w:type="paragraph" w:styleId="789">
    <w:name w:val="Block Text"/>
    <w:basedOn w:val="768"/>
    <w:uiPriority w:val="99"/>
    <w:unhideWhenUsed/>
    <w:qFormat/>
    <w:pPr>
      <w:ind w:left="1440" w:right="1440"/>
      <w:spacing w:after="120"/>
    </w:pPr>
  </w:style>
  <w:style w:type="paragraph" w:styleId="790">
    <w:name w:val="index 4"/>
    <w:basedOn w:val="768"/>
    <w:next w:val="768"/>
    <w:uiPriority w:val="99"/>
    <w:qFormat/>
    <w:pPr>
      <w:ind w:left="600"/>
    </w:pPr>
    <w:rPr>
      <w:rFonts w:ascii="Calibri" w:hAnsi="Calibri"/>
    </w:rPr>
  </w:style>
  <w:style w:type="paragraph" w:styleId="791">
    <w:name w:val="toc 5"/>
    <w:basedOn w:val="768"/>
    <w:next w:val="768"/>
    <w:uiPriority w:val="0"/>
    <w:semiHidden/>
    <w:qFormat/>
    <w:pPr>
      <w:ind w:left="1680"/>
    </w:pPr>
  </w:style>
  <w:style w:type="paragraph" w:styleId="792">
    <w:name w:val="toc 3"/>
    <w:basedOn w:val="768"/>
    <w:next w:val="768"/>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93">
    <w:name w:val="Plain Text"/>
    <w:basedOn w:val="768"/>
    <w:link w:val="1011"/>
    <w:uiPriority w:val="0"/>
    <w:qFormat/>
    <w:rPr>
      <w:rFonts w:ascii="宋体" w:hAnsi="Courier New"/>
      <w:szCs w:val="20"/>
    </w:rPr>
  </w:style>
  <w:style w:type="paragraph" w:styleId="794">
    <w:name w:val="toc 8"/>
    <w:basedOn w:val="768"/>
    <w:next w:val="768"/>
    <w:uiPriority w:val="0"/>
    <w:semiHidden/>
    <w:qFormat/>
    <w:pPr>
      <w:ind w:left="2940"/>
    </w:pPr>
  </w:style>
  <w:style w:type="paragraph" w:styleId="795">
    <w:name w:val="Date"/>
    <w:basedOn w:val="768"/>
    <w:next w:val="768"/>
    <w:link w:val="1023"/>
    <w:uiPriority w:val="0"/>
    <w:qFormat/>
    <w:rPr>
      <w:sz w:val="24"/>
      <w:szCs w:val="20"/>
    </w:rPr>
  </w:style>
  <w:style w:type="paragraph" w:styleId="796">
    <w:name w:val="Body Text Indent 2"/>
    <w:basedOn w:val="768"/>
    <w:uiPriority w:val="0"/>
    <w:qFormat/>
    <w:pPr>
      <w:ind w:firstLine="560"/>
    </w:pPr>
    <w:rPr>
      <w:rFonts w:ascii="宋体" w:hAnsi="宋体"/>
      <w:sz w:val="28"/>
    </w:rPr>
  </w:style>
  <w:style w:type="paragraph" w:styleId="797">
    <w:name w:val="endnote text"/>
    <w:basedOn w:val="768"/>
    <w:link w:val="974"/>
    <w:uiPriority w:val="99"/>
    <w:semiHidden/>
    <w:unhideWhenUsed/>
    <w:qFormat/>
    <w:pPr>
      <w:spacing w:after="0" w:line="240" w:lineRule="auto"/>
    </w:pPr>
    <w:rPr>
      <w:sz w:val="20"/>
    </w:rPr>
  </w:style>
  <w:style w:type="paragraph" w:styleId="798">
    <w:name w:val="Balloon Text"/>
    <w:basedOn w:val="768"/>
    <w:uiPriority w:val="0"/>
    <w:semiHidden/>
    <w:qFormat/>
    <w:rPr>
      <w:sz w:val="18"/>
      <w:szCs w:val="18"/>
    </w:rPr>
  </w:style>
  <w:style w:type="paragraph" w:styleId="799">
    <w:name w:val="Footer"/>
    <w:basedOn w:val="768"/>
    <w:uiPriority w:val="0"/>
    <w:qFormat/>
    <w:pPr>
      <w:jc w:val="left"/>
      <w:tabs>
        <w:tab w:val="center" w:pos="4153" w:leader="none"/>
        <w:tab w:val="right" w:pos="8306" w:leader="none"/>
      </w:tabs>
    </w:pPr>
    <w:rPr>
      <w:sz w:val="18"/>
      <w:szCs w:val="20"/>
    </w:rPr>
  </w:style>
  <w:style w:type="paragraph" w:styleId="800">
    <w:name w:val="Header"/>
    <w:basedOn w:val="768"/>
    <w:link w:val="1024"/>
    <w:uiPriority w:val="99"/>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68"/>
    <w:next w:val="768"/>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02">
    <w:name w:val="toc 4"/>
    <w:basedOn w:val="768"/>
    <w:next w:val="768"/>
    <w:uiPriority w:val="0"/>
    <w:semiHidden/>
    <w:qFormat/>
    <w:pPr>
      <w:ind w:left="1260"/>
    </w:pPr>
  </w:style>
  <w:style w:type="paragraph" w:styleId="803">
    <w:name w:val="Subtitle"/>
    <w:basedOn w:val="768"/>
    <w:next w:val="768"/>
    <w:link w:val="840"/>
    <w:uiPriority w:val="11"/>
    <w:qFormat/>
    <w:pPr>
      <w:spacing w:before="200" w:after="200"/>
    </w:pPr>
    <w:rPr>
      <w:sz w:val="24"/>
      <w:szCs w:val="24"/>
    </w:rPr>
  </w:style>
  <w:style w:type="paragraph" w:styleId="804">
    <w:name w:val="footnote text"/>
    <w:basedOn w:val="768"/>
    <w:link w:val="973"/>
    <w:uiPriority w:val="99"/>
    <w:semiHidden/>
    <w:unhideWhenUsed/>
    <w:qFormat/>
    <w:pPr>
      <w:spacing w:after="40" w:line="240" w:lineRule="auto"/>
    </w:pPr>
    <w:rPr>
      <w:sz w:val="18"/>
    </w:rPr>
  </w:style>
  <w:style w:type="paragraph" w:styleId="805">
    <w:name w:val="toc 6"/>
    <w:basedOn w:val="768"/>
    <w:next w:val="768"/>
    <w:uiPriority w:val="0"/>
    <w:semiHidden/>
    <w:qFormat/>
    <w:pPr>
      <w:ind w:left="2100"/>
    </w:pPr>
  </w:style>
  <w:style w:type="paragraph" w:styleId="806">
    <w:name w:val="Body Text Indent 3"/>
    <w:basedOn w:val="768"/>
    <w:uiPriority w:val="0"/>
    <w:qFormat/>
    <w:pPr>
      <w:ind w:firstLine="523"/>
    </w:pPr>
    <w:rPr>
      <w:rFonts w:ascii="仿宋_GB2312" w:hAnsi="宋体" w:eastAsia="仿宋_GB2312"/>
      <w:sz w:val="24"/>
    </w:rPr>
  </w:style>
  <w:style w:type="paragraph" w:styleId="807">
    <w:name w:val="table of figures"/>
    <w:basedOn w:val="768"/>
    <w:next w:val="768"/>
    <w:uiPriority w:val="99"/>
    <w:unhideWhenUsed/>
    <w:qFormat/>
    <w:pPr>
      <w:spacing w:after="0" w:afterAutospacing="0"/>
    </w:pPr>
  </w:style>
  <w:style w:type="paragraph" w:styleId="808">
    <w:name w:val="toc 2"/>
    <w:basedOn w:val="768"/>
    <w:next w:val="768"/>
    <w:uiPriority w:val="0"/>
    <w:semiHidden/>
    <w:qFormat/>
    <w:pPr>
      <w:jc w:val="left"/>
      <w:spacing w:line="260" w:lineRule="exact"/>
      <w:tabs>
        <w:tab w:val="right" w:pos="9440" w:leader="dot"/>
      </w:tabs>
    </w:pPr>
    <w:rPr>
      <w:rFonts w:ascii="黑体" w:eastAsia="黑体"/>
      <w:b/>
      <w:bCs/>
      <w:smallCaps/>
      <w:sz w:val="18"/>
      <w:szCs w:val="44"/>
    </w:rPr>
  </w:style>
  <w:style w:type="paragraph" w:styleId="809">
    <w:name w:val="toc 9"/>
    <w:basedOn w:val="768"/>
    <w:next w:val="768"/>
    <w:uiPriority w:val="0"/>
    <w:semiHidden/>
    <w:qFormat/>
    <w:pPr>
      <w:ind w:left="3360"/>
    </w:pPr>
  </w:style>
  <w:style w:type="paragraph" w:styleId="810">
    <w:name w:val="Body Text 2"/>
    <w:basedOn w:val="768"/>
    <w:uiPriority w:val="0"/>
    <w:qFormat/>
    <w:pPr>
      <w:jc w:val="center"/>
    </w:pPr>
    <w:rPr>
      <w:rFonts w:ascii="仿宋_GB2312" w:eastAsia="仿宋_GB2312"/>
      <w:sz w:val="44"/>
    </w:rPr>
  </w:style>
  <w:style w:type="paragraph" w:styleId="811">
    <w:name w:val="List Continue 2"/>
    <w:next w:val="768"/>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12">
    <w:name w:val="HTML Preformatted"/>
    <w:basedOn w:val="768"/>
    <w:link w:val="10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3">
    <w:name w:val="Normal (Web)"/>
    <w:basedOn w:val="768"/>
    <w:link w:val="1008"/>
    <w:uiPriority w:val="99"/>
    <w:unhideWhenUsed/>
    <w:qFormat/>
    <w:pPr>
      <w:jc w:val="left"/>
      <w:spacing w:before="100" w:beforeAutospacing="1" w:after="100" w:afterAutospacing="1"/>
      <w:widowControl/>
    </w:pPr>
    <w:rPr>
      <w:rFonts w:ascii="宋体" w:hAnsi="宋体"/>
      <w:sz w:val="24"/>
    </w:rPr>
  </w:style>
  <w:style w:type="paragraph" w:styleId="814">
    <w:name w:val="index 1"/>
    <w:basedOn w:val="768"/>
    <w:next w:val="768"/>
    <w:uiPriority w:val="0"/>
    <w:semiHidden/>
    <w:qFormat/>
    <w:rPr>
      <w:rFonts w:ascii="宋体" w:hAnsi="宋体"/>
      <w:szCs w:val="18"/>
    </w:rPr>
  </w:style>
  <w:style w:type="paragraph" w:styleId="815">
    <w:name w:val="Title"/>
    <w:basedOn w:val="768"/>
    <w:next w:val="768"/>
    <w:link w:val="1026"/>
    <w:uiPriority w:val="0"/>
    <w:qFormat/>
    <w:pPr>
      <w:jc w:val="center"/>
      <w:spacing w:before="240" w:after="60"/>
      <w:outlineLvl w:val="0"/>
    </w:pPr>
    <w:rPr>
      <w:rFonts w:ascii="Cambria" w:hAnsi="Cambria"/>
      <w:b/>
      <w:bCs/>
      <w:sz w:val="32"/>
      <w:szCs w:val="32"/>
    </w:rPr>
  </w:style>
  <w:style w:type="paragraph" w:styleId="816">
    <w:name w:val="annotation subject"/>
    <w:basedOn w:val="784"/>
    <w:next w:val="784"/>
    <w:link w:val="1009"/>
    <w:uiPriority w:val="0"/>
    <w:qFormat/>
    <w:rPr>
      <w:b/>
      <w:bCs/>
    </w:rPr>
  </w:style>
  <w:style w:type="paragraph" w:styleId="817">
    <w:name w:val="Body Text First Indent"/>
    <w:basedOn w:val="786"/>
    <w:next w:val="805"/>
    <w:uiPriority w:val="99"/>
    <w:qFormat/>
    <w:pPr>
      <w:ind w:firstLine="200"/>
      <w:spacing w:line="360" w:lineRule="auto"/>
    </w:pPr>
    <w:rPr>
      <w:rFonts w:ascii="仿宋_GB2312" w:eastAsia="仿宋_GB2312"/>
      <w:sz w:val="30"/>
      <w:szCs w:val="30"/>
    </w:rPr>
  </w:style>
  <w:style w:type="paragraph" w:styleId="818">
    <w:name w:val="Body Text First Indent 2"/>
    <w:basedOn w:val="787"/>
    <w:uiPriority w:val="0"/>
    <w:qFormat/>
    <w:pPr>
      <w:ind w:firstLine="420"/>
      <w:spacing w:line="360" w:lineRule="auto"/>
    </w:pPr>
    <w:rPr>
      <w:rFonts w:ascii="宋体" w:hAnsi="宋体" w:eastAsia="宋体"/>
      <w:sz w:val="21"/>
    </w:rPr>
  </w:style>
  <w:style w:type="table" w:styleId="819">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0">
    <w:name w:val="Strong"/>
    <w:basedOn w:val="778"/>
    <w:uiPriority w:val="0"/>
    <w:qFormat/>
    <w:rPr>
      <w:b/>
      <w:bCs/>
    </w:rPr>
  </w:style>
  <w:style w:type="character" w:styleId="821">
    <w:name w:val="endnote reference"/>
    <w:basedOn w:val="778"/>
    <w:uiPriority w:val="99"/>
    <w:semiHidden/>
    <w:unhideWhenUsed/>
    <w:qFormat/>
    <w:rPr>
      <w:vertAlign w:val="superscript"/>
    </w:rPr>
  </w:style>
  <w:style w:type="character" w:styleId="822">
    <w:name w:val="page number"/>
    <w:uiPriority w:val="0"/>
    <w:qFormat/>
  </w:style>
  <w:style w:type="character" w:styleId="823">
    <w:name w:val="FollowedHyperlink"/>
    <w:uiPriority w:val="0"/>
    <w:qFormat/>
    <w:rPr>
      <w:color w:val="800080"/>
      <w:u w:val="single"/>
    </w:rPr>
  </w:style>
  <w:style w:type="character" w:styleId="824">
    <w:name w:val="Emphasis"/>
    <w:uiPriority w:val="0"/>
    <w:qFormat/>
    <w:rPr>
      <w:i/>
    </w:rPr>
  </w:style>
  <w:style w:type="character" w:styleId="825">
    <w:name w:val="Hyperlink"/>
    <w:basedOn w:val="778"/>
    <w:uiPriority w:val="0"/>
    <w:qFormat/>
    <w:rPr>
      <w:color w:val="0000ff"/>
      <w:u w:val="single"/>
    </w:rPr>
  </w:style>
  <w:style w:type="character" w:styleId="826">
    <w:name w:val="annotation reference"/>
    <w:uiPriority w:val="99"/>
    <w:qFormat/>
    <w:rPr>
      <w:sz w:val="21"/>
      <w:szCs w:val="21"/>
    </w:rPr>
  </w:style>
  <w:style w:type="character" w:styleId="827">
    <w:name w:val="footnote reference"/>
    <w:basedOn w:val="778"/>
    <w:uiPriority w:val="99"/>
    <w:unhideWhenUsed/>
    <w:qFormat/>
    <w:rPr>
      <w:vertAlign w:val="superscript"/>
    </w:rPr>
  </w:style>
  <w:style w:type="paragraph" w:styleId="828"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character" w:styleId="829" w:customStyle="1">
    <w:name w:val="Heading 1 Char"/>
    <w:basedOn w:val="778"/>
    <w:uiPriority w:val="9"/>
    <w:qFormat/>
    <w:rPr>
      <w:rFonts w:ascii="Arial" w:hAnsi="Arial" w:eastAsia="Arial" w:cs="Arial"/>
      <w:sz w:val="40"/>
      <w:szCs w:val="40"/>
    </w:rPr>
  </w:style>
  <w:style w:type="character" w:styleId="830" w:customStyle="1">
    <w:name w:val="Heading 2 Char"/>
    <w:basedOn w:val="778"/>
    <w:uiPriority w:val="9"/>
    <w:qFormat/>
    <w:rPr>
      <w:rFonts w:ascii="Arial" w:hAnsi="Arial" w:eastAsia="Arial" w:cs="Arial"/>
      <w:sz w:val="34"/>
    </w:rPr>
  </w:style>
  <w:style w:type="character" w:styleId="831" w:customStyle="1">
    <w:name w:val="Heading 3 Char"/>
    <w:basedOn w:val="778"/>
    <w:uiPriority w:val="9"/>
    <w:qFormat/>
    <w:rPr>
      <w:rFonts w:ascii="Arial" w:hAnsi="Arial" w:eastAsia="Arial" w:cs="Arial"/>
      <w:sz w:val="30"/>
      <w:szCs w:val="30"/>
    </w:rPr>
  </w:style>
  <w:style w:type="character" w:styleId="832" w:customStyle="1">
    <w:name w:val="Heading 4 Char"/>
    <w:basedOn w:val="778"/>
    <w:uiPriority w:val="9"/>
    <w:qFormat/>
    <w:rPr>
      <w:rFonts w:ascii="Arial" w:hAnsi="Arial" w:eastAsia="Arial" w:cs="Arial"/>
      <w:b/>
      <w:bCs/>
      <w:sz w:val="26"/>
      <w:szCs w:val="26"/>
    </w:rPr>
  </w:style>
  <w:style w:type="character" w:styleId="833" w:customStyle="1">
    <w:name w:val="Heading 5 Char"/>
    <w:basedOn w:val="778"/>
    <w:uiPriority w:val="9"/>
    <w:qFormat/>
    <w:rPr>
      <w:rFonts w:ascii="Arial" w:hAnsi="Arial" w:eastAsia="Arial" w:cs="Arial"/>
      <w:b/>
      <w:bCs/>
      <w:sz w:val="24"/>
      <w:szCs w:val="24"/>
    </w:rPr>
  </w:style>
  <w:style w:type="character" w:styleId="834" w:customStyle="1">
    <w:name w:val="Heading 6 Char"/>
    <w:basedOn w:val="778"/>
    <w:link w:val="774"/>
    <w:uiPriority w:val="9"/>
    <w:qFormat/>
    <w:rPr>
      <w:rFonts w:ascii="Arial" w:hAnsi="Arial" w:eastAsia="Arial" w:cs="Arial"/>
      <w:b/>
      <w:bCs/>
      <w:sz w:val="22"/>
      <w:szCs w:val="22"/>
    </w:rPr>
  </w:style>
  <w:style w:type="character" w:styleId="835" w:customStyle="1">
    <w:name w:val="Heading 7 Char"/>
    <w:basedOn w:val="778"/>
    <w:link w:val="775"/>
    <w:uiPriority w:val="9"/>
    <w:qFormat/>
    <w:rPr>
      <w:rFonts w:ascii="Arial" w:hAnsi="Arial" w:eastAsia="Arial" w:cs="Arial"/>
      <w:b/>
      <w:bCs/>
      <w:i/>
      <w:iCs/>
      <w:sz w:val="22"/>
      <w:szCs w:val="22"/>
    </w:rPr>
  </w:style>
  <w:style w:type="character" w:styleId="836" w:customStyle="1">
    <w:name w:val="Heading 8 Char"/>
    <w:basedOn w:val="778"/>
    <w:uiPriority w:val="9"/>
    <w:qFormat/>
    <w:rPr>
      <w:rFonts w:ascii="Arial" w:hAnsi="Arial" w:eastAsia="Arial" w:cs="Arial"/>
      <w:i/>
      <w:iCs/>
      <w:sz w:val="22"/>
      <w:szCs w:val="22"/>
    </w:rPr>
  </w:style>
  <w:style w:type="character" w:styleId="837" w:customStyle="1">
    <w:name w:val="Heading 9 Char"/>
    <w:basedOn w:val="778"/>
    <w:link w:val="777"/>
    <w:uiPriority w:val="9"/>
    <w:qFormat/>
    <w:rPr>
      <w:rFonts w:ascii="Arial" w:hAnsi="Arial" w:eastAsia="Arial" w:cs="Arial"/>
      <w:i/>
      <w:iCs/>
      <w:sz w:val="21"/>
      <w:szCs w:val="21"/>
    </w:rPr>
  </w:style>
  <w:style w:type="paragraph" w:styleId="838">
    <w:name w:val="No Spacing"/>
    <w:uiPriority w:val="1"/>
    <w:qFormat/>
    <w:pPr>
      <w:spacing w:before="0" w:after="0" w:line="240" w:lineRule="auto"/>
    </w:pPr>
    <w:rPr>
      <w:rFonts w:hint="default" w:ascii="Times New Roman" w:hAnsi="Times New Roman" w:eastAsia="宋体" w:cs="Times New Roman"/>
    </w:rPr>
  </w:style>
  <w:style w:type="character" w:styleId="839" w:customStyle="1">
    <w:name w:val="Title Char"/>
    <w:basedOn w:val="778"/>
    <w:uiPriority w:val="10"/>
    <w:qFormat/>
    <w:rPr>
      <w:sz w:val="48"/>
      <w:szCs w:val="48"/>
    </w:rPr>
  </w:style>
  <w:style w:type="character" w:styleId="840" w:customStyle="1">
    <w:name w:val="Subtitle Char"/>
    <w:basedOn w:val="778"/>
    <w:link w:val="803"/>
    <w:uiPriority w:val="11"/>
    <w:qFormat/>
    <w:rPr>
      <w:sz w:val="24"/>
      <w:szCs w:val="24"/>
    </w:rPr>
  </w:style>
  <w:style w:type="paragraph" w:styleId="841">
    <w:name w:val="Quote"/>
    <w:basedOn w:val="768"/>
    <w:next w:val="768"/>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68"/>
    <w:next w:val="768"/>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character" w:styleId="845" w:customStyle="1">
    <w:name w:val="Header Char"/>
    <w:basedOn w:val="778"/>
    <w:uiPriority w:val="99"/>
    <w:qFormat/>
  </w:style>
  <w:style w:type="character" w:styleId="846" w:customStyle="1">
    <w:name w:val="Footer Char"/>
    <w:basedOn w:val="778"/>
    <w:uiPriority w:val="99"/>
    <w:qFormat/>
  </w:style>
  <w:style w:type="character" w:styleId="847" w:customStyle="1">
    <w:name w:val="Caption Char"/>
    <w:uiPriority w:val="99"/>
    <w:qFormat/>
  </w:style>
  <w:style w:type="table" w:styleId="848"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basedOn w:val="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basedOn w:val="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basedOn w:val="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basedOn w:val="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basedOn w:val="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3" w:customStyle="1">
    <w:name w:val="Grid Table 6 Colorful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basedOn w:val="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basedOn w:val="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basedOn w:val="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basedOn w:val="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basedOn w:val="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basedOn w:val="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basedOn w:val="7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basedOn w:val="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basedOn w:val="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basedOn w:val="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basedOn w:val="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basedOn w:val="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basedOn w:val="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basedOn w:val="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basedOn w:val="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basedOn w:val="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basedOn w:val="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basedOn w:val="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basedOn w:val="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basedOn w:val="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basedOn w:val="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Footnote Text Char"/>
    <w:link w:val="804"/>
    <w:uiPriority w:val="99"/>
    <w:qFormat/>
    <w:rPr>
      <w:sz w:val="18"/>
    </w:rPr>
  </w:style>
  <w:style w:type="character" w:styleId="974" w:customStyle="1">
    <w:name w:val="Endnote Text Char"/>
    <w:link w:val="797"/>
    <w:uiPriority w:val="99"/>
    <w:qFormat/>
    <w:rPr>
      <w:sz w:val="20"/>
    </w:rPr>
  </w:style>
  <w:style w:type="paragraph" w:styleId="975" w:customStyle="1">
    <w:name w:val="TOC Heading"/>
    <w:uiPriority w:val="39"/>
    <w:unhideWhenUsed/>
    <w:qFormat/>
    <w:rPr>
      <w:rFonts w:hint="default" w:ascii="Times New Roman" w:hAnsi="Times New Roman" w:eastAsia="宋体" w:cs="Times New Roman"/>
    </w:rPr>
  </w:style>
  <w:style w:type="paragraph" w:styleId="976" w:customStyle="1">
    <w:name w:val="Coms Alinea"/>
    <w:uiPriority w:val="0"/>
    <w:qFormat/>
    <w:pPr>
      <w:widowControl w:val="off"/>
    </w:pPr>
    <w:rPr>
      <w:rFonts w:hint="default" w:ascii="Arial" w:hAnsi="Arial" w:eastAsia="宋体" w:cs="Arial"/>
      <w:lang w:val="en-US" w:eastAsia="zh-CN" w:bidi="ar-SA"/>
    </w:rPr>
  </w:style>
  <w:style w:type="paragraph" w:styleId="977" w:customStyle="1">
    <w:name w:val="表格"/>
    <w:basedOn w:val="768"/>
    <w:uiPriority w:val="0"/>
    <w:qFormat/>
    <w:rPr>
      <w:rFonts w:ascii="华文细黑" w:hAnsi="华文细黑" w:eastAsia="华文细黑"/>
    </w:rPr>
  </w:style>
  <w:style w:type="paragraph" w:styleId="97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正文 1.1.1"/>
    <w:basedOn w:val="768"/>
    <w:next w:val="768"/>
    <w:uiPriority w:val="0"/>
    <w:qFormat/>
    <w:pPr>
      <w:spacing w:line="360" w:lineRule="auto"/>
      <w:tabs>
        <w:tab w:val="left" w:pos="851" w:leader="none"/>
      </w:tabs>
      <w:outlineLvl w:val="2"/>
    </w:pPr>
    <w:rPr>
      <w:rFonts w:ascii="宋体" w:hAnsi="宋体"/>
      <w:color w:val="000000"/>
      <w:sz w:val="28"/>
      <w:szCs w:val="21"/>
    </w:rPr>
  </w:style>
  <w:style w:type="paragraph" w:styleId="980" w:customStyle="1">
    <w:name w:val="列出段落1"/>
    <w:basedOn w:val="768"/>
    <w:link w:val="1027"/>
    <w:uiPriority w:val="0"/>
    <w:qFormat/>
    <w:pPr>
      <w:contextualSpacing/>
      <w:ind w:left="720"/>
      <w:jc w:val="left"/>
      <w:widowControl/>
    </w:pPr>
    <w:rPr>
      <w:sz w:val="24"/>
      <w:lang w:eastAsia="en-US" w:bidi="en-US"/>
    </w:rPr>
  </w:style>
  <w:style w:type="paragraph" w:styleId="981" w:customStyle="1">
    <w:name w:val="HTML 预先格式化"/>
    <w:basedOn w:val="7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2" w:customStyle="1">
    <w:name w:val="_Style 57"/>
    <w:uiPriority w:val="99"/>
    <w:semiHidden/>
    <w:qFormat/>
    <w:rPr>
      <w:rFonts w:hint="default" w:ascii="Calibri" w:hAnsi="Calibri" w:eastAsia="宋体" w:cs="Times New Roman"/>
      <w:sz w:val="21"/>
      <w:szCs w:val="24"/>
      <w:lang w:val="en-US" w:eastAsia="zh-CN" w:bidi="ar-SA"/>
    </w:rPr>
  </w:style>
  <w:style w:type="paragraph" w:styleId="983" w:customStyle="1">
    <w:name w:val="标题3"/>
    <w:basedOn w:val="768"/>
    <w:next w:val="768"/>
    <w:uiPriority w:val="0"/>
    <w:qFormat/>
    <w:rPr>
      <w:rFonts w:eastAsia="方正黑体_GBK"/>
    </w:rPr>
  </w:style>
  <w:style w:type="paragraph" w:styleId="984" w:customStyle="1">
    <w:name w:val="列出段落_0"/>
    <w:basedOn w:val="978"/>
    <w:uiPriority w:val="0"/>
    <w:qFormat/>
    <w:pPr>
      <w:ind w:firstLine="420"/>
    </w:pPr>
  </w:style>
  <w:style w:type="paragraph" w:styleId="985"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86" w:customStyle="1">
    <w:name w:val="正文空2格  1."/>
    <w:basedOn w:val="768"/>
    <w:uiPriority w:val="0"/>
    <w:qFormat/>
    <w:pPr>
      <w:ind w:firstLine="480"/>
      <w:spacing w:line="360" w:lineRule="auto"/>
    </w:pPr>
    <w:rPr>
      <w:rFonts w:ascii="宋体" w:eastAsia="仿宋" w:cs="宋体"/>
      <w:sz w:val="28"/>
      <w:szCs w:val="20"/>
    </w:rPr>
  </w:style>
  <w:style w:type="paragraph" w:styleId="987" w:customStyle="1">
    <w:name w:val="标题2"/>
    <w:basedOn w:val="768"/>
    <w:next w:val="768"/>
    <w:uiPriority w:val="0"/>
    <w:qFormat/>
    <w:pPr>
      <w:jc w:val="center"/>
    </w:pPr>
    <w:rPr>
      <w:rFonts w:eastAsia="方正楷体_GBK"/>
    </w:rPr>
  </w:style>
  <w:style w:type="paragraph" w:styleId="988"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89"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990" w:customStyle="1">
    <w:name w:val="正文 第一章"/>
    <w:basedOn w:val="768"/>
    <w:next w:val="991"/>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1" w:customStyle="1">
    <w:name w:val="正文 1.1"/>
    <w:basedOn w:val="768"/>
    <w:next w:val="979"/>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92" w:customStyle="1">
    <w:name w:val="_Style 64"/>
    <w:uiPriority w:val="99"/>
    <w:unhideWhenUsed/>
    <w:qFormat/>
    <w:rPr>
      <w:rFonts w:hint="default" w:ascii="Calibri" w:hAnsi="Calibri" w:eastAsia="宋体" w:cs="Times New Roman"/>
      <w:sz w:val="21"/>
      <w:szCs w:val="24"/>
      <w:lang w:val="en-US" w:eastAsia="zh-CN" w:bidi="ar-SA"/>
    </w:rPr>
  </w:style>
  <w:style w:type="paragraph" w:styleId="993" w:customStyle="1">
    <w:name w:val="Char Char Char Char1 Char Char"/>
    <w:basedOn w:val="768"/>
    <w:uiPriority w:val="0"/>
    <w:qFormat/>
    <w:pPr>
      <w:tabs>
        <w:tab w:val="left" w:pos="360" w:leader="none"/>
      </w:tabs>
    </w:pPr>
    <w:rPr>
      <w:sz w:val="24"/>
    </w:rPr>
  </w:style>
  <w:style w:type="paragraph" w:styleId="994" w:customStyle="1">
    <w:name w:val="BioQuote Tekst"/>
    <w:basedOn w:val="768"/>
    <w:uiPriority w:val="0"/>
    <w:qFormat/>
    <w:pPr>
      <w:ind w:right="-1"/>
    </w:pPr>
    <w:rPr>
      <w:rFonts w:ascii="Arial" w:hAnsi="Arial"/>
      <w:sz w:val="22"/>
      <w:szCs w:val="20"/>
      <w:lang w:eastAsia="en-US"/>
    </w:rPr>
  </w:style>
  <w:style w:type="paragraph" w:styleId="995" w:customStyle="1">
    <w:name w:val="Char Char Char Char1 Char Char Char"/>
    <w:basedOn w:val="783"/>
    <w:uiPriority w:val="0"/>
    <w:qFormat/>
    <w:pPr>
      <w:spacing w:line="360" w:lineRule="auto"/>
    </w:pPr>
    <w:rPr>
      <w:rFonts w:ascii="Tahoma" w:hAnsi="Tahoma"/>
      <w:sz w:val="24"/>
    </w:rPr>
  </w:style>
  <w:style w:type="paragraph" w:styleId="996" w:customStyle="1">
    <w:name w:val="普通正文"/>
    <w:basedOn w:val="768"/>
    <w:uiPriority w:val="0"/>
    <w:qFormat/>
    <w:pPr>
      <w:ind w:firstLine="480"/>
      <w:jc w:val="left"/>
      <w:spacing w:before="120" w:after="120" w:line="360" w:lineRule="auto"/>
    </w:pPr>
    <w:rPr>
      <w:rFonts w:ascii="Arial" w:hAnsi="Arial"/>
      <w:sz w:val="24"/>
    </w:rPr>
  </w:style>
  <w:style w:type="paragraph" w:styleId="997" w:customStyle="1">
    <w:name w:val="Char"/>
    <w:basedOn w:val="768"/>
    <w:uiPriority w:val="0"/>
    <w:qFormat/>
    <w:rPr>
      <w:rFonts w:ascii="Tahoma" w:hAnsi="Tahoma"/>
      <w:sz w:val="24"/>
      <w:szCs w:val="20"/>
    </w:rPr>
  </w:style>
  <w:style w:type="paragraph" w:styleId="998" w:customStyle="1">
    <w:name w:val="标题1"/>
    <w:basedOn w:val="768"/>
    <w:next w:val="768"/>
    <w:uiPriority w:val="0"/>
    <w:qFormat/>
    <w:pPr>
      <w:jc w:val="center"/>
      <w:spacing w:line="700" w:lineRule="atLeast"/>
      <w:tabs>
        <w:tab w:val="left" w:pos="9193" w:leader="none"/>
        <w:tab w:val="left" w:pos="9827" w:leader="none"/>
      </w:tabs>
    </w:pPr>
    <w:rPr>
      <w:rFonts w:eastAsia="方正小标宋_GBK"/>
      <w:sz w:val="44"/>
    </w:rPr>
  </w:style>
  <w:style w:type="paragraph" w:styleId="999" w:customStyle="1">
    <w:name w:val="Body text|1"/>
    <w:basedOn w:val="768"/>
    <w:uiPriority w:val="0"/>
    <w:qFormat/>
    <w:pPr>
      <w:spacing w:line="346" w:lineRule="auto"/>
    </w:pPr>
    <w:rPr>
      <w:rFonts w:ascii="MingLiU" w:hAnsi="MingLiU" w:eastAsia="MingLiU" w:cs="MingLiU"/>
      <w:sz w:val="15"/>
      <w:szCs w:val="15"/>
      <w:lang w:val="zh-TW" w:eastAsia="zh-TW" w:bidi="zh-TW"/>
    </w:rPr>
  </w:style>
  <w:style w:type="paragraph" w:styleId="1000" w:customStyle="1">
    <w:name w:val="xl47"/>
    <w:basedOn w:val="76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1" w:customStyle="1">
    <w:name w:val="列出段落2"/>
    <w:basedOn w:val="768"/>
    <w:uiPriority w:val="0"/>
    <w:qFormat/>
    <w:pPr>
      <w:ind w:firstLine="420"/>
    </w:pPr>
    <w:rPr>
      <w:szCs w:val="22"/>
    </w:rPr>
  </w:style>
  <w:style w:type="paragraph" w:styleId="1002" w:customStyle="1">
    <w:name w:val="Char Char Char Char"/>
    <w:basedOn w:val="783"/>
    <w:uiPriority w:val="0"/>
    <w:qFormat/>
    <w:pPr>
      <w:spacing w:line="360" w:lineRule="auto"/>
    </w:pPr>
    <w:rPr>
      <w:rFonts w:ascii="Tahoma" w:hAnsi="Tahoma"/>
      <w:sz w:val="24"/>
    </w:rPr>
  </w:style>
  <w:style w:type="paragraph" w:styleId="1003" w:customStyle="1">
    <w:name w:val="默认段落字体 Para Char Char Char Char Char Char Char Char Char1 Char Char Char Char Char Char Char"/>
    <w:basedOn w:val="783"/>
    <w:uiPriority w:val="0"/>
    <w:qFormat/>
    <w:rPr>
      <w:rFonts w:ascii="Tahoma" w:hAnsi="Tahoma"/>
      <w:sz w:val="24"/>
    </w:rPr>
  </w:style>
  <w:style w:type="paragraph" w:styleId="1004" w:customStyle="1">
    <w:name w:val="Char1"/>
    <w:basedOn w:val="768"/>
    <w:uiPriority w:val="0"/>
    <w:qFormat/>
    <w:pPr>
      <w:tabs>
        <w:tab w:val="left" w:pos="360" w:leader="none"/>
      </w:tabs>
    </w:pPr>
    <w:rPr>
      <w:sz w:val="24"/>
    </w:rPr>
  </w:style>
  <w:style w:type="paragraph" w:styleId="1005">
    <w:name w:val="List Paragraph"/>
    <w:basedOn w:val="768"/>
    <w:uiPriority w:val="34"/>
    <w:qFormat/>
    <w:pPr>
      <w:ind w:firstLine="420"/>
    </w:pPr>
    <w:rPr>
      <w:szCs w:val="22"/>
    </w:rPr>
  </w:style>
  <w:style w:type="paragraph" w:styleId="1006" w:customStyle="1">
    <w:name w:val="第四级"/>
    <w:basedOn w:val="768"/>
    <w:next w:val="768"/>
    <w:uiPriority w:val="0"/>
    <w:qFormat/>
    <w:pPr>
      <w:spacing w:line="360" w:lineRule="auto"/>
      <w:tabs>
        <w:tab w:val="left" w:pos="1134" w:leader="none"/>
      </w:tabs>
    </w:pPr>
    <w:rPr>
      <w:rFonts w:ascii="宋体" w:hAnsi="宋体" w:eastAsia="仿宋"/>
      <w:sz w:val="28"/>
      <w:szCs w:val="21"/>
    </w:rPr>
  </w:style>
  <w:style w:type="character" w:styleId="1007" w:customStyle="1">
    <w:name w:val="NormalCharacter"/>
    <w:link w:val="768"/>
    <w:uiPriority w:val="0"/>
    <w:qFormat/>
    <w:rPr>
      <w:rFonts w:ascii="Calibri" w:hAnsi="Calibri" w:eastAsia="宋体" w:cs="Times New Roman"/>
      <w:sz w:val="21"/>
      <w:szCs w:val="24"/>
      <w:lang w:val="en-US" w:eastAsia="zh-CN" w:bidi="ar-SA"/>
    </w:rPr>
  </w:style>
  <w:style w:type="character" w:styleId="1008" w:customStyle="1">
    <w:name w:val="普通(网站) 字符"/>
    <w:link w:val="813"/>
    <w:uiPriority w:val="0"/>
    <w:qFormat/>
    <w:rPr>
      <w:rFonts w:ascii="宋体" w:hAnsi="宋体" w:cs="宋体"/>
      <w:sz w:val="24"/>
      <w:szCs w:val="24"/>
    </w:rPr>
  </w:style>
  <w:style w:type="character" w:styleId="1009" w:customStyle="1">
    <w:name w:val="批注主题 字符"/>
    <w:link w:val="816"/>
    <w:uiPriority w:val="0"/>
    <w:qFormat/>
    <w:rPr>
      <w:b/>
      <w:bCs/>
      <w:sz w:val="21"/>
      <w:szCs w:val="24"/>
    </w:rPr>
  </w:style>
  <w:style w:type="character" w:styleId="1010" w:customStyle="1">
    <w:name w:val="apple-converted-space"/>
    <w:basedOn w:val="778"/>
    <w:uiPriority w:val="0"/>
    <w:qFormat/>
  </w:style>
  <w:style w:type="character" w:styleId="1011" w:customStyle="1">
    <w:name w:val="纯文本 字符"/>
    <w:link w:val="793"/>
    <w:uiPriority w:val="99"/>
    <w:qFormat/>
    <w:rPr>
      <w:rFonts w:ascii="宋体" w:hAnsi="Courier New"/>
      <w:sz w:val="21"/>
    </w:rPr>
  </w:style>
  <w:style w:type="character" w:styleId="1012" w:customStyle="1">
    <w:name w:val="标题2 Char"/>
    <w:uiPriority w:val="0"/>
    <w:qFormat/>
    <w:rPr>
      <w:rFonts w:ascii="方正楷体_GBK" w:hAnsi="Book Antiqua" w:eastAsia="方正楷体_GBK"/>
      <w:sz w:val="32"/>
      <w:lang w:val="en-US" w:eastAsia="zh-CN" w:bidi="ar-SA"/>
    </w:rPr>
  </w:style>
  <w:style w:type="character" w:styleId="1013" w:customStyle="1">
    <w:name w:val="font01"/>
    <w:uiPriority w:val="0"/>
    <w:qFormat/>
    <w:rPr>
      <w:rFonts w:hint="default" w:ascii="Times New Roman" w:hAnsi="Times New Roman" w:eastAsia="宋体" w:cs="Times New Roman"/>
      <w:color w:val="000000"/>
      <w:sz w:val="22"/>
      <w:szCs w:val="22"/>
      <w:u w:val="none"/>
    </w:rPr>
  </w:style>
  <w:style w:type="character" w:styleId="1014" w:customStyle="1">
    <w:name w:val="fc01294d3e-4153-482a-aea1-4b54892b7913-0"/>
    <w:uiPriority w:val="0"/>
    <w:qFormat/>
    <w:rPr>
      <w:rFonts w:ascii="Tahoma" w:hAnsi="Tahoma" w:eastAsia="Tahoma"/>
      <w:sz w:val="24"/>
      <w:szCs w:val="24"/>
      <w:shd w:val="clear" w:color="auto" w:fill="auto"/>
    </w:rPr>
  </w:style>
  <w:style w:type="character" w:styleId="1015" w:customStyle="1">
    <w:name w:val="font81"/>
    <w:uiPriority w:val="0"/>
    <w:qFormat/>
    <w:rPr>
      <w:rFonts w:hint="default" w:ascii="方正仿宋_GBK" w:hAnsi="方正仿宋_GBK" w:eastAsia="方正仿宋_GBK" w:cs="方正仿宋_GBK"/>
      <w:color w:val="000000"/>
      <w:sz w:val="16"/>
      <w:szCs w:val="16"/>
      <w:u w:val="none"/>
    </w:rPr>
  </w:style>
  <w:style w:type="character" w:styleId="1016" w:customStyle="1">
    <w:name w:val="font31"/>
    <w:basedOn w:val="1017"/>
    <w:link w:val="768"/>
    <w:uiPriority w:val="0"/>
    <w:qFormat/>
    <w:rPr>
      <w:rFonts w:ascii="方正仿宋_GBK" w:hAnsi="方正仿宋_GBK" w:eastAsia="方正仿宋_GBK" w:cs="方正仿宋_GBK"/>
      <w:color w:val="000000"/>
      <w:sz w:val="22"/>
      <w:szCs w:val="22"/>
      <w:u w:val="none"/>
    </w:rPr>
  </w:style>
  <w:style w:type="character" w:styleId="1017" w:customStyle="1">
    <w:name w:val="默认段落字体1"/>
    <w:link w:val="768"/>
    <w:uiPriority w:val="1"/>
    <w:unhideWhenUsed/>
    <w:qFormat/>
  </w:style>
  <w:style w:type="character" w:styleId="1018" w:customStyle="1">
    <w:name w:val="标题 1 字符"/>
    <w:link w:val="769"/>
    <w:uiPriority w:val="0"/>
    <w:qFormat/>
    <w:rPr>
      <w:rFonts w:ascii="楷体_GB2312" w:eastAsia="楷体_GB2312"/>
      <w:sz w:val="28"/>
      <w:lang w:val="en-US" w:eastAsia="zh-CN" w:bidi="ar-SA"/>
    </w:rPr>
  </w:style>
  <w:style w:type="character" w:styleId="1019" w:customStyle="1">
    <w:name w:val="标题 2 字符"/>
    <w:link w:val="770"/>
    <w:uiPriority w:val="0"/>
    <w:qFormat/>
    <w:rPr>
      <w:rFonts w:ascii="Arial" w:hAnsi="Arial" w:eastAsia="幼圆"/>
      <w:b/>
      <w:sz w:val="44"/>
    </w:rPr>
  </w:style>
  <w:style w:type="character" w:styleId="1020" w:customStyle="1">
    <w:name w:val="正文缩进 字符"/>
    <w:link w:val="781"/>
    <w:uiPriority w:val="0"/>
    <w:qFormat/>
    <w:rPr>
      <w:rFonts w:eastAsia="宋体"/>
      <w:sz w:val="21"/>
      <w:lang w:val="en-US" w:eastAsia="zh-CN" w:bidi="ar-SA"/>
    </w:rPr>
  </w:style>
  <w:style w:type="character" w:styleId="1021" w:customStyle="1">
    <w:name w:val="批注文字 字符"/>
    <w:link w:val="784"/>
    <w:uiPriority w:val="99"/>
    <w:qFormat/>
    <w:rPr>
      <w:sz w:val="21"/>
      <w:szCs w:val="24"/>
    </w:rPr>
  </w:style>
  <w:style w:type="character" w:styleId="1022" w:customStyle="1">
    <w:name w:val="正文文本 字符"/>
    <w:link w:val="786"/>
    <w:uiPriority w:val="0"/>
    <w:qFormat/>
    <w:rPr>
      <w:rFonts w:ascii="楷体_GB2312" w:hAnsi="Arial" w:eastAsia="楷体_GB2312"/>
      <w:sz w:val="28"/>
    </w:rPr>
  </w:style>
  <w:style w:type="character" w:styleId="1023" w:customStyle="1">
    <w:name w:val="日期 字符"/>
    <w:link w:val="795"/>
    <w:uiPriority w:val="0"/>
    <w:qFormat/>
    <w:rPr>
      <w:sz w:val="24"/>
    </w:rPr>
  </w:style>
  <w:style w:type="character" w:styleId="1024" w:customStyle="1">
    <w:name w:val="页眉 字符"/>
    <w:link w:val="800"/>
    <w:uiPriority w:val="99"/>
    <w:qFormat/>
    <w:rPr>
      <w:sz w:val="18"/>
      <w:szCs w:val="18"/>
    </w:rPr>
  </w:style>
  <w:style w:type="character" w:styleId="1025" w:customStyle="1">
    <w:name w:val="HTML 预设格式 字符"/>
    <w:link w:val="812"/>
    <w:uiPriority w:val="0"/>
    <w:qFormat/>
    <w:rPr>
      <w:rFonts w:ascii="黑体" w:hAnsi="Courier New" w:eastAsia="黑体" w:cs="Courier New"/>
    </w:rPr>
  </w:style>
  <w:style w:type="character" w:styleId="1026" w:customStyle="1">
    <w:name w:val="标题 字符"/>
    <w:link w:val="815"/>
    <w:uiPriority w:val="0"/>
    <w:qFormat/>
    <w:rPr>
      <w:rFonts w:ascii="Cambria" w:hAnsi="Cambria" w:cs="Times New Roman"/>
      <w:b/>
      <w:bCs/>
      <w:sz w:val="32"/>
      <w:szCs w:val="32"/>
    </w:rPr>
  </w:style>
  <w:style w:type="character" w:styleId="1027" w:customStyle="1">
    <w:name w:val="列出段落 Char"/>
    <w:link w:val="980"/>
    <w:uiPriority w:val="0"/>
    <w:qFormat/>
    <w:rPr>
      <w:rFonts w:ascii="Calibri" w:hAnsi="Calibri"/>
      <w:sz w:val="24"/>
      <w:szCs w:val="24"/>
      <w:lang w:eastAsia="en-US" w:bidi="en-US"/>
    </w:rPr>
  </w:style>
  <w:style w:type="character" w:styleId="1028" w:customStyle="1">
    <w:name w:val="font71"/>
    <w:uiPriority w:val="0"/>
    <w:qFormat/>
    <w:rPr>
      <w:rFonts w:hint="eastAsia" w:ascii="宋体" w:hAnsi="宋体" w:eastAsia="宋体" w:cs="宋体"/>
      <w:color w:val="000000"/>
      <w:sz w:val="21"/>
      <w:szCs w:val="21"/>
      <w:u w:val="none"/>
    </w:rPr>
  </w:style>
  <w:style w:type="character" w:styleId="1029" w:customStyle="1">
    <w:name w:val="jj1"/>
    <w:uiPriority w:val="0"/>
    <w:qFormat/>
    <w:rPr>
      <w:sz w:val="20"/>
      <w:szCs w:val="20"/>
      <w:u w:val="none"/>
    </w:rPr>
  </w:style>
  <w:style w:type="paragraph" w:styleId="1030" w:customStyle="1">
    <w:name w:val="首行缩进"/>
    <w:basedOn w:val="768"/>
    <w:uiPriority w:val="0"/>
    <w:qFormat/>
    <w:pPr>
      <w:ind w:firstLine="480"/>
      <w:spacing w:line="360" w:lineRule="auto"/>
    </w:pPr>
    <w:rPr>
      <w:rFonts w:ascii="宋体" w:hAnsi="宋体" w:cs="宋体"/>
      <w:sz w:val="24"/>
    </w:rPr>
  </w:style>
  <w:style w:type="paragraph" w:styleId="1031" w:customStyle="1">
    <w:name w:val="正文1"/>
    <w:basedOn w:val="768"/>
    <w:uiPriority w:val="0"/>
    <w:qFormat/>
    <w:pPr>
      <w:ind w:right="-167"/>
      <w:spacing w:line="440" w:lineRule="exact"/>
      <w:widowControl/>
    </w:pPr>
    <w:rPr>
      <w:rFonts w:ascii="Times New Roman" w:hAnsi="Times New Roman"/>
      <w:b/>
    </w:rPr>
  </w:style>
  <w:style w:type="paragraph" w:styleId="1032"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33" w:customStyle="1">
    <w:name w:val="修订1"/>
    <w:hidden/>
    <w:uiPriority w:val="99"/>
    <w:semiHidden/>
    <w:qFormat/>
    <w:rPr>
      <w:rFonts w:hint="default" w:ascii="Calibri" w:hAnsi="Calibri" w:eastAsia="宋体" w:cs="Times New Roman"/>
      <w:sz w:val="21"/>
      <w:szCs w:val="24"/>
      <w:lang w:val="en-US" w:eastAsia="zh-CN" w:bidi="ar-SA"/>
    </w:rPr>
  </w:style>
  <w:style w:type="character" w:styleId="1034" w:customStyle="1">
    <w:name w:val="font11"/>
    <w:basedOn w:val="778"/>
    <w:uiPriority w:val="0"/>
    <w:qFormat/>
    <w:rPr>
      <w:rFonts w:hint="eastAsia" w:ascii="宋体" w:hAnsi="宋体" w:eastAsia="宋体" w:cs="宋体"/>
      <w:b/>
      <w:bCs/>
      <w:color w:val="000000"/>
      <w:sz w:val="22"/>
      <w:szCs w:val="22"/>
      <w:u w:val="none"/>
    </w:rPr>
  </w:style>
  <w:style w:type="paragraph" w:styleId="1035" w:customStyle="1">
    <w:name w:val="段"/>
    <w:next w:val="1036"/>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1036" w:customStyle="1">
    <w:name w:val="正文 A"/>
    <w:next w:val="1035"/>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1037" w:customStyle="1">
    <w:name w:val="_Style 7"/>
    <w:basedOn w:val="768"/>
    <w:next w:val="1005"/>
    <w:uiPriority w:val="34"/>
    <w:qFormat/>
    <w:pPr>
      <w:ind w:firstLine="420"/>
    </w:pPr>
  </w:style>
  <w:style w:type="paragraph" w:styleId="1038" w:customStyle="1">
    <w:name w:val="Table Paragraph"/>
    <w:basedOn w:val="768"/>
    <w:uiPriority w:val="1"/>
    <w:qFormat/>
    <w:rPr>
      <w:rFonts w:ascii="宋体" w:hAnsi="宋体" w:eastAsia="宋体" w:cs="宋体"/>
      <w:lang w:val="zh-CN" w:eastAsia="zh-CN" w:bidi="zh-CN"/>
    </w:rPr>
  </w:style>
  <w:style w:type="paragraph" w:styleId="1039" w:customStyle="1">
    <w:name w:val="正文首行缩进1"/>
    <w:basedOn w:val="768"/>
    <w:next w:val="1040"/>
    <w:uiPriority w:val="99"/>
    <w:qFormat/>
    <w:pPr>
      <w:ind w:firstLine="200"/>
      <w:spacing w:line="360" w:lineRule="auto"/>
    </w:pPr>
    <w:rPr>
      <w:rFonts w:ascii="仿宋_GB2312" w:eastAsia="仿宋_GB2312"/>
      <w:sz w:val="30"/>
      <w:szCs w:val="30"/>
    </w:rPr>
  </w:style>
  <w:style w:type="paragraph" w:styleId="1040" w:customStyle="1">
    <w:name w:val="目录 61"/>
    <w:basedOn w:val="768"/>
    <w:next w:val="768"/>
    <w:uiPriority w:val="0"/>
    <w:semiHidden/>
    <w:qFormat/>
    <w:pPr>
      <w:ind w:left="2100"/>
    </w:pPr>
  </w:style>
  <w:style w:type="paragraph" w:styleId="1041" w:customStyle="1">
    <w:name w:val="正文2"/>
    <w:uiPriority w:val="0"/>
    <w:qFormat/>
    <w:rPr>
      <w:rFonts w:hint="default" w:ascii="Times New Roman" w:hAnsi="Times New Roman" w:eastAsia="微软雅黑" w:cs="Times New Roman"/>
      <w:sz w:val="24"/>
      <w:szCs w:val="24"/>
      <w:lang w:val="en-US" w:eastAsia="zh-CN" w:bidi="ar-SA"/>
    </w:rPr>
  </w:style>
  <w:style w:type="paragraph" w:styleId="1042" w:customStyle="1">
    <w:name w:val="普通(网站)11"/>
    <w:basedOn w:val="768"/>
    <w:uiPriority w:val="0"/>
    <w:qFormat/>
    <w:pPr>
      <w:jc w:val="left"/>
      <w:spacing w:before="100" w:beforeAutospacing="1" w:after="100" w:afterAutospacing="1"/>
      <w:widowControl/>
    </w:pPr>
    <w:rPr>
      <w:rFonts w:ascii="宋体" w:hAnsi="宋体" w:cs="宋体"/>
      <w:sz w:val="24"/>
    </w:rPr>
  </w:style>
  <w:style w:type="paragraph" w:styleId="1043" w:customStyle="1">
    <w:name w:val="普通(网站)1"/>
    <w:basedOn w:val="768"/>
    <w:uiPriority w:val="99"/>
    <w:qFormat/>
    <w:pPr>
      <w:jc w:val="left"/>
      <w:spacing w:before="100" w:beforeAutospacing="1" w:after="100" w:afterAutospacing="1"/>
      <w:widowControl/>
    </w:pPr>
    <w:rPr>
      <w:rFonts w:ascii="宋体" w:hAnsi="宋体" w:cs="宋体"/>
      <w:sz w:val="24"/>
    </w:rPr>
  </w:style>
  <w:style w:type="paragraph" w:styleId="1044" w:customStyle="1">
    <w:name w:val="正文 New New"/>
    <w:next w:val="1045"/>
    <w:uiPriority w:val="0"/>
    <w:qFormat/>
    <w:pPr>
      <w:jc w:val="both"/>
      <w:widowControl w:val="off"/>
    </w:pPr>
    <w:rPr>
      <w:rFonts w:hint="default" w:ascii="Calibri" w:hAnsi="Calibri" w:eastAsia="宋体" w:cs="Times New Roman"/>
      <w:sz w:val="21"/>
      <w:szCs w:val="22"/>
    </w:rPr>
  </w:style>
  <w:style w:type="paragraph" w:styleId="1045" w:customStyle="1">
    <w:name w:val="正文首行缩进 21"/>
    <w:basedOn w:val="1046"/>
    <w:uiPriority w:val="0"/>
    <w:qFormat/>
    <w:pPr>
      <w:ind w:firstLine="420"/>
      <w:spacing w:line="360" w:lineRule="auto"/>
    </w:pPr>
    <w:rPr>
      <w:rFonts w:ascii="宋体" w:hAnsi="宋体" w:eastAsia="宋体"/>
      <w:sz w:val="21"/>
      <w:szCs w:val="20"/>
    </w:rPr>
  </w:style>
  <w:style w:type="paragraph" w:styleId="1046" w:customStyle="1">
    <w:name w:val="正文文本缩进1"/>
    <w:basedOn w:val="768"/>
    <w:uiPriority w:val="0"/>
    <w:qFormat/>
    <w:pPr>
      <w:ind w:firstLine="645"/>
    </w:pPr>
    <w:rPr>
      <w:rFonts w:ascii="楷体" w:eastAsia="楷体"/>
      <w:sz w:val="32"/>
      <w:szCs w:val="32"/>
    </w:rPr>
  </w:style>
  <w:style w:type="table" w:styleId="1047" w:customStyle="1">
    <w:name w:val="Table Normal"/>
    <w:uiPriority w:val="0"/>
    <w:unhideWhenUsed/>
    <w:qFormat/>
    <w:tblPr>
      <w:tblCellMar>
        <w:left w:w="0" w:type="dxa"/>
        <w:top w:w="0" w:type="dxa"/>
        <w:right w:w="0" w:type="dxa"/>
        <w:bottom w:w="0" w:type="dxa"/>
      </w:tblCellMar>
    </w:tblPr>
  </w:style>
  <w:style w:type="paragraph" w:styleId="1048" w:customStyle="1">
    <w:name w:val="正文首行缩进11"/>
    <w:basedOn w:val="1049"/>
    <w:next w:val="768"/>
    <w:uiPriority w:val="99"/>
    <w:unhideWhenUsed/>
    <w:qFormat/>
    <w:pPr>
      <w:ind w:firstLine="420"/>
    </w:pPr>
    <w:rPr>
      <w:rFonts w:ascii="Times New Roman" w:hAnsi="Times New Roman"/>
    </w:rPr>
  </w:style>
  <w:style w:type="paragraph" w:styleId="1049" w:customStyle="1">
    <w:name w:val="正文文本11"/>
    <w:basedOn w:val="768"/>
    <w:next w:val="768"/>
    <w:uiPriority w:val="0"/>
    <w:qFormat/>
    <w:rPr>
      <w:rFonts w:ascii="楷体_GB2312" w:hAnsi="Arial" w:eastAsia="楷体_GB2312"/>
      <w:sz w:val="28"/>
      <w:szCs w:val="28"/>
      <w:lang w:eastAsia="en-US"/>
    </w:rPr>
  </w:style>
  <w:style w:type="paragraph" w:styleId="1050" w:customStyle="1">
    <w:name w:val="索引 41"/>
    <w:basedOn w:val="768"/>
    <w:next w:val="768"/>
    <w:uiPriority w:val="99"/>
    <w:unhideWhenUsed/>
    <w:qFormat/>
    <w:pPr>
      <w:ind w:left="600"/>
    </w:p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杨秀</cp:lastModifiedBy>
  <cp:revision>16</cp:revision>
  <dcterms:created xsi:type="dcterms:W3CDTF">2023-05-26T02:42:00Z</dcterms:created>
  <dcterms:modified xsi:type="dcterms:W3CDTF">2026-07-03T03:21:27Z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74DC6007B68B4312AD6ED6DD0522D91E_13</vt:lpwstr>
  </property>
  <property fmtid="{D5CDD505-2E9C-101B-9397-08002B2CF9AE}" pid="4" name="KSOTemplateDocerSaveRecord">
    <vt:lpwstr>eyJoZGlkIjoiNmUyMGI5M2JhYzYyYTk2OTFjNzZhNmUyMDIwZjkyOGYiLCJ1c2VySWQiOiI1MDc3NTIxMjUifQ==</vt:lpwstr>
  </property>
</Properties>
</file>