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lang w:val="en-US" w:eastAsia="zh-CN"/>
        </w:rPr>
      </w:pPr>
      <w:r>
        <w:rPr>
          <w:rFonts w:hint="eastAsia" w:ascii="宋体" w:hAnsi="宋体" w:eastAsia="宋体" w:cs="宋体"/>
          <w:b/>
          <w:color w:val="auto"/>
          <w:sz w:val="84"/>
          <w:highlight w:val="none"/>
          <w:lang w:val="en-US" w:eastAsia="zh-CN"/>
        </w:rPr>
        <w:t xml:space="preserve">                                                                                                        </w:t>
      </w:r>
      <w:r/>
    </w:p>
    <w:p>
      <w:pPr>
        <w:jc w:val="center"/>
        <w:spacing w:line="360" w:lineRule="auto"/>
        <w:rPr>
          <w:rFonts w:hint="eastAsia" w:ascii="宋体" w:hAnsi="宋体" w:cs="宋体"/>
          <w:b/>
          <w:color w:val="auto"/>
          <w:sz w:val="84"/>
          <w:highlight w:val="none"/>
          <w:lang w:val="en-US" w:eastAsia="zh-CN"/>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cs="宋体"/>
          <w:b/>
          <w:color w:val="auto"/>
          <w:sz w:val="84"/>
          <w:highlight w:val="none"/>
          <w:lang w:val="en-US" w:eastAsia="zh-CN"/>
        </w:rPr>
      </w:pPr>
      <w:r>
        <w:rPr>
          <w:rFonts w:hint="eastAsia" w:ascii="宋体" w:hAnsi="宋体" w:cs="宋体"/>
          <w:b/>
          <w:color w:val="auto"/>
          <w:sz w:val="84"/>
          <w:highlight w:val="none"/>
          <w:lang w:val="en-US" w:eastAsia="zh-CN"/>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5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61"/>
        <w:jc w:val="both"/>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bookmarkStart w:id="244" w:name="_GoBack"/>
      <w:r/>
      <w:bookmarkEnd w:id="244"/>
      <w:r>
        <w:rPr>
          <w:rFonts w:hint="eastAsia" w:ascii="宋体" w:hAnsi="宋体" w:cs="宋体"/>
          <w:b/>
          <w:color w:val="auto"/>
          <w:sz w:val="36"/>
          <w:highlight w:val="none"/>
          <w:lang w:eastAsia="zh-CN"/>
        </w:rPr>
        <w:t xml:space="preserve">JSZC-321183-DDTC-G2026-0002</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highlight w:val="none"/>
          <w:lang w:eastAsia="zh-CN"/>
        </w:rPr>
        <w:t xml:space="preserve">宝华新城实验幼儿园教育教学设备设施、办公家具采购</w:t>
      </w:r>
      <w:r>
        <w:rPr>
          <w:rFonts w:hint="eastAsia" w:ascii="宋体" w:hAnsi="宋体" w:eastAsia="宋体" w:cs="宋体"/>
          <w:b/>
          <w:color w:val="auto"/>
          <w:sz w:val="36"/>
          <w:highlight w:val="none"/>
          <w:lang w:eastAsia="zh-CN"/>
        </w:rPr>
        <w:t xml:space="preserve"> </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highlight w:val="none"/>
        </w:rPr>
      </w:pPr>
      <w:r/>
      <w:bookmarkStart w:id="0" w:name="EB741dc7ac76b840eda3655487e97e50de"/>
      <w:r/>
      <w:bookmarkEnd w:id="0"/>
      <w:r/>
      <w:r/>
    </w:p>
    <w:p>
      <w:pPr>
        <w:jc w:val="center"/>
        <w:spacing w:line="360" w:lineRule="auto"/>
        <w:rPr>
          <w:rFonts w:hint="eastAsia" w:ascii="宋体" w:hAnsi="宋体" w:cs="宋体"/>
          <w:b/>
          <w:color w:val="auto"/>
          <w:sz w:val="36"/>
          <w:highlight w:val="none"/>
          <w:lang w:eastAsia="zh-CN"/>
        </w:rPr>
      </w:pPr>
      <w:r/>
      <w:bookmarkStart w:id="1" w:name="EBeeeac7429c024d7f89f845ec6ed233d6"/>
      <w:r>
        <w:rPr>
          <w:rFonts w:hint="eastAsia" w:ascii="宋体" w:hAnsi="宋体" w:cs="宋体"/>
          <w:b/>
          <w:color w:val="auto"/>
          <w:sz w:val="36"/>
          <w:highlight w:val="none"/>
          <w:lang w:eastAsia="zh-CN"/>
        </w:rPr>
        <w:t xml:space="preserve">德道天诚（南京）房地产评估咨询有限公司</w:t>
      </w:r>
      <w:bookmarkEnd w:id="1"/>
      <w:r/>
      <w:r/>
    </w:p>
    <w:p>
      <w:pPr>
        <w:jc w:val="center"/>
        <w:spacing w:line="360" w:lineRule="auto"/>
        <w:rPr>
          <w:rFonts w:ascii="宋体" w:hAnsi="宋体" w:eastAsia="宋体" w:cs="宋体"/>
          <w:b/>
          <w:color w:val="auto"/>
          <w:sz w:val="36"/>
          <w:szCs w:val="22"/>
          <w:highlight w:val="none"/>
        </w:rPr>
      </w:pPr>
      <w:r>
        <w:rPr>
          <w:rFonts w:hint="eastAsia" w:ascii="宋体" w:hAnsi="宋体" w:cs="宋体"/>
          <w:b/>
          <w:color w:val="auto"/>
          <w:sz w:val="36"/>
          <w:szCs w:val="22"/>
          <w:highlight w:val="none"/>
          <w:lang w:eastAsia="zh-CN"/>
        </w:rPr>
        <w:t xml:space="preserve">2026-</w:t>
      </w:r>
      <w:r>
        <w:rPr>
          <w:rFonts w:hint="eastAsia" w:ascii="宋体" w:hAnsi="宋体" w:cs="宋体"/>
          <w:b/>
          <w:color w:val="auto"/>
          <w:sz w:val="36"/>
          <w:szCs w:val="22"/>
          <w:highlight w:val="none"/>
          <w:lang w:val="en-US" w:eastAsia="zh-CN"/>
        </w:rPr>
        <w:t xml:space="preserve">7</w:t>
      </w:r>
      <w:r>
        <w:rPr>
          <w:rFonts w:hint="eastAsia" w:ascii="宋体" w:hAnsi="宋体" w:cs="宋体"/>
          <w:b/>
          <w:color w:val="auto"/>
          <w:sz w:val="36"/>
          <w:szCs w:val="22"/>
          <w:highlight w:val="none"/>
          <w:lang w:eastAsia="zh-CN"/>
        </w:rPr>
        <w:t xml:space="preserve">-</w:t>
      </w:r>
      <w:r>
        <w:rPr>
          <w:rFonts w:hint="eastAsia" w:ascii="宋体" w:hAnsi="宋体" w:cs="宋体"/>
          <w:b/>
          <w:color w:val="auto"/>
          <w:sz w:val="36"/>
          <w:szCs w:val="22"/>
          <w:highlight w:val="none"/>
          <w:lang w:val="en-US" w:eastAsia="zh-CN"/>
        </w:rPr>
        <w:t xml:space="preserve">6</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both"/>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1058"/>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2" w:name="_Toc100386033"/>
      <w:r/>
      <w:bookmarkStart w:id="3" w:name="_Toc92167999"/>
      <w:r/>
      <w:bookmarkStart w:id="4" w:name="_Toc20732967"/>
      <w:r>
        <w:rPr>
          <w:rFonts w:hint="eastAsia" w:ascii="宋体" w:hAnsi="宋体" w:eastAsia="宋体" w:cs="宋体"/>
          <w:color w:val="auto"/>
          <w:sz w:val="36"/>
          <w:szCs w:val="36"/>
          <w:highlight w:val="none"/>
        </w:rPr>
        <w:t xml:space="preserve">第一部分  投标邀请</w:t>
      </w:r>
      <w:bookmarkEnd w:id="2"/>
      <w:r/>
      <w:bookmarkEnd w:id="3"/>
      <w:r/>
      <w:bookmarkEnd w:id="4"/>
      <w:r/>
      <w:r/>
    </w:p>
    <w:p>
      <w:pPr>
        <w:ind w:firstLine="480"/>
        <w:spacing w:line="360" w:lineRule="auto"/>
        <w:rPr>
          <w:rFonts w:hint="eastAsia" w:ascii="宋体" w:hAnsi="宋体" w:eastAsia="宋体" w:cs="宋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5" w:name="_Toc100386044"/>
      <w:r/>
      <w:bookmarkStart w:id="6" w:name="_Toc98669699"/>
      <w:r/>
      <w:bookmarkStart w:id="7" w:name="_Toc20732978"/>
      <w:r/>
      <w:bookmarkStart w:id="8" w:name="_Toc92168010"/>
      <w:r/>
      <w:bookmarkStart w:id="9" w:name="_Toc98669341"/>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000000" w:sz="4" w:space="0"/>
          <w:left w:val="single" w:color="000000" w:sz="4" w:space="3"/>
          <w:bottom w:val="single" w:color="000000" w:sz="4" w:space="0"/>
          <w:right w:val="single" w:color="000000" w:sz="4" w:space="3"/>
        </w:pBdr>
      </w:pP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 </w:t>
      </w:r>
      <w:r>
        <w:rPr>
          <w:rFonts w:hint="eastAsia" w:ascii="宋体" w:hAnsi="宋体" w:eastAsia="宋体" w:cs="宋体"/>
          <w:color w:val="auto"/>
          <w:sz w:val="24"/>
          <w:szCs w:val="28"/>
          <w:highlight w:val="none"/>
          <w:u w:val="none"/>
        </w:rPr>
        <w:t xml:space="preserve">项目</w:t>
      </w:r>
      <w:r>
        <w:rPr>
          <w:rFonts w:hint="eastAsia" w:ascii="宋体" w:hAnsi="宋体" w:eastAsia="宋体" w:cs="宋体"/>
          <w:color w:val="auto"/>
          <w:sz w:val="24"/>
          <w:szCs w:val="28"/>
          <w:highlight w:val="none"/>
        </w:rPr>
        <w:t xml:space="preserve">的潜在投标人应在</w:t>
      </w:r>
      <w:r>
        <w:rPr>
          <w:rFonts w:hint="eastAsia" w:ascii="宋体" w:hAnsi="宋体" w:eastAsia="宋体" w:cs="宋体"/>
          <w:color w:val="auto"/>
          <w:sz w:val="24"/>
          <w:szCs w:val="28"/>
          <w:highlight w:val="none"/>
          <w:u w:val="single"/>
        </w:rPr>
        <w:t xml:space="preserve">江苏政府采购网-苏采云平台</w:t>
      </w:r>
      <w:r>
        <w:rPr>
          <w:rFonts w:hint="eastAsia" w:ascii="宋体" w:hAnsi="宋体" w:eastAsia="宋体" w:cs="宋体"/>
          <w:color w:val="auto"/>
          <w:sz w:val="24"/>
          <w:highlight w:val="none"/>
          <w:u w:val="single"/>
        </w:rPr>
        <w:t xml:space="preserve">http://jszfcg.jsczt.cn/jszc/login</w:t>
      </w:r>
      <w:r>
        <w:rPr>
          <w:rFonts w:hint="eastAsia" w:ascii="宋体" w:hAnsi="宋体" w:eastAsia="宋体" w:cs="宋体"/>
          <w:color w:val="auto"/>
          <w:sz w:val="24"/>
          <w:szCs w:val="28"/>
          <w:highlight w:val="none"/>
        </w:rPr>
        <w:t xml:space="preserve">获取招标文</w:t>
      </w:r>
      <w:r>
        <w:rPr>
          <w:rFonts w:hint="eastAsia" w:ascii="宋体" w:hAnsi="宋体" w:eastAsia="宋体" w:cs="宋体"/>
          <w:color w:val="auto"/>
          <w:sz w:val="24"/>
          <w:szCs w:val="28"/>
          <w:highlight w:val="none"/>
        </w:rPr>
        <w:t xml:space="preserve">件，并</w:t>
      </w:r>
      <w:r>
        <w:rPr>
          <w:rFonts w:hint="eastAsia" w:ascii="宋体" w:hAnsi="宋体" w:eastAsia="宋体" w:cs="宋体"/>
          <w:color w:val="auto"/>
          <w:sz w:val="24"/>
          <w:szCs w:val="28"/>
          <w:highlight w:val="none"/>
        </w:rPr>
        <w:t xml:space="preserve">于</w:t>
      </w:r>
      <w:r>
        <w:rPr>
          <w:rFonts w:hint="eastAsia" w:ascii="宋体" w:hAnsi="宋体" w:eastAsia="宋体" w:cs="宋体"/>
          <w:color w:val="auto"/>
          <w:sz w:val="24"/>
          <w:szCs w:val="28"/>
          <w:highlight w:val="none"/>
          <w:u w:val="single"/>
        </w:rPr>
        <w:t xml:space="preserve">2</w:t>
      </w:r>
      <w:r>
        <w:rPr>
          <w:rFonts w:hint="eastAsia" w:ascii="宋体" w:hAnsi="宋体" w:eastAsia="宋体" w:cs="宋体"/>
          <w:color w:val="auto"/>
          <w:sz w:val="24"/>
          <w:szCs w:val="28"/>
          <w:highlight w:val="none"/>
          <w:u w:val="single"/>
        </w:rPr>
        <w:t xml:space="preserve">0</w:t>
      </w:r>
      <w:r>
        <w:rPr>
          <w:rFonts w:hint="eastAsia" w:ascii="宋体" w:hAnsi="宋体" w:eastAsia="宋体" w:cs="宋体"/>
          <w:color w:val="auto"/>
          <w:sz w:val="24"/>
          <w:szCs w:val="28"/>
          <w:highlight w:val="none"/>
          <w:u w:val="single"/>
        </w:rPr>
        <w:t xml:space="preserve">2</w:t>
      </w:r>
      <w:r>
        <w:rPr>
          <w:rFonts w:hint="eastAsia" w:ascii="宋体" w:hAnsi="宋体" w:eastAsia="宋体" w:cs="宋体"/>
          <w:color w:val="auto"/>
          <w:sz w:val="24"/>
          <w:szCs w:val="28"/>
          <w:highlight w:val="none"/>
          <w:u w:val="single"/>
        </w:rPr>
        <w:t xml:space="preserve">6</w:t>
      </w:r>
      <w:r>
        <w:rPr>
          <w:rFonts w:hint="eastAsia" w:ascii="宋体" w:hAnsi="宋体" w:eastAsia="宋体" w:cs="宋体"/>
          <w:color w:val="auto"/>
          <w:sz w:val="24"/>
          <w:szCs w:val="28"/>
          <w:highlight w:val="none"/>
          <w:u w:val="single"/>
        </w:rPr>
        <w:t xml:space="preserve">年</w:t>
      </w:r>
      <w:r>
        <w:rPr>
          <w:rFonts w:hint="eastAsia" w:ascii="宋体" w:hAnsi="宋体" w:eastAsia="宋体" w:cs="宋体"/>
          <w:color w:val="auto"/>
          <w:sz w:val="24"/>
          <w:szCs w:val="28"/>
          <w:highlight w:val="none"/>
          <w:u w:val="single"/>
        </w:rPr>
        <w:t xml:space="preserve">7</w:t>
      </w:r>
      <w:r>
        <w:rPr>
          <w:rFonts w:hint="eastAsia" w:ascii="宋体" w:hAnsi="宋体" w:eastAsia="宋体" w:cs="宋体"/>
          <w:color w:val="auto"/>
          <w:sz w:val="24"/>
          <w:szCs w:val="28"/>
          <w:highlight w:val="none"/>
          <w:u w:val="single"/>
        </w:rPr>
        <w:t xml:space="preserve">月</w:t>
      </w:r>
      <w:r>
        <w:rPr>
          <w:rFonts w:hint="eastAsia" w:ascii="宋体" w:hAnsi="宋体" w:eastAsia="宋体" w:cs="宋体"/>
          <w:color w:val="auto"/>
          <w:sz w:val="24"/>
          <w:szCs w:val="28"/>
          <w:highlight w:val="none"/>
          <w:u w:val="single"/>
        </w:rPr>
        <w:t xml:space="preserve">2</w:t>
      </w:r>
      <w:r>
        <w:rPr>
          <w:rFonts w:hint="eastAsia" w:ascii="宋体" w:hAnsi="宋体" w:eastAsia="宋体" w:cs="宋体"/>
          <w:color w:val="auto"/>
          <w:sz w:val="24"/>
          <w:szCs w:val="28"/>
          <w:highlight w:val="none"/>
          <w:u w:val="single"/>
        </w:rPr>
        <w:t xml:space="preserve">9</w:t>
      </w:r>
      <w:r>
        <w:rPr>
          <w:rFonts w:hint="eastAsia" w:ascii="宋体" w:hAnsi="宋体" w:eastAsia="宋体" w:cs="宋体"/>
          <w:color w:val="auto"/>
          <w:sz w:val="24"/>
          <w:szCs w:val="28"/>
          <w:highlight w:val="none"/>
          <w:u w:val="single"/>
        </w:rPr>
        <w:t xml:space="preserve">日</w:t>
      </w:r>
      <w:r>
        <w:rPr>
          <w:rFonts w:hint="eastAsia" w:ascii="宋体" w:hAnsi="宋体" w:eastAsia="宋体" w:cs="宋体"/>
          <w:color w:val="auto"/>
          <w:sz w:val="24"/>
          <w:szCs w:val="24"/>
          <w:highlight w:val="none"/>
          <w:u w:val="single"/>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北京时间）前按要求递交投标</w:t>
      </w:r>
      <w:r>
        <w:rPr>
          <w:rFonts w:hint="eastAsia" w:ascii="宋体" w:hAnsi="宋体" w:eastAsia="宋体" w:cs="宋体"/>
          <w:bCs/>
          <w:color w:val="auto"/>
          <w:sz w:val="24"/>
          <w:szCs w:val="28"/>
          <w:highlight w:val="none"/>
        </w:rPr>
        <w:t xml:space="preserve">文件</w:t>
      </w:r>
      <w:r>
        <w:rPr>
          <w:rFonts w:hint="eastAsia" w:ascii="宋体" w:hAnsi="宋体" w:eastAsia="宋体" w:cs="宋体"/>
          <w:color w:val="auto"/>
          <w:sz w:val="24"/>
          <w:szCs w:val="28"/>
          <w:highlight w:val="none"/>
        </w:rPr>
        <w:t xml:space="preserve">。</w:t>
      </w:r>
      <w:r/>
    </w:p>
    <w:p>
      <w:pPr>
        <w:pStyle w:val="1057"/>
        <w:ind w:left="-142"/>
        <w:jc w:val="both"/>
        <w:spacing w:line="360" w:lineRule="auto"/>
        <w:rPr>
          <w:rFonts w:hint="eastAsia" w:ascii="宋体" w:hAnsi="宋体" w:eastAsia="宋体" w:cs="宋体"/>
          <w:b w:val="0"/>
          <w:color w:val="auto"/>
          <w:sz w:val="24"/>
          <w:szCs w:val="28"/>
          <w:highlight w:val="none"/>
        </w:rPr>
      </w:pPr>
      <w:r/>
      <w:bookmarkStart w:id="10" w:name="_Toc28359079"/>
      <w:r/>
      <w:bookmarkStart w:id="11" w:name="_Toc35393790"/>
      <w:r/>
      <w:bookmarkStart w:id="12" w:name="_Toc28359002"/>
      <w:r/>
      <w:bookmarkStart w:id="13" w:name="_Toc35393621"/>
      <w:r/>
      <w:bookmarkStart w:id="14" w:name="_Hlk24379207"/>
      <w:r>
        <w:rPr>
          <w:rFonts w:hint="eastAsia" w:ascii="宋体" w:hAnsi="宋体" w:eastAsia="宋体" w:cs="宋体"/>
          <w:b w:val="0"/>
          <w:color w:val="auto"/>
          <w:sz w:val="24"/>
          <w:szCs w:val="28"/>
          <w:highlight w:val="none"/>
        </w:rPr>
        <w:t xml:space="preserve">一、项目基本情况</w:t>
      </w:r>
      <w:bookmarkEnd w:id="10"/>
      <w:r/>
      <w:bookmarkEnd w:id="11"/>
      <w:r/>
      <w:bookmarkEnd w:id="12"/>
      <w:r/>
      <w:bookmarkEnd w:id="13"/>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JSZC-321183-DDTC-G2026-0002</w:t>
      </w:r>
      <w:r/>
    </w:p>
    <w:p>
      <w:pPr>
        <w:ind w:left="479" w:firstLine="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项目名称：</w:t>
      </w:r>
      <w:bookmarkEnd w:id="14"/>
      <w:r>
        <w:rPr>
          <w:rFonts w:hint="eastAsia" w:ascii="宋体" w:hAnsi="宋体" w:cs="宋体"/>
          <w:color w:val="auto"/>
          <w:sz w:val="24"/>
          <w:szCs w:val="28"/>
          <w:highlight w:val="none"/>
          <w:lang w:eastAsia="zh-CN"/>
        </w:rPr>
        <w:t xml:space="preserve">宝华新城实验幼儿园教育教学设备设施、办公家具采购</w:t>
      </w:r>
      <w:r>
        <w:rPr>
          <w:rFonts w:hint="eastAsia" w:ascii="宋体" w:hAnsi="宋体" w:eastAsia="宋体" w:cs="宋体"/>
          <w:color w:val="auto"/>
          <w:sz w:val="24"/>
          <w:szCs w:val="28"/>
          <w:highlight w:val="none"/>
          <w:lang w:eastAsia="zh-CN"/>
        </w:rPr>
        <w:t xml:space="preserve">  </w:t>
      </w:r>
      <w:r/>
    </w:p>
    <w:p>
      <w:pPr>
        <w:ind w:firstLine="480"/>
        <w:spacing w:line="360" w:lineRule="auto"/>
        <w:rPr>
          <w:rFonts w:hint="eastAsia" w:ascii="宋体" w:hAnsi="宋体" w:cs="宋体"/>
          <w:color w:val="auto"/>
          <w:sz w:val="24"/>
          <w:szCs w:val="28"/>
          <w:highlight w:val="none"/>
        </w:rPr>
      </w:pPr>
      <w:r>
        <w:rPr>
          <w:rFonts w:hint="eastAsia" w:ascii="宋体" w:hAnsi="宋体" w:eastAsia="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3491120.00元</w:t>
      </w:r>
      <w:r/>
    </w:p>
    <w:p>
      <w:pPr>
        <w:pStyle w:val="1057"/>
        <w:ind w:firstLine="480"/>
        <w:jc w:val="both"/>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lang w:val="en-US" w:eastAsia="zh-CN" w:bidi="ar-SA"/>
        </w:rPr>
        <w:t xml:space="preserve">最高限价：3412112.00元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采购需求：详细内容及要求见招标文件。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szCs w:val="28"/>
          <w:highlight w:val="none"/>
        </w:rPr>
        <w:t xml:space="preserve">不接受</w:t>
      </w:r>
      <w:r/>
    </w:p>
    <w:p>
      <w:pPr>
        <w:pStyle w:val="1057"/>
        <w:ind w:left="-142"/>
        <w:jc w:val="both"/>
        <w:spacing w:line="360" w:lineRule="auto"/>
        <w:rPr>
          <w:rFonts w:hint="eastAsia" w:ascii="宋体" w:hAnsi="宋体" w:eastAsia="宋体" w:cs="宋体"/>
          <w:b w:val="0"/>
          <w:color w:val="auto"/>
          <w:sz w:val="24"/>
          <w:szCs w:val="28"/>
          <w:highlight w:val="none"/>
        </w:rPr>
      </w:pPr>
      <w:r/>
      <w:bookmarkStart w:id="15" w:name="_Toc35393622"/>
      <w:r/>
      <w:bookmarkStart w:id="16" w:name="_Toc28359080"/>
      <w:r/>
      <w:bookmarkStart w:id="17" w:name="_Toc35393791"/>
      <w:r/>
      <w:bookmarkStart w:id="18" w:name="_Toc28359003"/>
      <w:r>
        <w:rPr>
          <w:rFonts w:hint="eastAsia" w:ascii="宋体" w:hAnsi="宋体" w:eastAsia="宋体" w:cs="宋体"/>
          <w:b w:val="0"/>
          <w:color w:val="auto"/>
          <w:sz w:val="24"/>
          <w:szCs w:val="28"/>
          <w:highlight w:val="none"/>
        </w:rPr>
        <w:t xml:space="preserve">二、申请人的资格要求：</w:t>
      </w:r>
      <w:bookmarkEnd w:id="15"/>
      <w:r/>
      <w:bookmarkEnd w:id="16"/>
      <w:r/>
      <w:bookmarkEnd w:id="17"/>
      <w:r/>
      <w:bookmarkEnd w:id="18"/>
      <w:r/>
      <w:r/>
    </w:p>
    <w:p>
      <w:pPr>
        <w:ind w:firstLine="480"/>
        <w:spacing w:line="360" w:lineRule="auto"/>
        <w:rPr>
          <w:rFonts w:hint="eastAsia" w:ascii="宋体" w:hAnsi="宋体" w:eastAsia="宋体" w:cs="宋体"/>
          <w:color w:val="auto"/>
          <w:sz w:val="24"/>
          <w:szCs w:val="28"/>
          <w:highlight w:val="none"/>
        </w:rPr>
      </w:pPr>
      <w:r/>
      <w:bookmarkStart w:id="19" w:name="_Toc35393792"/>
      <w:r/>
      <w:bookmarkStart w:id="20" w:name="_Toc28359081"/>
      <w:r/>
      <w:bookmarkStart w:id="21" w:name="_Toc35393623"/>
      <w:r/>
      <w:bookmarkStart w:id="22" w:name="_Toc28359004"/>
      <w:r>
        <w:rPr>
          <w:rFonts w:hint="eastAsia" w:ascii="宋体" w:hAnsi="宋体" w:eastAsia="宋体" w:cs="宋体"/>
          <w:color w:val="auto"/>
          <w:sz w:val="24"/>
          <w:szCs w:val="28"/>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w:t>
      </w:r>
      <w:r>
        <w:rPr>
          <w:rFonts w:hint="eastAsia" w:ascii="宋体" w:hAnsi="宋体" w:eastAsia="宋体" w:cs="宋体"/>
          <w:color w:val="auto"/>
          <w:sz w:val="24"/>
          <w:szCs w:val="28"/>
          <w:highlight w:val="none"/>
          <w:lang w:val="en-US" w:eastAsia="zh-CN"/>
        </w:rPr>
        <w:t xml:space="preserve">2024</w:t>
      </w:r>
      <w:r>
        <w:rPr>
          <w:rFonts w:hint="eastAsia" w:ascii="宋体" w:hAnsi="宋体" w:eastAsia="宋体" w:cs="宋体"/>
          <w:color w:val="auto"/>
          <w:sz w:val="24"/>
          <w:szCs w:val="28"/>
          <w:highlight w:val="none"/>
        </w:rPr>
        <w:t xml:space="preserve">年或2025年度财务报告、成立不满一年的提供至少一个月财务报告，或银行出具的资信证明，或财政部门认可的政府采购专业担保机构出具的投标担保函等，或资格承诺函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w:t>
      </w:r>
      <w:r>
        <w:rPr>
          <w:rFonts w:hint="eastAsia" w:ascii="宋体" w:hAnsi="宋体" w:eastAsia="宋体" w:cs="宋体"/>
          <w:color w:val="auto"/>
          <w:sz w:val="24"/>
          <w:szCs w:val="28"/>
          <w:highlight w:val="none"/>
          <w:lang w:eastAsia="zh-CN"/>
        </w:rPr>
        <w:t xml:space="preserve">（提供具备履行合同所必需的设备和专业技术能力的书面声明或资格承诺函）</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提供参加本次政府采购活动前半年内至少一个月依法缴纳税收和社会保险的凭据或资格承诺函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1.5参加政府采购活动前三年内，在经营活动中没有重大违法记录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见投标函或提供资格承诺函</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z w:val="24"/>
          <w:szCs w:val="28"/>
          <w:highlight w:val="none"/>
          <w:lang w:eastAsia="zh-CN"/>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1.6法律、行政法规规定的其他条件：无。</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2.落实政府采购政策需满足的资格要求：</w:t>
      </w:r>
      <w:r/>
    </w:p>
    <w:p>
      <w:pPr>
        <w:pStyle w:val="1059"/>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本项目属于</w:t>
      </w:r>
      <w:r>
        <w:rPr>
          <w:rFonts w:hint="eastAsia" w:ascii="宋体" w:hAnsi="宋体" w:cs="宋体"/>
          <w:color w:val="auto"/>
          <w:sz w:val="24"/>
          <w:highlight w:val="none"/>
          <w:lang w:eastAsia="zh-CN"/>
        </w:rPr>
        <w:t xml:space="preserve">不专门面向中小微企业采购</w:t>
      </w:r>
      <w:r>
        <w:rPr>
          <w:rFonts w:hint="eastAsia" w:ascii="宋体" w:hAnsi="宋体" w:eastAsia="宋体" w:cs="宋体"/>
          <w:color w:val="auto"/>
          <w:sz w:val="24"/>
          <w:highlight w:val="none"/>
        </w:rPr>
        <w:t xml:space="preserve">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ind w:firstLine="480"/>
        <w:spacing w:line="360" w:lineRule="auto"/>
        <w:rPr>
          <w:rFonts w:hint="eastAsia" w:ascii="宋体" w:hAnsi="宋体" w:eastAsia="宋体" w:cs="宋体"/>
          <w:color w:val="auto"/>
          <w:sz w:val="24"/>
          <w:highlight w:val="none"/>
        </w:rPr>
      </w:pPr>
      <w:r>
        <w:rPr>
          <w:rFonts w:hint="eastAsia" w:ascii="宋体" w:hAnsi="宋体"/>
          <w:color w:val="auto"/>
          <w:sz w:val="24"/>
          <w:szCs w:val="28"/>
          <w:highlight w:val="none"/>
          <w:lang w:val="en-US" w:eastAsia="zh-CN"/>
        </w:rPr>
        <w:t xml:space="preserve">2.2 本项目</w:t>
      </w:r>
      <w:r>
        <w:rPr>
          <w:rFonts w:hint="eastAsia" w:ascii="宋体" w:hAnsi="宋体" w:eastAsia="宋体" w:cs="宋体"/>
          <w:color w:val="auto"/>
          <w:sz w:val="24"/>
          <w:highlight w:val="none"/>
        </w:rPr>
        <w:t xml:space="preserve">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根据</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"https://www.gov.cn/zhengce/content/202509/content_7042999.htm"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《国务院办公厅关于在政府采购中实施本国产品标准及相关政策的通知》</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(国办发〔2025〕34号)和</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"https://gks.mof.gov.cn/guizhangzhidu/202512/t20251219_3979568.htm"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《关于贯彻落实〈国务院办公厅关于在政府采购中实施本国产品标准及相关政策的通知〉的意见》</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(财库〔2025〕30号)</w:t>
      </w:r>
      <w:r>
        <w:rPr>
          <w:rFonts w:hint="eastAsia" w:ascii="宋体" w:hAnsi="宋体" w:cs="宋体"/>
          <w:color w:val="auto"/>
          <w:sz w:val="24"/>
          <w:szCs w:val="28"/>
          <w:highlight w:val="none"/>
          <w:lang w:eastAsia="zh-CN"/>
        </w:rPr>
        <w:t xml:space="preserve">的要求，供应商</w:t>
      </w:r>
      <w:r>
        <w:rPr>
          <w:rFonts w:hint="eastAsia" w:ascii="宋体" w:hAnsi="宋体" w:eastAsia="宋体" w:cs="宋体"/>
          <w:color w:val="auto"/>
          <w:sz w:val="24"/>
          <w:szCs w:val="28"/>
          <w:highlight w:val="none"/>
        </w:rPr>
        <w:t xml:space="preserve">必须提供</w:t>
      </w:r>
      <w:r>
        <w:rPr>
          <w:rFonts w:hint="eastAsia" w:ascii="宋体" w:hAnsi="宋体" w:cs="宋体"/>
          <w:color w:val="auto"/>
          <w:sz w:val="24"/>
          <w:szCs w:val="28"/>
          <w:highlight w:val="none"/>
          <w:lang w:eastAsia="zh-CN"/>
        </w:rPr>
        <w:t xml:space="preserve">《关于符合本国产品标准的声明函》</w:t>
      </w:r>
      <w:r>
        <w:rPr>
          <w:rFonts w:hint="eastAsia" w:ascii="宋体" w:hAnsi="宋体" w:eastAsia="宋体" w:cs="宋体"/>
          <w:color w:val="auto"/>
          <w:sz w:val="24"/>
          <w:szCs w:val="28"/>
          <w:highlight w:val="none"/>
        </w:rPr>
        <w:t xml:space="preserve">（见格式）</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8"/>
          <w:highlight w:val="none"/>
        </w:rPr>
        <w:t xml:space="preserve">本项目的特定资格要求：</w:t>
      </w:r>
      <w:r>
        <w:rPr>
          <w:rFonts w:hint="eastAsia" w:ascii="宋体" w:hAnsi="宋体" w:cs="宋体"/>
          <w:color w:val="auto"/>
          <w:sz w:val="24"/>
          <w:highlight w:val="none"/>
          <w:lang w:val="en-US" w:eastAsia="zh-CN"/>
        </w:rPr>
        <w:t xml:space="preserve">无。</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4.拒绝下述供应商参加本次采购活动：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hint="eastAsia" w:ascii="宋体" w:hAnsi="宋体" w:eastAsia="宋体" w:cs="宋体"/>
          <w:b/>
          <w:color w:val="auto"/>
          <w:highlight w:val="none"/>
        </w:rPr>
      </w:pPr>
      <w:r>
        <w:rPr>
          <w:rFonts w:hint="eastAsia" w:ascii="宋体" w:hAnsi="宋体" w:eastAsia="宋体" w:cs="宋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1057"/>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获取时间：</w:t>
      </w:r>
      <w:r>
        <w:rPr>
          <w:rFonts w:hint="eastAsia" w:ascii="宋体" w:hAnsi="宋体" w:cs="宋体"/>
          <w:color w:val="auto"/>
          <w:sz w:val="24"/>
          <w:highlight w:val="none"/>
          <w:lang w:eastAsia="zh-CN"/>
        </w:rPr>
        <w:t xml:space="preserve">公告发布之日起至2026年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月1</w:t>
      </w: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lang w:eastAsia="zh-CN"/>
        </w:rPr>
        <w:t xml:space="preserve">日23:59（北京时间）</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获取地点：江苏政府采购网-苏采云平台获取招标文件</w:t>
      </w:r>
      <w:r/>
    </w:p>
    <w:p>
      <w:pPr>
        <w:ind w:left="479"/>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获取方式：（操作指南：http://www.ccgp-jiangsu.gov.cn/jiangsu/zlxz/ee/ee3a4bc5a3454aa2b0d9312230633ce9.html）</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1057"/>
        <w:ind w:left="-142"/>
        <w:jc w:val="both"/>
        <w:spacing w:line="360" w:lineRule="auto"/>
        <w:rPr>
          <w:rFonts w:hint="eastAsia" w:ascii="宋体" w:hAnsi="宋体" w:eastAsia="宋体" w:cs="宋体"/>
          <w:b w:val="0"/>
          <w:color w:val="auto"/>
          <w:sz w:val="24"/>
          <w:szCs w:val="28"/>
          <w:highlight w:val="none"/>
        </w:rPr>
      </w:pPr>
      <w:r/>
      <w:bookmarkStart w:id="23" w:name="_Toc28359005"/>
      <w:r/>
      <w:bookmarkStart w:id="24" w:name="_Toc35393793"/>
      <w:r/>
      <w:bookmarkStart w:id="25" w:name="_Toc35393624"/>
      <w:r/>
      <w:bookmarkStart w:id="26" w:name="_Toc28359082"/>
      <w:r>
        <w:rPr>
          <w:rFonts w:hint="eastAsia" w:ascii="宋体" w:hAnsi="宋体" w:eastAsia="宋体" w:cs="宋体"/>
          <w:b w:val="0"/>
          <w:color w:val="auto"/>
          <w:sz w:val="24"/>
          <w:szCs w:val="28"/>
          <w:highlight w:val="none"/>
        </w:rPr>
        <w:t xml:space="preserve">四、</w:t>
      </w:r>
      <w:bookmarkEnd w:id="23"/>
      <w:r/>
      <w:bookmarkEnd w:id="24"/>
      <w:r/>
      <w:bookmarkEnd w:id="25"/>
      <w:r/>
      <w:bookmarkEnd w:id="26"/>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w:t>
      </w:r>
      <w:r>
        <w:rPr>
          <w:rFonts w:hint="eastAsia" w:ascii="宋体" w:hAnsi="宋体" w:cs="宋体"/>
          <w:bCs/>
          <w:color w:val="auto"/>
          <w:sz w:val="24"/>
          <w:szCs w:val="28"/>
          <w:highlight w:val="none"/>
          <w:u w:val="single"/>
          <w:lang w:eastAsia="zh-CN"/>
        </w:rPr>
        <w:t xml:space="preserve">2</w:t>
      </w:r>
      <w:r>
        <w:rPr>
          <w:rFonts w:hint="eastAsia" w:ascii="宋体" w:hAnsi="宋体" w:cs="宋体"/>
          <w:bCs/>
          <w:color w:val="auto"/>
          <w:sz w:val="24"/>
          <w:szCs w:val="28"/>
          <w:highlight w:val="none"/>
          <w:u w:val="single"/>
          <w:lang w:eastAsia="zh-CN"/>
        </w:rPr>
        <w:t xml:space="preserve">6</w:t>
      </w:r>
      <w:r>
        <w:rPr>
          <w:rFonts w:hint="eastAsia" w:ascii="宋体" w:hAnsi="宋体" w:cs="宋体"/>
          <w:bCs/>
          <w:color w:val="auto"/>
          <w:sz w:val="24"/>
          <w:szCs w:val="28"/>
          <w:highlight w:val="none"/>
          <w:u w:val="single"/>
          <w:lang w:eastAsia="zh-CN"/>
        </w:rPr>
        <w:t xml:space="preserve">年</w:t>
      </w:r>
      <w:r>
        <w:rPr>
          <w:rFonts w:hint="eastAsia" w:ascii="宋体" w:hAnsi="宋体" w:cs="宋体"/>
          <w:bCs/>
          <w:color w:val="auto"/>
          <w:sz w:val="24"/>
          <w:szCs w:val="28"/>
          <w:highlight w:val="none"/>
          <w:u w:val="single"/>
          <w:lang w:eastAsia="zh-CN"/>
        </w:rPr>
        <w:t xml:space="preserve">7</w:t>
      </w:r>
      <w:r>
        <w:rPr>
          <w:rFonts w:hint="eastAsia" w:ascii="宋体" w:hAnsi="宋体" w:cs="宋体"/>
          <w:bCs/>
          <w:color w:val="auto"/>
          <w:sz w:val="24"/>
          <w:szCs w:val="28"/>
          <w:highlight w:val="none"/>
          <w:u w:val="single"/>
          <w:lang w:eastAsia="zh-CN"/>
        </w:rPr>
        <w:t xml:space="preserve">月</w:t>
      </w:r>
      <w:r>
        <w:rPr>
          <w:rFonts w:hint="eastAsia" w:ascii="宋体" w:hAnsi="宋体" w:cs="宋体"/>
          <w:bCs/>
          <w:color w:val="auto"/>
          <w:sz w:val="24"/>
          <w:szCs w:val="28"/>
          <w:highlight w:val="none"/>
          <w:u w:val="single"/>
          <w:lang w:eastAsia="zh-CN"/>
        </w:rPr>
        <w:t xml:space="preserve">2</w:t>
      </w:r>
      <w:r>
        <w:rPr>
          <w:rFonts w:hint="eastAsia" w:ascii="宋体" w:hAnsi="宋体" w:cs="宋体"/>
          <w:bCs/>
          <w:color w:val="auto"/>
          <w:sz w:val="24"/>
          <w:szCs w:val="28"/>
          <w:highlight w:val="none"/>
          <w:u w:val="single"/>
          <w:lang w:eastAsia="zh-CN"/>
        </w:rPr>
        <w:t xml:space="preserve">9</w:t>
      </w:r>
      <w:r>
        <w:rPr>
          <w:rFonts w:hint="eastAsia" w:ascii="宋体" w:hAnsi="宋体" w:cs="宋体"/>
          <w:bCs/>
          <w:color w:val="auto"/>
          <w:sz w:val="24"/>
          <w:szCs w:val="28"/>
          <w:highlight w:val="none"/>
          <w:u w:val="single"/>
          <w:lang w:eastAsia="zh-CN"/>
        </w:rPr>
        <w:t xml:space="preserve">日</w:t>
      </w:r>
      <w:r>
        <w:rPr>
          <w:rFonts w:hint="eastAsia" w:ascii="宋体" w:hAnsi="宋体" w:eastAsia="宋体" w:cs="宋体"/>
          <w:bCs/>
          <w:color w:val="auto"/>
          <w:sz w:val="24"/>
          <w:szCs w:val="28"/>
          <w:highlight w:val="none"/>
          <w:u w:val="single"/>
        </w:rPr>
        <w:t xml:space="preserve">09点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开标地点：“苏采云”系统（网址：http://jszfcg.jsczt.cn/）“开标大厅”</w:t>
      </w:r>
      <w:r/>
    </w:p>
    <w:p>
      <w:pPr>
        <w:pStyle w:val="1057"/>
        <w:ind w:left="-142"/>
        <w:jc w:val="both"/>
        <w:spacing w:line="360" w:lineRule="auto"/>
        <w:rPr>
          <w:rFonts w:hint="eastAsia" w:ascii="宋体" w:hAnsi="宋体" w:eastAsia="宋体" w:cs="宋体"/>
          <w:b w:val="0"/>
          <w:bCs/>
          <w:color w:val="auto"/>
          <w:sz w:val="24"/>
          <w:szCs w:val="28"/>
          <w:highlight w:val="none"/>
        </w:rPr>
      </w:pPr>
      <w:r/>
      <w:bookmarkStart w:id="27" w:name="_Toc35393794"/>
      <w:r/>
      <w:bookmarkStart w:id="28" w:name="_Toc28359084"/>
      <w:r/>
      <w:bookmarkStart w:id="29" w:name="_Toc28359007"/>
      <w:r/>
      <w:bookmarkStart w:id="30" w:name="_Toc35393625"/>
      <w:r>
        <w:rPr>
          <w:rFonts w:hint="eastAsia" w:ascii="宋体" w:hAnsi="宋体" w:eastAsia="宋体" w:cs="宋体"/>
          <w:b w:val="0"/>
          <w:bCs/>
          <w:color w:val="auto"/>
          <w:sz w:val="24"/>
          <w:szCs w:val="28"/>
          <w:highlight w:val="none"/>
        </w:rPr>
        <w:t xml:space="preserve">五、公告期限</w:t>
      </w:r>
      <w:bookmarkEnd w:id="27"/>
      <w:r/>
      <w:bookmarkEnd w:id="28"/>
      <w:r/>
      <w:bookmarkEnd w:id="29"/>
      <w:r/>
      <w:bookmarkEnd w:id="30"/>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1057"/>
        <w:ind w:left="-142"/>
        <w:jc w:val="both"/>
        <w:spacing w:line="360" w:lineRule="auto"/>
        <w:rPr>
          <w:rFonts w:hint="eastAsia" w:ascii="宋体" w:hAnsi="宋体" w:eastAsia="宋体" w:cs="宋体"/>
          <w:color w:val="auto"/>
          <w:sz w:val="24"/>
          <w:szCs w:val="28"/>
          <w:highlight w:val="none"/>
        </w:rPr>
      </w:pPr>
      <w:r/>
      <w:bookmarkStart w:id="31" w:name="_Toc35393795"/>
      <w:r/>
      <w:bookmarkStart w:id="32" w:name="_Toc35393626"/>
      <w:r>
        <w:rPr>
          <w:rFonts w:hint="eastAsia" w:ascii="宋体" w:hAnsi="宋体" w:eastAsia="宋体" w:cs="宋体"/>
          <w:b w:val="0"/>
          <w:color w:val="auto"/>
          <w:sz w:val="24"/>
          <w:szCs w:val="28"/>
          <w:highlight w:val="none"/>
        </w:rPr>
        <w:t xml:space="preserve">六、其他补充事宜</w:t>
      </w:r>
      <w:bookmarkEnd w:id="31"/>
      <w:r/>
      <w:bookmarkEnd w:id="32"/>
      <w:r/>
      <w:bookmarkStart w:id="33" w:name="_Toc28359085"/>
      <w:r/>
      <w:bookmarkStart w:id="34" w:name="_Toc35393796"/>
      <w:r/>
      <w:bookmarkStart w:id="35" w:name="_Toc28359008"/>
      <w:r/>
      <w:bookmarkStart w:id="36" w:name="_Toc35393627"/>
      <w:r/>
      <w:r/>
    </w:p>
    <w:p>
      <w:pPr>
        <w:pStyle w:val="1060"/>
        <w:numPr>
          <w:ilvl w:val="0"/>
          <w:numId w:val="1"/>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本项目通过电子交易平台进行采购，投标人须通过“苏采云”平台在线制作并提交投标文件。请在投标前详细阅读《</w:t>
      </w:r>
      <w:r>
        <w:rPr>
          <w:rFonts w:hint="eastAsia" w:ascii="宋体" w:hAnsi="宋体" w:eastAsia="宋体" w:cs="宋体"/>
          <w:color w:val="auto"/>
          <w:sz w:val="24"/>
          <w:szCs w:val="28"/>
          <w:highlight w:val="none"/>
          <w:lang w:eastAsia="zh-CN"/>
        </w:rPr>
        <w:t xml:space="preserve">苏采云</w:t>
      </w:r>
      <w:r>
        <w:rPr>
          <w:rFonts w:hint="eastAsia" w:ascii="宋体" w:hAnsi="宋体" w:eastAsia="宋体" w:cs="宋体"/>
          <w:color w:val="auto"/>
          <w:sz w:val="24"/>
          <w:szCs w:val="28"/>
          <w:highlight w:val="none"/>
        </w:rPr>
        <w:t xml:space="preserve">操作手册》（网址：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"http://www.ccgp-jiangsu.gov.cn/jiangsu/zlxz/ee/ee3a4bc5a3454aa2b0d9312230633ce9.html）；" </w:instrText>
      </w:r>
      <w:r>
        <w:rPr>
          <w:rFonts w:hint="eastAsia" w:ascii="宋体" w:hAnsi="宋体" w:eastAsia="宋体" w:cs="宋体"/>
          <w:color w:val="auto"/>
          <w:sz w:val="24"/>
          <w:szCs w:val="28"/>
          <w:highlight w:val="none"/>
        </w:rPr>
        <w:fldChar w:fldCharType="separate"/>
      </w:r>
      <w:r>
        <w:rPr>
          <w:rStyle w:val="1061"/>
          <w:rFonts w:hint="eastAsia" w:ascii="宋体" w:hAnsi="宋体" w:eastAsia="宋体" w:cs="宋体"/>
          <w:color w:val="auto"/>
          <w:sz w:val="24"/>
          <w:szCs w:val="28"/>
          <w:highlight w:val="none"/>
        </w:rPr>
        <w:t xml:space="preserve">http://www.ccgp-jiangsu.gov.cn/jiangsu/zlxz/ee/ee3a4bc5a3454aa2b0d9312230633ce9.html）；</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解密锁发生故障等自身原因，导致响应文件在规定时间内未能解密、解密失败或解密超时，供应商自行承担其后果。</w:t>
      </w:r>
      <w:r/>
    </w:p>
    <w:p>
      <w:pPr>
        <w:pStyle w:val="1060"/>
        <w:numPr>
          <w:ilvl w:val="0"/>
          <w:numId w:val="0"/>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投标人在使用系统进行投标的过程中如遇到涉及平台使用的任何问题，应在工作日上午9：00-11:30 下午13:30-17:30期间致电技术支持热线咨询，联系方式:0519-86722803、0519-86722805。</w:t>
      </w:r>
      <w:r/>
    </w:p>
    <w:p>
      <w:pPr>
        <w:pStyle w:val="1060"/>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.投标人投标需提前办理数字认证证书，办理方式和注意事项详见:</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苏采云系统使用谷歌浏览器参与不见面开标。</w:t>
      </w:r>
      <w:r/>
    </w:p>
    <w:p>
      <w:pPr>
        <w:pStyle w:val="1057"/>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3"/>
      <w:r/>
      <w:bookmarkEnd w:id="34"/>
      <w:r/>
      <w:bookmarkEnd w:id="35"/>
      <w:r/>
      <w:bookmarkEnd w:id="36"/>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1.采购人信息</w:t>
      </w:r>
      <w:r/>
    </w:p>
    <w:p>
      <w:pPr>
        <w:ind w:left="1079" w:hanging="300"/>
        <w:jc w:val="left"/>
        <w:spacing w:line="360" w:lineRule="auto"/>
        <w:rPr>
          <w:rFonts w:hint="eastAsia" w:ascii="宋体" w:hAnsi="宋体" w:eastAsia="宋体" w:cs="宋体"/>
          <w:color w:val="auto"/>
          <w:sz w:val="24"/>
          <w:szCs w:val="24"/>
          <w:highlight w:val="none"/>
          <w:u w:val="none"/>
        </w:rPr>
      </w:pPr>
      <w:r/>
      <w:bookmarkStart w:id="37" w:name="_Toc28359009"/>
      <w:r/>
      <w:bookmarkStart w:id="38" w:name="_Toc28359086"/>
      <w:r>
        <w:rPr>
          <w:rFonts w:hint="eastAsia" w:ascii="宋体" w:hAnsi="宋体" w:eastAsia="宋体" w:cs="宋体"/>
          <w:color w:val="auto"/>
          <w:sz w:val="24"/>
          <w:szCs w:val="24"/>
          <w:highlight w:val="none"/>
          <w:u w:val="none"/>
        </w:rPr>
        <w:t xml:space="preserve">名 称：句容市宝华镇人民政府</w:t>
      </w:r>
      <w:r/>
    </w:p>
    <w:p>
      <w:pPr>
        <w:ind w:left="1079" w:hanging="300"/>
        <w:jc w:val="left"/>
        <w:spacing w:line="360" w:lineRule="auto"/>
        <w:rPr>
          <w:rFonts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地址：镇江市句容市</w:t>
      </w:r>
      <w:r>
        <w:rPr>
          <w:rFonts w:hint="eastAsia" w:ascii="宋体" w:hAnsi="宋体" w:cs="宋体"/>
          <w:color w:val="auto"/>
          <w:sz w:val="24"/>
          <w:szCs w:val="24"/>
          <w:highlight w:val="none"/>
          <w:u w:val="none"/>
          <w:lang w:val="en-US" w:eastAsia="zh-CN"/>
        </w:rPr>
        <w:t xml:space="preserve">宝华镇</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eastAsia="zh-CN"/>
        </w:rPr>
        <w:t xml:space="preserve">经超</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bookmarkEnd w:id="37"/>
      <w:r/>
      <w:bookmarkEnd w:id="38"/>
      <w:r>
        <w:rPr>
          <w:rFonts w:hint="eastAsia" w:ascii="宋体" w:hAnsi="宋体" w:cs="宋体"/>
          <w:color w:val="auto"/>
          <w:sz w:val="24"/>
          <w:szCs w:val="24"/>
          <w:highlight w:val="none"/>
          <w:u w:val="none"/>
          <w:lang w:eastAsia="zh-CN"/>
        </w:rPr>
        <w:t xml:space="preserve">18205294797</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2.采购代理机构信息</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德道天诚（南京）房地产评估咨询有限公司</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地 址：</w:t>
      </w:r>
      <w:r>
        <w:rPr>
          <w:rFonts w:hint="eastAsia" w:ascii="宋体" w:hAnsi="宋体" w:cs="宋体"/>
          <w:color w:val="auto"/>
          <w:sz w:val="24"/>
          <w:szCs w:val="24"/>
          <w:highlight w:val="none"/>
          <w:u w:val="none"/>
          <w:lang w:eastAsia="zh-CN"/>
        </w:rPr>
        <w:t xml:space="preserve">句容市龙锦新天地1幢702室</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r>
        <w:rPr>
          <w:rFonts w:hint="eastAsia" w:ascii="宋体" w:hAnsi="宋体" w:cs="宋体"/>
          <w:color w:val="auto"/>
          <w:sz w:val="24"/>
          <w:szCs w:val="24"/>
          <w:highlight w:val="none"/>
          <w:u w:val="none"/>
          <w:lang w:eastAsia="zh-CN"/>
        </w:rPr>
        <w:t xml:space="preserve">18952993344</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3.项目联系方式</w:t>
      </w:r>
      <w:r/>
    </w:p>
    <w:p>
      <w:pPr>
        <w:ind w:left="1079" w:hanging="300"/>
        <w:jc w:val="left"/>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项目联系人：</w:t>
      </w:r>
      <w:r>
        <w:rPr>
          <w:rFonts w:hint="eastAsia" w:ascii="宋体" w:hAnsi="宋体" w:cs="宋体"/>
          <w:color w:val="auto"/>
          <w:sz w:val="24"/>
          <w:szCs w:val="24"/>
          <w:highlight w:val="none"/>
          <w:u w:val="none"/>
          <w:lang w:eastAsia="zh-CN"/>
        </w:rPr>
        <w:t xml:space="preserve">陈</w:t>
      </w:r>
      <w:r>
        <w:rPr>
          <w:rFonts w:hint="eastAsia" w:ascii="宋体" w:hAnsi="宋体" w:cs="宋体"/>
          <w:color w:val="auto"/>
          <w:sz w:val="24"/>
          <w:szCs w:val="24"/>
          <w:highlight w:val="none"/>
          <w:u w:val="none"/>
          <w:lang w:val="en-US" w:eastAsia="zh-CN"/>
        </w:rPr>
        <w:t xml:space="preserve">涛</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电话：</w:t>
      </w:r>
      <w:r>
        <w:rPr>
          <w:rFonts w:hint="eastAsia" w:ascii="宋体" w:hAnsi="宋体" w:cs="宋体"/>
          <w:color w:val="auto"/>
          <w:sz w:val="24"/>
          <w:szCs w:val="24"/>
          <w:highlight w:val="none"/>
          <w:u w:val="none"/>
          <w:lang w:eastAsia="zh-CN"/>
        </w:rPr>
        <w:t xml:space="preserve">18952993344</w:t>
      </w:r>
      <w:r/>
    </w:p>
    <w:p>
      <w:pPr>
        <w:ind w:left="1079" w:hanging="300"/>
        <w:jc w:val="right"/>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德道天诚（南京）房地产评估咨询有限公司</w:t>
      </w:r>
      <w:r>
        <w:rPr>
          <w:rFonts w:hint="eastAsia" w:ascii="宋体" w:hAnsi="宋体" w:eastAsia="宋体" w:cs="宋体"/>
          <w:color w:val="auto"/>
          <w:sz w:val="24"/>
          <w:szCs w:val="28"/>
          <w:highlight w:val="none"/>
        </w:rPr>
        <w:t xml:space="preserve">                                              </w:t>
      </w:r>
      <w:bookmarkEnd w:id="5"/>
      <w:r/>
      <w:bookmarkEnd w:id="6"/>
      <w:r/>
      <w:bookmarkEnd w:id="7"/>
      <w:r/>
      <w:bookmarkEnd w:id="8"/>
      <w:r/>
      <w:bookmarkEnd w:id="9"/>
      <w:r/>
      <w:bookmarkStart w:id="39" w:name="_Toc92168000"/>
      <w:r/>
      <w:bookmarkStart w:id="40" w:name="_Toc100386034"/>
      <w:r>
        <w:rPr>
          <w:rFonts w:hint="eastAsia" w:ascii="宋体" w:hAnsi="宋体" w:cs="宋体"/>
          <w:color w:val="auto"/>
          <w:sz w:val="24"/>
          <w:szCs w:val="28"/>
          <w:highlight w:val="none"/>
          <w:lang w:eastAsia="zh-CN"/>
        </w:rPr>
        <w:t xml:space="preserve">2026年</w:t>
      </w:r>
      <w:r>
        <w:rPr>
          <w:rFonts w:hint="eastAsia" w:ascii="宋体" w:hAnsi="宋体" w:cs="宋体"/>
          <w:color w:val="auto"/>
          <w:sz w:val="24"/>
          <w:szCs w:val="28"/>
          <w:highlight w:val="none"/>
          <w:lang w:val="en-US" w:eastAsia="zh-CN"/>
        </w:rPr>
        <w:t xml:space="preserve">7</w:t>
      </w:r>
      <w:r>
        <w:rPr>
          <w:rFonts w:hint="eastAsia" w:ascii="宋体" w:hAnsi="宋体" w:cs="宋体"/>
          <w:color w:val="auto"/>
          <w:sz w:val="24"/>
          <w:szCs w:val="28"/>
          <w:highlight w:val="none"/>
          <w:lang w:eastAsia="zh-CN"/>
        </w:rPr>
        <w:t xml:space="preserve">月</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lang w:eastAsia="zh-CN"/>
        </w:rPr>
        <w:t xml:space="preserve">日</w:t>
      </w:r>
      <w:r>
        <w:rPr>
          <w:rFonts w:hint="eastAsia" w:ascii="宋体" w:hAnsi="宋体" w:eastAsia="宋体" w:cs="宋体"/>
          <w:color w:val="auto"/>
          <w:szCs w:val="32"/>
          <w:highlight w:val="none"/>
        </w:rPr>
        <w:br w:type="page" w:clear="all"/>
      </w:r>
      <w:r/>
    </w:p>
    <w:p>
      <w:pPr>
        <w:pStyle w:val="1058"/>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1058"/>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8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序号</w:t>
            </w:r>
            <w:r/>
          </w:p>
        </w:tc>
        <w:tc>
          <w:tcPr>
            <w:tcW w:w="1994"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事项</w:t>
            </w:r>
            <w:r/>
          </w:p>
        </w:tc>
        <w:tc>
          <w:tcPr>
            <w:tcW w:w="6819"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本项目规定</w:t>
            </w:r>
            <w:r/>
          </w:p>
        </w:tc>
      </w:tr>
      <w:tr>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w:t>
            </w:r>
            <w:r/>
          </w:p>
        </w:tc>
        <w:tc>
          <w:tcPr>
            <w:tcW w:w="1994"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报价要求</w:t>
            </w:r>
            <w:r/>
          </w:p>
        </w:tc>
        <w:tc>
          <w:tcPr>
            <w:tcW w:w="6819" w:type="dxa"/>
            <w:vAlign w:val="center"/>
            <w:textDirection w:val="lrTb"/>
            <w:noWrap w:val="false"/>
          </w:tcPr>
          <w:p>
            <w:pPr>
              <w:pStyle w:val="105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本次投标报价的币种为人民币。</w:t>
            </w:r>
            <w:r/>
          </w:p>
          <w:p>
            <w:pPr>
              <w:pStyle w:val="105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投标人应按招标文件所提供的各报价表格式报价。</w:t>
            </w:r>
            <w:r/>
          </w:p>
          <w:p>
            <w:pPr>
              <w:pStyle w:val="105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投标人应对本项目报出最具有竞争力的价格，应包括本次招标要求提供的货物（服务）已支付或将支付的所有费用（含税费）。</w:t>
            </w:r>
            <w:r/>
          </w:p>
          <w:p>
            <w:pPr>
              <w:pStyle w:val="105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最低投标报价不能作为中标的保证。</w:t>
            </w:r>
            <w:r/>
          </w:p>
          <w:p>
            <w:pPr>
              <w:pStyle w:val="105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中标价即为合同签约价。</w:t>
            </w:r>
            <w:r/>
          </w:p>
          <w:p>
            <w:pPr>
              <w:pStyle w:val="105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如出现报价前后不一致的，将按招标文件第五部分“评标办法和标准”第5项规定进行修正。</w:t>
            </w:r>
            <w:r/>
          </w:p>
          <w:p>
            <w:pPr>
              <w:pStyle w:val="105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1366"/>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2</w:t>
            </w:r>
            <w:r/>
          </w:p>
        </w:tc>
        <w:tc>
          <w:tcPr>
            <w:tcW w:w="1994"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转包及分包</w:t>
            </w:r>
            <w:r/>
          </w:p>
        </w:tc>
        <w:tc>
          <w:tcPr>
            <w:tcW w:w="6819" w:type="dxa"/>
            <w:vAlign w:val="center"/>
            <w:textDirection w:val="lrTb"/>
            <w:noWrap w:val="false"/>
          </w:tcPr>
          <w:p>
            <w:pPr>
              <w:pStyle w:val="105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项目依法不得转包</w:t>
            </w:r>
            <w:r/>
          </w:p>
          <w:p>
            <w:pPr>
              <w:pStyle w:val="105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☑A本项目不同意分包。</w:t>
            </w:r>
            <w:r/>
          </w:p>
          <w:p>
            <w:pPr>
              <w:pStyle w:val="1059"/>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B同意将非主体、非关键性的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p>
        </w:tc>
      </w:tr>
      <w:tr>
        <w:trPr>
          <w:trHeight w:val="1366"/>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3</w:t>
            </w:r>
            <w:r/>
          </w:p>
        </w:tc>
        <w:tc>
          <w:tcPr>
            <w:tcW w:w="1994" w:type="dxa"/>
            <w:vAlign w:val="center"/>
            <w:textDirection w:val="lrTb"/>
            <w:noWrap w:val="false"/>
          </w:tcPr>
          <w:p>
            <w:pPr>
              <w:pStyle w:val="106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开标前答疑会</w:t>
            </w:r>
            <w:r/>
          </w:p>
        </w:tc>
        <w:tc>
          <w:tcPr>
            <w:tcW w:w="6819" w:type="dxa"/>
            <w:vAlign w:val="center"/>
            <w:textDirection w:val="lrTb"/>
            <w:noWrap w:val="false"/>
          </w:tcPr>
          <w:p>
            <w:pPr>
              <w:pStyle w:val="10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☑A不组织</w:t>
            </w:r>
            <w:r/>
          </w:p>
          <w:p>
            <w:pPr>
              <w:pStyle w:val="10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□B组织</w:t>
            </w:r>
            <w:r/>
          </w:p>
          <w:p>
            <w:pPr>
              <w:pStyle w:val="1063"/>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1063"/>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1063"/>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4</w:t>
            </w:r>
            <w:r/>
          </w:p>
        </w:tc>
        <w:tc>
          <w:tcPr>
            <w:tcW w:w="1994" w:type="dxa"/>
            <w:vAlign w:val="center"/>
            <w:textDirection w:val="lrTb"/>
            <w:noWrap w:val="false"/>
          </w:tcPr>
          <w:p>
            <w:pPr>
              <w:pStyle w:val="106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现场踏勘</w:t>
            </w:r>
            <w:r/>
          </w:p>
        </w:tc>
        <w:tc>
          <w:tcPr>
            <w:tcW w:w="6819" w:type="dxa"/>
            <w:vAlign w:val="center"/>
            <w:textDirection w:val="lrTb"/>
            <w:noWrap w:val="false"/>
          </w:tcPr>
          <w:p>
            <w:pPr>
              <w:pStyle w:val="10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☑A不统一组织</w:t>
            </w:r>
            <w:r/>
          </w:p>
          <w:p>
            <w:pPr>
              <w:pStyle w:val="10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□B统一组织</w:t>
            </w:r>
            <w:r/>
          </w:p>
          <w:p>
            <w:pPr>
              <w:pStyle w:val="1063"/>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1063"/>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106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5</w:t>
            </w:r>
            <w:r/>
          </w:p>
        </w:tc>
        <w:tc>
          <w:tcPr>
            <w:tcW w:w="1994" w:type="dxa"/>
            <w:vAlign w:val="center"/>
            <w:textDirection w:val="lrTb"/>
            <w:noWrap w:val="false"/>
          </w:tcPr>
          <w:p>
            <w:pPr>
              <w:pStyle w:val="106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演示</w:t>
            </w:r>
            <w:r/>
          </w:p>
        </w:tc>
        <w:tc>
          <w:tcPr>
            <w:tcW w:w="6819" w:type="dxa"/>
            <w:vAlign w:val="center"/>
            <w:textDirection w:val="lrTb"/>
            <w:noWrap w:val="false"/>
          </w:tcPr>
          <w:p>
            <w:pPr>
              <w:pStyle w:val="1063"/>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A无</w:t>
            </w:r>
            <w:r/>
          </w:p>
          <w:p>
            <w:pPr>
              <w:pStyle w:val="1063"/>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B有，本项目演示使用录播上传形式，各投标人自行将录播内容上传至苏采云平台。上传前请详细阅读苏采云操作指南。</w:t>
            </w:r>
            <w:r/>
          </w:p>
        </w:tc>
      </w:tr>
      <w:tr>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6</w:t>
            </w:r>
            <w:r/>
          </w:p>
        </w:tc>
        <w:tc>
          <w:tcPr>
            <w:tcW w:w="1994" w:type="dxa"/>
            <w:vAlign w:val="center"/>
            <w:textDirection w:val="lrTb"/>
            <w:noWrap w:val="false"/>
          </w:tcPr>
          <w:p>
            <w:pPr>
              <w:pStyle w:val="106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样品</w:t>
            </w:r>
            <w:r/>
          </w:p>
        </w:tc>
        <w:tc>
          <w:tcPr>
            <w:tcW w:w="6819" w:type="dxa"/>
            <w:vAlign w:val="center"/>
            <w:textDirection w:val="lrTb"/>
            <w:noWrap w:val="false"/>
          </w:tcPr>
          <w:p>
            <w:pPr>
              <w:pStyle w:val="1063"/>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A不要求提供。</w:t>
            </w:r>
            <w:r/>
          </w:p>
          <w:p>
            <w:pPr>
              <w:pStyle w:val="1063"/>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B要求提供（</w:t>
            </w:r>
            <w:r>
              <w:rPr>
                <w:rFonts w:hint="eastAsia" w:ascii="宋体" w:hAnsi="宋体" w:eastAsia="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宋体"/>
                <w:color w:val="auto"/>
                <w:sz w:val="24"/>
                <w:highlight w:val="none"/>
              </w:rPr>
              <w:t xml:space="preserve">）</w:t>
            </w:r>
            <w:r/>
          </w:p>
          <w:p>
            <w:pPr>
              <w:pStyle w:val="1063"/>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单人操作台，玩具柜（带轮）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63"/>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（2）样品制作的标准和要求：</w:t>
            </w:r>
            <w:r>
              <w:rPr>
                <w:rFonts w:hint="eastAsia" w:ascii="宋体" w:hAnsi="宋体" w:eastAsia="宋体" w:cs="宋体"/>
                <w:color w:val="auto"/>
                <w:sz w:val="24"/>
                <w:highlight w:val="none"/>
                <w:u w:val="single"/>
                <w:lang w:val="en-US" w:eastAsia="zh-CN"/>
              </w:rPr>
              <w:t xml:space="preserve">具体详见评</w:t>
            </w:r>
            <w:r>
              <w:rPr>
                <w:rFonts w:hint="eastAsia" w:ascii="宋体" w:hAnsi="宋体" w:cs="宋体"/>
                <w:color w:val="auto"/>
                <w:sz w:val="24"/>
                <w:highlight w:val="none"/>
                <w:u w:val="single"/>
                <w:lang w:val="en-US" w:eastAsia="zh-CN"/>
              </w:rPr>
              <w:t xml:space="preserve">标</w:t>
            </w:r>
            <w:r>
              <w:rPr>
                <w:rFonts w:hint="eastAsia" w:ascii="宋体" w:hAnsi="宋体" w:eastAsia="宋体" w:cs="宋体"/>
                <w:color w:val="auto"/>
                <w:sz w:val="24"/>
                <w:highlight w:val="none"/>
                <w:u w:val="single"/>
                <w:lang w:val="en-US" w:eastAsia="zh-CN"/>
              </w:rPr>
              <w:t xml:space="preserve">办法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（3）样品的评审方法以及评审标准：详见评标办法；</w:t>
            </w:r>
            <w:r/>
          </w:p>
          <w:p>
            <w:pPr>
              <w:pStyle w:val="10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（4）是否需要随</w:t>
            </w:r>
            <w:r>
              <w:rPr>
                <w:rFonts w:hint="eastAsia" w:ascii="宋体" w:hAnsi="宋体" w:eastAsia="宋体" w:cs="宋体"/>
                <w:color w:val="auto"/>
                <w:sz w:val="24"/>
                <w:highlight w:val="none"/>
              </w:rPr>
              <w:t xml:space="preserve">样品提交检测报告：</w:t>
            </w: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是，检测机构的要求：</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；检测内容：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highlight w:val="none"/>
              </w:rPr>
            </w:r>
            <w:r/>
          </w:p>
          <w:p>
            <w:pPr>
              <w:pStyle w:val="10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（5）提供样品的时间：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lang w:val="en-US" w:eastAsia="zh-CN"/>
              </w:rPr>
              <w:t xml:space="preserve">0</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lang w:val="en-US" w:eastAsia="zh-CN"/>
              </w:rPr>
              <w:t xml:space="preserve">年</w:t>
            </w:r>
            <w:r>
              <w:rPr>
                <w:rFonts w:hint="eastAsia" w:ascii="宋体" w:hAnsi="宋体" w:cs="宋体"/>
                <w:color w:val="auto"/>
                <w:sz w:val="24"/>
                <w:highlight w:val="none"/>
                <w:u w:val="single"/>
                <w:lang w:val="en-US" w:eastAsia="zh-CN"/>
              </w:rPr>
              <w:t xml:space="preserve">7</w:t>
            </w:r>
            <w:r>
              <w:rPr>
                <w:rFonts w:hint="eastAsia" w:ascii="宋体" w:hAnsi="宋体" w:cs="宋体"/>
                <w:color w:val="auto"/>
                <w:sz w:val="24"/>
                <w:highlight w:val="none"/>
                <w:u w:val="single"/>
                <w:lang w:val="en-US" w:eastAsia="zh-CN"/>
              </w:rPr>
              <w:t xml:space="preserve">月</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lang w:val="en-US" w:eastAsia="zh-CN"/>
              </w:rPr>
              <w:t xml:space="preserve">8</w:t>
            </w:r>
            <w:r>
              <w:rPr>
                <w:rFonts w:hint="eastAsia" w:ascii="宋体" w:hAnsi="宋体" w:cs="宋体"/>
                <w:color w:val="auto"/>
                <w:sz w:val="24"/>
                <w:highlight w:val="none"/>
                <w:u w:val="single"/>
                <w:lang w:val="en-US" w:eastAsia="zh-CN"/>
              </w:rPr>
              <w:t xml:space="preserve">日</w:t>
            </w:r>
            <w:r>
              <w:rPr>
                <w:rFonts w:hint="eastAsia" w:ascii="宋体" w:hAnsi="宋体" w:cs="宋体"/>
                <w:color w:val="auto"/>
                <w:sz w:val="24"/>
                <w:highlight w:val="none"/>
                <w:u w:val="single"/>
                <w:lang w:val="en-US" w:eastAsia="zh-CN"/>
              </w:rPr>
              <w:t xml:space="preserve">，上午8:30到下午17:30，过时不受理  </w:t>
            </w:r>
            <w:r>
              <w:rPr>
                <w:rFonts w:hint="eastAsia" w:ascii="宋体" w:hAnsi="宋体" w:eastAsia="宋体" w:cs="宋体"/>
                <w:color w:val="auto"/>
                <w:sz w:val="24"/>
                <w:highlight w:val="none"/>
              </w:rPr>
              <w:t xml:space="preserve">；地点：</w:t>
            </w:r>
            <w:r>
              <w:rPr>
                <w:rFonts w:hint="eastAsia" w:ascii="宋体" w:hAnsi="宋体" w:cs="宋体"/>
                <w:color w:val="auto"/>
                <w:sz w:val="24"/>
                <w:highlight w:val="none"/>
                <w:u w:val="single"/>
                <w:lang w:val="en-US" w:eastAsia="zh-CN"/>
              </w:rPr>
              <w:t xml:space="preserve">江苏省句容市行政服务中心1号楼5楼样品室 </w:t>
            </w: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郑工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u w:val="single"/>
                <w:lang w:val="en-US" w:eastAsia="zh-CN"/>
              </w:rPr>
              <w:t xml:space="preserve">15365965301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。请投标人在上述时间内提供样品并按规定位置安装完毕。超过截止时间的，采购人或采购代理机构将不予接收及安装</w:t>
            </w:r>
            <w:r>
              <w:rPr>
                <w:rFonts w:hint="eastAsia" w:ascii="宋体" w:hAnsi="宋体" w:eastAsia="宋体" w:cs="宋体"/>
                <w:color w:val="auto"/>
                <w:sz w:val="24"/>
                <w:highlight w:val="none"/>
              </w:rPr>
              <w:t xml:space="preserve">，并将清场并封闭样品现场。</w:t>
            </w:r>
            <w:r/>
          </w:p>
          <w:p>
            <w:pPr>
              <w:pStyle w:val="10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063"/>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（7）制作、运输、安装和保管样品所发生的一切费用由投标人自理。</w:t>
            </w:r>
            <w:r/>
          </w:p>
        </w:tc>
      </w:tr>
      <w:tr>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7</w:t>
            </w:r>
            <w:r/>
          </w:p>
        </w:tc>
        <w:tc>
          <w:tcPr>
            <w:tcW w:w="1994" w:type="dxa"/>
            <w:vAlign w:val="center"/>
            <w:textDirection w:val="lrTb"/>
            <w:noWrap w:val="false"/>
          </w:tcPr>
          <w:p>
            <w:pPr>
              <w:pStyle w:val="1063"/>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是否允许采购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tc>
        <w:tc>
          <w:tcPr>
            <w:tcW w:w="6819" w:type="dxa"/>
            <w:vAlign w:val="center"/>
            <w:textDirection w:val="lrTb"/>
            <w:noWrap w:val="false"/>
          </w:tcPr>
          <w:p>
            <w:pPr>
              <w:pStyle w:val="10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☑A本项目不允许采购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p>
            <w:pPr>
              <w:pStyle w:val="106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□B可以采购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产品，优先采购向我国企业转让技术、与我国企业签订消化吸收再创新方案的供应商的</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8</w:t>
            </w:r>
            <w:r/>
          </w:p>
        </w:tc>
        <w:tc>
          <w:tcPr>
            <w:tcW w:w="1994"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项目属性与核心产品</w:t>
            </w:r>
            <w:r/>
          </w:p>
        </w:tc>
        <w:tc>
          <w:tcPr>
            <w:tcW w:w="6819" w:type="dxa"/>
            <w:vAlign w:val="center"/>
            <w:textDirection w:val="lrTb"/>
            <w:noWrap w:val="false"/>
          </w:tcPr>
          <w:p>
            <w:pPr>
              <w:pStyle w:val="10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☑A货物类。</w:t>
            </w:r>
            <w:r/>
          </w:p>
          <w:p>
            <w:pPr>
              <w:pStyle w:val="106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□B服务类。</w:t>
            </w:r>
            <w:r/>
          </w:p>
          <w:p>
            <w:pPr>
              <w:pStyle w:val="1059"/>
              <w:ind w:firstLine="0"/>
              <w:rPr>
                <w:rFonts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本项目核心产品为</w:t>
            </w:r>
            <w:r>
              <w:rPr>
                <w:rFonts w:hint="eastAsia" w:ascii="宋体" w:hAnsi="宋体" w:eastAsia="宋体" w:cs="宋体"/>
                <w:color w:val="auto"/>
                <w:sz w:val="24"/>
                <w:highlight w:val="none"/>
                <w:u w:val="single"/>
                <w:lang w:val="en-US" w:eastAsia="zh-CN"/>
              </w:rPr>
              <w:t xml:space="preserve">：</w:t>
            </w:r>
            <w:r>
              <w:rPr>
                <w:rFonts w:hint="eastAsia" w:ascii="宋体" w:hAnsi="宋体" w:cs="宋体"/>
                <w:color w:val="auto"/>
                <w:sz w:val="24"/>
                <w:szCs w:val="28"/>
                <w:highlight w:val="none"/>
                <w:u w:val="single"/>
                <w:lang w:eastAsia="zh-CN"/>
              </w:rPr>
              <w:t xml:space="preserve">自由组合区角柜、VR系统、户外大型运动组合器械</w:t>
            </w:r>
            <w:r>
              <w:rPr>
                <w:rFonts w:hint="eastAsia" w:ascii="宋体" w:hAnsi="宋体" w:cs="宋体"/>
                <w:color w:val="auto"/>
                <w:sz w:val="24"/>
                <w:szCs w:val="28"/>
                <w:highlight w:val="none"/>
                <w:u w:val="none"/>
                <w:lang w:eastAsia="zh-CN"/>
              </w:rPr>
              <w:t xml:space="preserve">。</w:t>
            </w:r>
            <w:r/>
          </w:p>
        </w:tc>
      </w:tr>
      <w:tr>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9</w:t>
            </w:r>
            <w:r/>
          </w:p>
        </w:tc>
        <w:tc>
          <w:tcPr>
            <w:tcW w:w="1994"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采购标的对应的中小企业划分标准所属行业</w:t>
            </w:r>
            <w:r/>
          </w:p>
        </w:tc>
        <w:tc>
          <w:tcPr>
            <w:tcW w:w="6819" w:type="dxa"/>
            <w:vAlign w:val="center"/>
            <w:textDirection w:val="lrTb"/>
            <w:noWrap w:val="false"/>
          </w:tcPr>
          <w:p>
            <w:pPr>
              <w:pStyle w:val="1059"/>
              <w:numPr>
                <w:ilvl w:val="0"/>
                <w:numId w:val="2"/>
              </w:numPr>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zh-CN"/>
              </w:rPr>
              <w:t xml:space="preserve">标的：</w:t>
            </w: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（具体详见采购需求）</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highlight w:val="none"/>
                <w:lang w:val="en-US" w:eastAsia="zh-CN"/>
              </w:rPr>
              <w:t xml:space="preserve">，属于行业；</w:t>
            </w:r>
            <w:r>
              <w:rPr>
                <w:rFonts w:hint="eastAsia" w:ascii="宋体" w:hAnsi="宋体" w:eastAsia="宋体" w:cs="宋体"/>
                <w:color w:val="auto"/>
                <w:sz w:val="24"/>
                <w:highlight w:val="none"/>
                <w:u w:val="single"/>
                <w:lang w:val="en-US" w:eastAsia="zh-CN"/>
              </w:rPr>
              <w:t xml:space="preserve">工业</w:t>
            </w:r>
            <w:r>
              <w:rPr>
                <w:rFonts w:hint="eastAsia" w:ascii="宋体" w:hAnsi="宋体" w:eastAsia="宋体" w:cs="宋体"/>
                <w:color w:val="auto"/>
                <w:sz w:val="24"/>
                <w:highlight w:val="none"/>
                <w:lang w:val="en-US" w:eastAsia="zh-CN"/>
              </w:rPr>
              <w:t xml:space="preserve">行业</w:t>
            </w:r>
            <w:r/>
          </w:p>
        </w:tc>
      </w:tr>
      <w:tr>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10</w:t>
            </w:r>
            <w:r/>
          </w:p>
        </w:tc>
        <w:tc>
          <w:tcPr>
            <w:tcW w:w="1994" w:type="dxa"/>
            <w:vAlign w:val="center"/>
            <w:textDirection w:val="lrTb"/>
            <w:noWrap w:val="false"/>
          </w:tcPr>
          <w:p>
            <w:pPr>
              <w:pStyle w:val="1063"/>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节能产品、环境标志产品</w:t>
            </w:r>
            <w:r/>
          </w:p>
        </w:tc>
        <w:tc>
          <w:tcPr>
            <w:tcW w:w="6819" w:type="dxa"/>
            <w:vAlign w:val="center"/>
            <w:textDirection w:val="lrTb"/>
            <w:noWrap w:val="false"/>
          </w:tcPr>
          <w:p>
            <w:pPr>
              <w:pStyle w:val="1063"/>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11</w:t>
            </w:r>
            <w:r/>
          </w:p>
        </w:tc>
        <w:tc>
          <w:tcPr>
            <w:tcW w:w="1994"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中小企业信用融资</w:t>
            </w:r>
            <w:r/>
          </w:p>
        </w:tc>
        <w:tc>
          <w:tcPr>
            <w:tcW w:w="6819" w:type="dxa"/>
            <w:vAlign w:val="center"/>
            <w:textDirection w:val="lrTb"/>
            <w:noWrap w:val="false"/>
          </w:tcPr>
          <w:p>
            <w:pPr>
              <w:pStyle w:val="105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eastAsia="宋体" w:cs="宋体"/>
                <w:color w:val="auto"/>
                <w:sz w:val="24"/>
                <w:highlight w:val="none"/>
                <w:lang w:val="en-US" w:eastAsia="zh-CN"/>
              </w:rPr>
              <w:t xml:space="preserve">镇江市财政局和中国人民银行镇江市中心支行联合印发《关于转发〈关于深入推进政府采购线上合同信用融资工作的通知〉的通知》</w:t>
            </w:r>
            <w:bookmarkEnd w:id="41"/>
            <w:r>
              <w:rPr>
                <w:rFonts w:hint="eastAsia" w:ascii="宋体" w:hAnsi="宋体" w:eastAsia="宋体" w:cs="宋体"/>
                <w:color w:val="auto"/>
                <w:sz w:val="24"/>
                <w:highlight w:val="none"/>
                <w:lang w:val="en-US" w:eastAsia="zh-CN"/>
              </w:rPr>
              <w:t xml:space="preserve">，</w:t>
            </w:r>
            <w:bookmarkStart w:id="42" w:name="_Hlk136444446"/>
            <w:r>
              <w:rPr>
                <w:rFonts w:hint="eastAsia" w:ascii="宋体" w:hAnsi="宋体" w:eastAsia="宋体" w:cs="宋体"/>
                <w:color w:val="auto"/>
                <w:sz w:val="24"/>
                <w:highlight w:val="none"/>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eastAsia="宋体" w:cs="宋体"/>
                <w:color w:val="auto"/>
                <w:sz w:val="24"/>
                <w:highlight w:val="none"/>
                <w:lang w:val="en-US"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12</w:t>
            </w:r>
            <w:r/>
          </w:p>
        </w:tc>
        <w:tc>
          <w:tcPr>
            <w:tcW w:w="1994" w:type="dxa"/>
            <w:vAlign w:val="center"/>
            <w:textDirection w:val="lrTb"/>
            <w:noWrap w:val="false"/>
          </w:tcPr>
          <w:p>
            <w:pPr>
              <w:pStyle w:val="105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特别说明</w:t>
            </w:r>
            <w:r/>
          </w:p>
        </w:tc>
        <w:tc>
          <w:tcPr>
            <w:tcW w:w="6819" w:type="dxa"/>
            <w:vAlign w:val="center"/>
            <w:textDirection w:val="lrTb"/>
            <w:noWrap w:val="false"/>
          </w:tcPr>
          <w:p>
            <w:pPr>
              <w:pStyle w:val="1059"/>
              <w:ind w:firstLine="0"/>
              <w:rPr>
                <w:rFonts w:hint="eastAsia" w:ascii="宋体" w:hAnsi="宋体" w:eastAsia="宋体" w:cs="宋体"/>
                <w:i/>
                <w:iCs/>
                <w:color w:val="auto"/>
                <w:sz w:val="24"/>
                <w:highlight w:val="none"/>
                <w:lang w:val="en-US" w:eastAsia="en-US"/>
              </w:rPr>
            </w:pPr>
            <w:r>
              <w:rPr>
                <w:rFonts w:hint="eastAsia" w:ascii="宋体" w:hAnsi="宋体" w:eastAsia="宋体" w:cs="宋体"/>
                <w:color w:val="auto"/>
                <w:sz w:val="24"/>
                <w:highlight w:val="none"/>
                <w:lang w:val="en-US" w:eastAsia="en-US"/>
              </w:rPr>
              <w:t xml:space="preserve">无</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szCs w:val="32"/>
          <w:highlight w:val="none"/>
        </w:rPr>
        <w:t xml:space="preserve">一、总  则</w:t>
      </w:r>
      <w:bookmarkEnd w:id="39"/>
      <w:r/>
      <w:bookmarkEnd w:id="40"/>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3" w:name="_Toc92168001"/>
      <w:r/>
      <w:bookmarkStart w:id="44" w:name="_Toc100386035"/>
      <w:r>
        <w:rPr>
          <w:rFonts w:hint="eastAsia" w:ascii="宋体" w:hAnsi="宋体" w:eastAsia="宋体" w:cs="宋体"/>
          <w:color w:val="auto"/>
          <w:sz w:val="30"/>
          <w:highlight w:val="none"/>
        </w:rPr>
        <w:t xml:space="preserve">1．适用范围</w:t>
      </w:r>
      <w:bookmarkEnd w:id="43"/>
      <w:r/>
      <w:bookmarkEnd w:id="44"/>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u w:val="single"/>
          <w:lang w:eastAsia="zh-CN"/>
        </w:rPr>
        <w:t xml:space="preserve">宝华新城实验幼儿园教育教学设备设施、办公家具采购</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5" w:name="_Toc100386036"/>
      <w:r/>
      <w:bookmarkStart w:id="46" w:name="_Toc92168002"/>
      <w:r>
        <w:rPr>
          <w:rFonts w:hint="eastAsia" w:ascii="宋体" w:hAnsi="宋体" w:eastAsia="宋体" w:cs="宋体"/>
          <w:color w:val="auto"/>
          <w:sz w:val="30"/>
          <w:highlight w:val="none"/>
        </w:rPr>
        <w:t xml:space="preserve">2．定义</w:t>
      </w:r>
      <w:bookmarkEnd w:id="45"/>
      <w:r/>
      <w:bookmarkEnd w:id="46"/>
      <w:r/>
      <w:r/>
    </w:p>
    <w:p>
      <w:pPr>
        <w:ind w:firstLine="480"/>
        <w:spacing w:line="360" w:lineRule="auto"/>
        <w:rPr>
          <w:rFonts w:hint="eastAsia" w:ascii="宋体" w:hAnsi="宋体" w:eastAsia="宋体" w:cs="宋体"/>
          <w:color w:val="auto"/>
          <w:sz w:val="24"/>
          <w:highlight w:val="none"/>
        </w:rPr>
      </w:pPr>
      <w:r/>
      <w:bookmarkStart w:id="47" w:name="_Toc92168004"/>
      <w:r/>
      <w:bookmarkStart w:id="48" w:name="_Toc98669335"/>
      <w:r/>
      <w:bookmarkStart w:id="49" w:name="_Toc100386038"/>
      <w:r/>
      <w:bookmarkStart w:id="50" w:name="_Toc20732971"/>
      <w:r/>
      <w:bookmarkStart w:id="51" w:name="_Toc98669693"/>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句容市宝华镇人民政府</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cs="宋体"/>
          <w:color w:val="auto"/>
          <w:sz w:val="24"/>
          <w:highlight w:val="none"/>
          <w:u w:val="single"/>
          <w:lang w:eastAsia="zh-CN"/>
        </w:rPr>
        <w:t xml:space="preserve">德道天诚（南京）房地产评估咨询有限公司</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lang w:val="en-US" w:eastAsia="zh-CN"/>
        </w:rPr>
        <w:t xml:space="preserve">宝华新城实验幼儿园教育教学设备设施、办公家具。 </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楷体" w:hAnsi="楷体" w:eastAsia="楷体"/>
          <w:color w:val="auto"/>
          <w:sz w:val="24"/>
          <w:highlight w:val="none"/>
        </w:rPr>
        <w:t xml:space="preserve">2.5“服务”系指本招标文件所述投标人应该履行的承诺和义务，</w:t>
      </w:r>
      <w:r>
        <w:rPr>
          <w:rFonts w:hint="eastAsia" w:ascii="宋体" w:hAnsi="宋体" w:eastAsia="宋体" w:cs="宋体"/>
          <w:color w:val="auto"/>
          <w:sz w:val="24"/>
          <w:highlight w:val="none"/>
          <w:u w:val="single"/>
          <w:lang w:val="en-US" w:eastAsia="zh-CN"/>
        </w:rPr>
        <w:t xml:space="preserve">即有关教育教学设备设施、办公家具的相关服务。</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2.6“</w:t>
      </w:r>
      <w:r>
        <w:rPr>
          <w:rFonts w:ascii="Wingdings" w:hAnsi="Wingdings" w:eastAsia="楷体"/>
          <w:color w:val="auto"/>
          <w:sz w:val="24"/>
          <w:highlight w:val="none"/>
        </w:rPr>
        <w:t xml:space="preserve"></w:t>
      </w:r>
      <w:r>
        <w:rPr>
          <w:rFonts w:hint="eastAsia" w:ascii="楷体" w:hAnsi="楷体" w:eastAsia="楷体"/>
          <w:color w:val="auto"/>
          <w:sz w:val="24"/>
          <w:highlight w:val="none"/>
        </w:rPr>
        <w:t xml:space="preserve">”系指适用本项目的要求，“☐”系指不适用本项目的要求。</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本次采购采取公开招标方式☑综合评分法□最低评标价法。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highlight w:val="none"/>
        </w:rPr>
        <w:t xml:space="preserve">式☑</w:t>
      </w:r>
      <w:r>
        <w:rPr>
          <w:rFonts w:hint="eastAsia" w:ascii="宋体" w:hAnsi="宋体" w:eastAsia="宋体" w:cs="宋体"/>
          <w:color w:val="auto"/>
          <w:sz w:val="24"/>
          <w:szCs w:val="28"/>
          <w:highlight w:val="none"/>
        </w:rPr>
        <w:t xml:space="preserve">资格后审  □资格预审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（1）☑因采购人年度预算中未单独列支代理服务费，中标供应商需向代理机构缴纳招标代理服务费。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收费标准是参照国家计委关于印发《代理服务收费管理暂行办法》的通知（计价格[2002]1980 号）的70%计算。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代理费用收款信息：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w:t>
      </w:r>
      <w:r>
        <w:rPr>
          <w:rFonts w:hint="eastAsia" w:ascii="宋体" w:hAnsi="宋体" w:cs="宋体"/>
          <w:color w:val="auto"/>
          <w:sz w:val="24"/>
          <w:highlight w:val="none"/>
          <w:lang w:eastAsia="zh-CN"/>
        </w:rPr>
        <w:t xml:space="preserve">德道天诚（南京）房地产评估咨询有限公司</w:t>
      </w:r>
      <w:r>
        <w:rPr>
          <w:rFonts w:hint="eastAsia" w:ascii="宋体" w:hAnsi="宋体" w:eastAsia="宋体" w:cs="宋体"/>
          <w:color w:val="auto"/>
          <w:sz w:val="24"/>
          <w:highlight w:val="none"/>
        </w:rPr>
        <w:t xml:space="preserve">句容分公司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收款账号：</w:t>
      </w:r>
      <w:r>
        <w:rPr>
          <w:rFonts w:hint="eastAsia" w:ascii="宋体" w:hAnsi="宋体" w:cs="宋体"/>
          <w:color w:val="auto"/>
          <w:sz w:val="24"/>
          <w:highlight w:val="none"/>
          <w:lang w:eastAsia="zh-CN"/>
        </w:rPr>
        <w:t xml:space="preserve">70660188000006207</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开户银行：</w:t>
      </w:r>
      <w:r>
        <w:rPr>
          <w:rFonts w:hint="eastAsia" w:ascii="宋体" w:hAnsi="宋体" w:cs="宋体"/>
          <w:color w:val="auto"/>
          <w:sz w:val="24"/>
          <w:highlight w:val="none"/>
          <w:lang w:eastAsia="zh-CN"/>
        </w:rPr>
        <w:t xml:space="preserve">江苏银行股份有限公司句容长江路支行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4.2不论投标的结果如何，采购人和采购代理机构在任何情况下均无义务和责任承担上述费用。</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2" w:name="_Toc98669336"/>
      <w:r/>
      <w:bookmarkStart w:id="53" w:name="_Toc20732973"/>
      <w:r/>
      <w:bookmarkStart w:id="54" w:name="_Toc100386039"/>
      <w:r/>
      <w:bookmarkStart w:id="55" w:name="_Toc98669694"/>
      <w:r/>
      <w:bookmarkStart w:id="56" w:name="_Toc92168005"/>
      <w:r>
        <w:rPr>
          <w:rFonts w:hint="eastAsia" w:ascii="宋体" w:hAnsi="宋体" w:eastAsia="宋体" w:cs="宋体"/>
          <w:color w:val="auto"/>
          <w:sz w:val="30"/>
          <w:highlight w:val="none"/>
        </w:rPr>
        <w:t xml:space="preserve">5．政策功能</w:t>
      </w:r>
      <w:bookmarkEnd w:id="52"/>
      <w:r/>
      <w:bookmarkEnd w:id="53"/>
      <w:r/>
      <w:bookmarkEnd w:id="54"/>
      <w:r/>
      <w:bookmarkEnd w:id="55"/>
      <w:r/>
      <w:bookmarkEnd w:id="5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eastAsia="宋体" w:cs="宋体"/>
          <w:color w:val="auto"/>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 强化政府采购异常低价审查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5.8实施本国产品标准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5.8.1本国产品是指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（1）在中国境内生产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①为确保产品在运输或者储存期间保持某种状态而进行的操作；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②为产品运输或者销售进行的包装或者展示；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③在产品或者其包装上粘贴或者印刷品牌、标志、标识以及其他用于区别的标记；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④简单的上漆、磨光和分装；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⑤其他不属于属性改变的情形。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（2）在中国境内生产的组件成本占比达到规定比例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（3）特定产品的关键组件、关键工序符合相关要求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5.8.3.2有关证明文件。</w:t>
      </w:r>
      <w:r>
        <w:rPr>
          <w:rFonts w:hint="eastAsia" w:ascii="宋体" w:hAnsi="宋体" w:eastAsia="宋体" w:cs="宋体"/>
          <w:color w:val="auto"/>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5.8.3.4中华人民共和国缔结或者共同参加的国际条约、协定对政府采购中本国产品政策另有规定的，按照有关条约、协定执行。</w:t>
      </w:r>
      <w:r/>
    </w:p>
    <w:p>
      <w:pPr>
        <w:pStyle w:val="1058"/>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7" w:name="_Toc98669339"/>
      <w:r/>
      <w:bookmarkStart w:id="58" w:name="_Toc20732976"/>
      <w:r/>
      <w:bookmarkStart w:id="59" w:name="_Toc98669697"/>
      <w:r/>
      <w:bookmarkStart w:id="60" w:name="_Toc92168008"/>
      <w:r/>
      <w:bookmarkStart w:id="61" w:name="_Toc100386042"/>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57"/>
      <w:r/>
      <w:bookmarkEnd w:id="58"/>
      <w:r/>
      <w:bookmarkEnd w:id="59"/>
      <w:r/>
      <w:bookmarkEnd w:id="60"/>
      <w:r/>
      <w:bookmarkEnd w:id="61"/>
      <w:r/>
      <w:bookmarkStart w:id="62" w:name="_Toc98669698"/>
      <w:r/>
      <w:bookmarkStart w:id="63" w:name="_Toc98669340"/>
      <w:r/>
      <w:bookmarkStart w:id="64" w:name="_Toc92168009"/>
      <w:r/>
      <w:bookmarkStart w:id="65" w:name="_Toc100386043"/>
      <w:r/>
      <w:bookmarkStart w:id="66" w:name="_Toc20732977"/>
      <w:r>
        <w:rPr>
          <w:rFonts w:hint="eastAsia" w:ascii="宋体" w:hAnsi="宋体" w:eastAsia="宋体" w:cs="宋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1058"/>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1058"/>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供应商须通“苏采云”系统的相关要求编制投标文件。</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064"/>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064"/>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064"/>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064"/>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064"/>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105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时间以“苏采云”系统时间为准。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截止时间以后提交的投标文件，“苏采云” 系统将拒绝接收。投标人应充分考虑网络环境、网络带宽等风险因素。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1058"/>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1058"/>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18.3开标仪式由采购代理机构组织。苏采云系统将自动对项目进行开标，并公布各投标人名称和投标价格。</w:t>
      </w:r>
      <w:r/>
    </w:p>
    <w:p>
      <w:pPr>
        <w:ind w:left="1"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18.</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投标人应当按照《操作手册》规定，在苏采云系统规定的时间内对投标文件进行解密。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投标人须配合开标工作，否则一切后果由投标人自行承担。</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1059"/>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1059"/>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1058"/>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8</w:t>
      </w:r>
      <w:r>
        <w:rPr>
          <w:rFonts w:hint="eastAsia" w:ascii="宋体" w:hAnsi="宋体" w:eastAsia="宋体" w:cs="宋体"/>
          <w:b/>
          <w:color w:val="auto"/>
          <w:sz w:val="24"/>
          <w:highlight w:val="none"/>
          <w:u w:val="single"/>
        </w:rPr>
        <w:t xml:space="preserve">）投标人未通过符合性审查或资格审查的；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9</w:t>
      </w:r>
      <w:r>
        <w:rPr>
          <w:rFonts w:hint="eastAsia" w:ascii="宋体" w:hAnsi="宋体" w:eastAsia="宋体" w:cs="宋体"/>
          <w:b/>
          <w:color w:val="auto"/>
          <w:sz w:val="24"/>
          <w:highlight w:val="none"/>
          <w:u w:val="single"/>
        </w:rPr>
        <w:t xml:space="preserve">）投标人存在串通投标情形的；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0</w:t>
      </w:r>
      <w:r>
        <w:rPr>
          <w:rFonts w:hint="eastAsia" w:ascii="宋体" w:hAnsi="宋体" w:eastAsia="宋体" w:cs="宋体"/>
          <w:b/>
          <w:color w:val="auto"/>
          <w:sz w:val="24"/>
          <w:highlight w:val="none"/>
          <w:u w:val="single"/>
        </w:rPr>
        <w:t xml:space="preserve">）为本项目提供整体设计、规范编制或者项目管理、监理、检测等服务的；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1</w:t>
      </w:r>
      <w:r>
        <w:rPr>
          <w:rFonts w:hint="eastAsia" w:ascii="宋体" w:hAnsi="宋体" w:eastAsia="宋体" w:cs="宋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2</w:t>
      </w:r>
      <w:r>
        <w:rPr>
          <w:rFonts w:hint="eastAsia" w:ascii="宋体" w:hAnsi="宋体" w:eastAsia="宋体" w:cs="宋体"/>
          <w:b/>
          <w:color w:val="auto"/>
          <w:sz w:val="24"/>
          <w:highlight w:val="none"/>
          <w:u w:val="single"/>
        </w:rPr>
        <w:t xml:space="preserve">）投标文件不满足招标文件的其它实质性要求的；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3</w:t>
      </w:r>
      <w:r>
        <w:rPr>
          <w:rFonts w:hint="eastAsia" w:ascii="宋体" w:hAnsi="宋体" w:eastAsia="宋体" w:cs="宋体"/>
          <w:b/>
          <w:color w:val="auto"/>
          <w:sz w:val="24"/>
          <w:highlight w:val="none"/>
          <w:u w:val="single"/>
        </w:rPr>
        <w:t xml:space="preserve">）如有委托代理人，未提供投标人为其缴纳社保证明材料的；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4</w:t>
      </w:r>
      <w:r>
        <w:rPr>
          <w:rFonts w:hint="eastAsia" w:ascii="宋体" w:hAnsi="宋体" w:eastAsia="宋体" w:cs="宋体"/>
          <w:b/>
          <w:color w:val="auto"/>
          <w:sz w:val="24"/>
          <w:highlight w:val="none"/>
          <w:u w:val="single"/>
        </w:rPr>
        <w:t xml:space="preserve">）参数部分负偏离程度过大或过多，经评委会认定影响采购人实际使用的；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5</w:t>
      </w:r>
      <w:r>
        <w:rPr>
          <w:rFonts w:hint="eastAsia" w:ascii="宋体" w:hAnsi="宋体" w:eastAsia="宋体" w:cs="宋体"/>
          <w:b/>
          <w:color w:val="auto"/>
          <w:sz w:val="24"/>
          <w:highlight w:val="none"/>
          <w:u w:val="single"/>
        </w:rPr>
        <w:t xml:space="preserve">）投标文件不满足招标文件的加★要求的；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6</w:t>
      </w:r>
      <w:r>
        <w:rPr>
          <w:rFonts w:hint="eastAsia" w:ascii="宋体" w:hAnsi="宋体" w:eastAsia="宋体" w:cs="宋体"/>
          <w:b/>
          <w:color w:val="auto"/>
          <w:sz w:val="24"/>
          <w:highlight w:val="none"/>
          <w:u w:val="single"/>
        </w:rPr>
        <w:t xml:space="preserve">）法律、法规、规章（适用本市的）及省级以上规范性文件（适用本市的）规定的其他无效情形。</w:t>
      </w:r>
      <w:r/>
    </w:p>
    <w:p>
      <w:pPr>
        <w:pStyle w:val="105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（5）不同投标人的投标文件相互混装。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（6）不同投标人存在电子投标文件预算编制软件密码锁号、IP地址、机器码一致的情形。</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1059"/>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1058"/>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67" w:name="_Hlk132702541"/>
      <w:r/>
      <w:bookmarkStart w:id="68" w:name="_Hlk132702790"/>
      <w:r>
        <w:rPr>
          <w:rFonts w:hint="eastAsia" w:ascii="宋体" w:hAnsi="宋体" w:eastAsia="宋体" w:cs="宋体"/>
          <w:color w:val="auto"/>
          <w:sz w:val="24"/>
          <w:highlight w:val="none"/>
        </w:rPr>
        <w:t xml:space="preserve">27.</w:t>
      </w:r>
      <w:bookmarkEnd w:id="67"/>
      <w:r>
        <w:rPr>
          <w:rFonts w:hint="eastAsia" w:ascii="宋体" w:hAnsi="宋体" w:eastAsia="宋体" w:cs="宋体"/>
          <w:color w:val="auto"/>
          <w:sz w:val="24"/>
          <w:highlight w:val="none"/>
        </w:rPr>
        <w:t xml:space="preserve">2</w:t>
      </w:r>
      <w:bookmarkEnd w:id="68"/>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2"/>
          <w:highlight w:val="none"/>
          <w:lang w:val="zh-CN"/>
        </w:rPr>
        <w:t xml:space="preserve">成交供应商在成交公告发布后，须向采购代理机构提供与线上内容一致的纸质响应文件三份（正本1份、副本2份）</w:t>
      </w:r>
      <w:r/>
    </w:p>
    <w:p>
      <w:pPr>
        <w:pStyle w:val="1058"/>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1058"/>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1058"/>
        <w:ind w:firstLine="355"/>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29.履约保证金</w:t>
      </w:r>
      <w:r/>
    </w:p>
    <w:p>
      <w:pPr>
        <w:pStyle w:val="105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1063"/>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lang w:val="en-US" w:eastAsia="zh-CN" w:bidi="ar-SA"/>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15日</w:t>
      </w:r>
      <w:r>
        <w:rPr>
          <w:rFonts w:hint="eastAsia" w:ascii="宋体" w:hAnsi="宋体" w:eastAsia="宋体" w:cs="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宋体" w:hAnsi="宋体" w:eastAsia="宋体" w:cs="宋体"/>
          <w:color w:val="auto"/>
          <w:sz w:val="24"/>
          <w:highlight w:val="none"/>
        </w:rPr>
        <w:t xml:space="preserve">政府采购监管部门</w:t>
      </w:r>
      <w:bookmarkEnd w:id="69"/>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。分散采购接受质疑函请联系代理机构。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w:t>
      </w:r>
      <w:r>
        <w:rPr>
          <w:rFonts w:hint="eastAsia" w:ascii="宋体" w:hAnsi="宋体" w:eastAsia="宋体" w:cs="宋体"/>
          <w:color w:val="auto"/>
          <w:sz w:val="24"/>
          <w:highlight w:val="none"/>
          <w:lang w:val="en-US" w:eastAsia="zh-CN"/>
        </w:rPr>
        <w:t xml:space="preserve">江苏政府采购</w:t>
      </w:r>
      <w:r>
        <w:rPr>
          <w:rFonts w:hint="eastAsia" w:ascii="宋体" w:hAnsi="宋体" w:eastAsia="宋体" w:cs="宋体"/>
          <w:color w:val="auto"/>
          <w:sz w:val="24"/>
          <w:highlight w:val="none"/>
        </w:rPr>
        <w:t xml:space="preserve">”网站。</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eastAsia="宋体" w:cs="宋体"/>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5</w:t>
      </w:r>
      <w:r>
        <w:rPr>
          <w:rFonts w:hint="eastAsia" w:ascii="宋体" w:hAnsi="宋体" w:eastAsia="宋体" w:cs="宋体"/>
          <w:color w:val="auto"/>
          <w:sz w:val="30"/>
          <w:highlight w:val="none"/>
        </w:rPr>
        <w:t xml:space="preserve">.适用法律及约束力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1058"/>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6</w:t>
      </w:r>
      <w:r>
        <w:rPr>
          <w:rFonts w:hint="eastAsia" w:ascii="宋体" w:hAnsi="宋体" w:eastAsia="宋体" w:cs="宋体"/>
          <w:color w:val="auto"/>
          <w:sz w:val="30"/>
          <w:highlight w:val="none"/>
        </w:rPr>
        <w:t xml:space="preserve">.解释权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lang w:eastAsia="zh-CN"/>
        </w:rPr>
        <w:t xml:space="preserve">采购代理机构</w:t>
      </w:r>
      <w:r>
        <w:rPr>
          <w:rFonts w:hint="eastAsia" w:ascii="宋体" w:hAnsi="宋体" w:eastAsia="宋体" w:cs="宋体"/>
          <w:color w:val="auto"/>
          <w:sz w:val="24"/>
          <w:highlight w:val="none"/>
        </w:rPr>
        <w:t xml:space="preserve">所有。</w:t>
      </w:r>
      <w:r/>
    </w:p>
    <w:p>
      <w:pPr>
        <w:jc w:val="both"/>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rPr>
          <w:rFonts w:hint="eastAsia" w:ascii="宋体" w:hAnsi="宋体" w:eastAsia="宋体" w:cs="宋体"/>
          <w:b/>
          <w:color w:val="auto"/>
          <w:sz w:val="30"/>
          <w:highlight w:val="none"/>
        </w:rPr>
        <w:t xml:space="preserve">第三部分  拟签订的合同文本（货物、服务类）</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合同编号：</w:t>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w:t>
      </w:r>
      <w:bookmarkStart w:id="70" w:name="_Hlk136502621"/>
      <w:r>
        <w:rPr>
          <w:rFonts w:hint="eastAsia" w:ascii="宋体" w:hAnsi="宋体" w:eastAsia="宋体" w:cs="宋体"/>
          <w:b/>
          <w:color w:val="auto"/>
          <w:sz w:val="28"/>
          <w:szCs w:val="28"/>
          <w:highlight w:val="none"/>
        </w:rPr>
        <w:t xml:space="preserve">部分</w:t>
      </w:r>
      <w:bookmarkEnd w:id="70"/>
      <w:r>
        <w:rPr>
          <w:rFonts w:hint="eastAsia" w:ascii="宋体" w:hAnsi="宋体" w:eastAsia="宋体" w:cs="宋体"/>
          <w:b/>
          <w:color w:val="auto"/>
          <w:sz w:val="28"/>
          <w:szCs w:val="28"/>
          <w:highlight w:val="none"/>
        </w:rPr>
        <w:t xml:space="preserve"> 合同书</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lang w:val="en-US" w:eastAsia="zh-CN"/>
        </w:rPr>
        <w:sectPr>
          <w:headerReference w:type="even" r:id="rId9"/>
          <w:footerReference w:type="default" r:id="rId10"/>
          <w:footerReference w:type="first" r:id="rId11"/>
          <w:footnotePr/>
          <w:endnotePr/>
          <w:type w:val="nextPage"/>
          <w:pgSz w:w="11907" w:h="16840" w:orient="portrait"/>
          <w:pgMar w:top="1474" w:right="1814" w:bottom="1474" w:left="1814" w:header="851" w:footer="851" w:gutter="0"/>
          <w:pgNumType w:start="1"/>
          <w:cols w:num="1" w:sep="0" w:space="1701" w:equalWidth="1"/>
          <w:docGrid w:linePitch="360"/>
        </w:sectPr>
      </w:pPr>
      <w:r>
        <w:rPr>
          <w:rFonts w:hint="eastAsia" w:ascii="宋体" w:hAnsi="宋体" w:eastAsia="宋体" w:cs="宋体"/>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none"/>
          <w:lang w:val="en-US" w:eastAsia="zh-CN"/>
        </w:rPr>
        <w:t xml:space="preserve">日</w:t>
      </w:r>
      <w:r/>
    </w:p>
    <w:p>
      <w:pPr>
        <w:ind w:firstLine="480"/>
        <w:keepLines w:val="0"/>
        <w:keepNext w:val="0"/>
        <w:pageBreakBefore w:val="0"/>
        <w:spacing w:before="120" w:line="360" w:lineRule="auto"/>
        <w:widowControl w:val="off"/>
        <w:rPr>
          <w:rFonts w:ascii="宋体" w:hAnsi="宋体" w:cs="宋体"/>
          <w:color w:val="auto"/>
          <w:sz w:val="24"/>
          <w:highlight w:val="none"/>
        </w:rPr>
      </w:pPr>
      <w:r/>
      <w:bookmarkStart w:id="71" w:name="_Toc22000633"/>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zh-CN"/>
        </w:rPr>
        <w:t xml:space="preserve">（</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360" w:lineRule="auto"/>
        <w:rPr>
          <w:rFonts w:ascii="宋体" w:hAnsi="宋体" w:cs="宋体"/>
          <w:b/>
          <w:color w:val="auto"/>
          <w:sz w:val="24"/>
          <w:highlight w:val="none"/>
        </w:rPr>
        <w:outlineLvl w:val="0"/>
      </w:pPr>
      <w:r/>
      <w:bookmarkStart w:id="72" w:name="_Toc2232"/>
      <w:r/>
      <w:bookmarkStart w:id="73" w:name="_Toc3029"/>
      <w:r/>
      <w:bookmarkStart w:id="74" w:name="_Toc24059"/>
      <w:r>
        <w:rPr>
          <w:rFonts w:hint="eastAsia" w:ascii="宋体" w:hAnsi="宋体" w:cs="宋体"/>
          <w:b/>
          <w:color w:val="auto"/>
          <w:sz w:val="24"/>
          <w:highlight w:val="none"/>
        </w:rPr>
        <w:t xml:space="preserve">1.1合同组成部分</w:t>
      </w:r>
      <w:bookmarkEnd w:id="72"/>
      <w:r/>
      <w:bookmarkEnd w:id="73"/>
      <w:r/>
      <w:bookmarkEnd w:id="7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 本合同第一部分、第二部分、第三部分及其补充合同、变更协议；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中标或者成交通知书；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投标或者响应文件（含澄清或者说明文件）；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 采购文件（含澄清或者修改文件）；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360" w:lineRule="auto"/>
        <w:rPr>
          <w:rFonts w:ascii="宋体" w:hAnsi="宋体" w:cs="宋体"/>
          <w:b/>
          <w:color w:val="auto"/>
          <w:sz w:val="24"/>
          <w:highlight w:val="none"/>
        </w:rPr>
        <w:outlineLvl w:val="0"/>
      </w:pPr>
      <w:r/>
      <w:bookmarkStart w:id="75" w:name="_Toc27126"/>
      <w:r/>
      <w:bookmarkStart w:id="76" w:name="_Toc24300"/>
      <w:r/>
      <w:bookmarkStart w:id="77" w:name="_Toc21295"/>
      <w:r>
        <w:rPr>
          <w:rFonts w:hint="eastAsia" w:ascii="宋体" w:hAnsi="宋体" w:cs="宋体"/>
          <w:b/>
          <w:color w:val="auto"/>
          <w:sz w:val="24"/>
          <w:highlight w:val="none"/>
        </w:rPr>
        <w:t xml:space="preserve">1.2 货物</w:t>
      </w:r>
      <w:bookmarkEnd w:id="75"/>
      <w:r/>
      <w:bookmarkEnd w:id="76"/>
      <w:r/>
      <w:bookmarkEnd w:id="77"/>
      <w:r>
        <w:rPr>
          <w:rFonts w:hint="eastAsia" w:ascii="宋体" w:hAnsi="宋体" w:cs="宋体"/>
          <w:b/>
          <w:i/>
          <w:iCs/>
          <w:color w:val="auto"/>
          <w:sz w:val="24"/>
          <w:highlight w:val="none"/>
        </w:rPr>
        <w:t xml:space="preserve">（可附货物清单）</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.2.1 货物名称、品牌、规格型号等：；</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.2.2 货物数量：；</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.2.3 货物质量：</w:t>
      </w:r>
      <w:r>
        <w:rPr>
          <w:rFonts w:hint="eastAsia" w:ascii="宋体" w:hAnsi="宋体" w:cs="宋体"/>
          <w:color w:val="auto"/>
          <w:sz w:val="24"/>
          <w:highlight w:val="none"/>
          <w:u w:val="single"/>
        </w:rPr>
        <w:t xml:space="preserve">　　　　　　　　　                      　      ；</w:t>
      </w:r>
      <w:r/>
    </w:p>
    <w:p>
      <w:pPr>
        <w:ind w:firstLine="480"/>
        <w:spacing w:line="360" w:lineRule="auto"/>
        <w:rPr>
          <w:rFonts w:ascii="宋体" w:hAnsi="宋体" w:cs="宋体"/>
          <w:i/>
          <w:iCs/>
          <w:color w:val="auto"/>
          <w:sz w:val="24"/>
          <w:highlight w:val="none"/>
          <w:u w:val="single"/>
        </w:rPr>
      </w:pPr>
      <w:r>
        <w:rPr>
          <w:rFonts w:hint="eastAsia" w:ascii="宋体" w:hAnsi="宋体"/>
          <w:i/>
          <w:iCs/>
          <w:color w:val="auto"/>
          <w:sz w:val="24"/>
          <w:highlight w:val="none"/>
        </w:rPr>
        <w:t xml:space="preserve">1.2.4 详细货物清单可在合同专用条款中列出</w:t>
      </w:r>
      <w:r/>
    </w:p>
    <w:p>
      <w:pPr>
        <w:ind w:firstLine="482"/>
        <w:spacing w:line="360" w:lineRule="auto"/>
        <w:rPr>
          <w:rFonts w:ascii="宋体" w:hAnsi="宋体" w:cs="宋体"/>
          <w:b/>
          <w:color w:val="auto"/>
          <w:sz w:val="24"/>
          <w:highlight w:val="none"/>
        </w:rPr>
        <w:outlineLvl w:val="0"/>
      </w:pPr>
      <w:r/>
      <w:bookmarkStart w:id="78" w:name="_Toc21551"/>
      <w:r/>
      <w:bookmarkStart w:id="79" w:name="_Toc23292"/>
      <w:r/>
      <w:bookmarkStart w:id="80" w:name="_Toc21631"/>
      <w:r>
        <w:rPr>
          <w:rFonts w:hint="eastAsia" w:ascii="宋体" w:hAnsi="宋体" w:cs="宋体"/>
          <w:b/>
          <w:color w:val="auto"/>
          <w:sz w:val="24"/>
          <w:highlight w:val="none"/>
        </w:rPr>
        <w:t xml:space="preserve">1.3 服务</w:t>
      </w:r>
      <w:r>
        <w:rPr>
          <w:rFonts w:hint="eastAsia" w:ascii="宋体" w:hAnsi="宋体" w:cs="宋体"/>
          <w:b/>
          <w:i/>
          <w:iCs/>
          <w:color w:val="auto"/>
          <w:sz w:val="24"/>
          <w:highlight w:val="none"/>
        </w:rPr>
        <w:t xml:space="preserve">（可附服务清单）</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1.3.1 服务内容：；</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1.3.2 服务标准：；</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1.3.3 技术保障：</w:t>
      </w:r>
      <w:r>
        <w:rPr>
          <w:rFonts w:hint="eastAsia" w:ascii="宋体" w:hAnsi="宋体"/>
          <w:color w:val="auto"/>
          <w:sz w:val="24"/>
          <w:highlight w:val="none"/>
          <w:u w:val="single"/>
        </w:rPr>
        <w:t xml:space="preserve">　　　　　　　　　                      　      ；</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1.3.4 服务人员组成：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i/>
          <w:iCs/>
          <w:color w:val="auto"/>
          <w:sz w:val="24"/>
          <w:highlight w:val="none"/>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color w:val="auto"/>
          <w:sz w:val="24"/>
          <w:highlight w:val="none"/>
          <w:u w:val="single"/>
        </w:rPr>
      </w:pPr>
      <w:r/>
      <w:bookmarkStart w:id="81" w:name="_Hlk134193344"/>
      <w:r>
        <w:rPr>
          <w:rFonts w:hint="eastAsia" w:ascii="宋体" w:hAnsi="宋体"/>
          <w:i/>
          <w:iCs/>
          <w:color w:val="auto"/>
          <w:sz w:val="24"/>
          <w:highlight w:val="none"/>
          <w:u w:val="single"/>
        </w:rPr>
        <w:t xml:space="preserve">提醒：详细服务要求可在合同专用条</w:t>
      </w:r>
      <w:bookmarkEnd w:id="81"/>
      <w:r>
        <w:rPr>
          <w:rFonts w:hint="eastAsia" w:ascii="宋体" w:hAnsi="宋体"/>
          <w:i/>
          <w:iCs/>
          <w:color w:val="auto"/>
          <w:sz w:val="24"/>
          <w:highlight w:val="none"/>
          <w:u w:val="single"/>
        </w:rPr>
        <w:t xml:space="preserve">款中列出</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1.4 </w:t>
      </w:r>
      <w:bookmarkEnd w:id="78"/>
      <w:r/>
      <w:bookmarkEnd w:id="79"/>
      <w:r/>
      <w:bookmarkEnd w:id="80"/>
      <w:r>
        <w:rPr>
          <w:rFonts w:hint="eastAsia" w:ascii="宋体" w:hAnsi="宋体" w:cs="宋体"/>
          <w:b/>
          <w:color w:val="auto"/>
          <w:sz w:val="24"/>
          <w:highlight w:val="none"/>
        </w:rPr>
        <w:t xml:space="preserve">合同金额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1.4.1总价合同。</w:t>
      </w:r>
      <w:r>
        <w:rPr>
          <w:rFonts w:hint="eastAsia" w:ascii="宋体" w:hAnsi="宋体" w:cs="宋体"/>
          <w:color w:val="auto"/>
          <w:sz w:val="24"/>
          <w:highlight w:val="none"/>
        </w:rPr>
        <w:t xml:space="preserve">本合同总价（含税）为：￥元（大写：元人民币）。</w:t>
      </w:r>
      <w:r/>
    </w:p>
    <w:p>
      <w:pPr>
        <w:ind w:firstLine="480"/>
        <w:spacing w:line="360" w:lineRule="auto"/>
        <w:rPr>
          <w:rFonts w:ascii="宋体" w:hAnsi="宋体"/>
          <w:color w:val="auto"/>
          <w:sz w:val="24"/>
          <w:highlight w:val="none"/>
        </w:rPr>
      </w:pPr>
      <w:r/>
      <w:bookmarkStart w:id="82" w:name="_Hlk134193576"/>
      <w:r/>
      <w:bookmarkStart w:id="83" w:name="_Toc14993"/>
      <w:r/>
      <w:bookmarkStart w:id="84" w:name="_Toc26916"/>
      <w:r/>
      <w:bookmarkStart w:id="85" w:name="_Toc30506"/>
      <w:r/>
      <w:bookmarkStart w:id="86" w:name="_Toc3654"/>
      <w:r/>
      <w:bookmarkStart w:id="87" w:name="_Toc30158"/>
      <w:r/>
      <w:bookmarkStart w:id="88" w:name="_Toc22618"/>
      <w:r/>
      <w:bookmarkStart w:id="89" w:name="_Toc10340"/>
      <w:r/>
      <w:bookmarkStart w:id="90" w:name="_Toc1814"/>
      <w:r>
        <w:rPr>
          <w:rFonts w:hint="eastAsia" w:ascii="宋体" w:hAnsi="宋体"/>
          <w:bCs/>
          <w:color w:val="auto"/>
          <w:sz w:val="24"/>
          <w:highlight w:val="none"/>
        </w:rPr>
        <w:t xml:space="preserve">1.4.2</w:t>
      </w:r>
      <w:bookmarkEnd w:id="82"/>
      <w:r>
        <w:rPr>
          <w:rFonts w:hint="eastAsia" w:ascii="宋体" w:hAnsi="宋体"/>
          <w:bCs/>
          <w:color w:val="auto"/>
          <w:sz w:val="24"/>
          <w:highlight w:val="none"/>
        </w:rPr>
        <w:t xml:space="preserve">单价合同，本合同单价（含税）标准为：</w:t>
      </w: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1.4.2</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1.4.3其他计价方式：。</w:t>
      </w:r>
      <w:bookmarkEnd w:id="83"/>
      <w:r/>
      <w:bookmarkEnd w:id="84"/>
      <w:r/>
      <w:bookmarkEnd w:id="85"/>
      <w:r/>
      <w:bookmarkEnd w:id="86"/>
      <w:r/>
      <w:bookmarkEnd w:id="87"/>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1.5履约保证金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否</w:t>
      </w:r>
      <w:r>
        <w:rPr>
          <w:rFonts w:hint="eastAsia" w:ascii="宋体" w:hAnsi="宋体" w:cs="宋体"/>
          <w:color w:val="auto"/>
          <w:sz w:val="24"/>
          <w:highlight w:val="none"/>
        </w:rPr>
        <w:t xml:space="preserve">（是 /否）需要支付履约保证金。若需要支付履约保证金的，则：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1.5.1履约保证金的比例为合同金额的%；（提醒：履约保证金的比例不得超过合同金额的10%）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1.5.2履约保证金支付方式详见</w:t>
      </w:r>
      <w:r>
        <w:rPr>
          <w:rFonts w:hint="eastAsia" w:ascii="宋体" w:hAnsi="宋体" w:cs="宋体"/>
          <w:b/>
          <w:color w:val="auto"/>
          <w:sz w:val="24"/>
          <w:highlight w:val="none"/>
          <w:u w:val="single"/>
        </w:rPr>
        <w:t xml:space="preserve">    合同专用条款 1.5.2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color w:val="auto"/>
          <w:highlight w:val="none"/>
        </w:rPr>
        <w:outlineLvl w:val="0"/>
      </w:pPr>
      <w:r>
        <w:rPr>
          <w:rFonts w:hint="eastAsia" w:ascii="宋体" w:hAnsi="宋体" w:cs="宋体"/>
          <w:color w:val="auto"/>
          <w:sz w:val="24"/>
          <w:highlight w:val="none"/>
        </w:rPr>
        <w:t xml:space="preserve">1.5.4 甲方在项目验收结束后及时退还履约保证金。甲方在项目通过验收之日起</w:t>
      </w:r>
      <w:r>
        <w:rPr>
          <w:rFonts w:hint="eastAsia" w:ascii="宋体" w:hAnsi="宋体" w:cs="宋体"/>
          <w:color w:val="auto"/>
          <w:sz w:val="24"/>
          <w:highlight w:val="none"/>
          <w:u w:val="single"/>
        </w:rPr>
        <w:t xml:space="preserve"> 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bookmarkEnd w:id="88"/>
      <w:r/>
      <w:bookmarkEnd w:id="89"/>
      <w:r/>
      <w:bookmarkEnd w:id="90"/>
      <w:r>
        <w:rPr>
          <w:rFonts w:hint="eastAsia" w:ascii="宋体" w:hAnsi="宋体" w:cs="宋体"/>
          <w:b/>
          <w:bCs/>
          <w:color w:val="auto"/>
          <w:sz w:val="24"/>
          <w:highlight w:val="none"/>
        </w:rPr>
        <w:t xml:space="preserve">6预付款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需要  </w:t>
      </w:r>
      <w:r>
        <w:rPr>
          <w:rFonts w:hint="eastAsia" w:ascii="宋体" w:hAnsi="宋体" w:cs="宋体"/>
          <w:color w:val="auto"/>
          <w:sz w:val="24"/>
          <w:highlight w:val="none"/>
        </w:rPr>
        <w:t xml:space="preserve">（需要/不需要）甲方支付预付款。若需要支付预付款的，则：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1.6.1预付款比例、支付方式、时间详见</w:t>
      </w:r>
      <w:r>
        <w:rPr>
          <w:rFonts w:hint="eastAsia" w:ascii="宋体" w:hAnsi="宋体" w:cs="宋体"/>
          <w:b/>
          <w:color w:val="auto"/>
          <w:sz w:val="24"/>
          <w:highlight w:val="none"/>
          <w:u w:val="single"/>
        </w:rPr>
        <w:t xml:space="preserve">    合同专用条款1.6.1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1.7资金支付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1.7.2资金支付的方式、时间和条件详见</w:t>
      </w:r>
      <w:r>
        <w:rPr>
          <w:rFonts w:hint="eastAsia" w:ascii="宋体" w:hAnsi="宋体" w:cs="宋体"/>
          <w:b/>
          <w:color w:val="auto"/>
          <w:sz w:val="24"/>
          <w:highlight w:val="none"/>
          <w:u w:val="single"/>
        </w:rPr>
        <w:t xml:space="preserve">    合同专用条款1.7.2    </w:t>
      </w:r>
      <w:r>
        <w:rPr>
          <w:rFonts w:hint="eastAsia" w:ascii="宋体" w:hAnsi="宋体" w:cs="宋体"/>
          <w:b/>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1" w:name="_Toc19304"/>
      <w:r/>
      <w:bookmarkStart w:id="92" w:name="_Toc2846"/>
      <w:r/>
      <w:bookmarkStart w:id="93" w:name="_Toc32071"/>
      <w:r>
        <w:rPr>
          <w:rFonts w:hint="eastAsia" w:ascii="宋体" w:hAnsi="宋体" w:cs="宋体"/>
          <w:b/>
          <w:bCs/>
          <w:color w:val="auto"/>
          <w:sz w:val="24"/>
          <w:highlight w:val="none"/>
        </w:rPr>
        <w:t xml:space="preserve">1.8货物（服务）交付期限、地点和方式</w:t>
      </w:r>
      <w:bookmarkEnd w:id="91"/>
      <w:r/>
      <w:bookmarkEnd w:id="92"/>
      <w:r/>
      <w:bookmarkEnd w:id="93"/>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1.8.1 交付期限：</w:t>
      </w:r>
      <w:bookmarkStart w:id="94" w:name="_Hlk134193824"/>
      <w:r>
        <w:rPr>
          <w:rFonts w:hint="eastAsia" w:ascii="宋体" w:hAnsi="宋体" w:cs="宋体"/>
          <w:b/>
          <w:color w:val="auto"/>
          <w:sz w:val="24"/>
          <w:highlight w:val="none"/>
          <w:u w:val="single"/>
        </w:rPr>
        <w:t xml:space="preserve">详见</w:t>
      </w:r>
      <w:bookmarkEnd w:id="94"/>
      <w:r>
        <w:rPr>
          <w:rFonts w:hint="eastAsia" w:ascii="宋体" w:hAnsi="宋体" w:cs="宋体"/>
          <w:b/>
          <w:color w:val="auto"/>
          <w:sz w:val="24"/>
          <w:highlight w:val="none"/>
          <w:u w:val="single"/>
        </w:rPr>
        <w:t xml:space="preserve">合同专用条款1.8.1</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1.8.2 交付地点：</w:t>
      </w:r>
      <w:r>
        <w:rPr>
          <w:rFonts w:hint="eastAsia" w:ascii="宋体" w:hAnsi="宋体" w:cs="宋体"/>
          <w:b/>
          <w:color w:val="auto"/>
          <w:sz w:val="24"/>
          <w:highlight w:val="none"/>
          <w:u w:val="single"/>
        </w:rPr>
        <w:t xml:space="preserve">详见合同专用条款1.8.2</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1.8.3 交付方式：</w:t>
      </w:r>
      <w:r>
        <w:rPr>
          <w:rFonts w:hint="eastAsia" w:ascii="宋体" w:hAnsi="宋体" w:cs="宋体"/>
          <w:b/>
          <w:color w:val="auto"/>
          <w:sz w:val="24"/>
          <w:highlight w:val="none"/>
          <w:u w:val="single"/>
        </w:rPr>
        <w:t xml:space="preserve">详见合同专用条款1.8.3</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5" w:name="_Toc21423"/>
      <w:r/>
      <w:bookmarkStart w:id="96" w:name="_Toc19554"/>
      <w:r/>
      <w:bookmarkStart w:id="97" w:name="_Toc27250"/>
      <w:r>
        <w:rPr>
          <w:rFonts w:hint="eastAsia" w:ascii="宋体" w:hAnsi="宋体" w:cs="宋体"/>
          <w:b/>
          <w:bCs/>
          <w:color w:val="auto"/>
          <w:sz w:val="24"/>
          <w:highlight w:val="none"/>
        </w:rPr>
        <w:t xml:space="preserve">1.9违约责任</w:t>
      </w:r>
      <w:bookmarkEnd w:id="95"/>
      <w:r/>
      <w:bookmarkEnd w:id="96"/>
      <w:r/>
      <w:bookmarkEnd w:id="97"/>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1.9.6违约责任</w:t>
      </w:r>
      <w:r>
        <w:rPr>
          <w:rFonts w:hint="eastAsia" w:ascii="宋体" w:hAnsi="宋体" w:cs="宋体"/>
          <w:color w:val="auto"/>
          <w:sz w:val="24"/>
          <w:highlight w:val="none"/>
          <w:u w:val="single"/>
        </w:rPr>
        <w:t xml:space="preserve">合同专用条款1.9.6</w:t>
      </w:r>
      <w:r>
        <w:rPr>
          <w:rFonts w:hint="eastAsia" w:ascii="宋体" w:hAnsi="宋体" w:cs="宋体"/>
          <w:color w:val="auto"/>
          <w:sz w:val="24"/>
          <w:highlight w:val="none"/>
        </w:rPr>
        <w:t xml:space="preserve">约定其他责任的，从其约定。</w:t>
      </w:r>
      <w:r/>
    </w:p>
    <w:p>
      <w:pPr>
        <w:ind w:firstLine="480"/>
        <w:jc w:val="left"/>
        <w:spacing w:line="360" w:lineRule="auto"/>
        <w:widowControl/>
        <w:rPr>
          <w:rFonts w:ascii="宋体" w:hAnsi="宋体" w:cs="宋体"/>
          <w:b/>
          <w:bCs/>
          <w:color w:val="auto"/>
          <w:sz w:val="24"/>
          <w:highlight w:val="none"/>
        </w:rPr>
      </w:pPr>
      <w:r/>
      <w:bookmarkStart w:id="98" w:name="_Toc15583"/>
      <w:r/>
      <w:bookmarkStart w:id="99" w:name="_Toc16021"/>
      <w:r/>
      <w:bookmarkStart w:id="100" w:name="_Toc28375"/>
      <w:r>
        <w:rPr>
          <w:rFonts w:hint="eastAsia" w:ascii="宋体" w:hAnsi="宋体" w:cs="宋体"/>
          <w:b/>
          <w:bCs/>
          <w:color w:val="auto"/>
          <w:sz w:val="24"/>
          <w:highlight w:val="none"/>
        </w:rPr>
        <w:t xml:space="preserve">1.10合同争议的解决</w:t>
      </w:r>
      <w:bookmarkEnd w:id="98"/>
      <w:r/>
      <w:bookmarkEnd w:id="99"/>
      <w:r/>
      <w:bookmarkEnd w:id="100"/>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1.11合同生效及其他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乙方（盖章）：</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w:t>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360" w:lineRule="auto"/>
        <w:rPr>
          <w:rFonts w:ascii="宋体" w:hAnsi="宋体" w:cs="宋体"/>
          <w:b/>
          <w:color w:val="auto"/>
          <w:sz w:val="24"/>
          <w:highlight w:val="none"/>
        </w:rPr>
        <w:outlineLvl w:val="0"/>
      </w:pPr>
      <w:r/>
      <w:bookmarkStart w:id="101" w:name="_Toc16917"/>
      <w:r/>
      <w:bookmarkStart w:id="102" w:name="_Ref467378404"/>
      <w:r/>
      <w:bookmarkStart w:id="103" w:name="_Ref467379225"/>
      <w:r/>
      <w:bookmarkStart w:id="104" w:name="_Ref467379094"/>
      <w:r/>
      <w:bookmarkStart w:id="105" w:name="_Ref467378499"/>
      <w:r/>
      <w:bookmarkStart w:id="106" w:name="_Ref467379195"/>
      <w:r/>
      <w:bookmarkStart w:id="107" w:name="_Toc279701240"/>
      <w:r/>
      <w:bookmarkStart w:id="108" w:name="_Toc259093669"/>
      <w:r/>
      <w:bookmarkStart w:id="109" w:name="_Toc487900349"/>
      <w:r/>
      <w:bookmarkStart w:id="110" w:name="_Toc19614"/>
      <w:r/>
      <w:bookmarkStart w:id="111" w:name="_Ref467379205"/>
      <w:r/>
      <w:bookmarkStart w:id="112" w:name="_Ref467378463"/>
      <w:r/>
      <w:bookmarkStart w:id="113" w:name="_Ref467379214"/>
      <w:r/>
      <w:bookmarkStart w:id="114" w:name="_Ref467379101"/>
      <w:r/>
      <w:bookmarkStart w:id="115" w:name="_Ref467379109"/>
      <w:r/>
      <w:bookmarkStart w:id="116" w:name="_Toc28763"/>
      <w:r>
        <w:rPr>
          <w:rFonts w:hint="eastAsia" w:ascii="宋体" w:hAnsi="宋体" w:cs="宋体"/>
          <w:b/>
          <w:color w:val="auto"/>
          <w:sz w:val="24"/>
          <w:highlight w:val="none"/>
        </w:rPr>
        <w:t xml:space="preserve">2.1 定义</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color w:val="auto"/>
          <w:sz w:val="24"/>
          <w:highlight w:val="none"/>
        </w:rPr>
      </w:pPr>
      <w:r/>
      <w:bookmarkStart w:id="117" w:name="_Hlk132880551"/>
      <w:r>
        <w:rPr>
          <w:rFonts w:hint="eastAsia" w:ascii="宋体" w:hAnsi="宋体" w:cs="宋体"/>
          <w:color w:val="auto"/>
          <w:sz w:val="24"/>
          <w:highlight w:val="none"/>
        </w:rPr>
        <w:t xml:space="preserve">2.1.3</w:t>
      </w:r>
      <w:bookmarkEnd w:id="117"/>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宋体" w:hAnsi="宋体" w:cs="宋体"/>
          <w:color w:val="auto"/>
          <w:sz w:val="24"/>
          <w:highlight w:val="none"/>
        </w:rPr>
      </w:pPr>
      <w:r/>
      <w:bookmarkStart w:id="118" w:name="_Ref467378840"/>
      <w:r>
        <w:rPr>
          <w:rFonts w:hint="eastAsia" w:ascii="宋体" w:hAnsi="宋体" w:cs="宋体"/>
          <w:color w:val="auto"/>
          <w:sz w:val="24"/>
          <w:highlight w:val="none"/>
        </w:rPr>
        <w:t xml:space="preserve">2.1.5 “甲方”系指与中标或成交供应商签署合同的采购人</w:t>
      </w:r>
      <w:bookmarkEnd w:id="118"/>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360" w:lineRule="auto"/>
        <w:rPr>
          <w:rFonts w:ascii="宋体" w:hAnsi="宋体" w:cs="宋体"/>
          <w:color w:val="auto"/>
          <w:sz w:val="24"/>
          <w:highlight w:val="none"/>
        </w:rPr>
      </w:pPr>
      <w:r/>
      <w:bookmarkStart w:id="119" w:name="_Ref467379400"/>
      <w:r>
        <w:rPr>
          <w:rFonts w:hint="eastAsia" w:ascii="宋体" w:hAnsi="宋体" w:cs="宋体"/>
          <w:color w:val="auto"/>
          <w:sz w:val="24"/>
          <w:highlight w:val="none"/>
        </w:rPr>
        <w:t xml:space="preserve">2.1.6 “乙方”系指根据合同约定交付货物的中标或成交供应商</w:t>
      </w:r>
      <w:bookmarkEnd w:id="119"/>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auto"/>
          <w:sz w:val="24"/>
          <w:highlight w:val="none"/>
        </w:rPr>
      </w:pPr>
      <w:r/>
      <w:bookmarkStart w:id="120" w:name="_Ref467379436"/>
      <w:r>
        <w:rPr>
          <w:rFonts w:hint="eastAsia" w:ascii="宋体" w:hAnsi="宋体" w:cs="宋体"/>
          <w:color w:val="auto"/>
          <w:sz w:val="24"/>
          <w:highlight w:val="none"/>
        </w:rPr>
        <w:t xml:space="preserve">2.1.7 “现场”系指合同约定货物将要运至或者安装的地点。</w:t>
      </w:r>
      <w:bookmarkEnd w:id="120"/>
      <w:r/>
      <w:r/>
    </w:p>
    <w:p>
      <w:pPr>
        <w:ind w:firstLine="482"/>
        <w:spacing w:line="360" w:lineRule="auto"/>
        <w:rPr>
          <w:rFonts w:ascii="宋体" w:hAnsi="宋体" w:cs="宋体"/>
          <w:b/>
          <w:color w:val="auto"/>
          <w:sz w:val="24"/>
          <w:highlight w:val="none"/>
        </w:rPr>
        <w:outlineLvl w:val="0"/>
      </w:pPr>
      <w:r/>
      <w:bookmarkStart w:id="121" w:name="_Toc279701241"/>
      <w:r/>
      <w:bookmarkStart w:id="122" w:name="_Toc27635"/>
      <w:r/>
      <w:bookmarkStart w:id="123" w:name="_Toc32504"/>
      <w:r/>
      <w:bookmarkStart w:id="124" w:name="_Toc487900350"/>
      <w:r/>
      <w:bookmarkStart w:id="125" w:name="_Toc259093670"/>
      <w:r/>
      <w:bookmarkStart w:id="126" w:name="_Toc13336"/>
      <w:r>
        <w:rPr>
          <w:rFonts w:hint="eastAsia" w:ascii="宋体" w:hAnsi="宋体" w:cs="宋体"/>
          <w:b/>
          <w:color w:val="auto"/>
          <w:sz w:val="24"/>
          <w:highlight w:val="none"/>
        </w:rPr>
        <w:t xml:space="preserve">2.2 技术规范</w:t>
      </w:r>
      <w:bookmarkEnd w:id="121"/>
      <w:r/>
      <w:bookmarkEnd w:id="122"/>
      <w:r/>
      <w:bookmarkEnd w:id="123"/>
      <w:r/>
      <w:bookmarkEnd w:id="124"/>
      <w:r/>
      <w:bookmarkEnd w:id="125"/>
      <w:r/>
      <w:bookmarkEnd w:id="1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w:t>
      </w:r>
      <w:r>
        <w:rPr>
          <w:rFonts w:hint="eastAsia" w:ascii="宋体" w:hAnsi="宋体" w:cs="宋体"/>
          <w:i/>
          <w:color w:val="auto"/>
          <w:sz w:val="24"/>
          <w:highlight w:val="none"/>
        </w:rPr>
        <w:t xml:space="preserve">和技术规范附件(</w:t>
      </w:r>
      <w:r>
        <w:rPr>
          <w:rFonts w:hint="eastAsia" w:ascii="宋体" w:hAnsi="宋体" w:cs="宋体"/>
          <w:i/>
          <w:iCs/>
          <w:color w:val="auto"/>
          <w:sz w:val="24"/>
          <w:highlight w:val="none"/>
        </w:rPr>
        <w:t xml:space="preserve">如果有的话</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color w:val="auto"/>
          <w:sz w:val="24"/>
          <w:highlight w:val="none"/>
        </w:rPr>
        <w:outlineLvl w:val="0"/>
      </w:pPr>
      <w:r/>
      <w:bookmarkStart w:id="127" w:name="_Toc31634"/>
      <w:r/>
      <w:bookmarkStart w:id="128" w:name="_Toc27853"/>
      <w:r/>
      <w:bookmarkStart w:id="129" w:name="_Toc279701242"/>
      <w:r/>
      <w:bookmarkStart w:id="130" w:name="_Toc487900351"/>
      <w:r/>
      <w:bookmarkStart w:id="131" w:name="_Toc9829"/>
      <w:r/>
      <w:bookmarkStart w:id="132" w:name="_Toc259093671"/>
      <w:r>
        <w:rPr>
          <w:rFonts w:hint="eastAsia" w:ascii="宋体" w:hAnsi="宋体" w:cs="宋体"/>
          <w:b/>
          <w:color w:val="auto"/>
          <w:sz w:val="24"/>
          <w:highlight w:val="none"/>
        </w:rPr>
        <w:t xml:space="preserve">2.3 知识产权</w:t>
      </w:r>
      <w:bookmarkEnd w:id="127"/>
      <w:r/>
      <w:bookmarkEnd w:id="128"/>
      <w:r/>
      <w:bookmarkEnd w:id="129"/>
      <w:r/>
      <w:bookmarkEnd w:id="130"/>
      <w:r/>
      <w:bookmarkEnd w:id="131"/>
      <w:r/>
      <w:bookmarkEnd w:id="13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合同专用条款2.3.2</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3" w:name="_Toc11932"/>
      <w:r/>
      <w:bookmarkStart w:id="134" w:name="_Toc29149"/>
      <w:r/>
      <w:bookmarkStart w:id="135" w:name="_Toc4194"/>
      <w:r>
        <w:rPr>
          <w:rFonts w:hint="eastAsia" w:ascii="宋体" w:hAnsi="宋体" w:cs="宋体"/>
          <w:b/>
          <w:color w:val="auto"/>
          <w:sz w:val="24"/>
          <w:highlight w:val="none"/>
        </w:rPr>
        <w:t xml:space="preserve">2.4 包装和装运</w:t>
      </w:r>
      <w:bookmarkEnd w:id="133"/>
      <w:r/>
      <w:bookmarkEnd w:id="134"/>
      <w:r/>
      <w:bookmarkEnd w:id="13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合同专用条款2.4.3</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6" w:name="_Ref467378591"/>
      <w:r/>
      <w:bookmarkStart w:id="137" w:name="_Ref467379527"/>
      <w:r/>
      <w:bookmarkStart w:id="138" w:name="_Toc259093674"/>
      <w:r/>
      <w:bookmarkStart w:id="139" w:name="_Ref467379542"/>
      <w:r/>
      <w:bookmarkStart w:id="140" w:name="_Ref467378541"/>
      <w:r/>
      <w:bookmarkStart w:id="141" w:name="_Toc279701245"/>
      <w:r/>
      <w:bookmarkStart w:id="142" w:name="_Toc487900354"/>
      <w:r/>
      <w:bookmarkStart w:id="143" w:name="_Ref467379536"/>
      <w:r/>
      <w:bookmarkStart w:id="144" w:name="_Toc30272"/>
      <w:r/>
      <w:bookmarkStart w:id="145" w:name="_Toc26182"/>
      <w:r/>
      <w:bookmarkStart w:id="146" w:name="_Toc19074"/>
      <w:r>
        <w:rPr>
          <w:rFonts w:hint="eastAsia" w:ascii="宋体" w:hAnsi="宋体" w:cs="宋体"/>
          <w:b/>
          <w:color w:val="auto"/>
          <w:sz w:val="24"/>
          <w:highlight w:val="none"/>
        </w:rPr>
        <w:t xml:space="preserve">2.</w:t>
      </w:r>
      <w:bookmarkEnd w:id="136"/>
      <w:r/>
      <w:bookmarkEnd w:id="137"/>
      <w:r/>
      <w:bookmarkEnd w:id="138"/>
      <w:r/>
      <w:bookmarkEnd w:id="139"/>
      <w:r/>
      <w:bookmarkEnd w:id="140"/>
      <w:r/>
      <w:bookmarkEnd w:id="141"/>
      <w:r/>
      <w:bookmarkEnd w:id="142"/>
      <w:r/>
      <w:bookmarkEnd w:id="143"/>
      <w:r>
        <w:rPr>
          <w:rFonts w:hint="eastAsia" w:ascii="宋体" w:hAnsi="宋体" w:cs="宋体"/>
          <w:b/>
          <w:color w:val="auto"/>
          <w:sz w:val="24"/>
          <w:highlight w:val="none"/>
        </w:rPr>
        <w:t xml:space="preserve">5 履约检查和问题反馈</w:t>
      </w:r>
      <w:bookmarkEnd w:id="144"/>
      <w:r/>
      <w:bookmarkEnd w:id="145"/>
      <w:r/>
      <w:bookmarkEnd w:id="146"/>
      <w:r/>
      <w:r/>
    </w:p>
    <w:p>
      <w:pPr>
        <w:ind w:firstLine="480"/>
        <w:spacing w:line="360" w:lineRule="auto"/>
        <w:rPr>
          <w:rFonts w:ascii="宋体" w:hAnsi="宋体" w:cs="宋体"/>
          <w:color w:val="auto"/>
          <w:sz w:val="24"/>
          <w:highlight w:val="none"/>
        </w:rPr>
      </w:pPr>
      <w:r/>
      <w:bookmarkStart w:id="147" w:name="_Ref467379657"/>
      <w:r>
        <w:rPr>
          <w:rFonts w:hint="eastAsia" w:ascii="宋体" w:hAnsi="宋体" w:cs="宋体"/>
          <w:color w:val="auto"/>
          <w:sz w:val="24"/>
          <w:highlight w:val="none"/>
        </w:rPr>
        <w:t xml:space="preserve">2.5.1</w:t>
      </w:r>
      <w:bookmarkEnd w:id="147"/>
      <w:r/>
      <w:bookmarkStart w:id="148" w:name="_Toc186431854"/>
      <w:r/>
      <w:bookmarkStart w:id="149" w:name="_Ref467379807"/>
      <w:r/>
      <w:bookmarkStart w:id="150" w:name="_Toc487900357"/>
      <w:r/>
      <w:bookmarkStart w:id="151" w:name="_Toc279701247"/>
      <w:r/>
      <w:bookmarkStart w:id="152" w:name="_Ref467379793"/>
      <w:r/>
      <w:bookmarkStart w:id="153" w:name="_Toc259093676"/>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48"/>
      <w:r/>
      <w:bookmarkStart w:id="154" w:name="_Toc186431855"/>
      <w:r>
        <w:rPr>
          <w:rFonts w:hint="eastAsia" w:ascii="宋体" w:hAnsi="宋体" w:cs="宋体"/>
          <w:color w:val="auto"/>
          <w:sz w:val="24"/>
          <w:highlight w:val="none"/>
        </w:rPr>
        <w:t xml:space="preserve">。</w:t>
      </w:r>
      <w:bookmarkEnd w:id="149"/>
      <w:r/>
      <w:bookmarkEnd w:id="150"/>
      <w:r/>
      <w:bookmarkEnd w:id="151"/>
      <w:r/>
      <w:bookmarkEnd w:id="152"/>
      <w:r/>
      <w:bookmarkEnd w:id="153"/>
      <w:r/>
      <w:bookmarkEnd w:id="154"/>
      <w:r/>
      <w:r/>
    </w:p>
    <w:p>
      <w:pPr>
        <w:ind w:firstLine="482"/>
        <w:spacing w:line="360" w:lineRule="auto"/>
        <w:rPr>
          <w:rFonts w:ascii="宋体" w:hAnsi="宋体" w:cs="宋体"/>
          <w:b/>
          <w:color w:val="auto"/>
          <w:sz w:val="24"/>
          <w:highlight w:val="none"/>
        </w:rPr>
        <w:outlineLvl w:val="0"/>
      </w:pPr>
      <w:r/>
      <w:bookmarkStart w:id="155" w:name="_Ref467379863"/>
      <w:r/>
      <w:bookmarkStart w:id="156" w:name="_Toc259093677"/>
      <w:r/>
      <w:bookmarkStart w:id="157" w:name="_Ref467379923"/>
      <w:r/>
      <w:bookmarkStart w:id="158" w:name="_Ref467379852"/>
      <w:r/>
      <w:bookmarkStart w:id="159" w:name="_Toc487900358"/>
      <w:r/>
      <w:bookmarkStart w:id="160" w:name="_Toc279701248"/>
      <w:r/>
      <w:bookmarkStart w:id="161" w:name="_Toc3225"/>
      <w:r/>
      <w:bookmarkStart w:id="162" w:name="_Toc16110"/>
      <w:r/>
      <w:bookmarkStart w:id="163" w:name="_Toc774"/>
      <w:r>
        <w:rPr>
          <w:rFonts w:hint="eastAsia" w:ascii="宋体" w:hAnsi="宋体" w:cs="宋体"/>
          <w:b/>
          <w:color w:val="auto"/>
          <w:sz w:val="24"/>
          <w:highlight w:val="none"/>
        </w:rPr>
        <w:t xml:space="preserve">2.6 技术资料</w:t>
      </w:r>
      <w:bookmarkEnd w:id="155"/>
      <w:r/>
      <w:bookmarkEnd w:id="156"/>
      <w:r/>
      <w:bookmarkEnd w:id="157"/>
      <w:r/>
      <w:bookmarkEnd w:id="158"/>
      <w:r/>
      <w:bookmarkEnd w:id="159"/>
      <w:r/>
      <w:bookmarkEnd w:id="160"/>
      <w:r>
        <w:rPr>
          <w:rFonts w:hint="eastAsia" w:ascii="宋体" w:hAnsi="宋体" w:cs="宋体"/>
          <w:b/>
          <w:color w:val="auto"/>
          <w:sz w:val="24"/>
          <w:highlight w:val="none"/>
        </w:rPr>
        <w:t xml:space="preserve">和保密义务</w:t>
      </w:r>
      <w:bookmarkEnd w:id="161"/>
      <w:r/>
      <w:bookmarkEnd w:id="162"/>
      <w:r/>
      <w:bookmarkEnd w:id="16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spacing w:line="360" w:lineRule="auto"/>
        <w:rPr>
          <w:rFonts w:ascii="宋体" w:hAnsi="宋体" w:cs="宋体"/>
          <w:b/>
          <w:color w:val="auto"/>
          <w:sz w:val="24"/>
          <w:highlight w:val="none"/>
        </w:rPr>
        <w:outlineLvl w:val="0"/>
      </w:pPr>
      <w:r/>
      <w:bookmarkStart w:id="164" w:name="_Toc7860"/>
      <w:r>
        <w:rPr>
          <w:rFonts w:hint="eastAsia" w:ascii="宋体" w:hAnsi="宋体" w:cs="宋体"/>
          <w:b/>
          <w:color w:val="auto"/>
          <w:sz w:val="24"/>
          <w:highlight w:val="none"/>
        </w:rPr>
        <w:t xml:space="preserve">2.7 质量保证</w:t>
      </w:r>
      <w:bookmarkEnd w:id="16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auto"/>
          <w:sz w:val="24"/>
          <w:highlight w:val="none"/>
        </w:rPr>
        <w:outlineLvl w:val="0"/>
      </w:pPr>
      <w:r/>
      <w:bookmarkStart w:id="165" w:name="_Toc17244"/>
      <w:r/>
      <w:bookmarkStart w:id="166" w:name="_Toc259093681"/>
      <w:r/>
      <w:bookmarkStart w:id="167" w:name="_Toc279701252"/>
      <w:r/>
      <w:bookmarkStart w:id="168" w:name="_Toc487900362"/>
      <w:r>
        <w:rPr>
          <w:rFonts w:hint="eastAsia" w:ascii="宋体" w:hAnsi="宋体" w:cs="宋体"/>
          <w:b/>
          <w:color w:val="auto"/>
          <w:sz w:val="24"/>
          <w:highlight w:val="none"/>
        </w:rPr>
        <w:t xml:space="preserve">2.8 货物的风险负担</w:t>
      </w:r>
      <w:bookmarkEnd w:id="165"/>
      <w:r/>
      <w:r/>
    </w:p>
    <w:p>
      <w:pPr>
        <w:ind w:firstLine="480"/>
        <w:spacing w:line="360" w:lineRule="auto"/>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合同专用条款2.8</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69" w:name="_Toc14055"/>
      <w:r>
        <w:rPr>
          <w:rFonts w:hint="eastAsia" w:ascii="宋体" w:hAnsi="宋体" w:cs="宋体"/>
          <w:b/>
          <w:color w:val="auto"/>
          <w:sz w:val="24"/>
          <w:highlight w:val="none"/>
        </w:rPr>
        <w:t xml:space="preserve">2.9 延迟</w:t>
      </w:r>
      <w:bookmarkEnd w:id="166"/>
      <w:r/>
      <w:bookmarkEnd w:id="167"/>
      <w:r/>
      <w:bookmarkEnd w:id="168"/>
      <w:r/>
      <w:bookmarkEnd w:id="169"/>
      <w:r>
        <w:rPr>
          <w:rFonts w:hint="eastAsia" w:ascii="宋体" w:hAnsi="宋体" w:cs="宋体"/>
          <w:b/>
          <w:color w:val="auto"/>
          <w:sz w:val="24"/>
          <w:highlight w:val="none"/>
        </w:rPr>
        <w:t xml:space="preserve">交付</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auto"/>
          <w:sz w:val="24"/>
          <w:highlight w:val="none"/>
        </w:rPr>
        <w:outlineLvl w:val="0"/>
      </w:pPr>
      <w:r/>
      <w:bookmarkStart w:id="170" w:name="_Toc7502"/>
      <w:r/>
      <w:bookmarkStart w:id="171" w:name="_Toc279701254"/>
      <w:r/>
      <w:bookmarkStart w:id="172" w:name="_Toc259093683"/>
      <w:r/>
      <w:bookmarkStart w:id="173" w:name="_Ref467378121"/>
      <w:r/>
      <w:bookmarkStart w:id="174" w:name="_Toc487900364"/>
      <w:r>
        <w:rPr>
          <w:rFonts w:hint="eastAsia" w:ascii="宋体" w:hAnsi="宋体" w:cs="宋体"/>
          <w:b/>
          <w:color w:val="auto"/>
          <w:sz w:val="24"/>
          <w:highlight w:val="none"/>
        </w:rPr>
        <w:t xml:space="preserve">2.10 合同变更</w:t>
      </w:r>
      <w:bookmarkEnd w:id="17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5" w:name="_Toc279701259"/>
      <w:r/>
      <w:bookmarkStart w:id="176" w:name="_Toc259093688"/>
      <w:r/>
      <w:bookmarkStart w:id="177" w:name="_Toc487900369"/>
      <w:r/>
      <w:r/>
    </w:p>
    <w:p>
      <w:pPr>
        <w:ind w:firstLine="482"/>
        <w:spacing w:line="360" w:lineRule="auto"/>
        <w:rPr>
          <w:rFonts w:ascii="宋体" w:hAnsi="宋体" w:cs="宋体"/>
          <w:b/>
          <w:color w:val="auto"/>
          <w:sz w:val="24"/>
          <w:highlight w:val="none"/>
        </w:rPr>
        <w:outlineLvl w:val="0"/>
      </w:pPr>
      <w:r/>
      <w:bookmarkStart w:id="178" w:name="_Toc22955"/>
      <w:r/>
      <w:bookmarkStart w:id="179" w:name="_Toc15237"/>
      <w:r/>
      <w:bookmarkStart w:id="180" w:name="_Toc10366"/>
      <w:r>
        <w:rPr>
          <w:rFonts w:hint="eastAsia" w:ascii="宋体" w:hAnsi="宋体" w:cs="宋体"/>
          <w:b/>
          <w:color w:val="auto"/>
          <w:sz w:val="24"/>
          <w:highlight w:val="none"/>
        </w:rPr>
        <w:t xml:space="preserve">2.11 合同转让</w:t>
      </w:r>
      <w:bookmarkEnd w:id="175"/>
      <w:r/>
      <w:bookmarkEnd w:id="176"/>
      <w:r/>
      <w:bookmarkEnd w:id="177"/>
      <w:r>
        <w:rPr>
          <w:rFonts w:hint="eastAsia" w:ascii="宋体" w:hAnsi="宋体" w:cs="宋体"/>
          <w:b/>
          <w:color w:val="auto"/>
          <w:sz w:val="24"/>
          <w:highlight w:val="none"/>
        </w:rPr>
        <w:t xml:space="preserve">和分包</w:t>
      </w:r>
      <w:bookmarkEnd w:id="178"/>
      <w:r/>
      <w:bookmarkEnd w:id="179"/>
      <w:r/>
      <w:bookmarkEnd w:id="18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360" w:lineRule="auto"/>
        <w:rPr>
          <w:rFonts w:ascii="宋体" w:hAnsi="宋体" w:cs="宋体"/>
          <w:b/>
          <w:color w:val="auto"/>
          <w:sz w:val="24"/>
          <w:highlight w:val="none"/>
        </w:rPr>
        <w:outlineLvl w:val="0"/>
      </w:pPr>
      <w:r/>
      <w:bookmarkStart w:id="181" w:name="_Toc16508"/>
      <w:r/>
      <w:bookmarkStart w:id="182" w:name="_Toc14066"/>
      <w:r/>
      <w:bookmarkStart w:id="183" w:name="_Toc13566"/>
      <w:r>
        <w:rPr>
          <w:rFonts w:hint="eastAsia" w:ascii="宋体" w:hAnsi="宋体" w:cs="宋体"/>
          <w:b/>
          <w:color w:val="auto"/>
          <w:sz w:val="24"/>
          <w:highlight w:val="none"/>
        </w:rPr>
        <w:t xml:space="preserve">2.12 不可抗力</w:t>
      </w:r>
      <w:bookmarkEnd w:id="181"/>
      <w:r/>
      <w:bookmarkEnd w:id="182"/>
      <w:r/>
      <w:bookmarkEnd w:id="18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u w:val="single"/>
        </w:rPr>
        <w:t xml:space="preserve">合同专用条款2.12.3</w:t>
      </w:r>
      <w:r>
        <w:rPr>
          <w:rFonts w:hint="eastAsia" w:ascii="宋体" w:hAnsi="宋体" w:cs="宋体"/>
          <w:color w:val="auto"/>
          <w:sz w:val="24"/>
          <w:highlight w:val="none"/>
        </w:rPr>
        <w:t xml:space="preserve">约定时间内以书面形式变更合同；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约定时间内，将有关部门出具的证明文件送达对方当事人。</w:t>
      </w:r>
      <w:r/>
    </w:p>
    <w:p>
      <w:pPr>
        <w:ind w:firstLine="482"/>
        <w:spacing w:line="360" w:lineRule="auto"/>
        <w:rPr>
          <w:rFonts w:ascii="宋体" w:hAnsi="宋体" w:cs="宋体"/>
          <w:b/>
          <w:color w:val="auto"/>
          <w:sz w:val="24"/>
          <w:highlight w:val="none"/>
        </w:rPr>
        <w:outlineLvl w:val="0"/>
      </w:pPr>
      <w:r/>
      <w:bookmarkStart w:id="184" w:name="_Toc30676"/>
      <w:r/>
      <w:bookmarkStart w:id="185" w:name="_Toc279701255"/>
      <w:r/>
      <w:bookmarkStart w:id="186" w:name="_Toc6969"/>
      <w:r/>
      <w:bookmarkStart w:id="187" w:name="_Toc259093684"/>
      <w:r/>
      <w:bookmarkStart w:id="188" w:name="_Toc689"/>
      <w:r/>
      <w:bookmarkStart w:id="189" w:name="_Toc487900365"/>
      <w:r>
        <w:rPr>
          <w:rFonts w:hint="eastAsia" w:ascii="宋体" w:hAnsi="宋体" w:cs="宋体"/>
          <w:b/>
          <w:color w:val="auto"/>
          <w:sz w:val="24"/>
          <w:highlight w:val="none"/>
        </w:rPr>
        <w:t xml:space="preserve">2.13 税费</w:t>
      </w:r>
      <w:bookmarkEnd w:id="184"/>
      <w:r/>
      <w:bookmarkEnd w:id="185"/>
      <w:r/>
      <w:bookmarkEnd w:id="186"/>
      <w:r/>
      <w:bookmarkEnd w:id="187"/>
      <w:r/>
      <w:bookmarkEnd w:id="188"/>
      <w:r/>
      <w:bookmarkEnd w:id="18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outlineLvl w:val="0"/>
      </w:pPr>
      <w:r/>
      <w:bookmarkStart w:id="190" w:name="_Toc7102"/>
      <w:r/>
      <w:bookmarkStart w:id="191" w:name="_Toc16959"/>
      <w:r/>
      <w:bookmarkStart w:id="192" w:name="_Toc8298"/>
      <w:r/>
      <w:bookmarkStart w:id="193" w:name="_Toc279701258"/>
      <w:r/>
      <w:bookmarkStart w:id="194" w:name="_Toc259093687"/>
      <w:r/>
      <w:bookmarkStart w:id="195" w:name="_Toc487900368"/>
      <w:r>
        <w:rPr>
          <w:rFonts w:hint="eastAsia" w:ascii="宋体" w:hAnsi="宋体" w:cs="宋体"/>
          <w:b/>
          <w:color w:val="auto"/>
          <w:sz w:val="24"/>
          <w:highlight w:val="none"/>
        </w:rPr>
        <w:t xml:space="preserve">2.14乙方破产</w:t>
      </w:r>
      <w:bookmarkEnd w:id="190"/>
      <w:r/>
      <w:bookmarkEnd w:id="191"/>
      <w:r/>
      <w:bookmarkEnd w:id="192"/>
      <w:r/>
      <w:bookmarkEnd w:id="193"/>
      <w:r/>
      <w:bookmarkEnd w:id="194"/>
      <w:r/>
      <w:bookmarkEnd w:id="19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outlineLvl w:val="0"/>
      </w:pPr>
      <w:r/>
      <w:bookmarkStart w:id="196" w:name="_Toc15387"/>
      <w:r/>
      <w:bookmarkStart w:id="197" w:name="_Toc29333"/>
      <w:r/>
      <w:bookmarkStart w:id="198" w:name="_Toc6134"/>
      <w:r>
        <w:rPr>
          <w:rFonts w:hint="eastAsia" w:ascii="宋体" w:hAnsi="宋体" w:cs="宋体"/>
          <w:b/>
          <w:color w:val="auto"/>
          <w:sz w:val="24"/>
          <w:highlight w:val="none"/>
        </w:rPr>
        <w:t xml:space="preserve">2.15 合同中止、终止</w:t>
      </w:r>
      <w:bookmarkEnd w:id="196"/>
      <w:r/>
      <w:bookmarkEnd w:id="197"/>
      <w:r/>
      <w:bookmarkEnd w:id="19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outlineLvl w:val="0"/>
      </w:pPr>
      <w:r/>
      <w:bookmarkStart w:id="199" w:name="_Toc6596"/>
      <w:r/>
      <w:bookmarkStart w:id="200" w:name="_Toc1125"/>
      <w:r/>
      <w:bookmarkStart w:id="201" w:name="_Toc14563"/>
      <w:r>
        <w:rPr>
          <w:rFonts w:hint="eastAsia" w:ascii="宋体" w:hAnsi="宋体" w:cs="宋体"/>
          <w:b/>
          <w:color w:val="auto"/>
          <w:sz w:val="24"/>
          <w:highlight w:val="none"/>
        </w:rPr>
        <w:t xml:space="preserve">2.16检验和验收</w:t>
      </w:r>
      <w:bookmarkEnd w:id="199"/>
      <w:r/>
      <w:bookmarkEnd w:id="200"/>
      <w:r/>
      <w:bookmarkEnd w:id="201"/>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合同专用条款2.16.1（</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合同专用条款2.16.3</w:t>
      </w:r>
      <w:r>
        <w:rPr>
          <w:rFonts w:hint="eastAsia" w:ascii="宋体" w:hAnsi="宋体" w:cs="宋体"/>
          <w:iCs/>
          <w:color w:val="auto"/>
          <w:sz w:val="24"/>
          <w:highlight w:val="none"/>
        </w:rPr>
        <w:t xml:space="preserve">。</w:t>
      </w:r>
      <w:r>
        <w:rPr>
          <w:rFonts w:hint="eastAsia" w:ascii="宋体" w:hAnsi="宋体" w:cs="宋体"/>
          <w:i/>
          <w:color w:val="auto"/>
          <w:sz w:val="24"/>
          <w:highlight w:val="none"/>
        </w:rPr>
        <w:t xml:space="preserve">（提醒：必须填写）</w:t>
      </w:r>
      <w:bookmarkEnd w:id="171"/>
      <w:r/>
      <w:bookmarkEnd w:id="172"/>
      <w:r/>
      <w:bookmarkEnd w:id="173"/>
      <w:r/>
      <w:bookmarkEnd w:id="174"/>
      <w:r/>
      <w:r/>
    </w:p>
    <w:p>
      <w:pPr>
        <w:ind w:firstLine="482"/>
        <w:spacing w:line="360" w:lineRule="auto"/>
        <w:rPr>
          <w:rFonts w:ascii="宋体" w:hAnsi="宋体" w:cs="宋体"/>
          <w:b/>
          <w:color w:val="auto"/>
          <w:sz w:val="24"/>
          <w:highlight w:val="none"/>
        </w:rPr>
        <w:outlineLvl w:val="0"/>
      </w:pPr>
      <w:r/>
      <w:bookmarkStart w:id="202" w:name="_Toc487900371"/>
      <w:r/>
      <w:bookmarkStart w:id="203" w:name="_Toc259093690"/>
      <w:r/>
      <w:bookmarkStart w:id="204" w:name="_Toc279701261"/>
      <w:r/>
      <w:bookmarkStart w:id="205" w:name="_Toc11284"/>
      <w:r/>
      <w:bookmarkStart w:id="206" w:name="_Toc25182"/>
      <w:r/>
      <w:bookmarkStart w:id="207" w:name="_Toc19604"/>
      <w:r>
        <w:rPr>
          <w:rFonts w:hint="eastAsia" w:ascii="宋体" w:hAnsi="宋体" w:cs="宋体"/>
          <w:b/>
          <w:color w:val="auto"/>
          <w:sz w:val="24"/>
          <w:highlight w:val="none"/>
        </w:rPr>
        <w:t xml:space="preserve">2.17 通知</w:t>
      </w:r>
      <w:bookmarkEnd w:id="202"/>
      <w:r/>
      <w:bookmarkEnd w:id="203"/>
      <w:r/>
      <w:bookmarkEnd w:id="204"/>
      <w:r>
        <w:rPr>
          <w:rFonts w:hint="eastAsia" w:ascii="宋体" w:hAnsi="宋体" w:cs="宋体"/>
          <w:b/>
          <w:color w:val="auto"/>
          <w:sz w:val="24"/>
          <w:highlight w:val="none"/>
        </w:rPr>
        <w:t xml:space="preserve">和送达</w:t>
      </w:r>
      <w:bookmarkEnd w:id="205"/>
      <w:r/>
      <w:bookmarkEnd w:id="206"/>
      <w:r/>
      <w:bookmarkEnd w:id="207"/>
      <w:r/>
      <w:r/>
    </w:p>
    <w:p>
      <w:pPr>
        <w:ind w:firstLine="480"/>
        <w:spacing w:line="360" w:lineRule="auto"/>
        <w:rPr>
          <w:rFonts w:ascii="宋体" w:hAnsi="宋体" w:cs="宋体"/>
          <w:color w:val="auto"/>
          <w:sz w:val="24"/>
          <w:highlight w:val="none"/>
        </w:rPr>
      </w:pPr>
      <w:r/>
      <w:bookmarkStart w:id="208" w:name="_Toc6698"/>
      <w:r/>
      <w:bookmarkStart w:id="209" w:name="_Toc3135"/>
      <w:r/>
      <w:bookmarkStart w:id="210" w:name="_Toc487900372"/>
      <w:r/>
      <w:bookmarkStart w:id="211" w:name="_Toc259093691"/>
      <w:r/>
      <w:bookmarkStart w:id="212" w:name="_Toc279701262"/>
      <w:r>
        <w:rPr>
          <w:rFonts w:hint="eastAsia" w:ascii="宋体" w:hAnsi="宋体" w:cs="宋体"/>
          <w:color w:val="auto"/>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08"/>
      <w:r/>
      <w:bookmarkEnd w:id="209"/>
      <w:r/>
      <w:r/>
    </w:p>
    <w:p>
      <w:pPr>
        <w:ind w:firstLine="480"/>
        <w:spacing w:line="360" w:lineRule="auto"/>
        <w:rPr>
          <w:rFonts w:ascii="宋体" w:hAnsi="宋体" w:cs="宋体"/>
          <w:color w:val="auto"/>
          <w:sz w:val="24"/>
          <w:highlight w:val="none"/>
        </w:rPr>
      </w:pPr>
      <w:r/>
      <w:bookmarkStart w:id="213" w:name="_Toc23128"/>
      <w:r/>
      <w:bookmarkStart w:id="214" w:name="_Toc23294"/>
      <w:r>
        <w:rPr>
          <w:rFonts w:hint="eastAsia" w:ascii="宋体" w:hAnsi="宋体" w:cs="宋体"/>
          <w:color w:val="auto"/>
          <w:sz w:val="24"/>
          <w:highlight w:val="none"/>
        </w:rPr>
        <w:t xml:space="preserve">2.17.2</w:t>
      </w:r>
      <w:bookmarkEnd w:id="213"/>
      <w:r/>
      <w:bookmarkEnd w:id="214"/>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color w:val="auto"/>
          <w:sz w:val="24"/>
          <w:highlight w:val="none"/>
        </w:rPr>
        <w:outlineLvl w:val="0"/>
      </w:pPr>
      <w:r/>
      <w:bookmarkStart w:id="215" w:name="_Toc30599"/>
      <w:r/>
      <w:bookmarkStart w:id="216" w:name="_Toc18540"/>
      <w:r/>
      <w:bookmarkStart w:id="217" w:name="_Toc4355"/>
      <w:r>
        <w:rPr>
          <w:rFonts w:hint="eastAsia" w:ascii="宋体" w:hAnsi="宋体" w:cs="宋体"/>
          <w:b/>
          <w:color w:val="auto"/>
          <w:sz w:val="24"/>
          <w:highlight w:val="none"/>
        </w:rPr>
        <w:t xml:space="preserve">2.18 计量单位</w:t>
      </w:r>
      <w:bookmarkEnd w:id="210"/>
      <w:r/>
      <w:bookmarkEnd w:id="211"/>
      <w:r/>
      <w:bookmarkEnd w:id="212"/>
      <w:r/>
      <w:bookmarkEnd w:id="215"/>
      <w:r/>
      <w:bookmarkEnd w:id="216"/>
      <w:r/>
      <w:bookmarkEnd w:id="21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360" w:lineRule="auto"/>
        <w:rPr>
          <w:rFonts w:ascii="宋体" w:hAnsi="宋体" w:cs="宋体"/>
          <w:b/>
          <w:color w:val="auto"/>
          <w:sz w:val="24"/>
          <w:highlight w:val="none"/>
        </w:rPr>
        <w:outlineLvl w:val="0"/>
      </w:pPr>
      <w:r/>
      <w:bookmarkStart w:id="218" w:name="_Toc12773"/>
      <w:r/>
      <w:bookmarkStart w:id="219" w:name="_Toc487900373"/>
      <w:r/>
      <w:bookmarkStart w:id="220" w:name="_Toc279701263"/>
      <w:r/>
      <w:bookmarkStart w:id="221" w:name="_Toc259093692"/>
      <w:r/>
      <w:bookmarkStart w:id="222" w:name="_Toc10330"/>
      <w:r/>
      <w:bookmarkStart w:id="223" w:name="_Toc18567"/>
      <w:r>
        <w:rPr>
          <w:rFonts w:hint="eastAsia" w:ascii="宋体" w:hAnsi="宋体" w:cs="宋体"/>
          <w:b/>
          <w:color w:val="auto"/>
          <w:sz w:val="24"/>
          <w:highlight w:val="none"/>
        </w:rPr>
        <w:t xml:space="preserve">2.19 合同使用的文字和适用的法律</w:t>
      </w:r>
      <w:bookmarkEnd w:id="218"/>
      <w:r/>
      <w:bookmarkEnd w:id="219"/>
      <w:r/>
      <w:bookmarkEnd w:id="220"/>
      <w:r/>
      <w:bookmarkEnd w:id="221"/>
      <w:r/>
      <w:bookmarkEnd w:id="222"/>
      <w:r/>
      <w:bookmarkEnd w:id="22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2.20政府采购信用融资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color w:val="auto"/>
          <w:sz w:val="24"/>
          <w:highlight w:val="none"/>
        </w:rPr>
        <w:outlineLvl w:val="0"/>
      </w:pPr>
      <w:r/>
      <w:bookmarkStart w:id="224" w:name="_Toc6885"/>
      <w:r/>
      <w:bookmarkStart w:id="225" w:name="_Toc19890"/>
      <w:r/>
      <w:bookmarkStart w:id="226" w:name="_Toc14001"/>
      <w:r>
        <w:rPr>
          <w:rFonts w:hint="eastAsia" w:ascii="宋体" w:hAnsi="宋体" w:cs="宋体"/>
          <w:b/>
          <w:color w:val="auto"/>
          <w:sz w:val="24"/>
          <w:highlight w:val="none"/>
        </w:rPr>
        <w:t xml:space="preserve">2.21 合同份数</w:t>
      </w:r>
      <w:bookmarkEnd w:id="224"/>
      <w:r/>
      <w:bookmarkEnd w:id="225"/>
      <w:r/>
      <w:bookmarkEnd w:id="2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合同专用条款2.21</w:t>
      </w:r>
      <w:r>
        <w:rPr>
          <w:rFonts w:hint="eastAsia" w:ascii="宋体" w:hAnsi="宋体" w:cs="宋体"/>
          <w:color w:val="auto"/>
          <w:sz w:val="24"/>
          <w:highlight w:val="none"/>
        </w:rPr>
        <w:t xml:space="preserve">规定，每份均具有同等法律效力。</w:t>
      </w:r>
      <w:r/>
    </w:p>
    <w:p>
      <w:pPr>
        <w:ind w:firstLine="2514"/>
        <w:spacing w:line="360" w:lineRule="auto"/>
        <w:rPr>
          <w:rFonts w:hint="eastAsia" w:ascii="宋体" w:hAnsi="宋体" w:cs="宋体"/>
          <w:color w:val="auto"/>
          <w:highlight w:val="none"/>
        </w:rPr>
        <w:outlineLvl w:val="0"/>
      </w:pPr>
      <w:r>
        <w:rPr>
          <w:rFonts w:hint="eastAsia" w:ascii="宋体" w:hAnsi="宋体" w:cs="宋体"/>
          <w:color w:val="auto"/>
          <w:highlight w:val="none"/>
        </w:rPr>
        <w:br w:type="page" w:clear="all"/>
      </w:r>
      <w:r/>
    </w:p>
    <w:p>
      <w:pPr>
        <w:ind w:firstLine="2514"/>
        <w:spacing w:line="36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第三部分 合同专用条款</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本部分是对前两</w:t>
      </w:r>
      <w:bookmarkStart w:id="227" w:name="_Hlk136502841"/>
      <w:r>
        <w:rPr>
          <w:rFonts w:hint="eastAsia" w:ascii="宋体" w:hAnsi="宋体" w:cs="楷体"/>
          <w:color w:val="auto"/>
          <w:sz w:val="24"/>
          <w:highlight w:val="none"/>
        </w:rPr>
        <w:t xml:space="preserve">部分</w:t>
      </w:r>
      <w:bookmarkEnd w:id="227"/>
      <w:r>
        <w:rPr>
          <w:rFonts w:hint="eastAsia" w:ascii="宋体" w:hAnsi="宋体" w:cs="楷体"/>
          <w:color w:val="auto"/>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86"/>
        <w:tblW w:w="5000" w:type="pct"/>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377"/>
        <w:gridCol w:w="8046"/>
      </w:tblGrid>
      <w:tr>
        <w:trPr>
          <w:trHeight w:val="391"/>
        </w:trPr>
        <w:tc>
          <w:tcPr>
            <w:tcW w:w="465"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4534"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约定内容</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1.4.2</w:t>
            </w:r>
            <w:r/>
          </w:p>
        </w:tc>
        <w:tc>
          <w:tcPr>
            <w:tcW w:w="4534" w:type="dxa"/>
            <w:vAlign w:val="center"/>
            <w:textDirection w:val="lrTb"/>
            <w:noWrap w:val="false"/>
          </w:tcPr>
          <w:p>
            <w:pPr>
              <w:spacing w:line="360" w:lineRule="auto"/>
              <w:rPr>
                <w:rFonts w:ascii="宋体" w:hAnsi="宋体" w:cs="宋体"/>
                <w:i/>
                <w:iCs/>
                <w:color w:val="auto"/>
                <w:sz w:val="24"/>
                <w:highlight w:val="none"/>
              </w:rPr>
            </w:pPr>
            <w:r>
              <w:rPr>
                <w:rFonts w:ascii="宋体" w:hAnsi="宋体" w:cs="宋体"/>
                <w:i/>
                <w:iCs/>
                <w:color w:val="auto"/>
                <w:sz w:val="24"/>
                <w:highlight w:val="none"/>
              </w:rPr>
            </w:r>
            <w:r/>
          </w:p>
        </w:tc>
      </w:tr>
      <w:tr>
        <w:trPr>
          <w:trHeight w:val="446"/>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1.5.2</w:t>
            </w:r>
            <w:r/>
          </w:p>
        </w:tc>
        <w:tc>
          <w:tcPr>
            <w:tcW w:w="4534" w:type="dxa"/>
            <w:vAlign w:val="top"/>
            <w:textDirection w:val="lrTb"/>
            <w:noWrap w:val="false"/>
          </w:tcPr>
          <w:p>
            <w:pPr>
              <w:jc w:val="both"/>
              <w:spacing w:line="360" w:lineRule="auto"/>
              <w:rPr>
                <w:rFonts w:ascii="宋体" w:hAnsi="宋体" w:cs="宋体"/>
                <w:i w:val="0"/>
                <w:iCs w:val="0"/>
                <w:color w:val="auto"/>
                <w:sz w:val="24"/>
                <w:highlight w:val="none"/>
              </w:rPr>
            </w:pPr>
            <w:r>
              <w:rPr>
                <w:rFonts w:hint="eastAsia" w:ascii="宋体" w:hAnsi="宋体" w:eastAsia="宋体" w:cs="宋体"/>
                <w:i w:val="0"/>
                <w:iCs w:val="0"/>
                <w:color w:val="auto"/>
                <w:sz w:val="24"/>
                <w:highlight w:val="none"/>
              </w:rPr>
              <w:t xml:space="preserve">本项目不收取履约保证金，本项目中标供应商应提交政府采购合同金额/%的约保证金，履约保证金应以支票、汇票、本票、保函、保险保单等非现金形式缴纳或提交。支持和鼓励中标供应商自愿使用履约(保函)保险代替缴纳约保证金。省财政厅己上线政府采购电子履约保函(保险)平台，平台可通过域名www.jsdzbh.com直接访问，也可通过江苏省政府采购网、“苏采云”系统链接访问。</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1.6.1 </w:t>
            </w:r>
            <w:r/>
          </w:p>
        </w:tc>
        <w:tc>
          <w:tcPr>
            <w:tcW w:w="4534" w:type="dxa"/>
            <w:vAlign w:val="center"/>
            <w:textDirection w:val="lrTb"/>
            <w:noWrap w:val="false"/>
          </w:tcPr>
          <w:p>
            <w:pPr>
              <w:jc w:val="both"/>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1.7.2</w:t>
            </w:r>
            <w:r/>
          </w:p>
        </w:tc>
        <w:tc>
          <w:tcPr>
            <w:tcW w:w="4534" w:type="dxa"/>
            <w:vAlign w:val="center"/>
            <w:textDirection w:val="lrTb"/>
            <w:noWrap w:val="false"/>
          </w:tcPr>
          <w:p>
            <w:pPr>
              <w:spacing w:line="360" w:lineRule="auto"/>
              <w:rPr>
                <w:rFonts w:hint="eastAsia" w:ascii="宋体" w:hAnsi="宋体" w:eastAsia="宋体" w:cs="宋体"/>
                <w:bCs/>
                <w:i w:val="0"/>
                <w:iCs w:val="0"/>
                <w:color w:val="auto"/>
                <w:sz w:val="24"/>
                <w:highlight w:val="none"/>
                <w:lang w:eastAsia="en-US"/>
              </w:rPr>
            </w:pPr>
            <w:r>
              <w:rPr>
                <w:rFonts w:hint="eastAsia" w:ascii="宋体" w:hAnsi="宋体" w:eastAsia="宋体" w:cs="宋体"/>
                <w:bCs/>
                <w:i w:val="0"/>
                <w:iCs w:val="0"/>
                <w:color w:val="auto"/>
                <w:sz w:val="24"/>
                <w:highlight w:val="none"/>
                <w:lang w:eastAsia="en-US"/>
              </w:rPr>
              <w:t xml:space="preserve">本合同以人民币付款。</w:t>
            </w:r>
            <w:r/>
          </w:p>
          <w:p>
            <w:pPr>
              <w:spacing w:line="360" w:lineRule="auto"/>
              <w:rPr>
                <w:color w:val="auto"/>
                <w:highlight w:val="none"/>
              </w:rPr>
            </w:pPr>
            <w:r>
              <w:rPr>
                <w:rFonts w:hint="eastAsia" w:ascii="宋体" w:hAnsi="宋体" w:eastAsia="宋体" w:cs="宋体"/>
                <w:bCs/>
                <w:i w:val="0"/>
                <w:iCs w:val="0"/>
                <w:color w:val="auto"/>
                <w:sz w:val="24"/>
                <w:highlight w:val="none"/>
                <w:lang w:val="en-US" w:eastAsia="zh-CN"/>
              </w:rPr>
              <w:t xml:space="preserve">在收到供应商正式发票后15 日内，支付合同价款30%的预付款</w:t>
            </w:r>
            <w:r>
              <w:rPr>
                <w:rFonts w:hint="eastAsia" w:ascii="宋体" w:hAnsi="宋体" w:cs="宋体"/>
                <w:bCs/>
                <w:i w:val="0"/>
                <w:iCs w:val="0"/>
                <w:color w:val="auto"/>
                <w:sz w:val="24"/>
                <w:highlight w:val="none"/>
                <w:lang w:val="en-US" w:eastAsia="zh-CN"/>
              </w:rPr>
              <w:t xml:space="preserve">；全部货物及</w:t>
            </w:r>
            <w:r>
              <w:rPr>
                <w:rFonts w:hint="eastAsia" w:ascii="宋体" w:hAnsi="宋体" w:eastAsia="宋体" w:cs="宋体"/>
                <w:bCs/>
                <w:i w:val="0"/>
                <w:iCs w:val="0"/>
                <w:color w:val="auto"/>
                <w:sz w:val="24"/>
                <w:highlight w:val="none"/>
                <w:lang w:val="en-US" w:eastAsia="zh-CN"/>
              </w:rPr>
              <w:t xml:space="preserve">设备</w:t>
            </w:r>
            <w:r>
              <w:rPr>
                <w:rFonts w:hint="eastAsia" w:ascii="宋体" w:hAnsi="宋体" w:cs="宋体"/>
                <w:bCs/>
                <w:i w:val="0"/>
                <w:iCs w:val="0"/>
                <w:color w:val="auto"/>
                <w:sz w:val="24"/>
                <w:highlight w:val="none"/>
                <w:lang w:val="en-US" w:eastAsia="zh-CN"/>
              </w:rPr>
              <w:t xml:space="preserve">安装完成、调试完毕并经验收合格</w:t>
            </w:r>
            <w:r>
              <w:rPr>
                <w:rFonts w:hint="eastAsia" w:ascii="宋体" w:hAnsi="宋体" w:eastAsia="宋体" w:cs="宋体"/>
                <w:bCs/>
                <w:i w:val="0"/>
                <w:iCs w:val="0"/>
                <w:color w:val="auto"/>
                <w:sz w:val="24"/>
                <w:highlight w:val="none"/>
                <w:lang w:val="en-US" w:eastAsia="zh-CN"/>
              </w:rPr>
              <w:t xml:space="preserve">后，支付合同价款的20%</w:t>
            </w:r>
            <w:r>
              <w:rPr>
                <w:rFonts w:hint="eastAsia" w:ascii="宋体" w:hAnsi="宋体" w:cs="宋体"/>
                <w:bCs/>
                <w:i w:val="0"/>
                <w:iCs w:val="0"/>
                <w:color w:val="auto"/>
                <w:sz w:val="24"/>
                <w:highlight w:val="none"/>
                <w:lang w:val="en-US" w:eastAsia="zh-CN"/>
              </w:rPr>
              <w:t xml:space="preserve">；</w:t>
            </w:r>
            <w:r>
              <w:rPr>
                <w:rFonts w:hint="eastAsia" w:ascii="宋体" w:hAnsi="宋体" w:eastAsia="宋体" w:cs="宋体"/>
                <w:bCs/>
                <w:i w:val="0"/>
                <w:iCs w:val="0"/>
                <w:color w:val="auto"/>
                <w:sz w:val="24"/>
                <w:highlight w:val="none"/>
                <w:lang w:val="en-US" w:eastAsia="zh-CN"/>
              </w:rPr>
              <w:t xml:space="preserve">第二年付合同价款的30%</w:t>
            </w:r>
            <w:r>
              <w:rPr>
                <w:rFonts w:hint="eastAsia" w:ascii="宋体" w:hAnsi="宋体" w:cs="宋体"/>
                <w:bCs/>
                <w:i w:val="0"/>
                <w:iCs w:val="0"/>
                <w:color w:val="auto"/>
                <w:sz w:val="24"/>
                <w:highlight w:val="none"/>
                <w:lang w:val="en-US" w:eastAsia="zh-CN"/>
              </w:rPr>
              <w:t xml:space="preserve">；</w:t>
            </w:r>
            <w:r>
              <w:rPr>
                <w:rFonts w:hint="eastAsia" w:ascii="宋体" w:hAnsi="宋体" w:eastAsia="宋体" w:cs="宋体"/>
                <w:bCs/>
                <w:i w:val="0"/>
                <w:iCs w:val="0"/>
                <w:color w:val="auto"/>
                <w:sz w:val="24"/>
                <w:highlight w:val="none"/>
                <w:lang w:val="en-US" w:eastAsia="zh-CN"/>
              </w:rPr>
              <w:t xml:space="preserve">第三年付清余款。</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合同签定后</w:t>
            </w:r>
            <w:r>
              <w:rPr>
                <w:rFonts w:hint="eastAsia" w:ascii="宋体" w:hAnsi="宋体" w:cs="宋体"/>
                <w:i w:val="0"/>
                <w:iCs w:val="0"/>
                <w:color w:val="auto"/>
                <w:sz w:val="24"/>
                <w:highlight w:val="none"/>
                <w:lang w:val="en-US" w:eastAsia="zh-CN"/>
              </w:rPr>
              <w:t xml:space="preserve">45天</w:t>
            </w:r>
            <w:r>
              <w:rPr>
                <w:rFonts w:hint="eastAsia" w:ascii="宋体" w:hAnsi="宋体" w:cs="宋体"/>
                <w:i w:val="0"/>
                <w:iCs w:val="0"/>
                <w:color w:val="auto"/>
                <w:sz w:val="24"/>
                <w:highlight w:val="none"/>
              </w:rPr>
              <w:t xml:space="preserve">内完成供货及安装。</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1.8.2</w:t>
            </w:r>
            <w:r/>
          </w:p>
        </w:tc>
        <w:tc>
          <w:tcPr>
            <w:tcW w:w="4534" w:type="dxa"/>
            <w:vAlign w:val="center"/>
            <w:textDirection w:val="lrTb"/>
            <w:noWrap w:val="false"/>
          </w:tcPr>
          <w:p>
            <w:pPr>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eastAsia="zh-CN"/>
              </w:rPr>
              <w:t xml:space="preserve">宝华新城实验幼儿园</w:t>
            </w:r>
            <w:r>
              <w:rPr>
                <w:rFonts w:hint="eastAsia" w:ascii="宋体" w:hAnsi="宋体" w:cs="宋体"/>
                <w:i w:val="0"/>
                <w:iCs w:val="0"/>
                <w:color w:val="auto"/>
                <w:sz w:val="24"/>
                <w:highlight w:val="none"/>
              </w:rPr>
              <w:t xml:space="preserve">。中标方必须按采购人要求将本项目中货物送到指定地点，并分地实施安装调试</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现场安装交付。</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1.9.6</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2.3.2</w:t>
            </w:r>
            <w:r/>
          </w:p>
        </w:tc>
        <w:tc>
          <w:tcPr>
            <w:tcW w:w="4534" w:type="dxa"/>
            <w:vAlign w:val="center"/>
            <w:textDirection w:val="lrTb"/>
            <w:noWrap w:val="false"/>
          </w:tcPr>
          <w:p>
            <w:pPr>
              <w:ind w:left="-420" w:right="-420" w:firstLine="480"/>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val="en-US" w:eastAsia="zh-CN"/>
              </w:rPr>
              <w:t xml:space="preserve">归</w:t>
            </w:r>
            <w:r>
              <w:rPr>
                <w:rFonts w:hint="eastAsia" w:ascii="宋体" w:hAnsi="宋体" w:eastAsia="宋体" w:cs="宋体"/>
                <w:i w:val="0"/>
                <w:iCs w:val="0"/>
                <w:color w:val="auto"/>
                <w:sz w:val="24"/>
                <w:highlight w:val="none"/>
              </w:rPr>
              <w:t xml:space="preserve">采购人所有</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2.4.1</w:t>
            </w:r>
            <w:r/>
          </w:p>
        </w:tc>
        <w:tc>
          <w:tcPr>
            <w:tcW w:w="4534" w:type="dxa"/>
            <w:vAlign w:val="center"/>
            <w:textDirection w:val="lrTb"/>
            <w:noWrap w:val="false"/>
          </w:tcPr>
          <w:p>
            <w:pPr>
              <w:ind w:left="-420" w:right="-420" w:firstLine="480"/>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2.8 </w:t>
            </w:r>
            <w:r/>
          </w:p>
        </w:tc>
        <w:tc>
          <w:tcPr>
            <w:tcW w:w="4534" w:type="dxa"/>
            <w:vAlign w:val="top"/>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p>
        </w:tc>
      </w:tr>
      <w:tr>
        <w:trPr>
          <w:trHeight w:val="352"/>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rPr>
                <w:rFonts w:hint="eastAsia" w:ascii="宋体" w:hAnsi="宋体" w:cs="宋体"/>
                <w:i w:val="0"/>
                <w:iCs w:val="0"/>
                <w:color w:val="auto"/>
                <w:sz w:val="24"/>
                <w:highlight w:val="none"/>
                <w:lang w:eastAsia="zh-CN"/>
              </w:rPr>
              <w:t xml:space="preserve">严格按照采购合同开展履约验收。</w:t>
            </w:r>
            <w:bookmarkStart w:id="228" w:name="OLE_LINK1"/>
            <w:r>
              <w:rPr>
                <w:rFonts w:hint="eastAsia" w:ascii="宋体" w:hAnsi="宋体" w:cs="宋体"/>
                <w:i w:val="0"/>
                <w:iCs w:val="0"/>
                <w:color w:val="auto"/>
                <w:sz w:val="24"/>
                <w:highlight w:val="none"/>
                <w:lang w:eastAsia="zh-CN"/>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8"/>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2.21 </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i w:val="0"/>
                <w:iCs w:val="0"/>
                <w:color w:val="auto"/>
                <w:sz w:val="24"/>
                <w:szCs w:val="22"/>
                <w:highlight w:val="none"/>
              </w:rPr>
              <w:t xml:space="preserve">本合同一式</w:t>
            </w:r>
            <w:r>
              <w:rPr>
                <w:rFonts w:hint="eastAsia" w:ascii="宋体" w:hAnsi="宋体"/>
                <w:i w:val="0"/>
                <w:iCs w:val="0"/>
                <w:color w:val="auto"/>
                <w:sz w:val="24"/>
                <w:szCs w:val="22"/>
                <w:highlight w:val="none"/>
              </w:rPr>
              <w:t xml:space="preserve">    份，甲乙双方各执   份。</w:t>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3.1</w:t>
            </w:r>
            <w:r/>
          </w:p>
          <w:p>
            <w:pPr>
              <w:ind w:left="-420" w:right="-420" w:firstLine="480"/>
              <w:spacing w:line="360" w:lineRule="auto"/>
              <w:rPr>
                <w:rFonts w:ascii="宋体" w:hAnsi="宋体"/>
                <w:color w:val="auto"/>
                <w:highlight w:val="none"/>
              </w:rPr>
              <w:outlineLvl w:val="0"/>
            </w:pPr>
            <w:r>
              <w:rPr>
                <w:rFonts w:hint="eastAsia" w:ascii="宋体" w:hAnsi="宋体" w:cs="宋体"/>
                <w:color w:val="auto"/>
                <w:sz w:val="24"/>
                <w:highlight w:val="none"/>
              </w:rPr>
              <w:t xml:space="preserve">……</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w:t>
            </w:r>
            <w:r>
              <w:rPr>
                <w:rFonts w:hint="eastAsia" w:ascii="宋体" w:hAnsi="宋体"/>
                <w:i w:val="0"/>
                <w:iCs w:val="0"/>
                <w:color w:val="auto"/>
                <w:sz w:val="24"/>
                <w:highlight w:val="none"/>
              </w:rPr>
              <w:t xml:space="preserve">（可自行编辑）</w:t>
            </w:r>
            <w:bookmarkEnd w:id="71"/>
            <w:r/>
            <w:r/>
          </w:p>
        </w:tc>
      </w:tr>
    </w:tbl>
    <w:p>
      <w:pPr>
        <w:rPr>
          <w:rFonts w:ascii="Calibri" w:hAnsi="Calibri"/>
          <w:color w:val="auto"/>
          <w:szCs w:val="22"/>
          <w:highlight w:val="none"/>
        </w:rPr>
      </w:pPr>
      <w:r>
        <w:rPr>
          <w:rFonts w:ascii="Calibri" w:hAnsi="Calibri"/>
          <w:color w:val="auto"/>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058"/>
        <w:ind w:right="90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rPr>
          <w:rFonts w:hint="eastAsia" w:ascii="宋体" w:hAnsi="宋体" w:eastAsia="宋体" w:cs="宋体"/>
          <w:color w:val="auto"/>
          <w:sz w:val="36"/>
          <w:szCs w:val="36"/>
          <w:highlight w:val="none"/>
        </w:rPr>
        <w:t xml:space="preserve">第四部分 采购需求</w:t>
      </w:r>
      <w:r/>
    </w:p>
    <w:p>
      <w:pPr>
        <w:jc w:val="left"/>
        <w:spacing w:line="360" w:lineRule="auto"/>
        <w:widowControl/>
        <w:tabs>
          <w:tab w:val="left" w:pos="424" w:leader="none"/>
        </w:tabs>
        <w:rPr>
          <w:rFonts w:hint="eastAsia" w:ascii="宋体" w:hAnsi="宋体" w:eastAsia="宋体" w:cs="宋体"/>
          <w:b/>
          <w:color w:val="auto"/>
          <w:sz w:val="24"/>
          <w:szCs w:val="24"/>
          <w:highlight w:val="none"/>
          <w:lang w:val="zh-CN" w:bidi="en-US"/>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val="zh-CN" w:bidi="en-US"/>
        </w:rPr>
        <w:t xml:space="preserve">一、项目概况</w:t>
      </w:r>
      <w:r/>
    </w:p>
    <w:p>
      <w:pPr>
        <w:numPr>
          <w:ilvl w:val="0"/>
          <w:numId w:val="0"/>
        </w:numPr>
        <w:ind w:left="420" w:firstLine="480"/>
        <w:keepLines w:val="0"/>
        <w:keepNext w:val="0"/>
        <w:pageBreakBefore w:val="0"/>
        <w:spacing w:line="360" w:lineRule="auto"/>
        <w:widowControl w:val="off"/>
        <w:rPr>
          <w:rFonts w:hint="eastAsia"/>
          <w:color w:val="auto"/>
          <w:highlight w:val="none"/>
        </w:rPr>
        <w:outlineLvl w:val="0"/>
      </w:pPr>
      <w:r>
        <w:rPr>
          <w:rFonts w:hint="eastAsia" w:ascii="宋体" w:hAnsi="宋体" w:cs="宋体"/>
          <w:color w:val="auto"/>
          <w:sz w:val="24"/>
          <w:szCs w:val="24"/>
          <w:highlight w:val="none"/>
          <w:lang w:eastAsia="zh-CN"/>
        </w:rPr>
        <w:t xml:space="preserve">宝华新城实验幼儿园教育教学设备设施、办公家具采购</w:t>
      </w:r>
      <w:r>
        <w:rPr>
          <w:rFonts w:hint="eastAsia" w:ascii="宋体" w:hAnsi="宋体" w:eastAsia="宋体" w:cs="宋体"/>
          <w:color w:val="auto"/>
          <w:sz w:val="24"/>
          <w:szCs w:val="24"/>
          <w:highlight w:val="none"/>
          <w:lang w:eastAsia="zh-CN"/>
        </w:rPr>
        <w:t xml:space="preserve">，旨在</w:t>
      </w:r>
      <w:r>
        <w:rPr>
          <w:rFonts w:hint="eastAsia" w:ascii="宋体" w:hAnsi="宋体" w:eastAsia="宋体" w:cs="宋体"/>
          <w:color w:val="auto"/>
          <w:sz w:val="24"/>
          <w:szCs w:val="24"/>
          <w:highlight w:val="none"/>
          <w:lang w:val="en-US" w:eastAsia="zh-CN"/>
        </w:rPr>
        <w:t xml:space="preserve">保障宝华新城建幼儿园顺利开园，满足3-6岁幼儿日常教学、生活照料、游戏活动及安全防护需求</w:t>
      </w:r>
      <w:r>
        <w:rPr>
          <w:rFonts w:hint="eastAsia" w:ascii="宋体" w:hAnsi="宋体" w:eastAsia="宋体" w:cs="宋体"/>
          <w:color w:val="auto"/>
          <w:sz w:val="24"/>
          <w:szCs w:val="24"/>
          <w:highlight w:val="none"/>
          <w:lang w:eastAsia="zh-CN"/>
        </w:rPr>
        <w:t xml:space="preserve">，包括但不限于</w:t>
      </w:r>
      <w:r>
        <w:rPr>
          <w:rFonts w:hint="eastAsia" w:ascii="宋体" w:hAnsi="宋体" w:cs="宋体"/>
          <w:color w:val="auto"/>
          <w:sz w:val="24"/>
          <w:szCs w:val="24"/>
          <w:highlight w:val="none"/>
          <w:lang w:eastAsia="zh-CN"/>
        </w:rPr>
        <w:t xml:space="preserve">教育教学设备设施、办</w:t>
      </w:r>
      <w:r>
        <w:rPr>
          <w:rFonts w:hint="eastAsia" w:ascii="宋体" w:hAnsi="宋体" w:eastAsia="宋体" w:cs="宋体"/>
          <w:color w:val="auto"/>
          <w:sz w:val="24"/>
          <w:szCs w:val="24"/>
          <w:highlight w:val="none"/>
          <w:lang w:eastAsia="zh-CN"/>
        </w:rPr>
        <w:t xml:space="preserve">公家具采购、运输装缷、安装、项目附属配套施工、调试、试运行、验收及质保期内的伴随服务等，并在招标文件要求的工期内保质保量完</w:t>
      </w:r>
      <w:r>
        <w:rPr>
          <w:rFonts w:hint="eastAsia" w:ascii="宋体" w:hAnsi="宋体" w:eastAsia="宋体" w:cs="宋体"/>
          <w:color w:val="auto"/>
          <w:sz w:val="24"/>
          <w:szCs w:val="24"/>
          <w:highlight w:val="none"/>
        </w:rPr>
        <w:t xml:space="preserve">成。</w:t>
      </w:r>
      <w:r/>
    </w:p>
    <w:p>
      <w:pPr>
        <w:pStyle w:val="1057"/>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项目类别属性:货物类采购</w:t>
      </w:r>
      <w:r/>
    </w:p>
    <w:p>
      <w:pPr>
        <w:pStyle w:val="1057"/>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项目所属行业:工业</w:t>
      </w:r>
      <w:r/>
    </w:p>
    <w:p>
      <w:pPr>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二、采购预算（最高限价）</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1、采购预算：</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3491120.00 元</w:t>
      </w:r>
      <w:r>
        <w:rPr>
          <w:rFonts w:hint="eastAsia" w:ascii="宋体" w:hAnsi="宋体" w:eastAsia="宋体" w:cs="宋体"/>
          <w:color w:val="auto"/>
          <w:sz w:val="24"/>
          <w:highlight w:val="none"/>
          <w:u w:val="single"/>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2、最高限价：</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3412112.00 元</w:t>
      </w:r>
      <w:r>
        <w:rPr>
          <w:rFonts w:hint="eastAsia" w:ascii="宋体" w:hAnsi="宋体" w:eastAsia="宋体" w:cs="宋体"/>
          <w:color w:val="auto"/>
          <w:sz w:val="24"/>
          <w:highlight w:val="none"/>
          <w:u w:val="single"/>
        </w:rPr>
        <w:t xml:space="preserve">。</w:t>
      </w:r>
      <w:r/>
    </w:p>
    <w:p>
      <w:pPr>
        <w:ind w:left="3"/>
        <w:spacing w:before="263" w:line="219" w:lineRule="auto"/>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三.采购标的汇总表</w:t>
      </w:r>
      <w:r/>
    </w:p>
    <w:p>
      <w:pPr>
        <w:ind w:left="6"/>
        <w:spacing w:before="267" w:line="219" w:lineRule="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（一） 采购标的</w:t>
      </w:r>
      <w:r/>
    </w:p>
    <w:p>
      <w:pPr>
        <w:ind w:left="17"/>
        <w:pageBreakBefore w:val="0"/>
        <w:spacing w:line="300" w:lineRule="exact"/>
        <w:rPr>
          <w:rFonts w:hint="eastAsia" w:ascii="宋体" w:hAnsi="宋体" w:cs="宋体"/>
          <w:color w:val="auto"/>
          <w:sz w:val="24"/>
          <w:highlight w:val="none"/>
        </w:rPr>
      </w:pPr>
      <w:r>
        <w:rPr>
          <w:rFonts w:hint="eastAsia" w:ascii="宋体" w:hAnsi="宋体" w:eastAsia="宋体" w:cs="宋体"/>
          <w:b/>
          <w:bCs/>
          <w:color w:val="auto"/>
          <w:spacing w:val="-4"/>
          <w:sz w:val="24"/>
          <w:highlight w:val="none"/>
        </w:rPr>
        <w:t xml:space="preserve">1.货物类标的</w:t>
      </w:r>
      <w:r>
        <w:rPr>
          <w:rFonts w:hint="eastAsia" w:ascii="宋体" w:hAnsi="宋体" w:cs="宋体"/>
          <w:color w:val="auto"/>
          <w:sz w:val="24"/>
          <w:highlight w:val="none"/>
        </w:rPr>
        <w:t xml:space="preserve"> </w:t>
      </w:r>
      <w:r/>
    </w:p>
    <w:tbl>
      <w:tblPr>
        <w:tblStyle w:val="886"/>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7"/>
        <w:gridCol w:w="1461"/>
        <w:gridCol w:w="3177"/>
        <w:gridCol w:w="990"/>
        <w:gridCol w:w="1255"/>
        <w:gridCol w:w="1599"/>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货物类标的名称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是否允许进口</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器械柜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电热水器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1.2米观察床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移动消毒灯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保健室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档案柜（按场地尺寸定制）带锁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药品柜带锁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视力表灯箱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电子体重秤</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身高坐高计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课桌椅测量尺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单开门冰箱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晨检工作台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班级活动室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自由组合区角柜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儿童书柜（带轮）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美工材料柜（带轮）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长桌（小班）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长桌（中班）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长桌（大班）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方桌（小班）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方桌（中班）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方桌（大班）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（壁挂式）茶杯架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实物投影展示台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实物投影</w:t>
            </w:r>
            <w:r>
              <w:rPr>
                <w:rFonts w:hint="eastAsia" w:ascii="宋体" w:hAnsi="宋体" w:cs="宋体"/>
                <w:i w:val="0"/>
                <w:iCs w:val="0"/>
                <w:color w:val="000000"/>
                <w:sz w:val="20"/>
                <w:szCs w:val="20"/>
                <w:u w:val="none"/>
                <w:lang w:val="en-US" w:eastAsia="zh-CN" w:bidi="ar"/>
              </w:rPr>
              <w:t xml:space="preserve">展示</w:t>
            </w:r>
            <w:r>
              <w:rPr>
                <w:rFonts w:hint="eastAsia" w:ascii="宋体" w:hAnsi="宋体" w:eastAsia="宋体" w:cs="宋体"/>
                <w:i w:val="0"/>
                <w:iCs w:val="0"/>
                <w:color w:val="000000"/>
                <w:sz w:val="20"/>
                <w:szCs w:val="20"/>
                <w:u w:val="none"/>
                <w:lang w:val="en-US" w:eastAsia="zh-CN" w:bidi="ar"/>
              </w:rPr>
              <w:t xml:space="preserve">台系统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手提药箱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滚筒洗衣机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洗手台顶柜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自然角架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洗衣机台盆架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420件室内建构积木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教师办公桌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师幼收纳柜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户外活动区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小皮球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儿童标准篮球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儿童标准足球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球筐（球车）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木质篮球架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小型足球围栏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独轮小推车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体操凳1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弹跳球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脚转球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拱形门1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袋鼠跳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梅花桩（树桩）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跳床1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小哑铃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气球伞</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黄包车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威力摇摆车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炫风车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三轮脚踏车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三轮赛车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双人手推装卸车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幼儿手滚车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脚动扭扭车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1223件户外综合套装碳化积木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42片侧板积木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碳化户外安米吉拼插积木569片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碳化积木866片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碳化户外百变拼插积木828片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户外游戏体能梯-方梯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40件套运动组合碳化梯子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大型实木螺母组合900件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569块安米吉拼插积木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户外大型运动组合器械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跑酷游戏组合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桌面式涂鸦板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桌面式多功能涂鸦板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沙盘游戏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户外小厨房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户外音乐墙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户外游戏课程基地</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活动实施方案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幼儿园户外活动整体方案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安全使用手册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装箱明细表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分类图卡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造型图卡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合格证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基础建构2单元-C形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基础建构2单元-L形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基础建构蓄水件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基础水道2单元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基础水道-弯道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基础木板2单元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基础木板4单元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基础木板5单元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阻水件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夹沙件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钻筛沙件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6分水管（1m）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6分水管（2m）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6分水管（5m）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6分通水接口（备用件）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标准双向奶嘴接口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标准万用接口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分流配件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基础标配储水盆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储水盆（小）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擀泥棒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平泥工具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敲泥工具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鲸鱼推车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压水泵</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园艺水枪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喷泉旋转件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沙水区组合套装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玩水管道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公共区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布艺窗帘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百叶窗帘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财务室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保险柜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碎纸机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铁皮柜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副园长室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园长室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会议音箱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音箱壁挂支架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前级音频处理器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真分集UHF段一拖四无线会议（长咪杆）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DSP数字4进1出反馈抑制器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大报告厅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报告台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更衣间柜子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带轮长条折叠桌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教工之家</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打击乐器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人体追踪无线录像设备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音频处理器会议矩阵4*4</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立式话筒架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桌面话筒架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教师餐厅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2.4m圆桌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一桌四椅（木质）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图书室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生活坊</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作品展览柜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厨房专用材料收纳柜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材料储物柜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弧形岛台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带4个水池操作台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粮食碾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电蒸锅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非遗传统面塑材料(非食用）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非遗面塑支架托板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铂金硅胶揉面垫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竹制盖帘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花馍梳子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幼儿专用爆米花车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幼儿专用棉花糖机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幼儿专用全自动多功能烘焙箱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封口机套装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裱花练习装饰材料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分料碗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手动打蛋器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厨房电子称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搅拌铲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面粉筛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烤盘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6连蛋糕模具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棉手套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锡纸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裱花台转盘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奶油抹刀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手套-3型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对开门冰箱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电动榨汁机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空气炸锅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平底锅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苏式窗镜卡纸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生宣纸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彩墨汁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国画毛笔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版画拓印滚轮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油墨颜料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a4切割点板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幼儿数字油画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幼儿专用安全色粉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幼儿专用安全重彩油画棒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幼儿专用安全蜡笔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圆形油画框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方形油画框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幼儿专用安全彩泥套组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丸棒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刮画纸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幼儿浮水画套装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趣味西游皮影戏套组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幼儿夜光丙烯套装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中国风白坯挂件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手绘中式寸鼓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幼儿专用彩色压花器套装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幼儿手指画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石膏涂色包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桌面吸灰器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幼儿专用安全波浪剪刀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幼儿专用安全水溶性水彩笔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幼儿专用安全重彩水彩笔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皱纹纸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幼儿专用安全扎染颜料套组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异形桌+配套椅子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科探室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交通安全标志翻版墙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儿童互动智能桌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脑电波赛车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轨道定制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脑智训练设备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智能机械手套件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VR头戴式设备系统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K12教育资源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VR课件系统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SIS学生端管理系统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异形儿童桌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泥料瓷花认知板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三福瓶形状工具墙-2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陶艺-展示A柜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长条绘画桌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KT胶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肌理擀泥杖</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唐代人物砖模具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四神瓦当模具套组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历代瓷瓶形状教学成型模具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青铜器器型成型套组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无极变速拉坯机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捏塑垫布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小泥拍</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木质泥塑套装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陶艺八件套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公开课小罐颜料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陶瓷绘画专用色釉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涂抹式浓缩透明釉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冰裂效果浓缩釉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彩色成型泥浆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陶艺专用蕾丝花边套组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触屏语音高功率高温电窑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幼儿陶艺专用素坯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普通瓷泥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塑钢转台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美术纸筒柜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壁挂式画架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滑轨式作品展示墙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幼儿专用便携式沙画桌（不带支架版）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幼儿无尘画板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桌面工具盒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木工坊</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实木长条板凳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新款大号展示架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展示架1.2米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机床润滑油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大童工具10件套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眼罩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白色修补胶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12件套装雕刻刀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小锯套装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迷你老虎钳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木工刨子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锤子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十字批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一字批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调色盘、画笔组合、颜料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材料包2（无丝印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材料包3（23款小配件）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材料包4（树枝圆片）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大车床圆棒荷木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伐木小车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颜料架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笔架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插孔挂板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功能隔板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九宫盒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融合教室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手功能及思维训练组合箱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髋关节旋转训练器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PT训练床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平衡板（带扶手）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组合皮软垫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儿童滚筒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听力言语训练设备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拓展型--显示屏式电子沟通板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过河石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训练浪桥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万象组合套装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平衡触觉板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刷身刷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摇晃岛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踩踏石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悬浮板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船体套件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卡片式电子沟通板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阳光隧道组合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独脚凳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光面大笼球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认知学习板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感知训练器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彩虹型--显示屏式电子沟通板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团队协力板/4人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奥尔夫乐器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咨询配套茶几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早期行为干预卡片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0-3托幼教室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组合玩具柜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爬爬垫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各式玩具（海洋球、推推车等等）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玩具收纳室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小中大班桌面玩具、益智区、角色区材料</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多彩串珠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ABS颗粒积木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轮子水管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彩色磁力棒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创意拼装条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手持放大镜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双孔3×放大观察箱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牙齿模型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水底探测船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羊皮单排铃鼓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雪铃21铃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双音木鱼</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木制砂球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半球太阳花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大圆孔八角片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多种连接块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工程建构棒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医生急救箱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布娃娃男女组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餐具仿真颜色41件套网袋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面条机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万能积木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建筑拼搭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空心磁力片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竹屋积木组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地板清洁组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科技收款机II代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熨斗架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厨师服4件套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配对螺丝</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齿轮游戏-机器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齿轮游乐园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简易机械原理组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工程剑桥组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108片原木色卡扣积木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398片积木2.2cm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420件建构积木2.2cm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27片盒装镜面积木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bl>
    <w:p>
      <w:pPr>
        <w:pStyle w:val="887"/>
        <w:rPr>
          <w:rFonts w:hint="eastAsia"/>
        </w:rPr>
      </w:pPr>
      <w:r>
        <w:rPr>
          <w:rFonts w:hint="eastAsia" w:ascii="宋体" w:hAnsi="宋体" w:cs="宋体"/>
          <w:color w:val="auto"/>
          <w:sz w:val="24"/>
          <w:highlight w:val="none"/>
        </w:rPr>
        <w:t xml:space="preserve">（二）本项目核心产品为：</w:t>
      </w:r>
      <w:r>
        <w:rPr>
          <w:rFonts w:hint="eastAsia" w:ascii="宋体" w:hAnsi="宋体" w:cs="宋体"/>
          <w:b/>
          <w:color w:val="auto"/>
          <w:sz w:val="24"/>
          <w:highlight w:val="none"/>
          <w:lang w:eastAsia="zh-CN"/>
        </w:rPr>
        <w:t xml:space="preserve">自由组合区角柜、VR系统、户外大型运动组合器械</w:t>
      </w:r>
      <w:r>
        <w:rPr>
          <w:rFonts w:hint="eastAsia" w:ascii="宋体" w:hAnsi="宋体" w:cs="宋体"/>
          <w:color w:val="auto"/>
          <w:sz w:val="24"/>
          <w:highlight w:val="none"/>
        </w:rPr>
        <w:t xml:space="preserve">。</w:t>
      </w:r>
      <w:r/>
    </w:p>
    <w:p>
      <w:pPr>
        <w:rPr>
          <w:rFonts w:hint="eastAsia"/>
        </w:rPr>
      </w:pPr>
      <w:r>
        <w:rPr>
          <w:rFonts w:hint="eastAsia"/>
        </w:rPr>
      </w:r>
      <w:r/>
    </w:p>
    <w:p>
      <w:pPr>
        <w:pStyle w:val="887"/>
        <w:rPr>
          <w:rFonts w:hint="eastAsia"/>
        </w:rPr>
      </w:pPr>
      <w:r>
        <w:rPr>
          <w:rFonts w:hint="eastAsia"/>
        </w:rPr>
      </w:r>
      <w:r/>
    </w:p>
    <w:p>
      <w:pPr>
        <w:pStyle w:val="1065"/>
        <w:spacing w:before="240" w:after="240" w:line="36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四、技术要求</w:t>
      </w:r>
      <w:r/>
    </w:p>
    <w:p>
      <w:pPr>
        <w:ind w:firstLine="420"/>
        <w:keepLines/>
        <w:keepNext/>
        <w:spacing w:line="360" w:lineRule="atLeast"/>
        <w:rPr>
          <w:rFonts w:hint="eastAsia" w:ascii="宋体" w:hAnsi="宋体" w:cs="宋体"/>
          <w:b/>
          <w:bCs/>
          <w:color w:val="auto"/>
          <w:sz w:val="24"/>
          <w:highlight w:val="none"/>
        </w:rPr>
      </w:pPr>
      <w:r>
        <w:rPr>
          <w:rFonts w:hint="eastAsia" w:ascii="宋体" w:hAnsi="宋体" w:cs="宋体"/>
          <w:b/>
          <w:bCs/>
          <w:color w:val="auto"/>
          <w:sz w:val="24"/>
          <w:highlight w:val="none"/>
        </w:rPr>
        <w:t xml:space="preserve">指标按重要性分为“★”、“#”。★代表实质性指标，不满足该指标项将导致投标无效。#代表重要指标。</w:t>
      </w:r>
      <w:r/>
    </w:p>
    <w:tbl>
      <w:tblPr>
        <w:tblStyle w:val="886"/>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5370"/>
        <w:gridCol w:w="2145"/>
      </w:tblGrid>
      <w:tr>
        <w:trPr>
          <w:jc w:val="center"/>
          <w:trHeight w:val="500"/>
        </w:trPr>
        <w:tc>
          <w:tcPr>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实质性指标</w:t>
            </w:r>
            <w:r/>
          </w:p>
        </w:tc>
        <w:tc>
          <w:tcPr>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重要指标</w:t>
            </w:r>
            <w:r/>
          </w:p>
        </w:tc>
        <w:tc>
          <w:tcPr>
            <w:tcW w:w="53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详细技术要求</w:t>
            </w:r>
            <w:r/>
          </w:p>
        </w:tc>
        <w:tc>
          <w:tcPr>
            <w:tcW w:w="21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证明材料要求</w:t>
            </w:r>
            <w:r/>
          </w:p>
        </w:tc>
      </w:tr>
      <w:tr>
        <w:trPr>
          <w:jc w:val="center"/>
          <w:trHeight w:val="500"/>
        </w:trPr>
        <w:tc>
          <w:tcPr>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环形岛台：5200*800*600mm，1、人造石台面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器械柜：2300*1200*500mm，E0级多层板柜体,甲醛含量≤1.2mg/L，具有防水、防烫、防污、防酸、防碱、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单人床：采用实木，表面平整光滑，无结疤，整体结构结实耐用。油漆采用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油漆无颗粒，无气泡，无渣点，颜色均匀。1500*2000mm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收纳柜：2500（长）*2000*650mm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厨房岛台：800*600*2000mm，1、人造石台面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微波炉：900W微波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电热水器：60L，一级能耗，加热功率3300W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隔离室：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1.2米观察床：床头、尾板：采用铝合金扁管加彩色防火板制作。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床框：40*80*1.5mm方管制作。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床面：采用1.2毫米的冷轧ST14钢板一次冲压成型，特别设计的模具冲压，使床板承载能力更佳。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床脚：采用方管喷塑，并配防滑脚套。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护栏：折叠式铝合金护栏，带有锁件。护栏上下支架铁件为全套模具化冲压件。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摇手：，结构采用精密装珠轴承加含油铜罗母，并且有双向打滑限位功能，经过全封闭处理，无灰尘进入。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主体：碳钢制造，经过除油→水洗→除锈→水洗→水洗→表调→磷化→水洗→钝化→烘干→静电喷塑→180℃高温固化→冷却多道工序处理，使其整体不腐蚀，不生锈，不潮湿，经久耐用，并带有杂物架，引流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玩具桌：采用实木，表面平整光滑，无结疤，整体结构结实耐用。油漆采用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800*800*520mm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移动消毒灯：手动灯车，2根紫外线灯管，60W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异形沙发：长3500*宽1400mm；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实木框架，表面经除水、防蛀、烘干处理，编织袋打底，蛇形簧造型，多层高密度高回弹棉布艺。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造型书柜：E0级多层板,甲醛含量≤1.2mg/L，具有防水、防烫、防污、防酸、防碱、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长6000*高2200*深度400mm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保健室：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办公桌：1200*600*760mm,饰面：采用三聚氰胺浸渍胶膜纸，依据GB 18584-2024《室内装饰装修材料木家具中有害物质限量》。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w:t>
            </w:r>
            <w:r>
              <w:rPr>
                <w:rFonts w:hint="eastAsia" w:ascii="宋体" w:hAnsi="宋体" w:cs="宋体"/>
                <w:color w:val="auto"/>
                <w:sz w:val="20"/>
                <w:szCs w:val="20"/>
                <w:highlight w:val="none"/>
                <w:u w:val="none"/>
                <w:lang w:bidi="ar"/>
              </w:rPr>
              <w:t xml:space="preserve"> 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w:t>
            </w:r>
            <w:r>
              <w:rPr>
                <w:rFonts w:hint="eastAsia" w:ascii="宋体" w:hAnsi="宋体" w:cs="宋体"/>
                <w:color w:val="auto"/>
                <w:sz w:val="20"/>
                <w:szCs w:val="20"/>
                <w:highlight w:val="none"/>
                <w:u w:val="none"/>
                <w:lang w:bidi="ar"/>
              </w:rPr>
              <w:t xml:space="preserve"> 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color w:val="auto"/>
                <w:sz w:val="20"/>
                <w:szCs w:val="20"/>
                <w:highlight w:val="none"/>
                <w:u w:val="none"/>
                <w:lang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color w:val="auto"/>
                <w:sz w:val="20"/>
                <w:szCs w:val="20"/>
                <w:highlight w:val="none"/>
                <w:u w:val="none"/>
                <w:lang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color w:val="auto"/>
                <w:sz w:val="20"/>
                <w:szCs w:val="20"/>
                <w:highlight w:val="none"/>
                <w:u w:val="none"/>
                <w:lang w:bidi="ar"/>
              </w:rPr>
              <w:t xml:space="preserve"> 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档案柜（按场地尺寸定制）带锁：</w:t>
            </w:r>
            <w:r>
              <w:rPr>
                <w:rFonts w:hint="eastAsia" w:ascii="宋体" w:hAnsi="宋体" w:cs="宋体"/>
                <w:i w:val="0"/>
                <w:iCs w:val="0"/>
                <w:color w:val="auto"/>
                <w:sz w:val="20"/>
                <w:szCs w:val="20"/>
                <w:highlight w:val="none"/>
                <w:u w:val="none"/>
                <w:lang w:val="en-US" w:eastAsia="zh-CN" w:bidi="ar"/>
              </w:rPr>
              <w:t xml:space="preserve">W</w:t>
            </w:r>
            <w:r>
              <w:rPr>
                <w:rFonts w:hint="eastAsia" w:ascii="宋体" w:hAnsi="宋体" w:eastAsia="宋体" w:cs="宋体"/>
                <w:i w:val="0"/>
                <w:iCs w:val="0"/>
                <w:color w:val="auto"/>
                <w:sz w:val="20"/>
                <w:szCs w:val="20"/>
                <w:highlight w:val="none"/>
                <w:u w:val="none"/>
                <w:lang w:val="en-US" w:eastAsia="zh-CN" w:bidi="ar"/>
              </w:rPr>
              <w:t xml:space="preserve">900×</w:t>
            </w:r>
            <w:r>
              <w:rPr>
                <w:rFonts w:hint="eastAsia" w:ascii="宋体" w:hAnsi="宋体" w:cs="宋体"/>
                <w:i w:val="0"/>
                <w:iCs w:val="0"/>
                <w:color w:val="auto"/>
                <w:sz w:val="20"/>
                <w:szCs w:val="20"/>
                <w:highlight w:val="none"/>
                <w:u w:val="none"/>
                <w:lang w:val="en-US" w:eastAsia="zh-CN" w:bidi="ar"/>
              </w:rPr>
              <w:t xml:space="preserve">D</w:t>
            </w:r>
            <w:r>
              <w:rPr>
                <w:rFonts w:hint="eastAsia" w:ascii="宋体" w:hAnsi="宋体" w:eastAsia="宋体" w:cs="宋体"/>
                <w:i w:val="0"/>
                <w:iCs w:val="0"/>
                <w:color w:val="auto"/>
                <w:sz w:val="20"/>
                <w:szCs w:val="20"/>
                <w:highlight w:val="none"/>
                <w:u w:val="none"/>
                <w:lang w:val="en-US" w:eastAsia="zh-CN" w:bidi="ar"/>
              </w:rPr>
              <w:t xml:space="preserve">400×</w:t>
            </w:r>
            <w:r>
              <w:rPr>
                <w:rFonts w:hint="eastAsia" w:ascii="宋体" w:hAnsi="宋体" w:cs="宋体"/>
                <w:i w:val="0"/>
                <w:iCs w:val="0"/>
                <w:color w:val="auto"/>
                <w:sz w:val="20"/>
                <w:szCs w:val="20"/>
                <w:highlight w:val="none"/>
                <w:u w:val="none"/>
                <w:lang w:val="en-US" w:eastAsia="zh-CN" w:bidi="ar"/>
              </w:rPr>
              <w:t xml:space="preserve">H</w:t>
            </w:r>
            <w:r>
              <w:rPr>
                <w:rFonts w:hint="eastAsia" w:ascii="宋体" w:hAnsi="宋体" w:eastAsia="宋体" w:cs="宋体"/>
                <w:i w:val="0"/>
                <w:iCs w:val="0"/>
                <w:color w:val="auto"/>
                <w:sz w:val="20"/>
                <w:szCs w:val="20"/>
                <w:highlight w:val="none"/>
                <w:u w:val="none"/>
                <w:lang w:val="en-US" w:eastAsia="zh-CN" w:bidi="ar"/>
              </w:rPr>
              <w:t xml:space="preserve">1850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药品柜带锁：W900×D400×H1850mm,1.基材：采用品牌厚度0.6mm以上冷轧钢板冲压而成，产品表面经除油、清洗、去锈、磷化清洗、预处理、清洗、钝化等九道工序处理，采用流行色亚光静电喷塑，高温塑化而成。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四人位沙发：面料：选用麻绒布，依据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视力表灯箱：1. 供中小学卫生室测试学生的视力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2.产品规格：5.0M标准对数视力表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电子体重秤：自动；最大秤量：不小于140kg；身长器测量范围：80-210cm；最小分度值：100g；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身高坐高计：身高测量范围为60-160cm，坐高测量范围为38-100cm,分度值是0.2KG,铝质标杆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课桌椅测量尺：各方向360度完全测量；多用途测量工具，量角器、倾角仪和水平尺三合一；量 程：4×90°(0～360°)；显示分辨率： 0.1°；精 度： 0°和90°≤0.1°；其余≤0.2°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灭火器：8KG干粉灭火器,喷射时间≥14S，喷射距离≥4M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单开门冰箱：类别：单门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制冷剂：R600a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总容量：不小于90L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冷冻室：不小于28L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冷藏室：不小于42L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晨检工作台：材质:ABS高强度原料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规格:三层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颜色:纯白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款式:双抽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尺寸:大号95×53×83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脚轮:静音脚轮</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移动紫外线消毒灯：手动灯车，2根紫外线灯管，60W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班级活动室：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自由组合区角柜：规格206×30×295cm 7件套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1、主框架采用约15mm厚枫木纹</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，甲醛释放量≤0.0</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5mg/m³，符合Enf级，层板采用约15mm厚枫木纹双贴面胶合板，背板约为5mm枫木纹双贴面密度板，甲醛释放量≤0.025mg/m³，符合Enf级</w:t>
            </w:r>
            <w:r>
              <w:rPr>
                <w:rFonts w:hint="eastAsia" w:ascii="宋体" w:hAnsi="宋体" w:cs="宋体"/>
                <w:i w:val="0"/>
                <w:iCs w:val="0"/>
                <w:color w:val="auto"/>
                <w:sz w:val="20"/>
                <w:szCs w:val="20"/>
                <w:highlight w:val="none"/>
                <w:u w:val="none"/>
                <w:lang w:val="en-US" w:eastAsia="zh-CN" w:bidi="ar"/>
              </w:rPr>
              <w:t xml:space="preserve">，符合</w:t>
            </w:r>
            <w:r>
              <w:rPr>
                <w:rFonts w:hint="eastAsia" w:ascii="宋体" w:hAnsi="宋体" w:eastAsia="宋体" w:cs="宋体"/>
                <w:i w:val="0"/>
                <w:iCs w:val="0"/>
                <w:color w:val="auto"/>
                <w:sz w:val="20"/>
                <w:szCs w:val="20"/>
                <w:highlight w:val="none"/>
                <w:lang w:val="en-US" w:eastAsia="zh-CN" w:bidi="ar"/>
              </w:rPr>
              <w:t xml:space="preserve">GB/T39600-2021</w:t>
            </w:r>
            <w:r>
              <w:rPr>
                <w:rFonts w:hint="eastAsia" w:ascii="宋体" w:hAnsi="宋体" w:cs="宋体"/>
                <w:i w:val="0"/>
                <w:iCs w:val="0"/>
                <w:color w:val="auto"/>
                <w:sz w:val="20"/>
                <w:szCs w:val="20"/>
                <w:highlight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、柜体内部格局分为三层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板材裁切侧边、端面、拼接缝隙全域采用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厨房：规格约；65×160×31cm 4件套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背板约为5mm枫木纹双贴面密度板，甲醛释放量符合GB/T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厨房主题图案UV打印工艺处理，颜色饱满，图案附着力好，生动立体，不易褪色，无异味，无结块，且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5、采用直径33mm加大旋钮设计，易于儿童使用，并明显标识指针位置</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6、洗涤台顶板设有直径18.5cm的圆形孔洞，用于放置不锈钢盆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6593"/>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玩具柜（带轮）：尺寸：W80×D30×H84cm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1、侧板、顶板、上饰板采用约18mm厚枫木纹双贴面松木，松木实木板甲醛释放量符合GB/T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2、层板、中竖板、底板、踢脚板采用约16mm厚枫木纹双贴面刨花板，饰面刨花板甲醛释放量符合GB/T 39600-2021标准要求，甲醛释放量≤0.025mg/m³，符合Enf级；背板约为5mm厚枫木纹双贴面密度板，饰面密度板甲醛释放量符合GB/T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pStyle w:val="887"/>
              <w:numPr>
                <w:ilvl w:val="0"/>
                <w:numId w:val="0"/>
              </w:numPr>
              <w:rPr>
                <w:rFonts w:hint="default"/>
                <w:highlight w:val="none"/>
                <w:lang w:val="en-US" w:eastAsia="zh-CN"/>
              </w:rPr>
            </w:pPr>
            <w:r>
              <w:rPr>
                <w:rFonts w:hint="eastAsia"/>
                <w:highlight w:val="none"/>
                <w:lang w:val="en-US" w:eastAsia="zh-CN"/>
              </w:rPr>
              <w:t xml:space="preserve">5、滚轮主要尺寸[轮径≥20.0mm，轮宽-双联轮脚轮≥5.0mm，外角倒圆半径≥1.5mm]、外观、装配、抗冲击性能、动载荷、滚动阻力、旋转阻力、静载荷等符合QB/T 4765-2014标准。</w:t>
            </w:r>
            <w:r/>
          </w:p>
        </w:tc>
        <w:tc>
          <w:tcPr>
            <w:tcW w:w="2145" w:type="dxa"/>
            <w:vAlign w:val="center"/>
            <w:textDirection w:val="lrTb"/>
            <w:noWrap w:val="false"/>
          </w:tcPr>
          <w:p>
            <w:pPr>
              <w:pStyle w:val="887"/>
              <w:rPr>
                <w:rFonts w:hint="eastAsia"/>
                <w:highlight w:val="none"/>
                <w:lang w:val="en-US" w:eastAsia="zh-CN"/>
              </w:rPr>
            </w:pPr>
            <w:r>
              <w:rPr>
                <w:rFonts w:hint="eastAsia"/>
                <w:highlight w:val="none"/>
                <w:lang w:val="en-US" w:eastAsia="zh-CN"/>
              </w:rPr>
            </w:r>
            <w:r/>
          </w:p>
        </w:tc>
      </w:tr>
      <w:tr>
        <w:trPr>
          <w:jc w:val="center"/>
          <w:trHeight w:val="149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儿童书柜（带轮）：尺寸：W83×D30×H80cm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1、侧板、竖板、底板、踢脚板采用约18mm厚枫木纹双贴面刨花板，甲醛释放量符合GB/T 39600-2021标准要求，甲醛释放量≤0.025mg/m³，符合Enf级；层板采用约5mm厚枫木纹双贴面密度板，饰面密度板甲醛释放量符合GB/T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、书柜采用错层设计，方便图书的分类摆放及取阅，共设4层，各层间竖隔板为流线弧形设计；</w:t>
            </w:r>
            <w:r/>
          </w:p>
          <w:p>
            <w:pPr>
              <w:numPr>
                <w:ilvl w:val="0"/>
                <w:numId w:val="3"/>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highlight w:val="none"/>
                <w:lang w:val="en-US" w:eastAsia="zh-CN"/>
              </w:rPr>
              <w:t xml:space="preserve">5、滚轮主要尺寸[轮径≥20.0mm，轮宽-双联轮脚轮≥5.0mm，外角倒圆半径≥1.5mm]、外观、装配、抗冲击性能、动载荷、滚动阻力、旋转阻力、静载荷等符合QB/T 4765-2014标准。</w:t>
            </w:r>
            <w:r>
              <w:rPr>
                <w:rFonts w:hint="eastAsia" w:ascii="宋体" w:hAnsi="宋体" w:eastAsia="宋体" w:cs="宋体"/>
                <w:i w:val="0"/>
                <w:iCs w:val="0"/>
                <w:color w:val="auto"/>
                <w:sz w:val="20"/>
                <w:szCs w:val="20"/>
                <w:highlight w:val="none"/>
                <w:u w:val="none"/>
                <w:lang w:val="en-US" w:eastAsia="zh-CN" w:bidi="ar"/>
              </w:rPr>
              <w:t xml:space="preserve">  </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811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美工材料柜（带轮）：尺寸：W80×D30×H80cm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、采用踢脚板设计，既增加了稳定性，又可以防止杂物进入柜底</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pStyle w:val="887"/>
              <w:numPr>
                <w:ilvl w:val="0"/>
                <w:numId w:val="0"/>
              </w:numPr>
              <w:rPr>
                <w:rFonts w:hint="eastAsia"/>
                <w:highlight w:val="none"/>
                <w:lang w:val="en-US" w:eastAsia="zh-CN"/>
              </w:rPr>
            </w:pPr>
            <w:r>
              <w:rPr>
                <w:rFonts w:hint="eastAsia"/>
                <w:highlight w:val="none"/>
                <w:lang w:val="en-US" w:eastAsia="zh-CN"/>
              </w:rPr>
              <w:t xml:space="preserve">7、滚轮主要尺寸[轮径≥20.0mm，轮宽-双联轮脚轮≥5.0mm，外角倒圆半径≥1.5mm]、外观、装配、抗冲击性能、动载荷、滚动阻力、旋转阻力、静载荷等符合QB/T 4765-2014标准。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597"/>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长桌（小班）：桌面尺寸：120×60×49cm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87"/>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default" w:ascii="宋体" w:hAnsi="宋体" w:eastAsia="宋体" w:cs="宋体"/>
                <w:i w:val="0"/>
                <w:iCs w:val="0"/>
                <w:color w:val="auto"/>
                <w:sz w:val="20"/>
                <w:szCs w:val="20"/>
                <w:highlight w:val="none"/>
                <w:lang w:val="en-US" w:eastAsia="zh-CN" w:bidi="ar"/>
              </w:rPr>
            </w:r>
            <w:r/>
          </w:p>
        </w:tc>
      </w:tr>
      <w:tr>
        <w:trPr>
          <w:jc w:val="center"/>
          <w:trHeight w:val="3147"/>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长桌（中班）：桌面尺寸：120×60×52cm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87"/>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8654"/>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长桌（大班）：桌面尺寸：120×60×55cm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87"/>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87"/>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186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方桌（小班）：桌面尺寸：60×60×49cm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87"/>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881"/>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方桌（中班）：桌面尺寸：约60×60×52cm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87"/>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684"/>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方桌（大班）：桌面尺寸：约60×60×60cm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87"/>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numPr>
                <w:ilvl w:val="0"/>
                <w:numId w:val="0"/>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500"/>
        </w:trPr>
        <w:tc>
          <w:tcPr>
            <w:tcW w:w="1080" w:type="dxa"/>
            <w:vAlign w:val="center"/>
            <w:textDirection w:val="lrTb"/>
            <w:noWrap/>
          </w:tcPr>
          <w:p>
            <w:pPr>
              <w:jc w:val="center"/>
              <w:keepLines w:val="0"/>
              <w:keepNext w:val="0"/>
              <w:widowControl/>
              <w:rPr>
                <w:rFonts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w:t>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（壁挂式）茶杯架：生活区岛台带茶杯架、饮水机架，大理石台面，按照甲方定制；水杯格尺寸：约9×14×10cm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1、顶板、侧板、底板、中竖板及中层板采用约15mm厚枫木纹双贴面胶合板，其他竖板及层板采用9mm厚枫木纹双贴面胶合板，甲醛释放量符合GB/T 39600-2021标准要求，甲醛释放量≤0.025mg/m³，符合Enf级；背板为约5mm厚枫木纹双贴面密度板，甲醛释放量符合GB/T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4、挂墙设计，充分利用空间茶杯柜为对开门设计，每扇门板设计4个约为W107×H235mm长方形镂空孔洞，加装纱网，既能通风透气又能防止蚊蝇异物等进入，保持安全卫生与清洁，美观实用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内部分为6行8列共48格，48个收纳格，满足一个班级人数使用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现场按照使用方要求定制，投标时出具承诺函</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实物投影展示台：1摄像头像素≥800万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2.摄像头支持自动对焦，A4大小拍摄幅面，1080P动态视频预览达到30帧/秒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3.整机采用圆弧式设计，无锐角；托板可承重≥3kg，同时托板采用磁吸吸附式机构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4.展示托板正上方具备LED补光灯补光灯开关采用触摸按键设计，同时可通过视频展台软件直接控制开关；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5.摄像头部分进行外壳防护等级试验，防护等级达到IP4×级别</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w:t>
            </w:r>
            <w:r>
              <w:rPr>
                <w:rFonts w:hint="eastAsia" w:ascii="宋体" w:hAnsi="宋体" w:cs="宋体"/>
                <w:i w:val="0"/>
                <w:iCs w:val="0"/>
                <w:color w:val="auto"/>
                <w:sz w:val="20"/>
                <w:szCs w:val="20"/>
                <w:highlight w:val="none"/>
                <w:u w:val="none"/>
                <w:lang w:val="en-US" w:eastAsia="zh-CN" w:bidi="ar"/>
              </w:rPr>
              <w:t xml:space="preserve">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.支持对展台画面进行实时批注、放大、缩小、旋转、自适应、冻结画面等操作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.具备图像增强功能，可自动裁剪背景并增强文字显示，</w:t>
            </w:r>
            <w:r>
              <w:rPr>
                <w:rFonts w:hint="eastAsia" w:ascii="宋体" w:hAnsi="宋体" w:cs="宋体"/>
                <w:i w:val="0"/>
                <w:iCs w:val="0"/>
                <w:color w:val="auto"/>
                <w:sz w:val="20"/>
                <w:szCs w:val="20"/>
                <w:highlight w:val="none"/>
                <w:u w:val="none"/>
                <w:lang w:val="en-US" w:eastAsia="zh-CN" w:bidi="ar"/>
              </w:rPr>
              <w:t xml:space="preserve">在不改变图像原始语义信息的前提下，提升视觉观感、突出有效目标区域、弱化干扰信息，</w:t>
            </w:r>
            <w:r>
              <w:rPr>
                <w:rFonts w:hint="eastAsia" w:ascii="宋体" w:hAnsi="宋体" w:eastAsia="宋体" w:cs="宋体"/>
                <w:i w:val="0"/>
                <w:iCs w:val="0"/>
                <w:color w:val="auto"/>
                <w:sz w:val="20"/>
                <w:szCs w:val="20"/>
                <w:highlight w:val="none"/>
                <w:u w:val="none"/>
                <w:lang w:val="en-US" w:eastAsia="zh-CN" w:bidi="ar"/>
              </w:rPr>
              <w:t xml:space="preserve">使文档画面更清晰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.具备图像、文本或动态等多种情景模式，适应不同展示内容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.二维码扫码：支持扫一扫功能，将书本上的二维码放入扫描框内即可自动扫描，并进入系统浏览器获取二维码的链接内容，可获取电子教学资源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.支持故障自动检测，在软件无法出现展台拍摄画面时，自动出现检测链接，检测“无画面”的原因，并给出引导性解决方案可判断硬件连接、显卡驱动、摄像头占用、软件版本等问题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塑封机：尺寸: 460×145×90mm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温度范围: 85°C-145°C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过塑速度: ≤ 300mm/60s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过膜厚度: 0.6mm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多孔散热、快捷退膜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手提药箱：尺寸：355×200×220mm 14英寸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材质：铝合金、中纤版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颜色：银色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净重：1.56KG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滚筒洗衣机：洗涤容量（kg）：3.5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电机类型：变频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能效等级：1级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温度调节：最高95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洗手台顶柜：E0级多层板,甲醛含量≤1.2mg/L，具有防水、防烫、防污、防酸、防碱、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：锁具、导轨和门铰；带消毒柜格子，根据现场定制；长4000*高600*深度400mm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自然角架：采用实木，表面平整光滑，无结疤，整体结构结实耐用。油漆采用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洗衣机台盆架：1、人造石台面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3、含不锈钢水池、龙头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4、长1450*高800*深度600mm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420件室内建构积木：长方体：6*6*3cm，24粒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长方体：6*3*3cm，48粒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长方体：12*3*3cm，24粒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长方体：24*3*3cm，12粒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长方体：24*14*1.5cm，6粒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多变形：18*18*3cm，2粒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圆柱体：6*3*3cm，32粒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圆柱体：12*3*3cm，16粒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长方形60*6*1.5cm，6粒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异性18*9*3cm，2粒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弧形12*12*3cm，4粒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异形9*3*3cm，8粒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正方体6*6*1.5cm，24粒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长方形12*6*1.5cm，24粒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长方形24*6*1.5cm，12粒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桥形24*12*3cm，4粒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Y形24*16*3cm，2粒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异形11*4*3cm，2粒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教师办公桌：1400*600*760mm饰面：采用三聚氰胺浸渍胶膜纸，依据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w:t>
            </w:r>
            <w:r>
              <w:rPr>
                <w:rFonts w:hint="eastAsia" w:ascii="宋体" w:hAnsi="宋体" w:eastAsia="宋体" w:cs="宋体"/>
                <w:i w:val="0"/>
                <w:iCs w:val="0"/>
                <w:color w:val="auto"/>
                <w:sz w:val="20"/>
                <w:szCs w:val="20"/>
                <w:highlight w:val="none"/>
                <w:u w:val="none"/>
                <w:lang w:val="en-US" w:eastAsia="zh-CN" w:bidi="ar"/>
              </w:rPr>
              <w:t xml:space="preserve">床垫和沙发抗引燃特性的 评定第1部分：阴燃的香烟》、HJ 2547-2016《环境标志产品技术要求家具》、QB/T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师幼收纳柜：3000*2200*400mm，根据现场情况定制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户外活动区：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小皮球：直径17cm；软体环保塑料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儿童标准篮球：直径20—20.5cm,重量340-370克（4号）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儿童标准足球：直径约19cm，重量320-360g（4号）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球筐（球车）：配有滚轮，可移动；材质为金属铁，静电喷塑；110×63×85cm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木质篮球架：尺寸：90×83×180cm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门：120×52×80cm（内含球网）材质为烤漆钢管、牛津布和特多龙无结网。管径32mm,壁厚0.8mm，粉末喷雾防锈处理,使用足厚强刚性管材，所有转角均为圆角设计保护幼儿防刮蹭受伤。300D牛津布结实耐用不易变形，涤纶无结网小网孔不易绊脚和漏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围栏：150×36×60cm（内含支撑底座）材质为烤漆钢管、牛津布和特多龙无结网。管径20mm,壁厚1mm,粉末喷雾防锈处理,使用足厚强刚性管材，所有转角均为圆角设计保护幼儿防刮蹭受伤。300D牛津布结实耐用不易变形，涤纶无结网小网孔不易绊脚和漏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独轮小推车：工程塑料；85×34×40cm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体操凳1：130×24×20cm；工程塑料制品；直条型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弹跳球：直径16cm；材质为橡胶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羊角球：直径45cm；红绿黄蓝四色；PVC</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脚转球：套圈塑料味工程塑料；每套十只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拱形门1：78×19×80cm；工程塑料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体操圈：直径50cm；材质为工程塑料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袋鼠跳：防雨布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梅花桩（树桩）：工程塑料；直径19cm；高40cm；8支一套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平衡板：河流平衡板；12块一套；高级塑料；每块35×12×5cm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跳床1：直径一米；单人跳床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高跷：规格，10×10（圆柱）材质工程塑料2个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体操垫：两联可折叠；60×60×10cm表面为牛津布，内高密度海绵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套圈：大象套圈；24件一套；工程塑料，无毒无味无害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飞盘：塑料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沙包：棉质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体操棒：45cm；材质为塑料；有声体操棒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小哑铃：材质为塑料；有声哑铃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拉力器：环保PE塑料；双人用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气球伞：直径5M；布料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黄包车：名称：黄包车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威力摇摆车：名称：威力摇摆车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炫风车：名称：炫风车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三轮脚踏车：名称：三轮脚踏车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三轮赛车：名称：三轮赛车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双人手推装卸车：名称：双人手推装卸车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平衡车：14寸，二、车架与材质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材质：阳极氧化 6061 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轮组与操控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轮胎类型：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发泡免充气轮：无需打气，耐扎，适合小区 / 公园硬地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车把：360° 可转 + 限位（防侧翻），高度可调；防滑橡胶握把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转向角度：约 45°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幼儿手滚车：名称：幼儿手滚车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脚动扭扭车：名称：脚动扭扭车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小推车：名称：小推车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货架：长度5米带防雨布定制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1223件户外综合套装碳化积木：1. 三角中空  33.5×31.5×10×16cm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矩形中空1  16×16×10cm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矩形中空2  24×16×10cm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矩形中空3  32×16×10cm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矩形中空4  48×16×10cm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矩形中空5  56×28×14cm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正方形  10×10×2.5cm 松 碳化+水性清漆 140块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正方形  10×10×2.5cm 松 碳化+水性清漆 100块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长方形  20×10×2.5cm 松 碳化+水性清漆 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长方形  20×10×2.5cm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长方形  20×10×5cm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长方形  20×10×5cm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长方形  40×10×2.5cm 松 碳化+水性清漆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长方形  40×10×2.5cm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长方形  60×10×2.5cm 松 碳化+水性清漆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 长方形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 长方形（开槽）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 长方形  100×10×2.5cm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24.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 方柱  20×10×10cm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 圆柱积木  Φ2.5×5cm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27. 圆柱积木  Φ2.5×10cm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28. 圆柱积木  Φ2.5×15cm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29. 圆柱积木  Φ2.5×20cm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30 圆柱积木  Φ2.5×25cm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 圆柱积木  Φ2.5×30cm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32. 圆柱积木  Φ10×20cm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33. 圆柱积木  Φ10×40cm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34. 直角三角形  40×20×2.5cm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35. 等腰三角形  39×20×2.5cm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36. 扇形积木  半径为20cm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37. 半圆积木  20×10×2.5cm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 四分之一圆环积木  42×15×2.5cm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39. 半圆环积木  30×15×2.5cm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40. 三叉路  42×30×2.5cm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 Y型  40×30×2.5cm 松 碳化+水性清漆 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42. 小单元积木  20×4×10cm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43. 中号单元积木  70×4×10cm 松 碳化+水性清漆 24块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44. 大号单元积木  120×4×10cm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45. 大号半单元积木  120×4×5cm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46. 烟囱  20×4×10cm 松 碳化+   水性清漆 1块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47. 脚垫  20×4×10cm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48. 带木条屋板  130×11×1.5cm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49. 屋板  130×11×1.5cm 松 碳化+   水性清漆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50. 圆环积木（小）直径20cm，内圆直径5cm，厚度2.5cm 松碳化+ 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51. 圆环积木（卡口）直径30cm，内圆直径5cm，厚度2.5cm 松碳化+水性清漆2块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52. 屋顶板1  70×30×4cm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53. 屋顶板2  100×10×4cm 松 碳化+   水性清漆 2块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42片侧板积木：7个不同的形状，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松木碳化</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碳化户外安米吉拼插积木569片：1. 木片： 10×2.5×10cm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木砖： 10×5×10cm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正方体：10×10×10cm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长方体：10×10×20cm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三角形：10×10×10cm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圆柱积木：10×10×10cm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圆锥：10×10×20cm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圆形：20×20×2.5cm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20×20×5cm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半圆形：20×10×2.5cm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连接杆：2.5×2.5×5cm 60套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2.5×2.5×10cm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2.5×2.5×15cm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2.5×2.5×25cm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2.5×2.5×30cm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角色包-情景车辆6款 木制情景小车6个，分别是警车14×6.2×7.4cm，救护车14×6.2×7.4cm，校车：14×6.2×7.4cm,出租车13.7×6.2×7.4cm，消防车13.7×6.2×7.4cm，推土机13.7×6.2×7cm每个小车热转印印刷对应卡通图案   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手推车</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长：60cm，宽：40cm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，高度：10cm，扶手高度：60cm</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以上规格均为cm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箱式拉车 长50cm，宽35cm，高15cm（松木）</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平板拉车</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长65cm，宽45cm，高10cm（花松木）</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碳化积木866片：1.正方形（厚）10×10×5cm 松木 碳化+清漆 120块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2.正方形（薄）10×10×2.5cm 松木 碳化+清漆 166块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3.长方形（厚）20×10×5cm 松木 碳化+清漆 200块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4.长方形（薄）20×10×2.5cm 松木 碳化+清漆 180块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5.长方形（薄）40×10×2.5cm 松木 碳化+清漆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6.长方形（薄）60×10×2.5cm 松木 碳化+清漆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7.长方形（薄）80×10×2.5cm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8.大长方形（有槽）80×10×2.5cm 松木 碳化+清漆 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9.大长方形（有槽）120×10×2.5cm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10.半环形50×25×5cm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11.半圆 30×15×5cm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12.1/4圆形 15×15×5cm 松木 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13.三角形 20×10×5cm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14.三角形 30×30×5cm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15.小短圆柱 10×5×5cm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16.小短圆柱 20×5×5cm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17.大短圆柱 20×10×10cm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18.小长圆柱 40×5×5cm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19.大长圆柱 40×10×10cm 松木 碳化+清漆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20.锥形 10×10×15cm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21.四分之一圆环积木 40×15×2.5cm 松化碳化+清漆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22.Y型 40×30×2.5cm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23.三叉路 42×30×2.5cm 松木 碳化+清漆 3块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碳化户外百变拼插积木828片：1. 正方形  90块 10×10×5cm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正方形  220块 10×10×2.5cm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长方形  45块 20×10×5cm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长方形  120块 20×10×2.5cm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长方形  40块 40×10×2.5cm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长方形  50块 60×10×2.5cm 3孔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长方形  30块 80×10×2.5cm 4孔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圆棒  28块 Φ2.5×10cm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圆棒  80块 Φ2.5×20cm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圆棒  80块 Φ2.5×40cm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圆柱  20块 Φ10×10cm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圆柱  10块 Φ10×20cm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Y形积木  1块 40×30×2.5cm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1/2圆环  2块 直径30×15×2.5cm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长条板（原木板）12块 100×10×2.5cm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户外游戏体能梯-方梯：16件套炭烧梯规格：平衡梯规格：180×35×7cm，4个平衡木板：180×20×2.5，6个  高低架：53×50（80—100）cm各3个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40件套运动组合碳化梯子：共计40件套，松木碳化，多层板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人字梯 尺寸：120cm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尺寸：195cm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尺寸：150cm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1.2m平衡板 尺寸：120×20×2.5cm 数量：8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1.5m平衡板 尺寸：150×20×2.5cm 数量：6</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尺寸：30cm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尺寸：80cm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平板车 尺寸：60×60cm 数量：2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大型实木螺母组合900件：1.弧形连接短板：600*100*25mm，海洋板 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2.弧形连接长板：800*100*25mm，海洋板 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3.转角：100*100mm，海洋板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4.连接短板：400*100*25mm，海洋板 56个；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5.连接中长板：600*100*25mm，海洋板 72个；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6.连接长板：800*100*25mm，海洋板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7.连接加长板：1000*100*25mm，海洋板 16个；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8.轮：直径150mm，海洋板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9.滑轮：外直径115mm，塑料+金属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10.桶：直径200mm，塑料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11.绳子：6*6*1000mm，尼龙 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12.长螺丝：79*103mm，塑料 310个；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13.螺母：72*16mm，塑料 310个。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569块安米吉拼插积木：木片：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木砖：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正方体：宽10*厚10长10cm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宽10*厚10长10cm（切成三角形）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宽20*厚10长20cm（切成三角形）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高10cm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高20cm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高30cm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高40cm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圆锥：直径10cm 高20cm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6cm 60根； 11cm 30根；      16cm 30根；21cm 20根；      26cm 20根；31cm 20根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手推车：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长：60cm 宽：40cm，高度：10cm，扶手高度：60cm  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箱式拉车：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长50cm，宽35cm，高15cm（松） 1辆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长65cm，宽45cm，高10cm（松）  1辆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户外大型运动组合器械：规格：1100*600*580cm  材质：一、塑料件:采用食品级LLDPE工程塑料，经造粒工艺将颜料完全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钢管：采用热镀锌钢管和扣件连接工艺，产品铁件经整体加工成型后经除油、除锈、中和、磷化、钝化、抛丸等前处理,表面平滑，不易生锈。表面喷涂户外环保聚酯粉末涂料，抗紫外线，色泽艳丽，不易脱落。整套产品铁件采用的规格分别是钢管Φ114、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三、滑梯及钻桶类：采用食品级LLDPE工程塑料，经造粒工艺将颜料完全溶入颗粒中、磨粉机加工、滚塑工艺成型，符合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四、</w:t>
            </w:r>
            <w:r>
              <w:rPr>
                <w:rFonts w:hint="eastAsia" w:ascii="宋体" w:hAnsi="宋体" w:eastAsia="宋体" w:cs="宋体"/>
                <w:i w:val="0"/>
                <w:iCs w:val="0"/>
                <w:color w:val="auto"/>
                <w:sz w:val="20"/>
                <w:szCs w:val="20"/>
                <w:highlight w:val="none"/>
                <w:u w:val="none"/>
                <w:lang w:val="en-US" w:eastAsia="zh-CN" w:bidi="ar"/>
              </w:rPr>
              <w:t xml:space="preserve">平台：冷轧钢板浸塑；井字型承重加固设计，承载力不低于450公斤。冲孔机一次成型，平台孔径大小一致、无锐利毛边、无变型，浸塑表面有软接触功能对使用人员形成保护层。工艺过程加入抗紫外线、抗风化稳定剂，保证5年以上不褪色、不锈蚀、不剥离。浸塑平台盐雾试验时间≥2100h，外观无明显变化，保护等级达到10级，符合GB/T 10125-2021标准要求。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五</w:t>
            </w:r>
            <w:r>
              <w:rPr>
                <w:rFonts w:hint="eastAsia" w:ascii="宋体" w:hAnsi="宋体" w:eastAsia="宋体" w:cs="宋体"/>
                <w:i w:val="0"/>
                <w:iCs w:val="0"/>
                <w:color w:val="auto"/>
                <w:sz w:val="20"/>
                <w:szCs w:val="20"/>
                <w:highlight w:val="none"/>
                <w:u w:val="none"/>
                <w:lang w:val="en-US" w:eastAsia="zh-CN" w:bidi="ar"/>
              </w:rPr>
              <w:t xml:space="preserve">、支杆类:采用的钢管Φ60、Φ48、Φ32、Φ25。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焊接采用氩弧焊及CO2气体保护焊。整体加工成型后经除油、磷化、抛丸处理,表面平滑，不生锈。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六</w:t>
            </w:r>
            <w:r>
              <w:rPr>
                <w:rFonts w:hint="eastAsia" w:ascii="宋体" w:hAnsi="宋体" w:eastAsia="宋体" w:cs="宋体"/>
                <w:i w:val="0"/>
                <w:iCs w:val="0"/>
                <w:color w:val="auto"/>
                <w:sz w:val="20"/>
                <w:szCs w:val="20"/>
                <w:highlight w:val="none"/>
                <w:u w:val="none"/>
                <w:lang w:val="en-US" w:eastAsia="zh-CN" w:bidi="ar"/>
              </w:rPr>
              <w:t xml:space="preserve">、附件类：盖帽采用铝合金压铸成型；螺丝采用不锈钢材质（符合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七</w:t>
            </w:r>
            <w:r>
              <w:rPr>
                <w:rFonts w:hint="eastAsia" w:ascii="宋体" w:hAnsi="宋体" w:eastAsia="宋体" w:cs="宋体"/>
                <w:i w:val="0"/>
                <w:iCs w:val="0"/>
                <w:color w:val="auto"/>
                <w:sz w:val="20"/>
                <w:szCs w:val="20"/>
                <w:highlight w:val="none"/>
                <w:u w:val="none"/>
                <w:lang w:val="en-US" w:eastAsia="zh-CN" w:bidi="ar"/>
              </w:rPr>
              <w:t xml:space="preserve">、绳网类:采用￠14mm航海绳加钢丝、￠6mm航海绳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跑酷游戏组合：三角蹬（浅咖色）：尺寸：800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三角蹬（深咖色）：尺寸：800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平衡木-H30：尺寸：600 * 300 * 300 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平衡木-H45：尺寸：800 * 300 * 450mm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折叠防护地垫：尺寸：2000 * 800 * 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跳箱：H10尺寸：800 * 600 * 100mm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H20尺寸：800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H30尺寸：800 * 600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H40尺寸：800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跳马：第四级尺寸：800 * 300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第三级尺寸：800 * 400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第二级尺寸：800 * 500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第一级尺寸：800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大圆环：尺寸：1000 * 400 * 500mm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半圆柱-H30：尺寸600 * 400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弧形斜坡（绿色）：尺寸：800 * 600 * 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体能训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练架：尺寸（含把手和轮子）：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1320 * 800 * 1020mm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材质：铁，PU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梯形墩：材质：1200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大体操垫：200*100*10cm，表面为牛津布，内高密度海绵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小体操垫：120*60*10cm，表面为牛津布，内高密度海绵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桌面式涂鸦板：52.5×30×65cm，实木架构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桌面式多功能涂鸦板：53.5×30×64cm，实木架构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沙盘游戏：54.3*53.5*15.5cm，供货时需要通过甲方认可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户外小厨房：过家家类玩具，仿木质，包括橱柜一套，餐桌一套，餐椅两张，洗菜池一套，款式自选，供货时需要通过甲方认可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户外音乐墙：打击乐*4，尺寸分别为140*64*95cm，115*60*96cm，82*12*150cm，200*20*150cm，乐拍鼓一套（四个鼓），单鼓尺寸为35*40*50cm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户外游戏课程基地：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活动实施方案：1.规格：封面157g铜版纸，附哑膜，内页80g双胶纸,长18.5cm×宽26cm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幼儿园户外活动整体方案：1.规格：封面157g铜版纸，内页80g双胶纸，长18.5cm×宽26cm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安全使用手册：1.规格：封面157g铜版纸，内页80g双胶纸，长18.5cm×宽26cm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装箱明细表：1.规格：长42cm×宽28.5cm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分类图卡：1.规格：长21cm×宽14cm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3.数量：34张/套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3.数量：12张/套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合格证：1.规格：长25cm×宽12cm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基础建构1单元：1.规格：长16cm×宽16cm×高16cm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基础建构2单元-C形：1.规格：长32cm×宽16cm×高16cm2.材质：塑料ABS3.数量：3件为1组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基础建构2单元-L形：1.规格：长32cm×宽16cm×高16cm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基础建构3单元：1.规格：长48cm×宽16cm×高16cm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基础建构蓄水件：1.规格：长32cm×宽16cm×高32cm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基础水道1单元：1.规格：长23cm×宽12cm×高5cm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基础水道2单元：1.规格：长39cm×宽12cm×高5cm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基础水道3单元：1.规格：长55cm×宽12cm×高5cm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基础水道-弯道：1.规格：长42cm×宽12cm×高8cm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基础木板1单元：1.规格：长16cm×宽16cm×高3cm2.材质：松深度炭化木3.数量：1个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基础木板2单元：1.规格：长32cm×宽16cm×高3cm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基础木板3单元：1.规格：长48cm×宽16cm×高3cm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基础木板4单元：1.规格：长64cm×宽16cm×高3cm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基础木板5单元：1.规格：长96cm×宽16cm×高3cm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阻水件：1.规格：长14cm×宽14cm×高11cm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水车：1.规格：长18.8cm×宽14cm×高15.6cm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夹沙件：1.规格：长29.4cm×宽12.6cm×高15.1cm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钻筛沙件：1.规格：把手：长20cm×宽5cm，直径2cm；漏斗：边长12.5cm、深10.5cm2.材质：塑料ABS3.数量：1个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沙铲（小）：1.规格：铲柄长12.5cm，直径2.5cm，铲柄把手长5cm，外径2.5cm，内径1.9cm，前端沙铲长10.2cm，宽8.5cm，深4cm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沙铲（大）：1.规格：铲柄长23cm，直径2.5cm，铲柄把手长5cm，外径2.5cm，内径1.9cm，前端沙铲长13.5cm，宽10cm，深5cm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沙水桶：1.规格：桶口长15cm×宽15cm，桶底长10.6cm×宽10.6cm，桶深14.5cm，桶提手直径2.5cm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6分水管（1m）：1.规格：直径2.5cm，长100cm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6分水管（2m）：1.规格：直径2.5cm，长200cm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6分水管（5m）：1.规格：直径2.5cm，长500cm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6分通水接口（备用件）：1.规格：直径4cm，长6cm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标准双向奶嘴接口：1.规格：直径2.5cm，长4.8cm2.材质：金属+塑料ABS3.数量：1个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标准万用接口：1.规格：直径3.5cm，长6cm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分流配件：1.规格：长12cm×宽5cm×高3cm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小球：1.规格：直径3cm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基础标配储水盆：1.规格：长56.5cm×宽37cm×高18cm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储水盆（小）：1.规格：长52.5cm×宽32.5cm×高9.5cm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沙城堡1：1.规格：长10.5cm×宽10.5cm×高7.8cm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沙城堡2：1.规格：长15.3cm×宽15.3cm×高7.8cm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沙城堡3：1.规格：长19.5cm×宽19.5cm×高7.8cm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手刮沙工具1：1.规格：三边长分别为：21cm、18.2cm、12.1cm，厚1.7cm2.材质：松深度炭化木3.数量：1个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手刮沙工具2：1.规格：三边长分别为：21cm、18.2cm、12.1cm，厚1.7cm，长边有锯齿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手刮沙工具3：1.规格：三边长分别为：21cm、18.2cm、12.1cm，厚1.7cm，长边有锯齿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擀泥棒：1.规格：长32.4cm，把手直径2cm，擀泥部分直径4cm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平泥工具：1.规格：外围长度分别为：16cm、16cm、11cm，厚1.2cm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敲泥工具：1.规格：总长18.8cm，正四棱锥边长9.6cm，锥顶磨平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翻泥坯盖（小）：1.规格：长4.8cm×宽4.8cm×高2.4cm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翻泥坯（小）：1.规格：长9.8cm×宽7.3cm×高4.6cm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翻泥坯盖（大）：1.规格：长9.8cm×宽4.8cm×高2.4cm2.材质：松深度炭化木3.数量：1个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翻泥坯（大）：1.规格：长14.5cm×宽7cm×高4.9cm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画框：1.规格：长48cm×宽41.2cm×高8cm，支架：长14cm×宽14cm×高2cm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2.材质：松深度炭化木+亚克力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小推车：1.规格：长75.5cm×宽45cm×高59cm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鲸鱼推车：1.规格：长80cm×宽44.8cm×高59.5cm，不含压水机的高度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压水泵：1.规格：长56cm×宽15cm×高9cm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园艺水枪：1.规格：枪口直径5cm，总长度19.5cm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喷泉旋转件：1.规格：总高度9.5cm，直径19cm，含接口直径21cm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课程：不低于3次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沙水区：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沙水区组合套装：200*340*230cm，多变水循环，包括戏水台，戏水箱</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玩水管道：5CM直径管子53支，弯头27个，三通12个，球阀（单阀）11个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沙水区收纳柜：长1600深400高800mm，E0级多层板柜体,甲醛含量≤1.2mg/L，具有防水、防烫、防污、防酸、防碱、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公共区：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布艺窗帘：1.面料材质与克重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成分：共聚型阻燃聚酯纤维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厚度：≥0.4mm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遮光与功能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遮光率：≥80%（午睡室/教室建议≥90%）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无镂空、无易脱落小配件（防儿童误食/缠绕）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燃烧性能：执行 GB/T 17591-2025《阻燃织物》室内装饰用织物 B1 级（难燃）；水洗不少于25次，干洗不少于10次，仍符合上述燃烧性能等级要求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4.垂直燃烧测试：GB/T 5455-2014：损毁长度≤150mm，续燃时间≤5s，阴燃时间≤5s，无熔融滴落；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.包含配套罗马杆</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百叶窗帘：窗洞深度：内装≥6cm（含轨道 + 叶片翻转空间）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百叶深度（框厚）：60–150mm（影响防雨 / 通风）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叶片宽度：50mm，包含配套五金件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1、一、二楼公共卫生间（弧形）：11.5*3m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2、教室卫生间：(1.95*1.45+3.35*1.45)*6*3m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3、传达室：1.2*1.5m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75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餐车：</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不锈钢保温，三格，30°-110°智能控温，整机尺寸1220*700*800mm，餐盒尺寸550*330*150mm，额定功率2000W/220V</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财务室：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保险柜：800×480×450mm,sss国标认证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碎纸机：四级保密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8张同碎</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铁皮柜：850*390*1800mm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副园长室：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  ，饰面：采用三聚氰胺浸渍胶膜纸，依据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30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会议桌：W3500×1D400×H750mm，饰面：采用三聚氰胺浸渍胶膜纸，依据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园长室：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4+2人位沙发：面料：采用≥2.0mm厚牛皮，依据GB/T 16799-2018《家具用皮革》；QB/T 4199-2011《皮革 防霉性能测试方法》； </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 </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 HJ 507-2009《环境标志产品技术要求 皮革和合成革》标准；涂层粘着牢度≥10N/10mm，耐光性≥5级，耐折牢度50000次无裂纹，撕裂力≥100N，挥发性有机物（VOC）≤10mg/kg，禁用偶氮染料未检出；游离甲醛≤20mg/kg，皮革防霉性能：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脚架：采用喷涂金属脚架，经酸洗磷化等处理，表面喷涂工艺，符合人体工程学。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角几：600*600*450mm；饰面：采用三聚氰胺浸渍胶膜纸，依据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大会议室：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会议桌：W8000×D2600×H750mm,饰面：采用三聚氰胺浸渍胶膜纸，依据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会议投屏系统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传输延迟≤90ms，帧率达到20fps-30fps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 可以仅对一个窗口进行无线投屏，其他窗口内容不做展示，保证数据的隐私</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传屏之后，在屏幕上部中间部分显示工具栏，可以进行基本的操作（具体包括触摸回传控制，勿扰模式，暂停投屏等）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 传屏开启勿扰模式之后，不允许其他人在进行传屏，沉浸模式，避免在使用过程中，用户经常被其他人传屏顶替掉，造成使用中断</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 可通过传屏工具栏暂停投屏功能进行画面冻结暂停，投屏电脑可自主进行其他操作，不影响整机的冻结画面内容显示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 可通过软件可自动发现近场可投屏的会议设备，选择即可投屏，无需手动配对。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.支持投屏记忆功能，单台设备关联代码后，自动发现并关联同网段下其他设备。</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.支持检测系统盘占用空间较大的文件，并支持将大文件一键迁移到其他盘符，从而释放系统盘空间占用，提升设备运行速度。</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.支持终端安全检测与响应</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w:t>
            </w:r>
            <w:r>
              <w:rPr>
                <w:rFonts w:hint="eastAsia" w:ascii="宋体" w:hAnsi="宋体" w:cs="宋体"/>
                <w:i w:val="0"/>
                <w:iCs w:val="0"/>
                <w:color w:val="auto"/>
                <w:sz w:val="20"/>
                <w:szCs w:val="20"/>
                <w:highlight w:val="none"/>
                <w:u w:val="none"/>
                <w:lang w:val="en-US" w:eastAsia="zh-CN" w:bidi="ar"/>
              </w:rPr>
              <w:t xml:space="preserve">本机、</w:t>
            </w:r>
            <w:r>
              <w:rPr>
                <w:rFonts w:hint="eastAsia" w:ascii="宋体" w:hAnsi="宋体" w:eastAsia="宋体" w:cs="宋体"/>
                <w:i w:val="0"/>
                <w:iCs w:val="0"/>
                <w:color w:val="auto"/>
                <w:sz w:val="20"/>
                <w:szCs w:val="20"/>
                <w:highlight w:val="none"/>
                <w:u w:val="none"/>
                <w:lang w:val="en-US" w:eastAsia="zh-CN" w:bidi="ar"/>
              </w:rPr>
              <w:t xml:space="preserve">外接设备进行病毒检查，针对病毒文件进行杀毒处理，实时查找病毒</w:t>
            </w:r>
            <w:r>
              <w:rPr>
                <w:rFonts w:hint="eastAsia" w:ascii="宋体" w:hAnsi="宋体" w:cs="宋体"/>
                <w:i w:val="0"/>
                <w:iCs w:val="0"/>
                <w:color w:val="auto"/>
                <w:sz w:val="20"/>
                <w:szCs w:val="20"/>
                <w:highlight w:val="none"/>
                <w:u w:val="none"/>
                <w:lang w:val="en-US" w:eastAsia="zh-CN" w:bidi="ar"/>
              </w:rPr>
              <w:t xml:space="preserve">木马威胁</w:t>
            </w:r>
            <w:r>
              <w:rPr>
                <w:rFonts w:hint="eastAsia" w:ascii="宋体" w:hAnsi="宋体" w:eastAsia="宋体" w:cs="宋体"/>
                <w:i w:val="0"/>
                <w:iCs w:val="0"/>
                <w:color w:val="auto"/>
                <w:sz w:val="20"/>
                <w:szCs w:val="20"/>
                <w:highlight w:val="none"/>
                <w:u w:val="none"/>
                <w:lang w:val="en-US" w:eastAsia="zh-CN" w:bidi="ar"/>
              </w:rPr>
              <w:t xml:space="preserve">，发现威胁马上自动清理阻断，还能追溯病毒来源，确保设备安全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并支持恢复或删除近7日查杀的病毒文件。</w:t>
            </w:r>
            <w:r/>
          </w:p>
          <w:p>
            <w:pPr>
              <w:pStyle w:val="887"/>
              <w:rPr>
                <w:rFonts w:hint="default"/>
                <w:highlight w:val="none"/>
                <w:lang w:val="en-US"/>
              </w:rPr>
            </w:pPr>
            <w:r>
              <w:rPr>
                <w:rFonts w:hint="eastAsia" w:ascii="宋体" w:hAnsi="宋体" w:cs="宋体"/>
                <w:i w:val="0"/>
                <w:iCs w:val="0"/>
                <w:color w:val="auto"/>
                <w:sz w:val="20"/>
                <w:szCs w:val="20"/>
                <w:highlight w:val="none"/>
                <w:u w:val="none"/>
                <w:lang w:val="en-US" w:eastAsia="zh-CN" w:bidi="ar"/>
              </w:rPr>
              <w:t xml:space="preserve">10.可智能识别画面中色情、恐怖、暴力、游戏等违规内容与风险元素，支持自定义告警提示语。系统监测到违规画面时即刻触发预警，同时支持按设备、画面分类检索、回看历史违规记录。</w:t>
            </w:r>
            <w:r/>
          </w:p>
        </w:tc>
        <w:tc>
          <w:tcPr>
            <w:tcW w:w="2145"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会议音箱：功能特点：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1.采用1只6.5寸低音喇叭单元和1只1.4寸压缩驱动高音单元；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2.采用洒点喷漆，单元</w:t>
            </w:r>
            <w:r>
              <w:rPr>
                <w:rFonts w:hint="eastAsia" w:ascii="宋体" w:hAnsi="宋体" w:cs="宋体"/>
                <w:i w:val="0"/>
                <w:iCs w:val="0"/>
                <w:color w:val="auto"/>
                <w:sz w:val="20"/>
                <w:szCs w:val="20"/>
                <w:highlight w:val="none"/>
                <w:u w:val="none"/>
                <w:lang w:val="en-US" w:eastAsia="zh-CN" w:bidi="ar"/>
              </w:rPr>
              <w:t xml:space="preserve">喇叭</w:t>
            </w:r>
            <w:r>
              <w:rPr>
                <w:rFonts w:hint="eastAsia" w:ascii="宋体" w:hAnsi="宋体" w:eastAsia="宋体" w:cs="宋体"/>
                <w:i w:val="0"/>
                <w:iCs w:val="0"/>
                <w:color w:val="auto"/>
                <w:sz w:val="20"/>
                <w:szCs w:val="20"/>
                <w:highlight w:val="none"/>
                <w:u w:val="none"/>
                <w:lang w:val="en-US" w:eastAsia="zh-CN" w:bidi="ar"/>
              </w:rPr>
              <w:t xml:space="preserve">声音清晰；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3.多边形斜面箱体，正面透声网孔；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4.二分频设计；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1.阻抗：8Ω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2.频响：80Hz-19KHz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3.额定功率：120W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4.峰值功率：480W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5.灵敏度（1W/1m）：90dB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6.最大声压级：118dB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7.覆盖角度：(H)80°(V)50°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8.高音：1.4"高音*1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9.低音：6.5"低音*1</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音箱壁挂支架：音箱壁挂支架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专业功放：功能特点：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设备采用1U机箱设计，具有体积小、重量轻等特点；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1.输出功率：立体声功率8Ω：200W*2，立体声功率4Ω：300W*2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2.音频输入输出：2路XLR卡侬母接口、2路XLR卡侬公接口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3.输出接口：2路欧姆接口/接线柱</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4.网口：2路网口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5.转换速率：40V/μs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5.信噪比：＞80dB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6.阻尼系数：＞350@8Ω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8.总谐失真：＜0.01%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9.输入阻抗：10KΩ非平衡、20KΩ平衡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10.供电：AC200-240V、50/60Hz</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前级音频处理器：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1.处理器≥4核，主频≥2.0GHz。</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.具有矩阵增益调节功能，每个输入通道参与混音的增益可调，增益调节范围等同或优于-72dB到12dB。</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.音频处理器具有跨平台软件，可运行于windows操作系统或</w:t>
            </w:r>
            <w:r>
              <w:rPr>
                <w:rFonts w:hint="eastAsia" w:ascii="宋体" w:hAnsi="宋体" w:cs="宋体"/>
                <w:i w:val="0"/>
                <w:iCs w:val="0"/>
                <w:color w:val="auto"/>
                <w:sz w:val="20"/>
                <w:szCs w:val="20"/>
                <w:highlight w:val="none"/>
                <w:u w:val="none"/>
                <w:lang w:val="en-US" w:eastAsia="zh-CN" w:bidi="ar"/>
              </w:rPr>
              <w:t xml:space="preserve">其他</w:t>
            </w:r>
            <w:r>
              <w:rPr>
                <w:rFonts w:hint="eastAsia" w:ascii="宋体" w:hAnsi="宋体" w:eastAsia="宋体" w:cs="宋体"/>
                <w:i w:val="0"/>
                <w:iCs w:val="0"/>
                <w:color w:val="auto"/>
                <w:sz w:val="20"/>
                <w:szCs w:val="20"/>
                <w:highlight w:val="none"/>
                <w:u w:val="none"/>
                <w:lang w:val="en-US" w:eastAsia="zh-CN" w:bidi="ar"/>
              </w:rPr>
              <w:t xml:space="preserve">国产操作系统</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6.依托智能算法实现噪声抑制，针对不同应用场景设置不少于四档语音降噪档位，可有效降低并消除语言扩声系统内的非人声类噪声信号，充分保障语音传输的清晰度与可懂度（降噪能力不低于 40dB）。</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default"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default"/>
                <w:highlight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音频控制系统：软件具备智能音箱管理功能：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1、具有音箱终端管理、播放任务管理、音箱权限管理等管理功能，为各语音采集提供数掘接口服务；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2、提供系统运行编程功能；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3、实时监测系统中各个音箱的运行状态；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4、能根据用户密码权限的方式远程登陆主机，并对主机进行有效管理；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5、能通过软件对系统中的设备进行控制；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6、支持TTS文本转语音功能，支持中文和英文；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7、平台集成全数字会议系统软件模块、反馈抑制器软件模块、数字音频处理器软件模块、数字专业功放软件模块、音箱处理器软件模块，各模块打开呈现在状态栏窗口，可快速管理和调用，并具备自动检测音频处理器、反馈抑制器、数字功放、音箱处理器设备硬件版本、软件版本功能；检测到有新版本时提供更新提示，可对硬件进行升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真分集UHF段一拖四无线会议（长咪杆）：1.基于数字U段的传输技术，采用国产主控芯片，传输距离≥80米，接收机具有≥4路平衡输出、≥1路非平衡混音输出；具有混响、均衡、智能静音、音频加密、功率调节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2.具有≥1台接收主机、≥4台桌面式鹅颈咪杆发射机；频率范围等同或优于470MHz-510MHz、540MHz-590MHz、640MHz-690MHz、807MHz-830MHz四个频段使用。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.具有多档位混响调节功能，混响效果≥15625个，效果占比、回响延时、混响幅度调节，三种音效各具有≥25档调节方式。</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.具有多频段均衡调节功能，均衡调节≥2197种，麦克风均衡器调节功能，具有高、中、低音三种调节档位，每种效果支持≥13档调节。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.具有ID码防串扰功能，采用32位唯一ID码，用于接收和发射配对，收发ID码必须相同才能对码，能够有效防止相同频率的信号相互串台。</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.接收机具有≥4个2.2英寸的TFT-LCD显示屏；发射机具有≥0.96英寸LCD显示屏，能够显示频率信息、音频加密状态、功率挡位、静音状态、电量格数信息。</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.桌面式发射机配置≥1颗锂电池，使用时长≥15小时；设备电池孔位≥4个，支持拓展电池数量，通过拓展连续使用时长≥60小时。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w:t>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前面板配备不少于 4 块 LCD 显示屏、不少于 4 个编码调节旋钮</w:t>
            </w:r>
            <w:r>
              <w:rPr>
                <w:rFonts w:hint="eastAsia" w:ascii="宋体" w:hAnsi="宋体" w:eastAsia="宋体" w:cs="宋体"/>
                <w:i w:val="0"/>
                <w:iCs w:val="0"/>
                <w:color w:val="auto"/>
                <w:sz w:val="20"/>
                <w:szCs w:val="20"/>
                <w:highlight w:val="none"/>
                <w:u w:val="none"/>
                <w:lang w:val="en-US" w:eastAsia="zh-CN" w:bidi="ar"/>
              </w:rPr>
              <w:t xml:space="preserve">、不少于 4 个实体频率扫描按键、不少于 4 个实体红外对频按键、不少于 1 个电源开关按键，以及不少于 1 个集成红外发射管与对频状态指示功能的二合一指示灯；后面板配备不少于 1 个 LINE-OUT 输出接口、不少于 4 个 XLR-OUT 输出接口、不少于 4 个 BNC 接口、不少于 1 个 DC 供电接口。桌面式发射机配备不少于 1 个 TYPE-C 充电接口、不少于 1 个 3.5mm 耳麦输入接口、不少于 1 块 LCD 显示屏、不少于 1 个电源开关按键、不少于 1 个触摸式麦克风开关按键。</w:t>
            </w:r>
            <w:r/>
          </w:p>
        </w:tc>
        <w:tc>
          <w:tcPr>
            <w:tcW w:w="214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投标时</w:t>
            </w:r>
            <w:r>
              <w:rPr>
                <w:rFonts w:hint="eastAsia" w:ascii="宋体" w:hAnsi="宋体" w:eastAsia="宋体" w:cs="宋体"/>
                <w:i w:val="0"/>
                <w:iCs w:val="0"/>
                <w:color w:val="auto"/>
                <w:sz w:val="20"/>
                <w:szCs w:val="20"/>
                <w:highlight w:val="none"/>
                <w:u w:val="none"/>
                <w:lang w:val="en-US" w:eastAsia="zh-CN" w:bidi="ar"/>
              </w:rPr>
              <w:t xml:space="preserve">提供</w:t>
            </w:r>
            <w:r>
              <w:rPr>
                <w:rFonts w:hint="eastAsia" w:ascii="宋体" w:hAnsi="宋体" w:cs="宋体"/>
                <w:i w:val="0"/>
                <w:iCs w:val="0"/>
                <w:color w:val="auto"/>
                <w:sz w:val="20"/>
                <w:szCs w:val="20"/>
                <w:highlight w:val="none"/>
                <w:u w:val="none"/>
                <w:lang w:val="en-US" w:eastAsia="zh-CN" w:bidi="ar"/>
              </w:rPr>
              <w:t xml:space="preserve">实物</w:t>
            </w:r>
            <w:r>
              <w:rPr>
                <w:rFonts w:hint="eastAsia" w:ascii="宋体" w:hAnsi="宋体" w:eastAsia="宋体" w:cs="宋体"/>
                <w:i w:val="0"/>
                <w:iCs w:val="0"/>
                <w:color w:val="auto"/>
                <w:sz w:val="20"/>
                <w:szCs w:val="20"/>
                <w:highlight w:val="none"/>
                <w:u w:val="none"/>
                <w:lang w:val="en-US" w:eastAsia="zh-CN" w:bidi="ar"/>
              </w:rPr>
              <w:t xml:space="preserve">设备图佐证</w:t>
            </w:r>
            <w:r/>
          </w:p>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DSP数字4进1出反馈抑制器：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.支持声学校正按钮，按下可以预测声反馈回路。提供≥高/中/低三档输入电平调节。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.具有≥2个独立通道，每通道均支持等同或宽于0-99级数字音量调节及静音开关功能。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.基于啸叫检测门限更新法，具有移频+陷波反馈抑制功能，可以使用≥48个可编程陷波点。</w:t>
            </w:r>
            <w:r/>
          </w:p>
          <w:p>
            <w:pPr>
              <w:pStyle w:val="887"/>
              <w:rPr>
                <w:rFonts w:hint="eastAsia"/>
                <w:highlight w:val="none"/>
              </w:rPr>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处理器主频≥1.3GHz；搭载≥2 路独立反馈抑制通道，单通道均支持 AFC 自适应反馈抑制，传声增益提升≥6dB，可独立处理不同声源（主讲 / 观众席拾音），规避多麦场景交叉啸叫。</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电源时序器：功能特点：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1.8通道电源口顺序开启逆序关闭,每路输出带指示灯；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2.具有1路短路触发接口，可以通过短接信号控制开关；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1.额定输出电压：交流220V，50Hz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2.可控制电源：8路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3.每路动作延时时间：1秒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4.单路最大承受无功功率：2200W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5.最大承受无功总功率:6000W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配电柜：1、配电柜输入电压为交流单相220V+7%，工频50HZ，功率不低于5KW，输出电压：220V+10%，安装方式：壁挂式；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机柜：22U</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大报告厅：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座椅：1.面料：选用麻绒布，耐酸汗渍变色、沾色不低于3-4级,无异味，甲醛含量≤20mg/kg，可分解致癌芳香胺染料未检出，防霉性能不低于1级，符合</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24346-2009《纺织品 防霉性能的评价》标准。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座、背外壳：高密度曲木板材经高温压一次成型。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海绵：采用高弹海绵，用抽纱或丝绒覆面，表面有防腐化和防变型保护膜，回弹性高，耐用度高，防碎，防氧化，密度≥46kg/m3，回弹率≥45%，75%压缩永久变形≤5%，湿热老化后拉伸强度≥100KPa，干热老化后拉伸强度≥100KPa，符合GB/T 10802-2023《通用软质聚醚型氨酯泡沫塑料》。</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3.扶手架及站脚：采用3.0mm钢板焊制，表面经酸洗、磷化、防腐、防锈、静电喷塑等化学处理，外贴布面装饰板，加粗横管确保受压之下不产生变形，安心放心。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4.扶手盖：原木扶手外涂环保油漆，经过五底三面油漆工序，木纹纹理清晰，色泽均匀、光滑耐用；挥发性有机化合物（VOC）含量≤50g/L，可溶性重金属含量 可溶性铅（Pb）≤8mg/kg、可溶性镉(Cd)≤2mg/kg、可溶性铬(Cr)≤3mg/kg、可溶性汞(Hg)≤2mg/kg，多环芳烃总和含量≤10mg/kg，漆膜硬度3H,符合GB 18581-2020《木器涂料中有害物质限量》、</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5.功能特征：整体设计按照人体工程学设计，椅背海绵两侧有连续的突起状背托、腰托造型（有效缓解长时间保持坐姿而产生的疲劳感）。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附折叠收藏式写字板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主席台桌：2100*720*760mm1、饰面：采用木皮，依据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报告台：1、饰面：采用木皮，依据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更衣间柜子：W800×D400×H2000mm，饰面：采用三聚氰胺浸渍胶膜纸，依据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会议投屏系统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传输延迟≤90ms，帧率达到20fps-30fps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 可以仅对一个窗口进行无线投屏，其他窗口内容不做展示，保证数据的隐私</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传屏之后，在屏幕上部中间部分显示工具栏，可以进行基本的操作（具体包括触摸回传控制，勿扰模式，暂停投屏等）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 传屏开启勿扰模式之后，不允许其他人在进行传屏，沉浸模式，避免在使用过程中，用户经常被其他人传屏顶替掉，造成使用中断</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 可通过传屏工具栏暂停投屏功能进行画面冻结暂停，投屏电脑可自主进行其他操作，不影响整机的冻结画面内容显示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 可通过软件可自动发现近场可投屏的会议设备，选择即可投屏，无需手动配对。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.支持投屏记忆功能，单台设备关联代码后，自动发现并关联同网段下其他设备。</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.支持检测系统盘占用空间较大的文件，并支持将大文件一键迁移到其他盘符，从而释放系统盘空间占用，提升设备运行速度。</w:t>
            </w:r>
            <w:r/>
          </w:p>
          <w:p>
            <w:p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.支持终端安全检测与响应</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w:t>
            </w:r>
            <w:r>
              <w:rPr>
                <w:rFonts w:hint="eastAsia" w:ascii="宋体" w:hAnsi="宋体" w:cs="宋体"/>
                <w:i w:val="0"/>
                <w:iCs w:val="0"/>
                <w:color w:val="auto"/>
                <w:sz w:val="20"/>
                <w:szCs w:val="20"/>
                <w:highlight w:val="none"/>
                <w:u w:val="none"/>
                <w:lang w:val="en-US" w:eastAsia="zh-CN" w:bidi="ar"/>
              </w:rPr>
              <w:t xml:space="preserve">本机、</w:t>
            </w:r>
            <w:r>
              <w:rPr>
                <w:rFonts w:hint="eastAsia" w:ascii="宋体" w:hAnsi="宋体" w:eastAsia="宋体" w:cs="宋体"/>
                <w:i w:val="0"/>
                <w:iCs w:val="0"/>
                <w:color w:val="auto"/>
                <w:sz w:val="20"/>
                <w:szCs w:val="20"/>
                <w:highlight w:val="none"/>
                <w:u w:val="none"/>
                <w:lang w:val="en-US" w:eastAsia="zh-CN" w:bidi="ar"/>
              </w:rPr>
              <w:t xml:space="preserve">外接设备进行病毒检查，针对病毒文件进行杀毒处理，实时查找病毒</w:t>
            </w:r>
            <w:r>
              <w:rPr>
                <w:rFonts w:hint="eastAsia" w:ascii="宋体" w:hAnsi="宋体" w:cs="宋体"/>
                <w:i w:val="0"/>
                <w:iCs w:val="0"/>
                <w:color w:val="auto"/>
                <w:sz w:val="20"/>
                <w:szCs w:val="20"/>
                <w:highlight w:val="none"/>
                <w:u w:val="none"/>
                <w:lang w:val="en-US" w:eastAsia="zh-CN" w:bidi="ar"/>
              </w:rPr>
              <w:t xml:space="preserve">木马威胁</w:t>
            </w:r>
            <w:r>
              <w:rPr>
                <w:rFonts w:hint="eastAsia" w:ascii="宋体" w:hAnsi="宋体" w:eastAsia="宋体" w:cs="宋体"/>
                <w:i w:val="0"/>
                <w:iCs w:val="0"/>
                <w:color w:val="auto"/>
                <w:sz w:val="20"/>
                <w:szCs w:val="20"/>
                <w:highlight w:val="none"/>
                <w:u w:val="none"/>
                <w:lang w:val="en-US" w:eastAsia="zh-CN" w:bidi="ar"/>
              </w:rPr>
              <w:t xml:space="preserve">，发现威胁马上自动清理阻断，还能追溯病毒来源，确保设备安全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并支持恢复或删除近</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日查杀的病毒文件。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#2</w:t>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10.可智能识别画面中色情、恐怖、暴力、游戏等违规内容与风险元素，支持自定义告警提示语。系统监测到违规画面时即刻触发预警，同时支持按设备、画面分类检索、回看历史违规记录。</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投标时提供功能截图</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带轮长条折叠桌：尺寸：80cm×34cm×100cm；饰面：采用三聚氰胺浸渍胶膜纸，依据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折叠椅：采用碳管钢材加厚钢板 海绵靠垫加固横梁防锈喷塑稳固承重 加宽椅面防滑耐磨脚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教工之家：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音箱：12MM中纤板；PVC贴皮频率响应：50Hz-20KHz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灵敏度：93dB(1M/1W)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最大声压级：115dB SPL PEAK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标称阻抗：4Ω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低频单元：1×8"(100磁25芯）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高频单元：3寸纤维盆高音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额定功率：60W（AES）</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功放：输出功率：200W(8Ω 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失    真：＜0.5% 1KHz 1/3额定功率；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 敏 度：线路≦400MV；话筒≦20MV；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信 噪 比：≧74dB；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串音衰减：≦40dB；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 ±3dB；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电源电压：AC220V 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产品净重：3.8KG；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产品尺寸：360mm长×285mm宽×100mm高（最大）；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包装尺寸：450mm长×315mm宽×114mm高；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蓝牙播放，LED显示，带USB SD 左右声道平衡调节，音乐独立高低音独立调节，2路话筒输入，话筒高低音独立调节，4只大功率场效应管放大，过载过流短路的保护，大功率环形变压器供电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无线话筒：</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采用数字 U 段传输技术，基于 pi/4-DQPSK 调制方式，搭载国产主控芯片，无线传输距离不低于 80 米；接收机配备不少于 2 路平衡输出接口、不少于 1 路非平衡混音输出接口，支持混响、均衡、智能静音、音频加密、发射功率调节功能。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系统配置不少于 1 台接收主机、不少于 2 只手持发射机；支持的工作频率范围覆盖 470MHz-510MHz、540MHz-590MHz、640MHz-690MHz、807MHz-830MHz 四个频段，频率覆盖范围等同或优于上述区间。</w:t>
            </w:r>
            <w:r/>
          </w:p>
          <w:p>
            <w:pPr>
              <w:pStyle w:val="887"/>
              <w:rPr>
                <w:rFonts w:hint="eastAsia"/>
                <w:highlight w:val="none"/>
              </w:rPr>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.支持智能自动静音功能：麦克风发生跌落、抛掷动作时，可实现毫秒级自动静音，避免冲击杂音；设备可实时监测姿态状态，静置不少于 5 秒自动静音，静置不少于 8 分钟自动关机。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打击乐器：（原木铃鼓6寸、原木木鱼、单响筒、13摇铃、早午板、沙蛋、响板、三角铁、沙锤、打棒、带柄碰铃、双响筒、环保铃）各6个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人体追踪无线录像设备：尺寸:长70.5mm，宽44.2mm，高32.8mm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防水裸机20米，加防水壳60米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麦克风3个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立体声收音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重量：146克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快拆设计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显示屏：前置显示屏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1.46 英寸331ppi342× 342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 cd/m’ 最大亮度（典型）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背面显示屏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2.5英寸326 ppi 400 × 712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调音台：话筒输入:10路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幻象电源:48V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耗电功率:55W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293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音频处理器会议矩阵4*4：1.处理器≥4核，主频≥2.0GHz。</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.具有矩阵增益调节功能，每个输入通道参与混音的增益可调，增益调节范围等同或优于-72dB到12dB。</w:t>
            </w:r>
            <w:r/>
          </w:p>
          <w:p>
            <w:pPr>
              <w:pStyle w:val="887"/>
              <w:rPr>
                <w:rFonts w:hint="default"/>
                <w:highlight w:val="none"/>
                <w:lang w:val="en-US"/>
              </w:rPr>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依托智能算法实现噪声抑制，针对不同应用场景设置不少于</w:t>
            </w:r>
            <w:r>
              <w:rPr>
                <w:rFonts w:hint="eastAsia" w:ascii="宋体" w:hAnsi="宋体" w:cs="宋体"/>
                <w:i w:val="0"/>
                <w:iCs w:val="0"/>
                <w:color w:val="auto"/>
                <w:sz w:val="20"/>
                <w:szCs w:val="20"/>
                <w:highlight w:val="none"/>
                <w:u w:val="none"/>
                <w:lang w:val="en-US" w:eastAsia="zh-CN" w:bidi="ar"/>
              </w:rPr>
              <w:t xml:space="preserve">四</w:t>
            </w:r>
            <w:r>
              <w:rPr>
                <w:rFonts w:hint="eastAsia" w:ascii="宋体" w:hAnsi="宋体" w:eastAsia="宋体" w:cs="宋体"/>
                <w:i w:val="0"/>
                <w:iCs w:val="0"/>
                <w:color w:val="auto"/>
                <w:sz w:val="20"/>
                <w:szCs w:val="20"/>
                <w:highlight w:val="none"/>
                <w:u w:val="none"/>
                <w:lang w:val="en-US" w:eastAsia="zh-CN" w:bidi="ar"/>
              </w:rPr>
              <w:t xml:space="preserve">档语音降噪档位，可有效降低并消除语言扩声系统内的非人声类噪声信号，充分保障语音传输的清晰度与可懂度（降噪能力不低于 40dB）。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立式话筒架：可调高度29-219cm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桌面话筒架：18×15×15，可调节高度0-7cm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沙发：W2030×D835×H850mm；面料：选用麻绒布，依据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柜子：4000*2700*400mm；饰面：采用三聚氰胺浸渍胶膜纸，依据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吧台：1、人造石台面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3、8000*1400*400mm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教师餐厅：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2.4m圆桌：D2400*760mm,1、饰面：采用木皮，依据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方桌：800*800*750mm，采用实木，表面平整光滑，无结疤，整体结构结实耐用。油漆采用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组合柜：2400*400*2000mm，饰面：采用三聚氰胺浸渍胶膜纸，依据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一桌四椅（木质）：新中式，800*800*750mm，采用实木，表面平整光滑，无结疤，整体结构结实耐用。油漆采用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双门消毒柜：容量不小于910L，3层，臭氧，红外消毒，1160*500*1630mm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图书室：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装饰柜：E0级多层板,甲醛含量≤1.2mg/L，具有防水、防烫、防污、防酸、防碱、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异形沙发：长4200*宽1400mm；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1、面料：皮，经防虫、防腐、分层、鞣制等数十道专业工序处理，耐磨性强、透气性好。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2、泡棉：圣诺盟高回弹泡棉，座垫密度大于35kg/m3，回弹率≥40%，外衬丝棉。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3、框架：内框架采用东北落叶松实木框架，外嵌胡桃木框架，经去皮、烘干、防虫防腐处理，木材含水量≤13%。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4、打底：高弹力弹簧+尼龙绷带。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5、沙发脚：采用钢制沙发脚。                                          6、甲醛含量：达到国家E0级环保标准甲醛含量≤9mg/100g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生活坊：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作品展览柜：1、尺寸：80×30×85.5cm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厨房专用材料收纳柜：1、尺寸：120×40×60cm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材料储物柜：整体组合柜的尺寸：400×40×260 cm（宽×深×高）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包含：食育微波炉柜×2，食育门板-厨具×1，通用两层柜×5，食育门板-饼干×1，美劳教室-美劳储格柜×1，食育门板-面条×1，食育烤箱柜×1，食育门板-调料×1，蛋糕饰顶×1，通用门板-枫木×2，食育门板-围裙×1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（1）食育微波炉柜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2、表面耐磨、耐污、耐划伤，易清洁，无透底现象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（2）食育门板-厨具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（3）通用两层柜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（4）食育门板-饼干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（5）储格柜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（6）食育门板-面条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（7）食育烤箱柜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尺寸：160×40×140cm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（8）食育门板-调料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（9）蛋糕饰顶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尺寸：78×1.5×54cm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1、采用约15mm厚环保三聚氰胺双贴面胶合板，甲醛释放量符合GB/T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（10）通用门板-枫木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尺寸：80×58.2cm×1.8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1、采用约18mm厚环保枫木纹双贴面刨花板，甲醛释放量符合GB/T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（11）食育门板-围裙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综合操作台：尺寸：120×60×60cm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1、框体采用约18mm厚枫木纹双贴面胶合板，台面采用约12mm厚桦木纹康贝特，饰面胶合板甲醛释放量符合GB/T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4、采用踢脚板设计，即增加稳定性，又可以防止杂物进入柜底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PVC封边条封边，耐干热性，耐磨性，耐开裂性(耐龟裂性)≥2级，耐老化性，耐冷热循环性，耐光色牢度(灰色样卡)≥4级、有害物质限量[甲醛释放量≤1.5mg/L，氯乙烯单体未检出，可迁移元素(可溶性重金属)（铅、镉、铬、汞、砷、钡、锑、硒）未检出，邻苯二甲酸酯（DBP、BBP、DEHP、DNOP、DINP、DIDP）总量≤0.1%，多溴联苯(PBB)未检出，多溴联苯醚(PBDE)未检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方凳：尺寸：H35cm，椅座25×25cm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2、椅架表面金属烤漆处理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3、本款产品可堆叠收纳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边台：1、材质：橡木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2、尺寸：120cm×40cm×60cm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3、采用橡木，表面平整光滑，无结疤，整体结构结实耐用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，防水效果好，教师食育课必备品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弧形岛台：桌面大理石，尺寸 6000*550*600mm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带4个水池操作台：桌面大理石，3个幼儿用（316不锈钢），1成人（316不锈钢）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石磨：1、尺寸：170×270mm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粮食碾：1、尺寸：180×550mm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电蒸锅：1、规格：34.5×34.1×36.5cm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2、蒸笼面积：10L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3、额定功率：1500W电压：220V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4、材质：不锈钢（三层不锈钢）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非遗传统面塑材料(非食用）：12色一套，每包100g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非遗面塑支架托板：橡木板100×100mm,81孔插板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非遗面塑工具：15件工具一套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编织收纳筐：1、尺寸规格：340×230×140mm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2、旧色复古色系，用于工具材料收纳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铂金硅胶揉面垫：1、规格：60×40cm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2、材质：硅胶、玻纤布用于桌面垫子，揉面、做饼干等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竹制盖帘：1、材质：天然竹，尼龙包边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2、尺寸：≥直径390mm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3、用途：传统收纳、置物板，可盛放面食作品等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花馍梳子：1、材质：塑料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2、尺寸：≥长90mm宽50mm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3、用途：花馍辅助工具，用于装饰花馍，在面食上制作肌理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幼儿专用爆米花车：1、外形尺寸：27×31cm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2、功率：≥500w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幼儿专用棉花糖机：1、外形尺寸：25×25×19cm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2、功率：≥400w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幼儿专用全自动多功能烘焙箱：1、容量：≥38L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2、功率：≥1800w，电压：220v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3、产品重量：≥7KG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4、尺寸：535×395×355mm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封口机套装：1、尺寸：190×20×24cm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2、材质：PET+ABS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3、说明：多功能封口机，安全快捷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裱花工具：裱花托50只，裱花棒1只，裱花剪1只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裱花练习装饰材料：常规配套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分料碗：1、产品名称；小碗四个装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2、产品材质；小麦秸秆+食品级PP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3、产品重量；大饭碗452g（含包装） 小碗282g（含包装）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手动打蛋器：1、手动打蛋器规格：18×3.5cm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3、不锈钢选材，A级抛光+磨光工艺，双重质感，光滑不伤手，用于打散鸡蛋液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厨房电子称：1、厨房电子称，材质：不锈钢拉丝</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2、规格：18×14×1.7cm，电子显示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搅拌铲：规格：4.5×28cm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面粉筛：1、规格：12cm×12cm×16cm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3、手柄，用于筛面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烤盘：1、规格：22×17×4.5cm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3、烤制饼干、蛋卷等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6连蛋糕模具：1、规格：26×18cm，圈圈直径7.5cm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棉手套：1、规格：30×15cm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2、材质：棉、隔热棉、无纺布耐高温230度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锡纸：1、规格：23×10cm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2、材质：8001铝箔用与烧烤烘焙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裱花台转盘：规格：面板直径29cm高9cm；2、材质：ABS塑料用于蛋糕制作，裱花等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奶油抹刀：1、规格：32×3cm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2、材质：不锈钢用于蛋糕制作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油纸：油纸，作物食物垫使用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手套-3型：1、材质：食品级认证PVC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2、规格：20只/盒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手套套装：1、材质：PVC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2、尺寸：S码65-80×320mm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3、说明：清洗工具时使用，共单层与加绒两款，满足不同季节的需求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对开门冰箱：总容量：不小于555L，冷藏室容量不小于350L，冷冻室不小于200L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电磁炉：尺寸：350×280×60mm，功率220V，额定功率3000W，双屏面板，不锈钢材质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微波炉：一级能效，900W微波，按键式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电动榨汁机：容量：1.6L，配套滤网，噪音值≤80dB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空气炸锅：容量6.5L，不小于2000W，加热方式：双热源，可视化窗口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 母婴级0涂层不锈钢内胆煮</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平底锅：不沾平底锅，直径：24.5cm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布织收纳筐：尺寸：35×25×17.5cm金属框架，丙丝带编织布料，两侧设计有提手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苏式窗镜卡纸：1、尺寸：8k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2、重量约：300g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生宣纸：尺寸：4k</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彩墨汁：用于幼儿国画课程的绘画工具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国画毛笔：用于幼儿国画课程的绘画工具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版画拓印滚轮：1、塑柄滚筒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2、儿童版画拓印工具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砂纸：材质：碳化硅水纸尺寸：100目，280×230mm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拓包：材质：棉+丝绸尺寸：2.5cm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油墨颜料：材质：油墨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版画：规格：1套16个模板（图案印压-模板-动物单图）尺寸：150×150mm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材质：KS</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a4切割点板：材质：pvc 尺寸：300×220mm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幼儿数字油画：1、20×20cm，袋装6幅重量约1公斤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2、画板+丙烯颜料+画笔2支+挂钩1套+彩图</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幼儿专用安全色粉：1、规格：12色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2、用于幼儿色粉课程的绘画耗材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幼儿专用安全重彩油画棒：1、规格：12色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2、用于幼儿绘画课程，安全无毒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幼儿专用安全蜡笔：1、规格：12色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圆形油画框：规格：φ15cm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方形油画框：规格：15×15cm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画架：材质：实木，尺寸：44×44×182表面光滑、无毛刺、无弯曲，接缝无开裂，整体无疤痕无弯曲，表面环保烤漆处理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画板：尺寸：4K，厚度1.8m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幼儿专用安全彩泥套组：</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规格：50g、36色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2</w:t>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pStyle w:val="887"/>
              <w:rPr>
                <w:rFonts w:hint="eastAsia"/>
                <w:highlight w:val="none"/>
              </w:rPr>
            </w:pPr>
            <w:r>
              <w:rPr>
                <w:rFonts w:hint="eastAsia"/>
                <w:highlight w:val="none"/>
                <w:lang w:val="en-US" w:eastAsia="zh-CN"/>
              </w:rPr>
              <w:t xml:space="preserve">2、彩泥的</w:t>
            </w:r>
            <w:r>
              <w:rPr>
                <w:rFonts w:hint="eastAsia" w:ascii="宋体" w:hAnsi="宋体" w:cs="宋体"/>
                <w:i w:val="0"/>
                <w:iCs w:val="0"/>
                <w:color w:val="auto"/>
                <w:sz w:val="20"/>
                <w:szCs w:val="20"/>
                <w:highlight w:val="none"/>
                <w:u w:val="none"/>
                <w:lang w:val="en-US" w:eastAsia="zh-CN" w:bidi="ar"/>
              </w:rPr>
              <w:t xml:space="preserve">可迁移元素(mg/kg)限量，锑(Sb)≤10，钡(Ba)≤350，铬(Cr)≤25，汞(Hg)≤10，砷(As)≤10,镉(Cd)≤15,铅(Pb)≤25,硒(Se)≤50，判定合格，符</w:t>
            </w:r>
            <w:r>
              <w:rPr>
                <w:rFonts w:hint="eastAsia" w:ascii="宋体" w:hAnsi="宋体" w:eastAsia="宋体" w:cs="宋体"/>
                <w:i w:val="0"/>
                <w:iCs w:val="0"/>
                <w:color w:val="auto"/>
                <w:sz w:val="20"/>
                <w:szCs w:val="20"/>
                <w:highlight w:val="none"/>
                <w:lang w:val="en-US" w:eastAsia="zh-CN" w:bidi="ar"/>
              </w:rPr>
              <w:t xml:space="preserve">合</w:t>
            </w:r>
            <w:r>
              <w:rPr>
                <w:rFonts w:hint="eastAsia" w:ascii="宋体" w:hAnsi="宋体" w:cs="宋体"/>
                <w:i w:val="0"/>
                <w:iCs w:val="0"/>
                <w:color w:val="auto"/>
                <w:sz w:val="20"/>
                <w:szCs w:val="20"/>
                <w:highlight w:val="none"/>
                <w:u w:val="none"/>
                <w:lang w:val="en-US" w:eastAsia="zh-CN" w:bidi="ar"/>
              </w:rPr>
              <w:t xml:space="preserve">GB/21027-2020</w:t>
            </w:r>
            <w:r>
              <w:rPr>
                <w:rFonts w:hint="eastAsia" w:ascii="宋体" w:hAnsi="宋体" w:eastAsia="宋体" w:cs="宋体"/>
                <w:i w:val="0"/>
                <w:iCs w:val="0"/>
                <w:color w:val="auto"/>
                <w:sz w:val="20"/>
                <w:szCs w:val="20"/>
                <w:highlight w:val="none"/>
                <w:lang w:val="en-US" w:eastAsia="zh-CN" w:bidi="ar"/>
              </w:rPr>
              <w:t xml:space="preserve">国家标准</w:t>
            </w:r>
            <w:r>
              <w:rPr>
                <w:rFonts w:hint="eastAsia" w:ascii="宋体" w:hAnsi="宋体" w:cs="宋体"/>
                <w:i w:val="0"/>
                <w:iCs w:val="0"/>
                <w:color w:val="auto"/>
                <w:sz w:val="20"/>
                <w:szCs w:val="20"/>
                <w:highlight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产品需</w:t>
            </w:r>
            <w:r>
              <w:rPr>
                <w:rFonts w:hint="eastAsia" w:ascii="宋体" w:hAnsi="宋体" w:cs="宋体"/>
                <w:i w:val="0"/>
                <w:iCs w:val="0"/>
                <w:color w:val="auto"/>
                <w:sz w:val="20"/>
                <w:szCs w:val="20"/>
                <w:highlight w:val="none"/>
                <w:u w:val="none"/>
                <w:lang w:val="en-US" w:eastAsia="zh-CN" w:bidi="ar"/>
              </w:rPr>
              <w:t xml:space="preserve">GB/21027-2020</w:t>
            </w:r>
            <w:r>
              <w:rPr>
                <w:rFonts w:hint="eastAsia" w:ascii="宋体" w:hAnsi="宋体" w:cs="宋体"/>
                <w:i w:val="0"/>
                <w:iCs w:val="0"/>
                <w:color w:val="auto"/>
                <w:sz w:val="20"/>
                <w:szCs w:val="20"/>
                <w:highlight w:val="none"/>
                <w:lang w:val="en-US" w:eastAsia="zh-CN" w:bidi="ar"/>
              </w:rPr>
              <w:t xml:space="preserve">标准规范进行检测，检测项目包括：</w:t>
            </w:r>
            <w:r>
              <w:rPr>
                <w:rFonts w:hint="eastAsia"/>
                <w:highlight w:val="none"/>
                <w:lang w:val="en-US" w:eastAsia="zh-CN"/>
              </w:rPr>
              <w:t xml:space="preserve">彩泥的</w:t>
            </w:r>
            <w:r>
              <w:rPr>
                <w:rFonts w:hint="eastAsia" w:ascii="宋体" w:hAnsi="宋体" w:cs="宋体"/>
                <w:i w:val="0"/>
                <w:iCs w:val="0"/>
                <w:color w:val="auto"/>
                <w:sz w:val="20"/>
                <w:szCs w:val="20"/>
                <w:highlight w:val="none"/>
                <w:u w:val="none"/>
                <w:lang w:val="en-US" w:eastAsia="zh-CN" w:bidi="ar"/>
              </w:rPr>
              <w:t xml:space="preserve">可迁移元素(mg/kg)限量，锑(Sb)≤10，钡(Ba)≤350，铬(Cr)≤25，汞(Hg)≤10，砷(As)≤10,镉(Cd)≤15,铅(Pb)≤25,硒(Se)≤50，判定合格。</w:t>
            </w:r>
            <w:r/>
          </w:p>
          <w:p>
            <w:pPr>
              <w:numPr>
                <w:ilvl w:val="0"/>
                <w:numId w:val="0"/>
              </w:numPr>
              <w:jc w:val="left"/>
              <w:keepLines w:val="0"/>
              <w:keepNext w:val="0"/>
              <w:widowControl/>
              <w:rPr>
                <w:rFonts w:hint="eastAsia" w:ascii="宋体" w:hAnsi="宋体" w:eastAsia="宋体" w:cs="宋体"/>
                <w:b w:val="0"/>
                <w:bCs w:val="0"/>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投标时须提供</w:t>
            </w:r>
            <w:r>
              <w:rPr>
                <w:rFonts w:hint="eastAsia" w:ascii="宋体" w:hAnsi="宋体" w:cs="宋体"/>
                <w:i w:val="0"/>
                <w:iCs w:val="0"/>
                <w:color w:val="auto"/>
                <w:sz w:val="20"/>
                <w:szCs w:val="20"/>
                <w:highlight w:val="none"/>
                <w:lang w:val="en-US" w:eastAsia="zh-CN" w:bidi="ar"/>
              </w:rPr>
              <w:t xml:space="preserve">国家认证认可的</w:t>
            </w:r>
            <w:r>
              <w:rPr>
                <w:rFonts w:hint="eastAsia" w:ascii="宋体" w:hAnsi="宋体" w:eastAsia="宋体" w:cs="宋体"/>
                <w:i w:val="0"/>
                <w:iCs w:val="0"/>
                <w:color w:val="auto"/>
                <w:sz w:val="20"/>
                <w:szCs w:val="20"/>
                <w:highlight w:val="none"/>
                <w:lang w:val="en-US" w:eastAsia="zh-CN" w:bidi="ar"/>
              </w:rPr>
              <w:t xml:space="preserve">第三方检测机构</w:t>
            </w:r>
            <w:r>
              <w:rPr>
                <w:rFonts w:hint="eastAsia" w:ascii="宋体" w:hAnsi="宋体" w:cs="宋体"/>
                <w:i w:val="0"/>
                <w:iCs w:val="0"/>
                <w:color w:val="auto"/>
                <w:sz w:val="20"/>
                <w:szCs w:val="20"/>
                <w:highlight w:val="none"/>
                <w:lang w:val="en-US" w:eastAsia="zh-CN" w:bidi="ar"/>
              </w:rPr>
              <w:t xml:space="preserve">（CMA或CNAS）出具的检测报告扫描件。</w:t>
            </w: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w:t>
            </w:r>
            <w:r>
              <w:rPr>
                <w:rFonts w:hint="eastAsia" w:ascii="宋体" w:hAnsi="宋体" w:cs="宋体"/>
                <w:i w:val="0"/>
                <w:iCs w:val="0"/>
                <w:color w:val="auto"/>
                <w:sz w:val="20"/>
                <w:szCs w:val="20"/>
                <w:highlight w:val="none"/>
                <w:lang w:val="en-US" w:eastAsia="zh-CN" w:bidi="ar"/>
              </w:rPr>
              <w:t xml:space="preserve">报监管部门）。</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麻绳：规格：3mm×200米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棉花：规格：500g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丸棒：材质：不锈钢+塑料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刮画纸：1、规格：10×14cm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2、重量：57g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幼儿浮水画套装：1、上手简单土耳其水上绘画玩法，可以用于多种材质表面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2、幼儿最新最潮流的绘画玩法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趣味西游皮影戏套组：1、尺寸：22.5×29.5cm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2、重量约：31g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3、一套8件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4、让孩子感受中国古老皮影戏的乐趣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幼儿夜光丙烯套装：1、色彩鲜艳、质地细腻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2、适用多种材质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3、膏体颜料，颜色鲜艳饱和</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4、幼儿最新最潮流的绘画玩法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中国风白坯挂件：1、尺寸：31×29cm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2、重量约：65g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4、幼儿可以搭配超轻黏土，丙烯颜料等进行创作，提高孩子的动手能力和专注力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手绘中式寸鼓：天然牛皮、塑胶，尺寸φ20cm，高度约14cm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幼儿专用彩色压花器套装：1、材质：ABS+合金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2、一套3个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3、幼儿可以用来装饰日记本、DIY贺卡等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幼儿手指画：1、颜色多样，可以满足幼儿各种DIY手工制作需求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2、尺寸18cm、可以水洗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3、让幼儿的想象力更加丰富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石膏涂色包：1、材质：硬质石膏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2、让孩子尽情享受涂抹雕塑的快乐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桌面吸灰器：尺寸65mm×85mm，材质为A++级别</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材质，安全防静电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幼儿专用安全波浪剪刀：规格：220×220×5mm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幼儿专用安全水溶性水彩笔：1、软头水彩笔、水性可擦洗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2、用于创意美术课程的工具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幼儿专用安全重彩水彩笔：1、重彩水彩笔，效果艳丽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皱纹纸：1、规格：30×0.2cm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2、颜色：12色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彩卡：1、规格：35×52cm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2、颜色：10色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3、用于幼儿创意美术课程的绘画材料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幼儿专用安全扎染颜料套组：1、规格：100ml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2、颜色：5色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3、含辅材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4、用于幼儿染织课程的材料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异形桌+配套椅子：尺寸：140×70×65cm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科探室：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交通安全标志翻版墙：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一、交通安全标识互动游戏通过图文结合的方式表现交通安全标志参观者通过参与互动，了解自己认识那些交通安全标识，巩固交通安全标志知识，强化交通安全意识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交通安全标志简单的说就是树立在道路旁或者悬挂在马路上方的各种形状的标牌，目的是提醒开车的人或行人了解路况、方向机各种规定交通安全标志主要有禁令标志、警告标志、指示标志三类，展示常用标志15种类，其它为图文展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操作说明：翻板，阅读图文等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1.尺寸：3000×400×1800mm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2.底座材质：阻燃板抗划伤烤漆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单个框体300×300MM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.不锈钢固定轴</w:t>
            </w:r>
            <w:r/>
          </w:p>
          <w:p>
            <w:pPr>
              <w:pStyle w:val="887"/>
              <w:rPr>
                <w:rFonts w:hint="eastAsia"/>
                <w:highlight w:val="none"/>
              </w:rPr>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.翻牌材质：基材采用亚克力（PMMA）板材，板材透光性能、清晰度需适配园区室内外标识可视需求；亚克力板材透光率、雾度两项光学性能检测方法严格执行 GB/T 2410-2008《透明塑料透光率和雾度的测定》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儿童互动智能桌：1、软件简介：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此软件是为了提升和改善教育环节中脑力开发的能力，将传统的学习的图形记忆、空间思维、数学计算、拼写技巧等能力，变成数字化化软件训练，从而锻炼记忆力、空间能力、计算能力、思维逻辑和创造力等。软件包含了方块挑战、拼图挑战、火柴之谜、字母连线、图形连接、接线挑战等多款主题；支持多触点服务满意度精准测评功能，根据训练结果进行打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显示比例:16:9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屏幕尺寸：</w:t>
            </w:r>
            <w:r>
              <w:rPr>
                <w:rFonts w:hint="eastAsia" w:ascii="宋体" w:hAnsi="宋体" w:cs="宋体"/>
                <w:i w:val="0"/>
                <w:iCs w:val="0"/>
                <w:color w:val="auto"/>
                <w:sz w:val="20"/>
                <w:szCs w:val="20"/>
                <w:highlight w:val="none"/>
                <w:u w:val="none"/>
                <w:lang w:val="en-US" w:eastAsia="zh-CN" w:bidi="ar"/>
              </w:rPr>
              <w:t xml:space="preserve">不小于</w:t>
            </w:r>
            <w:r>
              <w:rPr>
                <w:rFonts w:hint="eastAsia" w:ascii="宋体" w:hAnsi="宋体" w:eastAsia="宋体" w:cs="宋体"/>
                <w:i w:val="0"/>
                <w:iCs w:val="0"/>
                <w:color w:val="auto"/>
                <w:sz w:val="20"/>
                <w:szCs w:val="20"/>
                <w:highlight w:val="none"/>
                <w:u w:val="none"/>
                <w:lang w:val="en-US" w:eastAsia="zh-CN" w:bidi="ar"/>
              </w:rPr>
              <w:t xml:space="preserve">32英寸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分辨率:≥1920X1080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显示尺寸:(H)392.85mmX(V)698.4mm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动态对比度:≥1000:1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亮度:≥350cd/m2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可视角度:89/89/89/89 (Typ.)(CR≥10)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触摸屏类型:10点投射型电容触摸屏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表面硬度:表面钢化玻璃，莫氏硬度等级≥7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液晶屏和触摸屏贴合方式:全贴合</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处理器:CPU≥8核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内存：≥8G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储存:≥128G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WIFI：支持双频WIFI。</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脑电波赛车：利用脑电波控制四驱车运动，当脑电波增强时四驱车车速变快，当脑电波减弱时，车速降低参与者可以进行竞技比赛，也可以锻炼个人意志力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四驱车 定制2、NeuroSky脑电波头带频率响应（Hz）：0.5-100采样率（Hz）：512输出接口标准：UART（57600）通信方式：蓝牙2.1/串口最大功耗为 30mA@3V配V4.0+V2.1双模蓝牙接收器3、arduinonano处理器 ATmega328工作电压 5V输入电压（推荐） 7-12V输入电压（范围） 6-20V数字IO脚 14 (其中6路作为PWM输出）模拟输入脚 6IO脚直流电流 40 mAFlash Memory 16 or 32 KB （其</w:t>
            </w:r>
            <w:r>
              <w:rPr>
                <w:rFonts w:hint="eastAsia" w:ascii="宋体" w:hAnsi="宋体" w:eastAsia="宋体" w:cs="宋体"/>
                <w:i w:val="0"/>
                <w:iCs w:val="0"/>
                <w:color w:val="auto"/>
                <w:sz w:val="20"/>
                <w:szCs w:val="20"/>
                <w:highlight w:val="none"/>
                <w:u w:val="none"/>
                <w:lang w:val="en-US" w:eastAsia="zh-CN" w:bidi="ar"/>
              </w:rPr>
              <w:t xml:space="preserve">中2 KB 用于 bootloader）SRAM 1 KB or 2 KBEEPROM 0.5 KB or 1 KB （ATmega328）FT232RL FTDI USB接口芯片工作时钟 16 MHz4、HC-05输入电压3.6~6V，禁止超过7V未配对时电流约30mA，配对后约10mA，空旷地有效距离10米(功率等级为CLASS 2)体积（3.57cm×1.52cm）支持从4800bps~1382400bps间的标准波特率5、充电模板&amp;锂电池支持3.3V与5V输出，最大电流分别为500mA/1000mA</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轨道定制：根据厂地定制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脑智训练设备：功能描述与技术参数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1.尺寸重量≤110 克，采用嵌入式 ARM 架构设计，采用实时操作系统，高度集成多种功能应用，包括脑电数据采集实时传输、脑电采集实时参数调节、状态灯显示控制、佩戴检测、电量检测报警等功能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 1 路 128 倍可变增益脑电采集系统，配合 24 位高精度 ADC 以及 MIT 最新神经网络模型，可以实现高达 1：2,147,483,648 对比度的精准脑波检测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3.采用带主动电路的特殊金属电极；高精度硬件电路，底噪声达到医疗级别 1uV， 稳定可靠的采集用户脑电波数据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4.内置 RGB 颜色脑电专注力显示状态灯，实时显示当前用户专注力状态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5.采用拥有自主知识产权的 BrainPkg 协议打包技术，实时高效传输脑电数据超低功耗，满电工作时间可达 8 小时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6.采用带有实时温度保护的充电管理技术，整机电路管理系统包含比通常安规更严格的多重过压/过流/短路保护电路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7.采用自适应调节的结构设计，配合固定头带使用，最大限度的满足幼/小/中学生不同头围的需求，满足绝大多数人群的使用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8.产品电极采用自适应弹性伸缩结构设计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智能机械手套件：一、功能描述：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超能实验室套装，通过动手搭建、图形化编程可以实现不同任务的学习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二、配置要求：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该套件包含手指零件（含指节、指尖组件）、舵机、舵机线、面包板、传感器、遥控器等零件，零件总数不少于273个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1、机体材料：ABS、PC、硅胶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·锂离子电池  3.6V 3200mAh</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·输入电压：5V2A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·充电温度：+1~43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·工作温度：：-15~50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·工作频率：48Mhz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·接口：6路舵机接口，5路普通传感器接口，1路高级传感器接口，1路USB-typc接口，2路电机接口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·指示灯：6路RGB传感器指示灯，1路电源指示灯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·A-F：output,3.3V±5%,with 500mA OVP；output,5V±5%,with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·M1-M：2output,3.4V~4.2V,with 680mA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·S1-S6：output,5.4V±5%,with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3、舵机参数：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·舵机：DS-S006-9g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·舵机扭矩：≥1.2kgm.cm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·工作电压：5.4V</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VR系统：产品功率：1.5KW ；产品电压：220V ；触控显示屏：19寸控制显示；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9dvr眼镜360°全景模拟，，再细微的头部运动也会引发即时场景同步，内置9轴传感器，361度头部追踪，轻转头部即可真实触碰新世界，体验驾驭全场的掌控感。座位：单座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内容数量：≥100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（1）分辨率：≥3664*1920（4K 5.46英寸夏普极速液晶屏）；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（2）重量：≥394g(采用人体工学设计，支持配戴眼镜者使用）；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（3）产品规格：≥266*194.5*96毫米；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（4）屏幕刷新率：≥72Hz；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（5）屏幕类型：Fast LCD；</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（6）屏幕PPI：773；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（7）透镜类型：菲涅尔透镜；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（8）PPD：22；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（9）散热方案：被动散热（底部进风口+侧边散热孔）；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（10）供电：USB*1；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（11）瞳距范围：53-73毫米（手动调节）；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（12）FOV：110°（水平）  90°（垂直）；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（13）标配面罩：皮质卡面罩；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CPU：10核 2.0GHZ以上；显卡：2GB GDDR5/128bit 显存，7000MHz 等效频率，TDP 75W；                                                                                                                                            内存：8G ； 固态硬盘：固态128G ；</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VR头戴式设备系统：1. 屏幕分辨率≥3664x1920 ；刷新率72/90Hz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处理器核心数不低于八核，主频≥2.8GHz，64位；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视场角≥98°FOV；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支持物理瞳距三档调节，通过TUV 低蓝光认证 ，可在系统设置中开启“护眼模式”；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内存容量≥256GB ROM，≥6GB RAM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前置摄像头鱼眼摄像头x4 ，支持头部6Dof定位，高精度传感器9轴传感器；支持人脸佩戴感应；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不低于5300mAh电池容量，连续使用续航超过3小时，USB Type-C 3.0数据传输；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WIFI6 802.11 b/g/n/ac/ax，2.4G/5G双频；BT5.1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内置扬声器、麦克风，支持3.5mm音频接口外接耳机；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6DoF体感手柄 x 2，支持光学定位，支持线性振动马达；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机身采用轻质聚合物，薄壁注塑工艺，航空级轻金属；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面罩：采用高透气性泡棉，支持拆解替换；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机身具有电源键，APP键（返回键），确认键，Home键，音量加，音量加减按键；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支持QC3.0快速充电；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扬声器内置双立体声喇叭，麦克风双麦克降噪，全指向麦克风；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支持3.5mm音频接口连接第三方立体声耳机使用；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Led灯三色Led 显示开机，关机，充电状态。                                                                                                                          本软件支持使用6DOF VR一体机设备。</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K12教育资源：A.启动课件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（1）启动课件：点击launcher主界面课程分类入口，可打开对应类型课件列表，再点击课件封面可启动课件。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（2）分类导航：至少包含全景课堂、互动实验室、安全教育、科普教育、互动微课五个分类显示面板。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（3）翻页：课件列表支持点击上一页、下一页按钮翻页。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B.场景漫游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（1）漫游移动：支持在3D虚拟场景中漫游，可原地转向；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（2）模型互动：若干模型可拿起查看和互动，桌子上摆放的互动模型不少于3种交互。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C.新手引导</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（1）新手引导：点击launcher主界面“帮助”图标可启动新手引导机制，可系统性地按照步骤学习使用手柄按键、漫游、使用虚拟双手操作等交互方式；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（2）操作提示：首次启动某类课件，可查看该类课件的操作提示面板；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（3）按键指南：支持触碰桌面上的手柄模型打开按键使用指南面板，查看所有使用场景下的按键操作说明。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D.系统特性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（1）开机自启动；能屏蔽所有与学习无关的VR影视、游戏等内容；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（2）内容更新机制：可在线从云端拉取更新的课件资源并显示下载进度条；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（3）WIFI高级设置：提供WIFI设置功能，提供WIFI设置自动记忆功能；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（4）电量及连接状态显示：提供一体机剩余电量显示功能，提供是否处于课堂教学连接状态显示功能。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VR</w:t>
            </w:r>
            <w:r>
              <w:rPr>
                <w:rFonts w:hint="eastAsia" w:ascii="宋体" w:hAnsi="宋体" w:cs="宋体"/>
                <w:i w:val="0"/>
                <w:iCs w:val="0"/>
                <w:color w:val="auto"/>
                <w:sz w:val="20"/>
                <w:szCs w:val="20"/>
                <w:highlight w:val="none"/>
                <w:u w:val="none"/>
                <w:lang w:val="en-US" w:eastAsia="zh-CN" w:bidi="ar"/>
              </w:rPr>
              <w:t xml:space="preserve">课件系统</w:t>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提供的</w:t>
            </w:r>
            <w:r>
              <w:rPr>
                <w:rFonts w:hint="eastAsia" w:ascii="宋体" w:hAnsi="宋体" w:cs="宋体"/>
                <w:i w:val="0"/>
                <w:iCs w:val="0"/>
                <w:color w:val="auto"/>
                <w:sz w:val="20"/>
                <w:szCs w:val="20"/>
                <w:highlight w:val="none"/>
                <w:u w:val="none"/>
                <w:lang w:val="en-US" w:eastAsia="zh-CN" w:bidi="ar"/>
              </w:rPr>
              <w:t xml:space="preserve">课件</w:t>
            </w:r>
            <w:r>
              <w:rPr>
                <w:rFonts w:hint="eastAsia" w:ascii="宋体" w:hAnsi="宋体" w:eastAsia="宋体" w:cs="宋体"/>
                <w:i w:val="0"/>
                <w:iCs w:val="0"/>
                <w:color w:val="auto"/>
                <w:sz w:val="20"/>
                <w:szCs w:val="20"/>
                <w:highlight w:val="none"/>
                <w:u w:val="none"/>
                <w:lang w:val="en-US" w:eastAsia="zh-CN" w:bidi="ar"/>
              </w:rPr>
              <w:t xml:space="preserve">所创造或模拟的事物与环境真实而生动，并且提供交互手段，使得体验者可以自由活动和探索虚拟世界，可以获得对客观事物的各种感性或理性认识</w:t>
            </w:r>
            <w:r>
              <w:rPr>
                <w:rFonts w:hint="eastAsia" w:ascii="宋体" w:hAnsi="宋体" w:cs="宋体"/>
                <w:i w:val="0"/>
                <w:iCs w:val="0"/>
                <w:color w:val="auto"/>
                <w:sz w:val="20"/>
                <w:szCs w:val="20"/>
                <w:highlight w:val="none"/>
                <w:u w:val="none"/>
                <w:lang w:val="en-US" w:eastAsia="zh-CN" w:bidi="ar"/>
              </w:rPr>
              <w:t xml:space="preserve">，并将知识资产进行标准化建模、整编、入库，支撑知识沉淀、快速检索、智能问答、业务辅助决策与能力复用,</w:t>
            </w:r>
            <w:r>
              <w:rPr>
                <w:rFonts w:hint="eastAsia" w:ascii="宋体" w:hAnsi="宋体" w:eastAsia="宋体" w:cs="宋体"/>
                <w:i w:val="0"/>
                <w:iCs w:val="0"/>
                <w:color w:val="auto"/>
                <w:sz w:val="20"/>
                <w:szCs w:val="20"/>
                <w:highlight w:val="none"/>
                <w:u w:val="none"/>
                <w:lang w:val="en-US" w:eastAsia="zh-CN" w:bidi="ar"/>
              </w:rPr>
              <w:t xml:space="preserve">至少提供35个可交互VR安全教育</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100个VR科普</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至少提供30教学</w:t>
            </w:r>
            <w:r>
              <w:rPr>
                <w:rFonts w:hint="eastAsia" w:ascii="宋体" w:hAnsi="宋体" w:cs="宋体"/>
                <w:i w:val="0"/>
                <w:iCs w:val="0"/>
                <w:color w:val="auto"/>
                <w:sz w:val="20"/>
                <w:szCs w:val="20"/>
                <w:highlight w:val="none"/>
                <w:u w:val="none"/>
                <w:lang w:val="en-US" w:eastAsia="zh-CN" w:bidi="ar"/>
              </w:rPr>
              <w:t xml:space="preserve">相关知识库；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安全教育</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包含病毒防疫、消防安全、防溺水、防暴恐、交通安全、安全用电、公共卫生、自然灾害、防拐骗、家庭安全、校园安全等主题；包含《低层建筑消防逃生》、《高层建筑消防逃生》、《预防溺水及自救方法》、《溺水救护》、《反恐及可疑物品处理》、《恐怖袭击自救》、《交通信号灯及安</w:t>
            </w:r>
            <w:r>
              <w:rPr>
                <w:rFonts w:hint="eastAsia" w:ascii="宋体" w:hAnsi="宋体" w:eastAsia="宋体" w:cs="宋体"/>
                <w:i w:val="0"/>
                <w:iCs w:val="0"/>
                <w:color w:val="auto"/>
                <w:sz w:val="20"/>
                <w:szCs w:val="20"/>
                <w:highlight w:val="none"/>
                <w:u w:val="none"/>
                <w:lang w:val="en-US" w:eastAsia="zh-CN" w:bidi="ar"/>
              </w:rPr>
              <w:t xml:space="preserve">全措施》、《安全乘坐交通工具》、《家庭用电安全》、《触电救护措施》、《自动体外除颤器（AED）》、《学习使用CPR》、《食物中毒及食品安全》、《预防传染病》、《“三无”食品买不得》、《自然灾害》、《防雾霾》、《地震逃生》、《海啸逃生》、《诱拐鉴定与预防》、《被拐时的自我保护和自救》、《家里的“小危险”》、《油锅起火如何灭》、《用气安全》、《湿手不碰开关和插座》、《预防运动伤害》、《化学实验室安全指南》、《校园防踩踏》、《校园暴力》、《走进病毒世界》、《病毒传播助手》、《病毒阻断实验室》、《病毒消亡之旅》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科普</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包含植物、动物、人、科学、宇宙、水和空气等多个主题；北极熊、卢沟桥、心脏与血液循环、日食的形成、雷电类型以及形成、火山内部构造、呼吸系统、花的结构和授粉、昆虫分类、认识龙卷风、学习电路原理、探索图形、制作果树等。</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与教学</w:t>
            </w:r>
            <w:r>
              <w:rPr>
                <w:rFonts w:hint="eastAsia" w:ascii="宋体" w:hAnsi="宋体" w:cs="宋体"/>
                <w:i w:val="0"/>
                <w:iCs w:val="0"/>
                <w:color w:val="auto"/>
                <w:sz w:val="20"/>
                <w:szCs w:val="20"/>
                <w:highlight w:val="none"/>
                <w:u w:val="none"/>
                <w:lang w:val="en-US" w:eastAsia="zh-CN" w:bidi="ar"/>
              </w:rPr>
              <w:t xml:space="preserve">相关知识库</w:t>
            </w:r>
            <w:r>
              <w:rPr>
                <w:rFonts w:hint="eastAsia" w:ascii="宋体" w:hAnsi="宋体" w:eastAsia="宋体" w:cs="宋体"/>
                <w:i w:val="0"/>
                <w:iCs w:val="0"/>
                <w:color w:val="auto"/>
                <w:sz w:val="20"/>
                <w:szCs w:val="20"/>
                <w:highlight w:val="none"/>
                <w:u w:val="none"/>
                <w:lang w:val="en-US" w:eastAsia="zh-CN" w:bidi="ar"/>
              </w:rPr>
              <w:t xml:space="preserve">：课程、课件的设计紧密结合教师上课使用场景，力求灵活多样、与多种教学场景配合（如：探究、小组讨论、分组实验等等），又不制约教师的教学设计思路，不限制教师教学过程的个性发挥，不拘泥教学使用场景与使用方式。                                                                                                          </w:t>
            </w:r>
            <w:r>
              <w:rPr>
                <w:rFonts w:hint="eastAsia" w:ascii="宋体" w:hAnsi="宋体" w:cs="宋体"/>
                <w:i w:val="0"/>
                <w:iCs w:val="0"/>
                <w:color w:val="auto"/>
                <w:sz w:val="20"/>
                <w:szCs w:val="20"/>
                <w:highlight w:val="none"/>
                <w:u w:val="none"/>
                <w:lang w:val="en-US" w:eastAsia="zh-CN" w:bidi="ar"/>
              </w:rPr>
              <w:t xml:space="preserve">4.包括</w:t>
            </w:r>
            <w:r>
              <w:rPr>
                <w:rFonts w:hint="eastAsia" w:ascii="宋体" w:hAnsi="宋体" w:eastAsia="宋体" w:cs="宋体"/>
                <w:i w:val="0"/>
                <w:iCs w:val="0"/>
                <w:color w:val="auto"/>
                <w:sz w:val="20"/>
                <w:szCs w:val="20"/>
                <w:highlight w:val="none"/>
                <w:u w:val="none"/>
                <w:lang w:val="en-US" w:eastAsia="zh-CN" w:bidi="ar"/>
              </w:rPr>
              <w:t xml:space="preserve">五台山、体验小行星撞击地球、动力伞滑翔遨游、好莱坞的日落、里约风光、浴火银河、巴塞罗那、壮美维多利亚瀑布、非洲大地 、萤火虫洞、大堡礁水下奇观、太空漫步、撒哈拉以南的非洲等；</w:t>
            </w:r>
            <w:r/>
          </w:p>
          <w:p>
            <w:pPr>
              <w:numPr>
                <w:ilvl w:val="0"/>
                <w:numId w:val="0"/>
              </w:num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同时配备2D视频内容，支持无VR环境下的2D视频播放。基于次世代 3D 渲染技术、高端贴图渲染技术、Unity 引擎动画等技术；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支持VR全景播放形式；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清晰度不低于4K分辨率；</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SIS学生端管理系统：1.支持自主操作和受控两种方式，操作简单，手柄和头控方式均可进行操作，更便于VR课堂和设备管理；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2.屏蔽所有非学习相关的 VR 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3.支持无外网的场景：无外网互联网接入可正常使用；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4.学生端接受并执行教师端的各种指令，同时向教师端反馈设备状态；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5.支持6DoF体验，可以追踪头盔和手柄前、后、左、右、上、下和旋转的运动状态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6.本系统内置应用智慧商城，部署云端服务，支持一键下载更新，方便易用，告别物理传输时代。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异形儿童桌：尺寸：140×70×65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泥料瓷花认知板：1、尺寸：直径350mm,一组4个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2、材质：木头、陶瓷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三福瓶形状工具墙-2：1、“葫芦瓶”尺寸：112×65cm 工具展示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2、包含工具展示套组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陶艺-展示A柜：1、尺寸：83.6×41×130cm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操作桌：1、尺寸：160×80×55.5cm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2、桌面采用约25mm厚枫木纹双贴面刨花板，其他部分采用约18mm厚枫木纹双贴面刨花板，饰面刨花板甲醛释放量符合GB/T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4、桌板左右两侧分别以双层柜作为支撑，提升活动桌的稳定性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工作凳：1、尺寸：高度35cm，椅座25×25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3、椅架表面金属烤漆处理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幼儿美术综合柜：1、尺寸：80.4×29.8×81.4cm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2、主框架采用约15mm厚环保枫木纹三聚氰胺</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，甲醛释放量符合GB/T 39600-2021标准要求，甲醛释放量≤0.0</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5mg/m³，符合Enf级；层板采用约15mm厚枫木纹三聚氰胺双贴面胶合板，甲醛释放量符合GB/T 39600-2021标准要求，甲醛释放量≤0.025mg/m³，符合Enf级，背板为5mm枫木纹三聚氰胺双贴面密度板，甲醛释放量符合GB/T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4、柜体内部格局分为三层边角安全防撞设计，结构稳固，不易倾倒，安全缝隙和孔洞均符合GB28007-2011儿童家具通用技术条件的要求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5、开放式5层收纳架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编织袈：材质：帆布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尺寸：45×60cm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配件：魔术贴，加固提手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承重：8–10kg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长条绘画桌：180×60×52cm，多层实木板 + 防火 / 防涂鸦贴面（E0 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实木方腿（5×5cm 及以上）或加厚钢管（≥1.2mm 壁厚，电泳防锈）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必须加装防滑橡胶脚垫，防晃、防噪音、保护地板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所有边角倒圆半径≥10mm，无毛刺、无尖锐五金突出物（符合《儿童家具通用技术条件》GB 28007）</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挂钩：约60×5.8×1.8cm原木制成，五个金属挂钩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布织收纳筐：尺寸：35×25×17.5金属框架，丙丝带编织布料，两侧设计有提手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玻璃胶套装：超粘玻璃胶2支、胶枪1把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KT胶：宽约2.0cm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肌理擀泥杖：1、尺寸：150mm，一组12个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2、用途：用于课程泥板制作中肌理应用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唐代人物砖模具：1、尺寸100×80mm，一组5个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2、用途：用于课程中人物形象制作，让学生了解历史用人物的形象动作及着装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四神瓦当模具套组：1、尺寸：φ80mm，一组4个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2、用途：用于课程中四神瓦当制作，了解古代瓦当用途及四神图案含义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历代瓷瓶形状教学成型模具：1、尺寸：50×80mm，一组5个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2、用途：用于课程陶瓷器型制作，让学生了解陶瓷的器型及其背后含义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青铜器器型成型套组：1、尺寸：50×80mm，一组5个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2、用途：用于课程青铜器器型制作，让学生了解青铜器的器型及其深厚文化</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无极变速拉坯机：1、工作电压：AC220±10%                                                                                                                                                                                                           2、外形尺寸：宽600×长500×高440mm±2%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3、功    率：375W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4、负载扭矩：50Nm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5、铝盘直径：φ320mm±2%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6、铝盘跳动：≤0.1mm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7、噪    音：≤60dB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1、安全稳定：拉坯机采用国标正品直流电机，质量稳定使用寿命长，电源品字插头自带防漏电保护和过载保护功能，安全性极高，节能省电，大扭力输出，电机经过</w:t>
            </w:r>
            <w:r>
              <w:rPr>
                <w:rFonts w:hint="eastAsia" w:ascii="宋体" w:hAnsi="宋体" w:cs="宋体"/>
                <w:i w:val="0"/>
                <w:iCs w:val="0"/>
                <w:color w:val="auto"/>
                <w:sz w:val="20"/>
                <w:szCs w:val="20"/>
                <w:highlight w:val="none"/>
                <w:u w:val="none"/>
                <w:lang w:val="en-US" w:eastAsia="zh-CN" w:bidi="ar"/>
              </w:rPr>
              <w:t xml:space="preserve">至少</w:t>
            </w:r>
            <w:r>
              <w:rPr>
                <w:rFonts w:hint="eastAsia" w:ascii="宋体" w:hAnsi="宋体" w:eastAsia="宋体" w:cs="宋体"/>
                <w:i w:val="0"/>
                <w:iCs w:val="0"/>
                <w:color w:val="auto"/>
                <w:sz w:val="20"/>
                <w:szCs w:val="20"/>
                <w:highlight w:val="none"/>
                <w:u w:val="none"/>
                <w:lang w:val="en-US" w:eastAsia="zh-CN" w:bidi="ar"/>
              </w:rPr>
              <w:t xml:space="preserve">5万小时使用寿命测试</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2、电子控制采用智能CPU芯片控制，具有过载、过流、漏电、故障自诊断等多重监测保护拉坯机带有智能防止断电重来电飞车摔坯功能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3、自主研发智能控制系统，速度反馈灵敏扭矩大，具有过载、过流、漏电、故障自诊断等多重监测保护；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4、铝盘采用铝合金材料，化学成分应符合国家标准GB/T20975.25-2020《铝及铝合金化学分析方法》要求，同时满足以下元素含量限值：8%≤Si≤12%、Fe≤1.5%、Cu≤0.6%、Mn≤0.2%、0.1%≤Mg≤0.3%、Cr≤0.1%、Zn≤0.8%、Ti≤0.08%；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5、拉坯机电源采用的航空插头应符合国家标准《GB/T 2423.7-2018 环境试验 第2部分：试验方法 试验Ed：自由跌落》要求；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电子霍尔调速踏板应符合国家GB/T4208-2017《外壳防护等级（IP代码）》标准，依据GB/T4208-2017进行IP×2防水试验，被试品外壳在两个相互垂直平面上各倾斜15°（共四个测试方位），每个方位持续喷淋2.5分钟，总试验时间10±0.5分钟，经IP×2防水测试后，试验结果合格</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捏塑垫布：尺寸：320×210mm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小泥拍：1、材质：木质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2、尺寸：总长19.5cm，宽6.5cm；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木质泥塑套装：1、材质：木制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2、内涵：泥刮器、打孔器、泥刀等5件工具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陶艺八件套：1、材质：木制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2、内涵：泥刮器、打孔器、泥刀等8件工具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公开课小罐颜料：6个一组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陶瓷绘画专用色釉：60ml每瓶12色一套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涂抹式浓缩透明釉：250ml每瓶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冰裂效果浓缩釉：250ml每瓶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彩色成型泥浆：60ml每瓶12色一套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陶艺专用蕾丝花边套组：尺寸：12×17cm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触屏语音高功率高温电窑：外形尺寸：W660×L900×H1260mm±2%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炉膛尺寸：W340×D370×H460mm±2%                                                                                                       </w:t>
            </w:r>
            <w:r>
              <w:rPr>
                <w:rFonts w:hint="eastAsia" w:ascii="宋体" w:hAnsi="宋体" w:eastAsia="宋体" w:cs="宋体"/>
                <w:i w:val="0"/>
                <w:iCs w:val="0"/>
                <w:color w:val="auto"/>
                <w:sz w:val="20"/>
                <w:szCs w:val="20"/>
                <w:highlight w:val="none"/>
                <w:u w:val="none"/>
                <w:lang w:val="en-US" w:eastAsia="zh-CN" w:bidi="ar"/>
              </w:rPr>
              <w:t xml:space="preserve">                                                                                      棚板：280×340mm±2% 1块/层                                                                                                                                                      </w:t>
            </w:r>
            <w:r>
              <w:rPr>
                <w:rFonts w:hint="eastAsia" w:ascii="宋体" w:hAnsi="宋体" w:eastAsia="宋体" w:cs="宋体"/>
                <w:i w:val="0"/>
                <w:iCs w:val="0"/>
                <w:color w:val="auto"/>
                <w:sz w:val="20"/>
                <w:szCs w:val="20"/>
                <w:highlight w:val="none"/>
                <w:u w:val="none"/>
                <w:lang w:val="en-US" w:eastAsia="zh-CN" w:bidi="ar"/>
              </w:rPr>
              <w:t xml:space="preserve">                                   内容积：0.058立方米±2%                                                                                                                                                                                                      开门方式：侧开门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工作电压：220</w:t>
            </w:r>
            <w:r>
              <w:rPr>
                <w:rFonts w:hint="eastAsia" w:ascii="宋体" w:hAnsi="宋体" w:eastAsia="宋体" w:cs="宋体"/>
                <w:i w:val="0"/>
                <w:iCs w:val="0"/>
                <w:color w:val="auto"/>
                <w:sz w:val="20"/>
                <w:szCs w:val="20"/>
                <w:highlight w:val="none"/>
                <w:u w:val="none"/>
                <w:lang w:val="en-US" w:eastAsia="zh-CN" w:bidi="ar"/>
              </w:rPr>
              <w:t xml:space="preserve">V±10V（50HZ)，功率：≥6.5KW，相电流：≥29A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最高工作温度：≥1300℃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常规工作温度：≥1240℃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线径： ≥6平方国标铜芯线（地线≥4平方）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控温方式：≥1点控温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颜色：黑色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1、智能温控，为自主设计研制而成，最高温度 1300 ℃，采用液晶屏中文控制面板，内置自主研发一键烧成控制系统让操作更加方便简洁a/可进行多种显示模式：数字、仪表、列表、</w:t>
            </w:r>
            <w:r>
              <w:rPr>
                <w:rFonts w:hint="eastAsia" w:ascii="宋体" w:hAnsi="宋体" w:eastAsia="宋体" w:cs="宋体"/>
                <w:i w:val="0"/>
                <w:iCs w:val="0"/>
                <w:color w:val="auto"/>
                <w:sz w:val="20"/>
                <w:szCs w:val="20"/>
                <w:highlight w:val="none"/>
                <w:u w:val="none"/>
                <w:lang w:val="en-US" w:eastAsia="zh-CN" w:bidi="ar"/>
              </w:rPr>
              <w:t xml:space="preserve">曲线等；b/可保存实验数据，并可将保存的实验数据导出至电脑或数据采集器，采集自动报警功能；c/可选择多种报警模式：声音报警、震动报警、荧光报警等；d/内置逻辑处理功能，配有逻辑端口；可自动开启风扇，灯光报警等；e/内置多种包含烤花、素烧、釉烧、紫砂等基本烧成程序，可设置自定义升温曲线，自定义升温曲线可以输入中文名称；f/内置测量电压、电流功能，工作时可显示实际电压、电流；g/液晶触控温控系统自带自主研发断电自动续烧系统，安全断电功能, 窑炉如出现电炉丝断线、热电偶损坏等情况的报错功能,延迟定时烧制设置功能；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2、超大0.058m³内空，侧开门设计，装窑不在吃力；                   </w:t>
            </w:r>
            <w:r>
              <w:rPr>
                <w:rFonts w:hint="eastAsia" w:ascii="宋体" w:hAnsi="宋体" w:eastAsia="宋体" w:cs="宋体"/>
                <w:i w:val="0"/>
                <w:iCs w:val="0"/>
                <w:color w:val="auto"/>
                <w:sz w:val="20"/>
                <w:szCs w:val="20"/>
                <w:highlight w:val="none"/>
                <w:u w:val="none"/>
                <w:lang w:val="en-US" w:eastAsia="zh-CN" w:bidi="ar"/>
              </w:rPr>
              <w:t xml:space="preserve">                                                                                                                                                                    3、内部框架采用国标Q355B级钢材，钢材应符合国家标准GB/T228.1-2021《金属材料 拉伸试验 第1部分：室温试验方法》要求；                        </w:t>
            </w:r>
            <w:r>
              <w:rPr>
                <w:rFonts w:hint="eastAsia" w:ascii="宋体" w:hAnsi="宋体" w:eastAsia="宋体" w:cs="宋体"/>
                <w:i w:val="0"/>
                <w:iCs w:val="0"/>
                <w:color w:val="auto"/>
                <w:sz w:val="20"/>
                <w:szCs w:val="20"/>
                <w:highlight w:val="none"/>
                <w:u w:val="none"/>
                <w:lang w:val="en-US" w:eastAsia="zh-CN" w:bidi="ar"/>
              </w:rPr>
              <w:t xml:space="preserve">                                                                                                                                                                                   4、炉内保温层由莫来石砖和高品质节能隔热棉板组成，其中莫来石砖应符合国家GB/T21114-2019《耐火材料 ×射线荧光光谱化学分析 熔铸玻璃片法》标准</w:t>
            </w:r>
            <w:r>
              <w:rPr>
                <w:rFonts w:hint="eastAsia" w:ascii="宋体" w:hAnsi="宋体" w:eastAsia="宋体" w:cs="宋体"/>
                <w:i w:val="0"/>
                <w:iCs w:val="0"/>
                <w:color w:val="auto"/>
                <w:sz w:val="20"/>
                <w:szCs w:val="20"/>
                <w:highlight w:val="none"/>
                <w:u w:val="none"/>
                <w:lang w:val="en-US" w:eastAsia="zh-CN" w:bidi="ar"/>
              </w:rPr>
              <w:t xml:space="preserve">；                                                                                                                                        5、采用5面发热，受热更均匀电炉丝应符合国家SN/T3343-2012《不锈钢中铬、镍、钼、铜、锰、钛、铝、磷、硅、硫、钒、铌、钨含量的测定 电感耦合等离子体原子发射光谱法》、GB/T223.11-2008《钢铁及合金铬含量的测定》标准；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6、内置刚玉管热电偶，准确测温灵敏控温；                                                                                                                                      </w:t>
            </w:r>
            <w:r>
              <w:rPr>
                <w:rFonts w:hint="eastAsia" w:ascii="宋体" w:hAnsi="宋体" w:eastAsia="宋体" w:cs="宋体"/>
                <w:i w:val="0"/>
                <w:iCs w:val="0"/>
                <w:color w:val="auto"/>
                <w:sz w:val="20"/>
                <w:szCs w:val="20"/>
                <w:highlight w:val="none"/>
                <w:u w:val="none"/>
                <w:lang w:val="en-US" w:eastAsia="zh-CN" w:bidi="ar"/>
              </w:rPr>
              <w:t xml:space="preserve">                   7、能进行工艺品陶和瓷制品的高中温烧制，炉内上下温差均匀等特点；                                                                                                                                                          8、不锈钢炉丝接线夹盐雾性能应符合国家GB/T10125-2021《人造气氛腐蚀试验 盐雾试验》标准；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幼儿陶艺专用素坯：1、规格：20个/组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2、规格：直径约7cm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3、材质：高白泥</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pStyle w:val="887"/>
              <w:rPr>
                <w:rFonts w:hint="default"/>
                <w:highlight w:val="none"/>
                <w:lang w:val="en-US"/>
              </w:rPr>
            </w:pPr>
            <w:r>
              <w:rPr>
                <w:rFonts w:hint="eastAsia" w:ascii="宋体" w:hAnsi="宋体" w:eastAsia="宋体" w:cs="宋体"/>
                <w:i w:val="0"/>
                <w:iCs w:val="0"/>
                <w:color w:val="auto"/>
                <w:sz w:val="20"/>
                <w:szCs w:val="20"/>
                <w:highlight w:val="none"/>
                <w:u w:val="none"/>
                <w:lang w:val="en-US" w:eastAsia="zh-CN" w:bidi="ar"/>
              </w:rPr>
              <w:t xml:space="preserve">普通瓷泥：1、材质：高岭土、长石、瓷矿石等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灰陶瓷泥：1、材质：高岭土、长石、瓷矿石等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红陶瓷泥：1、材质：石英、云母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塑钢转台：尺寸：转台上直径29.7cm，下底直径21cm，高12cm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美术纸筒柜：尺寸：62.2×30×59cm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1、侧板采用约18mm厚枫木纹双贴面刨花板，底板、面板、踢脚板采用约16mm厚枫木纹双贴面刨花板，背板采用约5mm枫木纹双贴面密度板，甲醛释放量符合GB/T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1、桌面采用约25mm厚枫木纹双贴面刨花板，其他部分采用约18mm厚枫木纹双贴面刨花板，饰面刨花板甲醛释放量符合GB/T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工作凳：尺寸：28×29×52cm，座高27cm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材料柜：尺寸：W80×D30×H80cm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5、采用踢脚板设计，既增加了稳定性，又可以防止杂物进入柜底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幼儿美术综合柜：尺寸：W60×D60×H64.7cm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1、顶板、侧板、层板、底板、左背板、下竖板采用约16mm厚枫木纹双贴面刨花板，甲醛释放量符合GB/T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2、上竖隔板采用约9mm厚枫木纹双贴面胶合板，甲醛释放量符合GB/T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4、柜体顶部9宫格储存空间，用于美术用品的摆放；柜体下方分为左右两列，左边为有背板三层柜，右边为无背板通透两层柜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柜体底部配以4个塑料滑轮（其中2个带锁定），便于移动脚轮运行平稳无声，转动顺滑，轮面光洁，无裂纹、伤痕、毛边等缺陷，金属件表面光滑平整、无锈蚀、毛刺刃口、露底等缺陷，转动零部件转动灵活，无卡滞及松脱现象，抗冲击性能、动载荷、滚动阻力、旋转阻力、静载荷等符合QB/T 4765-2014标准要求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壁挂式画架：1、材质：实木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2、尺寸：52cm×80cm×9.5cm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3、松木直拼板，含4个塑料杯和一卷画纸，装于墙面作画</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滑轨式作品展示墙：长120×6×2cm木条，含8个活动木夹子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幼儿专用便携式沙画桌（不带支架版）：1、材质：航空箱板材料、防火防水面板、耐高温、防撞击、防潮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2、表面采用圆角包角，作画不伤手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3、可以连接电脑、充电宝、方便演示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幼儿无尘画板：1、升降范围：66-115cm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2、含框板面：44×34cm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3、适合年龄：2-7岁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4、16道工序手工打磨，亲肤无毛刺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5、高度可调节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6、幼儿绘画专用架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桌面工具盒：1、桌面工具收纳材料盒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2、尺寸为：20×21×8cm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，防水效果好，教师美育课必备品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玻璃胶套装：超粘玻璃胶2支、含胶枪1把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单人操作台：尺寸：90×60×65cm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1、桌面及其围板采用约18mm厚木板，侧板、桌脚采用约15mm厚枫木纹双贴面胶合板，甲醛释放量符合GB/T39600-2021标准要求，甲醛释放量≤0.025mg/m³，符合Enf级；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桌面设计铝合金凹槽，尺寸为约L600×W84×H10mm，可接木屑且可取出，方便幼儿清洁桌面垃圾；两侧支板各开两个工具槽和两排共6个圆形孔洞，工具槽尺寸为W240×H36mm，圆形孔洞直径为16.5mm；本产品共配置12个球头挂杆及12个S形铁钩，可插入圆形孔洞，用于悬挂物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4、桌面下设层板，尺寸为L754×W283mm，板底离地高度为101mm，大储存空间，可按需放置各种规格收纳盒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实木长条板凳：尺寸：90×30×40（cm）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采用约3.5cm厚松，天然环保</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新款大号展示架：尺寸：83.6×41×190cm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2、底板、竖板、层板采约用16mm厚枫木纹双贴面刨花板，饰面刨花板甲醛释放量符合GB/T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4、本产品上部分为3层开放式置物架，下部分为3层教具盒柜，搭配透明PC教具盒，教具盒尺寸为26×35×10cm木棒采用直径约27×800mm的桦木实木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展示架1.2米：尺寸：83.6×41×130cm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4、开放式4层收纳架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机床：可单独组装钻床、锯床、磨轮、车床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钻床：台面尺寸：90×90mm  远程桌面-主轴：0-36mm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锯床、磨轮：对于胶合板的厚度为6mm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表的大小：90×90mm  行程率：3.700分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磁盘速度：3.700转   磁盘ø：32mm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车床：嫩枝直径达30mm   中心距：130mm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摆在床上：36mm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机床润滑油：低噪音润滑油，200ml/罐，成分：锂皂基，产品粘度：3#，适用温度：-20到130度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手钻：20×5.7×21,儿童专用手枪钻,7.2DC伏特低电压，0-500转/分钟，卡盘加紧尺寸为0.8mm-8mm，充电时长3-5小时，配备钻头2枚，3.5MM钻头一枚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大童工具10件套：十件套，儿童专用定制46×6.8×36.5cm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手套：11.8×1.5×19.5cm环保猪皮手套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眼罩：PC镜框和PVC透明镜片组成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白色修补胶：13×4.3×5.5cm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12件套装雕刻刀：19.5×2.5共有12款不同刀头</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小锯套装：41.5×18.1×2.1cm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U型锯：19×10.9×2.4cm含备用锯条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迷你老虎钳：360度旋转微型台钳 铝合金材质轻巧方便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木工刨子：21.1×14×18一套四款</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锤子：15cm×2cm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卷尺：5米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十字批：十字批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一字批：一字批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调色盘、画笔组合、颜料：丙烯颜料,含调色盘,小毛笔套装丙烯颜料,儿童专用环保颜料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材料包1：18.3×18.3×2mm厚夹板,分23款不同图案,一包50张板材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材料包2（无丝印：18.3×18.3×2mm厚夹板,无图案空白板材,可任意发挥绘画,一包50张板材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材料包3（23款小配件）：18.3×18.3mm；里面包括23款材料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材料包4（树枝圆片）：含4包原木片和6捆树枝</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大车床圆棒荷木：直径：3cm 长：10cm荷木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一横切面中心点打孔直径:3mm,深:7mm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伐木小车：彩盒包装、松、最高等级纯原塑料14×6.6×5.6cm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颜料架：314×192×120mm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笔架：200×200×80mm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木工箱：34.5×28×25cm，共四层，表层可收纳螺丝钉子等小材料，下三层为抽屉式，木式轨道经久耐用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插孔挂板：底板尺寸：120×80 配120粒木塞，可挂于墙上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功能隔板：底板尺寸：120×80 五块隔板可挂工具，可挂于墙上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挂钩：60×5.8×1.8cm原木制成，五个金属挂钩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九宫盒：40×28×0.7外框由榉木制作而成，内框为卡槽夹板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融合教室：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手功能及思维训练组合箱：1、 组合箱分三层，中间层为固定的亚克力板，亚克力板均匀分布24个磁力孔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2、组合箱尺寸30×20×4cm；材料为亚克力、实木夹板、和金属磁板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3、手功能及思维训练组合箱由三层组成：（1）表面为透明亚克力材料，厚度约2mm；（2）中间层为亚克力板，均匀分布24个磁力孔；（3）底层为任务卡区域，任务卡尺寸25×15cm；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4、配有磁力笔1支，可将金属磁板吸入相应的亚克力24个磁力孔中5、配置任务卡数量不少于120张；尺寸23×12cm，任务卡排版中有磁力孔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任务卡包含以下模式：（1）人物职业与对应物品模式；（2）动物与对应食物模模式；（3）找线条模式；（4）物品与关联模式；（5）形状配对模式；（6）影子配对模块；（7）物品补缺模式；（8）分类模式；（9）空间位置配对模式；（10）轻重选择配对模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髋关节旋转训练器：通过足的画圈运动，改善髋关节的旋转功能，用于髋关节活动受限的患者124×92×53cm，扶手高度调节范围，90～135cm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PT训练床：用于PT训练患者床上活动 190×126×48cm, 床面高度48cm；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平衡板（带扶手）：92×72×24cm，面板摆动角度-13°～+13°，额定载荷135kg，功能：偏瘫、脑瘫等运动失调患者进行平衡、协调训练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组合皮软垫：适用于各种垫上运动，包括关节活动度、座位平衡、卧位医疗体操及卧位肌力训练，182×122×5cm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儿童滚筒：尺寸：￠22×80cm，功能：训练上肢功能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听力言语训练设备：一、辅助沟通模块：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1、沟通符号分为人物类、日常动作、实物、意见表达、情绪状态、玩具活动、地垫、衣物穿戴、日常用品、交通工具、天气、身体器官等20个大类，700个核心沟通词汇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2、组句栏可以扩充到18个词汇，一次性发声沟通词汇18个词汇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3、辅助沟通界面的背景为彩色，便于学生视觉区域归类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二、噪声检测模块：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1、环境噪声监测：一键进行环境噪声监测得出分贝，并自动判别出检测噪声的类似环境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2、系统可以建构出20种不同的噪声播放环境，满足学生的学习需求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三、听觉感知功能模块：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1、在异同分辨、响度感知、时长感知、节拍感知、音高感知、旋律感知和空间感知模块的训练前，可以进行训练的噪声背景设置，噪声强度设置：无、弱、中和强四种模式选择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异同分辨、响度感知、时长感知、节拍感知、音高感知、旋律感知和空间感知模块的训练前，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四、语音识别训练模式：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1、在韵母识别、声母识别、声调识别和词语识别模块中，可以进行训练的噪声背景设置，噪声强度设置：无、弱、中和强四种模式选择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2、在韵母识别、声母识别、声调识别和词语识别模块中，可以进行训练的噪声背景设置，噪声类型设置：白噪声、音乐噪声、人声噪声、街道噪声、校园噪声和风噪声六种模式选择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感知测试和语音测试模式：1、在感知测试和语音识别测试模块的训练前，可以建构模拟16种组合噪声类型的场景到语音播放中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五、构音训练模块：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1、构音训练模块包含：构音一阶（y/w）、构音二阶（b/m/d/h）、构音三阶(p/t/g/k/n)、构音四阶(f/j/q/×)、构音五阶(L/z/s/r)和构音六阶(c/zh/ch/sh)，训练形式包含单字、词语和句子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2、构音训练模块中单字训练，每次都会在题库中随机抽出10个汉字进行学习，单字训练内容包含y/w/b/m/d/h/p/t/g/k/n/f/j/q/×/L/z/s/r/c/zh/ch/sh，每个单字训练内容都有专业老师的针对该内容的讲解视频，并演示训练方法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3、构音训练模块中的单字和词语都有口型对比视频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六、激发反馈模块：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1、激发反馈模块有</w:t>
            </w:r>
            <w:r>
              <w:rPr>
                <w:rFonts w:hint="eastAsia" w:ascii="宋体" w:hAnsi="宋体" w:eastAsia="宋体" w:cs="宋体"/>
                <w:i w:val="0"/>
                <w:iCs w:val="0"/>
                <w:color w:val="auto"/>
                <w:sz w:val="20"/>
                <w:szCs w:val="20"/>
                <w:highlight w:val="none"/>
                <w:u w:val="none"/>
                <w:lang w:val="en-US" w:eastAsia="zh-CN" w:bidi="ar"/>
              </w:rPr>
              <w:t xml:space="preserve">低阶和高阶的内容，低阶内容包含：胡萝卜、梨、排骨、柠檬、猴子、猫、面包、火龙果、蜜蜂、牛、一、姨、已、亿、鸡、及、挤、继、咪、迷、米、秘、失、时、使、是、出、厨、楚、处、哥、隔、葛、各、沙、啥、傻、煞、磕、咳、可、克、书、熟、鼠、树、呲、辞、此、次、泼、婆、叵、迫、失、时、使、是、猪、竹、主、住、撸、卢、卤、录、须、徐、许、旭、逼、鼻、笔、必、批、皮、匹、屁高阶内容包含：吉他、零、彩、直升飞机、九、书包、小鸡、手提包、夹克、手表、梯形、海豚、螃蟹、球鞋、背包、跟、哏、艮、茛、掰、白、百、败、优、游、友、右、</w:t>
            </w:r>
            <w:r>
              <w:rPr>
                <w:rFonts w:hint="eastAsia" w:ascii="宋体" w:hAnsi="宋体" w:eastAsia="宋体" w:cs="宋体"/>
                <w:i w:val="0"/>
                <w:iCs w:val="0"/>
                <w:color w:val="auto"/>
                <w:sz w:val="20"/>
                <w:szCs w:val="20"/>
                <w:highlight w:val="none"/>
                <w:u w:val="none"/>
                <w:lang w:val="en-US" w:eastAsia="zh-CN" w:bidi="ar"/>
              </w:rPr>
              <w:t xml:space="preserve">虽、随、髓、岁、灰、回、悔、慧、轻、情、请、庆、分、坟、粉、粪、靴、学、雪、穴、音、银、饮、印、餐、残、惨、残、穿、船、喘、串、砰、鹏、捧、碰、喵、苗、秒、庙、妞、牛、扭、拗、接、杰、姐、借、 憨、韩、喊、汗、拈、粘、碾、念、糟、凿、枣、皂、深、神、沈、肾、包、薄、宝、豹、齁、猴、吼、厚、凹、熬、袄、澳、秧、羊、养、样、捞、劳、老、酪、方、房、仿、放、晕、云、允、运、飞、肥、匪、费、汪、王、往、忘、挑、条、挑、跳、招、着、找、照、嗨、还、海、害、嚷、瓤、壤、让、星、行、醒、兴、嘬、昨、左、坐、风、逢、讽、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激发反馈模块预录制了标准化的训练内容音频，并与音频同步呈现音量和音调的动画视频，用户也可自主录制音频，录制音频的音调和音量可以用动画的形式呈现波形图，并自动匹配标准化的音调和音量动画，越接近得分越高，同时给出得分，使语训可视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1、外型尺寸32×26×12cm±3%，外壳为ABS材料，可以防摔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2、内置5600mAh电池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3、电源按钮和音量按钮嵌入到外壳中，便于操作和防摔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4、存储：32GB+云存储，可音视频播放及存储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5、硬件内置双通道100dB高保真扬声器，出音口面向使用者方向，保障音频输出的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6、硬件内置双麦克风列阵，保障高清录制语音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7、振动试验要求：按照《GB/T 14727-2008  无线传输式聋儿听力言语训练设备通用技术条件》标准检测，将带有包装盒的设备紧固在振动台上，在频率20Hz、加速度3g、振幅为1.875mm的条件下，垂直、水平、侧向各振动10min，试验后在测试条件下其结构、性能均符合要求，各种功能应正常并符合初始测试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8、外观结构要求：按照《GB/T 14727-2008  无线传输式聋儿听力言语训练设备通用技术条件》标准检测，文字、符号或标记应清晰、正确，产品表面无毛刺、飞边凹陷和划痕的缺陷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拓展型--显示屏式电子沟通板：1.主界面由42个核心词汇构成，可自由组合词组、句子，并在播放栏进行播放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2.可自由设置行×列的方式，行和列可从1扩展到12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系统包含4000份的沟通词汇，用户可完成替代性沟通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4.沟通模板、背景、格子的颜色都可以进行自由设定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5.版面排列可自由设置，可自主调整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6.可进行模板的超链接的功能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可进行文字、语音速度、播放栏的设定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系统硬件组成：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4核处理器；9.7寸屏幕；32GB；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过河石：感统体能训练，过河石11件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训练浪桥：1、A字架：长约190cm； 宽约170cm； 高约110cm，不锈钢材质，钢管直径约3cm，挂件钢管厚度：1.5mm，其他钢管厚度：1mm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2、吊缆：长度：160cm, 中间宽度：60cm；帆布+木质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3、横抱筒：直径：18cm长度：58cm，外层PU革、内填充密度海绵，接口处配有拉链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4、竖抱筒：直径：18cm长度：56cm，外层PU革、内填充密度海绵，接口处配有拉链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5、可靠稳定性要求：在设备主架结构中间部分施加约200N±2%水平拉力或推力，设备不产生位移，符合相应的国家标准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万象组合套装：1、半砖：高级塑胶PP/PE/ABS，数量12个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2、全砖：高级塑胶PP/PE/ABS，数量8个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3、平衡桥：高级塑胶PP/PE/ABS，数量4个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4、体能环：高级塑胶PP/PE/ABS,直径35cm，数量：4个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5、体能环：高级塑胶PP/PE/ABS，直径59cm，数量：4个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6、体能棒：高级塑胶PP/PE/ABS，长35cm，数量：16根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7、体能棒：高级塑胶PP/PE/ABS，长70cm，数量：8根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8、棒夹：高级塑胶PP/PE/ABS，数量：12个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9、环夹：高级塑胶PP/PE/ABS，数量：12个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10、豆袋：布制+塑料粒子、数量：10个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高跷组合：1、带踩压形状的塑料底座，合成橡胶的手柄由4个塑料部分制成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2.尺寸：260×160×700mm；材料：PP 塑料, TPE合成橡胶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3、静载强度要求：承载力2000±2%N并保持5分钟，静载试验后，不应有任何裂纹、破损等，符合相应的国家标准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平衡触觉板：1、由塑料横杆组成的步道，8片曲线+8片直线,4个墩触觉板组合的步数.触点提供神经刺激讯号.加强儿童触觉学习,亦可与组合系列配合,做平衡动作训练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2、产品规格；49长×13.5宽×8高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刷身刷：进行触觉训练；包括2个刷身刷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摇晃岛：1、可以设计有趣和挑战性的平衡训练，锻炼学生的平衡、本体感觉底部盘是处于活动的，需要学生专注在保持平衡，同时进行平衡游戏；底部的圆盘由2个硬的塑料部件，中间是厚的而且可以活动的橡胶链子连接，随着学生的重心改变而移动；货物尺寸：直径210mm、高度160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2、活动部件间的间隙：应可插入直径约12mm的圆杆，符合相应的国家标准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踩踏石：1、适合于训练小朋友的协调能力和感觉统合能力以及逻辑思维能力，以及培养儿童判断距离的能力可设计多种情景进行游戏防滑塑胶设计,确保安全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2、规格：ø15cm，H7cm  承重100kg，3对/套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浮板：1、可以提供不同的排列组合方式，为学生提供无限的乐趣，在游戏的过程中进行平衡训练可以全面培养学生的大肢体动作，有趣和安全的设计鼓励学生多进行锻炼表面为可接触性环保塑料，主材为塑料及钢材；接触面直径约32cm,高度约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2、密封性能要求：将球体置于水下100mm处，气泡产生间隔大于1分钟，符合相应的国家标准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船体套件：1、学生可以在曲型中使用各种方式进行训练，如凹面触觉板和独木桥触觉板等，还可以提供不同的排列组合方式，为学生提供无限的乐趣，在游戏的过程中进行触觉训练适合各种不能年龄段的学生进行康复训练；表面为可接触性环保塑料，主材为塑料及钢材；尺寸500×170×89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2、机械性强度要求：主要受力位置施加静载荷2000N±2%并保持5分钟，卸载后无任何裂痕和破损，符合相应的国家标准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滑板：1、应用于学生进行平衡、重心移动及本体感统刺激，同时具有防滑设计，可以进行全方位旋转训练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2、表面为可接触性环保塑料和尼龙，带有弧形；防滑性：表面具有防滑纹 ，尺寸480×150×72mm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3、地面具有8个轮；两侧个4个轮子均匀分布在圆周上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4、机械性强度要求：主要受力位置施加静载荷2000N±2%并保持5分钟，卸载后无任何裂痕和破损，符合相应的国家标准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跳袋：材料色彩鲜艳仿皮布袋，仿皮布袋；锻炼孩子的平衡及本体觉能力尺寸：30×60cm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卡片式电子沟通板：1、适用人群：用于儿童自闭症人群、智力障碍人群、发育迟缓人群等语言沟通交流障碍的功能障碍者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2、录音：用户可自选卡片进行录音，所录声音不随电池用尽或关机而消失再次录音会覆盖该位置原有储存，本机储存芯片总录音时长为16分钟（4层页面设计）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3、模式：共分为四种模式，模式一：12键模式，模式二：4键模式，模式三：2键模式，模式四：1键模式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4、沟通卡：配置50张沟通卡片，插入卡片即可使用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5、页面所在层设置：根据不同学生的需求我们可以设置录音和放音的所在层，页面上指示灯1/2/3/4分别对应4层页面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6、沟通图库：配置沟通图库优盘，专业的图库数量2000份，便于老师制作个性化的沟通卡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7、特殊开关模式：本机可使用3.5mm标准插头的特殊开关，按压特殊开关进行沟通，为肢体不便人士提供便利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巡检成句模式：插好特殊开关，按特殊按钮，进入巡检成句模式，本机开始顺序播报，播报过程中，根据听到的想要表达的声音播报按压特殊开关，全部播报完毕后，本机按照使用者所选（特殊按钮选择位置顺序）组成整句，再次播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9、本沟通板可外接耳机或功放，以适用不同障碍人士要求使用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配置：沟通板一台：沟通板面9.6英寸；沟通卡50张；特殊开关一台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10、用户界面要求：按照《GB∕T 28922-2012 残疾人辅助器具日常生活的环境控制系统》标准检测，环境控制系统应满足特定用户指令的功能要求，所用方式应满足感觉、认知障碍者的需求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11、输入要求：按照《GB∕T 28922-2012 残疾人辅助器具日常生活的环境控制系统》标准检测，在使用说明书中指出按键或开关的灵敏区域，及指示区域内触发按键和（或）开关的力的大小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阳光隧道组合：1、布料采用加密涤塔夫+网布，钢丝从两层涤塔夫中间穿过，加厚设计，不用担心宝宝会被钢丝割到，充分锻炼孩子的攀爬能力天窗的设计，让老师们能看清幼儿情况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2、该产品能够有效的刺激前庭平衡感适合于动作不协调，注意力不集中，平衡感差，容易跌倒的儿童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3、钢丝+涤纶布；48×72cm（6通）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独脚凳：1、进行感觉统合训练能促进大脑功能的发展和成熟，提高孩子的学习技能和体能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2、材质：木质（椅面有一定柔软度，保护保护孩子脊柱）</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彩色球：1、环保塑料，直径约40cm，内置彩色球，可以发出响声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光面大笼球：1、材质：环保塑料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2、负载：最大可承受100kg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3、内容及尺寸：直径约52cm球一个；颜色：蓝色、红色、黄色不等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羊角球：1、可进行下肢力度训练，也可以进行本体觉训练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2、材质：环保塑料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认知学习板：认知学习板训练学生的手眼协调、形状认知、事物认知、精细动作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1、由英文大写字母和数字组成的双面钢珠写字板，两个面板上都有钢珠排布的图案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2、磁性板标有笔画顺序，帮助学生用有趣的方式学字认字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3、数字板带有自主练习区，不少于32行6列共256颗钢珠组成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4、写字板约30×23cm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感知训练器：产品功能：1.训练学生手眼协调能力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1、训练学生对手指力量的控制度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2、训练学生手指灵活度</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延长学生专注力时间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3、木质板面长：52cm，宽19cm，厚1.5cm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4、杯子数量12个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5、弹射器：2个，弹力球：1个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彩虹型--显示屏式电子沟通板：1、彩虹型--电子沟通板采用文字、符号、图形等视觉信息和声音相结合的形式，能够发出与视觉信息内容相对应的声音，辅助言语障碍者交流信息或训练沟通能力的电子辅助器具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2、沟通模板可自由设定，最多可设置10种模式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3、播放方式分为组合朗读和直接朗读，可满足不同沟通障碍者的需求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4、系统自带数据库，共有23种类词汇，含530个核心词汇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5、可进行版面之间的超链接功能，可极大扩充词汇内容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6、系统自带各类沟通模板，共500张，便于用户使用；沟通素材可自主编辑录制及选用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7、硬件：四核，16GB储存空间，8寸屏幕尺寸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8、设计要求：按照《GB∕T 28922-2012 残疾人辅助器具日常生活的环境控制系统》标准检测，设备应能清楚识别设备是否处于编程模式，设备的设计应适其在断电情况下功能设置不遭到破坏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团队协力板/4人：1、用于学生下肢平衡以及身体协调能力训练同时可进行团队训练，锻炼团体的凝聚力等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2、环保塑料：39.5×12.5×2.5cm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奥尔夫乐器：1、以节奏乐器为主，材质要求环保、无毒，分四类，皮革类：所有的鼓类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2、2、原木铃鼓6寸、原木木鱼、单响筒、13摇铃、早午板、沙蛋、响板、三角铁、沙锤、打棒、带柄碰铃、双响筒、环保铃各6个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3、产品设计合理，能够满足特殊教育随班就读学生的实际需求并保证学生使用安全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咨询沙发：单人布艺一套；双人布艺沙发一套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咨询配套茶几：实木茶几：圆形茶几，直径60cm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早期行为干预卡片：1、早期行为干预卡片分为学会聆听、学会发声、情感体验、礼貌用语、文明行为、社会交往、换位思考、学会分享等9个篇章，可通过示范教学、情景模仿、角色扮演、正面强化、行为矫正等多种训练形式，引导教育和综合培养特殊需要儿童的行为素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2、每个主题均呈现为连续性卡片，将日常生活中经常发生的行为按事件先后顺序呈现给儿童，分步进行行为指导和干预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3、每张卡片正面右上角均有该主题的图标，有助于儿童对每个主题的区分，并在排序卡片时给予提示主题卡片中含有正确行为与错误行为，可让儿童对正确行为与错误行为进行区分，以强化正确行为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早期行为干预卡片适用于智力障碍、认知障碍、精神发育迟滞、孤独症谱系障碍、品行障碍、多动症等特殊儿童的早期行为干预本套卡片包括学会聆听、学会发声、情感体验、社会交往、乐于合作、礼貌用语、文明行为、换位思考和学会分享九个篇章，每个篇章均包含1-2个单元主题，并配套有使用说明手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0-3托幼教室：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组合玩具柜：1.尺寸：4700*30*145mm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2.材质：橡木拼接板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3.板子厚度：18mm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幼儿沙发：1、92×45×45.9cm，面料：</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，经防虫、防腐、分层、鞣制等数十道工序处理。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3、五金件选用环保五金，稳固不松动，镉、铅、汞、六价铬含量符合GB/T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4、软垫采用环保耐磨PVC阻燃透气皮包覆，触感轻柔，绿色环保，耐磨耐用，皮革中P值、甲醛、可裂解出致癌芳香胺的偶氮染料、耐水色牢度、耐干摩擦色牢度度、无异味等各项指标均符合QB/T 4045-2010</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w:t>
            </w:r>
            <w:r/>
          </w:p>
          <w:p>
            <w:pPr>
              <w:numPr>
                <w:ilvl w:val="0"/>
                <w:numId w:val="3"/>
              </w:numPr>
              <w:ind w:left="0" w:firstLine="0"/>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甲醛含量：达到国家E0级环保标准甲醛含量≤9mg/100g</w:t>
            </w:r>
            <w:r/>
          </w:p>
          <w:p>
            <w:pPr>
              <w:numPr>
                <w:ilvl w:val="0"/>
                <w:numId w:val="0"/>
              </w:num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lang w:val="en-US" w:eastAsia="zh-CN" w:bidi="ar"/>
              </w:rPr>
              <w:t xml:space="preserve">幼儿沙发填充高回弹海绵，韧性、缓冲回弹性能良好；海绵填充物危险杂质、含杂率、有害物质污染物、燃烧性能、异味、微生物卫生指标均执行 GB/T 30400-2013</w:t>
            </w:r>
            <w:r>
              <w:rPr>
                <w:rFonts w:hint="eastAsia" w:ascii="宋体" w:hAnsi="宋体" w:cs="宋体"/>
                <w:i w:val="0"/>
                <w:iCs w:val="0"/>
                <w:color w:val="auto"/>
                <w:sz w:val="20"/>
                <w:szCs w:val="20"/>
                <w:highlight w:val="none"/>
                <w:lang w:val="en-US" w:eastAsia="zh-CN" w:bidi="ar"/>
              </w:rPr>
              <w:t xml:space="preserve">标准。</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爬爬垫：材质：XPE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尺寸：宽1800mm长50000mm厚25mm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各式玩具（海洋球、推推车等等）：80mm海洋球200个，包含海绵软体围挡2.64*1.92m，730*300*330mm独轮小推车1辆，900*850*550mm推推车1辆，1950*1000*1050mm精灵钻洞1套，1000*400*1100mm人形墙1套，5930*200*200平衡独木桥1个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玩具收纳室：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器材架：全部采用冷轧钢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美观大方、结构牢固、规格多样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表面处理采用乳化剂和碱性助洗脱脂，磷酸除锈，钝化最后粉末喷涂，装饰防护性能好，附着力强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1800*500*2000mm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档案室：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资料架：(1)采用鞍钢冷轧钢板具有抗腐蚀、抗冲击、抗老化、耐磨、经除油，除锈，酸洗，磷化，钝化等工序后模压成型；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(3)850*390*1800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小中大班桌面玩具、益智区、角色区材料：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（一）益智区（小班）：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彩串珠：材质：桦木、禾木；包装尺寸：约13.1×13.1×18.3cm；产品尺寸：串珠约2.2cm内含：内含正方体36件、球形36件、圆柱体36件、绳子6件丰富多样的串珠，可以按颜色进行分类，可以进行计数，学习加减法等游戏，还可以创建各种图案，提高创意能力不仅如此，幼儿还可以通过串珠，锻炼小手精细动作，促进专注力的提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（二）建构区（小班）：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颗粒积木：材质：塑料（ABS）；包装尺寸：约26×23.3×19.3cm；产品尺寸：底板约12.7×12.7×1.4cm，最小约3.2×3.2×2.4cm内含：积木×103由5种不同配件及6种颜色组成，可进行分类、颜色、排序、计数等游戏，还可以搭建各种各样造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轮子水管：材质：塑料（ABS）；包装尺寸：约26×23×19cm；产品尺寸：直管长约7cm、直径约2.3cm内含：红色轮子4个，黄色直管10个，黄色弯管10个，绿色直管10个，绿色弯管10个，紫色十字4个，紫色T字4个，橙色十字4个，橙色T字4个适合幼儿操作、可以创造小人、车辆等形状、锻炼小手肌肉控制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磁力棒：材质：塑料、磁铁；包装尺寸：约26×23.3×10.5cm；产品尺寸：磁力棒最长约11.6cm、磁力棒最短约6.9cm、球4.5cm、操作卡20×14cm内含：磁力棒×32、球×10、操作卡×5大尺寸的磁力棒，大小适中，适合幼儿小手抓握圆润光滑，环保，无毒无异味磁力强劲，永磁体经久耐用，搭建造型更加稳固丰富的色彩及造型，配有操作图卡，帮助幼儿认知各种颜色、形状、搭建各种造型让幼儿在搭建中充分发挥想象力、创新能力和思维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创意拼装条：材质：塑料(PP)；包装尺寸：约26×23×19cm；产品尺寸：半圆形拼条尺寸10×6cm内含：创意拼装条×120各种形状的拼装条可以灵活拼插，锻炼了幼儿的空间想象力，玩法多多，造型多多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（三）科学区（小班）：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手持放大镜：材质：ABS；包装尺寸：24×24.6×16.6cm；产品尺寸：镜面宽度带包边11.5cm、加手柄总长23cm内含：红放大镜×1、黄放大镜×1、蓝放大镜×1、绿放大镜×1、橙放大镜×1、紫放大镜 ×1工艺考究、适用于小组活动、是幼儿园开展科学活动的必备工具可选购收纳盒、培养幼儿随拿随放的好习惯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双孔3×放大观察箱：材质：塑料（ABS、LDPE、PMM）；包装尺寸：约17×9.9×8.9cm；产品尺寸：20×13cm内含：观察箱×1幼儿能从3 倍观察孔观察捕捉到的昆虫植物防水及透气孔设计，不会伤害到小昆虫，让幼儿友善安全地观察大自然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牙齿模型：材质：塑料(ABS/PVC)；包装尺寸：17×17.5×22.2cm；产品尺寸：牙齿模型约20×16×13cm，牙刷约22×2.1cm内含：牙齿模型×1，牙刷×1适合给幼儿演示刷牙的牙齿模型，了解牙齿的基本构造和基本功能，理解牙齿健康的重要性，了解有关换牙的知识，养成爱护牙齿的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底探测船：材质：塑料(TPE、PP、ABS)；包装尺寸：约27.4×22.9×7.1cm；产品尺寸：透明底船约25×13×6cm；内含：探测船×1船底部用固定3倍放大镜，可以在游泳池或是安全的小水池观察水底下放大的物品，能清楚看到细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（四）音乐区（小班）：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皮单排铃鼓：材质：木制、皮制（仿羊皮）；包装尺寸：约19.4×5×19.5cm；产品尺寸：铃鼓直径约18cm内含：铃鼓×1边缘打磨光滑的铁铃，不会伤到幼儿的小手羊皮鼓面，触感细腻，品质上乘可用于音乐伴奏、器乐合奏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铃21铃：材质：桦木、人造皮、电镀铁；产品尺寸：棒形雪铃长约26.5cm内含：棒形雪铃×1棒形雪铃是木棒形状带着铃铛的打击乐器，轻轻晃动手臂，发出叮铃铃的响声，声音清脆而响亮，幼儿在自由操作的过程中感受音乐的韵律感，锻炼手腕和手臂力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碰钟：材质：黄铜；产品尺寸：直径约4.4cm内含：碰钟1对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双音木鱼：材质：椿木；包装尺寸：双音木鱼约18.5×4cm；产品尺寸：双音木鱼约20×4cm内含：双音木鱼×1、敲棒×1 通过木制的敲棒击打而发音，它的音色接近于响板通过音律的快慢进行有节奏的敲打，提升幼儿的节奏感</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砂球：材质：桦木；产品尺寸：长约11.5cm内含：沙球×2精选木材，制作工艺考究，圆润打磨、无毛刺，贴心呵护幼儿的小手精致小巧的尺寸设计，方便幼儿灵活抓握可进行音律启蒙，同时也可锻炼幼儿的手眼协调能力和专注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响棒：材质：橡木；产品尺寸：约17.8×2cm内含：响棒×2精心打磨的节奏响棒，配合音乐可敲打出快慢不同的节奏，让幼儿在自由操作中充分感受音乐中节奏的快慢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鼓：材质：防皮、金属、橡木；产品尺寸：手鼓直径约14cm内含：手鼓×1，棒子×1平滑有微微弹性的鼓面，敲击起来使乐声更有质感鼓面强韧，不易破损在打鼓的过程中锻炼幼儿四肢协调能力，促进右脑潜能的开发和平衡左右脑发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木琴：材质：桦木；产品尺寸：木琴约42cm×21.5cm内含：木琴×1 、棒子×2实木琴片，更贴近自然质地坚固，不易开裂和变形，经久耐玩标准音阶，音乐启蒙不跑偏音色自然，带给幼儿准确的音乐启蒙两根实木敲棒，在双手敲打间培养幼儿手眼协调，也能促进左右大脑的开发</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（五）建构区（中班）：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半球太阳花：材质：PP；包装尺寸：约26×23.3×19.3cm；产品尺寸：最大约6.5cm内含：积木×150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大圆孔八角片：材质：塑料(PP)；包装尺寸：约26×23×10cm；产品尺寸：单件直径约6.5cm内含：红×28、黄×28、蓝×28、绿×28、紫×28、橘×28颜色多样，可制作不同的作品，锻炼幼儿动手能力与想象力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种连接块：材质：塑料（ABS）；包装尺寸：约26×23×10cm；产品尺寸：单个方块约2×2×2cm内含：红×30、黄×30、蓝×30、绿×30、紫×30、橘×30（其中方块90只，其他三个形状各30只）利用不同形状的连接，创作机器人、动物等造型，锻炼手眼协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建构棒：材质：塑料(PVC)；包装尺寸：约20.8×20.6×5.6cm；产品尺寸：约20.5×21×5cm内含：棍子、曲线和连接件等58个零件如何搭建出二维、三维立体作品呢？工程建构棒帮助幼儿在创造过程中学会解决问题，并发现建构中的乐趣，提升几何空间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（六）扮演区（中班）：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医生急救箱：材质：ABS；包装尺寸：约17×46.5cm内含：听诊器×1、剪刀×1、钳子×1、药瓶×1、温度计×1、镊子×1、手术刀×1、牙镜×1、针筒×1、眼镜×1、耳镜×1、 医药箱×1温度计中的刻罗盘可以360°任意转动，针筒柄在一定力度的作用下可以下压，松开后自动弹起，丰富的玩具材料可以帮助幼儿模仿医生工作，了解医生这一职业，也能让扮演情境更丰富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娃娃男女组：材质：布制；包装尺寸：约47×33×14cm；产品尺寸：娃娃高约41cm内含：娃娃×2，衣服×2，奶瓶×2，衣架×2新手爸爸妈妈，来帮布娃娃换尿布、穿衣服、戴帽子，透过实际的操作帮助幼儿学习关怀照顾他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篮：材质：塑料（ABS、PVC、TPE）；包装尺寸：约14.7×14.7×14.7cm；产品尺寸：篮子高约10cm，直径约14cm内含：篮子×1、玉米×1、黄瓜×1、花椰菜×1、红椒×1、茄子×1、胡萝卜×1、黄椒×1、芦笋×1、土豆×1各种蔬菜，既可以让幼儿学习认识蔬菜名称、颜色，也可以作为扮演游戏的辅助材料，丰富游戏情节，体验互相交流的乐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篮：材质：塑料；包装尺寸：约14×14×12.7cm；产品尺寸：篮子高约10cm，直径约14cm内含：篮子×1、苹果×1、草莓×1、柠檬×1、香蕉×1、李子×1、橘子×1、杏×1、葡萄×1、梨×1可以让幼儿学习认识水果名称、颜色，或是说说自己喜欢的水果；也可以作为扮演游戏的道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具仿真颜色41件套网袋：材质：塑料(PP)；包装尺寸：约22×16×17.5cm；产品尺寸：网袋装产品后的尺寸：高约20cm，盘子直径约21.5cm内含：模拟颜色41件套丰富多样的餐具，幼儿可以扮演家长，玩餐厅准备美食游戏，邀请亲朋好友一起来参加派对，准备好吃的食物和精致的碗盘摆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条机：材质：塑料（ABS）；包装尺寸：约33.5×13×24cm内含：面条桶×1、手柄×1、粗切面组件×1、细切面组件×1、面盘×1、圆形刀模×1、饺子制作模×1、饺子制作模×1丰富的材料可以让幼儿扮演面条制作师、玩面条加工厂的游戏，体验制作面条的愉悦心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（七）建构区（大班）：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能积木：材质：塑料(PE)；包装尺寸：26×23.3×19.3cm；产品尺寸：轮子直径约7.4cm、最小积木约4.4×4.4×1.5cm内含：万能积木×52多种形状的积木块，可以建立更多造型，做个机器人、搭个风车，让幼儿灵感不断，满足他们的奇思妙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建筑拼搭：材质：</w:t>
            </w:r>
            <w:r>
              <w:rPr>
                <w:rFonts w:hint="eastAsia" w:ascii="宋体" w:hAnsi="宋体" w:eastAsia="宋体" w:cs="宋体"/>
                <w:i w:val="0"/>
                <w:iCs w:val="0"/>
                <w:color w:val="auto"/>
                <w:sz w:val="20"/>
                <w:szCs w:val="20"/>
                <w:highlight w:val="none"/>
                <w:u w:val="none"/>
                <w:lang w:val="en-US" w:eastAsia="zh-CN" w:bidi="ar"/>
              </w:rPr>
              <w:t xml:space="preserve">塑料（ABS）；包装尺寸：约26×23×19cm；产品尺寸：单件最长约19cm内含：红长条5个，红立方体3个，红螺母16个，红螺栓13个，红色一共37个；黄色条子9个，黄立方体4个，黄螺母16个，黄螺栓13个，黄色一共42个；蓝色条子9个，蓝螺母15个，蓝螺栓18个，蓝扳手1个，蓝六角扳手1个，蓝色一共44个；绿长条5个，绿螺母15个，绿螺栓18个，绿色一共38个；黑色6个内含红、黄、蓝、绿色的长条、立方体、螺母、螺栓等材料、可以搭建挖掘机、机器人、动物等多种类的造型、满足幼儿自主搭建培养积极主动的良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空心磁力片：材质： 塑料、磁铁</w:t>
            </w:r>
            <w:r>
              <w:rPr>
                <w:rFonts w:hint="eastAsia" w:ascii="宋体" w:hAnsi="宋体" w:eastAsia="宋体" w:cs="宋体"/>
                <w:i w:val="0"/>
                <w:iCs w:val="0"/>
                <w:color w:val="auto"/>
                <w:sz w:val="20"/>
                <w:szCs w:val="20"/>
                <w:highlight w:val="none"/>
                <w:u w:val="none"/>
                <w:lang w:val="en-US" w:eastAsia="zh-CN" w:bidi="ar"/>
              </w:rPr>
              <w:t xml:space="preserve">；包装尺寸：约26×23.3×10.5cm；产品尺寸：最大约12×6.4×5.9cm、最小约4.3×4.3cm、操作卡约20×14cm内含：新三角×24、新四角×24、新五角×2、新长三角×8、梯形×4、白卡块×10、操作卡片×5多道工序反复打磨，圆润光滑，保护幼儿的小手，圆角设计，轻巧薄款，让幼儿轻松抓握，易搭易拆，造型多变的空心磁力片，可以满足幼儿的奇思妙想，配有操作图卡，从基础形状拼搭，到简易立体造型拼搭，再到三维立体图形的拼搭，逐步建立幼儿的基础空间感知，配有磁力片收纳箱，培养幼儿养成自主收纳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屋积木组：材质：竹制；包装尺寸：约27×26×9cm；产品尺寸：最长约20.3cm内含：竹制积木×42竹制积木，均采用环保材质，既环保耐用、又轻便大小、形状不同的竹子形柱子，屋顶和桥梁，可搭建出完美、逼真的大自然建筑场景，让幼儿在自然材料中亲近自然，幼儿在与材料互动中感知材料的亲自然性，发挥想象力和创造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（八）扮演区（大班）：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地板清洁组：材质：榉木，荷木，ABS，布制，包装尺寸：约：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26.5×13.5×43cm，内含：扫帚×1，拖把×1，除尘掸×1，刷子×1，簸箕×1，收纳架×1</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科技收款机II代：材质：塑料,包装尺寸：约 28.6×25.1×15.7cm,内含：收款机 ×1，游戏纸币 ×30，塑料币 ×40，操作指南×1,液晶屏幕可实际计算的智能型收款机，钱币投掷孔，不含 3C 电池还可练习数字的计算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熨斗架：尺寸：60×30×60cm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 18mm 厚环保三聚氰胺贴面胶合板，甲醛释放量符合 GB/T39600-2021 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2、木蜡油封边，重金属钡、铅、镉、锑、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硒、铬、汞、砷等含量符合</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3、五金件选用环保五金，安全无毒符合</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的要求，钡、铅、镉、锑、硒、铬、汞、砷等含量控制指标完全符合要求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厨师服4件套：材质：棉布，包装尺寸：约：58×43×2cm，内含：帽子 ×1、上衣 ×1、围裙 ×1、三角巾 ×1可以玩扮演厨师、开面包店、美食店等游戏活动，帮助幼儿了解厨师及相关的职业功能、特性，扩大幼儿的视野，培养社交能力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（九）益智区（大班）：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配对螺丝：材质：木制+塑料，包装尺寸：约：26×23.3×10.5cm，内含：木质×42 件，塑料×22 件，教具盒×1 个，操作卡×3 张</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（十）多元STEAM区（大班）：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齿轮游戏-机器：材质：塑料,包装尺寸：约 36.8×27.9×10.2cm,内含：内含螺旋桨、链条、轮子、车轴等 112 个零件,包括特殊零件，例如螺旋桨、球、链条、滑轮、轮子和车轴等部件开放式的设计和可互换的零部件能使幼儿专注于探索和发现，帮助幼儿获得一系列STEAM 技能，如跨领域、动手做、生活应用、解决问题、五感学习，强调自我探索、 自主学习等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齿轮游乐园：材质：ABS，包装尺寸：约：35.5×26×10.7cm，内含：积木×100+3 张学习卡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简易机械原理组：材质：塑料,包装尺寸：约 36.8×24.1×10.9cm,内含：,通过杠杆、滑轮、斜面、轮轴，学习力量、装载、行动和距离的关系可搭配活动指南和机械动力组卡片使用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剑桥组：材质：塑料,包装尺寸：35×26×21cm,内含：各种三角形片×50、各种空心方形片×44、实心方形片×8、小中长连接棒×8、滑轮×4、把手×2、各种方孔片×6、铰链×2、凸轮×4、底座×2、各种悬垂管及管柱×4,幼儿可参考说明书中 的世界著名的桥梁设计，掌握拼搭、架构、悬挂、悬臂和吊桥等建构技能，并鼓励幼儿挑战超出设定的形状和尝试表达出自己的创作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（十一）室内建构积木：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108片原木色卡扣积木：松木实木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25×5×2.5cm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398片积木2.2cm：1.长方形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6.长方形（薄）20×7×1.cm1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48块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10×2.2×2.2cm 松木 原色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10×5×2.2cm 松木 原色 16块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420件建构积木2.2cm：1.长方形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 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 20×7×1.1cm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9.长方形 10×2.2×2.2cm 松木 原色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15.圆柱形 10×2.2×2.2cm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21.半圆形 10×5×2.2cm 松木 原色 16块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27片盒装镜面积木：6种形状，带镜面，带木制收纳盒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松木+亚克力上漆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bl>
    <w:p>
      <w:pPr>
        <w:pStyle w:val="887"/>
        <w:rPr>
          <w:rFonts w:hint="eastAsia"/>
        </w:rPr>
      </w:pPr>
      <w:r>
        <w:rPr>
          <w:rFonts w:hint="eastAsia"/>
        </w:rPr>
      </w:r>
      <w:r/>
    </w:p>
    <w:p>
      <w:pPr>
        <w:pStyle w:val="1065"/>
        <w:spacing w:before="240" w:after="240" w:line="360" w:lineRule="atLeas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“证明材料”要求如有要求，投标人未提供有效证明材料或证明材料中内容与所填报指标不一致的，该指标按不满足处理。</w:t>
      </w:r>
      <w:r/>
    </w:p>
    <w:p>
      <w:pPr>
        <w:pStyle w:val="1065"/>
        <w:spacing w:before="240" w:after="240" w:line="360" w:lineRule="atLeast"/>
        <w:rPr>
          <w:rFonts w:hint="eastAsia" w:ascii="宋体" w:hAnsi="宋体" w:eastAsia="宋体" w:cs="宋体"/>
          <w:color w:val="auto"/>
          <w:highlight w:val="none"/>
        </w:rPr>
      </w:pPr>
      <w:r>
        <w:rPr>
          <w:rFonts w:hint="eastAsia" w:ascii="宋体" w:hAnsi="宋体" w:eastAsia="宋体" w:cs="宋体"/>
          <w:b/>
          <w:bCs/>
          <w:color w:val="auto"/>
          <w:highlight w:val="none"/>
        </w:rPr>
        <w:t xml:space="preserve">五、采购标的需执行的国家相关标准、行业标准、地方标准或者其他标准、规范；</w:t>
      </w:r>
      <w:r/>
    </w:p>
    <w:p>
      <w:pPr>
        <w:pStyle w:val="1065"/>
        <w:ind w:firstLine="480"/>
        <w:jc w:val="both"/>
        <w:keepLines w:val="0"/>
        <w:keepNext w:val="0"/>
        <w:pageBreakBefore w:val="0"/>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均执行国家现行有关标准、相关行业规范：</w:t>
      </w:r>
      <w:r/>
    </w:p>
    <w:p>
      <w:pPr>
        <w:pStyle w:val="1065"/>
        <w:ind w:firstLine="480"/>
        <w:jc w:val="both"/>
        <w:keepLines w:val="0"/>
        <w:keepNext w:val="0"/>
        <w:pageBreakBefore w:val="0"/>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（1）</w:t>
      </w:r>
      <w:r>
        <w:rPr>
          <w:rStyle w:val="1066"/>
          <w:rFonts w:ascii="宋体" w:hAnsi="宋体" w:eastAsia="宋体" w:cs="宋体"/>
          <w:b w:val="0"/>
          <w:bCs w:val="0"/>
          <w:color w:val="auto"/>
          <w:highlight w:val="none"/>
          <w:lang w:val="en-US" w:eastAsia="zh-CN"/>
        </w:rPr>
        <w:t xml:space="preserve">家具类：GB/T 39600-2021《人造板及其制品甲醛释放量分级》（强制标准，涵盖甲醛释放量、结构安全、有害物质限量等核心要求）。</w:t>
      </w:r>
      <w:r/>
    </w:p>
    <w:p>
      <w:pPr>
        <w:pStyle w:val="1065"/>
        <w:ind w:firstLine="480"/>
        <w:jc w:val="both"/>
        <w:keepLines w:val="0"/>
        <w:keepNext w:val="0"/>
        <w:pageBreakBefore w:val="0"/>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（2）</w:t>
      </w:r>
      <w:r>
        <w:rPr>
          <w:rStyle w:val="1066"/>
          <w:rFonts w:ascii="宋体" w:hAnsi="宋体" w:eastAsia="宋体" w:cs="宋体"/>
          <w:b w:val="0"/>
          <w:bCs w:val="0"/>
          <w:color w:val="auto"/>
          <w:highlight w:val="none"/>
          <w:lang w:val="en-US" w:eastAsia="zh-CN"/>
        </w:rPr>
        <w:t xml:space="preserve">玩具类：GB 6675系列《玩具安全》（含GB 6675.1-2014机械与物理性能、GB 6675.2-2014阻燃性能、GB 6675.3-2014特定元素的迁移、GB 6675.4-2014邻苯二甲酸酯含量等）。</w:t>
      </w:r>
      <w:r/>
    </w:p>
    <w:p>
      <w:pPr>
        <w:pStyle w:val="1065"/>
        <w:ind w:firstLine="480"/>
        <w:jc w:val="both"/>
        <w:keepLines w:val="0"/>
        <w:keepNext w:val="0"/>
        <w:pageBreakBefore w:val="0"/>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（3）</w:t>
      </w:r>
      <w:r>
        <w:rPr>
          <w:rStyle w:val="1066"/>
          <w:rFonts w:ascii="宋体" w:hAnsi="宋体" w:eastAsia="宋体" w:cs="宋体"/>
          <w:b w:val="0"/>
          <w:bCs w:val="0"/>
          <w:color w:val="auto"/>
          <w:highlight w:val="none"/>
          <w:lang w:val="en-US" w:eastAsia="zh-CN"/>
        </w:rPr>
        <w:t xml:space="preserve">纺织类：GB 31701-2015《婴幼儿及儿童纺织产品安全技术规范》（适用于幼儿床品、毛巾、衣帽等纺织类附属产品）。</w:t>
      </w:r>
      <w:r/>
    </w:p>
    <w:p>
      <w:pPr>
        <w:pStyle w:val="1065"/>
        <w:ind w:firstLine="480"/>
        <w:jc w:val="both"/>
        <w:keepLines w:val="0"/>
        <w:keepNext w:val="0"/>
        <w:pageBreakBefore w:val="0"/>
        <w:spacing w:line="360" w:lineRule="atLeast"/>
        <w:rPr>
          <w:rStyle w:val="1066"/>
          <w:rFonts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（4）</w:t>
      </w:r>
      <w:r>
        <w:rPr>
          <w:rStyle w:val="1066"/>
          <w:rFonts w:ascii="宋体" w:hAnsi="宋体" w:eastAsia="宋体" w:cs="宋体"/>
          <w:b w:val="0"/>
          <w:bCs w:val="0"/>
          <w:color w:val="auto"/>
          <w:highlight w:val="none"/>
          <w:lang w:val="en-US" w:eastAsia="zh-CN"/>
        </w:rPr>
        <w:t xml:space="preserve">设计规范：《托儿所、幼儿园建筑设计规范》（GB 50099-2013），确保家具、玩具摆放与区域规划符合幼儿园建筑安全要求。</w:t>
      </w:r>
      <w:r/>
    </w:p>
    <w:p>
      <w:pPr>
        <w:ind w:firstLine="482"/>
        <w:jc w:val="both"/>
        <w:keepLines w:val="0"/>
        <w:keepNext w:val="0"/>
        <w:pageBreakBefore w:val="0"/>
        <w:rPr>
          <w:rStyle w:val="1066"/>
          <w:rFonts w:hint="eastAsia" w:ascii="宋体" w:hAnsi="宋体" w:eastAsia="宋体" w:cs="宋体"/>
          <w:b w:val="0"/>
          <w:bCs w:val="0"/>
          <w:color w:val="auto"/>
          <w:highlight w:val="none"/>
          <w:lang w:val="en-US" w:eastAsia="zh-CN"/>
        </w:rPr>
      </w:pPr>
      <w:r>
        <w:rPr>
          <w:rFonts w:hint="eastAsia" w:ascii="宋体"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投标人提供的投标货物应符合绿色环保要求，所使用的主、辅材料应符合国家环保标准。如果以上所列的标准和规范，有新的版本或新的标准、规范，则按最新标准和规范执行。</w:t>
      </w:r>
      <w:r/>
    </w:p>
    <w:p>
      <w:pPr>
        <w:pStyle w:val="1065"/>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val="zh-CN" w:eastAsia="zh-CN"/>
        </w:rPr>
        <w:t xml:space="preserve">★</w:t>
      </w:r>
      <w:r>
        <w:rPr>
          <w:rFonts w:hint="eastAsia" w:ascii="宋体" w:hAnsi="宋体" w:eastAsia="宋体" w:cs="宋体"/>
          <w:b/>
          <w:bCs/>
          <w:color w:val="auto"/>
          <w:highlight w:val="none"/>
          <w:lang w:val="en-US" w:eastAsia="zh-CN"/>
        </w:rPr>
        <w:t xml:space="preserve">质量要求</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1、供货商应保证所供货物是全新的，未使用过的原装合格产品，并完全符合采购需求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2、在货物到达使用单位后，供货方应2个工作日内派工程师和施工人员到达现场，在采购人技术人员在场的情况下开箱清点货物，组织安装、调试，并承担因此发生的一切费用。</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3、供应商保证产品不存在因材质、设计、制造等问题所引起的缺陷，否则应无偿予以纠正；</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4、供应商提供的设备发生非人为因素严重故障时，应当免费在七日内将补充或者更换的货物运抵发生故障的货物所在地，由此产生的一切相关费用由供应商承担。</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5、中标供应商负责设备安装、调试，确保正常运行。安装过程中发生的意外事故等由中标供应商负责，与采购人无关。</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6、供货安装中如涉及商品包装、快递包装及绿色建材的，其标准应不低于《关于印发&lt;商品包装政府采购需求标准（试行）&gt;、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7、投标文件中家具外形、内部造型尺寸、重量允许有±5％偏差。</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8、中标后，家具类标的物材质不得改变。在中标单价不变的前提下，各标的物的款式及颜色由采购单位确定，同时中标标的物的规格尺寸在±5％范围内由采购单位确定，中标单位自行承担相关费用，采购单位不予考虑。</w:t>
      </w:r>
      <w:r/>
    </w:p>
    <w:p>
      <w:pPr>
        <w:pStyle w:val="1065"/>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★售后服务要求</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1、质保期：3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2、质保期内所有因更换或修理货物或部件而导致停止运行的时间应从其质保期内扣除；供货方在质保期内安装的任何零配件，必须是其投标设备生产制造厂商原产的或是经其认可的。</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3、在质保期内，供货方有责任解决所销售设备和软件系统的任何问题。</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4、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5、质保期满后，每年定期上门免费维护至少1次。</w:t>
      </w:r>
      <w:r/>
    </w:p>
    <w:p>
      <w:pPr>
        <w:pStyle w:val="1065"/>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★验收要求</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1、供应商负责设备供货、安装、调试，并确保所有产品能正常运行、使用。</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2、设备安装调试后一个月内进行验收。设备安装后供应商应向采购人提供详细的验收材料。</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3、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4、验收过程中采购人如发现货物短缺、质次、损坏、与招标文件及质量要求和标准、产地和规格等不符合问题，由供应商立即无条件调换或补齐，同时由供应商承担因此而产生的工期延误等所造成的一切损失。</w:t>
      </w:r>
      <w:r/>
    </w:p>
    <w:p>
      <w:pPr>
        <w:pStyle w:val="1065"/>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九、</w:t>
      </w:r>
      <w:r>
        <w:rPr>
          <w:rFonts w:hint="eastAsia" w:ascii="宋体" w:hAnsi="宋体" w:eastAsia="宋体" w:cs="宋体"/>
          <w:b/>
          <w:bCs/>
          <w:color w:val="auto"/>
          <w:highlight w:val="none"/>
          <w:lang w:val="zh-CN" w:eastAsia="zh-CN"/>
        </w:rPr>
        <w:t xml:space="preserve">★服务期限及地点</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（1）交付时间：合同签订后45个日历天完工。</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Style w:val="1066"/>
          <w:rFonts w:hint="eastAsia" w:ascii="宋体" w:hAnsi="宋体" w:eastAsia="宋体" w:cs="宋体"/>
          <w:b w:val="0"/>
          <w:bCs w:val="0"/>
          <w:color w:val="auto"/>
          <w:highlight w:val="none"/>
          <w:lang w:val="en-US" w:eastAsia="zh-CN"/>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pStyle w:val="1065"/>
        <w:ind w:firstLine="420"/>
        <w:jc w:val="both"/>
        <w:spacing w:line="360" w:lineRule="atLeast"/>
        <w:rPr>
          <w:rStyle w:val="1066"/>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jc w:val="center"/>
        <w:rPr>
          <w:rFonts w:hint="eastAsia" w:ascii="宋体" w:hAnsi="宋体" w:eastAsia="宋体" w:cs="宋体"/>
          <w:color w:val="auto"/>
          <w:sz w:val="36"/>
          <w:szCs w:val="36"/>
          <w:highlight w:val="none"/>
        </w:rPr>
      </w:pPr>
      <w:r>
        <w:rPr>
          <w:rFonts w:hint="eastAsia" w:cs="宋体"/>
          <w:color w:val="auto"/>
          <w:sz w:val="22"/>
          <w:highlight w:val="none"/>
        </w:rPr>
        <w:br w:type="page" w:clear="all"/>
      </w:r>
      <w:r>
        <w:rPr>
          <w:rFonts w:hint="eastAsia" w:ascii="宋体" w:hAnsi="宋体" w:eastAsia="宋体" w:cs="宋体"/>
          <w:color w:val="auto"/>
          <w:sz w:val="36"/>
          <w:szCs w:val="36"/>
          <w:highlight w:val="none"/>
        </w:rPr>
        <w:t xml:space="preserve">第五部分    </w:t>
      </w:r>
      <w:bookmarkStart w:id="229" w:name="_Toc98669372"/>
      <w:r/>
      <w:bookmarkStart w:id="230" w:name="_Toc20821546"/>
      <w:r/>
      <w:bookmarkStart w:id="231" w:name="_Toc98669730"/>
      <w:r/>
      <w:bookmarkStart w:id="232" w:name="_Toc76955302"/>
      <w:r/>
      <w:bookmarkStart w:id="233" w:name="_Toc100386076"/>
      <w:r>
        <w:rPr>
          <w:rFonts w:hint="eastAsia" w:ascii="宋体" w:hAnsi="宋体" w:eastAsia="宋体" w:cs="宋体"/>
          <w:color w:val="auto"/>
          <w:sz w:val="36"/>
          <w:szCs w:val="36"/>
          <w:highlight w:val="none"/>
        </w:rPr>
        <w:t xml:space="preserve">评标办法和标准</w:t>
      </w:r>
      <w:r/>
    </w:p>
    <w:p>
      <w:pPr>
        <w:pStyle w:val="105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105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1059"/>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1059"/>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1059"/>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1059"/>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1059"/>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1059"/>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1059"/>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1059"/>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1059"/>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1059"/>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105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1058"/>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105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5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5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8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3559"/>
        <w:gridCol w:w="5471"/>
      </w:tblGrid>
      <w:tr>
        <w:trPr/>
        <w:tc>
          <w:tcPr>
            <w:tcW w:w="554"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586"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5489" w:type="dxa"/>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2024</w:t>
            </w:r>
            <w:r>
              <w:rPr>
                <w:rFonts w:hint="eastAsia" w:ascii="宋体" w:hAnsi="宋体" w:eastAsia="宋体" w:cs="宋体"/>
                <w:color w:val="auto"/>
                <w:sz w:val="24"/>
                <w:highlight w:val="none"/>
              </w:rPr>
              <w:t xml:space="preserve">年度</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lang w:val="en-US" w:eastAsia="zh-CN"/>
              </w:rPr>
              <w:t xml:space="preserve">2025年度</w:t>
            </w:r>
            <w:r>
              <w:rPr>
                <w:rFonts w:hint="eastAsia" w:ascii="宋体" w:hAnsi="宋体" w:eastAsia="宋体" w:cs="宋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4</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5</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5489" w:type="dxa"/>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lang w:eastAsia="en-US"/>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en-US"/>
              </w:rPr>
              <w:t xml:space="preserve">“信用中国”网站（www.creditchina.gov.cn）、中国政府采购网（www.ccgp.gov.cn）的查询结果未列入失信被执行人名单、重大税收违法案件当事人名单、政府采购严重违法失信行为名单，以现场查询为准。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5489" w:type="dxa"/>
            <w:vAlign w:val="center"/>
            <w:textDirection w:val="lrTb"/>
            <w:noWrap w:val="false"/>
          </w:tcPr>
          <w:p>
            <w:pPr>
              <w:spacing w:line="360" w:lineRule="auto"/>
              <w:rPr>
                <w:rFonts w:hint="eastAsia"/>
                <w:color w:val="auto"/>
                <w:highlight w:val="none"/>
                <w:lang w:eastAsia="zh-CN"/>
              </w:rPr>
            </w:pPr>
            <w:r>
              <w:rPr>
                <w:rFonts w:hint="eastAsia" w:ascii="宋体" w:hAnsi="宋体" w:eastAsia="宋体" w:cs="Times New Roman"/>
                <w:bCs/>
                <w:color w:val="auto"/>
                <w:sz w:val="24"/>
                <w:szCs w:val="24"/>
                <w:highlight w:val="none"/>
                <w:lang w:val="en-US" w:eastAsia="en-US" w:bidi="ar-SA"/>
              </w:rPr>
              <w:t xml:space="preserve">本项目</w:t>
            </w:r>
            <w:r>
              <w:rPr>
                <w:rFonts w:hint="eastAsia" w:ascii="宋体" w:hAnsi="宋体" w:cs="Times New Roman"/>
                <w:bCs/>
                <w:color w:val="auto"/>
                <w:sz w:val="24"/>
                <w:szCs w:val="24"/>
                <w:highlight w:val="none"/>
                <w:lang w:val="en-US" w:eastAsia="zh-CN" w:bidi="ar-SA"/>
              </w:rPr>
              <w:t xml:space="preserve">属于不</w:t>
            </w:r>
            <w:r>
              <w:rPr>
                <w:rFonts w:hint="eastAsia" w:ascii="宋体" w:hAnsi="宋体" w:eastAsia="宋体" w:cs="Times New Roman"/>
                <w:bCs/>
                <w:color w:val="auto"/>
                <w:sz w:val="24"/>
                <w:szCs w:val="24"/>
                <w:highlight w:val="none"/>
                <w:lang w:val="en-US" w:eastAsia="en-US" w:bidi="ar-SA"/>
              </w:rPr>
              <w:t xml:space="preserve">专门面向中小企业采购的项目，提供中小企业声明函</w:t>
            </w:r>
            <w:r>
              <w:rPr>
                <w:rFonts w:hint="eastAsia" w:ascii="宋体" w:hAnsi="宋体" w:eastAsia="宋体" w:cs="Times New Roman"/>
                <w:bCs/>
                <w:color w:val="auto"/>
                <w:sz w:val="24"/>
                <w:szCs w:val="24"/>
                <w:highlight w:val="none"/>
                <w:lang w:val="en-US" w:eastAsia="zh-CN" w:bidi="ar-SA"/>
              </w:rPr>
              <w:t xml:space="preserve">。</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不接受</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lang w:val="en-US" w:eastAsia="zh-CN"/>
              </w:rPr>
              <w:t xml:space="preserve">产品投标</w:t>
            </w:r>
            <w:r/>
          </w:p>
        </w:tc>
        <w:tc>
          <w:tcPr>
            <w:tcW w:w="5489" w:type="dxa"/>
            <w:vAlign w:val="center"/>
            <w:textDirection w:val="lrTb"/>
            <w:noWrap w:val="false"/>
          </w:tcPr>
          <w:p>
            <w:pPr>
              <w:spacing w:line="360" w:lineRule="auto"/>
              <w:rPr>
                <w:rFonts w:ascii="宋体" w:hAnsi="宋体" w:eastAsia="宋体" w:cs="宋体"/>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确认投标品牌是否为</w:t>
            </w:r>
            <w:r>
              <w:rPr>
                <w:rFonts w:hint="eastAsia" w:ascii="宋体" w:hAnsi="宋体" w:cs="Times New Roman"/>
                <w:bCs/>
                <w:color w:val="auto"/>
                <w:sz w:val="24"/>
                <w:szCs w:val="24"/>
                <w:highlight w:val="none"/>
                <w:lang w:val="en-US" w:eastAsia="zh-CN" w:bidi="ar-SA"/>
              </w:rPr>
              <w:t xml:space="preserve">进口</w:t>
            </w:r>
            <w:r>
              <w:rPr>
                <w:rFonts w:hint="eastAsia" w:ascii="宋体" w:hAnsi="宋体" w:eastAsia="宋体" w:cs="Times New Roman"/>
                <w:bCs/>
                <w:color w:val="auto"/>
                <w:sz w:val="24"/>
                <w:szCs w:val="24"/>
                <w:highlight w:val="none"/>
                <w:lang w:val="en-US" w:eastAsia="zh-CN" w:bidi="ar-SA"/>
              </w:rPr>
              <w:t xml:space="preserve">品牌（供应商须提供《关于符合本国产品标准的声明函》）</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8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3202"/>
        <w:gridCol w:w="5462"/>
      </w:tblGrid>
      <w:tr>
        <w:trPr/>
        <w:tc>
          <w:tcPr>
            <w:tcW w:w="922"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218"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218" w:type="dxa"/>
            <w:vAlign w:val="center"/>
            <w:vMerge w:val="restart"/>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投标文件有效性</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922"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218"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对招标文件响应程度</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bookmarkEnd w:id="229"/>
            <w:r/>
            <w:bookmarkEnd w:id="230"/>
            <w:r/>
            <w:bookmarkEnd w:id="231"/>
            <w:r/>
            <w:bookmarkEnd w:id="232"/>
            <w:r/>
            <w:bookmarkEnd w:id="233"/>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tbl>
      <w:tblPr>
        <w:tblStyle w:val="886"/>
        <w:tblpPr w:horzAnchor="page" w:tblpXSpec="center" w:vertAnchor="text" w:tblpY="196" w:leftFromText="180" w:topFromText="0" w:rightFromText="180" w:bottomFromText="0"/>
        <w:tblW w:w="89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11"/>
        <w:gridCol w:w="2315"/>
        <w:gridCol w:w="2315"/>
        <w:gridCol w:w="2318"/>
      </w:tblGrid>
      <w:tr>
        <w:trPr>
          <w:jc w:val="center"/>
          <w:trHeight w:val="518"/>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1"/>
                <w:szCs w:val="21"/>
                <w:highlight w:val="none"/>
              </w:rPr>
              <w:t xml:space="preserve">评分项目</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技术</w:t>
            </w:r>
            <w:r>
              <w:rPr>
                <w:rFonts w:ascii="宋体" w:hAnsi="宋体" w:cs="宋体"/>
                <w:color w:val="auto"/>
                <w:spacing w:val="-1"/>
                <w:szCs w:val="21"/>
                <w:highlight w:val="none"/>
              </w:rPr>
              <w:t xml:space="preserve">评估</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3"/>
                <w:szCs w:val="21"/>
                <w:highlight w:val="none"/>
              </w:rPr>
              <w:t xml:space="preserve">商</w:t>
            </w:r>
            <w:r>
              <w:rPr>
                <w:rFonts w:ascii="宋体" w:hAnsi="宋体" w:cs="宋体"/>
                <w:color w:val="auto"/>
                <w:spacing w:val="-2"/>
                <w:szCs w:val="21"/>
                <w:highlight w:val="none"/>
              </w:rPr>
              <w:t xml:space="preserve">务评估</w:t>
            </w:r>
            <w:r/>
          </w:p>
        </w:tc>
        <w:tc>
          <w:tcPr>
            <w:tcW w:w="2318"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价格</w:t>
            </w:r>
            <w:r>
              <w:rPr>
                <w:rFonts w:ascii="宋体" w:hAnsi="宋体" w:cs="宋体"/>
                <w:color w:val="auto"/>
                <w:spacing w:val="-1"/>
                <w:szCs w:val="21"/>
                <w:highlight w:val="none"/>
              </w:rPr>
              <w:t xml:space="preserve">评估</w:t>
            </w:r>
            <w:r/>
          </w:p>
        </w:tc>
      </w:tr>
      <w:tr>
        <w:trPr>
          <w:jc w:val="center"/>
          <w:trHeight w:val="536"/>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3"/>
                <w:szCs w:val="21"/>
                <w:highlight w:val="none"/>
              </w:rPr>
              <w:t xml:space="preserve">分</w:t>
            </w:r>
            <w:r>
              <w:rPr>
                <w:rFonts w:ascii="宋体" w:hAnsi="宋体" w:cs="宋体"/>
                <w:color w:val="auto"/>
                <w:spacing w:val="-2"/>
                <w:szCs w:val="21"/>
                <w:highlight w:val="none"/>
              </w:rPr>
              <w:t xml:space="preserve">值</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lang w:val="en-US" w:eastAsia="zh-CN"/>
              </w:rPr>
              <w:t xml:space="preserve">37</w:t>
            </w:r>
            <w:r>
              <w:rPr>
                <w:rFonts w:ascii="宋体" w:hAnsi="宋体" w:cs="宋体"/>
                <w:color w:val="auto"/>
                <w:spacing w:val="-2"/>
                <w:szCs w:val="21"/>
                <w:highlight w:val="none"/>
              </w:rPr>
              <w:t xml:space="preserve">.00</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lang w:val="en-US" w:eastAsia="zh-CN"/>
              </w:rPr>
              <w:t xml:space="preserve">13</w:t>
            </w:r>
            <w:r>
              <w:rPr>
                <w:rFonts w:ascii="宋体" w:hAnsi="宋体" w:cs="宋体"/>
                <w:color w:val="auto"/>
                <w:spacing w:val="-2"/>
                <w:szCs w:val="21"/>
                <w:highlight w:val="none"/>
              </w:rPr>
              <w:t xml:space="preserve">.</w:t>
            </w:r>
            <w:r>
              <w:rPr>
                <w:rFonts w:ascii="宋体" w:hAnsi="宋体" w:cs="宋体"/>
                <w:color w:val="auto"/>
                <w:spacing w:val="-1"/>
                <w:szCs w:val="21"/>
                <w:highlight w:val="none"/>
              </w:rPr>
              <w:t xml:space="preserve">00</w:t>
            </w:r>
            <w:r/>
          </w:p>
        </w:tc>
        <w:tc>
          <w:tcPr>
            <w:tcW w:w="2318"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rPr>
              <w:t xml:space="preserve">50</w:t>
            </w:r>
            <w:r>
              <w:rPr>
                <w:rFonts w:ascii="宋体" w:hAnsi="宋体" w:cs="宋体"/>
                <w:color w:val="auto"/>
                <w:spacing w:val="-2"/>
                <w:szCs w:val="21"/>
                <w:highlight w:val="none"/>
              </w:rPr>
              <w:t xml:space="preserve">.00</w:t>
            </w:r>
            <w:r/>
          </w:p>
        </w:tc>
      </w:tr>
    </w:tbl>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（一）</w:t>
      </w:r>
      <w:r>
        <w:rPr>
          <w:rFonts w:hint="eastAsia" w:ascii="宋体" w:hAnsi="宋体" w:eastAsia="宋体" w:cs="宋体"/>
          <w:b/>
          <w:color w:val="auto"/>
          <w:sz w:val="24"/>
          <w:highlight w:val="none"/>
        </w:rPr>
        <w:t xml:space="preserve">技术评估</w:t>
      </w:r>
      <w:r/>
    </w:p>
    <w:tbl>
      <w:tblPr>
        <w:tblStyle w:val="886"/>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9"/>
        <w:gridCol w:w="1130"/>
        <w:gridCol w:w="6703"/>
        <w:gridCol w:w="871"/>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1.技术参数评价</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技术参数响应</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评标委员会根据招标文件中的评审要点，对投标文件的技术参数等的响应情况进行评分，依据《技术响应及偏离表》等进行评价。</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代表实质性指标，不满足该指标项将导致投标无效；</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2.“#”代表重要指标，每负偏离一项扣2分，正偏离不加分。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2.技术方案</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项目实施方案评价</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投标人提供本项目具体实施方案，具备现场采购实施方案得0.5分，具备质量控制措施得0.5分，具备加工方案得0.5分，具备包装配送方案得0.5分。不提供不得分。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售后服务方案评价</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根据投标人提供的售后服务方案综合评审，具备货物的技术服务得0.5分,售后服务的内容及措施得0.5分,具备维修服务的响应时间、响应方式得0.5分,具备解决问题迅速、设备保障措施得0.5分。不提供不得分。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3.原材料评价</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国标检测证明</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自由组合区角柜、幼儿美术综合柜</w:t>
            </w:r>
            <w:r>
              <w:rPr>
                <w:rStyle w:val="1080"/>
                <w:lang w:val="en-US" w:eastAsia="zh-CN" w:bidi="ar"/>
              </w:rPr>
              <w:t xml:space="preserve">中主框架采用的橡胶木按照GB/T39600-2021标准进行检测，检测项目包括：甲醛释放量≤0.015mg/m³，符合Enf级，判定合格满足以上要求。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81"/>
                <w:lang w:val="en-US" w:eastAsia="zh-CN" w:bidi="ar"/>
              </w:rPr>
              <w:t xml:space="preserve">玩具柜（带轮）、儿童书柜（带轮）、美工材料柜（带轮）</w:t>
            </w:r>
            <w:r>
              <w:rPr>
                <w:rStyle w:val="1080"/>
                <w:lang w:val="en-US" w:eastAsia="zh-CN" w:bidi="ar"/>
              </w:rPr>
              <w:t xml:space="preserve">中滚轮按照QB/T 4765-2014标准进行检测，检测项目包括：主要尺寸[轮径≥20.0mm，轮宽-双联轮脚轮≥5.0mm，外角倒圆半径≥1.5mm]、外观、装配、抗冲击性能、动载荷、滚动阻力、旋转阻力、静载荷等检测指标，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81"/>
                <w:lang w:val="en-US" w:eastAsia="zh-CN" w:bidi="ar"/>
              </w:rPr>
              <w:t xml:space="preserve">玩具柜（带轮）、儿童书柜（带轮）、美工材料柜（带轮）</w:t>
            </w:r>
            <w:r>
              <w:rPr>
                <w:rStyle w:val="1080"/>
                <w:lang w:val="en-US" w:eastAsia="zh-CN" w:bidi="ar"/>
              </w:rPr>
              <w:t xml:space="preserve">中的PVC封边条须依据 QB/T4463-2025标准进行检测，检测项目包括：外观-塑料封边条、规格尺寸及其偏差和形状公差-形状公差、理化性能-塑料封边条[耐干热性，耐磨性，耐龟裂性≥4级，耐冷热循环性，耐光色牢度(灰色样卡)≥4级]、有害物质限量[甲醛释放量≤0.5mg/L，氯乙烯单体≤5mg/kg，可迁移元素(可溶性重金属)（铅、镉、铬、汞、砷、钡、锑、硒）含量符合，邻苯二甲酸酯含量符合，多溴联苯(PBB)符合，多溴联苯醚(PBDE)符合]等检测指标，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81"/>
                <w:lang w:val="en-US" w:eastAsia="zh-CN" w:bidi="ar"/>
              </w:rPr>
              <w:t xml:space="preserve">长桌（小班、中班、大班）、方桌（小班、中班、大班）</w:t>
            </w:r>
            <w:r>
              <w:rPr>
                <w:rStyle w:val="1080"/>
                <w:lang w:val="en-US" w:eastAsia="zh-CN" w:bidi="ar"/>
              </w:rPr>
              <w:t xml:space="preserve">所采用的木蜡油</w:t>
            </w:r>
            <w:r>
              <w:rPr>
                <w:rStyle w:val="1080"/>
                <w:lang w:val="en-US" w:eastAsia="zh-CN" w:bidi="ar"/>
              </w:rPr>
              <w:t xml:space="preserve">须依据 GB/T27811-2011标准进行检测，检测项目包括：在容器中状态，细度≤40μm；干燥时间[表干≤8h、实干≤24h]；贮存稳定性[结皮性-无结皮、沉降性-无异常]；涂膜外观正常；光泽(60°)；硬度 (擦伤)≥B；附着力(划格间距2mm)≤1级；耐干热性≤2级；耐水性无异常；耐碱性无异常；耐醇性无异常；耐污染性（醋、茶）无异常；挥发性有机化合物(VOC)含量≤450g/L；苯含量未检出；甲苯、二甲苯、乙苯含量总和未检出；卤代烃含量≤0.1%；可溶性重金属含量（铅、镉、铬、汞）未检出等检测指标。</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Style w:val="1080"/>
                <w:lang w:val="en-US" w:eastAsia="zh-CN" w:bidi="ar"/>
              </w:rPr>
              <w:t xml:space="preserve">桌子塑料连接件适配幼儿园教室人员密集，园区日常洗手、洒水清洁易造成塑料件潮湿积污，</w:t>
            </w:r>
            <w:r>
              <w:rPr>
                <w:rStyle w:val="1081"/>
                <w:lang w:val="en-US" w:eastAsia="zh-CN" w:bidi="ar"/>
              </w:rPr>
              <w:t xml:space="preserve">长桌（小班、中班、大班）、方桌（小班、中班、大班）</w:t>
            </w:r>
            <w:r>
              <w:rPr>
                <w:rStyle w:val="1080"/>
                <w:lang w:val="en-US" w:eastAsia="zh-CN" w:bidi="ar"/>
              </w:rPr>
              <w:t xml:space="preserve">所采用的塑料连接件须依据GB/T 24128-2018标准规范要求开展塑料件连接件防霉检测试验，检测项目应均包含：黑曲霉、球毛壳霉、宛氏拟青霉、绳状青霉、长枝木霉长霉等级为0级。</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幼儿活泼好动，桌椅长期受反复摇晃、推拉冲击，桌体塑料连接件若发生老化、滑丝、松动、断裂，极易引发桌椅倾倒、幼儿磕碰受伤等安全事故，塑料连接件必须具备长期稳定的紧固性能与耐光照老化能力。</w:t>
            </w:r>
            <w:r>
              <w:rPr>
                <w:rStyle w:val="1081"/>
                <w:lang w:val="en-US" w:eastAsia="zh-CN" w:bidi="ar"/>
              </w:rPr>
              <w:t xml:space="preserve">长桌（小班、中班、大班）、方桌（小班、中班、大班）</w:t>
            </w:r>
            <w:r>
              <w:rPr>
                <w:rStyle w:val="1080"/>
                <w:lang w:val="en-US" w:eastAsia="zh-CN" w:bidi="ar"/>
              </w:rPr>
              <w:t xml:space="preserve">所采用的塑料连接件须依据 GB/T16422.2-2022 标准开展氙弧灯人工加速老化试验，《塑料实验室光源暴露试验方法 第 2 部分：氙弧灯》 完成氙灯人工加速老化测试，老化试验后连接件不得出现开裂、脆化、变形、滑丝松动、强度衰减等问题，结构紧固性能保持完好。</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户外大型运动组合器械</w:t>
            </w:r>
            <w:r>
              <w:rPr>
                <w:rStyle w:val="1080"/>
                <w:lang w:val="en-US" w:eastAsia="zh-CN" w:bidi="ar"/>
              </w:rPr>
              <w:t xml:space="preserve">的浸塑平台须依据GB/T 10125-2021标准规范要求进行盐雾检测试验，检测项目应均包含盐雾试验时间≥2100h，外观无明显变化，保护等级至少达到10级。</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81"/>
                <w:lang w:val="en-US" w:eastAsia="zh-CN" w:bidi="ar"/>
              </w:rPr>
              <w:t xml:space="preserve">公共区的布艺窗帘</w:t>
            </w:r>
            <w:r>
              <w:rPr>
                <w:rStyle w:val="1080"/>
                <w:lang w:val="en-US" w:eastAsia="zh-CN" w:bidi="ar"/>
              </w:rPr>
              <w:t xml:space="preserve">面料须依据GB/T 17591-2025标准规范要求进行燃烧检测试验，检测项目应均包含燃烧性能达到B1级，经过水洗不少于25次，干洗不少于10次，仍符合上述燃烧性能等级要求。</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81"/>
                <w:lang w:val="en-US" w:eastAsia="zh-CN" w:bidi="ar"/>
              </w:rPr>
              <w:t xml:space="preserve">窗帘</w:t>
            </w:r>
            <w:r>
              <w:rPr>
                <w:rStyle w:val="1080"/>
                <w:lang w:val="en-US" w:eastAsia="zh-CN" w:bidi="ar"/>
              </w:rPr>
              <w:t xml:space="preserve">面料须依据GB/T 5455-2014标准规范要求进行垂直燃烧检测试验，检测项目应均包含垂直燃烧测试：GB/T 5455-2014：损毁长度≤150mm，续燃时间≤5s，阴燃时间≤5s，无熔融滴落，判定合格。</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81"/>
                <w:lang w:val="en-US" w:eastAsia="zh-CN" w:bidi="ar"/>
              </w:rPr>
              <w:t xml:space="preserve">大报告厅座椅</w:t>
            </w:r>
            <w:r>
              <w:rPr>
                <w:rStyle w:val="1080"/>
                <w:lang w:val="en-US" w:eastAsia="zh-CN" w:bidi="ar"/>
              </w:rPr>
              <w:t xml:space="preserve">采用的海绵须依据GB/T 10802-2023标准进行检测，检测项目包括：表观密度：≥46kg/m³，密度偏差符合标准规定；</w:t>
            </w:r>
            <w:r>
              <w:rPr>
                <w:rStyle w:val="1080"/>
                <w:lang w:val="en-US" w:eastAsia="zh-CN" w:bidi="ar"/>
              </w:rPr>
              <w:br/>
            </w:r>
            <w:r>
              <w:rPr>
                <w:rStyle w:val="1080"/>
                <w:lang w:val="en-US" w:eastAsia="zh-CN" w:bidi="ar"/>
              </w:rPr>
              <w:t xml:space="preserve">回弹率：≥45%；</w:t>
            </w:r>
            <w:r>
              <w:rPr>
                <w:rStyle w:val="1080"/>
                <w:lang w:val="en-US" w:eastAsia="zh-CN" w:bidi="ar"/>
              </w:rPr>
              <w:br/>
            </w:r>
            <w:r>
              <w:rPr>
                <w:rStyle w:val="1080"/>
                <w:lang w:val="en-US" w:eastAsia="zh-CN" w:bidi="ar"/>
              </w:rPr>
              <w:t xml:space="preserve">75% 压缩永久变形：≤5%；</w:t>
            </w:r>
            <w:r>
              <w:rPr>
                <w:rStyle w:val="1080"/>
                <w:lang w:val="en-US" w:eastAsia="zh-CN" w:bidi="ar"/>
              </w:rPr>
              <w:br/>
            </w:r>
            <w:r>
              <w:rPr>
                <w:rStyle w:val="1080"/>
                <w:lang w:val="en-US" w:eastAsia="zh-CN" w:bidi="ar"/>
              </w:rPr>
              <w:t xml:space="preserve">湿热老化后拉伸强度：≥100kPa；</w:t>
            </w:r>
            <w:r>
              <w:rPr>
                <w:rStyle w:val="1080"/>
                <w:lang w:val="en-US" w:eastAsia="zh-CN" w:bidi="ar"/>
              </w:rPr>
              <w:br/>
            </w:r>
            <w:r>
              <w:rPr>
                <w:rStyle w:val="1080"/>
                <w:lang w:val="en-US" w:eastAsia="zh-CN" w:bidi="ar"/>
              </w:rPr>
              <w:t xml:space="preserve">干热老化后拉伸强度：≥100kPa。</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81"/>
                <w:lang w:val="en-US" w:eastAsia="zh-CN" w:bidi="ar"/>
              </w:rPr>
              <w:t xml:space="preserve">交通安全标志翻版墙</w:t>
            </w:r>
            <w:r>
              <w:rPr>
                <w:rStyle w:val="1080"/>
                <w:lang w:val="en-US" w:eastAsia="zh-CN" w:bidi="ar"/>
              </w:rPr>
              <w:t xml:space="preserve">中的翻牌材质采用亚克力（PMMA）板材，板材须依据 GB/T 2410-2008标准规范要求开展检测试验，检测项目为：亚克力板材透光率、雾度两项光学指标检测数据。</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81"/>
                <w:lang w:val="en-US" w:eastAsia="zh-CN" w:bidi="ar"/>
              </w:rPr>
              <w:t xml:space="preserve">幼儿沙发</w:t>
            </w:r>
            <w:r>
              <w:rPr>
                <w:rStyle w:val="1080"/>
                <w:lang w:val="en-US" w:eastAsia="zh-CN" w:bidi="ar"/>
              </w:rPr>
              <w:t xml:space="preserve">采用的海绵填充物须依据GB/T 30400-2013标准规范要求开展检测试验，检测项目为：1、危险杂质：不得含有金属屑、玻璃、硬质尖锐颗粒等任何危险杂质；2、含杂质率：填充物含杂质率≤1.0%；3、污染物：各类有毒有害物质限量符合标准限值要求；4、燃烧性能：试样燃烧面积≤7500mm²；5、气味：产品无刺激性异味；6、微生物指标：细菌菌落总数≤5000CFU/g，大肠杆菌不得检出。</w:t>
            </w:r>
            <w:r/>
          </w:p>
        </w:tc>
        <w:tc>
          <w:tcPr>
            <w:shd w:val="clear" w:color="auto" w:fill="auto"/>
            <w:tcBorders>
              <w:top w:val="single" w:color="000000" w:sz="4" w:space="0"/>
              <w:left w:val="single" w:color="000000" w:sz="4" w:space="0"/>
              <w:right w:val="single" w:color="000000" w:sz="4" w:space="0"/>
            </w:tcBorders>
            <w:tcW w:w="45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备注：1、投标时须提供国家认证认可的第三方检测机构（</w:t>
            </w:r>
            <w:r>
              <w:rPr>
                <w:rFonts w:hint="eastAsia" w:ascii="宋体" w:hAnsi="宋体" w:cs="宋体"/>
                <w:i w:val="0"/>
                <w:iCs w:val="0"/>
                <w:color w:val="000000"/>
                <w:sz w:val="22"/>
                <w:szCs w:val="22"/>
                <w:u w:val="none"/>
                <w:lang w:val="en-US" w:eastAsia="zh-CN" w:bidi="ar"/>
              </w:rPr>
              <w:t xml:space="preserve">CMA或CNAS</w:t>
            </w:r>
            <w:r>
              <w:rPr>
                <w:rFonts w:hint="eastAsia" w:ascii="宋体" w:hAnsi="宋体" w:eastAsia="宋体" w:cs="宋体"/>
                <w:i w:val="0"/>
                <w:iCs w:val="0"/>
                <w:color w:val="000000"/>
                <w:sz w:val="22"/>
                <w:szCs w:val="22"/>
                <w:u w:val="none"/>
                <w:lang w:val="en-US" w:eastAsia="zh-CN" w:bidi="ar"/>
              </w:rPr>
              <w:t xml:space="preserve">）出具的对应的检测报告扫描件。（中标供应商签订合同前提交其投标文件中上报的检测报告的原件让采购人或者代理机构核查，核查不合格的上报监管部门。）</w:t>
            </w:r>
            <w:r/>
          </w:p>
        </w:tc>
        <w:tc>
          <w:tcPr>
            <w:shd w:val="clear" w:color="auto" w:fill="auto"/>
            <w:tcBorders>
              <w:left w:val="single" w:color="000000" w:sz="4" w:space="0"/>
              <w:right w:val="single" w:color="000000" w:sz="4" w:space="0"/>
            </w:tcBorders>
            <w:tcW w:w="455" w:type="pct"/>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2、上述内容均需在检测报告标记出对应位置，标记不清或模糊不清的不予认可。</w:t>
            </w:r>
            <w:r>
              <w:rPr>
                <w:rFonts w:hint="eastAsia" w:ascii="宋体" w:hAnsi="宋体" w:cs="宋体"/>
                <w:i w:val="0"/>
                <w:iCs w:val="0"/>
                <w:color w:val="000000"/>
                <w:sz w:val="22"/>
                <w:szCs w:val="22"/>
                <w:u w:val="none"/>
                <w:lang w:val="en-US" w:eastAsia="zh-CN" w:bidi="ar"/>
              </w:rPr>
              <w:t xml:space="preserve"> </w:t>
            </w:r>
            <w:r/>
          </w:p>
        </w:tc>
        <w:tc>
          <w:tcPr>
            <w:shd w:val="clear" w:color="auto" w:fill="auto"/>
            <w:tcBorders>
              <w:left w:val="single" w:color="000000" w:sz="4" w:space="0"/>
              <w:bottom w:val="single" w:color="000000" w:sz="4" w:space="0"/>
              <w:right w:val="single" w:color="000000" w:sz="4" w:space="0"/>
            </w:tcBorders>
            <w:tcW w:w="455" w:type="pct"/>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4.样品评价</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单人操作台</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根据招标文件采购需求中关于出样产品技术参数的要求，生产样品。评审委员会根据出样产品的技术参数和样图要求对实物样品进行评审。</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0.5</w:t>
            </w:r>
            <w:r/>
          </w:p>
        </w:tc>
      </w:tr>
      <w:tr>
        <w:trPr>
          <w:trHeight w:val="99"/>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产品稳固性：样品安全牢固的得0.5分。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玩具柜（带轮）</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根据招标文件采购需求中关于出样产品技术参数的要求，生产样品。评审委员会根据出样产品的技术参数和样图要求对实物样品进行评审。</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0.5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产品稳固性：样品安全牢固的得0.5分。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5.产品评价</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材料储物柜</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投标人根据采购需求提供以下投标产品详尽的设计方案，设计方案包括但不限于产品三视图、部件结构图、用料说明、技术工艺要求(如中标，该图纸作为验收依据)。</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设计方案包括三视图、部件结构图、用料说明、技术工艺要求的，得2分；每缺一项的，扣0.5分。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实物投影展示台系统</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供应商所投实物投影展示台系统具有图像增强功能，投标时提供图像增强系统软件著作权证书的得2分。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VR课系统</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供应商所投VR课件系统自带知识库，为教学提供辅助，投标时提供知识库系统软件著作权证书的得2分。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供应商所投会议投屏系统具有终端安全检测与响应功能，投标时提供终端安全检测与响应软件著作权证书的得2分。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.演示</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台集成全数字会议系统软件模块、反馈抑制器软件模块、数字音频处理器软件模块、数字专业功放软件模块、音箱处理器软件模块，各模块打开呈现在状态栏窗口，可快速管理和调用，并具备自动检测音频处理器、反馈抑制器、数字功放、音箱处理器设备硬件版本、软件版本功能；检测到有新版本时提供更新提示，可对硬件进行升级。演示时需要展现所投标的品牌L0G0与上述功能涵盖</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满足以上要求的得</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分，否则不得分。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bl>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left"/>
        <w:spacing w:line="360" w:lineRule="auto"/>
        <w:widowControl/>
        <w:rPr>
          <w:rFonts w:hint="eastAsia" w:ascii="宋体" w:hAnsi="宋体"/>
          <w:b/>
          <w:color w:val="auto"/>
          <w:sz w:val="24"/>
          <w:szCs w:val="22"/>
          <w:highlight w:val="none"/>
        </w:rPr>
      </w:pPr>
      <w:r>
        <w:rPr>
          <w:rFonts w:hint="eastAsia" w:ascii="宋体" w:hAnsi="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商务评估</w:t>
      </w:r>
      <w:r/>
    </w:p>
    <w:tbl>
      <w:tblPr>
        <w:tblStyle w:val="886"/>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3"/>
        <w:gridCol w:w="1135"/>
        <w:gridCol w:w="6699"/>
        <w:gridCol w:w="87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1.综合实力</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认证体系</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供应商具有质量管理体系认证证书、环境管理体系认证证书、职业健康安全管理体系认证证书的，每提供一个得1分，满分为3分。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注：1.供应商需提供相关证书扫描件，不提供不得分。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2.业绩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经验</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供应商具有自2020年1月1日以来具有类似项目的成功案例(日期以合同签订为准)，每提供一个得</w:t>
            </w: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分，满分</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注：1.供应商需提供合同扫描件，不提供不得分。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3.人员证书</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现场负责人</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现场负责人具备职业技能等级认证中级及以上证书（木工类），工程师及以上职称证书（智能化或电子信息相关专业），有一个得1.5分，满分3分。</w:t>
            </w:r>
            <w:r/>
          </w:p>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color w:val="000000"/>
                <w:szCs w:val="21"/>
              </w:rPr>
              <w:t xml:space="preserve">（注：须提供以上人员相关证书扫描件；须提供投标人近三个月中任意一个月为以上人员缴纳的社保证明材料。未按要求提供不得分。）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项目</w:t>
            </w:r>
            <w:r>
              <w:rPr>
                <w:rFonts w:hint="eastAsia" w:ascii="宋体" w:hAnsi="宋体" w:eastAsia="宋体" w:cs="宋体"/>
                <w:i w:val="0"/>
                <w:iCs w:val="0"/>
                <w:color w:val="000000"/>
                <w:sz w:val="22"/>
                <w:szCs w:val="22"/>
                <w:u w:val="none"/>
                <w:lang w:val="en-US" w:eastAsia="zh-CN" w:bidi="ar"/>
              </w:rPr>
              <w:t xml:space="preserve">实施人员</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项目实施人员具备职业技能等级认证证书的（木工类），有一个得1分，满分3分。</w:t>
            </w:r>
            <w:r/>
          </w:p>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color w:val="000000"/>
                <w:szCs w:val="21"/>
              </w:rPr>
              <w:t xml:space="preserve">（注：须提供以上人员相关证书扫描件；须提供投标人近三个月中任意一个月为以上人员缴纳的社保证明材料。未按要求提供不得分。）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4.节能环保</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节能环保认证</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1.所投产品中有属于财政部、发展改革委公布的“节能产品政府采购品目清单”范围内国家确定的认证机构出具的、处于有效期之内的该节能产品认证证书扫描件的得0.5分。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2.所投产品中有属于财政部、生态环境部公布的“环境标志产品政府采购品目清单”范围内国家确定的认证机构出具的、处于有效期内的该环保产品认证证书扫描件的得0.5分。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5.售后服务</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服务承诺</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所供货物免费质保期为3年，每增加1年得0.5分，最高得分不超过1分。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注：提供承诺书并加盖公章，未提供不得分。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（三）价格评估</w:t>
      </w:r>
      <w:r/>
    </w:p>
    <w:tbl>
      <w:tblPr>
        <w:tblStyle w:val="886"/>
        <w:tblW w:w="96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1113"/>
        <w:gridCol w:w="6919"/>
        <w:gridCol w:w="934"/>
      </w:tblGrid>
      <w:tr>
        <w:trPr>
          <w:jc w:val="center"/>
          <w:trHeight w:val="757"/>
        </w:trPr>
        <w:tc>
          <w:tcPr>
            <w:tcW w:w="641"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序号</w:t>
            </w:r>
            <w:r/>
          </w:p>
        </w:tc>
        <w:tc>
          <w:tcPr>
            <w:tcW w:w="1113"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评审因素</w:t>
            </w:r>
            <w:r/>
          </w:p>
        </w:tc>
        <w:tc>
          <w:tcPr>
            <w:tcW w:w="6919"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评审细则</w:t>
            </w:r>
            <w:r/>
          </w:p>
        </w:tc>
        <w:tc>
          <w:tcPr>
            <w:tcW w:w="934"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分值</w:t>
            </w:r>
            <w:r/>
          </w:p>
        </w:tc>
      </w:tr>
      <w:tr>
        <w:trPr>
          <w:jc w:val="center"/>
          <w:trHeight w:val="441"/>
        </w:trPr>
        <w:tc>
          <w:tcPr>
            <w:gridSpan w:val="3"/>
            <w:tcW w:w="8673"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en-US" w:bidi="ar"/>
              </w:rPr>
              <w:t xml:space="preserve">投标报价得分</w:t>
            </w:r>
            <w:r/>
          </w:p>
        </w:tc>
        <w:tc>
          <w:tcPr>
            <w:tcW w:w="934"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p>
        </w:tc>
      </w:tr>
      <w:tr>
        <w:trPr>
          <w:jc w:val="center"/>
          <w:trHeight w:val="3036"/>
        </w:trPr>
        <w:tc>
          <w:tcPr>
            <w:tcW w:w="641"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2"/>
                <w:szCs w:val="22"/>
                <w:highlight w:val="none"/>
                <w:lang w:val="en-US" w:eastAsia="en-US"/>
              </w:rPr>
              <w:t xml:space="preserve">1.1</w:t>
            </w:r>
            <w:r/>
          </w:p>
        </w:tc>
        <w:tc>
          <w:tcPr>
            <w:tcW w:w="1113"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en-US"/>
              </w:rPr>
            </w:pPr>
            <w:r>
              <w:rPr>
                <w:rFonts w:hint="eastAsia" w:ascii="宋体" w:hAnsi="宋体"/>
                <w:color w:val="auto"/>
                <w:sz w:val="21"/>
                <w:szCs w:val="21"/>
                <w:highlight w:val="none"/>
                <w:lang w:val="en-US" w:eastAsia="en-US"/>
              </w:rPr>
              <w:t xml:space="preserve">投标报价</w:t>
            </w:r>
            <w:r/>
          </w:p>
        </w:tc>
        <w:tc>
          <w:tcPr>
            <w:tcW w:w="6919" w:type="dxa"/>
            <w:vAlign w:val="center"/>
            <w:textDirection w:val="lrTb"/>
            <w:noWrap w:val="false"/>
          </w:tcPr>
          <w:p>
            <w:pPr>
              <w:spacing w:line="36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综合评分法中的价格分采用低价优先法计算，满足招标文件要求且投标价格最低的投标报价为评标基准价，其价格分为满分50分。其他投标人的价格分统一按照下列公式计算:报价得分=（评标基准价/投标报价）×价格分值</w:t>
            </w:r>
            <w:r/>
          </w:p>
          <w:p>
            <w:pPr>
              <w:spacing w:line="36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z w:val="22"/>
                <w:szCs w:val="22"/>
                <w:highlight w:val="none"/>
                <w:lang w:val="en-US" w:eastAsia="zh-CN"/>
              </w:rPr>
              <w:t xml:space="preserve">注：根据财政部、工信部《政府采购促进中小企业发展管理办法》要求，提供的货物全部由符合政策要求的中小企业制造， 对其价格给予10%的调减，以调减后的价 格计算价格分。《中小企业声明函》填写格式见第六部分投标文件格式。</w:t>
            </w:r>
            <w:r/>
          </w:p>
        </w:tc>
        <w:tc>
          <w:tcPr>
            <w:tcW w:w="934" w:type="dxa"/>
            <w:vAlign w:val="center"/>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rPr>
                <w:rFonts w:hint="eastAsia" w:ascii="宋体" w:hAnsi="宋体" w:cs="宋体"/>
                <w:i w:val="0"/>
                <w:iCs w:val="0"/>
                <w:color w:val="auto"/>
                <w:sz w:val="22"/>
                <w:szCs w:val="22"/>
                <w:highlight w:val="none"/>
                <w:u w:val="none"/>
                <w:lang w:val="en-US" w:eastAsia="en-US" w:bidi="ar"/>
              </w:rPr>
              <w:t xml:space="preserve">.0</w:t>
            </w:r>
            <w:r/>
          </w:p>
        </w:tc>
      </w:tr>
    </w:tbl>
    <w:p>
      <w:pPr>
        <w:pStyle w:val="105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1058"/>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5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4" w:name="_Toc20732998"/>
      <w:r/>
      <w:bookmarkEnd w:id="234"/>
      <w:r/>
      <w:bookmarkStart w:id="235" w:name="_Toc98669361"/>
      <w:r/>
      <w:bookmarkEnd w:id="235"/>
      <w:r/>
      <w:bookmarkStart w:id="236" w:name="_Toc92168030"/>
      <w:r/>
      <w:bookmarkEnd w:id="236"/>
      <w:r/>
      <w:bookmarkStart w:id="237" w:name="_Toc98669719"/>
      <w:r/>
      <w:bookmarkEnd w:id="237"/>
      <w:r/>
      <w:bookmarkStart w:id="238" w:name="_Toc100386064"/>
      <w:r/>
      <w:bookmarkEnd w:id="238"/>
      <w:r/>
      <w:r/>
    </w:p>
    <w:p>
      <w:pPr>
        <w:pStyle w:val="105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lang w:val="en-US" w:eastAsia="en-US" w:bidi="ar-SA"/>
        </w:rPr>
      </w:pPr>
      <w:r>
        <w:rPr>
          <w:rFonts w:hint="eastAsia" w:ascii="宋体" w:hAnsi="宋体" w:eastAsia="宋体" w:cs="宋体"/>
          <w:b/>
          <w:color w:val="auto"/>
          <w:sz w:val="36"/>
          <w:szCs w:val="36"/>
          <w:highlight w:val="none"/>
          <w:lang w:val="en-US" w:eastAsia="en-US" w:bidi="ar-SA"/>
        </w:rPr>
        <w:br w:type="page" w:clear="all"/>
      </w:r>
      <w:r>
        <w:rPr>
          <w:rFonts w:hint="eastAsia" w:ascii="宋体" w:hAnsi="宋体" w:eastAsia="宋体" w:cs="宋体"/>
          <w:b/>
          <w:color w:val="auto"/>
          <w:sz w:val="36"/>
          <w:szCs w:val="36"/>
          <w:highlight w:val="none"/>
          <w:lang w:val="en-US" w:eastAsia="en-US" w:bidi="ar-SA"/>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1067"/>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1067"/>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1057"/>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1057"/>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szCs w:val="22"/>
          <w:highlight w:val="none"/>
          <w:u w:val="single"/>
          <w:lang w:val="en-US" w:eastAsia="zh-CN" w:bidi="ar-SA"/>
        </w:rPr>
        <w:t xml:space="preserve">××××（采购代理机构）</w:t>
      </w:r>
      <w:r>
        <w:rPr>
          <w:rFonts w:hint="eastAsia" w:ascii="宋体" w:hAnsi="宋体" w:eastAsia="宋体" w:cs="宋体"/>
          <w:b/>
          <w:bCs/>
          <w:color w:val="auto"/>
          <w:sz w:val="30"/>
          <w:highlight w:val="none"/>
        </w:rPr>
        <w:t xml:space="preserve">：</w:t>
      </w:r>
      <w:r/>
    </w:p>
    <w:p>
      <w:pPr>
        <w:pStyle w:val="1067"/>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22"/>
          <w:highlight w:val="none"/>
          <w:u w:val="single"/>
          <w:lang w:val="en-US" w:eastAsia="zh-CN" w:bidi="ar-SA"/>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1068"/>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1068"/>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1068"/>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1068"/>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1068"/>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w:t>
      </w:r>
      <w:r/>
    </w:p>
    <w:p>
      <w:pPr>
        <w:pStyle w:val="1068"/>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1057"/>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rPr>
          <w:rFonts w:hint="eastAsia" w:ascii="宋体" w:hAnsi="宋体" w:eastAsia="宋体" w:cs="宋体"/>
          <w:b/>
          <w:color w:val="auto"/>
          <w:sz w:val="32"/>
          <w:szCs w:val="20"/>
          <w:highlight w:val="none"/>
          <w:lang w:val="en-US" w:eastAsia="zh-CN" w:bidi="ar-SA"/>
        </w:rPr>
      </w:pPr>
      <w:r>
        <w:rPr>
          <w:rFonts w:hint="eastAsia" w:ascii="宋体" w:hAnsi="宋体" w:eastAsia="宋体" w:cs="宋体"/>
          <w:color w:val="auto"/>
          <w:sz w:val="28"/>
          <w:szCs w:val="28"/>
          <w:highlight w:val="none"/>
        </w:rPr>
        <w:t xml:space="preserve">提供法人或者其他组织的营业执照等证明文件复印件；投标人为自然人的，提供其身份证复印件</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32"/>
          <w:szCs w:val="32"/>
          <w:highlight w:val="none"/>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val="en-US" w:eastAsia="zh-CN"/>
        </w:rPr>
        <w:t xml:space="preserve">2024</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eastAsia="zh-CN"/>
        </w:rPr>
        <w:t xml:space="preserve">或</w:t>
      </w:r>
      <w:r>
        <w:rPr>
          <w:rFonts w:hint="eastAsia" w:ascii="宋体" w:hAnsi="宋体" w:cs="宋体"/>
          <w:color w:val="auto"/>
          <w:sz w:val="28"/>
          <w:szCs w:val="28"/>
          <w:highlight w:val="none"/>
          <w:lang w:val="en-US" w:eastAsia="zh-CN"/>
        </w:rPr>
        <w:t xml:space="preserve">2025年</w:t>
      </w:r>
      <w:r>
        <w:rPr>
          <w:rFonts w:hint="eastAsia" w:ascii="宋体" w:hAnsi="宋体" w:eastAsia="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239" w:name="_Hlk131494070"/>
      <w:r>
        <w:rPr>
          <w:rFonts w:hint="eastAsia" w:ascii="宋体" w:hAnsi="宋体" w:eastAsia="宋体" w:cs="宋体"/>
          <w:color w:val="auto"/>
          <w:sz w:val="28"/>
          <w:szCs w:val="28"/>
          <w:highlight w:val="none"/>
        </w:rPr>
        <w:t xml:space="preserve">资格承诺函</w:t>
      </w:r>
      <w:bookmarkEnd w:id="239"/>
      <w:r/>
      <w:bookmarkStart w:id="240" w:name="_Hlk131494108"/>
      <w:r>
        <w:rPr>
          <w:rFonts w:hint="eastAsia" w:ascii="宋体" w:hAnsi="宋体" w:eastAsia="宋体" w:cs="宋体"/>
          <w:color w:val="auto"/>
          <w:sz w:val="28"/>
          <w:szCs w:val="28"/>
          <w:highlight w:val="none"/>
        </w:rPr>
        <w:t xml:space="preserve">）</w:t>
      </w:r>
      <w:bookmarkEnd w:id="240"/>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1057"/>
        <w:numPr>
          <w:ilvl w:val="0"/>
          <w:numId w:val="4"/>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pStyle w:val="1069"/>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具备履行合同所必需的设备和专业技术能力的书面声明</w:t>
      </w:r>
      <w:r/>
    </w:p>
    <w:p>
      <w:pPr>
        <w:pStyle w:val="1069"/>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69"/>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1069"/>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主要设备有： </w:t>
      </w:r>
      <w:r/>
    </w:p>
    <w:p>
      <w:pPr>
        <w:pStyle w:val="1069"/>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主要专业技术能力有：</w:t>
      </w:r>
      <w:r/>
    </w:p>
    <w:p>
      <w:pPr>
        <w:pStyle w:val="1069"/>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69"/>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69"/>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供应商名称(公章)： </w:t>
      </w:r>
      <w:r/>
    </w:p>
    <w:p>
      <w:pPr>
        <w:pStyle w:val="1069"/>
        <w:ind w:firstLine="720"/>
        <w:jc w:val="center"/>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rPr>
        <w:t xml:space="preserve">                                            日期： 年 月 日</w:t>
      </w:r>
      <w:r/>
    </w:p>
    <w:p>
      <w:pPr>
        <w:jc w:val="center"/>
        <w:widowControl/>
        <w:rPr>
          <w:rFonts w:hint="eastAsia" w:ascii="宋体" w:hAnsi="宋体" w:eastAsia="宋体" w:cs="宋体"/>
          <w:b/>
          <w:color w:val="auto"/>
          <w:sz w:val="32"/>
          <w:szCs w:val="20"/>
          <w:highlight w:val="none"/>
          <w:lang w:val="en-US" w:eastAsia="zh-CN" w:bidi="ar-SA"/>
        </w:rPr>
      </w:pPr>
      <w:r>
        <w:rPr>
          <w:rFonts w:hint="eastAsia" w:ascii="宋体" w:hAnsi="宋体" w:eastAsia="宋体" w:cs="宋体"/>
          <w:b/>
          <w:color w:val="auto"/>
          <w:sz w:val="32"/>
          <w:szCs w:val="20"/>
          <w:highlight w:val="none"/>
        </w:rPr>
        <w:br w:type="page" w:clear="all"/>
      </w:r>
      <w:r>
        <w:rPr>
          <w:rFonts w:hint="eastAsia" w:ascii="宋体" w:hAnsi="宋体" w:eastAsia="宋体" w:cs="宋体"/>
          <w:b/>
          <w:color w:val="auto"/>
          <w:sz w:val="32"/>
          <w:szCs w:val="20"/>
          <w:highlight w:val="none"/>
          <w:lang w:val="en-US" w:eastAsia="zh-CN" w:bidi="ar-SA"/>
        </w:rPr>
        <w:t xml:space="preserve">（五）依法缴纳税收和社会保障资金的良好记录</w:t>
      </w:r>
      <w:r/>
    </w:p>
    <w:p>
      <w:pPr>
        <w:pStyle w:val="105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p>
    <w:p>
      <w:pPr>
        <w:pStyle w:val="1057"/>
        <w:ind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）参加政府采购活动前三年内，在经营活动中没有重大违法记录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pStyle w:val="1058"/>
        <w:jc w:val="both"/>
        <w:keepLines w:val="0"/>
        <w:keepNext w:val="0"/>
        <w:spacing w:before="0" w:after="0"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jc w:val="both"/>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8"/>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）落实政府采购政策需满足的资格要求</w:t>
      </w:r>
      <w:r/>
    </w:p>
    <w:p>
      <w:pPr>
        <w:pStyle w:val="1058"/>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58"/>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中小企业声明函（货物类）</w:t>
      </w:r>
      <w:r/>
    </w:p>
    <w:p>
      <w:pPr>
        <w:pStyle w:val="1059"/>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6"/>
          <w:sz w:val="24"/>
          <w:szCs w:val="24"/>
          <w:highlight w:val="none"/>
          <w:u w:val="single"/>
        </w:rPr>
        <w:t xml:space="preserve">（项目名称）</w:t>
      </w:r>
      <w:r>
        <w:rPr>
          <w:rFonts w:hint="eastAsia"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pStyle w:val="1059"/>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bookmarkStart w:id="241" w:name="_Hlk133157441"/>
      <w:r>
        <w:rPr>
          <w:rFonts w:hint="eastAsia" w:ascii="宋体" w:hAnsi="宋体" w:eastAsia="宋体" w:cs="宋体"/>
          <w:color w:val="auto"/>
          <w:spacing w:val="6"/>
          <w:sz w:val="24"/>
          <w:szCs w:val="24"/>
          <w:highlight w:val="none"/>
          <w:u w:val="single"/>
        </w:rPr>
        <w:t xml:space="preserve">（中型企业、小型企业、微型企业）</w:t>
      </w:r>
      <w:bookmarkEnd w:id="241"/>
      <w:r>
        <w:rPr>
          <w:rFonts w:hint="eastAsia" w:ascii="宋体" w:hAnsi="宋体" w:eastAsia="宋体" w:cs="宋体"/>
          <w:color w:val="auto"/>
          <w:spacing w:val="6"/>
          <w:sz w:val="24"/>
          <w:szCs w:val="24"/>
          <w:highlight w:val="none"/>
        </w:rPr>
        <w:t xml:space="preserve">；  </w:t>
      </w:r>
      <w:r/>
    </w:p>
    <w:p>
      <w:pPr>
        <w:pStyle w:val="1059"/>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 </w:t>
      </w:r>
      <w:r/>
    </w:p>
    <w:p>
      <w:pPr>
        <w:pStyle w:val="1059"/>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  </w:t>
      </w:r>
      <w:r/>
    </w:p>
    <w:p>
      <w:pPr>
        <w:pStyle w:val="1059"/>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1059"/>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r/>
    </w:p>
    <w:p>
      <w:pPr>
        <w:pStyle w:val="1059"/>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企业名称（盖章）：  </w:t>
      </w:r>
      <w:r/>
    </w:p>
    <w:p>
      <w:pPr>
        <w:pStyle w:val="1059"/>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w:t>
      </w:r>
      <w:r/>
    </w:p>
    <w:p>
      <w:pPr>
        <w:pStyle w:val="1059"/>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059"/>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059"/>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注：</w:t>
      </w:r>
      <w:bookmarkStart w:id="242" w:name="_Hlk136448448"/>
      <w:r>
        <w:rPr>
          <w:rFonts w:hint="eastAsia" w:ascii="宋体" w:hAnsi="宋体" w:eastAsia="宋体" w:cs="宋体"/>
          <w:color w:val="auto"/>
          <w:spacing w:val="6"/>
          <w:sz w:val="24"/>
          <w:szCs w:val="24"/>
          <w:highlight w:val="none"/>
        </w:rPr>
        <w:t xml:space="preserve">1.从业人员、营业收入、资产总额填报上一年度数据，无上一年度数据的新成立企业可不填报。</w:t>
      </w:r>
      <w:bookmarkEnd w:id="242"/>
      <w:r/>
      <w:r/>
    </w:p>
    <w:p>
      <w:pPr>
        <w:pStyle w:val="1059"/>
        <w:ind w:firstLine="1168"/>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2.本声明函中“属于（中型企业、小型企业、微型企业）”的内容，必须且只能选择其中之一填写。</w:t>
      </w:r>
      <w:r/>
    </w:p>
    <w:p>
      <w:pPr>
        <w:ind w:firstLine="1008"/>
        <w:jc w:val="left"/>
        <w:spacing w:line="240" w:lineRule="auto"/>
        <w:widowControl/>
        <w:rPr>
          <w:rFonts w:hint="eastAsia" w:ascii="宋体" w:hAnsi="宋体" w:eastAsia="宋体" w:cs="宋体"/>
          <w:b/>
          <w:color w:val="auto"/>
          <w:sz w:val="28"/>
          <w:szCs w:val="18"/>
          <w:highlight w:val="none"/>
        </w:rPr>
      </w:pPr>
      <w:r/>
      <w:bookmarkStart w:id="243" w:name="_Hlk136448662"/>
      <w:r>
        <w:rPr>
          <w:rFonts w:hint="eastAsia" w:ascii="宋体" w:hAnsi="宋体" w:eastAsia="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3"/>
      <w:r/>
      <w:r/>
    </w:p>
    <w:p>
      <w:pPr>
        <w:jc w:val="center"/>
        <w:spacing w:before="313" w:line="226" w:lineRule="auto"/>
        <w:rPr>
          <w:rFonts w:hint="eastAsia" w:ascii="宋体" w:hAnsi="宋体" w:cs="宋体"/>
          <w:color w:val="auto"/>
          <w:sz w:val="29"/>
          <w:szCs w:val="29"/>
          <w:highlight w:val="none"/>
        </w:rPr>
      </w:pPr>
      <w:r>
        <w:rPr>
          <w:rFonts w:hint="eastAsia" w:ascii="宋体" w:hAnsi="宋体" w:cs="宋体"/>
          <w:color w:val="auto"/>
          <w:sz w:val="28"/>
          <w:szCs w:val="28"/>
          <w:highlight w:val="none"/>
        </w:rPr>
        <w:br w:type="page" w:clear="all"/>
      </w:r>
      <w:r>
        <w:rPr>
          <w:rFonts w:ascii="宋体" w:hAnsi="宋体" w:cs="宋体"/>
          <w:color w:val="auto"/>
          <w:spacing w:val="18"/>
          <w:sz w:val="29"/>
          <w:szCs w:val="29"/>
          <w:highlight w:val="none"/>
        </w:rPr>
        <w:t xml:space="preserve">《</w:t>
      </w:r>
      <w:r>
        <w:rPr>
          <w:rFonts w:ascii="宋体" w:hAnsi="宋体" w:cs="宋体"/>
          <w:color w:val="auto"/>
          <w:spacing w:val="9"/>
          <w:sz w:val="29"/>
          <w:szCs w:val="29"/>
          <w:highlight w:val="none"/>
        </w:rPr>
        <w:t xml:space="preserve">中小企业声明函》填写说明</w:t>
      </w:r>
      <w:r/>
    </w:p>
    <w:p>
      <w:pPr>
        <w:ind w:right="70" w:firstLine="16"/>
        <w:spacing w:before="186" w:line="309" w:lineRule="auto"/>
        <w:widowControl/>
        <w:rPr>
          <w:rFonts w:hint="eastAsia" w:ascii="宋体" w:hAnsi="宋体" w:cs="宋体"/>
          <w:color w:val="auto"/>
          <w:sz w:val="24"/>
          <w:highlight w:val="none"/>
        </w:rPr>
      </w:pPr>
      <w:r>
        <w:rPr>
          <w:rFonts w:ascii="宋体" w:hAnsi="宋体" w:cs="宋体"/>
          <w:color w:val="auto"/>
          <w:spacing w:val="12"/>
          <w:sz w:val="24"/>
          <w:highlight w:val="none"/>
        </w:rPr>
        <w:t xml:space="preserve">1</w:t>
      </w:r>
      <w:r>
        <w:rPr>
          <w:rFonts w:ascii="宋体" w:hAnsi="宋体" w:cs="宋体"/>
          <w:color w:val="auto"/>
          <w:spacing w:val="7"/>
          <w:sz w:val="24"/>
          <w:highlight w:val="none"/>
        </w:rPr>
        <w:t xml:space="preserve">、</w:t>
      </w:r>
      <w:r>
        <w:rPr>
          <w:rFonts w:ascii="宋体" w:hAnsi="宋体" w:cs="宋体"/>
          <w:color w:val="auto"/>
          <w:spacing w:val="6"/>
          <w:sz w:val="24"/>
          <w:highlight w:val="none"/>
        </w:rPr>
        <w:t xml:space="preserve">请各投标供应商按照本项目类别 (详见</w:t>
      </w:r>
      <w:r>
        <w:rPr>
          <w:rFonts w:hint="eastAsia" w:ascii="宋体" w:hAnsi="宋体" w:cs="宋体"/>
          <w:color w:val="auto"/>
          <w:spacing w:val="6"/>
          <w:sz w:val="24"/>
          <w:highlight w:val="none"/>
        </w:rPr>
        <w:t xml:space="preserve">采购</w:t>
      </w:r>
      <w:r>
        <w:rPr>
          <w:rFonts w:ascii="宋体" w:hAnsi="宋体" w:cs="宋体"/>
          <w:color w:val="auto"/>
          <w:spacing w:val="6"/>
          <w:sz w:val="24"/>
          <w:highlight w:val="none"/>
        </w:rPr>
        <w:t xml:space="preserve">需求) 选择对应的《中小企业</w:t>
      </w:r>
      <w:r>
        <w:rPr>
          <w:rFonts w:ascii="宋体" w:hAnsi="宋体" w:cs="宋体"/>
          <w:color w:val="auto"/>
          <w:spacing w:val="18"/>
          <w:sz w:val="24"/>
          <w:highlight w:val="none"/>
        </w:rPr>
        <w:t xml:space="preserve">声明函</w:t>
      </w:r>
      <w:r>
        <w:rPr>
          <w:rFonts w:ascii="宋体" w:hAnsi="宋体" w:cs="宋体"/>
          <w:color w:val="auto"/>
          <w:spacing w:val="12"/>
          <w:sz w:val="24"/>
          <w:highlight w:val="none"/>
        </w:rPr>
        <w:t xml:space="preserve">》</w:t>
      </w:r>
      <w:r>
        <w:rPr>
          <w:rFonts w:ascii="宋体" w:hAnsi="宋体" w:cs="宋体"/>
          <w:color w:val="auto"/>
          <w:spacing w:val="9"/>
          <w:sz w:val="24"/>
          <w:highlight w:val="none"/>
        </w:rPr>
        <w:t xml:space="preserve">进行填写，例如本项目属于货物类，则只需将本项提供的全部货物填写在《中小企</w:t>
      </w:r>
      <w:r>
        <w:rPr>
          <w:rFonts w:ascii="宋体" w:hAnsi="宋体" w:cs="宋体"/>
          <w:color w:val="auto"/>
          <w:spacing w:val="-4"/>
          <w:sz w:val="24"/>
          <w:highlight w:val="none"/>
        </w:rPr>
        <w:t xml:space="preserve">业声明函</w:t>
      </w:r>
      <w:r>
        <w:rPr>
          <w:rFonts w:ascii="宋体" w:hAnsi="宋体" w:cs="宋体"/>
          <w:color w:val="auto"/>
          <w:spacing w:val="-2"/>
          <w:sz w:val="24"/>
          <w:highlight w:val="none"/>
        </w:rPr>
        <w:t xml:space="preserve">》(货物)即可</w:t>
      </w:r>
      <w:r>
        <w:rPr>
          <w:rFonts w:hint="eastAsia" w:ascii="宋体" w:hAnsi="宋体" w:cs="宋体"/>
          <w:color w:val="auto"/>
          <w:spacing w:val="-2"/>
          <w:sz w:val="24"/>
          <w:highlight w:val="none"/>
        </w:rPr>
        <w:t xml:space="preserve">，</w:t>
      </w:r>
      <w:r>
        <w:rPr>
          <w:rFonts w:ascii="宋体" w:hAnsi="宋体" w:cs="宋体"/>
          <w:color w:val="auto"/>
          <w:spacing w:val="-2"/>
          <w:sz w:val="24"/>
          <w:highlight w:val="none"/>
        </w:rPr>
        <w:t xml:space="preserve">以此类推。</w:t>
      </w:r>
      <w:r/>
    </w:p>
    <w:p>
      <w:pPr>
        <w:ind w:right="70" w:firstLine="16"/>
        <w:spacing w:before="186" w:line="309" w:lineRule="auto"/>
        <w:widowControl/>
        <w:rPr>
          <w:rFonts w:hint="eastAsia" w:ascii="宋体" w:hAnsi="宋体" w:cs="宋体"/>
          <w:color w:val="auto"/>
          <w:spacing w:val="9"/>
          <w:sz w:val="24"/>
          <w:highlight w:val="none"/>
        </w:rPr>
      </w:pPr>
      <w:r>
        <w:rPr>
          <w:rFonts w:ascii="宋体" w:hAnsi="宋体" w:cs="宋体"/>
          <w:color w:val="auto"/>
          <w:spacing w:val="9"/>
          <w:sz w:val="24"/>
          <w:highlight w:val="none"/>
        </w:rPr>
        <w:t xml:space="preserve">2、采购标的对应的中小企业划分标准所属行业，以</w:t>
      </w:r>
      <w:r>
        <w:rPr>
          <w:rFonts w:hint="eastAsia" w:ascii="宋体" w:hAnsi="宋体" w:cs="宋体"/>
          <w:color w:val="auto"/>
          <w:spacing w:val="9"/>
          <w:sz w:val="24"/>
          <w:highlight w:val="none"/>
        </w:rPr>
        <w:t xml:space="preserve">采购</w:t>
      </w:r>
      <w:r>
        <w:rPr>
          <w:rFonts w:ascii="宋体" w:hAnsi="宋体" w:cs="宋体"/>
          <w:color w:val="auto"/>
          <w:spacing w:val="9"/>
          <w:sz w:val="24"/>
          <w:highlight w:val="none"/>
        </w:rPr>
        <w:t xml:space="preserve">需求中的项目所属行业为准。</w:t>
      </w:r>
      <w:r/>
    </w:p>
    <w:p>
      <w:pPr>
        <w:ind w:right="18" w:firstLine="5"/>
        <w:spacing w:before="132" w:line="32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3、</w:t>
      </w:r>
      <w:r>
        <w:rPr>
          <w:rFonts w:ascii="宋体" w:hAnsi="宋体" w:cs="宋体"/>
          <w:color w:val="auto"/>
          <w:spacing w:val="10"/>
          <w:sz w:val="24"/>
          <w:highlight w:val="none"/>
        </w:rPr>
        <w:t xml:space="preserve">本</w:t>
      </w:r>
      <w:r>
        <w:rPr>
          <w:rFonts w:ascii="宋体" w:hAnsi="宋体" w:cs="宋体"/>
          <w:color w:val="auto"/>
          <w:spacing w:val="9"/>
          <w:sz w:val="24"/>
          <w:highlight w:val="none"/>
        </w:rPr>
        <w:t xml:space="preserve">办法所称中小企业，是指在中华人民共和国境内依法设立，依据国务院批准的中小企业</w:t>
      </w:r>
      <w:r>
        <w:rPr>
          <w:rFonts w:ascii="宋体" w:hAnsi="宋体" w:cs="宋体"/>
          <w:color w:val="auto"/>
          <w:spacing w:val="18"/>
          <w:sz w:val="24"/>
          <w:highlight w:val="none"/>
        </w:rPr>
        <w:t xml:space="preserve">划分标</w:t>
      </w:r>
      <w:r>
        <w:rPr>
          <w:rFonts w:ascii="宋体" w:hAnsi="宋体" w:cs="宋体"/>
          <w:color w:val="auto"/>
          <w:spacing w:val="12"/>
          <w:sz w:val="24"/>
          <w:highlight w:val="none"/>
        </w:rPr>
        <w:t xml:space="preserve">准</w:t>
      </w:r>
      <w:r>
        <w:rPr>
          <w:rFonts w:ascii="宋体" w:hAnsi="宋体" w:cs="宋体"/>
          <w:color w:val="auto"/>
          <w:spacing w:val="9"/>
          <w:sz w:val="24"/>
          <w:highlight w:val="none"/>
        </w:rPr>
        <w:t xml:space="preserve">确定的中型企业、小型企业和微型企业，但与大企业的负责人为同一人，或者与大</w:t>
      </w:r>
      <w:r>
        <w:rPr>
          <w:rFonts w:ascii="宋体" w:hAnsi="宋体" w:cs="宋体"/>
          <w:color w:val="auto"/>
          <w:spacing w:val="16"/>
          <w:sz w:val="24"/>
          <w:highlight w:val="none"/>
        </w:rPr>
        <w:t xml:space="preserve">企业</w:t>
      </w:r>
      <w:r>
        <w:rPr>
          <w:rFonts w:ascii="宋体" w:hAnsi="宋体" w:cs="宋体"/>
          <w:color w:val="auto"/>
          <w:spacing w:val="9"/>
          <w:sz w:val="24"/>
          <w:highlight w:val="none"/>
        </w:rPr>
        <w:t xml:space="preserve">存</w:t>
      </w:r>
      <w:r>
        <w:rPr>
          <w:rFonts w:ascii="宋体" w:hAnsi="宋体" w:cs="宋体"/>
          <w:color w:val="auto"/>
          <w:spacing w:val="8"/>
          <w:sz w:val="24"/>
          <w:highlight w:val="none"/>
        </w:rPr>
        <w:t xml:space="preserve">在直接控股、管理关系的除外。符合中小企业划分标准的个体工商户，视同中小企业；</w:t>
      </w:r>
      <w:r>
        <w:rPr>
          <w:rFonts w:ascii="宋体" w:hAnsi="宋体" w:cs="宋体"/>
          <w:color w:val="auto"/>
          <w:spacing w:val="18"/>
          <w:sz w:val="24"/>
          <w:highlight w:val="none"/>
        </w:rPr>
        <w:t xml:space="preserve">事业单</w:t>
      </w:r>
      <w:r>
        <w:rPr>
          <w:rFonts w:ascii="宋体" w:hAnsi="宋体" w:cs="宋体"/>
          <w:color w:val="auto"/>
          <w:spacing w:val="12"/>
          <w:sz w:val="24"/>
          <w:highlight w:val="none"/>
        </w:rPr>
        <w:t xml:space="preserve">位</w:t>
      </w:r>
      <w:r>
        <w:rPr>
          <w:rFonts w:ascii="宋体" w:hAnsi="宋体" w:cs="宋体"/>
          <w:color w:val="auto"/>
          <w:spacing w:val="9"/>
          <w:sz w:val="24"/>
          <w:highlight w:val="none"/>
        </w:rPr>
        <w:t xml:space="preserve">、团体组织等非企业性质的政府采购供应商，不属于中小企业划型标准确定的中小</w:t>
      </w:r>
      <w:r>
        <w:rPr>
          <w:rFonts w:ascii="宋体" w:hAnsi="宋体" w:cs="宋体"/>
          <w:color w:val="auto"/>
          <w:spacing w:val="4"/>
          <w:sz w:val="24"/>
          <w:highlight w:val="none"/>
        </w:rPr>
        <w:t xml:space="preserve">企</w:t>
      </w:r>
      <w:r>
        <w:rPr>
          <w:rFonts w:ascii="宋体" w:hAnsi="宋体" w:cs="宋体"/>
          <w:color w:val="auto"/>
          <w:spacing w:val="3"/>
          <w:sz w:val="24"/>
          <w:highlight w:val="none"/>
        </w:rPr>
        <w:t xml:space="preserve">业。</w:t>
      </w:r>
      <w:r/>
    </w:p>
    <w:p>
      <w:pPr>
        <w:ind w:right="70"/>
        <w:spacing w:before="123"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4、</w:t>
      </w:r>
      <w:r>
        <w:rPr>
          <w:rFonts w:ascii="宋体" w:hAnsi="宋体" w:cs="宋体"/>
          <w:color w:val="auto"/>
          <w:spacing w:val="15"/>
          <w:sz w:val="24"/>
          <w:highlight w:val="none"/>
        </w:rPr>
        <w:t xml:space="preserve">从</w:t>
      </w:r>
      <w:r>
        <w:rPr>
          <w:rFonts w:ascii="宋体" w:hAnsi="宋体" w:cs="宋体"/>
          <w:color w:val="auto"/>
          <w:spacing w:val="9"/>
          <w:sz w:val="24"/>
          <w:highlight w:val="none"/>
        </w:rPr>
        <w:t xml:space="preserve">业人员、营业收入、资产总额填报上一年度数据，无上一年度数据的新成立企业可不填</w:t>
      </w:r>
      <w:r>
        <w:rPr>
          <w:rFonts w:ascii="宋体" w:hAnsi="宋体" w:cs="宋体"/>
          <w:color w:val="auto"/>
          <w:spacing w:val="1"/>
          <w:sz w:val="24"/>
          <w:highlight w:val="none"/>
        </w:rPr>
        <w:t xml:space="preserve">报。</w:t>
      </w:r>
      <w:r/>
    </w:p>
    <w:p>
      <w:pPr>
        <w:ind w:left="14" w:right="70" w:hanging="9"/>
        <w:spacing w:before="132" w:line="291"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5、</w:t>
      </w:r>
      <w:r>
        <w:rPr>
          <w:rFonts w:ascii="宋体" w:hAnsi="宋体" w:cs="宋体"/>
          <w:color w:val="auto"/>
          <w:spacing w:val="10"/>
          <w:sz w:val="24"/>
          <w:highlight w:val="none"/>
        </w:rPr>
        <w:t xml:space="preserve">投</w:t>
      </w:r>
      <w:r>
        <w:rPr>
          <w:rFonts w:ascii="宋体" w:hAnsi="宋体" w:cs="宋体"/>
          <w:color w:val="auto"/>
          <w:spacing w:val="9"/>
          <w:sz w:val="24"/>
          <w:highlight w:val="none"/>
        </w:rPr>
        <w:t xml:space="preserve">标供应商未按照上述格式正确填写《中小企业声明函》的，视为未提供《中小企业声明</w:t>
      </w:r>
      <w:r>
        <w:rPr>
          <w:rFonts w:ascii="宋体" w:hAnsi="宋体" w:cs="宋体"/>
          <w:color w:val="auto"/>
          <w:spacing w:val="14"/>
          <w:sz w:val="24"/>
          <w:highlight w:val="none"/>
        </w:rPr>
        <w:t xml:space="preserve">函</w:t>
      </w:r>
      <w:r>
        <w:rPr>
          <w:rFonts w:ascii="宋体" w:hAnsi="宋体" w:cs="宋体"/>
          <w:color w:val="auto"/>
          <w:spacing w:val="10"/>
          <w:sz w:val="24"/>
          <w:highlight w:val="none"/>
        </w:rPr>
        <w:t xml:space="preserve">》</w:t>
      </w:r>
      <w:r>
        <w:rPr>
          <w:rFonts w:ascii="宋体" w:hAnsi="宋体" w:cs="宋体"/>
          <w:color w:val="auto"/>
          <w:spacing w:val="7"/>
          <w:sz w:val="24"/>
          <w:highlight w:val="none"/>
        </w:rPr>
        <w:t xml:space="preserve">，不享受中小企业扶持政策。</w:t>
      </w:r>
      <w:r/>
    </w:p>
    <w:p>
      <w:pPr>
        <w:ind w:left="21"/>
        <w:spacing w:before="66" w:line="228" w:lineRule="auto"/>
        <w:widowControl/>
        <w:rPr>
          <w:rFonts w:hint="eastAsia" w:ascii="宋体" w:hAnsi="宋体" w:cs="宋体"/>
          <w:b/>
          <w:color w:val="auto"/>
          <w:sz w:val="24"/>
          <w:highlight w:val="none"/>
        </w:rPr>
      </w:pPr>
      <w:r>
        <w:rPr>
          <w:rFonts w:hint="eastAsia" w:ascii="宋体" w:hAnsi="宋体" w:cs="宋体"/>
          <w:b/>
          <w:color w:val="auto"/>
          <w:spacing w:val="7"/>
          <w:sz w:val="24"/>
          <w:highlight w:val="none"/>
        </w:rPr>
        <w:t xml:space="preserve">《</w:t>
      </w:r>
      <w:r>
        <w:rPr>
          <w:rFonts w:ascii="宋体" w:hAnsi="宋体" w:cs="宋体"/>
          <w:b/>
          <w:color w:val="auto"/>
          <w:spacing w:val="7"/>
          <w:sz w:val="24"/>
          <w:highlight w:val="none"/>
        </w:rPr>
        <w:t xml:space="preserve">中小企业划型标准规</w:t>
      </w:r>
      <w:r>
        <w:rPr>
          <w:rFonts w:ascii="宋体" w:hAnsi="宋体" w:cs="宋体"/>
          <w:b/>
          <w:color w:val="auto"/>
          <w:spacing w:val="6"/>
          <w:sz w:val="24"/>
          <w:highlight w:val="none"/>
        </w:rPr>
        <w:t xml:space="preserve">定</w:t>
      </w:r>
      <w:r>
        <w:rPr>
          <w:rFonts w:hint="eastAsia" w:ascii="宋体" w:hAnsi="宋体" w:cs="宋体"/>
          <w:b/>
          <w:color w:val="auto"/>
          <w:spacing w:val="6"/>
          <w:sz w:val="24"/>
          <w:highlight w:val="none"/>
        </w:rPr>
        <w:t xml:space="preserve">》</w:t>
      </w:r>
      <w:r/>
    </w:p>
    <w:p>
      <w:pPr>
        <w:ind w:right="174" w:firstLine="4"/>
        <w:spacing w:before="135"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一、</w:t>
      </w:r>
      <w:r>
        <w:rPr>
          <w:rFonts w:ascii="宋体" w:hAnsi="宋体" w:cs="宋体"/>
          <w:color w:val="auto"/>
          <w:spacing w:val="17"/>
          <w:sz w:val="24"/>
          <w:highlight w:val="none"/>
        </w:rPr>
        <w:t xml:space="preserve">根</w:t>
      </w:r>
      <w:r>
        <w:rPr>
          <w:rFonts w:ascii="宋体" w:hAnsi="宋体" w:cs="宋体"/>
          <w:color w:val="auto"/>
          <w:spacing w:val="9"/>
          <w:sz w:val="24"/>
          <w:highlight w:val="none"/>
        </w:rPr>
        <w:t xml:space="preserve">据《中华人民共和国中小企业促进法》和《国务院关于进一步促进中小企业发展的若</w:t>
      </w:r>
      <w:r>
        <w:rPr>
          <w:rFonts w:ascii="宋体" w:hAnsi="宋体" w:cs="宋体"/>
          <w:color w:val="auto"/>
          <w:spacing w:val="2"/>
          <w:sz w:val="24"/>
          <w:highlight w:val="none"/>
        </w:rPr>
        <w:t xml:space="preserve">干意见》(国发〔20</w:t>
      </w:r>
      <w:r>
        <w:rPr>
          <w:rFonts w:ascii="宋体" w:hAnsi="宋体" w:cs="宋体"/>
          <w:color w:val="auto"/>
          <w:spacing w:val="1"/>
          <w:sz w:val="24"/>
          <w:highlight w:val="none"/>
        </w:rPr>
        <w:t xml:space="preserve">09〕36号)，制定本规定。</w:t>
      </w:r>
      <w:r/>
    </w:p>
    <w:p>
      <w:pPr>
        <w:ind w:left="10" w:right="209" w:hanging="5"/>
        <w:spacing w:before="133" w:line="290" w:lineRule="auto"/>
        <w:widowControl/>
        <w:rPr>
          <w:rFonts w:hint="eastAsia" w:ascii="宋体" w:hAnsi="宋体" w:cs="宋体"/>
          <w:color w:val="auto"/>
          <w:sz w:val="24"/>
          <w:highlight w:val="none"/>
        </w:rPr>
      </w:pPr>
      <w:r>
        <w:rPr>
          <w:rFonts w:ascii="宋体" w:hAnsi="宋体" w:cs="宋体"/>
          <w:color w:val="auto"/>
          <w:spacing w:val="16"/>
          <w:sz w:val="24"/>
          <w:highlight w:val="none"/>
        </w:rPr>
        <w:t xml:space="preserve">二、中</w:t>
      </w:r>
      <w:r>
        <w:rPr>
          <w:rFonts w:ascii="宋体" w:hAnsi="宋体" w:cs="宋体"/>
          <w:color w:val="auto"/>
          <w:spacing w:val="15"/>
          <w:sz w:val="24"/>
          <w:highlight w:val="none"/>
        </w:rPr>
        <w:t xml:space="preserve">小</w:t>
      </w:r>
      <w:r>
        <w:rPr>
          <w:rFonts w:ascii="宋体" w:hAnsi="宋体" w:cs="宋体"/>
          <w:color w:val="auto"/>
          <w:spacing w:val="8"/>
          <w:sz w:val="24"/>
          <w:highlight w:val="none"/>
        </w:rPr>
        <w:t xml:space="preserve">企业划分为中型、小型、微型三种类型，具体标准根据企业从业人员、营业收入、</w:t>
      </w:r>
      <w:r>
        <w:rPr>
          <w:rFonts w:ascii="宋体" w:hAnsi="宋体" w:cs="宋体"/>
          <w:color w:val="auto"/>
          <w:spacing w:val="12"/>
          <w:sz w:val="24"/>
          <w:highlight w:val="none"/>
        </w:rPr>
        <w:t xml:space="preserve">资</w:t>
      </w:r>
      <w:r>
        <w:rPr>
          <w:rFonts w:ascii="宋体" w:hAnsi="宋体" w:cs="宋体"/>
          <w:color w:val="auto"/>
          <w:spacing w:val="8"/>
          <w:sz w:val="24"/>
          <w:highlight w:val="none"/>
        </w:rPr>
        <w:t xml:space="preserve">产总额等指标，结合行业特点制定。</w:t>
      </w:r>
      <w:r/>
    </w:p>
    <w:p>
      <w:pPr>
        <w:spacing w:before="136" w:line="330" w:lineRule="auto"/>
        <w:widowControl/>
        <w:rPr>
          <w:rFonts w:hint="eastAsia" w:ascii="宋体" w:hAnsi="宋体" w:cs="宋体"/>
          <w:color w:val="auto"/>
          <w:sz w:val="24"/>
          <w:highlight w:val="none"/>
        </w:rPr>
      </w:pPr>
      <w:r>
        <w:rPr>
          <w:rFonts w:ascii="宋体" w:hAnsi="宋体" w:cs="宋体"/>
          <w:color w:val="auto"/>
          <w:spacing w:val="11"/>
          <w:sz w:val="24"/>
          <w:highlight w:val="none"/>
        </w:rPr>
        <w:t xml:space="preserve">三</w:t>
      </w:r>
      <w:r>
        <w:rPr>
          <w:rFonts w:ascii="宋体" w:hAnsi="宋体" w:cs="宋体"/>
          <w:color w:val="auto"/>
          <w:spacing w:val="6"/>
          <w:sz w:val="24"/>
          <w:highlight w:val="none"/>
        </w:rPr>
        <w:t xml:space="preserve">、本规定适用的行业包括：农、林、牧、渔业，工业 (包括采矿业，制造业，电力、热力、</w:t>
      </w:r>
      <w:r>
        <w:rPr>
          <w:rFonts w:ascii="宋体" w:hAnsi="宋体" w:cs="宋体"/>
          <w:color w:val="auto"/>
          <w:sz w:val="24"/>
          <w:highlight w:val="none"/>
        </w:rPr>
        <w:t xml:space="preserve"> </w:t>
      </w:r>
      <w:r>
        <w:rPr>
          <w:rFonts w:ascii="宋体" w:hAnsi="宋体" w:cs="宋体"/>
          <w:color w:val="auto"/>
          <w:spacing w:val="12"/>
          <w:sz w:val="24"/>
          <w:highlight w:val="none"/>
        </w:rPr>
        <w:t xml:space="preserve">燃</w:t>
      </w:r>
      <w:r>
        <w:rPr>
          <w:rFonts w:ascii="宋体" w:hAnsi="宋体" w:cs="宋体"/>
          <w:color w:val="auto"/>
          <w:spacing w:val="9"/>
          <w:sz w:val="24"/>
          <w:highlight w:val="none"/>
        </w:rPr>
        <w:t xml:space="preserve">气及水生产和供应业)，建筑业，批发业，零售业，交通运输业(不含铁路运输业)，仓</w:t>
      </w:r>
      <w:r>
        <w:rPr>
          <w:rFonts w:ascii="宋体" w:hAnsi="宋体" w:cs="宋体"/>
          <w:color w:val="auto"/>
          <w:spacing w:val="18"/>
          <w:sz w:val="24"/>
          <w:highlight w:val="none"/>
        </w:rPr>
        <w:t xml:space="preserve">储</w:t>
      </w:r>
      <w:r>
        <w:rPr>
          <w:rFonts w:ascii="宋体" w:hAnsi="宋体" w:cs="宋体"/>
          <w:color w:val="auto"/>
          <w:spacing w:val="12"/>
          <w:sz w:val="24"/>
          <w:highlight w:val="none"/>
        </w:rPr>
        <w:t xml:space="preserve">业</w:t>
      </w:r>
      <w:r>
        <w:rPr>
          <w:rFonts w:ascii="宋体" w:hAnsi="宋体" w:cs="宋体"/>
          <w:color w:val="auto"/>
          <w:spacing w:val="9"/>
          <w:sz w:val="24"/>
          <w:highlight w:val="none"/>
        </w:rPr>
        <w:t xml:space="preserve">，邮政业，住宿业，餐饮业，信息传输业(包括电信、互联网和相关服务)，软件和信</w:t>
      </w:r>
      <w:r>
        <w:rPr>
          <w:rFonts w:ascii="宋体" w:hAnsi="宋体" w:cs="宋体"/>
          <w:color w:val="auto"/>
          <w:spacing w:val="18"/>
          <w:sz w:val="24"/>
          <w:highlight w:val="none"/>
        </w:rPr>
        <w:t xml:space="preserve">息技</w:t>
      </w:r>
      <w:r>
        <w:rPr>
          <w:rFonts w:ascii="宋体" w:hAnsi="宋体" w:cs="宋体"/>
          <w:color w:val="auto"/>
          <w:spacing w:val="12"/>
          <w:sz w:val="24"/>
          <w:highlight w:val="none"/>
        </w:rPr>
        <w:t xml:space="preserve">术</w:t>
      </w:r>
      <w:r>
        <w:rPr>
          <w:rFonts w:ascii="宋体" w:hAnsi="宋体" w:cs="宋体"/>
          <w:color w:val="auto"/>
          <w:spacing w:val="9"/>
          <w:sz w:val="24"/>
          <w:highlight w:val="none"/>
        </w:rPr>
        <w:t xml:space="preserve">服务业，房地产开发经营，物业管理，租赁和商务服务业，其他未列明行业 (包括科</w:t>
      </w:r>
      <w:r>
        <w:rPr>
          <w:rFonts w:ascii="宋体" w:hAnsi="宋体" w:cs="宋体"/>
          <w:color w:val="auto"/>
          <w:spacing w:val="18"/>
          <w:sz w:val="24"/>
          <w:highlight w:val="none"/>
        </w:rPr>
        <w:t xml:space="preserve">学研究</w:t>
      </w:r>
      <w:r>
        <w:rPr>
          <w:rFonts w:ascii="宋体" w:hAnsi="宋体" w:cs="宋体"/>
          <w:color w:val="auto"/>
          <w:spacing w:val="12"/>
          <w:sz w:val="24"/>
          <w:highlight w:val="none"/>
        </w:rPr>
        <w:t xml:space="preserve">和</w:t>
      </w:r>
      <w:r>
        <w:rPr>
          <w:rFonts w:ascii="宋体" w:hAnsi="宋体" w:cs="宋体"/>
          <w:color w:val="auto"/>
          <w:spacing w:val="9"/>
          <w:sz w:val="24"/>
          <w:highlight w:val="none"/>
        </w:rPr>
        <w:t xml:space="preserve">技术服务业，水利、环境和公共设施管理业，居民服务、修理和其他服务业，社会</w:t>
      </w:r>
      <w:r>
        <w:rPr>
          <w:rFonts w:ascii="宋体" w:hAnsi="宋体" w:cs="宋体"/>
          <w:color w:val="auto"/>
          <w:spacing w:val="13"/>
          <w:sz w:val="24"/>
          <w:highlight w:val="none"/>
        </w:rPr>
        <w:t xml:space="preserve">工</w:t>
      </w:r>
      <w:r>
        <w:rPr>
          <w:rFonts w:ascii="宋体" w:hAnsi="宋体" w:cs="宋体"/>
          <w:color w:val="auto"/>
          <w:spacing w:val="8"/>
          <w:sz w:val="24"/>
          <w:highlight w:val="none"/>
        </w:rPr>
        <w:t xml:space="preserve">作，文化、体育和娱乐业等)。</w:t>
      </w:r>
      <w:r/>
    </w:p>
    <w:p>
      <w:pPr>
        <w:ind w:left="21"/>
        <w:spacing w:before="132" w:line="231"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四</w:t>
      </w:r>
      <w:r>
        <w:rPr>
          <w:rFonts w:ascii="宋体" w:hAnsi="宋体" w:cs="宋体"/>
          <w:color w:val="auto"/>
          <w:spacing w:val="6"/>
          <w:sz w:val="24"/>
          <w:highlight w:val="none"/>
        </w:rPr>
        <w:t xml:space="preserve">、各行业划型标准为：</w:t>
      </w:r>
      <w:r/>
    </w:p>
    <w:p>
      <w:pPr>
        <w:ind w:left="4" w:right="69" w:firstLine="7"/>
        <w:spacing w:before="129" w:line="31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一</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农、林、牧、渔</w:t>
      </w:r>
      <w:r>
        <w:rPr>
          <w:rFonts w:ascii="宋体" w:hAnsi="宋体" w:cs="宋体"/>
          <w:color w:val="auto"/>
          <w:spacing w:val="3"/>
          <w:sz w:val="24"/>
          <w:highlight w:val="none"/>
        </w:rPr>
        <w:t xml:space="preserve">业。营业收入20000万元以下的为中小微型企业。其中，营业收入500</w:t>
      </w:r>
      <w:r>
        <w:rPr>
          <w:rFonts w:ascii="宋体" w:hAnsi="宋体" w:cs="宋体"/>
          <w:color w:val="auto"/>
          <w:spacing w:val="8"/>
          <w:sz w:val="24"/>
          <w:highlight w:val="none"/>
        </w:rPr>
        <w:t xml:space="preserve">万</w:t>
      </w:r>
      <w:r>
        <w:rPr>
          <w:rFonts w:ascii="宋体" w:hAnsi="宋体" w:cs="宋体"/>
          <w:color w:val="auto"/>
          <w:spacing w:val="7"/>
          <w:sz w:val="24"/>
          <w:highlight w:val="none"/>
        </w:rPr>
        <w:t xml:space="preserve">元</w:t>
      </w:r>
      <w:r>
        <w:rPr>
          <w:rFonts w:ascii="宋体" w:hAnsi="宋体" w:cs="宋体"/>
          <w:color w:val="auto"/>
          <w:spacing w:val="4"/>
          <w:sz w:val="24"/>
          <w:highlight w:val="none"/>
        </w:rPr>
        <w:t xml:space="preserve">及以上的为中型企业，营业收入50万元及以上的为小型企业，营业收入50万元以下的</w:t>
      </w:r>
      <w:r>
        <w:rPr>
          <w:rFonts w:ascii="宋体" w:hAnsi="宋体" w:cs="宋体"/>
          <w:color w:val="auto"/>
          <w:spacing w:val="8"/>
          <w:sz w:val="24"/>
          <w:highlight w:val="none"/>
        </w:rPr>
        <w:t xml:space="preserve">为</w:t>
      </w:r>
      <w:r>
        <w:rPr>
          <w:rFonts w:ascii="宋体" w:hAnsi="宋体" w:cs="宋体"/>
          <w:color w:val="auto"/>
          <w:spacing w:val="6"/>
          <w:sz w:val="24"/>
          <w:highlight w:val="none"/>
        </w:rPr>
        <w:t xml:space="preserve">微型企业。</w:t>
      </w:r>
      <w:r/>
    </w:p>
    <w:p>
      <w:pPr>
        <w:ind w:right="173"/>
        <w:spacing w:before="54" w:line="351" w:lineRule="auto"/>
        <w:widowControl/>
        <w:rPr>
          <w:rFonts w:hint="eastAsia" w:ascii="宋体" w:hAnsi="宋体" w:cs="宋体"/>
          <w:color w:val="auto"/>
          <w:spacing w:val="5"/>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工业。从业人员1000人以下或营业收入40000万元以下的为中小微型企业。其中</w:t>
      </w:r>
      <w:r>
        <w:rPr>
          <w:rFonts w:ascii="宋体" w:hAnsi="宋体" w:cs="宋体"/>
          <w:color w:val="auto"/>
          <w:spacing w:val="3"/>
          <w:sz w:val="24"/>
          <w:highlight w:val="none"/>
        </w:rPr>
        <w:t xml:space="preserve">，</w:t>
      </w:r>
      <w:r>
        <w:rPr>
          <w:rFonts w:ascii="宋体" w:hAnsi="宋体" w:cs="宋体"/>
          <w:color w:val="auto"/>
          <w:sz w:val="24"/>
          <w:highlight w:val="none"/>
        </w:rPr>
        <w:t xml:space="preserve">从</w:t>
      </w:r>
      <w:r>
        <w:rPr>
          <w:rFonts w:ascii="宋体" w:hAnsi="宋体" w:cs="宋体"/>
          <w:color w:val="auto"/>
          <w:spacing w:val="2"/>
          <w:sz w:val="24"/>
          <w:highlight w:val="none"/>
        </w:rPr>
        <w:t xml:space="preserve">业人员300人及以上，且营业收入2000万元及以上的</w:t>
      </w:r>
      <w:r>
        <w:rPr>
          <w:rFonts w:ascii="宋体" w:hAnsi="宋体" w:cs="宋体"/>
          <w:color w:val="auto"/>
          <w:spacing w:val="1"/>
          <w:sz w:val="24"/>
          <w:highlight w:val="none"/>
        </w:rPr>
        <w:t xml:space="preserve">为中型企业；从业人员20人及以上，</w:t>
      </w:r>
      <w:r>
        <w:rPr>
          <w:rFonts w:ascii="宋体" w:hAnsi="宋体" w:cs="宋体"/>
          <w:color w:val="auto"/>
          <w:spacing w:val="2"/>
          <w:sz w:val="24"/>
          <w:highlight w:val="none"/>
        </w:rPr>
        <w:t xml:space="preserve">且营业收入300万元及以上的为小型企业；从业人员20人以下或营业收入300万元以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73"/>
        <w:spacing w:before="54"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建筑</w:t>
      </w:r>
      <w:r>
        <w:rPr>
          <w:rFonts w:ascii="宋体" w:hAnsi="宋体" w:cs="宋体"/>
          <w:color w:val="auto"/>
          <w:spacing w:val="9"/>
          <w:sz w:val="24"/>
          <w:highlight w:val="none"/>
        </w:rPr>
        <w:t xml:space="preserve">业</w:t>
      </w:r>
      <w:r>
        <w:rPr>
          <w:rFonts w:ascii="宋体" w:hAnsi="宋体" w:cs="宋体"/>
          <w:color w:val="auto"/>
          <w:spacing w:val="5"/>
          <w:sz w:val="24"/>
          <w:highlight w:val="none"/>
        </w:rPr>
        <w:t xml:space="preserve">。营业收入80000万元以下或资产总额80000万元以下的为中小微型企业。其</w:t>
      </w:r>
      <w:r>
        <w:rPr>
          <w:rFonts w:ascii="宋体" w:hAnsi="宋体" w:cs="宋体"/>
          <w:color w:val="auto"/>
          <w:spacing w:val="4"/>
          <w:sz w:val="24"/>
          <w:highlight w:val="none"/>
        </w:rPr>
        <w:t xml:space="preserve">中，营业收入6000万元及以上</w:t>
      </w:r>
      <w:r>
        <w:rPr>
          <w:rFonts w:ascii="宋体" w:hAnsi="宋体" w:cs="宋体"/>
          <w:color w:val="auto"/>
          <w:spacing w:val="3"/>
          <w:sz w:val="24"/>
          <w:highlight w:val="none"/>
        </w:rPr>
        <w:t xml:space="preserve">，</w:t>
      </w:r>
      <w:r>
        <w:rPr>
          <w:rFonts w:ascii="宋体" w:hAnsi="宋体" w:cs="宋体"/>
          <w:color w:val="auto"/>
          <w:spacing w:val="2"/>
          <w:sz w:val="24"/>
          <w:highlight w:val="none"/>
        </w:rPr>
        <w:t xml:space="preserve">且资产总额5000万元及以上的为中型企业；营业收入300</w:t>
      </w:r>
      <w:r>
        <w:rPr>
          <w:rFonts w:ascii="宋体" w:hAnsi="宋体" w:cs="宋体"/>
          <w:color w:val="auto"/>
          <w:spacing w:val="5"/>
          <w:sz w:val="24"/>
          <w:highlight w:val="none"/>
        </w:rPr>
        <w:t xml:space="preserve">万</w:t>
      </w:r>
      <w:r>
        <w:rPr>
          <w:rFonts w:ascii="宋体" w:hAnsi="宋体" w:cs="宋体"/>
          <w:color w:val="auto"/>
          <w:spacing w:val="4"/>
          <w:sz w:val="24"/>
          <w:highlight w:val="none"/>
        </w:rPr>
        <w:t xml:space="preserve">元及以上，且资产总额300万元及以上的为小型企业；营业收入300万元以下或资产总额</w:t>
      </w:r>
      <w:r>
        <w:rPr>
          <w:rFonts w:ascii="宋体" w:hAnsi="宋体" w:cs="宋体"/>
          <w:color w:val="auto"/>
          <w:spacing w:val="6"/>
          <w:sz w:val="24"/>
          <w:highlight w:val="none"/>
        </w:rPr>
        <w:t xml:space="preserve">30</w:t>
      </w:r>
      <w:r>
        <w:rPr>
          <w:rFonts w:ascii="宋体" w:hAnsi="宋体" w:cs="宋体"/>
          <w:color w:val="auto"/>
          <w:spacing w:val="4"/>
          <w:sz w:val="24"/>
          <w:highlight w:val="none"/>
        </w:rPr>
        <w:t xml:space="preserve">0</w:t>
      </w:r>
      <w:r>
        <w:rPr>
          <w:rFonts w:ascii="宋体" w:hAnsi="宋体" w:cs="宋体"/>
          <w:color w:val="auto"/>
          <w:spacing w:val="3"/>
          <w:sz w:val="24"/>
          <w:highlight w:val="none"/>
        </w:rPr>
        <w:t xml:space="preserve">万元以下的为微型企业。</w:t>
      </w:r>
      <w:r/>
    </w:p>
    <w:p>
      <w:pPr>
        <w:ind w:right="174" w:firstLine="10"/>
        <w:spacing w:before="2" w:line="350" w:lineRule="auto"/>
        <w:widowControl/>
        <w:rPr>
          <w:rFonts w:hint="eastAsia" w:ascii="宋体" w:hAnsi="宋体" w:cs="宋体"/>
          <w:color w:val="auto"/>
          <w:sz w:val="24"/>
          <w:highlight w:val="none"/>
        </w:rPr>
      </w:pP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批发业。从业人员200人以下或营业收入40000万元以下的为中小微型企业。其</w:t>
      </w:r>
      <w:r>
        <w:rPr>
          <w:rFonts w:ascii="宋体" w:hAnsi="宋体" w:cs="宋体"/>
          <w:color w:val="auto"/>
          <w:spacing w:val="3"/>
          <w:sz w:val="24"/>
          <w:highlight w:val="none"/>
        </w:rPr>
        <w:t xml:space="preserve">中</w:t>
      </w:r>
      <w:r>
        <w:rPr>
          <w:rFonts w:ascii="宋体" w:hAnsi="宋体" w:cs="宋体"/>
          <w:color w:val="auto"/>
          <w:sz w:val="24"/>
          <w:highlight w:val="none"/>
        </w:rPr>
        <w:t xml:space="preserve">，</w:t>
      </w:r>
      <w:r>
        <w:rPr>
          <w:rFonts w:ascii="宋体" w:hAnsi="宋体" w:cs="宋体"/>
          <w:color w:val="auto"/>
          <w:spacing w:val="2"/>
          <w:sz w:val="24"/>
          <w:highlight w:val="none"/>
        </w:rPr>
        <w:t xml:space="preserve">从业人员20人及以上，且营业收入5000万元及以上的为中型企业；从业人员5人</w:t>
      </w:r>
      <w:r>
        <w:rPr>
          <w:rFonts w:ascii="宋体" w:hAnsi="宋体" w:cs="宋体"/>
          <w:color w:val="auto"/>
          <w:spacing w:val="1"/>
          <w:sz w:val="24"/>
          <w:highlight w:val="none"/>
        </w:rPr>
        <w:t xml:space="preserve">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且营业收入1000万元及以上的为小型企业；从业人员5人以下或营业收入1000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元以下的</w:t>
      </w:r>
      <w:r>
        <w:rPr>
          <w:rFonts w:ascii="宋体" w:hAnsi="宋体" w:cs="宋体"/>
          <w:color w:val="auto"/>
          <w:spacing w:val="7"/>
          <w:sz w:val="24"/>
          <w:highlight w:val="none"/>
        </w:rPr>
        <w:t xml:space="preserve">为微型企业</w:t>
      </w:r>
      <w:r>
        <w:rPr>
          <w:rFonts w:ascii="宋体" w:hAnsi="宋体" w:cs="宋体"/>
          <w:color w:val="auto"/>
          <w:spacing w:val="5"/>
          <w:sz w:val="24"/>
          <w:highlight w:val="none"/>
        </w:rPr>
        <w:t xml:space="preserve">。</w:t>
      </w:r>
      <w:r/>
    </w:p>
    <w:p>
      <w:pPr>
        <w:ind w:right="70"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五</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零售业。从业人员300人以下或营业收入20000万元以下的为中小微型企业。其中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4"/>
          <w:sz w:val="24"/>
          <w:highlight w:val="none"/>
        </w:rPr>
        <w:t xml:space="preserve">从业人员</w:t>
      </w:r>
      <w:r>
        <w:rPr>
          <w:rFonts w:ascii="宋体" w:hAnsi="宋体" w:cs="宋体"/>
          <w:color w:val="auto"/>
          <w:spacing w:val="2"/>
          <w:sz w:val="24"/>
          <w:highlight w:val="none"/>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left="7" w:right="68" w:firstLine="3"/>
        <w:spacing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交通运输业。从业人员1000人以下或营业收入30000万元以下的为中小微型企业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中，从业人员300人及以上，且营业收入3000万元及以上的为</w:t>
      </w:r>
      <w:r>
        <w:rPr>
          <w:rFonts w:ascii="宋体" w:hAnsi="宋体" w:cs="宋体"/>
          <w:color w:val="auto"/>
          <w:spacing w:val="1"/>
          <w:sz w:val="24"/>
          <w:highlight w:val="none"/>
        </w:rPr>
        <w:t xml:space="preserve">中型企业；从业人员20人及</w:t>
      </w:r>
      <w:r>
        <w:rPr>
          <w:rFonts w:ascii="宋体" w:hAnsi="宋体" w:cs="宋体"/>
          <w:color w:val="auto"/>
          <w:spacing w:val="2"/>
          <w:sz w:val="24"/>
          <w:highlight w:val="none"/>
        </w:rPr>
        <w:t xml:space="preserve">以上，且营业收入200万元及以上的为小型企业；从业人员20人以下或营业收入20</w:t>
      </w:r>
      <w:r>
        <w:rPr>
          <w:rFonts w:ascii="宋体" w:hAnsi="宋体" w:cs="宋体"/>
          <w:color w:val="auto"/>
          <w:sz w:val="24"/>
          <w:highlight w:val="none"/>
        </w:rPr>
        <w:t xml:space="preserve">0万元以</w:t>
      </w:r>
      <w:r>
        <w:rPr>
          <w:rFonts w:ascii="宋体" w:hAnsi="宋体" w:cs="宋体"/>
          <w:color w:val="auto"/>
          <w:spacing w:val="12"/>
          <w:sz w:val="24"/>
          <w:highlight w:val="none"/>
        </w:rPr>
        <w:t xml:space="preserve">下</w:t>
      </w:r>
      <w:r>
        <w:rPr>
          <w:rFonts w:ascii="宋体" w:hAnsi="宋体" w:cs="宋体"/>
          <w:color w:val="auto"/>
          <w:spacing w:val="6"/>
          <w:sz w:val="24"/>
          <w:highlight w:val="none"/>
        </w:rPr>
        <w:t xml:space="preserve">的为微型企业。</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七</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仓储业。从业人员200人以下或营业收入30000万元以下的为中小微型企业。其中，</w:t>
      </w:r>
      <w:r>
        <w:rPr>
          <w:rFonts w:ascii="宋体" w:hAnsi="宋体" w:cs="宋体"/>
          <w:color w:val="auto"/>
          <w:spacing w:val="1"/>
          <w:sz w:val="24"/>
          <w:highlight w:val="none"/>
        </w:rPr>
        <w:t xml:space="preserve">从业人员100人及以上，且营业收入1000万元及以上的为中型企业；从业人员20人及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 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八</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邮政业。从业人员1000人以下或营业收入30000万元以下的为中小微型企业。其中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从业人员300人及以上，且营业收入2000万元及以上的为中型企业；从业人员20人及</w:t>
      </w:r>
      <w:r>
        <w:rPr>
          <w:rFonts w:ascii="宋体" w:hAnsi="宋体" w:cs="宋体"/>
          <w:color w:val="auto"/>
          <w:sz w:val="24"/>
          <w:highlight w:val="none"/>
        </w:rPr>
        <w:t xml:space="preserve">以上</w:t>
      </w:r>
      <w:r>
        <w:rPr>
          <w:rFonts w:hint="eastAsia" w:ascii="宋体" w:hAnsi="宋体" w:cs="宋体"/>
          <w:color w:val="auto"/>
          <w:sz w:val="24"/>
          <w:highlight w:val="none"/>
        </w:rPr>
        <w:t xml:space="preserve">，</w:t>
      </w:r>
      <w:r>
        <w:rPr>
          <w:rFonts w:ascii="宋体" w:hAnsi="宋体" w:cs="宋体"/>
          <w:color w:val="auto"/>
          <w:spacing w:val="2"/>
          <w:sz w:val="24"/>
          <w:highlight w:val="none"/>
        </w:rPr>
        <w:t xml:space="preserve">且营业收入100万元及以上的为小型企业；从业人员20人以下或营业收入100万元以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1" w:line="351"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九</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住宿业。从业人员300人以下或营业收入10000万元以下的为中小微型企业。其中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十</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餐饮业。从业人员300人以下或营业收入10000万元以下的为中小微型企业。其中，</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firstLine="10"/>
        <w:spacing w:before="3" w:line="355" w:lineRule="auto"/>
        <w:widowControl/>
        <w:rPr>
          <w:rFonts w:hint="eastAsia" w:ascii="宋体" w:hAnsi="宋体" w:cs="宋体"/>
          <w:color w:val="auto"/>
          <w:sz w:val="24"/>
          <w:highlight w:val="none"/>
        </w:rPr>
      </w:pPr>
      <w:r>
        <w:rPr>
          <w:rFonts w:hint="eastAsia" w:ascii="宋体" w:hAnsi="宋体" w:cs="宋体"/>
          <w:color w:val="auto"/>
          <w:spacing w:val="8"/>
          <w:sz w:val="24"/>
          <w:highlight w:val="none"/>
        </w:rPr>
        <w:t xml:space="preserve">（</w:t>
      </w:r>
      <w:r>
        <w:rPr>
          <w:rFonts w:ascii="宋体" w:hAnsi="宋体" w:cs="宋体"/>
          <w:color w:val="auto"/>
          <w:spacing w:val="5"/>
          <w:sz w:val="24"/>
          <w:highlight w:val="none"/>
        </w:rPr>
        <w:t xml:space="preserve">十一</w:t>
      </w:r>
      <w:r>
        <w:rPr>
          <w:rFonts w:hint="eastAsia" w:ascii="宋体" w:hAnsi="宋体" w:cs="宋体"/>
          <w:color w:val="auto"/>
          <w:spacing w:val="5"/>
          <w:sz w:val="24"/>
          <w:highlight w:val="none"/>
        </w:rPr>
        <w:t xml:space="preserve">）</w:t>
      </w:r>
      <w:r>
        <w:rPr>
          <w:rFonts w:ascii="宋体" w:hAnsi="宋体" w:cs="宋体"/>
          <w:color w:val="auto"/>
          <w:spacing w:val="5"/>
          <w:sz w:val="24"/>
          <w:highlight w:val="none"/>
        </w:rPr>
        <w:t xml:space="preserve">信息传输业。从业人员2000人以下或营业收入100000万元以下的为中小微型企业。</w:t>
      </w:r>
      <w:r>
        <w:rPr>
          <w:rFonts w:ascii="宋体" w:hAnsi="宋体" w:cs="宋体"/>
          <w:color w:val="auto"/>
          <w:spacing w:val="2"/>
          <w:sz w:val="24"/>
          <w:highlight w:val="none"/>
        </w:rPr>
        <w:t xml:space="preserve">其中，从业人员100人及以上，且营业收入1000万元及以上的为中型企业；从业人员</w:t>
      </w:r>
      <w:r>
        <w:rPr>
          <w:rFonts w:ascii="宋体" w:hAnsi="宋体" w:cs="宋体"/>
          <w:color w:val="auto"/>
          <w:sz w:val="24"/>
          <w:highlight w:val="none"/>
        </w:rPr>
        <w:t xml:space="preserve">10人</w:t>
      </w:r>
      <w:r>
        <w:rPr>
          <w:rFonts w:ascii="宋体" w:hAnsi="宋体" w:cs="宋体"/>
          <w:color w:val="auto"/>
          <w:spacing w:val="2"/>
          <w:sz w:val="24"/>
          <w:highlight w:val="none"/>
        </w:rPr>
        <w:t xml:space="preserve">及以上，且营业收入100万元及以上的为小型企业；从业人员10人以下或营业收入100</w:t>
      </w:r>
      <w:r>
        <w:rPr>
          <w:rFonts w:ascii="宋体" w:hAnsi="宋体" w:cs="宋体"/>
          <w:color w:val="auto"/>
          <w:sz w:val="24"/>
          <w:highlight w:val="none"/>
        </w:rPr>
        <w:t xml:space="preserve">万元</w:t>
      </w:r>
      <w:r>
        <w:rPr>
          <w:rFonts w:ascii="宋体" w:hAnsi="宋体" w:cs="宋体"/>
          <w:color w:val="auto"/>
          <w:spacing w:val="8"/>
          <w:sz w:val="24"/>
          <w:highlight w:val="none"/>
        </w:rPr>
        <w:t xml:space="preserve">以下的为微型企业</w:t>
      </w:r>
      <w:r>
        <w:rPr>
          <w:rFonts w:ascii="宋体" w:hAnsi="宋体" w:cs="宋体"/>
          <w:color w:val="auto"/>
          <w:spacing w:val="6"/>
          <w:sz w:val="24"/>
          <w:highlight w:val="none"/>
        </w:rPr>
        <w:t xml:space="preserve">。</w:t>
      </w:r>
      <w:r/>
    </w:p>
    <w:p>
      <w:pPr>
        <w:ind w:firstLine="10"/>
        <w:spacing w:before="54"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软件和信息技术服务业。从业人员300人以下或营业收入10000万元以下的为</w:t>
      </w:r>
      <w:r>
        <w:rPr>
          <w:rFonts w:ascii="宋体" w:hAnsi="宋体" w:cs="宋体"/>
          <w:color w:val="auto"/>
          <w:spacing w:val="3"/>
          <w:sz w:val="24"/>
          <w:highlight w:val="none"/>
        </w:rPr>
        <w:t xml:space="preserve">中</w:t>
      </w:r>
      <w:r>
        <w:rPr>
          <w:rFonts w:ascii="宋体" w:hAnsi="宋体" w:cs="宋体"/>
          <w:color w:val="auto"/>
          <w:sz w:val="24"/>
          <w:highlight w:val="none"/>
        </w:rPr>
        <w:t xml:space="preserve">小</w:t>
      </w:r>
      <w:r>
        <w:rPr>
          <w:rFonts w:ascii="宋体" w:hAnsi="宋体" w:cs="宋体"/>
          <w:color w:val="auto"/>
          <w:spacing w:val="8"/>
          <w:sz w:val="24"/>
          <w:highlight w:val="none"/>
        </w:rPr>
        <w:t xml:space="preserve">微</w:t>
      </w:r>
      <w:r>
        <w:rPr>
          <w:rFonts w:ascii="宋体" w:hAnsi="宋体" w:cs="宋体"/>
          <w:color w:val="auto"/>
          <w:spacing w:val="4"/>
          <w:sz w:val="24"/>
          <w:highlight w:val="none"/>
        </w:rPr>
        <w:t xml:space="preserve">型企业。其中，从业人员100人及以上，且营业收入1000万元及以上的为中型企业；从业</w:t>
      </w:r>
      <w:r>
        <w:rPr>
          <w:rFonts w:ascii="宋体" w:hAnsi="宋体" w:cs="宋体"/>
          <w:color w:val="auto"/>
          <w:spacing w:val="2"/>
          <w:sz w:val="24"/>
          <w:highlight w:val="none"/>
        </w:rPr>
        <w:t xml:space="preserve">人员10人及以上，且营业收入50万元及以上的为小型企业；从业人员10人以下或营业收</w:t>
      </w:r>
      <w:r>
        <w:rPr>
          <w:rFonts w:ascii="宋体" w:hAnsi="宋体" w:cs="宋体"/>
          <w:color w:val="auto"/>
          <w:spacing w:val="1"/>
          <w:sz w:val="24"/>
          <w:highlight w:val="none"/>
        </w:rPr>
        <w:t xml:space="preserve">入</w:t>
      </w:r>
      <w:r>
        <w:rPr>
          <w:rFonts w:ascii="宋体" w:hAnsi="宋体" w:cs="宋体"/>
          <w:color w:val="auto"/>
          <w:spacing w:val="6"/>
          <w:sz w:val="24"/>
          <w:highlight w:val="none"/>
        </w:rPr>
        <w:t xml:space="preserve">50</w:t>
      </w:r>
      <w:r>
        <w:rPr>
          <w:rFonts w:ascii="宋体" w:hAnsi="宋体" w:cs="宋体"/>
          <w:color w:val="auto"/>
          <w:spacing w:val="3"/>
          <w:sz w:val="24"/>
          <w:highlight w:val="none"/>
        </w:rPr>
        <w:t xml:space="preserve">万元以下的为微型企业。</w:t>
      </w:r>
      <w:r/>
    </w:p>
    <w:p>
      <w:pPr>
        <w:ind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房地</w:t>
      </w:r>
      <w:r>
        <w:rPr>
          <w:rFonts w:ascii="宋体" w:hAnsi="宋体" w:cs="宋体"/>
          <w:color w:val="auto"/>
          <w:spacing w:val="5"/>
          <w:sz w:val="24"/>
          <w:highlight w:val="none"/>
        </w:rPr>
        <w:t xml:space="preserve">产开发经营。营业收入200000万元以下或资产总额10000万元以下的为中小微</w:t>
      </w:r>
      <w:r>
        <w:rPr>
          <w:rFonts w:ascii="宋体" w:hAnsi="宋体" w:cs="宋体"/>
          <w:color w:val="auto"/>
          <w:spacing w:val="6"/>
          <w:sz w:val="24"/>
          <w:highlight w:val="none"/>
        </w:rPr>
        <w:t xml:space="preserve">型</w:t>
      </w:r>
      <w:r>
        <w:rPr>
          <w:rFonts w:ascii="宋体" w:hAnsi="宋体" w:cs="宋体"/>
          <w:color w:val="auto"/>
          <w:spacing w:val="4"/>
          <w:sz w:val="24"/>
          <w:highlight w:val="none"/>
        </w:rPr>
        <w:t xml:space="preserve">企业。其中，营业收入1000万元及以上，且资产总额5000万元及以上的为中型企业；营</w:t>
      </w:r>
      <w:r>
        <w:rPr>
          <w:rFonts w:ascii="宋体" w:hAnsi="宋体" w:cs="宋体"/>
          <w:color w:val="auto"/>
          <w:spacing w:val="2"/>
          <w:sz w:val="24"/>
          <w:highlight w:val="none"/>
        </w:rPr>
        <w:t xml:space="preserve">业收入100万元及以上，且资产总额2000万元及以上的为小型企业；营业收入100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w:t>
      </w:r>
      <w:r>
        <w:rPr>
          <w:rFonts w:ascii="宋体" w:hAnsi="宋体" w:cs="宋体"/>
          <w:color w:val="auto"/>
          <w:spacing w:val="3"/>
          <w:sz w:val="24"/>
          <w:highlight w:val="none"/>
        </w:rPr>
        <w:t xml:space="preserve">或资产总额2000万元以下的为微型企业</w:t>
      </w:r>
      <w:r>
        <w:rPr>
          <w:rFonts w:ascii="宋体" w:hAnsi="宋体" w:cs="宋体"/>
          <w:color w:val="auto"/>
          <w:spacing w:val="1"/>
          <w:sz w:val="24"/>
          <w:highlight w:val="none"/>
        </w:rPr>
        <w:t xml:space="preserve">。</w:t>
      </w:r>
      <w:r/>
    </w:p>
    <w:p>
      <w:pPr>
        <w:ind w:left="19" w:right="2" w:hanging="9"/>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物业管理。从业人员1000人以下或营业收入5000万元以下的为中小微型企业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中，从业人员300人及以上，且营业收入1</w:t>
      </w:r>
      <w:r>
        <w:rPr>
          <w:rFonts w:ascii="宋体" w:hAnsi="宋体" w:cs="宋体"/>
          <w:color w:val="auto"/>
          <w:spacing w:val="1"/>
          <w:sz w:val="24"/>
          <w:highlight w:val="none"/>
        </w:rPr>
        <w:t xml:space="preserve">000万元及以上的为中型企业；从业人员100人及</w:t>
      </w:r>
      <w:r>
        <w:rPr>
          <w:rFonts w:ascii="宋体" w:hAnsi="宋体" w:cs="宋体"/>
          <w:color w:val="auto"/>
          <w:spacing w:val="2"/>
          <w:sz w:val="24"/>
          <w:highlight w:val="none"/>
        </w:rPr>
        <w:t xml:space="preserve">以上，且营业收入500万元及以上的为小</w:t>
      </w:r>
      <w:r>
        <w:rPr>
          <w:rFonts w:ascii="宋体" w:hAnsi="宋体" w:cs="宋体"/>
          <w:color w:val="auto"/>
          <w:spacing w:val="1"/>
          <w:sz w:val="24"/>
          <w:highlight w:val="none"/>
        </w:rPr>
        <w:t xml:space="preserve">型企业；从业人员100人以下或营业收入500万元</w:t>
      </w:r>
      <w:r>
        <w:rPr>
          <w:rFonts w:ascii="宋体" w:hAnsi="宋体" w:cs="宋体"/>
          <w:color w:val="auto"/>
          <w:spacing w:val="9"/>
          <w:sz w:val="24"/>
          <w:highlight w:val="none"/>
        </w:rPr>
        <w:t xml:space="preserve">以</w:t>
      </w:r>
      <w:r>
        <w:rPr>
          <w:rFonts w:ascii="宋体" w:hAnsi="宋体" w:cs="宋体"/>
          <w:color w:val="auto"/>
          <w:spacing w:val="5"/>
          <w:sz w:val="24"/>
          <w:highlight w:val="none"/>
        </w:rPr>
        <w:t xml:space="preserve">下的为微型企业。</w:t>
      </w:r>
      <w:r/>
    </w:p>
    <w:p>
      <w:pPr>
        <w:ind w:left="4" w:firstLine="6"/>
        <w:spacing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十五</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租赁</w:t>
      </w:r>
      <w:r>
        <w:rPr>
          <w:rFonts w:ascii="宋体" w:hAnsi="宋体" w:cs="宋体"/>
          <w:color w:val="auto"/>
          <w:spacing w:val="7"/>
          <w:sz w:val="24"/>
          <w:highlight w:val="none"/>
        </w:rPr>
        <w:t xml:space="preserve">和</w:t>
      </w:r>
      <w:r>
        <w:rPr>
          <w:rFonts w:ascii="宋体" w:hAnsi="宋体" w:cs="宋体"/>
          <w:color w:val="auto"/>
          <w:spacing w:val="5"/>
          <w:sz w:val="24"/>
          <w:highlight w:val="none"/>
        </w:rPr>
        <w:t xml:space="preserve">商务服务业。从业人员300人以下或资产总额120000万元以下的为中小微型</w:t>
      </w:r>
      <w:r>
        <w:rPr>
          <w:rFonts w:ascii="宋体" w:hAnsi="宋体" w:cs="宋体"/>
          <w:color w:val="auto"/>
          <w:spacing w:val="7"/>
          <w:sz w:val="24"/>
          <w:highlight w:val="none"/>
        </w:rPr>
        <w:t xml:space="preserve">企</w:t>
      </w:r>
      <w:r>
        <w:rPr>
          <w:rFonts w:ascii="宋体" w:hAnsi="宋体" w:cs="宋体"/>
          <w:color w:val="auto"/>
          <w:spacing w:val="4"/>
          <w:sz w:val="24"/>
          <w:highlight w:val="none"/>
        </w:rPr>
        <w:t xml:space="preserve">业。其中，从业人员100人及以上，且资产总额8000万元及以上的为中型企业；从业人员</w:t>
      </w:r>
      <w:r>
        <w:rPr>
          <w:rFonts w:ascii="宋体" w:hAnsi="宋体" w:cs="宋体"/>
          <w:color w:val="auto"/>
          <w:spacing w:val="2"/>
          <w:sz w:val="24"/>
          <w:highlight w:val="none"/>
        </w:rPr>
        <w:t xml:space="preserve">10人及以上，且资产总额100万元及以上的为小型企业；从业人员10人以下或资产总</w:t>
      </w:r>
      <w:r>
        <w:rPr>
          <w:rFonts w:ascii="宋体" w:hAnsi="宋体" w:cs="宋体"/>
          <w:color w:val="auto"/>
          <w:sz w:val="24"/>
          <w:highlight w:val="none"/>
        </w:rPr>
        <w:t xml:space="preserve">额100</w:t>
      </w:r>
      <w:r>
        <w:rPr>
          <w:rFonts w:ascii="宋体" w:hAnsi="宋体" w:cs="宋体"/>
          <w:color w:val="auto"/>
          <w:spacing w:val="8"/>
          <w:sz w:val="24"/>
          <w:highlight w:val="none"/>
        </w:rPr>
        <w:t xml:space="preserve">万元以下的为微型企业</w:t>
      </w:r>
      <w:r>
        <w:rPr>
          <w:rFonts w:ascii="宋体" w:hAnsi="宋体" w:cs="宋体"/>
          <w:color w:val="auto"/>
          <w:spacing w:val="6"/>
          <w:sz w:val="24"/>
          <w:highlight w:val="none"/>
        </w:rPr>
        <w:t xml:space="preserve">。</w:t>
      </w:r>
      <w:r/>
    </w:p>
    <w:p>
      <w:pPr>
        <w:ind w:right="105"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其他未列明行业。从业人员300人以下的为中小微型企业。其中，从业人员100</w:t>
      </w:r>
      <w:r>
        <w:rPr>
          <w:rFonts w:ascii="宋体" w:hAnsi="宋体" w:cs="宋体"/>
          <w:color w:val="auto"/>
          <w:spacing w:val="3"/>
          <w:sz w:val="24"/>
          <w:highlight w:val="none"/>
        </w:rPr>
        <w:t xml:space="preserve">人</w:t>
      </w:r>
      <w:r>
        <w:rPr>
          <w:rFonts w:ascii="宋体" w:hAnsi="宋体" w:cs="宋体"/>
          <w:color w:val="auto"/>
          <w:spacing w:val="8"/>
          <w:sz w:val="24"/>
          <w:highlight w:val="none"/>
        </w:rPr>
        <w:t xml:space="preserve">及以</w:t>
      </w:r>
      <w:r>
        <w:rPr>
          <w:rFonts w:ascii="宋体" w:hAnsi="宋体" w:cs="宋体"/>
          <w:color w:val="auto"/>
          <w:spacing w:val="6"/>
          <w:sz w:val="24"/>
          <w:highlight w:val="none"/>
        </w:rPr>
        <w:t xml:space="preserve">上</w:t>
      </w:r>
      <w:r>
        <w:rPr>
          <w:rFonts w:ascii="宋体" w:hAnsi="宋体" w:cs="宋体"/>
          <w:color w:val="auto"/>
          <w:spacing w:val="4"/>
          <w:sz w:val="24"/>
          <w:highlight w:val="none"/>
        </w:rPr>
        <w:t xml:space="preserve">的为中型企业；从业人员10人及以上的为小型企业；从业人员10人以下的为微型企</w:t>
      </w:r>
      <w:r>
        <w:rPr>
          <w:rFonts w:ascii="宋体" w:hAnsi="宋体" w:cs="宋体"/>
          <w:color w:val="auto"/>
          <w:spacing w:val="1"/>
          <w:sz w:val="24"/>
          <w:highlight w:val="none"/>
        </w:rPr>
        <w:t xml:space="preserve">业</w:t>
      </w:r>
      <w:r>
        <w:rPr>
          <w:rFonts w:ascii="宋体" w:hAnsi="宋体" w:cs="宋体"/>
          <w:color w:val="auto"/>
          <w:sz w:val="24"/>
          <w:highlight w:val="none"/>
        </w:rPr>
        <w:t xml:space="preserve">。</w:t>
      </w:r>
      <w:r/>
    </w:p>
    <w:p>
      <w:pPr>
        <w:ind w:left="4"/>
        <w:spacing w:line="237"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五、企业类型的划分以统计部门的统计数据为依据</w:t>
      </w:r>
      <w:r>
        <w:rPr>
          <w:rFonts w:ascii="宋体" w:hAnsi="宋体" w:cs="宋体"/>
          <w:color w:val="auto"/>
          <w:spacing w:val="8"/>
          <w:sz w:val="24"/>
          <w:highlight w:val="none"/>
        </w:rPr>
        <w:t xml:space="preserve">。</w:t>
      </w:r>
      <w:r/>
    </w:p>
    <w:p>
      <w:pPr>
        <w:ind w:right="105" w:firstLine="1"/>
        <w:spacing w:before="123"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六、本</w:t>
      </w:r>
      <w:r>
        <w:rPr>
          <w:rFonts w:ascii="宋体" w:hAnsi="宋体" w:cs="宋体"/>
          <w:color w:val="auto"/>
          <w:spacing w:val="9"/>
          <w:sz w:val="24"/>
          <w:highlight w:val="none"/>
        </w:rPr>
        <w:t xml:space="preserve">规定适用于在中华人民共和国境内依法设立的各类所有制和各种组织形式的企业。个</w:t>
      </w:r>
      <w:r>
        <w:rPr>
          <w:rFonts w:ascii="宋体" w:hAnsi="宋体" w:cs="宋体"/>
          <w:color w:val="auto"/>
          <w:spacing w:val="13"/>
          <w:sz w:val="24"/>
          <w:highlight w:val="none"/>
        </w:rPr>
        <w:t xml:space="preserve">体</w:t>
      </w:r>
      <w:r>
        <w:rPr>
          <w:rFonts w:ascii="宋体" w:hAnsi="宋体" w:cs="宋体"/>
          <w:color w:val="auto"/>
          <w:spacing w:val="9"/>
          <w:sz w:val="24"/>
          <w:highlight w:val="none"/>
        </w:rPr>
        <w:t xml:space="preserve">工商户和本规定以外的行业，参照本规定进行划型。</w:t>
      </w:r>
      <w:r/>
    </w:p>
    <w:p>
      <w:pPr>
        <w:ind w:right="105"/>
        <w:spacing w:before="137" w:line="30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七、本</w:t>
      </w:r>
      <w:r>
        <w:rPr>
          <w:rFonts w:ascii="宋体" w:hAnsi="宋体" w:cs="宋体"/>
          <w:color w:val="auto"/>
          <w:spacing w:val="12"/>
          <w:sz w:val="24"/>
          <w:highlight w:val="none"/>
        </w:rPr>
        <w:t xml:space="preserve">规</w:t>
      </w:r>
      <w:r>
        <w:rPr>
          <w:rFonts w:ascii="宋体" w:hAnsi="宋体" w:cs="宋体"/>
          <w:color w:val="auto"/>
          <w:spacing w:val="9"/>
          <w:sz w:val="24"/>
          <w:highlight w:val="none"/>
        </w:rPr>
        <w:t xml:space="preserve">定的中型企业标准上限即为大型企业标准的下限，国家统计部门据此制定大中小微</w:t>
      </w:r>
      <w:r>
        <w:rPr>
          <w:rFonts w:ascii="宋体" w:hAnsi="宋体" w:cs="宋体"/>
          <w:color w:val="auto"/>
          <w:spacing w:val="18"/>
          <w:sz w:val="24"/>
          <w:highlight w:val="none"/>
        </w:rPr>
        <w:t xml:space="preserve">型企业</w:t>
      </w:r>
      <w:r>
        <w:rPr>
          <w:rFonts w:ascii="宋体" w:hAnsi="宋体" w:cs="宋体"/>
          <w:color w:val="auto"/>
          <w:spacing w:val="12"/>
          <w:sz w:val="24"/>
          <w:highlight w:val="none"/>
        </w:rPr>
        <w:t xml:space="preserve">的</w:t>
      </w:r>
      <w:r>
        <w:rPr>
          <w:rFonts w:ascii="宋体" w:hAnsi="宋体" w:cs="宋体"/>
          <w:color w:val="auto"/>
          <w:spacing w:val="9"/>
          <w:sz w:val="24"/>
          <w:highlight w:val="none"/>
        </w:rPr>
        <w:t xml:space="preserve">统计分类。国务院有关部门据此进行相关数据分析，不得制定与本规定不一致的企</w:t>
      </w:r>
      <w:r>
        <w:rPr>
          <w:rFonts w:ascii="宋体" w:hAnsi="宋体" w:cs="宋体"/>
          <w:color w:val="auto"/>
          <w:spacing w:val="7"/>
          <w:sz w:val="24"/>
          <w:highlight w:val="none"/>
        </w:rPr>
        <w:t xml:space="preserve">业划型标准</w:t>
      </w:r>
      <w:r>
        <w:rPr>
          <w:rFonts w:ascii="宋体" w:hAnsi="宋体" w:cs="宋体"/>
          <w:color w:val="auto"/>
          <w:spacing w:val="6"/>
          <w:sz w:val="24"/>
          <w:highlight w:val="none"/>
        </w:rPr>
        <w:t xml:space="preserve">。</w:t>
      </w:r>
      <w:r/>
    </w:p>
    <w:p>
      <w:pPr>
        <w:ind w:left="2" w:right="105" w:firstLine="1"/>
        <w:spacing w:before="134"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八、</w:t>
      </w:r>
      <w:r>
        <w:rPr>
          <w:rFonts w:ascii="宋体" w:hAnsi="宋体" w:cs="宋体"/>
          <w:color w:val="auto"/>
          <w:spacing w:val="17"/>
          <w:sz w:val="24"/>
          <w:highlight w:val="none"/>
        </w:rPr>
        <w:t xml:space="preserve">本</w:t>
      </w:r>
      <w:r>
        <w:rPr>
          <w:rFonts w:ascii="宋体" w:hAnsi="宋体" w:cs="宋体"/>
          <w:color w:val="auto"/>
          <w:spacing w:val="9"/>
          <w:sz w:val="24"/>
          <w:highlight w:val="none"/>
        </w:rPr>
        <w:t xml:space="preserve">规定由工业和信息化部、国家统计局会同有关部门根据《国民经济行业分类》修订情</w:t>
      </w:r>
      <w:r>
        <w:rPr>
          <w:rFonts w:ascii="宋体" w:hAnsi="宋体" w:cs="宋体"/>
          <w:color w:val="auto"/>
          <w:spacing w:val="15"/>
          <w:sz w:val="24"/>
          <w:highlight w:val="none"/>
        </w:rPr>
        <w:t xml:space="preserve">况</w:t>
      </w:r>
      <w:r>
        <w:rPr>
          <w:rFonts w:ascii="宋体" w:hAnsi="宋体" w:cs="宋体"/>
          <w:color w:val="auto"/>
          <w:spacing w:val="8"/>
          <w:sz w:val="24"/>
          <w:highlight w:val="none"/>
        </w:rPr>
        <w:t xml:space="preserve">和企业发展变化情况适时修订。</w:t>
      </w:r>
      <w:r/>
    </w:p>
    <w:p>
      <w:pPr>
        <w:ind w:left="5"/>
        <w:spacing w:before="132" w:line="231" w:lineRule="auto"/>
        <w:widowControl/>
        <w:rPr>
          <w:rFonts w:hint="eastAsia" w:ascii="宋体" w:hAnsi="宋体" w:cs="宋体"/>
          <w:color w:val="auto"/>
          <w:sz w:val="24"/>
          <w:highlight w:val="none"/>
        </w:rPr>
      </w:pPr>
      <w:r>
        <w:rPr>
          <w:rFonts w:ascii="宋体" w:hAnsi="宋体" w:cs="宋体"/>
          <w:color w:val="auto"/>
          <w:spacing w:val="14"/>
          <w:sz w:val="24"/>
          <w:highlight w:val="none"/>
        </w:rPr>
        <w:t xml:space="preserve">九</w:t>
      </w:r>
      <w:r>
        <w:rPr>
          <w:rFonts w:ascii="宋体" w:hAnsi="宋体" w:cs="宋体"/>
          <w:color w:val="auto"/>
          <w:spacing w:val="9"/>
          <w:sz w:val="24"/>
          <w:highlight w:val="none"/>
        </w:rPr>
        <w:t xml:space="preserve">、本规定由工业和信息化部、国家统计局会同有关部门负责解释。</w:t>
      </w:r>
      <w:r/>
    </w:p>
    <w:p>
      <w:pPr>
        <w:ind w:right="2"/>
        <w:spacing w:before="133" w:line="288" w:lineRule="auto"/>
        <w:widowControl/>
        <w:rPr>
          <w:rFonts w:ascii="Arial" w:hAnsi="Arial" w:cs="Arial"/>
          <w:color w:val="auto"/>
          <w:sz w:val="24"/>
          <w:highlight w:val="none"/>
        </w:rPr>
      </w:pPr>
      <w:r>
        <w:rPr>
          <w:rFonts w:ascii="宋体" w:hAnsi="宋体" w:cs="宋体"/>
          <w:color w:val="auto"/>
          <w:spacing w:val="12"/>
          <w:sz w:val="24"/>
          <w:highlight w:val="none"/>
        </w:rPr>
        <w:t xml:space="preserve">十、本规</w:t>
      </w:r>
      <w:r>
        <w:rPr>
          <w:rFonts w:ascii="宋体" w:hAnsi="宋体" w:cs="宋体"/>
          <w:color w:val="auto"/>
          <w:spacing w:val="10"/>
          <w:sz w:val="24"/>
          <w:highlight w:val="none"/>
        </w:rPr>
        <w:t xml:space="preserve">定</w:t>
      </w:r>
      <w:r>
        <w:rPr>
          <w:rFonts w:ascii="宋体" w:hAnsi="宋体" w:cs="宋体"/>
          <w:color w:val="auto"/>
          <w:spacing w:val="6"/>
          <w:sz w:val="24"/>
          <w:highlight w:val="none"/>
        </w:rPr>
        <w:t xml:space="preserve">自发布之日起执行，原国家经贸委、原国家计委、财政部和国家统计局2003 年颁</w:t>
      </w:r>
      <w:r>
        <w:rPr>
          <w:rFonts w:ascii="宋体" w:hAnsi="宋体" w:cs="宋体"/>
          <w:color w:val="auto"/>
          <w:spacing w:val="9"/>
          <w:sz w:val="24"/>
          <w:highlight w:val="none"/>
        </w:rPr>
        <w:t xml:space="preserve">布的《中小企业标准暂行规定》同时废止</w:t>
      </w:r>
      <w:r>
        <w:rPr>
          <w:rFonts w:ascii="宋体" w:hAnsi="宋体" w:cs="宋体"/>
          <w:color w:val="auto"/>
          <w:spacing w:val="7"/>
          <w:sz w:val="24"/>
          <w:highlight w:val="none"/>
        </w:rPr>
        <w:t xml:space="preserve">。</w:t>
      </w:r>
      <w:r/>
    </w:p>
    <w:p>
      <w:pPr>
        <w:pStyle w:val="1059"/>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9"/>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9"/>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9"/>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9"/>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9"/>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9"/>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70"/>
        <w:ind w:left="0" w:right="0"/>
        <w:jc w:val="center"/>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auto"/>
          <w:sz w:val="32"/>
          <w:szCs w:val="32"/>
          <w:highlight w:val="none"/>
        </w:rPr>
        <w:br w:type="page" w:clear="all"/>
      </w: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1070"/>
        <w:ind w:left="0" w:firstLine="420"/>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70"/>
        <w:ind w:left="0" w:firstLine="420"/>
        <w:keepLines w:val="0"/>
        <w:keepNext w:val="0"/>
        <w:spacing w:before="0" w:beforeAutospacing="0" w:after="0" w:afterAutospacing="0" w:line="36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0"/>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1070"/>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1070"/>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1070"/>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70"/>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70"/>
        <w:jc w:val="right"/>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公司（单位）名称（加盖公章）：         </w:t>
      </w:r>
      <w:r/>
    </w:p>
    <w:p>
      <w:pPr>
        <w:pStyle w:val="1070"/>
        <w:jc w:val="center"/>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1070"/>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70"/>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70"/>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107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7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7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7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7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7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pStyle w:val="1070"/>
        <w:ind w:left="0" w:right="0" w:firstLine="420"/>
        <w:keepLines w:val="0"/>
        <w:keepNext w:val="0"/>
        <w:spacing w:before="24" w:beforeAutospacing="0" w:after="24" w:afterAutospacing="0" w:line="360" w:lineRule="atLeast"/>
        <w:widowControl/>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7" w:h="16840" w:orient="portrait"/>
          <w:pgMar w:top="1440" w:right="1270" w:bottom="1440" w:left="1270" w:header="851" w:footer="992" w:gutter="0"/>
          <w:cols w:num="1" w:sep="0" w:space="1701" w:equalWidth="1"/>
          <w:docGrid w:linePitch="360"/>
          <w:titlePg/>
        </w:sectPr>
        <w:suppressLineNumbers w:val="0"/>
      </w:pPr>
      <w:r>
        <w:rPr>
          <w:rFonts w:hint="eastAsia" w:ascii="宋体" w:hAnsi="宋体" w:eastAsia="宋体" w:cs="宋体"/>
          <w:b/>
          <w:color w:val="auto"/>
          <w:sz w:val="24"/>
          <w:szCs w:val="24"/>
          <w:highlight w:val="none"/>
          <w:lang w:val="en-US" w:eastAsia="zh-CN"/>
        </w:rPr>
      </w:r>
      <w:r/>
    </w:p>
    <w:p>
      <w:pPr>
        <w:pStyle w:val="1058"/>
        <w:jc w:val="both"/>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r>
      <w:r/>
    </w:p>
    <w:p>
      <w:pPr>
        <w:pStyle w:val="1058"/>
        <w:jc w:val="center"/>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t xml:space="preserve">（八）本项目特定资格要求</w:t>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8"/>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57"/>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w:t>
      </w:r>
      <w:r>
        <w:rPr>
          <w:rFonts w:hint="eastAsia" w:ascii="宋体" w:hAnsi="宋体" w:eastAsia="宋体" w:cs="宋体"/>
          <w:color w:val="auto"/>
          <w:sz w:val="32"/>
          <w:highlight w:val="none"/>
          <w:lang w:val="en-US" w:eastAsia="zh-CN"/>
        </w:rPr>
        <w:t xml:space="preserve">九</w:t>
      </w:r>
      <w:r>
        <w:rPr>
          <w:rFonts w:hint="eastAsia" w:ascii="宋体" w:hAnsi="宋体" w:eastAsia="宋体" w:cs="宋体"/>
          <w:color w:val="auto"/>
          <w:sz w:val="32"/>
          <w:highlight w:val="none"/>
        </w:rPr>
        <w:t xml:space="preserve">）资格承诺函</w:t>
      </w:r>
      <w:r/>
    </w:p>
    <w:p>
      <w:pPr>
        <w:pStyle w:val="1057"/>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105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105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105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105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105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105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105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105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1057"/>
        <w:ind w:firstLine="560"/>
        <w:jc w:val="both"/>
        <w:spacing w:line="360" w:lineRule="auto"/>
        <w:tabs>
          <w:tab w:val="left" w:pos="693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rPr>
          <w:rFonts w:hint="eastAsia" w:ascii="宋体" w:hAnsi="宋体" w:eastAsia="宋体" w:cs="宋体"/>
          <w:b w:val="0"/>
          <w:bCs/>
          <w:color w:val="auto"/>
          <w:sz w:val="28"/>
          <w:szCs w:val="28"/>
          <w:highlight w:val="none"/>
        </w:rPr>
        <w:tab/>
      </w:r>
      <w:r/>
    </w:p>
    <w:p>
      <w:pPr>
        <w:pStyle w:val="105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105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1057"/>
        <w:ind w:firstLine="56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auto"/>
          <w:highlight w:val="none"/>
        </w:rPr>
        <w:br w:type="page" w:clear="all"/>
      </w:r>
      <w:r/>
    </w:p>
    <w:p>
      <w:pPr>
        <w:pStyle w:val="105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58"/>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二、法定代表人（负责人）身份证明书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br w:type="page" w:clear="all"/>
      </w:r>
      <w:r/>
    </w:p>
    <w:p>
      <w:pPr>
        <w:pStyle w:val="1058"/>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rPr>
        <w:t xml:space="preserve">法定代表人（负责人）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1057"/>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1058"/>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1058"/>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1058"/>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1057"/>
        <w:spacing w:line="360" w:lineRule="auto"/>
        <w:rPr>
          <w:rFonts w:hint="eastAsia" w:ascii="宋体" w:hAnsi="宋体" w:eastAsia="宋体" w:cs="宋体"/>
          <w:color w:val="auto"/>
          <w:sz w:val="32"/>
          <w:highlight w:val="none"/>
        </w:rPr>
        <w:sectPr>
          <w:footerReference w:type="default" r:id="rId14"/>
          <w:footerReference w:type="first" r:id="rId15"/>
          <w:footnotePr/>
          <w:endnotePr/>
          <w:type w:val="nextPage"/>
          <w:pgSz w:w="11907" w:h="16840" w:orient="portrait"/>
          <w:pgMar w:top="1247" w:right="1247" w:bottom="1247" w:left="1247" w:header="851" w:footer="992" w:gutter="0"/>
          <w:cols w:num="1" w:sep="0" w:space="1701" w:equalWidth="1"/>
          <w:docGrid w:linePitch="360"/>
          <w:titlePg/>
        </w:sectPr>
      </w:pPr>
      <w:r>
        <w:rPr>
          <w:rFonts w:hint="eastAsia" w:ascii="宋体" w:hAnsi="宋体" w:eastAsia="宋体" w:cs="宋体"/>
          <w:color w:val="auto"/>
          <w:sz w:val="32"/>
          <w:highlight w:val="none"/>
        </w:rPr>
      </w:r>
      <w:r/>
    </w:p>
    <w:p>
      <w:pPr>
        <w:pStyle w:val="1057"/>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1057"/>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lang w:val="en-US" w:eastAsia="zh-CN"/>
        </w:rPr>
        <w:t xml:space="preserve">4.1</w:t>
      </w:r>
      <w:r>
        <w:rPr>
          <w:rFonts w:hint="eastAsia" w:ascii="宋体" w:hAnsi="宋体" w:eastAsia="宋体" w:cs="宋体"/>
          <w:color w:val="auto"/>
          <w:szCs w:val="44"/>
          <w:highlight w:val="none"/>
        </w:rPr>
        <w:t xml:space="preserve">开标一览表</w:t>
      </w:r>
      <w:r/>
    </w:p>
    <w:tbl>
      <w:tblPr>
        <w:tblStyle w:val="886"/>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683"/>
        <w:gridCol w:w="7603"/>
      </w:tblGrid>
      <w:tr>
        <w:trPr>
          <w:trHeight w:val="460"/>
        </w:trPr>
        <w:tc>
          <w:tcPr>
            <w:gridSpan w:val="2"/>
            <w:tcBorders>
              <w:top w:val="none" w:color="000000" w:sz="4" w:space="0"/>
              <w:left w:val="none" w:color="000000" w:sz="4" w:space="0"/>
              <w:bottom w:val="single" w:color="000000" w:sz="4" w:space="0"/>
              <w:right w:val="none" w:color="000000" w:sz="4" w:space="0"/>
            </w:tcBorders>
            <w:tcW w:w="9286"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rPr>
                <w:rFonts w:hint="eastAsia" w:ascii="宋体" w:hAnsi="宋体" w:eastAsia="宋体" w:cs="宋体"/>
                <w:b/>
                <w:color w:val="auto"/>
                <w:sz w:val="24"/>
                <w:highlight w:val="none"/>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金额（大写）：</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36"/>
                <w:szCs w:val="36"/>
                <w:highlight w:val="none"/>
              </w:rPr>
              <w:t xml:space="preserve">元人民币</w:t>
            </w:r>
            <w:r/>
          </w:p>
          <w:p>
            <w:pPr>
              <w:ind w:firstLine="880"/>
              <w:jc w:val="center"/>
              <w:spacing w:line="360" w:lineRule="auto"/>
              <w:tabs>
                <w:tab w:val="left" w:pos="2185" w:leader="none"/>
              </w:tabs>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w:t>
            </w:r>
            <w:r>
              <w:rPr>
                <w:rFonts w:hint="eastAsia" w:ascii="宋体" w:hAnsi="宋体" w:eastAsia="宋体" w:cs="宋体"/>
                <w:b/>
                <w:color w:val="auto"/>
                <w:sz w:val="21"/>
                <w:szCs w:val="21"/>
                <w:highlight w:val="none"/>
                <w:u w:val="single"/>
                <w:lang w:eastAsia="en-US"/>
              </w:rPr>
              <w:t xml:space="preserve">××××××××</w:t>
            </w:r>
            <w:r>
              <w:rPr>
                <w:rFonts w:hint="eastAsia" w:ascii="宋体" w:hAnsi="宋体" w:eastAsia="宋体" w:cs="宋体"/>
                <w:color w:val="auto"/>
                <w:sz w:val="36"/>
                <w:szCs w:val="36"/>
                <w:highlight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r>
            <w:r/>
          </w:p>
        </w:tc>
      </w:tr>
    </w:tbl>
    <w:p>
      <w:pPr>
        <w:pStyle w:val="1071"/>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71"/>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1.“项目总报价”包括本次招标要求提供的货物（服务）已支付或将支付的所有费用；</w:t>
      </w:r>
      <w:r/>
    </w:p>
    <w:p>
      <w:pPr>
        <w:pStyle w:val="1071"/>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1071"/>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1071"/>
        <w:ind w:left="482" w:firstLine="5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1071"/>
        <w:ind w:left="840" w:firstLine="560"/>
        <w:jc w:val="right"/>
        <w:spacing w:line="360" w:lineRule="auto"/>
        <w:rPr>
          <w:rFonts w:hint="eastAsia" w:ascii="宋体" w:hAnsi="宋体" w:eastAsia="宋体" w:cs="宋体"/>
          <w:color w:val="auto"/>
          <w:sz w:val="30"/>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pStyle w:val="1057"/>
        <w:keepLines w:val="0"/>
        <w:keepNext w:val="0"/>
        <w:spacing w:before="100" w:beforeAutospacing="1" w:after="0" w:line="360" w:lineRule="auto"/>
        <w:tabs>
          <w:tab w:val="left" w:pos="764" w:leader="none"/>
        </w:tabs>
        <w:rPr>
          <w:rFonts w:hint="eastAsia" w:ascii="楷体" w:hAnsi="楷体" w:eastAsia="楷体"/>
          <w:color w:val="auto"/>
          <w:sz w:val="36"/>
          <w:szCs w:val="36"/>
          <w:highlight w:val="none"/>
        </w:rPr>
      </w:pPr>
      <w:r>
        <w:rPr>
          <w:rFonts w:hint="eastAsia" w:ascii="楷体" w:hAnsi="楷体" w:eastAsia="楷体"/>
          <w:color w:val="auto"/>
          <w:sz w:val="36"/>
          <w:szCs w:val="36"/>
          <w:highlight w:val="none"/>
          <w:lang w:val="en-US" w:eastAsia="zh-CN"/>
        </w:rPr>
        <w:t xml:space="preserve">   4.2</w:t>
      </w:r>
      <w:r>
        <w:rPr>
          <w:rFonts w:hint="eastAsia" w:ascii="楷体" w:hAnsi="楷体" w:eastAsia="楷体"/>
          <w:color w:val="auto"/>
          <w:sz w:val="36"/>
          <w:szCs w:val="36"/>
          <w:highlight w:val="none"/>
        </w:rPr>
        <w:t xml:space="preserve">清单及明细报价</w:t>
      </w:r>
      <w:r>
        <w:rPr>
          <w:rFonts w:hint="eastAsia" w:ascii="楷体" w:hAnsi="楷体" w:eastAsia="楷体"/>
          <w:color w:val="auto"/>
          <w:sz w:val="36"/>
          <w:szCs w:val="36"/>
          <w:highlight w:val="none"/>
          <w:lang w:eastAsia="zh-CN"/>
        </w:rPr>
        <w:t xml:space="preserve">总</w:t>
      </w:r>
      <w:r>
        <w:rPr>
          <w:rFonts w:hint="eastAsia" w:ascii="楷体" w:hAnsi="楷体" w:eastAsia="楷体"/>
          <w:color w:val="auto"/>
          <w:sz w:val="36"/>
          <w:szCs w:val="36"/>
          <w:highlight w:val="none"/>
        </w:rPr>
        <w:t xml:space="preserve">表</w:t>
      </w:r>
      <w:r>
        <w:rPr>
          <w:rFonts w:hint="eastAsia" w:ascii="楷体" w:hAnsi="楷体" w:eastAsia="楷体" w:cs="宋体"/>
          <w:i/>
          <w:iCs/>
          <w:color w:val="auto"/>
          <w:szCs w:val="44"/>
          <w:highlight w:val="none"/>
        </w:rPr>
        <w:t xml:space="preserve">（可编辑）</w:t>
      </w:r>
      <w:r/>
    </w:p>
    <w:tbl>
      <w:tblPr>
        <w:tblStyle w:val="886"/>
        <w:tblW w:w="978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441"/>
        <w:gridCol w:w="1463"/>
        <w:gridCol w:w="644"/>
        <w:gridCol w:w="1014"/>
        <w:gridCol w:w="1730"/>
        <w:gridCol w:w="1607"/>
        <w:gridCol w:w="1052"/>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一、货物部分</w:t>
            </w:r>
            <w:r/>
          </w:p>
        </w:tc>
      </w:tr>
      <w:tr>
        <w:trPr>
          <w:trHeight w:val="594"/>
        </w:trPr>
        <w:tc>
          <w:tcPr>
            <w:tcW w:w="83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tcW w:w="1463"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品牌型号</w:t>
            </w:r>
            <w:r/>
          </w:p>
        </w:tc>
        <w:tc>
          <w:tcPr>
            <w:gridSpan w:val="2"/>
            <w:tcW w:w="1658"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tcW w:w="1730"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单价（元）</w:t>
            </w:r>
            <w:r/>
          </w:p>
        </w:tc>
        <w:tc>
          <w:tcPr>
            <w:tcW w:w="1607"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合计（元）</w:t>
            </w:r>
            <w:r/>
          </w:p>
        </w:tc>
        <w:tc>
          <w:tcPr>
            <w:tcW w:w="105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免费质保期</w:t>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b/>
                <w:color w:val="auto"/>
                <w:sz w:val="24"/>
                <w:highlight w:val="none"/>
              </w:rPr>
              <w:t xml:space="preserve">二、服务部分</w:t>
            </w:r>
            <w:r/>
          </w:p>
        </w:tc>
      </w:tr>
      <w:tr>
        <w:trPr>
          <w:trHeight w:val="696"/>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gridSpan w:val="3"/>
            <w:tcW w:w="312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服务内容</w:t>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服务期</w:t>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价格（元）</w:t>
            </w:r>
            <w:r/>
          </w:p>
        </w:tc>
        <w:tc>
          <w:tcPr>
            <w:tcW w:w="105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备注</w:t>
            </w:r>
            <w:r/>
          </w:p>
        </w:tc>
      </w:tr>
      <w:tr>
        <w:trPr>
          <w:trHeight w:val="594"/>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3"/>
            <w:tcW w:w="3121" w:type="dxa"/>
            <w:vAlign w:val="center"/>
            <w:textDirection w:val="lrTb"/>
            <w:noWrap w:val="false"/>
          </w:tcPr>
          <w:p>
            <w:pPr>
              <w:jc w:val="left"/>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ascii="楷体" w:hAnsi="楷体" w:eastAsia="楷体"/>
                <w:b/>
                <w:color w:val="auto"/>
                <w:sz w:val="24"/>
                <w:highlight w:val="none"/>
              </w:rPr>
              <w:t xml:space="preserve">服务</w:t>
            </w:r>
            <w:r>
              <w:rPr>
                <w:rFonts w:hint="eastAsia" w:ascii="楷体" w:hAnsi="楷体" w:eastAsia="楷体"/>
                <w:b/>
                <w:color w:val="auto"/>
                <w:sz w:val="24"/>
                <w:highlight w:val="none"/>
              </w:rPr>
              <w:t xml:space="preserve">部分小计：     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其它与项目有关的费用</w:t>
            </w:r>
            <w:r>
              <w:rPr>
                <w:rFonts w:hint="eastAsia" w:ascii="楷体" w:hAnsi="楷体" w:eastAsia="楷体"/>
                <w:b/>
                <w:i/>
                <w:iCs/>
                <w:color w:val="auto"/>
                <w:sz w:val="24"/>
                <w:highlight w:val="none"/>
              </w:rPr>
              <w:t xml:space="preserve">（可编辑）</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项目总报价</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bl>
    <w:p>
      <w:pPr>
        <w:keepLines w:val="0"/>
        <w:keepNext w:val="0"/>
        <w:pageBreakBefore w:val="0"/>
        <w:spacing w:line="4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105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560"/>
        <w:spacing w:line="360" w:lineRule="auto"/>
        <w:rPr>
          <w:rFonts w:hint="eastAsia"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宋体" w:hAnsi="宋体"/>
          <w:b/>
          <w:color w:val="auto"/>
          <w:sz w:val="24"/>
          <w:highlight w:val="none"/>
          <w:u w:val="single"/>
        </w:rPr>
        <w:t xml:space="preserve">××</w:t>
      </w:r>
      <w:r/>
    </w:p>
    <w:p>
      <w:pPr>
        <w:pStyle w:val="1072"/>
        <w:ind w:firstLine="560"/>
        <w:spacing w:line="360" w:lineRule="auto"/>
        <w:rPr>
          <w:rFonts w:hint="eastAsia" w:ascii="楷体" w:hAnsi="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宋体" w:hAnsi="宋体"/>
          <w:b/>
          <w:color w:val="auto"/>
          <w:sz w:val="24"/>
          <w:highlight w:val="none"/>
          <w:u w:val="single"/>
        </w:rPr>
        <w:t xml:space="preserve">××   </w:t>
      </w:r>
      <w:r/>
    </w:p>
    <w:p>
      <w:pPr>
        <w:pStyle w:val="1072"/>
        <w:ind w:right="1060" w:firstLine="560"/>
        <w:jc w:val="right"/>
        <w:spacing w:line="360" w:lineRule="auto"/>
        <w:rPr>
          <w:rFonts w:hint="eastAsia" w:ascii="楷体" w:hAnsi="楷体" w:eastAsia="楷体"/>
          <w:color w:val="auto"/>
          <w:sz w:val="28"/>
          <w:szCs w:val="28"/>
          <w:highlight w:val="none"/>
        </w:rPr>
      </w:pPr>
      <w:r>
        <w:rPr>
          <w:rFonts w:hint="eastAsia" w:ascii="楷体" w:hAnsi="楷体" w:eastAsia="楷体"/>
          <w:color w:val="auto"/>
          <w:sz w:val="28"/>
          <w:highlight w:val="none"/>
        </w:rPr>
        <w:t xml:space="preserve">日期： </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日</w:t>
      </w:r>
      <w:r/>
    </w:p>
    <w:p>
      <w:pPr>
        <w:pStyle w:val="105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楷体" w:hAnsi="楷体" w:eastAsia="楷体" w:cs="Times New Roman"/>
          <w:b/>
          <w:color w:val="auto"/>
          <w:sz w:val="36"/>
          <w:szCs w:val="36"/>
          <w:highlight w:val="none"/>
          <w:lang w:val="en-US" w:eastAsia="zh-CN" w:bidi="ar-SA"/>
        </w:rPr>
      </w:pPr>
      <w:r>
        <w:rPr>
          <w:rFonts w:hint="eastAsia" w:ascii="楷体" w:hAnsi="楷体" w:eastAsia="楷体" w:cs="Times New Roman"/>
          <w:b/>
          <w:color w:val="auto"/>
          <w:sz w:val="36"/>
          <w:szCs w:val="36"/>
          <w:highlight w:val="none"/>
          <w:lang w:val="en-US" w:eastAsia="zh-CN" w:bidi="ar-SA"/>
        </w:rPr>
        <w:br w:type="page" w:clear="all"/>
      </w:r>
      <w:r/>
    </w:p>
    <w:p>
      <w:pPr>
        <w:pStyle w:val="1059"/>
        <w:ind w:firstLine="60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1.技术响应及偏离表</w:t>
      </w:r>
      <w:r>
        <w:rPr>
          <w:rFonts w:hint="eastAsia" w:ascii="楷体" w:hAnsi="楷体" w:eastAsia="楷体"/>
          <w:b/>
          <w:color w:val="auto"/>
          <w:sz w:val="32"/>
          <w:szCs w:val="32"/>
          <w:highlight w:val="none"/>
        </w:rPr>
        <w:t xml:space="preserve">（与评分标准对应）</w:t>
      </w:r>
      <w:r/>
    </w:p>
    <w:tbl>
      <w:tblPr>
        <w:tblStyle w:val="886"/>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重要性（★、</w:t>
            </w:r>
            <w:r>
              <w:rPr>
                <w:rFonts w:hint="eastAsia" w:ascii="楷体" w:hAnsi="楷体" w:eastAsia="楷体"/>
                <w:b/>
                <w:color w:val="auto"/>
                <w:szCs w:val="21"/>
                <w:highlight w:val="none"/>
                <w:lang w:val="en-US" w:eastAsia="zh-CN"/>
              </w:rPr>
              <w:t xml:space="preserve">#</w:t>
            </w:r>
            <w:r>
              <w:rPr>
                <w:rFonts w:hint="eastAsia" w:ascii="宋体" w:hAnsi="宋体" w:eastAsia="宋体" w:cs="宋体"/>
                <w:b/>
                <w:color w:val="auto"/>
                <w:szCs w:val="21"/>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bl>
    <w:p>
      <w:pPr>
        <w:pStyle w:val="107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107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107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74"/>
        <w:numPr>
          <w:ilvl w:val="0"/>
          <w:numId w:val="0"/>
        </w:numPr>
        <w:ind w:left="0" w:firstLine="640"/>
        <w:jc w:val="center"/>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val="zh-CN" w:eastAsia="en-US" w:bidi="ar-SA"/>
        </w:rPr>
        <w:t xml:space="preserve">2</w:t>
      </w:r>
      <w:r>
        <w:rPr>
          <w:rFonts w:hint="eastAsia" w:ascii="宋体" w:hAnsi="宋体" w:cs="宋体"/>
          <w:color w:val="auto"/>
          <w:sz w:val="32"/>
          <w:szCs w:val="32"/>
          <w:highlight w:val="none"/>
          <w:lang w:val="en-US" w:eastAsia="zh-CN" w:bidi="ar-SA"/>
        </w:rPr>
        <w:t xml:space="preserve">.</w:t>
      </w:r>
      <w:r>
        <w:rPr>
          <w:rFonts w:hint="eastAsia" w:ascii="宋体" w:hAnsi="宋体" w:cs="宋体"/>
          <w:color w:val="auto"/>
          <w:sz w:val="32"/>
          <w:szCs w:val="32"/>
          <w:highlight w:val="none"/>
          <w:lang w:val="en-US" w:eastAsia="zh-CN"/>
        </w:rPr>
        <w:t xml:space="preserve">技术</w:t>
      </w:r>
      <w:r>
        <w:rPr>
          <w:rFonts w:hint="eastAsia" w:ascii="宋体" w:hAnsi="宋体" w:eastAsia="宋体" w:cs="宋体"/>
          <w:color w:val="auto"/>
          <w:sz w:val="32"/>
          <w:szCs w:val="32"/>
          <w:highlight w:val="none"/>
          <w:lang w:val="en-US" w:eastAsia="zh-CN"/>
        </w:rPr>
        <w:t xml:space="preserve">方案</w:t>
      </w:r>
      <w:r/>
    </w:p>
    <w:p>
      <w:pPr>
        <w:pStyle w:val="1074"/>
        <w:numPr>
          <w:ilvl w:val="0"/>
          <w:numId w:val="0"/>
        </w:numPr>
        <w:ind w:left="640"/>
        <w:jc w:val="both"/>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eastAsia="en-US"/>
        </w:rPr>
      </w:r>
      <w:r/>
    </w:p>
    <w:p>
      <w:pPr>
        <w:pStyle w:val="1074"/>
        <w:numPr>
          <w:ilvl w:val="0"/>
          <w:numId w:val="0"/>
        </w:numPr>
        <w:jc w:val="both"/>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4"/>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ind w:firstLine="560"/>
        <w:jc w:val="left"/>
        <w:keepLines w:val="0"/>
        <w:keepNext w:val="0"/>
        <w:pageBreakBefore w:val="0"/>
        <w:spacing w:line="240" w:lineRule="auto"/>
        <w:widowControl/>
        <w:rPr>
          <w:rFonts w:hint="eastAsia" w:ascii="新宋体" w:hAnsi="新宋体" w:eastAsia="新宋体" w:cs="新宋体"/>
          <w:b w:val="0"/>
          <w:bCs/>
          <w:color w:val="auto"/>
          <w:sz w:val="28"/>
          <w:szCs w:val="28"/>
          <w:highlight w:val="none"/>
        </w:rPr>
      </w:pPr>
      <w:r>
        <w:rPr>
          <w:rFonts w:hint="eastAsia" w:ascii="新宋体" w:hAnsi="新宋体" w:eastAsia="新宋体" w:cs="新宋体"/>
          <w:b w:val="0"/>
          <w:bCs/>
          <w:color w:val="auto"/>
          <w:sz w:val="28"/>
          <w:szCs w:val="28"/>
          <w:highlight w:val="none"/>
        </w:rPr>
      </w:r>
      <w:r/>
    </w:p>
    <w:p>
      <w:pPr>
        <w:pStyle w:val="1057"/>
        <w:jc w:val="both"/>
        <w:rPr>
          <w:rFonts w:hint="eastAsia"/>
          <w:color w:val="auto"/>
          <w:highlight w:val="none"/>
        </w:rPr>
      </w:pPr>
      <w:r>
        <w:rPr>
          <w:rFonts w:hint="eastAsia"/>
          <w:color w:val="auto"/>
          <w:highlight w:val="none"/>
        </w:rPr>
      </w:r>
      <w:r/>
    </w:p>
    <w:p>
      <w:pPr>
        <w:pStyle w:val="1074"/>
        <w:numPr>
          <w:ilvl w:val="0"/>
          <w:numId w:val="0"/>
        </w:numPr>
        <w:ind w:left="0" w:firstLine="640"/>
        <w:jc w:val="both"/>
        <w:widowControl w:val="off"/>
        <w:rPr>
          <w:rFonts w:hint="eastAsia" w:ascii="宋体" w:hAnsi="宋体" w:eastAsia="宋体" w:cs="宋体"/>
          <w:color w:val="auto"/>
          <w:sz w:val="32"/>
          <w:szCs w:val="32"/>
          <w:highlight w:val="none"/>
          <w:lang w:val="zh-CN" w:eastAsia="en-US" w:bidi="ar-SA"/>
        </w:rPr>
      </w:pPr>
      <w:r>
        <w:rPr>
          <w:rFonts w:hint="eastAsia" w:ascii="宋体" w:hAnsi="宋体" w:eastAsia="宋体" w:cs="宋体"/>
          <w:color w:val="auto"/>
          <w:sz w:val="32"/>
          <w:szCs w:val="32"/>
          <w:highlight w:val="none"/>
          <w:lang w:val="zh-CN" w:eastAsia="en-US" w:bidi="ar-SA"/>
        </w:rPr>
      </w:r>
      <w:r/>
    </w:p>
    <w:p>
      <w:pPr>
        <w:pStyle w:val="1059"/>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59"/>
        <w:ind w:firstLine="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jc w:val="center"/>
        <w:spacing w:line="360" w:lineRule="auto"/>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w:t>
      </w:r>
      <w:r>
        <w:rPr>
          <w:rFonts w:hint="eastAsia" w:ascii="楷体" w:hAnsi="楷体" w:eastAsia="楷体"/>
          <w:b/>
          <w:color w:val="auto"/>
          <w:sz w:val="32"/>
          <w:szCs w:val="32"/>
          <w:highlight w:val="none"/>
          <w:lang w:eastAsia="zh-CN"/>
        </w:rPr>
        <w:t xml:space="preserve">一</w:t>
      </w:r>
      <w:r>
        <w:rPr>
          <w:rFonts w:hint="eastAsia" w:ascii="楷体" w:hAnsi="楷体" w:eastAsia="楷体"/>
          <w:b/>
          <w:color w:val="auto"/>
          <w:sz w:val="32"/>
          <w:szCs w:val="32"/>
          <w:highlight w:val="none"/>
        </w:rPr>
        <w:t xml:space="preserve">）按招标文件要求投标人所能提供的</w:t>
      </w:r>
      <w:r>
        <w:rPr>
          <w:rFonts w:ascii="楷体" w:hAnsi="楷体" w:eastAsia="楷体"/>
          <w:b/>
          <w:color w:val="auto"/>
          <w:sz w:val="32"/>
          <w:szCs w:val="32"/>
          <w:highlight w:val="none"/>
        </w:rPr>
        <w:t xml:space="preserve">其他文件</w:t>
      </w:r>
      <w:r/>
    </w:p>
    <w:p>
      <w:pPr>
        <w:pStyle w:val="1059"/>
        <w:ind w:left="0" w:firstLine="0"/>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color w:val="auto"/>
          <w:highlight w:val="none"/>
        </w:rPr>
      </w:pPr>
      <w:r>
        <w:rPr>
          <w:color w:val="auto"/>
          <w:highlight w:val="none"/>
        </w:rPr>
      </w:r>
      <w:r/>
    </w:p>
    <w:sectPr>
      <w:footerReference w:type="firs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方正行楷简体">
    <w:panose1 w:val="020B0503020202020204"/>
  </w:font>
  <w:font w:name="Calibri">
    <w:panose1 w:val="020F0502020204030204"/>
  </w:font>
  <w:font w:name="楷体_GB2312">
    <w:panose1 w:val="02010609060101010101"/>
  </w:font>
  <w:font w:name="幼圆">
    <w:panose1 w:val="020105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187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187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186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186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fldChar w:fldCharType="begin"/>
    </w:r>
    <w:r>
      <w:rPr>
        <w:rStyle w:val="1078"/>
      </w:rPr>
      <w:instrText xml:space="preserve"> PAGE </w:instrText>
    </w:r>
    <w:r>
      <w:fldChar w:fldCharType="separate"/>
    </w:r>
    <w:r>
      <w:rPr>
        <w:rStyle w:val="107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wps:txbx>
                    <wps:bodyPr wrap="none" lIns="0" tIns="190500" rIns="254000" bIns="0" upright="1">
                      <a:spAutoFit/>
                    </wps:bodyPr>
                  </wps:wsp>
                </a:graphicData>
              </a:graphic>
            </wp:anchor>
          </w:drawing>
        </mc:Choice>
        <mc:Fallback>
          <w:pict>
            <v:shape id="shape 0" o:spid="_x0000_s0" o:spt="202" type="#_x0000_t202" style="position:absolute;z-index:251659264;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default="1">
    <w:name w:val="Normal"/>
    <w:next w:val="887"/>
    <w:link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name w:val="Heading 1"/>
    <w:basedOn w:val="875"/>
    <w:next w:val="875"/>
    <w:link w:val="909"/>
    <w:uiPriority w:val="9"/>
    <w:qFormat/>
    <w:pPr>
      <w:keepLines/>
      <w:keepNext/>
      <w:spacing w:before="480" w:after="200"/>
      <w:outlineLvl w:val="0"/>
    </w:pPr>
    <w:rPr>
      <w:rFonts w:ascii="Arial" w:hAnsi="Arial" w:eastAsia="Arial" w:cs="Arial"/>
      <w:sz w:val="40"/>
      <w:szCs w:val="40"/>
    </w:rPr>
  </w:style>
  <w:style w:type="paragraph" w:styleId="877">
    <w:name w:val="Heading 2"/>
    <w:basedOn w:val="875"/>
    <w:next w:val="875"/>
    <w:link w:val="910"/>
    <w:uiPriority w:val="9"/>
    <w:unhideWhenUsed/>
    <w:qFormat/>
    <w:pPr>
      <w:keepLines/>
      <w:keepNext/>
      <w:spacing w:before="360" w:after="200"/>
      <w:outlineLvl w:val="1"/>
    </w:pPr>
    <w:rPr>
      <w:rFonts w:ascii="Arial" w:hAnsi="Arial" w:eastAsia="Arial" w:cs="Arial"/>
      <w:sz w:val="34"/>
    </w:rPr>
  </w:style>
  <w:style w:type="paragraph" w:styleId="878">
    <w:name w:val="Heading 3"/>
    <w:basedOn w:val="875"/>
    <w:next w:val="875"/>
    <w:link w:val="911"/>
    <w:uiPriority w:val="9"/>
    <w:unhideWhenUsed/>
    <w:qFormat/>
    <w:pPr>
      <w:keepLines/>
      <w:keepNext/>
      <w:spacing w:before="320" w:after="200"/>
      <w:outlineLvl w:val="2"/>
    </w:pPr>
    <w:rPr>
      <w:rFonts w:ascii="Arial" w:hAnsi="Arial" w:eastAsia="Arial" w:cs="Arial"/>
      <w:sz w:val="30"/>
      <w:szCs w:val="30"/>
    </w:rPr>
  </w:style>
  <w:style w:type="paragraph" w:styleId="879">
    <w:name w:val="Heading 4"/>
    <w:basedOn w:val="875"/>
    <w:next w:val="875"/>
    <w:link w:val="912"/>
    <w:uiPriority w:val="9"/>
    <w:unhideWhenUsed/>
    <w:qFormat/>
    <w:pPr>
      <w:keepLines/>
      <w:keepNext/>
      <w:spacing w:before="320" w:after="200"/>
      <w:outlineLvl w:val="3"/>
    </w:pPr>
    <w:rPr>
      <w:rFonts w:ascii="Arial" w:hAnsi="Arial" w:eastAsia="Arial" w:cs="Arial"/>
      <w:b/>
      <w:bCs/>
      <w:sz w:val="26"/>
      <w:szCs w:val="26"/>
    </w:rPr>
  </w:style>
  <w:style w:type="paragraph" w:styleId="880">
    <w:name w:val="Heading 5"/>
    <w:basedOn w:val="875"/>
    <w:next w:val="875"/>
    <w:link w:val="913"/>
    <w:uiPriority w:val="9"/>
    <w:unhideWhenUsed/>
    <w:qFormat/>
    <w:pPr>
      <w:keepLines/>
      <w:keepNext/>
      <w:spacing w:before="320" w:after="200"/>
      <w:outlineLvl w:val="4"/>
    </w:pPr>
    <w:rPr>
      <w:rFonts w:ascii="Arial" w:hAnsi="Arial" w:eastAsia="Arial" w:cs="Arial"/>
      <w:b/>
      <w:bCs/>
      <w:sz w:val="24"/>
      <w:szCs w:val="24"/>
    </w:rPr>
  </w:style>
  <w:style w:type="paragraph" w:styleId="881">
    <w:name w:val="Heading 6"/>
    <w:basedOn w:val="875"/>
    <w:next w:val="875"/>
    <w:link w:val="914"/>
    <w:uiPriority w:val="9"/>
    <w:unhideWhenUsed/>
    <w:qFormat/>
    <w:pPr>
      <w:keepLines/>
      <w:keepNext/>
      <w:spacing w:before="320" w:after="200"/>
      <w:outlineLvl w:val="5"/>
    </w:pPr>
    <w:rPr>
      <w:rFonts w:ascii="Arial" w:hAnsi="Arial" w:eastAsia="Arial" w:cs="Arial"/>
      <w:b/>
      <w:bCs/>
      <w:sz w:val="22"/>
      <w:szCs w:val="22"/>
    </w:rPr>
  </w:style>
  <w:style w:type="paragraph" w:styleId="882">
    <w:name w:val="Heading 7"/>
    <w:basedOn w:val="875"/>
    <w:next w:val="875"/>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83">
    <w:name w:val="Heading 8"/>
    <w:basedOn w:val="875"/>
    <w:next w:val="875"/>
    <w:link w:val="916"/>
    <w:uiPriority w:val="9"/>
    <w:unhideWhenUsed/>
    <w:qFormat/>
    <w:pPr>
      <w:keepLines/>
      <w:keepNext/>
      <w:spacing w:before="320" w:after="200"/>
      <w:outlineLvl w:val="7"/>
    </w:pPr>
    <w:rPr>
      <w:rFonts w:ascii="Arial" w:hAnsi="Arial" w:eastAsia="Arial" w:cs="Arial"/>
      <w:i/>
      <w:iCs/>
      <w:sz w:val="22"/>
      <w:szCs w:val="22"/>
    </w:rPr>
  </w:style>
  <w:style w:type="paragraph" w:styleId="884">
    <w:name w:val="Heading 9"/>
    <w:basedOn w:val="875"/>
    <w:next w:val="875"/>
    <w:link w:val="917"/>
    <w:uiPriority w:val="9"/>
    <w:unhideWhenUsed/>
    <w:qFormat/>
    <w:pPr>
      <w:keepLines/>
      <w:keepNext/>
      <w:spacing w:before="320" w:after="200"/>
      <w:outlineLvl w:val="8"/>
    </w:pPr>
    <w:rPr>
      <w:rFonts w:ascii="Arial" w:hAnsi="Arial" w:eastAsia="Arial" w:cs="Arial"/>
      <w:i/>
      <w:iCs/>
      <w:sz w:val="21"/>
      <w:szCs w:val="21"/>
    </w:rPr>
  </w:style>
  <w:style w:type="character" w:styleId="885" w:default="1">
    <w:name w:val="Default Paragraph Font"/>
    <w:uiPriority w:val="0"/>
    <w:semiHidden/>
    <w:qFormat/>
  </w:style>
  <w:style w:type="table" w:styleId="886" w:default="1">
    <w:name w:val="Normal Table"/>
    <w:uiPriority w:val="0"/>
    <w:semiHidden/>
    <w:qFormat/>
    <w:tblPr>
      <w:tblCellMar>
        <w:left w:w="108" w:type="dxa"/>
        <w:top w:w="0" w:type="dxa"/>
        <w:right w:w="108" w:type="dxa"/>
        <w:bottom w:w="0" w:type="dxa"/>
      </w:tblCellMar>
    </w:tblPr>
  </w:style>
  <w:style w:type="paragraph" w:styleId="887" w:customStyle="1">
    <w:name w:val="正文文本111"/>
    <w:basedOn w:val="875"/>
    <w:next w:val="875"/>
    <w:uiPriority w:val="0"/>
    <w:qFormat/>
    <w:pPr>
      <w:spacing w:after="120"/>
    </w:pPr>
  </w:style>
  <w:style w:type="paragraph" w:styleId="888">
    <w:name w:val="toc 7"/>
    <w:basedOn w:val="875"/>
    <w:next w:val="875"/>
    <w:uiPriority w:val="39"/>
    <w:unhideWhenUsed/>
    <w:qFormat/>
    <w:pPr>
      <w:ind w:left="1701" w:right="0" w:firstLine="0"/>
      <w:spacing w:after="57"/>
    </w:pPr>
  </w:style>
  <w:style w:type="paragraph" w:styleId="889">
    <w:name w:val="Caption"/>
    <w:basedOn w:val="875"/>
    <w:next w:val="87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90">
    <w:name w:val="toc 5"/>
    <w:basedOn w:val="875"/>
    <w:next w:val="875"/>
    <w:uiPriority w:val="39"/>
    <w:unhideWhenUsed/>
    <w:qFormat/>
    <w:pPr>
      <w:ind w:left="1134" w:right="0" w:firstLine="0"/>
      <w:spacing w:after="57"/>
    </w:pPr>
  </w:style>
  <w:style w:type="paragraph" w:styleId="891">
    <w:name w:val="toc 3"/>
    <w:basedOn w:val="875"/>
    <w:next w:val="875"/>
    <w:uiPriority w:val="39"/>
    <w:unhideWhenUsed/>
    <w:qFormat/>
    <w:pPr>
      <w:ind w:left="567" w:right="0" w:firstLine="0"/>
      <w:spacing w:after="57"/>
    </w:pPr>
  </w:style>
  <w:style w:type="paragraph" w:styleId="892">
    <w:name w:val="toc 8"/>
    <w:basedOn w:val="875"/>
    <w:next w:val="875"/>
    <w:uiPriority w:val="39"/>
    <w:unhideWhenUsed/>
    <w:qFormat/>
    <w:pPr>
      <w:ind w:left="1984" w:right="0" w:firstLine="0"/>
      <w:spacing w:after="57"/>
    </w:pPr>
  </w:style>
  <w:style w:type="paragraph" w:styleId="893">
    <w:name w:val="endnote text"/>
    <w:basedOn w:val="875"/>
    <w:link w:val="1055"/>
    <w:uiPriority w:val="99"/>
    <w:semiHidden/>
    <w:unhideWhenUsed/>
    <w:qFormat/>
    <w:pPr>
      <w:spacing w:after="0" w:line="240" w:lineRule="auto"/>
    </w:pPr>
    <w:rPr>
      <w:sz w:val="20"/>
    </w:rPr>
  </w:style>
  <w:style w:type="paragraph" w:styleId="894">
    <w:name w:val="Footer"/>
    <w:basedOn w:val="875"/>
    <w:uiPriority w:val="0"/>
    <w:qFormat/>
    <w:pPr>
      <w:jc w:val="left"/>
      <w:tabs>
        <w:tab w:val="center" w:pos="4153" w:leader="none"/>
        <w:tab w:val="right" w:pos="8306" w:leader="none"/>
      </w:tabs>
    </w:pPr>
    <w:rPr>
      <w:sz w:val="18"/>
    </w:rPr>
  </w:style>
  <w:style w:type="paragraph" w:styleId="895">
    <w:name w:val="Header"/>
    <w:basedOn w:val="87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6">
    <w:name w:val="toc 1"/>
    <w:basedOn w:val="875"/>
    <w:next w:val="875"/>
    <w:uiPriority w:val="39"/>
    <w:unhideWhenUsed/>
    <w:qFormat/>
    <w:pPr>
      <w:ind w:left="0" w:right="0" w:firstLine="0"/>
      <w:spacing w:after="57"/>
    </w:pPr>
  </w:style>
  <w:style w:type="paragraph" w:styleId="897">
    <w:name w:val="toc 4"/>
    <w:basedOn w:val="875"/>
    <w:next w:val="875"/>
    <w:uiPriority w:val="39"/>
    <w:unhideWhenUsed/>
    <w:qFormat/>
    <w:pPr>
      <w:ind w:left="850" w:right="0" w:firstLine="0"/>
      <w:spacing w:after="57"/>
    </w:pPr>
  </w:style>
  <w:style w:type="paragraph" w:styleId="898">
    <w:name w:val="Subtitle"/>
    <w:basedOn w:val="875"/>
    <w:next w:val="875"/>
    <w:link w:val="921"/>
    <w:uiPriority w:val="11"/>
    <w:qFormat/>
    <w:pPr>
      <w:spacing w:before="200" w:after="200"/>
    </w:pPr>
    <w:rPr>
      <w:sz w:val="24"/>
      <w:szCs w:val="24"/>
    </w:rPr>
  </w:style>
  <w:style w:type="paragraph" w:styleId="899">
    <w:name w:val="footnote text"/>
    <w:basedOn w:val="875"/>
    <w:link w:val="1054"/>
    <w:uiPriority w:val="99"/>
    <w:semiHidden/>
    <w:unhideWhenUsed/>
    <w:qFormat/>
    <w:pPr>
      <w:spacing w:after="40" w:line="240" w:lineRule="auto"/>
    </w:pPr>
    <w:rPr>
      <w:sz w:val="18"/>
    </w:rPr>
  </w:style>
  <w:style w:type="paragraph" w:styleId="900">
    <w:name w:val="toc 6"/>
    <w:basedOn w:val="875"/>
    <w:next w:val="875"/>
    <w:uiPriority w:val="39"/>
    <w:unhideWhenUsed/>
    <w:qFormat/>
    <w:pPr>
      <w:ind w:left="1417" w:right="0" w:firstLine="0"/>
      <w:spacing w:after="57"/>
    </w:pPr>
  </w:style>
  <w:style w:type="paragraph" w:styleId="901">
    <w:name w:val="table of figures"/>
    <w:basedOn w:val="875"/>
    <w:next w:val="875"/>
    <w:uiPriority w:val="99"/>
    <w:unhideWhenUsed/>
    <w:qFormat/>
    <w:pPr>
      <w:spacing w:after="0" w:afterAutospacing="0"/>
    </w:pPr>
  </w:style>
  <w:style w:type="paragraph" w:styleId="902">
    <w:name w:val="toc 2"/>
    <w:basedOn w:val="875"/>
    <w:next w:val="875"/>
    <w:uiPriority w:val="39"/>
    <w:unhideWhenUsed/>
    <w:qFormat/>
    <w:pPr>
      <w:ind w:left="283" w:right="0" w:firstLine="0"/>
      <w:spacing w:after="57"/>
    </w:pPr>
  </w:style>
  <w:style w:type="paragraph" w:styleId="903">
    <w:name w:val="toc 9"/>
    <w:basedOn w:val="875"/>
    <w:next w:val="875"/>
    <w:uiPriority w:val="39"/>
    <w:unhideWhenUsed/>
    <w:qFormat/>
    <w:pPr>
      <w:ind w:left="2268" w:right="0" w:firstLine="0"/>
      <w:spacing w:after="57"/>
    </w:pPr>
  </w:style>
  <w:style w:type="paragraph" w:styleId="904">
    <w:name w:val="Title"/>
    <w:basedOn w:val="875"/>
    <w:next w:val="875"/>
    <w:link w:val="920"/>
    <w:uiPriority w:val="10"/>
    <w:qFormat/>
    <w:pPr>
      <w:contextualSpacing/>
      <w:spacing w:before="300" w:after="200"/>
    </w:pPr>
    <w:rPr>
      <w:sz w:val="48"/>
      <w:szCs w:val="48"/>
    </w:rPr>
  </w:style>
  <w:style w:type="table" w:styleId="905">
    <w:name w:val="Table Grid"/>
    <w:basedOn w:val="88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endnote reference"/>
    <w:basedOn w:val="885"/>
    <w:uiPriority w:val="99"/>
    <w:semiHidden/>
    <w:unhideWhenUsed/>
    <w:qFormat/>
    <w:rPr>
      <w:vertAlign w:val="superscript"/>
    </w:rPr>
  </w:style>
  <w:style w:type="character" w:styleId="907">
    <w:name w:val="Hyperlink"/>
    <w:uiPriority w:val="99"/>
    <w:unhideWhenUsed/>
    <w:qFormat/>
    <w:rPr>
      <w:color w:val="0026e5" w:themeColor="hyperlink"/>
      <w:u w:val="single"/>
      <w14:textFill>
        <w14:solidFill>
          <w14:schemeClr w14:val="hlink"/>
        </w14:solidFill>
      </w14:textFill>
    </w:rPr>
  </w:style>
  <w:style w:type="character" w:styleId="908">
    <w:name w:val="footnote reference"/>
    <w:basedOn w:val="885"/>
    <w:uiPriority w:val="99"/>
    <w:unhideWhenUsed/>
    <w:qFormat/>
    <w:rPr>
      <w:vertAlign w:val="superscript"/>
    </w:rPr>
  </w:style>
  <w:style w:type="character" w:styleId="909" w:customStyle="1">
    <w:name w:val="Heading 1 Char"/>
    <w:basedOn w:val="885"/>
    <w:link w:val="876"/>
    <w:uiPriority w:val="9"/>
    <w:qFormat/>
    <w:rPr>
      <w:rFonts w:ascii="Arial" w:hAnsi="Arial" w:eastAsia="Arial" w:cs="Arial"/>
      <w:sz w:val="40"/>
      <w:szCs w:val="40"/>
    </w:rPr>
  </w:style>
  <w:style w:type="character" w:styleId="910" w:customStyle="1">
    <w:name w:val="Heading 2 Char"/>
    <w:basedOn w:val="885"/>
    <w:link w:val="877"/>
    <w:uiPriority w:val="9"/>
    <w:qFormat/>
    <w:rPr>
      <w:rFonts w:ascii="Arial" w:hAnsi="Arial" w:eastAsia="Arial" w:cs="Arial"/>
      <w:sz w:val="34"/>
    </w:rPr>
  </w:style>
  <w:style w:type="character" w:styleId="911" w:customStyle="1">
    <w:name w:val="Heading 3 Char"/>
    <w:basedOn w:val="885"/>
    <w:link w:val="878"/>
    <w:uiPriority w:val="9"/>
    <w:qFormat/>
    <w:rPr>
      <w:rFonts w:ascii="Arial" w:hAnsi="Arial" w:eastAsia="Arial" w:cs="Arial"/>
      <w:sz w:val="30"/>
      <w:szCs w:val="30"/>
    </w:rPr>
  </w:style>
  <w:style w:type="character" w:styleId="912" w:customStyle="1">
    <w:name w:val="Heading 4 Char"/>
    <w:basedOn w:val="885"/>
    <w:link w:val="879"/>
    <w:uiPriority w:val="9"/>
    <w:qFormat/>
    <w:rPr>
      <w:rFonts w:ascii="Arial" w:hAnsi="Arial" w:eastAsia="Arial" w:cs="Arial"/>
      <w:b/>
      <w:bCs/>
      <w:sz w:val="26"/>
      <w:szCs w:val="26"/>
    </w:rPr>
  </w:style>
  <w:style w:type="character" w:styleId="913" w:customStyle="1">
    <w:name w:val="Heading 5 Char"/>
    <w:basedOn w:val="885"/>
    <w:link w:val="880"/>
    <w:uiPriority w:val="9"/>
    <w:qFormat/>
    <w:rPr>
      <w:rFonts w:ascii="Arial" w:hAnsi="Arial" w:eastAsia="Arial" w:cs="Arial"/>
      <w:b/>
      <w:bCs/>
      <w:sz w:val="24"/>
      <w:szCs w:val="24"/>
    </w:rPr>
  </w:style>
  <w:style w:type="character" w:styleId="914" w:customStyle="1">
    <w:name w:val="Heading 6 Char"/>
    <w:basedOn w:val="885"/>
    <w:link w:val="881"/>
    <w:uiPriority w:val="9"/>
    <w:qFormat/>
    <w:rPr>
      <w:rFonts w:ascii="Arial" w:hAnsi="Arial" w:eastAsia="Arial" w:cs="Arial"/>
      <w:b/>
      <w:bCs/>
      <w:sz w:val="22"/>
      <w:szCs w:val="22"/>
    </w:rPr>
  </w:style>
  <w:style w:type="character" w:styleId="915" w:customStyle="1">
    <w:name w:val="Heading 7 Char"/>
    <w:basedOn w:val="885"/>
    <w:link w:val="882"/>
    <w:uiPriority w:val="9"/>
    <w:qFormat/>
    <w:rPr>
      <w:rFonts w:ascii="Arial" w:hAnsi="Arial" w:eastAsia="Arial" w:cs="Arial"/>
      <w:b/>
      <w:bCs/>
      <w:i/>
      <w:iCs/>
      <w:sz w:val="22"/>
      <w:szCs w:val="22"/>
    </w:rPr>
  </w:style>
  <w:style w:type="character" w:styleId="916" w:customStyle="1">
    <w:name w:val="Heading 8 Char"/>
    <w:basedOn w:val="885"/>
    <w:link w:val="883"/>
    <w:uiPriority w:val="9"/>
    <w:qFormat/>
    <w:rPr>
      <w:rFonts w:ascii="Arial" w:hAnsi="Arial" w:eastAsia="Arial" w:cs="Arial"/>
      <w:i/>
      <w:iCs/>
      <w:sz w:val="22"/>
      <w:szCs w:val="22"/>
    </w:rPr>
  </w:style>
  <w:style w:type="character" w:styleId="917" w:customStyle="1">
    <w:name w:val="Heading 9 Char"/>
    <w:basedOn w:val="885"/>
    <w:link w:val="884"/>
    <w:uiPriority w:val="9"/>
    <w:qFormat/>
    <w:rPr>
      <w:rFonts w:ascii="Arial" w:hAnsi="Arial" w:eastAsia="Arial" w:cs="Arial"/>
      <w:i/>
      <w:iCs/>
      <w:sz w:val="21"/>
      <w:szCs w:val="21"/>
    </w:rPr>
  </w:style>
  <w:style w:type="paragraph" w:styleId="918">
    <w:name w:val="List Paragraph"/>
    <w:basedOn w:val="875"/>
    <w:uiPriority w:val="34"/>
    <w:qFormat/>
    <w:pPr>
      <w:contextualSpacing/>
      <w:ind w:left="720"/>
    </w:pPr>
  </w:style>
  <w:style w:type="paragraph" w:styleId="919">
    <w:name w:val="No Spacing"/>
    <w:uiPriority w:val="1"/>
    <w:qFormat/>
    <w:pPr>
      <w:spacing w:before="0" w:after="0" w:line="240" w:lineRule="auto"/>
    </w:pPr>
    <w:rPr>
      <w:rFonts w:hint="default" w:asciiTheme="minorHAnsi" w:hAnsiTheme="minorHAnsi" w:eastAsiaTheme="minorEastAsia" w:cstheme="minorBidi"/>
    </w:rPr>
  </w:style>
  <w:style w:type="character" w:styleId="920" w:customStyle="1">
    <w:name w:val="Title Char"/>
    <w:basedOn w:val="885"/>
    <w:link w:val="904"/>
    <w:uiPriority w:val="10"/>
    <w:qFormat/>
    <w:rPr>
      <w:sz w:val="48"/>
      <w:szCs w:val="48"/>
    </w:rPr>
  </w:style>
  <w:style w:type="character" w:styleId="921" w:customStyle="1">
    <w:name w:val="Subtitle Char"/>
    <w:basedOn w:val="885"/>
    <w:link w:val="898"/>
    <w:uiPriority w:val="11"/>
    <w:qFormat/>
    <w:rPr>
      <w:sz w:val="24"/>
      <w:szCs w:val="24"/>
    </w:rPr>
  </w:style>
  <w:style w:type="paragraph" w:styleId="922">
    <w:name w:val="Quote"/>
    <w:basedOn w:val="875"/>
    <w:next w:val="875"/>
    <w:link w:val="923"/>
    <w:uiPriority w:val="29"/>
    <w:qFormat/>
    <w:pPr>
      <w:ind w:left="720" w:right="720"/>
    </w:pPr>
    <w:rPr>
      <w:i/>
    </w:rPr>
  </w:style>
  <w:style w:type="character" w:styleId="923" w:customStyle="1">
    <w:name w:val="Quote Char"/>
    <w:link w:val="922"/>
    <w:uiPriority w:val="29"/>
    <w:qFormat/>
    <w:rPr>
      <w:i/>
    </w:rPr>
  </w:style>
  <w:style w:type="paragraph" w:styleId="924">
    <w:name w:val="Intense Quote"/>
    <w:basedOn w:val="875"/>
    <w:next w:val="875"/>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Intense Quote Char"/>
    <w:link w:val="924"/>
    <w:uiPriority w:val="30"/>
    <w:qFormat/>
    <w:rPr>
      <w:i/>
    </w:rPr>
  </w:style>
  <w:style w:type="character" w:styleId="926" w:customStyle="1">
    <w:name w:val="Header Char"/>
    <w:basedOn w:val="885"/>
    <w:uiPriority w:val="99"/>
    <w:qFormat/>
  </w:style>
  <w:style w:type="character" w:styleId="927" w:customStyle="1">
    <w:name w:val="Footer Char"/>
    <w:basedOn w:val="885"/>
    <w:uiPriority w:val="99"/>
    <w:qFormat/>
  </w:style>
  <w:style w:type="character" w:styleId="928" w:customStyle="1">
    <w:name w:val="Caption Char"/>
    <w:uiPriority w:val="99"/>
    <w:qFormat/>
  </w:style>
  <w:style w:type="table" w:styleId="929" w:customStyle="1">
    <w:name w:val="Table Grid Light"/>
    <w:basedOn w:val="8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Plain Table 1"/>
    <w:basedOn w:val="8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basedOn w:val="8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basedOn w:val="8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basedOn w:val="88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basedOn w:val="88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basedOn w:val="88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basedOn w:val="88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basedOn w:val="88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basedOn w:val="88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w:basedOn w:val="8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basedOn w:val="88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basedOn w:val="88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basedOn w:val="88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basedOn w:val="88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basedOn w:val="88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48" w:customStyle="1">
    <w:name w:val="Grid Table 2 - Accent 6"/>
    <w:basedOn w:val="88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49" w:customStyle="1">
    <w:name w:val="Grid Table 3"/>
    <w:basedOn w:val="8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basedOn w:val="88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basedOn w:val="88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basedOn w:val="88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basedOn w:val="88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basedOn w:val="88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basedOn w:val="88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basedOn w:val="8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basedOn w:val="88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58" w:customStyle="1">
    <w:name w:val="Grid Table 4 - Accent 2"/>
    <w:basedOn w:val="88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59" w:customStyle="1">
    <w:name w:val="Grid Table 4 - Accent 3"/>
    <w:basedOn w:val="88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60" w:customStyle="1">
    <w:name w:val="Grid Table 4 - Accent 4"/>
    <w:basedOn w:val="88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61" w:customStyle="1">
    <w:name w:val="Grid Table 4 - Accent 5"/>
    <w:basedOn w:val="88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62" w:customStyle="1">
    <w:name w:val="Grid Table 4 - Accent 6"/>
    <w:basedOn w:val="88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63" w:customStyle="1">
    <w:name w:val="Grid Table 5 Dark"/>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65" w:customStyle="1">
    <w:name w:val="Grid Table 5 Dark - Accent 2"/>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66" w:customStyle="1">
    <w:name w:val="Grid Table 5 Dark - Accent 3"/>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67" w:customStyle="1">
    <w:name w:val="Grid Table 5 Dark- Accent 4"/>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68" w:customStyle="1">
    <w:name w:val="Grid Table 5 Dark - Accent 5"/>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69" w:customStyle="1">
    <w:name w:val="Grid Table 5 Dark - Accent 6"/>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70" w:customStyle="1">
    <w:name w:val="Grid Table 6 Colorful"/>
    <w:basedOn w:val="8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basedOn w:val="88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72" w:customStyle="1">
    <w:name w:val="Grid Table 6 Colorful - Accent 2"/>
    <w:basedOn w:val="88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73" w:customStyle="1">
    <w:name w:val="Grid Table 6 Colorful - Accent 3"/>
    <w:basedOn w:val="88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74" w:customStyle="1">
    <w:name w:val="Grid Table 6 Colorful - Accent 4"/>
    <w:basedOn w:val="88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75" w:customStyle="1">
    <w:name w:val="Grid Table 6 Colorful - Accent 5"/>
    <w:basedOn w:val="88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6" w:customStyle="1">
    <w:name w:val="Grid Table 6 Colorful - Accent 6"/>
    <w:basedOn w:val="88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7" w:customStyle="1">
    <w:name w:val="Grid Table 7 Colorful"/>
    <w:basedOn w:val="8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basedOn w:val="88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basedOn w:val="88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basedOn w:val="88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basedOn w:val="88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basedOn w:val="88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basedOn w:val="88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w:basedOn w:val="8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basedOn w:val="88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86" w:customStyle="1">
    <w:name w:val="List Table 1 Light - Accent 2"/>
    <w:basedOn w:val="88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87" w:customStyle="1">
    <w:name w:val="List Table 1 Light - Accent 3"/>
    <w:basedOn w:val="88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88" w:customStyle="1">
    <w:name w:val="List Table 1 Light - Accent 4"/>
    <w:basedOn w:val="88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basedOn w:val="88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90" w:customStyle="1">
    <w:name w:val="List Table 1 Light - Accent 6"/>
    <w:basedOn w:val="88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91" w:customStyle="1">
    <w:name w:val="List Table 2"/>
    <w:basedOn w:val="8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basedOn w:val="88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93" w:customStyle="1">
    <w:name w:val="List Table 2 - Accent 2"/>
    <w:basedOn w:val="88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94" w:customStyle="1">
    <w:name w:val="List Table 2 - Accent 3"/>
    <w:basedOn w:val="88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95" w:customStyle="1">
    <w:name w:val="List Table 2 - Accent 4"/>
    <w:basedOn w:val="88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96" w:customStyle="1">
    <w:name w:val="List Table 2 - Accent 5"/>
    <w:basedOn w:val="88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97" w:customStyle="1">
    <w:name w:val="List Table 2 - Accent 6"/>
    <w:basedOn w:val="88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98" w:customStyle="1">
    <w:name w:val="List Table 3"/>
    <w:basedOn w:val="8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basedOn w:val="88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0" w:customStyle="1">
    <w:name w:val="List Table 3 - Accent 2"/>
    <w:basedOn w:val="88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01" w:customStyle="1">
    <w:name w:val="List Table 3 - Accent 3"/>
    <w:basedOn w:val="88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02" w:customStyle="1">
    <w:name w:val="List Table 3 - Accent 4"/>
    <w:basedOn w:val="88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03" w:customStyle="1">
    <w:name w:val="List Table 3 - Accent 5"/>
    <w:basedOn w:val="88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04" w:customStyle="1">
    <w:name w:val="List Table 3 - Accent 6"/>
    <w:basedOn w:val="88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05" w:customStyle="1">
    <w:name w:val="List Table 4"/>
    <w:basedOn w:val="8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basedOn w:val="88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7" w:customStyle="1">
    <w:name w:val="List Table 4 - Accent 2"/>
    <w:basedOn w:val="88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08" w:customStyle="1">
    <w:name w:val="List Table 4 - Accent 3"/>
    <w:basedOn w:val="88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09" w:customStyle="1">
    <w:name w:val="List Table 4 - Accent 4"/>
    <w:basedOn w:val="88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10" w:customStyle="1">
    <w:name w:val="List Table 4 - Accent 5"/>
    <w:basedOn w:val="88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11" w:customStyle="1">
    <w:name w:val="List Table 4 - Accent 6"/>
    <w:basedOn w:val="88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12" w:customStyle="1">
    <w:name w:val="List Table 5 Dark"/>
    <w:basedOn w:val="8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basedOn w:val="88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basedOn w:val="88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basedOn w:val="88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basedOn w:val="88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basedOn w:val="88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basedOn w:val="88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basedOn w:val="8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basedOn w:val="88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21" w:customStyle="1">
    <w:name w:val="List Table 6 Colorful - Accent 2"/>
    <w:basedOn w:val="88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22" w:customStyle="1">
    <w:name w:val="List Table 6 Colorful - Accent 3"/>
    <w:basedOn w:val="88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23" w:customStyle="1">
    <w:name w:val="List Table 6 Colorful - Accent 4"/>
    <w:basedOn w:val="88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24" w:customStyle="1">
    <w:name w:val="List Table 6 Colorful - Accent 5"/>
    <w:basedOn w:val="88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25" w:customStyle="1">
    <w:name w:val="List Table 6 Colorful - Accent 6"/>
    <w:basedOn w:val="88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26" w:customStyle="1">
    <w:name w:val="List Table 7 Colorful"/>
    <w:basedOn w:val="8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basedOn w:val="88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basedOn w:val="88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basedOn w:val="88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basedOn w:val="88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basedOn w:val="88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basedOn w:val="88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33" w:customStyle="1">
    <w:name w:val="Lined - Accent"/>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35" w:customStyle="1">
    <w:name w:val="Lined - Accent 2"/>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6" w:customStyle="1">
    <w:name w:val="Lined - Accent 3"/>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7" w:customStyle="1">
    <w:name w:val="Lined - Accent 4"/>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8" w:customStyle="1">
    <w:name w:val="Lined - Accent 5"/>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9" w:customStyle="1">
    <w:name w:val="Lined - Accent 6"/>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40" w:customStyle="1">
    <w:name w:val="Bordered &amp; Lined - Accent"/>
    <w:basedOn w:val="8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basedOn w:val="88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2" w:customStyle="1">
    <w:name w:val="Bordered &amp; Lined - Accent 2"/>
    <w:basedOn w:val="88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43" w:customStyle="1">
    <w:name w:val="Bordered &amp; Lined - Accent 3"/>
    <w:basedOn w:val="88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44" w:customStyle="1">
    <w:name w:val="Bordered &amp; Lined - Accent 4"/>
    <w:basedOn w:val="88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5" w:customStyle="1">
    <w:name w:val="Bordered &amp; Lined - Accent 5"/>
    <w:basedOn w:val="88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6" w:customStyle="1">
    <w:name w:val="Bordered &amp; Lined - Accent 6"/>
    <w:basedOn w:val="88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47" w:customStyle="1">
    <w:name w:val="Bordered"/>
    <w:basedOn w:val="8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basedOn w:val="88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49" w:customStyle="1">
    <w:name w:val="Bordered - Accent 2"/>
    <w:basedOn w:val="88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50" w:customStyle="1">
    <w:name w:val="Bordered - Accent 3"/>
    <w:basedOn w:val="88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51" w:customStyle="1">
    <w:name w:val="Bordered - Accent 4"/>
    <w:basedOn w:val="88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52" w:customStyle="1">
    <w:name w:val="Bordered - Accent 5"/>
    <w:basedOn w:val="88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53" w:customStyle="1">
    <w:name w:val="Bordered - Accent 6"/>
    <w:basedOn w:val="88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54" w:customStyle="1">
    <w:name w:val="Footnote Text Char"/>
    <w:link w:val="899"/>
    <w:uiPriority w:val="99"/>
    <w:qFormat/>
    <w:rPr>
      <w:sz w:val="18"/>
    </w:rPr>
  </w:style>
  <w:style w:type="character" w:styleId="1055" w:customStyle="1">
    <w:name w:val="Endnote Text Char"/>
    <w:link w:val="893"/>
    <w:uiPriority w:val="99"/>
    <w:qFormat/>
    <w:rPr>
      <w:sz w:val="20"/>
    </w:rPr>
  </w:style>
  <w:style w:type="paragraph" w:styleId="1056" w:customStyle="1">
    <w:name w:val="TOC Heading"/>
    <w:uiPriority w:val="39"/>
    <w:unhideWhenUsed/>
    <w:qFormat/>
    <w:rPr>
      <w:rFonts w:hint="default" w:asciiTheme="minorHAnsi" w:hAnsiTheme="minorHAnsi" w:eastAsiaTheme="minorEastAsia" w:cstheme="minorBidi"/>
    </w:rPr>
  </w:style>
  <w:style w:type="paragraph" w:styleId="1057" w:customStyle="1">
    <w:name w:val="标题 21"/>
    <w:basedOn w:val="875"/>
    <w:next w:val="875"/>
    <w:uiPriority w:val="0"/>
    <w:qFormat/>
    <w:pPr>
      <w:jc w:val="center"/>
      <w:keepLines/>
      <w:keepNext/>
      <w:spacing w:before="260" w:after="260" w:line="416" w:lineRule="auto"/>
      <w:outlineLvl w:val="1"/>
    </w:pPr>
    <w:rPr>
      <w:rFonts w:ascii="幼圆" w:hAnsi="Arial" w:eastAsia="楷体_GB2312"/>
      <w:b/>
      <w:sz w:val="44"/>
      <w:szCs w:val="20"/>
    </w:rPr>
  </w:style>
  <w:style w:type="paragraph" w:styleId="1058" w:customStyle="1">
    <w:name w:val="标题 311"/>
    <w:basedOn w:val="875"/>
    <w:next w:val="1059"/>
    <w:uiPriority w:val="0"/>
    <w:qFormat/>
    <w:pPr>
      <w:keepLines/>
      <w:keepNext/>
      <w:spacing w:before="260" w:after="260" w:line="416" w:lineRule="auto"/>
      <w:outlineLvl w:val="2"/>
    </w:pPr>
    <w:rPr>
      <w:b/>
      <w:sz w:val="32"/>
      <w:szCs w:val="20"/>
      <w:lang w:val="en-US" w:eastAsia="en-US"/>
    </w:rPr>
  </w:style>
  <w:style w:type="paragraph" w:styleId="1059" w:customStyle="1">
    <w:name w:val="正文缩进11"/>
    <w:basedOn w:val="875"/>
    <w:uiPriority w:val="0"/>
    <w:unhideWhenUsed/>
    <w:qFormat/>
    <w:pPr>
      <w:ind w:firstLine="420"/>
    </w:pPr>
    <w:rPr>
      <w:sz w:val="20"/>
      <w:lang w:val="en-US" w:eastAsia="en-US"/>
    </w:rPr>
  </w:style>
  <w:style w:type="paragraph" w:styleId="1060" w:customStyle="1">
    <w:name w:val="列出段落3"/>
    <w:basedOn w:val="875"/>
    <w:uiPriority w:val="99"/>
    <w:qFormat/>
    <w:pPr>
      <w:ind w:firstLine="420"/>
    </w:pPr>
    <w:rPr>
      <w:rFonts w:ascii="Calibri" w:hAnsi="Calibri"/>
      <w:szCs w:val="22"/>
    </w:rPr>
  </w:style>
  <w:style w:type="character" w:styleId="1061" w:customStyle="1">
    <w:name w:val="超链接11"/>
    <w:basedOn w:val="1062"/>
    <w:link w:val="875"/>
    <w:uiPriority w:val="99"/>
    <w:unhideWhenUsed/>
    <w:qFormat/>
    <w:rPr>
      <w:rFonts w:hint="default" w:ascii="Times New Roman" w:hAnsi="Times New Roman" w:eastAsia="宋体" w:cs="Times New Roman"/>
      <w:sz w:val="21"/>
      <w:szCs w:val="24"/>
      <w:lang w:val="en-US" w:eastAsia="zh-CN" w:bidi="ar-SA"/>
    </w:rPr>
  </w:style>
  <w:style w:type="character" w:styleId="1062" w:customStyle="1">
    <w:name w:val="默认段落字体12"/>
    <w:link w:val="875"/>
    <w:uiPriority w:val="1"/>
    <w:unhideWhenUsed/>
    <w:qFormat/>
  </w:style>
  <w:style w:type="paragraph" w:styleId="1063" w:customStyle="1">
    <w:name w:val="正文缩进12"/>
    <w:basedOn w:val="875"/>
    <w:uiPriority w:val="0"/>
    <w:unhideWhenUsed/>
    <w:qFormat/>
    <w:pPr>
      <w:ind w:firstLine="420"/>
    </w:pPr>
  </w:style>
  <w:style w:type="paragraph" w:styleId="1064" w:customStyle="1">
    <w:name w:val="列出段落12"/>
    <w:basedOn w:val="875"/>
    <w:uiPriority w:val="0"/>
    <w:qFormat/>
    <w:pPr>
      <w:ind w:firstLine="420"/>
    </w:pPr>
  </w:style>
  <w:style w:type="paragraph" w:styleId="1065" w:customStyle="1">
    <w:name w:val="Normal_0"/>
    <w:uiPriority w:val="0"/>
    <w:qFormat/>
    <w:rPr>
      <w:rFonts w:hint="default" w:ascii="Times New Roman" w:hAnsi="Times New Roman" w:eastAsia="Times New Roman" w:cs="Times New Roman"/>
      <w:sz w:val="24"/>
      <w:szCs w:val="24"/>
      <w:lang w:bidi="ar-SA"/>
    </w:rPr>
  </w:style>
  <w:style w:type="character" w:styleId="1066" w:customStyle="1">
    <w:name w:val="titlebody"/>
    <w:link w:val="875"/>
    <w:uiPriority w:val="0"/>
    <w:qFormat/>
    <w:rPr>
      <w:rFonts w:ascii="宋体" w:hAnsi="宋体" w:eastAsia="宋体" w:cs="宋体"/>
      <w:b/>
      <w:bCs/>
      <w:color w:val="000000"/>
      <w:sz w:val="24"/>
      <w:szCs w:val="24"/>
    </w:rPr>
  </w:style>
  <w:style w:type="paragraph" w:styleId="1067" w:customStyle="1">
    <w:name w:val="正文文本缩进 311"/>
    <w:basedOn w:val="875"/>
    <w:uiPriority w:val="0"/>
    <w:qFormat/>
    <w:pPr>
      <w:ind w:left="520" w:firstLine="425"/>
      <w:jc w:val="center"/>
    </w:pPr>
    <w:rPr>
      <w:rFonts w:ascii="方正行楷简体" w:hAnsi="Arial" w:eastAsia="方正行楷简体" w:cs="Arial"/>
      <w:sz w:val="36"/>
      <w:szCs w:val="22"/>
    </w:rPr>
  </w:style>
  <w:style w:type="paragraph" w:styleId="1068" w:customStyle="1">
    <w:name w:val="正文文本缩进11"/>
    <w:basedOn w:val="875"/>
    <w:uiPriority w:val="0"/>
    <w:qFormat/>
    <w:pPr>
      <w:ind w:firstLine="645"/>
    </w:pPr>
    <w:rPr>
      <w:rFonts w:ascii="楷体_GB2312" w:hAnsi="等线" w:eastAsia="楷体_GB2312" w:cs="Arial"/>
      <w:sz w:val="32"/>
      <w:szCs w:val="22"/>
    </w:rPr>
  </w:style>
  <w:style w:type="paragraph" w:styleId="1069" w:customStyle="1">
    <w:name w:val="正文_1"/>
    <w:uiPriority w:val="0"/>
    <w:qFormat/>
    <w:pPr>
      <w:jc w:val="both"/>
      <w:widowControl w:val="off"/>
    </w:pPr>
    <w:rPr>
      <w:rFonts w:hint="default" w:ascii="Times New Roman" w:hAnsi="Times New Roman" w:eastAsia="宋体" w:cs="Times New Roman"/>
      <w:sz w:val="21"/>
      <w:szCs w:val="22"/>
    </w:rPr>
  </w:style>
  <w:style w:type="paragraph" w:styleId="1070" w:customStyle="1">
    <w:name w:val="普通(网站)12"/>
    <w:basedOn w:val="875"/>
    <w:uiPriority w:val="0"/>
    <w:qFormat/>
    <w:pPr>
      <w:jc w:val="left"/>
      <w:spacing w:before="100" w:beforeAutospacing="1" w:after="100" w:afterAutospacing="1"/>
      <w:widowControl/>
    </w:pPr>
    <w:rPr>
      <w:rFonts w:ascii="宋体" w:hAnsi="宋体" w:eastAsia="宋体" w:cs="宋体"/>
      <w:color w:val="000000"/>
      <w:sz w:val="24"/>
    </w:rPr>
  </w:style>
  <w:style w:type="paragraph" w:styleId="1071" w:customStyle="1">
    <w:name w:val="正文文本11"/>
    <w:basedOn w:val="875"/>
    <w:uiPriority w:val="0"/>
    <w:qFormat/>
    <w:rPr>
      <w:rFonts w:ascii="楷体_GB2312" w:hAnsi="Arial" w:eastAsia="楷体_GB2312" w:cs="Arial"/>
      <w:sz w:val="28"/>
      <w:szCs w:val="22"/>
    </w:rPr>
  </w:style>
  <w:style w:type="paragraph" w:styleId="1072" w:customStyle="1">
    <w:name w:val="正文文本缩进12"/>
    <w:basedOn w:val="875"/>
    <w:uiPriority w:val="0"/>
    <w:qFormat/>
    <w:pPr>
      <w:ind w:firstLine="645"/>
    </w:pPr>
    <w:rPr>
      <w:rFonts w:ascii="楷体_GB2312" w:hAnsi="Arial" w:eastAsia="楷体_GB2312" w:cs="Times New Roman"/>
      <w:sz w:val="32"/>
      <w:szCs w:val="22"/>
    </w:rPr>
  </w:style>
  <w:style w:type="paragraph" w:styleId="107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首行缩进"/>
    <w:basedOn w:val="875"/>
    <w:uiPriority w:val="0"/>
    <w:qFormat/>
    <w:pPr>
      <w:ind w:firstLine="480"/>
    </w:pPr>
    <w:rPr>
      <w:lang w:val="zh-CN"/>
    </w:rPr>
  </w:style>
  <w:style w:type="paragraph" w:styleId="1075" w:customStyle="1">
    <w:name w:val="页眉11"/>
    <w:basedOn w:val="875"/>
    <w:uiPriority w:val="99"/>
    <w:unhideWhenUsed/>
    <w:qFormat/>
    <w:pPr>
      <w:spacing w:after="0" w:line="240" w:lineRule="auto"/>
      <w:tabs>
        <w:tab w:val="center" w:pos="7143" w:leader="none"/>
        <w:tab w:val="right" w:pos="14287" w:leader="none"/>
      </w:tabs>
    </w:pPr>
  </w:style>
  <w:style w:type="paragraph" w:styleId="1076" w:customStyle="1">
    <w:name w:val="页脚11"/>
    <w:basedOn w:val="875"/>
    <w:uiPriority w:val="99"/>
    <w:unhideWhenUsed/>
    <w:qFormat/>
    <w:pPr>
      <w:spacing w:after="0" w:line="240" w:lineRule="auto"/>
      <w:tabs>
        <w:tab w:val="center" w:pos="7143" w:leader="none"/>
        <w:tab w:val="right" w:pos="14287" w:leader="none"/>
      </w:tabs>
    </w:pPr>
  </w:style>
  <w:style w:type="paragraph" w:styleId="1077" w:customStyle="1">
    <w:name w:val="Footer1"/>
    <w:basedOn w:val="875"/>
    <w:uiPriority w:val="99"/>
    <w:unhideWhenUsed/>
    <w:qFormat/>
    <w:pPr>
      <w:jc w:val="left"/>
      <w:tabs>
        <w:tab w:val="center" w:pos="4153" w:leader="none"/>
        <w:tab w:val="right" w:pos="8306" w:leader="none"/>
      </w:tabs>
    </w:pPr>
    <w:rPr>
      <w:sz w:val="18"/>
      <w:szCs w:val="18"/>
    </w:rPr>
  </w:style>
  <w:style w:type="character" w:styleId="1078" w:customStyle="1">
    <w:name w:val="页码11"/>
    <w:basedOn w:val="1079"/>
    <w:link w:val="875"/>
    <w:uiPriority w:val="0"/>
    <w:qFormat/>
  </w:style>
  <w:style w:type="character" w:styleId="1079" w:customStyle="1">
    <w:name w:val="默认段落字体11"/>
    <w:link w:val="875"/>
    <w:uiPriority w:val="1"/>
    <w:unhideWhenUsed/>
    <w:qFormat/>
  </w:style>
  <w:style w:type="character" w:styleId="1080" w:customStyle="1">
    <w:name w:val="font11"/>
    <w:basedOn w:val="885"/>
    <w:uiPriority w:val="0"/>
    <w:qFormat/>
    <w:rPr>
      <w:rFonts w:hint="eastAsia" w:ascii="宋体" w:hAnsi="宋体" w:eastAsia="宋体" w:cs="宋体"/>
      <w:color w:val="000000"/>
      <w:sz w:val="22"/>
      <w:szCs w:val="22"/>
      <w:u w:val="none"/>
    </w:rPr>
  </w:style>
  <w:style w:type="character" w:styleId="1081" w:customStyle="1">
    <w:name w:val="font31"/>
    <w:basedOn w:val="885"/>
    <w:uiPriority w:val="0"/>
    <w:qFormat/>
    <w:rPr>
      <w:rFonts w:hint="eastAsia" w:ascii="宋体" w:hAnsi="宋体" w:eastAsia="宋体" w:cs="宋体"/>
      <w:b/>
      <w:bCs/>
      <w:color w:val="000000"/>
      <w:sz w:val="22"/>
      <w:szCs w:val="22"/>
      <w:u w:val="none"/>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WPS_1709353813</dc:creator>
  <cp:lastModifiedBy>陈涛</cp:lastModifiedBy>
  <cp:revision>4</cp:revision>
  <dcterms:created xsi:type="dcterms:W3CDTF">2026-05-30T05:47:00Z</dcterms:created>
  <dcterms:modified xsi:type="dcterms:W3CDTF">2026-07-13T06:03:45Z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E8D1B854028B49A1B061187CC98C4F2C_13</vt:lpwstr>
  </property>
  <property fmtid="{D5CDD505-2E9C-101B-9397-08002B2CF9AE}" pid="4" name="KSOTemplateDocerSaveRecord">
    <vt:lpwstr>eyJoZGlkIjoiMzFhMWY5MTlkYTE4ZDk2ZjRlMWRmZGIxZjJkOTMxZmUiLCJ1c2VySWQiOiIxNTgxODUzMTkyIn0=</vt:lpwstr>
  </property>
</Properties>
</file>