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000" w:lineRule="exact"/>
        <w:rPr>
          <w:rFonts w:ascii="宋体" w:hAnsi="宋体" w:cs="宋体"/>
          <w:b/>
          <w:color w:val="auto"/>
          <w:spacing w:val="20"/>
          <w:sz w:val="48"/>
          <w:szCs w:val="48"/>
          <w:highlight w:val="none"/>
        </w:rPr>
      </w:pPr>
      <w:r>
        <w:rPr>
          <w:rFonts w:hint="eastAsia" w:ascii="宋体" w:hAnsi="宋体" w:cs="宋体"/>
          <w:b/>
          <w:color w:val="auto"/>
          <w:spacing w:val="20"/>
          <w:sz w:val="48"/>
          <w:szCs w:val="48"/>
          <w:highlight w:val="none"/>
        </w:rPr>
        <w:t xml:space="preserve">江苏商贸职业学院新建宿舍楼</w:t>
      </w:r>
      <w:r/>
    </w:p>
    <w:p>
      <w:pPr>
        <w:jc w:val="center"/>
        <w:spacing w:line="1000" w:lineRule="exact"/>
        <w:rPr>
          <w:rFonts w:ascii="宋体" w:hAnsi="宋体" w:cs="宋体"/>
          <w:bCs/>
          <w:color w:val="auto"/>
          <w:spacing w:val="20"/>
          <w:sz w:val="48"/>
          <w:szCs w:val="48"/>
          <w:highlight w:val="none"/>
        </w:rPr>
      </w:pPr>
      <w:r>
        <w:rPr>
          <w:rFonts w:hint="eastAsia" w:ascii="宋体" w:hAnsi="宋体" w:cs="宋体"/>
          <w:b/>
          <w:color w:val="auto"/>
          <w:spacing w:val="20"/>
          <w:sz w:val="48"/>
          <w:szCs w:val="48"/>
          <w:highlight w:val="none"/>
        </w:rPr>
        <w:t xml:space="preserve">公寓床项目</w:t>
      </w:r>
      <w:r/>
    </w:p>
    <w:p>
      <w:pPr>
        <w:jc w:val="center"/>
        <w:spacing w:line="1000" w:lineRule="exact"/>
        <w:rPr>
          <w:rFonts w:ascii="宋体" w:hAnsi="宋体" w:cs="宋体"/>
          <w:bCs/>
          <w:color w:val="auto"/>
          <w:sz w:val="100"/>
          <w:szCs w:val="100"/>
          <w:highlight w:val="none"/>
        </w:rPr>
      </w:pPr>
      <w:r>
        <w:rPr>
          <w:rFonts w:ascii="宋体" w:hAnsi="宋体" w:cs="宋体"/>
          <w:bCs/>
          <w:color w:val="auto"/>
          <w:sz w:val="100"/>
          <w:szCs w:val="100"/>
          <w:highlight w:val="none"/>
        </w:rPr>
      </w:r>
      <w:r/>
    </w:p>
    <w:p>
      <w:pPr>
        <w:spacing w:line="1000" w:lineRule="exact"/>
        <w:rPr>
          <w:rFonts w:ascii="宋体" w:hAnsi="宋体" w:cs="宋体"/>
          <w:bCs/>
          <w:color w:val="auto"/>
          <w:sz w:val="100"/>
          <w:szCs w:val="100"/>
          <w:highlight w:val="none"/>
        </w:rPr>
      </w:pPr>
      <w:r/>
      <w:bookmarkStart w:id="0" w:name="_Toc24819"/>
      <w:r/>
      <w:bookmarkStart w:id="1" w:name="_Toc5695"/>
      <w:r/>
      <w:r/>
    </w:p>
    <w:p>
      <w:pPr>
        <w:jc w:val="center"/>
        <w:spacing w:line="1000" w:lineRule="exact"/>
        <w:rPr>
          <w:rFonts w:ascii="宋体" w:hAnsi="宋体" w:cs="宋体"/>
          <w:bCs/>
          <w:color w:val="auto"/>
          <w:sz w:val="100"/>
          <w:szCs w:val="100"/>
          <w:highlight w:val="none"/>
        </w:rPr>
      </w:pPr>
      <w:r>
        <w:rPr>
          <w:rFonts w:hint="eastAsia" w:ascii="宋体" w:hAnsi="宋体" w:cs="宋体"/>
          <w:bCs/>
          <w:color w:val="auto"/>
          <w:sz w:val="100"/>
          <w:szCs w:val="100"/>
          <w:highlight w:val="none"/>
        </w:rPr>
        <w:t xml:space="preserve">政府采购招标文件</w:t>
      </w:r>
      <w:bookmarkEnd w:id="0"/>
      <w:r/>
      <w:bookmarkEnd w:id="1"/>
      <w:r/>
      <w:r/>
    </w:p>
    <w:p>
      <w:pPr>
        <w:spacing w:line="1000" w:lineRule="exact"/>
        <w:rPr>
          <w:rFonts w:ascii="宋体" w:hAnsi="宋体" w:cs="宋体"/>
          <w:b/>
          <w:bCs/>
          <w:color w:val="auto"/>
          <w:highlight w:val="none"/>
        </w:rPr>
      </w:pPr>
      <w:r>
        <w:rPr>
          <w:rFonts w:ascii="宋体" w:hAnsi="宋体" w:cs="宋体"/>
          <w:b/>
          <w:bCs/>
          <w:color w:val="auto"/>
          <w:highlight w:val="none"/>
        </w:rPr>
      </w:r>
      <w:r/>
    </w:p>
    <w:p>
      <w:pPr>
        <w:jc w:val="center"/>
        <w:spacing w:line="1000" w:lineRule="exact"/>
        <w:rPr>
          <w:rFonts w:ascii="宋体" w:hAnsi="宋体" w:cs="宋体"/>
          <w:b/>
          <w:color w:val="auto"/>
          <w:sz w:val="36"/>
          <w:highlight w:val="none"/>
        </w:rPr>
      </w:pPr>
      <w:r>
        <w:rPr>
          <w:rFonts w:hint="eastAsia" w:ascii="宋体" w:hAnsi="宋体" w:cs="宋体"/>
          <w:bCs/>
          <w:color w:val="auto"/>
          <w:sz w:val="36"/>
          <w:szCs w:val="36"/>
          <w:highlight w:val="none"/>
        </w:rPr>
        <w:t xml:space="preserve">招标文件编号：JSZC-320000-ZRJS-G2026-0015</w:t>
      </w:r>
      <w:r/>
    </w:p>
    <w:p>
      <w:pPr>
        <w:jc w:val="center"/>
        <w:spacing w:line="1000" w:lineRule="exact"/>
        <w:rPr>
          <w:rFonts w:ascii="宋体" w:hAnsi="宋体" w:cs="宋体"/>
          <w:b/>
          <w:color w:val="auto"/>
          <w:sz w:val="36"/>
          <w:highlight w:val="none"/>
        </w:rPr>
      </w:pPr>
      <w:r>
        <w:rPr>
          <w:rFonts w:ascii="宋体" w:hAnsi="宋体" w:cs="宋体"/>
          <w:b/>
          <w:color w:val="auto"/>
          <w:sz w:val="36"/>
          <w:highlight w:val="none"/>
        </w:rPr>
      </w:r>
      <w:r/>
    </w:p>
    <w:p>
      <w:pPr>
        <w:jc w:val="center"/>
        <w:spacing w:line="500" w:lineRule="exact"/>
        <w:rPr>
          <w:rFonts w:ascii="宋体" w:hAnsi="宋体" w:cs="宋体"/>
          <w:b/>
          <w:color w:val="auto"/>
          <w:sz w:val="36"/>
          <w:highlight w:val="none"/>
        </w:rPr>
      </w:pPr>
      <w:r>
        <w:rPr>
          <w:rFonts w:ascii="宋体" w:hAnsi="宋体" w:cs="宋体"/>
          <w:b/>
          <w:color w:val="auto"/>
          <w:sz w:val="36"/>
          <w:highlight w:val="none"/>
        </w:rPr>
      </w:r>
      <w:r/>
    </w:p>
    <w:p>
      <w:pPr>
        <w:pStyle w:val="971"/>
        <w:rPr>
          <w:rFonts w:ascii="宋体" w:hAnsi="宋体" w:eastAsia="宋体" w:cs="宋体"/>
          <w:color w:val="auto"/>
          <w:sz w:val="32"/>
          <w:highlight w:val="none"/>
        </w:rPr>
      </w:pPr>
      <w:r>
        <w:rPr>
          <w:rFonts w:ascii="宋体" w:hAnsi="宋体" w:eastAsia="宋体" w:cs="宋体"/>
          <w:color w:val="auto"/>
          <w:sz w:val="32"/>
          <w:highlight w:val="none"/>
        </w:rPr>
      </w:r>
      <w:r/>
    </w:p>
    <w:p>
      <w:pPr>
        <w:pStyle w:val="971"/>
        <w:rPr>
          <w:rFonts w:ascii="宋体" w:hAnsi="宋体" w:eastAsia="宋体" w:cs="宋体"/>
          <w:color w:val="auto"/>
          <w:sz w:val="32"/>
          <w:highlight w:val="none"/>
        </w:rPr>
      </w:pPr>
      <w:r>
        <w:rPr>
          <w:rFonts w:ascii="宋体" w:hAnsi="宋体" w:eastAsia="宋体" w:cs="宋体"/>
          <w:color w:val="auto"/>
          <w:sz w:val="32"/>
          <w:highlight w:val="none"/>
        </w:rPr>
      </w:r>
      <w:r/>
    </w:p>
    <w:p>
      <w:pPr>
        <w:pStyle w:val="971"/>
        <w:rPr>
          <w:rFonts w:ascii="宋体" w:hAnsi="宋体" w:eastAsia="宋体" w:cs="宋体"/>
          <w:color w:val="auto"/>
          <w:sz w:val="32"/>
          <w:highlight w:val="none"/>
        </w:rPr>
      </w:pPr>
      <w:r>
        <w:rPr>
          <w:rFonts w:ascii="宋体" w:hAnsi="宋体" w:eastAsia="宋体" w:cs="宋体"/>
          <w:color w:val="auto"/>
          <w:sz w:val="32"/>
          <w:highlight w:val="none"/>
        </w:rPr>
      </w:r>
      <w:r/>
    </w:p>
    <w:p>
      <w:pPr>
        <w:pStyle w:val="971"/>
        <w:rPr>
          <w:rFonts w:ascii="宋体" w:hAnsi="宋体" w:eastAsia="宋体" w:cs="宋体"/>
          <w:color w:val="auto"/>
          <w:sz w:val="32"/>
          <w:highlight w:val="none"/>
        </w:rPr>
      </w:pPr>
      <w:r>
        <w:rPr>
          <w:rFonts w:ascii="宋体" w:hAnsi="宋体" w:eastAsia="宋体" w:cs="宋体"/>
          <w:color w:val="auto"/>
          <w:sz w:val="32"/>
          <w:highlight w:val="none"/>
        </w:rPr>
      </w:r>
      <w:r/>
    </w:p>
    <w:p>
      <w:pPr>
        <w:pStyle w:val="971"/>
        <w:rPr>
          <w:rFonts w:ascii="宋体" w:hAnsi="宋体" w:eastAsia="宋体" w:cs="宋体"/>
          <w:color w:val="auto"/>
          <w:sz w:val="32"/>
          <w:highlight w:val="none"/>
        </w:rPr>
      </w:pPr>
      <w:r>
        <w:rPr>
          <w:rFonts w:ascii="宋体" w:hAnsi="宋体" w:eastAsia="宋体" w:cs="宋体"/>
          <w:color w:val="auto"/>
          <w:sz w:val="32"/>
          <w:highlight w:val="none"/>
        </w:rPr>
      </w:r>
      <w:r/>
    </w:p>
    <w:p>
      <w:pPr>
        <w:pStyle w:val="971"/>
        <w:rPr>
          <w:rFonts w:ascii="宋体" w:hAnsi="宋体" w:eastAsia="宋体" w:cs="宋体"/>
          <w:color w:val="auto"/>
          <w:sz w:val="32"/>
          <w:highlight w:val="none"/>
        </w:rPr>
      </w:pPr>
      <w:r>
        <w:rPr>
          <w:rFonts w:ascii="宋体" w:hAnsi="宋体" w:eastAsia="宋体" w:cs="宋体"/>
          <w:color w:val="auto"/>
          <w:sz w:val="32"/>
          <w:highlight w:val="none"/>
        </w:rPr>
      </w:r>
      <w:r/>
    </w:p>
    <w:p>
      <w:pPr>
        <w:pStyle w:val="971"/>
        <w:rPr>
          <w:rFonts w:ascii="宋体" w:hAnsi="宋体" w:eastAsia="宋体" w:cs="宋体"/>
          <w:color w:val="auto"/>
          <w:sz w:val="32"/>
          <w:highlight w:val="none"/>
        </w:rPr>
      </w:pPr>
      <w:r>
        <w:rPr>
          <w:rFonts w:ascii="宋体" w:hAnsi="宋体" w:eastAsia="宋体" w:cs="宋体"/>
          <w:color w:val="auto"/>
          <w:sz w:val="32"/>
          <w:highlight w:val="none"/>
        </w:rPr>
      </w:r>
      <w:r/>
    </w:p>
    <w:p>
      <w:pPr>
        <w:ind w:left="-2" w:right="120"/>
        <w:jc w:val="center"/>
        <w:spacing w:before="120" w:after="120" w:line="460" w:lineRule="exac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江苏商贸职业学院</w:t>
      </w:r>
      <w:r/>
    </w:p>
    <w:p>
      <w:pPr>
        <w:ind w:left="-2" w:right="120"/>
        <w:jc w:val="center"/>
        <w:spacing w:before="120" w:after="120" w:line="460" w:lineRule="exac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2026年6月</w:t>
      </w:r>
      <w:r/>
    </w:p>
    <w:p>
      <w:pPr>
        <w:jc w:val="center"/>
        <w:spacing w:line="1000" w:lineRule="exact"/>
        <w:rPr>
          <w:rFonts w:ascii="宋体" w:hAnsi="宋体" w:cs="宋体"/>
          <w:color w:val="auto"/>
          <w:sz w:val="56"/>
          <w:szCs w:val="56"/>
          <w:highlight w:val="none"/>
        </w:rPr>
      </w:pPr>
      <w:r>
        <w:rPr>
          <w:rFonts w:hint="eastAsia" w:ascii="宋体" w:hAnsi="宋体" w:cs="宋体"/>
          <w:color w:val="auto"/>
          <w:sz w:val="44"/>
          <w:szCs w:val="44"/>
          <w:highlight w:val="none"/>
        </w:rPr>
        <w:br w:type="page" w:clear="all"/>
      </w:r>
      <w:r/>
    </w:p>
    <w:p>
      <w:pPr>
        <w:jc w:val="center"/>
        <w:rPr>
          <w:rFonts w:ascii="宋体" w:hAnsi="宋体" w:cs="宋体"/>
          <w:color w:val="auto"/>
          <w:sz w:val="36"/>
          <w:szCs w:val="44"/>
          <w:highlight w:val="none"/>
        </w:rPr>
      </w:pPr>
      <w:r>
        <w:rPr>
          <w:rFonts w:hint="eastAsia" w:ascii="宋体" w:hAnsi="宋体" w:cs="宋体"/>
          <w:color w:val="auto"/>
          <w:sz w:val="36"/>
          <w:szCs w:val="44"/>
          <w:highlight w:val="none"/>
        </w:rPr>
        <w:t xml:space="preserve">目录</w:t>
      </w:r>
      <w:r/>
    </w:p>
    <w:p>
      <w:pPr>
        <w:pStyle w:val="769"/>
        <w:spacing w:line="720" w:lineRule="auto"/>
        <w:tabs>
          <w:tab w:val="right" w:pos="8307" w:leader="dot"/>
        </w:tabs>
        <w:rPr>
          <w:rFonts w:ascii="宋体" w:hAnsi="宋体" w:cs="宋体"/>
          <w:color w:val="auto"/>
          <w:sz w:val="32"/>
          <w:szCs w:val="32"/>
          <w:highlight w:val="none"/>
        </w:rPr>
      </w:pP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TOC \o "1-1" \h \u </w:instrText>
      </w:r>
      <w:r>
        <w:rPr>
          <w:rFonts w:hint="eastAsia" w:ascii="宋体" w:hAnsi="宋体" w:cs="宋体"/>
          <w:color w:val="auto"/>
          <w:sz w:val="32"/>
          <w:szCs w:val="32"/>
          <w:highlight w:val="none"/>
        </w:rPr>
        <w:fldChar w:fldCharType="separate"/>
      </w:r>
      <w:r/>
    </w:p>
    <w:p>
      <w:pPr>
        <w:pStyle w:val="769"/>
        <w:spacing w:line="720" w:lineRule="auto"/>
        <w:tabs>
          <w:tab w:val="right" w:pos="8307"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"_Toc29789" </w:instrText>
      </w:r>
      <w:r>
        <w:rPr>
          <w:color w:val="auto"/>
          <w:highlight w:val="none"/>
        </w:rPr>
        <w:fldChar w:fldCharType="separate"/>
      </w:r>
      <w:r>
        <w:rPr>
          <w:rFonts w:hint="eastAsia" w:ascii="宋体" w:hAnsi="宋体" w:cs="宋体"/>
          <w:bCs/>
          <w:color w:val="auto"/>
          <w:sz w:val="32"/>
          <w:szCs w:val="44"/>
          <w:highlight w:val="none"/>
        </w:rPr>
        <w:t xml:space="preserve">第一部分  投标邀请</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_Toc29789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3</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769"/>
        <w:spacing w:line="720" w:lineRule="auto"/>
        <w:tabs>
          <w:tab w:val="right" w:pos="8307"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"_Toc28364" </w:instrText>
      </w:r>
      <w:r>
        <w:rPr>
          <w:color w:val="auto"/>
          <w:highlight w:val="none"/>
        </w:rPr>
        <w:fldChar w:fldCharType="separate"/>
      </w:r>
      <w:r>
        <w:rPr>
          <w:rFonts w:hint="eastAsia" w:ascii="宋体" w:hAnsi="宋体" w:cs="宋体"/>
          <w:bCs/>
          <w:color w:val="auto"/>
          <w:sz w:val="32"/>
          <w:szCs w:val="44"/>
          <w:highlight w:val="none"/>
        </w:rPr>
        <w:t xml:space="preserve">第二部分  投标须知</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_Toc28364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7</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769"/>
        <w:spacing w:line="720" w:lineRule="auto"/>
        <w:tabs>
          <w:tab w:val="right" w:pos="8307"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"_Toc21690" </w:instrText>
      </w:r>
      <w:r>
        <w:rPr>
          <w:color w:val="auto"/>
          <w:highlight w:val="none"/>
        </w:rPr>
        <w:fldChar w:fldCharType="separate"/>
      </w:r>
      <w:r>
        <w:rPr>
          <w:rFonts w:hint="eastAsia" w:ascii="宋体" w:hAnsi="宋体" w:cs="宋体"/>
          <w:bCs/>
          <w:color w:val="auto"/>
          <w:sz w:val="32"/>
          <w:szCs w:val="44"/>
          <w:highlight w:val="none"/>
        </w:rPr>
        <w:t xml:space="preserve">第三部分  项目需求</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_Toc21690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22</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769"/>
        <w:spacing w:line="720" w:lineRule="auto"/>
        <w:tabs>
          <w:tab w:val="right" w:pos="8307"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"_Toc30320" </w:instrText>
      </w:r>
      <w:r>
        <w:rPr>
          <w:color w:val="auto"/>
          <w:highlight w:val="none"/>
        </w:rPr>
        <w:fldChar w:fldCharType="separate"/>
      </w:r>
      <w:r>
        <w:rPr>
          <w:rFonts w:hint="eastAsia" w:ascii="宋体" w:hAnsi="宋体" w:cs="宋体"/>
          <w:bCs/>
          <w:color w:val="auto"/>
          <w:sz w:val="32"/>
          <w:szCs w:val="44"/>
          <w:highlight w:val="none"/>
        </w:rPr>
        <w:t xml:space="preserve">第四部分  开标和评标</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_Toc30320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75</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769"/>
        <w:spacing w:line="720" w:lineRule="auto"/>
        <w:tabs>
          <w:tab w:val="right" w:pos="8307"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"_Toc23874" </w:instrText>
      </w:r>
      <w:r>
        <w:rPr>
          <w:color w:val="auto"/>
          <w:highlight w:val="none"/>
        </w:rPr>
        <w:fldChar w:fldCharType="separate"/>
      </w:r>
      <w:r>
        <w:rPr>
          <w:rFonts w:hint="eastAsia" w:ascii="宋体" w:hAnsi="宋体" w:cs="宋体"/>
          <w:bCs/>
          <w:color w:val="auto"/>
          <w:sz w:val="32"/>
          <w:szCs w:val="44"/>
          <w:highlight w:val="none"/>
        </w:rPr>
        <w:t xml:space="preserve">第五部分  质疑与投诉</w:t>
      </w:r>
      <w:r>
        <w:rPr>
          <w:rFonts w:hint="eastAsia" w:ascii="宋体" w:hAnsi="宋体" w:cs="宋体"/>
          <w:color w:val="auto"/>
          <w:sz w:val="32"/>
          <w:szCs w:val="32"/>
          <w:highlight w:val="none"/>
        </w:rPr>
        <w:tab/>
      </w:r>
      <w:r>
        <w:rPr>
          <w:rFonts w:hint="eastAsia" w:ascii="宋体" w:hAnsi="宋体" w:cs="宋体"/>
          <w:color w:val="auto"/>
          <w:sz w:val="32"/>
          <w:szCs w:val="32"/>
          <w:highlight w:val="none"/>
        </w:rPr>
        <w:t xml:space="preserve">5</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t xml:space="preserve">3</w:t>
      </w:r>
      <w:r/>
    </w:p>
    <w:p>
      <w:pPr>
        <w:pStyle w:val="769"/>
        <w:spacing w:line="720" w:lineRule="auto"/>
        <w:tabs>
          <w:tab w:val="right" w:pos="8307"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"_Toc12704" </w:instrText>
      </w:r>
      <w:r>
        <w:rPr>
          <w:color w:val="auto"/>
          <w:highlight w:val="none"/>
        </w:rPr>
        <w:fldChar w:fldCharType="separate"/>
      </w:r>
      <w:r>
        <w:rPr>
          <w:rFonts w:hint="eastAsia" w:ascii="宋体" w:hAnsi="宋体" w:cs="宋体"/>
          <w:bCs/>
          <w:color w:val="auto"/>
          <w:sz w:val="32"/>
          <w:szCs w:val="44"/>
          <w:highlight w:val="none"/>
        </w:rPr>
        <w:t xml:space="preserve">第六部分  投标文件组成</w:t>
      </w:r>
      <w:r>
        <w:rPr>
          <w:rFonts w:hint="eastAsia" w:ascii="宋体" w:hAnsi="宋体" w:cs="宋体"/>
          <w:color w:val="auto"/>
          <w:sz w:val="32"/>
          <w:szCs w:val="32"/>
          <w:highlight w:val="none"/>
        </w:rPr>
        <w:tab/>
      </w:r>
      <w:r>
        <w:rPr>
          <w:rFonts w:hint="eastAsia" w:ascii="宋体" w:hAnsi="宋体" w:cs="宋体"/>
          <w:color w:val="auto"/>
          <w:sz w:val="32"/>
          <w:szCs w:val="32"/>
          <w:highlight w:val="none"/>
        </w:rPr>
        <w:t xml:space="preserve">5</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t xml:space="preserve">7</w:t>
      </w:r>
      <w:r/>
    </w:p>
    <w:p>
      <w:pPr>
        <w:spacing w:line="720" w:lineRule="auto"/>
        <w:rPr>
          <w:rFonts w:ascii="宋体" w:hAnsi="宋体" w:cs="宋体"/>
          <w:color w:val="auto"/>
          <w:highlight w:val="none"/>
        </w:rPr>
      </w:pPr>
      <w:r>
        <w:rPr>
          <w:rFonts w:hint="eastAsia" w:ascii="宋体" w:hAnsi="宋体" w:cs="宋体"/>
          <w:color w:val="auto"/>
          <w:sz w:val="24"/>
          <w:szCs w:val="32"/>
          <w:highlight w:val="none"/>
        </w:rPr>
        <w:fldChar w:fldCharType="end"/>
      </w:r>
      <w:r/>
    </w:p>
    <w:p>
      <w:pPr>
        <w:pStyle w:val="754"/>
        <w:rPr>
          <w:rFonts w:ascii="宋体" w:hAnsi="宋体" w:eastAsia="宋体" w:cs="宋体"/>
          <w:color w:val="auto"/>
          <w:highlight w:val="none"/>
        </w:rPr>
      </w:pPr>
      <w:r>
        <w:rPr>
          <w:rFonts w:ascii="宋体" w:hAnsi="宋体" w:eastAsia="宋体" w:cs="宋体"/>
          <w:color w:val="auto"/>
          <w:highlight w:val="none"/>
        </w:rPr>
      </w:r>
      <w:r/>
    </w:p>
    <w:p>
      <w:pPr>
        <w:spacing w:line="500" w:lineRule="exact"/>
        <w:rPr>
          <w:rFonts w:ascii="宋体" w:hAnsi="宋体" w:cs="宋体"/>
          <w:b/>
          <w:color w:val="auto"/>
          <w:sz w:val="32"/>
          <w:szCs w:val="32"/>
          <w:highlight w:val="none"/>
        </w:rPr>
      </w:pPr>
      <w:r>
        <w:rPr>
          <w:rFonts w:ascii="宋体" w:hAnsi="宋体" w:cs="宋体"/>
          <w:b/>
          <w:color w:val="auto"/>
          <w:sz w:val="32"/>
          <w:szCs w:val="32"/>
          <w:highlight w:val="none"/>
        </w:rPr>
      </w:r>
      <w:r/>
    </w:p>
    <w:p>
      <w:pPr>
        <w:spacing w:line="500" w:lineRule="exact"/>
        <w:tabs>
          <w:tab w:val="left" w:pos="7740" w:leader="none"/>
        </w:tabs>
        <w:rPr>
          <w:rFonts w:ascii="宋体" w:hAnsi="宋体" w:cs="宋体"/>
          <w:b/>
          <w:color w:val="auto"/>
          <w:spacing w:val="2"/>
          <w:sz w:val="32"/>
          <w:szCs w:val="32"/>
          <w:highlight w:val="none"/>
        </w:rPr>
      </w:pPr>
      <w:r>
        <w:rPr>
          <w:rFonts w:ascii="宋体" w:hAnsi="宋体" w:cs="宋体"/>
          <w:b/>
          <w:color w:val="auto"/>
          <w:spacing w:val="2"/>
          <w:sz w:val="32"/>
          <w:szCs w:val="32"/>
          <w:highlight w:val="none"/>
        </w:rPr>
      </w:r>
      <w:r/>
    </w:p>
    <w:p>
      <w:pPr>
        <w:spacing w:line="500" w:lineRule="exact"/>
        <w:tabs>
          <w:tab w:val="left" w:pos="7740" w:leader="none"/>
        </w:tabs>
        <w:rPr>
          <w:rFonts w:ascii="宋体" w:hAnsi="宋体" w:cs="宋体"/>
          <w:b/>
          <w:color w:val="auto"/>
          <w:spacing w:val="2"/>
          <w:sz w:val="32"/>
          <w:szCs w:val="32"/>
          <w:highlight w:val="none"/>
        </w:rPr>
      </w:pPr>
      <w:r>
        <w:rPr>
          <w:rFonts w:ascii="宋体" w:hAnsi="宋体" w:cs="宋体"/>
          <w:b/>
          <w:color w:val="auto"/>
          <w:spacing w:val="2"/>
          <w:sz w:val="32"/>
          <w:szCs w:val="32"/>
          <w:highlight w:val="none"/>
        </w:rPr>
      </w:r>
      <w:r/>
    </w:p>
    <w:p>
      <w:pPr>
        <w:spacing w:line="500" w:lineRule="exact"/>
        <w:tabs>
          <w:tab w:val="left" w:pos="7740" w:leader="none"/>
        </w:tabs>
        <w:rPr>
          <w:rFonts w:ascii="宋体" w:hAnsi="宋体" w:cs="宋体"/>
          <w:b/>
          <w:bCs/>
          <w:color w:val="auto"/>
          <w:sz w:val="32"/>
          <w:szCs w:val="32"/>
          <w:highlight w:val="none"/>
        </w:rPr>
      </w:pPr>
      <w:r>
        <w:rPr>
          <w:rFonts w:ascii="宋体" w:hAnsi="宋体" w:cs="宋体"/>
          <w:b/>
          <w:bCs/>
          <w:color w:val="auto"/>
          <w:sz w:val="32"/>
          <w:szCs w:val="32"/>
          <w:highlight w:val="none"/>
        </w:rPr>
      </w:r>
      <w:r/>
    </w:p>
    <w:p>
      <w:pPr>
        <w:spacing w:line="500" w:lineRule="exact"/>
        <w:rPr>
          <w:rFonts w:ascii="宋体" w:hAnsi="宋体" w:cs="宋体"/>
          <w:b/>
          <w:color w:val="auto"/>
          <w:sz w:val="44"/>
          <w:szCs w:val="44"/>
          <w:highlight w:val="none"/>
        </w:rPr>
      </w:pPr>
      <w:r>
        <w:rPr>
          <w:rFonts w:ascii="宋体" w:hAnsi="宋体" w:cs="宋体"/>
          <w:b/>
          <w:color w:val="auto"/>
          <w:sz w:val="44"/>
          <w:szCs w:val="44"/>
          <w:highlight w:val="none"/>
        </w:rPr>
      </w:r>
      <w:r/>
    </w:p>
    <w:p>
      <w:pPr>
        <w:jc w:val="center"/>
        <w:spacing w:line="500" w:lineRule="exact"/>
        <w:rPr>
          <w:rFonts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bookmarkStart w:id="2" w:name="_Toc21799"/>
      <w:r/>
      <w:bookmarkStart w:id="3" w:name="_Toc29789"/>
      <w:r>
        <w:rPr>
          <w:rFonts w:hint="eastAsia" w:ascii="宋体" w:hAnsi="宋体" w:cs="宋体"/>
          <w:bCs/>
          <w:color w:val="auto"/>
          <w:sz w:val="36"/>
          <w:szCs w:val="36"/>
          <w:highlight w:val="none"/>
        </w:rPr>
        <w:t xml:space="preserve">第一部分  </w:t>
      </w:r>
      <w:bookmarkStart w:id="4" w:name="OLE_LINK7"/>
      <w:r/>
      <w:bookmarkStart w:id="5" w:name="OLE_LINK5"/>
      <w:r>
        <w:rPr>
          <w:rFonts w:hint="eastAsia" w:ascii="宋体" w:hAnsi="宋体" w:cs="宋体"/>
          <w:bCs/>
          <w:color w:val="auto"/>
          <w:sz w:val="36"/>
          <w:szCs w:val="36"/>
          <w:highlight w:val="none"/>
        </w:rPr>
        <w:t xml:space="preserve">投标邀请</w:t>
      </w:r>
      <w:bookmarkEnd w:id="2"/>
      <w:r/>
      <w:bookmarkEnd w:id="3"/>
      <w:r/>
      <w:r/>
    </w:p>
    <w:p>
      <w:pPr>
        <w:ind w:firstLine="560"/>
        <w:spacing w:line="440" w:lineRule="exact"/>
        <w:rPr>
          <w:rFonts w:ascii="宋体" w:hAnsi="宋体" w:cs="宋体"/>
          <w:color w:val="auto"/>
          <w:sz w:val="28"/>
          <w:szCs w:val="28"/>
          <w:highlight w:val="none"/>
        </w:rPr>
      </w:pPr>
      <w:r/>
      <w:bookmarkStart w:id="6" w:name="OLE_LINK6"/>
      <w:r>
        <w:rPr>
          <w:rFonts w:hint="eastAsia" w:ascii="宋体" w:hAnsi="宋体" w:cs="宋体"/>
          <w:color w:val="auto"/>
          <w:sz w:val="28"/>
          <w:szCs w:val="28"/>
          <w:highlight w:val="none"/>
        </w:rPr>
        <w:t xml:space="preserve">受[江苏商贸职业学院]的委托，江苏中润工程建设咨询有限公司就[江苏商贸职业学院新建宿舍楼公寓床项目](项目编号:JSZC-320000-ZRJS-G2026-0015)进行公开招标采购，欢迎符合条件的投标人投标。</w:t>
      </w:r>
      <w:r/>
    </w:p>
    <w:p>
      <w:pPr>
        <w:spacing w:line="440" w:lineRule="exact"/>
        <w:rPr>
          <w:rFonts w:ascii="宋体" w:hAnsi="宋体" w:cs="宋体"/>
          <w:b/>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s="宋体"/>
          <w:b/>
          <w:color w:val="auto"/>
          <w:sz w:val="28"/>
          <w:szCs w:val="28"/>
          <w:highlight w:val="none"/>
        </w:rPr>
        <w:t xml:space="preserve">项目概况</w:t>
      </w:r>
      <w:r/>
    </w:p>
    <w:p>
      <w:pPr>
        <w:ind w:firstLine="560"/>
        <w:spacing w:line="440" w:lineRule="exact"/>
        <w:rPr>
          <w:rFonts w:ascii="宋体" w:hAnsi="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8"/>
          <w:szCs w:val="28"/>
          <w:highlight w:val="none"/>
        </w:rPr>
        <w:t xml:space="preserve"> (江苏商贸职业学院新建宿舍楼公寓床）招标项目的潜在投标人应在（苏采云系统内免费）获取招标文件，并于2026年</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17</w:t>
      </w:r>
      <w:r>
        <w:rPr>
          <w:rFonts w:hint="eastAsia" w:ascii="宋体" w:hAnsi="宋体" w:cs="宋体"/>
          <w:color w:val="auto"/>
          <w:sz w:val="28"/>
          <w:szCs w:val="28"/>
          <w:highlight w:val="none"/>
        </w:rPr>
        <w:t xml:space="preserve">日9点30分（北京时间）前递交投标文件。</w:t>
      </w:r>
      <w:r/>
    </w:p>
    <w:p>
      <w:pPr>
        <w:spacing w:line="440" w:lineRule="exact"/>
        <w:rPr>
          <w:rFonts w:ascii="宋体" w:hAnsi="宋体" w:cs="宋体"/>
          <w:b/>
          <w:color w:val="auto"/>
          <w:sz w:val="28"/>
          <w:szCs w:val="28"/>
          <w:highlight w:val="none"/>
        </w:rPr>
        <w:outlineLvl w:val="1"/>
      </w:pPr>
      <w:r/>
      <w:bookmarkStart w:id="7" w:name="_Toc20404"/>
      <w:r>
        <w:rPr>
          <w:rFonts w:hint="eastAsia" w:ascii="宋体" w:hAnsi="宋体" w:cs="宋体"/>
          <w:b/>
          <w:color w:val="auto"/>
          <w:sz w:val="28"/>
          <w:szCs w:val="28"/>
          <w:highlight w:val="none"/>
        </w:rPr>
        <w:t xml:space="preserve">一、项目基本情况</w:t>
      </w:r>
      <w:bookmarkEnd w:id="7"/>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1.项目编号：JSZC-320000-ZRJS-G2026-0015</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2.项目名称：江苏商贸职业学院新建宿舍楼公寓床项目。</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3.预算金额：</w:t>
      </w:r>
      <w:r>
        <w:rPr>
          <w:rFonts w:hint="eastAsia" w:ascii="宋体" w:hAnsi="宋体" w:cs="宋体"/>
          <w:color w:val="auto"/>
          <w:sz w:val="28"/>
          <w:szCs w:val="28"/>
          <w:highlight w:val="none"/>
          <w:lang w:val="en-US" w:eastAsia="zh-CN"/>
        </w:rPr>
        <w:t xml:space="preserve">843.92</w:t>
      </w:r>
      <w:r>
        <w:rPr>
          <w:rFonts w:hint="eastAsia" w:ascii="宋体" w:hAnsi="宋体" w:cs="宋体"/>
          <w:color w:val="auto"/>
          <w:sz w:val="28"/>
          <w:szCs w:val="28"/>
          <w:highlight w:val="none"/>
        </w:rPr>
        <w:t xml:space="preserve">万元。</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4.最高限价：</w:t>
      </w:r>
      <w:r>
        <w:rPr>
          <w:rFonts w:ascii="宋体" w:hAnsi="宋体" w:cs="宋体"/>
          <w:color w:val="auto"/>
          <w:sz w:val="28"/>
          <w:szCs w:val="28"/>
          <w:highlight w:val="none"/>
        </w:rPr>
        <w:t xml:space="preserve">633</w:t>
      </w:r>
      <w:r>
        <w:rPr>
          <w:rFonts w:hint="eastAsia" w:ascii="宋体" w:hAnsi="宋体" w:cs="宋体"/>
          <w:color w:val="auto"/>
          <w:sz w:val="28"/>
          <w:szCs w:val="28"/>
          <w:highlight w:val="none"/>
        </w:rPr>
        <w:t xml:space="preserve">万元，投标报价高于最高限价的作无效标处理。</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5.采购需求：详见招标文件，请仔细研究。</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6.合同履行期限：中标人确保2026年8月25日前在采购人指定地点安装、调试完成，并验收合格交付采购方使用。</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7.本项目是否接受联合体投标：否。</w:t>
      </w:r>
      <w:r/>
    </w:p>
    <w:p>
      <w:pPr>
        <w:spacing w:line="440" w:lineRule="exact"/>
        <w:rPr>
          <w:rFonts w:ascii="宋体" w:hAnsi="宋体" w:cs="宋体"/>
          <w:b/>
          <w:color w:val="auto"/>
          <w:sz w:val="28"/>
          <w:szCs w:val="28"/>
          <w:highlight w:val="none"/>
        </w:rPr>
        <w:outlineLvl w:val="1"/>
      </w:pPr>
      <w:r/>
      <w:bookmarkStart w:id="8" w:name="_Toc7742"/>
      <w:r>
        <w:rPr>
          <w:rFonts w:hint="eastAsia" w:ascii="宋体" w:hAnsi="宋体" w:cs="宋体"/>
          <w:b/>
          <w:color w:val="auto"/>
          <w:sz w:val="28"/>
          <w:szCs w:val="28"/>
          <w:highlight w:val="none"/>
        </w:rPr>
        <w:t xml:space="preserve">二、申请人的资格要求：</w:t>
      </w:r>
      <w:bookmarkEnd w:id="8"/>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1.满足《中华人民共和国政府采购法》第二十二条规定；</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2.本项目的特定资格要求：无；</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落实政府采购政策需满足的资格要求：本项目专门面向中小微型企业采购。残疾人福利性单位、监狱和戒毒管理部门所属企业（简称监狱企业）视同小型、微型企业（投标人按要求填写并提供《中小微企业声明函》或《残疾人福利性单位声明函》，或提供由省级以上监狱管理局、戒毒管理局(含新疆生产建设兵团)出具的属于监狱企业的证明文件）。</w:t>
      </w:r>
      <w:r/>
    </w:p>
    <w:p>
      <w:pPr>
        <w:spacing w:line="440" w:lineRule="exact"/>
        <w:rPr>
          <w:rFonts w:ascii="宋体" w:hAnsi="宋体" w:cs="宋体"/>
          <w:b/>
          <w:color w:val="auto"/>
          <w:sz w:val="28"/>
          <w:szCs w:val="28"/>
          <w:highlight w:val="none"/>
        </w:rPr>
        <w:outlineLvl w:val="1"/>
      </w:pPr>
      <w:r/>
      <w:bookmarkStart w:id="9" w:name="_Toc13052"/>
      <w:r>
        <w:rPr>
          <w:rFonts w:hint="eastAsia" w:ascii="宋体" w:hAnsi="宋体" w:cs="宋体"/>
          <w:b/>
          <w:color w:val="auto"/>
          <w:sz w:val="28"/>
          <w:szCs w:val="28"/>
          <w:highlight w:val="none"/>
        </w:rPr>
        <w:t xml:space="preserve">三、获取招标文件</w:t>
      </w:r>
      <w:bookmarkEnd w:id="9"/>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1.时间：自招标文件公告发布之日起5个工作日。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2.地点：网上注册登记成功后系统内免费下载。</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3.获取方式：本项目采用网上注册登记方式。</w:t>
      </w:r>
      <w:r/>
    </w:p>
    <w:p>
      <w:pPr>
        <w:ind w:firstLine="561"/>
        <w:spacing w:line="460" w:lineRule="exact"/>
        <w:rPr>
          <w:rFonts w:ascii="宋体" w:hAnsi="宋体" w:cs="宋体"/>
          <w:color w:val="auto"/>
          <w:sz w:val="28"/>
          <w:szCs w:val="28"/>
          <w:highlight w:val="none"/>
        </w:rPr>
      </w:pPr>
      <w:r/>
      <w:bookmarkStart w:id="10" w:name="_Toc740"/>
      <w:r>
        <w:rPr>
          <w:rFonts w:hint="eastAsia" w:ascii="宋体" w:hAnsi="宋体" w:cs="宋体"/>
          <w:color w:val="auto"/>
          <w:sz w:val="28"/>
          <w:szCs w:val="28"/>
          <w:highlight w:val="none"/>
        </w:rPr>
        <w:t xml:space="preserve">3.1潜在投标人访问电子招标响应交易平台的网络地址和方法：</w:t>
      </w:r>
      <w:bookmarkEnd w:id="10"/>
      <w:r/>
      <w:r/>
    </w:p>
    <w:p>
      <w:pPr>
        <w:ind w:firstLine="561"/>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苏采云”系统用户注册--获取“CA数字证书”--CA绑定与登录--网上报名--下载招标文件（后缀名为“.kedt”）--将后缀名为“.kedt”的招标文件导入政府采购客户端工具--制作响应文件--导出加密的响应文件（后缀名为zip）--通过“苏采云”系统上传响应文件。具体见《江苏省政府采购管理交易系统（苏采云）供应商操作手册》。</w:t>
      </w:r>
      <w:r/>
    </w:p>
    <w:p>
      <w:pPr>
        <w:ind w:firstLine="561"/>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3.2潜在投标人访问“苏采云”系统的网络地址和方法：“苏采云”系统的网址：http://jszfcg.jsczt.cn/。</w:t>
      </w:r>
      <w:r/>
    </w:p>
    <w:p>
      <w:pPr>
        <w:ind w:firstLine="561"/>
        <w:spacing w:line="460" w:lineRule="exact"/>
        <w:rPr>
          <w:rFonts w:ascii="宋体" w:hAnsi="宋体" w:cs="宋体"/>
          <w:color w:val="auto"/>
          <w:sz w:val="28"/>
          <w:szCs w:val="28"/>
          <w:highlight w:val="none"/>
        </w:rPr>
      </w:pPr>
      <w:r/>
      <w:bookmarkStart w:id="11" w:name="_Toc31543"/>
      <w:r>
        <w:rPr>
          <w:rFonts w:hint="eastAsia" w:ascii="宋体" w:hAnsi="宋体" w:cs="宋体"/>
          <w:color w:val="auto"/>
          <w:sz w:val="28"/>
          <w:szCs w:val="28"/>
          <w:highlight w:val="none"/>
        </w:rPr>
        <w:t xml:space="preserve">3.3“CA数字证书”的获取：</w:t>
      </w:r>
      <w:bookmarkEnd w:id="11"/>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响应投标人需办理“CA 数字证书”，CA办理指南及“苏采云”操作手册可至江苏省政府采购网―办事指南-资料下载中心下载。</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通过苏采云系统首页（http://jszfcg.jsczt.cn/）的“苏采云控件驱动下载”，选择“政务CA、方正签章控件驱动安装包及安装说明”下载安装，具体安装方法详见下载文件内的《安装说明》。</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3.4招标文件（后缀名为“.kedt”）、供应商操作手册及政府采购客户端工具可通过“苏采云”系统--已报名项目--报名详情页面内相应链接进行下载。</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3.5采购人或采购代理机构将数据电文形式的招标文件加载至“苏采云”系统，供潜在投标人下载或者查阅。</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3.6请潜在投标人提前安装相应的控件（详见《江苏省政府采购管理交易系统（苏采云）供应商操作手册》）并使用谷歌浏览器登录“苏采云”系统参与不见面开评标。</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3.7开评标全过程中，投标人一端参与交互的人员将均被视为是投标人的授权委托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注：如潜在投标人未按上述要求操作，将自行承担所产生的风险。</w:t>
      </w:r>
      <w:r/>
    </w:p>
    <w:p>
      <w:pPr>
        <w:spacing w:line="440" w:lineRule="exact"/>
        <w:rPr>
          <w:rFonts w:ascii="宋体" w:hAnsi="宋体" w:cs="宋体"/>
          <w:b/>
          <w:color w:val="auto"/>
          <w:sz w:val="28"/>
          <w:szCs w:val="28"/>
          <w:highlight w:val="none"/>
        </w:rPr>
        <w:outlineLvl w:val="1"/>
      </w:pPr>
      <w:r/>
      <w:bookmarkStart w:id="12" w:name="_Toc25294"/>
      <w:r>
        <w:rPr>
          <w:rFonts w:hint="eastAsia" w:ascii="宋体" w:hAnsi="宋体" w:cs="宋体"/>
          <w:b/>
          <w:color w:val="auto"/>
          <w:sz w:val="28"/>
          <w:szCs w:val="28"/>
          <w:highlight w:val="none"/>
        </w:rPr>
        <w:t xml:space="preserve">四、提交投标文件截止时间、开标时间和地点</w:t>
      </w:r>
      <w:bookmarkEnd w:id="12"/>
      <w:r/>
      <w:r/>
    </w:p>
    <w:p>
      <w:pPr>
        <w:ind w:firstLine="560"/>
        <w:spacing w:line="460" w:lineRule="exact"/>
        <w:rPr>
          <w:rStyle w:val="1031"/>
          <w:rFonts w:ascii="宋体" w:hAnsi="宋体" w:cs="宋体"/>
          <w:color w:val="auto"/>
          <w:sz w:val="28"/>
          <w:szCs w:val="28"/>
          <w:highlight w:val="none"/>
        </w:rPr>
      </w:pPr>
      <w:r>
        <w:rPr>
          <w:rStyle w:val="1031"/>
          <w:rFonts w:hint="eastAsia" w:ascii="宋体" w:hAnsi="宋体" w:cs="宋体"/>
          <w:color w:val="auto"/>
          <w:sz w:val="28"/>
          <w:szCs w:val="28"/>
          <w:highlight w:val="none"/>
        </w:rPr>
        <w:t xml:space="preserve">1.投标文件接收截止及开标时间：</w:t>
      </w:r>
      <w:r>
        <w:rPr>
          <w:rStyle w:val="1031"/>
          <w:rFonts w:hint="eastAsia" w:ascii="宋体" w:hAnsi="宋体" w:cs="宋体"/>
          <w:b/>
          <w:bCs/>
          <w:color w:val="auto"/>
          <w:sz w:val="28"/>
          <w:szCs w:val="28"/>
          <w:highlight w:val="none"/>
        </w:rPr>
        <w:t xml:space="preserve">2026年</w:t>
      </w:r>
      <w:r>
        <w:rPr>
          <w:rStyle w:val="1031"/>
          <w:rFonts w:hint="eastAsia" w:ascii="宋体" w:hAnsi="宋体" w:cs="宋体"/>
          <w:b/>
          <w:bCs/>
          <w:color w:val="auto"/>
          <w:sz w:val="28"/>
          <w:szCs w:val="28"/>
          <w:highlight w:val="none"/>
          <w:lang w:val="en-US" w:eastAsia="zh-CN"/>
        </w:rPr>
        <w:t xml:space="preserve">7</w:t>
      </w:r>
      <w:r>
        <w:rPr>
          <w:rStyle w:val="1031"/>
          <w:rFonts w:hint="eastAsia" w:ascii="宋体" w:hAnsi="宋体" w:cs="宋体"/>
          <w:b/>
          <w:bCs/>
          <w:color w:val="auto"/>
          <w:sz w:val="28"/>
          <w:szCs w:val="28"/>
          <w:highlight w:val="none"/>
        </w:rPr>
        <w:t xml:space="preserve">月</w:t>
      </w:r>
      <w:r>
        <w:rPr>
          <w:rStyle w:val="1031"/>
          <w:rFonts w:hint="eastAsia" w:ascii="宋体" w:hAnsi="宋体" w:cs="宋体"/>
          <w:b/>
          <w:bCs/>
          <w:color w:val="auto"/>
          <w:sz w:val="28"/>
          <w:szCs w:val="28"/>
          <w:highlight w:val="none"/>
          <w:lang w:val="en-US" w:eastAsia="zh-CN"/>
        </w:rPr>
        <w:t xml:space="preserve">17</w:t>
      </w:r>
      <w:r>
        <w:rPr>
          <w:rStyle w:val="1031"/>
          <w:rFonts w:hint="eastAsia" w:ascii="宋体" w:hAnsi="宋体" w:cs="宋体"/>
          <w:b/>
          <w:bCs/>
          <w:color w:val="auto"/>
          <w:sz w:val="28"/>
          <w:szCs w:val="28"/>
          <w:highlight w:val="none"/>
        </w:rPr>
        <w:t xml:space="preserve">日9点30分（北京时间）</w:t>
      </w:r>
      <w:r>
        <w:rPr>
          <w:rStyle w:val="1031"/>
          <w:rFonts w:hint="eastAsia" w:ascii="宋体" w:hAnsi="宋体" w:cs="宋体"/>
          <w:color w:val="auto"/>
          <w:sz w:val="28"/>
          <w:szCs w:val="28"/>
          <w:highlight w:val="none"/>
        </w:rPr>
        <w:t xml:space="preserve">，逾时“苏采云”系统将拒绝接受上传投标文件电子文档。</w:t>
      </w:r>
      <w:r/>
    </w:p>
    <w:p>
      <w:pPr>
        <w:ind w:firstLine="560"/>
        <w:spacing w:line="460" w:lineRule="exact"/>
        <w:rPr>
          <w:rStyle w:val="1031"/>
          <w:rFonts w:ascii="宋体" w:hAnsi="宋体" w:cs="宋体"/>
          <w:color w:val="auto"/>
          <w:sz w:val="28"/>
          <w:szCs w:val="28"/>
          <w:highlight w:val="none"/>
          <w:lang w:eastAsia="en-US"/>
        </w:rPr>
      </w:pPr>
      <w:r/>
      <w:bookmarkStart w:id="13" w:name="_Toc24646"/>
      <w:r>
        <w:rPr>
          <w:rStyle w:val="1031"/>
          <w:rFonts w:hint="eastAsia" w:ascii="宋体" w:hAnsi="宋体" w:cs="宋体"/>
          <w:color w:val="auto"/>
          <w:sz w:val="28"/>
          <w:szCs w:val="28"/>
          <w:highlight w:val="none"/>
          <w:lang w:eastAsia="en-US"/>
        </w:rPr>
        <w:t xml:space="preserve">2.地点：“苏采云”系统（网址：http://jszfcg.jsczt.cn/）</w:t>
      </w:r>
      <w:bookmarkEnd w:id="13"/>
      <w:r>
        <w:rPr>
          <w:rStyle w:val="1031"/>
          <w:rFonts w:hint="eastAsia" w:ascii="宋体" w:hAnsi="宋体" w:cs="宋体"/>
          <w:color w:val="auto"/>
          <w:sz w:val="28"/>
          <w:szCs w:val="28"/>
          <w:highlight w:val="none"/>
        </w:rPr>
        <w:t xml:space="preserve">。</w:t>
      </w:r>
      <w:r/>
    </w:p>
    <w:p>
      <w:pPr>
        <w:ind w:firstLine="560"/>
        <w:spacing w:line="460" w:lineRule="exact"/>
        <w:rPr>
          <w:rStyle w:val="1031"/>
          <w:rFonts w:ascii="宋体" w:hAnsi="宋体" w:cs="宋体"/>
          <w:color w:val="auto"/>
          <w:sz w:val="28"/>
          <w:szCs w:val="28"/>
          <w:highlight w:val="none"/>
          <w:u w:val="single"/>
        </w:rPr>
      </w:pPr>
      <w:r>
        <w:rPr>
          <w:rStyle w:val="1031"/>
          <w:rFonts w:hint="eastAsia" w:ascii="宋体" w:hAnsi="宋体" w:cs="宋体"/>
          <w:color w:val="auto"/>
          <w:sz w:val="28"/>
          <w:szCs w:val="28"/>
          <w:highlight w:val="none"/>
        </w:rPr>
        <w:t xml:space="preserve">3.投标文件的解密：开标当天各投标人及时登录不见面开标大厅，投标文件接收截止时间后，采购人将在系统内公布投标人名单，然后通过开标会议区发出投标文件解密的指令，投标人在开标室按规定时间自行实施远程解密，</w:t>
      </w:r>
      <w:r>
        <w:rPr>
          <w:rStyle w:val="1031"/>
          <w:rFonts w:hint="eastAsia" w:ascii="宋体" w:hAnsi="宋体" w:cs="宋体"/>
          <w:b/>
          <w:bCs/>
          <w:color w:val="auto"/>
          <w:sz w:val="28"/>
          <w:szCs w:val="28"/>
          <w:highlight w:val="none"/>
        </w:rPr>
        <w:t xml:space="preserve">投标人解密限定在开标后30分钟之内完成</w:t>
      </w:r>
      <w:r>
        <w:rPr>
          <w:rStyle w:val="1031"/>
          <w:rFonts w:hint="eastAsia" w:ascii="宋体" w:hAnsi="宋体" w:cs="宋体"/>
          <w:color w:val="auto"/>
          <w:sz w:val="28"/>
          <w:szCs w:val="28"/>
          <w:highlight w:val="none"/>
        </w:rPr>
        <w:t xml:space="preserve">。</w:t>
      </w:r>
      <w:r>
        <w:rPr>
          <w:rStyle w:val="1031"/>
          <w:rFonts w:hint="eastAsia" w:ascii="宋体" w:hAnsi="宋体" w:cs="宋体"/>
          <w:color w:val="auto"/>
          <w:sz w:val="28"/>
          <w:szCs w:val="28"/>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招标代理机构）原因或网上招投标平台发生故障，导致无法按时完成投标文件解密或开、评标工作无法进行的，可根据实际情况相应延迟解密时间或调整开、评标时间。</w:t>
      </w:r>
      <w:r/>
    </w:p>
    <w:p>
      <w:pPr>
        <w:spacing w:line="440" w:lineRule="exact"/>
        <w:rPr>
          <w:rFonts w:ascii="宋体" w:hAnsi="宋体" w:cs="宋体"/>
          <w:b/>
          <w:color w:val="auto"/>
          <w:sz w:val="28"/>
          <w:szCs w:val="28"/>
          <w:highlight w:val="none"/>
        </w:rPr>
        <w:outlineLvl w:val="1"/>
      </w:pPr>
      <w:r/>
      <w:bookmarkStart w:id="14" w:name="_Toc6486"/>
      <w:r>
        <w:rPr>
          <w:rFonts w:hint="eastAsia" w:ascii="宋体" w:hAnsi="宋体" w:cs="宋体"/>
          <w:b/>
          <w:color w:val="auto"/>
          <w:sz w:val="28"/>
          <w:szCs w:val="28"/>
          <w:highlight w:val="none"/>
        </w:rPr>
        <w:t xml:space="preserve">五、公告期限</w:t>
      </w:r>
      <w:bookmarkEnd w:id="14"/>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自本公告发布之日起5个工作日。</w:t>
      </w:r>
      <w:r/>
    </w:p>
    <w:p>
      <w:pPr>
        <w:spacing w:line="440" w:lineRule="exact"/>
        <w:rPr>
          <w:rFonts w:ascii="宋体" w:hAnsi="宋体" w:cs="宋体"/>
          <w:b/>
          <w:color w:val="auto"/>
          <w:sz w:val="28"/>
          <w:szCs w:val="28"/>
          <w:highlight w:val="none"/>
        </w:rPr>
        <w:outlineLvl w:val="1"/>
      </w:pPr>
      <w:r/>
      <w:bookmarkStart w:id="15" w:name="_Toc12080"/>
      <w:r>
        <w:rPr>
          <w:rFonts w:hint="eastAsia" w:ascii="宋体" w:hAnsi="宋体" w:cs="宋体"/>
          <w:b/>
          <w:color w:val="auto"/>
          <w:sz w:val="28"/>
          <w:szCs w:val="28"/>
          <w:highlight w:val="none"/>
        </w:rPr>
        <w:t xml:space="preserve">六、其他补充事宜</w:t>
      </w:r>
      <w:bookmarkEnd w:id="15"/>
      <w:r/>
      <w:r/>
    </w:p>
    <w:p>
      <w:pPr>
        <w:ind w:firstLine="560"/>
        <w:spacing w:line="460" w:lineRule="exact"/>
        <w:rPr>
          <w:rFonts w:ascii="宋体" w:hAnsi="宋体" w:cs="宋体"/>
          <w:color w:val="auto"/>
          <w:sz w:val="28"/>
          <w:szCs w:val="28"/>
          <w:highlight w:val="none"/>
        </w:rPr>
      </w:pPr>
      <w:r/>
      <w:bookmarkStart w:id="16" w:name="_Toc27181"/>
      <w:r>
        <w:rPr>
          <w:rFonts w:hint="eastAsia" w:ascii="宋体" w:hAnsi="宋体" w:cs="宋体"/>
          <w:color w:val="auto"/>
          <w:sz w:val="28"/>
          <w:szCs w:val="28"/>
          <w:highlight w:val="none"/>
        </w:rPr>
        <w:t xml:space="preserve">1.投标保证金：免收</w:t>
      </w:r>
      <w:bookmarkEnd w:id="16"/>
      <w:r>
        <w:rPr>
          <w:rStyle w:val="1031"/>
          <w:rFonts w:hint="eastAsia" w:ascii="宋体" w:hAnsi="宋体" w:cs="宋体"/>
          <w:color w:val="auto"/>
          <w:sz w:val="28"/>
          <w:szCs w:val="28"/>
          <w:highlight w:val="none"/>
        </w:rPr>
        <w:t xml:space="preserve">。</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2.项目开标活动模式：不见面远程开标模式，投标人在各自地点通过不见面交易系统参加开标会。</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3.项目样品：详见招标文件。</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对招标方式、招标文件中项目需求、投标人资格条件、评标方法和评标标准、资格审查结果等应当由采购人答复的质疑，请向采购人提出，由采购人负责答复。投标人对其他事项的质疑，请向代理机构提出，由采购人或代理机构负责答复。</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投标人应依照规定提交各类声明函、承诺函，不再同时提供原件备查或提供有关部门出具的相关证明文件。但中标人应做好提交声明函、承诺函、认证、业绩等相应原件的核查准备；核查后发现虚假或违背承诺的，依照相关法律法规规定处理。</w:t>
      </w:r>
      <w:r/>
    </w:p>
    <w:p>
      <w:pPr>
        <w:spacing w:line="440" w:lineRule="exact"/>
        <w:rPr>
          <w:rFonts w:ascii="宋体" w:hAnsi="宋体" w:cs="宋体"/>
          <w:b/>
          <w:color w:val="auto"/>
          <w:sz w:val="28"/>
          <w:szCs w:val="28"/>
          <w:highlight w:val="none"/>
        </w:rPr>
        <w:outlineLvl w:val="1"/>
      </w:pPr>
      <w:r/>
      <w:bookmarkStart w:id="17" w:name="_Toc17541"/>
      <w:r>
        <w:rPr>
          <w:rFonts w:hint="eastAsia" w:ascii="宋体" w:hAnsi="宋体" w:cs="宋体"/>
          <w:b/>
          <w:color w:val="auto"/>
          <w:sz w:val="28"/>
          <w:szCs w:val="28"/>
          <w:highlight w:val="none"/>
        </w:rPr>
        <w:t xml:space="preserve">七、对本次招标提出询问，请按以下方式联系</w:t>
      </w:r>
      <w:bookmarkEnd w:id="17"/>
      <w:r/>
      <w:r/>
    </w:p>
    <w:p>
      <w:pPr>
        <w:ind w:firstLine="560"/>
        <w:spacing w:line="440" w:lineRule="exact"/>
        <w:rPr>
          <w:rFonts w:ascii="宋体" w:hAnsi="宋体" w:cs="宋体"/>
          <w:color w:val="auto"/>
          <w:sz w:val="28"/>
          <w:szCs w:val="28"/>
          <w:highlight w:val="none"/>
        </w:rPr>
      </w:pPr>
      <w:r/>
      <w:bookmarkStart w:id="18" w:name="_Toc20676"/>
      <w:r>
        <w:rPr>
          <w:rFonts w:hint="eastAsia" w:ascii="宋体" w:hAnsi="宋体" w:cs="宋体"/>
          <w:color w:val="auto"/>
          <w:sz w:val="28"/>
          <w:szCs w:val="28"/>
          <w:highlight w:val="none"/>
        </w:rPr>
        <w:t xml:space="preserve">1.采购人信息</w:t>
      </w:r>
      <w:bookmarkEnd w:id="18"/>
      <w:r/>
      <w:r/>
    </w:p>
    <w:p>
      <w:pPr>
        <w:ind w:firstLine="560"/>
        <w:spacing w:line="440" w:lineRule="exact"/>
        <w:rPr>
          <w:rFonts w:ascii="宋体" w:hAnsi="宋体" w:cs="宋体"/>
          <w:color w:val="auto"/>
          <w:sz w:val="28"/>
          <w:szCs w:val="28"/>
          <w:highlight w:val="none"/>
        </w:rPr>
      </w:pPr>
      <w:r/>
      <w:bookmarkStart w:id="19" w:name="_Toc35393807"/>
      <w:r/>
      <w:bookmarkStart w:id="20" w:name="_Toc28359020"/>
      <w:r/>
      <w:bookmarkStart w:id="21" w:name="_Toc35393638"/>
      <w:r/>
      <w:bookmarkStart w:id="22" w:name="_Toc28359097"/>
      <w:r>
        <w:rPr>
          <w:rFonts w:hint="eastAsia" w:ascii="宋体" w:hAnsi="宋体" w:cs="宋体"/>
          <w:color w:val="auto"/>
          <w:sz w:val="28"/>
          <w:szCs w:val="28"/>
          <w:highlight w:val="none"/>
        </w:rPr>
        <w:t xml:space="preserve">名称：江苏商贸职业学院</w:t>
      </w:r>
      <w:bookmarkEnd w:id="19"/>
      <w:r/>
      <w:bookmarkEnd w:id="20"/>
      <w:r/>
      <w:bookmarkEnd w:id="21"/>
      <w:r/>
      <w:bookmarkEnd w:id="22"/>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地址：江苏省南通市江通路48号</w:t>
      </w:r>
      <w:r/>
    </w:p>
    <w:p>
      <w:pPr>
        <w:pStyle w:val="1065"/>
        <w:ind w:firstLine="560"/>
        <w:rPr>
          <w:rFonts w:hint="default"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联系方式：</w:t>
      </w:r>
      <w:r/>
    </w:p>
    <w:p>
      <w:pPr>
        <w:pStyle w:val="1065"/>
        <w:ind w:firstLine="560"/>
        <w:rPr>
          <w:rFonts w:hint="eastAsia"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王老师（后勤与基建处）联系电话：0513-85679235</w:t>
      </w:r>
      <w:r/>
    </w:p>
    <w:p>
      <w:pPr>
        <w:pStyle w:val="1065"/>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杨老师 （资产管理处） 联系电话：0513-85679264</w:t>
      </w:r>
      <w:r/>
    </w:p>
    <w:p>
      <w:pPr>
        <w:pStyle w:val="1065"/>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联系邮箱：jssyzcglc@ jsbc.edu.cn</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2.代理机构信息</w:t>
      </w:r>
      <w:r/>
    </w:p>
    <w:p>
      <w:pPr>
        <w:ind w:firstLine="560"/>
        <w:jc w:val="left"/>
        <w:spacing w:line="520" w:lineRule="exact"/>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名称：江苏中润工程建设咨询有限公司</w:t>
      </w:r>
      <w:r/>
    </w:p>
    <w:p>
      <w:pPr>
        <w:ind w:firstLine="560"/>
        <w:jc w:val="left"/>
        <w:spacing w:line="520" w:lineRule="exact"/>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地址：南通市崇川路58号南通产业技术研究院9号楼1004室</w:t>
      </w:r>
      <w:r/>
    </w:p>
    <w:p>
      <w:pPr>
        <w:ind w:firstLine="560"/>
        <w:spacing w:line="460" w:lineRule="exact"/>
        <w:shd w:val="clear" w:color="auto" w:fill="ffffff"/>
        <w:rPr>
          <w:rFonts w:ascii="宋体" w:hAnsi="宋体" w:cs="宋体"/>
          <w:color w:val="auto"/>
          <w:spacing w:val="7"/>
          <w:sz w:val="28"/>
          <w:szCs w:val="28"/>
          <w:highlight w:val="none"/>
        </w:rPr>
      </w:pPr>
      <w:r>
        <w:rPr>
          <w:rFonts w:hint="eastAsia" w:ascii="宋体" w:hAnsi="宋体" w:cs="宋体"/>
          <w:color w:val="auto"/>
          <w:sz w:val="28"/>
          <w:szCs w:val="28"/>
          <w:highlight w:val="none"/>
        </w:rPr>
        <w:t xml:space="preserve">项目负责人：肖俊菁 0513-55887688  18106299008</w:t>
      </w:r>
      <w:r/>
    </w:p>
    <w:p>
      <w:pPr>
        <w:ind w:firstLine="560"/>
        <w:spacing w:line="44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附件:</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1.公开招标文件</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2.采购人信用承诺书</w:t>
      </w:r>
      <w:r/>
    </w:p>
    <w:p>
      <w:pPr>
        <w:ind w:firstLine="720"/>
        <w:jc w:val="center"/>
        <w:rPr>
          <w:rFonts w:ascii="宋体" w:hAnsi="宋体" w:cs="宋体"/>
          <w:bCs/>
          <w:color w:val="auto"/>
          <w:sz w:val="36"/>
          <w:szCs w:val="36"/>
          <w:highlight w:val="none"/>
        </w:rPr>
      </w:pPr>
      <w:r>
        <w:rPr>
          <w:rFonts w:ascii="宋体" w:hAnsi="宋体" w:cs="宋体"/>
          <w:bCs/>
          <w:color w:val="auto"/>
          <w:sz w:val="36"/>
          <w:szCs w:val="36"/>
          <w:highlight w:val="none"/>
        </w:rPr>
      </w:r>
      <w:r/>
    </w:p>
    <w:p>
      <w:pPr>
        <w:jc w:val="center"/>
        <w:rPr>
          <w:rFonts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bookmarkStart w:id="23" w:name="_Toc28364"/>
      <w:r/>
      <w:bookmarkStart w:id="24" w:name="_Toc12269"/>
      <w:r>
        <w:rPr>
          <w:rFonts w:hint="eastAsia" w:ascii="宋体" w:hAnsi="宋体" w:cs="宋体"/>
          <w:bCs/>
          <w:color w:val="auto"/>
          <w:sz w:val="36"/>
          <w:szCs w:val="36"/>
          <w:highlight w:val="none"/>
        </w:rPr>
        <w:t xml:space="preserve">第二部分  投标须知</w:t>
      </w:r>
      <w:bookmarkEnd w:id="23"/>
      <w:r/>
      <w:bookmarkEnd w:id="24"/>
      <w:r/>
      <w:r/>
    </w:p>
    <w:p>
      <w:pPr>
        <w:pStyle w:val="736"/>
        <w:spacing w:before="0" w:after="0" w:line="460" w:lineRule="exact"/>
        <w:rPr>
          <w:rFonts w:ascii="宋体" w:hAnsi="宋体" w:eastAsia="宋体" w:cs="宋体"/>
          <w:color w:val="auto"/>
          <w:sz w:val="28"/>
          <w:szCs w:val="28"/>
          <w:highlight w:val="none"/>
        </w:rPr>
      </w:pPr>
      <w:r/>
      <w:bookmarkStart w:id="25" w:name="_Toc2896"/>
      <w:r/>
      <w:bookmarkStart w:id="26" w:name="_Toc120614214"/>
      <w:r/>
      <w:bookmarkStart w:id="27" w:name="_Toc20823275"/>
      <w:r/>
      <w:bookmarkStart w:id="28" w:name="_Toc513029203"/>
      <w:r/>
      <w:bookmarkStart w:id="29" w:name="_Toc16938519"/>
      <w:r>
        <w:rPr>
          <w:rFonts w:hint="eastAsia" w:ascii="宋体" w:hAnsi="宋体" w:eastAsia="宋体" w:cs="宋体"/>
          <w:color w:val="auto"/>
          <w:sz w:val="28"/>
          <w:szCs w:val="28"/>
          <w:highlight w:val="none"/>
        </w:rPr>
        <w:t xml:space="preserve">一、总则</w:t>
      </w:r>
      <w:bookmarkEnd w:id="25"/>
      <w:r/>
      <w:bookmarkEnd w:id="26"/>
      <w:r/>
      <w:bookmarkEnd w:id="27"/>
      <w:r/>
      <w:bookmarkEnd w:id="28"/>
      <w:r/>
      <w:bookmarkEnd w:id="29"/>
      <w:r/>
      <w:r/>
    </w:p>
    <w:p>
      <w:pPr>
        <w:ind w:firstLine="560"/>
        <w:spacing w:line="460" w:lineRule="exact"/>
        <w:rPr>
          <w:rFonts w:ascii="宋体" w:hAnsi="宋体" w:cs="宋体"/>
          <w:b/>
          <w:bCs/>
          <w:color w:val="auto"/>
          <w:sz w:val="28"/>
          <w:szCs w:val="28"/>
          <w:highlight w:val="none"/>
        </w:rPr>
        <w:outlineLvl w:val="2"/>
      </w:pPr>
      <w:r/>
      <w:bookmarkStart w:id="30" w:name="_Hlt16619475"/>
      <w:r/>
      <w:bookmarkEnd w:id="30"/>
      <w:r/>
      <w:bookmarkStart w:id="31" w:name="_Toc458694821"/>
      <w:r/>
      <w:bookmarkStart w:id="32" w:name="_Toc2940"/>
      <w:r/>
      <w:bookmarkStart w:id="33" w:name="_Toc20823276"/>
      <w:r/>
      <w:bookmarkStart w:id="34" w:name="_Toc16938520"/>
      <w:r/>
      <w:bookmarkStart w:id="35" w:name="_Toc513029204"/>
      <w:r>
        <w:rPr>
          <w:rFonts w:hint="eastAsia" w:ascii="宋体" w:hAnsi="宋体" w:cs="宋体"/>
          <w:color w:val="auto"/>
          <w:sz w:val="28"/>
          <w:szCs w:val="28"/>
          <w:highlight w:val="none"/>
        </w:rPr>
        <w:t xml:space="preserve">1</w:t>
      </w:r>
      <w:bookmarkEnd w:id="31"/>
      <w:r>
        <w:rPr>
          <w:rFonts w:hint="eastAsia" w:ascii="宋体" w:hAnsi="宋体" w:cs="宋体"/>
          <w:color w:val="auto"/>
          <w:sz w:val="28"/>
          <w:szCs w:val="28"/>
          <w:highlight w:val="none"/>
        </w:rPr>
        <w:t xml:space="preserve">.招标方式</w:t>
      </w:r>
      <w:bookmarkEnd w:id="32"/>
      <w:r/>
      <w:bookmarkEnd w:id="33"/>
      <w:r/>
      <w:bookmarkEnd w:id="34"/>
      <w:r/>
      <w:bookmarkEnd w:id="35"/>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1.1本次招标采取公开招标方式，本招标文件仅适用于招标公告中所述项目。</w:t>
      </w:r>
      <w:r/>
    </w:p>
    <w:p>
      <w:pPr>
        <w:ind w:firstLine="560"/>
        <w:spacing w:line="460" w:lineRule="exact"/>
        <w:rPr>
          <w:rFonts w:ascii="宋体" w:hAnsi="宋体" w:cs="宋体"/>
          <w:b/>
          <w:bCs/>
          <w:color w:val="auto"/>
          <w:sz w:val="28"/>
          <w:szCs w:val="28"/>
          <w:highlight w:val="none"/>
        </w:rPr>
        <w:outlineLvl w:val="2"/>
      </w:pPr>
      <w:r/>
      <w:bookmarkStart w:id="36" w:name="_Toc16938521"/>
      <w:r/>
      <w:bookmarkStart w:id="37" w:name="_Toc20823277"/>
      <w:r/>
      <w:bookmarkStart w:id="38" w:name="_Toc32621"/>
      <w:r/>
      <w:bookmarkStart w:id="39" w:name="_Toc513029205"/>
      <w:r>
        <w:rPr>
          <w:rFonts w:hint="eastAsia" w:ascii="宋体" w:hAnsi="宋体" w:cs="宋体"/>
          <w:color w:val="auto"/>
          <w:sz w:val="28"/>
          <w:szCs w:val="28"/>
          <w:highlight w:val="none"/>
        </w:rPr>
        <w:t xml:space="preserve">2.合格的投标人</w:t>
      </w:r>
      <w:bookmarkEnd w:id="36"/>
      <w:r/>
      <w:bookmarkEnd w:id="37"/>
      <w:r/>
      <w:bookmarkEnd w:id="38"/>
      <w:r/>
      <w:bookmarkEnd w:id="39"/>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2.1满足招标公告中投标人的资格要求的规定。</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 满足本文件实质性条款的规定。</w:t>
      </w:r>
      <w:r/>
    </w:p>
    <w:p>
      <w:pPr>
        <w:ind w:firstLine="560"/>
        <w:spacing w:line="460" w:lineRule="exact"/>
        <w:rPr>
          <w:rFonts w:ascii="宋体" w:hAnsi="宋体" w:cs="宋体"/>
          <w:b/>
          <w:bCs/>
          <w:color w:val="auto"/>
          <w:sz w:val="28"/>
          <w:szCs w:val="28"/>
          <w:highlight w:val="none"/>
        </w:rPr>
        <w:outlineLvl w:val="2"/>
      </w:pPr>
      <w:r/>
      <w:bookmarkStart w:id="40" w:name="_Toc1005"/>
      <w:r/>
      <w:bookmarkStart w:id="41" w:name="_Toc513029206"/>
      <w:r/>
      <w:bookmarkStart w:id="42" w:name="_Toc16938522"/>
      <w:r/>
      <w:bookmarkStart w:id="43" w:name="_Toc20823278"/>
      <w:r>
        <w:rPr>
          <w:rFonts w:hint="eastAsia" w:ascii="宋体" w:hAnsi="宋体" w:cs="宋体"/>
          <w:color w:val="auto"/>
          <w:sz w:val="28"/>
          <w:szCs w:val="28"/>
          <w:highlight w:val="none"/>
        </w:rPr>
        <w:t xml:space="preserve">3.适用法律</w:t>
      </w:r>
      <w:bookmarkEnd w:id="40"/>
      <w:r/>
      <w:bookmarkEnd w:id="41"/>
      <w:r/>
      <w:bookmarkEnd w:id="42"/>
      <w:r/>
      <w:bookmarkEnd w:id="43"/>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3.1本次招标及由此产生的合同受中华人民共和国有关的法律法规制约和保护。</w:t>
      </w:r>
      <w:r/>
    </w:p>
    <w:p>
      <w:pPr>
        <w:ind w:firstLine="560"/>
        <w:spacing w:line="460" w:lineRule="exact"/>
        <w:rPr>
          <w:rFonts w:ascii="宋体" w:hAnsi="宋体" w:cs="宋体"/>
          <w:b/>
          <w:bCs/>
          <w:color w:val="auto"/>
          <w:sz w:val="28"/>
          <w:szCs w:val="28"/>
          <w:highlight w:val="none"/>
        </w:rPr>
        <w:outlineLvl w:val="2"/>
      </w:pPr>
      <w:r/>
      <w:bookmarkStart w:id="44" w:name="_Toc20823279"/>
      <w:r/>
      <w:bookmarkStart w:id="45" w:name="_Toc462564067"/>
      <w:r/>
      <w:bookmarkStart w:id="46" w:name="_Toc16938523"/>
      <w:r/>
      <w:bookmarkStart w:id="47" w:name="_Toc23647"/>
      <w:r/>
      <w:bookmarkStart w:id="48" w:name="_Toc513029207"/>
      <w:r>
        <w:rPr>
          <w:rFonts w:hint="eastAsia" w:ascii="宋体" w:hAnsi="宋体" w:cs="宋体"/>
          <w:color w:val="auto"/>
          <w:sz w:val="28"/>
          <w:szCs w:val="28"/>
          <w:highlight w:val="none"/>
        </w:rPr>
        <w:t xml:space="preserve">4.投标费用</w:t>
      </w:r>
      <w:bookmarkEnd w:id="44"/>
      <w:r/>
      <w:bookmarkEnd w:id="45"/>
      <w:r/>
      <w:bookmarkEnd w:id="46"/>
      <w:r/>
      <w:bookmarkEnd w:id="47"/>
      <w:r/>
      <w:bookmarkEnd w:id="48"/>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4.1</w:t>
      </w:r>
      <w:r>
        <w:rPr>
          <w:rFonts w:hint="eastAsia" w:ascii="宋体" w:hAnsi="宋体" w:cs="宋体"/>
          <w:color w:val="auto"/>
          <w:sz w:val="28"/>
          <w:szCs w:val="28"/>
          <w:highlight w:val="none"/>
        </w:rPr>
        <w:t xml:space="preserve">投标人应自行承担所有与参加投标有关的费用，无论投标过程中的做法和结果如何，江苏中润工程建设咨询有限公司（以下简称招标代理机构）在任何情况下均无义务和责任承担这些费用。</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4.2本项目招标代理收费标准按照招标人与招标代理机构合同约定执行，以中标金额为基准计算，由中标人支付。投标人需将该项费用综合考虑在投标报价内，报价中不单列此项费用。定标后由中标候选人向代理机构缴纳招标代理费；因中标人原因导致中标结果变更或中标资格被取消的，招标代理服务费不予退还。</w:t>
      </w:r>
      <w:r/>
    </w:p>
    <w:p>
      <w:pPr>
        <w:ind w:firstLine="560"/>
        <w:spacing w:line="46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本项目</w:t>
      </w:r>
      <w:r>
        <w:rPr>
          <w:rFonts w:hint="eastAsia" w:asciiTheme="minorEastAsia" w:hAnsiTheme="minorEastAsia" w:cstheme="minorEastAsia"/>
          <w:color w:val="auto"/>
          <w:sz w:val="28"/>
          <w:szCs w:val="28"/>
          <w:highlight w:val="none"/>
        </w:rPr>
        <w:t xml:space="preserve">招标</w:t>
      </w:r>
      <w:r>
        <w:rPr>
          <w:rFonts w:hint="eastAsia" w:asciiTheme="minorEastAsia" w:hAnsiTheme="minorEastAsia" w:eastAsiaTheme="minorEastAsia" w:cstheme="minorEastAsia"/>
          <w:color w:val="auto"/>
          <w:sz w:val="28"/>
          <w:szCs w:val="28"/>
          <w:highlight w:val="none"/>
        </w:rPr>
        <w:t xml:space="preserve">代理收费费率标准：</w:t>
      </w:r>
      <w:r/>
    </w:p>
    <w:tbl>
      <w:tblPr>
        <w:tblStyle w:val="745"/>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4747"/>
        <w:gridCol w:w="2171"/>
      </w:tblGrid>
      <w:tr>
        <w:trPr>
          <w:jc w:val="center"/>
          <w:trHeight w:val="780"/>
        </w:trPr>
        <w:tc>
          <w:tcPr>
            <w:tcBorders>
              <w:top w:val="single" w:color="auto" w:sz="4" w:space="0"/>
              <w:left w:val="single" w:color="auto" w:sz="4" w:space="0"/>
              <w:right w:val="single" w:color="auto" w:sz="4" w:space="0"/>
            </w:tcBorders>
            <w:tcW w:w="598" w:type="pct"/>
            <w:vAlign w:val="center"/>
            <w:textDirection w:val="lrTb"/>
            <w:noWrap w:val="false"/>
          </w:tcPr>
          <w:p>
            <w:pPr>
              <w:jc w:val="center"/>
              <w:spacing w:line="500" w:lineRule="exact"/>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序号</w:t>
            </w:r>
            <w:r/>
          </w:p>
        </w:tc>
        <w:tc>
          <w:tcPr>
            <w:tcBorders>
              <w:top w:val="single" w:color="auto" w:sz="4" w:space="0"/>
              <w:left w:val="single" w:color="auto" w:sz="4" w:space="0"/>
              <w:right w:val="single" w:color="auto" w:sz="4" w:space="0"/>
            </w:tcBorders>
            <w:tcW w:w="3020" w:type="pct"/>
            <w:vAlign w:val="center"/>
            <w:textDirection w:val="lrTb"/>
            <w:noWrap w:val="false"/>
          </w:tcPr>
          <w:p>
            <w:pPr>
              <w:ind w:firstLine="482"/>
              <w:jc w:val="center"/>
              <w:spacing w:line="500" w:lineRule="exact"/>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服务费类型（按中标金额）</w:t>
            </w:r>
            <w:r/>
          </w:p>
        </w:tc>
        <w:tc>
          <w:tcPr>
            <w:tcBorders>
              <w:top w:val="single" w:color="auto" w:sz="4" w:space="0"/>
              <w:left w:val="single" w:color="auto" w:sz="4" w:space="0"/>
              <w:right w:val="single" w:color="auto" w:sz="4" w:space="0"/>
            </w:tcBorders>
            <w:tcW w:w="1381" w:type="pct"/>
            <w:vAlign w:val="center"/>
            <w:textDirection w:val="lrTb"/>
            <w:noWrap w:val="false"/>
          </w:tcPr>
          <w:p>
            <w:pPr>
              <w:jc w:val="center"/>
              <w:spacing w:line="500" w:lineRule="exact"/>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收费标准</w:t>
            </w:r>
            <w:r/>
          </w:p>
        </w:tc>
      </w:tr>
      <w:tr>
        <w:trPr>
          <w:jc w:val="center"/>
          <w:trHeight w:val="100"/>
        </w:trPr>
        <w:tc>
          <w:tcPr>
            <w:tcBorders>
              <w:top w:val="single" w:color="auto" w:sz="4" w:space="0"/>
              <w:left w:val="single" w:color="auto" w:sz="4" w:space="0"/>
              <w:bottom w:val="single" w:color="auto" w:sz="4" w:space="0"/>
              <w:right w:val="single" w:color="auto" w:sz="4" w:space="0"/>
            </w:tcBorders>
            <w:tcW w:w="598" w:type="pct"/>
            <w:vAlign w:val="center"/>
            <w:textDirection w:val="lrTb"/>
            <w:noWrap w:val="false"/>
          </w:tcPr>
          <w:p>
            <w:pPr>
              <w:jc w:val="center"/>
              <w:spacing w:line="5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tcBorders>
              <w:top w:val="single" w:color="auto" w:sz="4" w:space="0"/>
              <w:left w:val="single" w:color="auto" w:sz="4" w:space="0"/>
              <w:bottom w:val="single" w:color="auto" w:sz="4" w:space="0"/>
              <w:right w:val="single" w:color="auto" w:sz="4" w:space="0"/>
            </w:tcBorders>
            <w:tcW w:w="3020" w:type="pct"/>
            <w:vAlign w:val="center"/>
            <w:textDirection w:val="lrTb"/>
            <w:noWrap w:val="false"/>
          </w:tcPr>
          <w:p>
            <w:pPr>
              <w:jc w:val="left"/>
              <w:spacing w:line="5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货物和服务招标代理服务、咨询费率(100万元以上）含100万</w:t>
            </w:r>
            <w:r/>
          </w:p>
        </w:tc>
        <w:tc>
          <w:tcPr>
            <w:tcBorders>
              <w:top w:val="single" w:color="auto" w:sz="4" w:space="0"/>
              <w:left w:val="single" w:color="auto" w:sz="4" w:space="0"/>
              <w:bottom w:val="single" w:color="auto" w:sz="4" w:space="0"/>
              <w:right w:val="single" w:color="auto" w:sz="4" w:space="0"/>
            </w:tcBorders>
            <w:tcW w:w="1381" w:type="pct"/>
            <w:vAlign w:val="center"/>
            <w:textDirection w:val="lrTb"/>
            <w:noWrap w:val="false"/>
          </w:tcPr>
          <w:p>
            <w:pPr>
              <w:jc w:val="left"/>
              <w:spacing w:line="5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成交金额的0.3%</w:t>
            </w:r>
            <w:r/>
          </w:p>
        </w:tc>
      </w:tr>
    </w:tbl>
    <w:p>
      <w:pPr>
        <w:ind w:firstLine="560"/>
        <w:spacing w:line="460" w:lineRule="exact"/>
        <w:rPr>
          <w:rFonts w:ascii="宋体" w:hAnsi="宋体" w:cs="宋体"/>
          <w:b/>
          <w:bCs/>
          <w:color w:val="auto"/>
          <w:sz w:val="28"/>
          <w:szCs w:val="28"/>
          <w:highlight w:val="none"/>
        </w:rPr>
        <w:outlineLvl w:val="2"/>
      </w:pPr>
      <w:r/>
      <w:bookmarkStart w:id="49" w:name="_Toc19559"/>
      <w:r>
        <w:rPr>
          <w:rFonts w:hint="eastAsia" w:ascii="宋体" w:hAnsi="宋体" w:cs="宋体"/>
          <w:color w:val="auto"/>
          <w:sz w:val="28"/>
          <w:szCs w:val="28"/>
          <w:highlight w:val="none"/>
        </w:rPr>
        <w:t xml:space="preserve">5.招标文件的约束力</w:t>
      </w:r>
      <w:bookmarkEnd w:id="49"/>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5.1</w:t>
      </w:r>
      <w:r>
        <w:rPr>
          <w:rFonts w:hint="eastAsia" w:ascii="宋体" w:hAnsi="宋体" w:cs="宋体"/>
          <w:color w:val="auto"/>
          <w:sz w:val="28"/>
          <w:szCs w:val="28"/>
          <w:highlight w:val="none"/>
        </w:rPr>
        <w:t xml:space="preserve"> 投标人一旦参加本项目采购活动，即被认为接受了本招标文件的规定和约束。</w:t>
      </w:r>
      <w:r/>
    </w:p>
    <w:p>
      <w:pPr>
        <w:ind w:firstLine="560"/>
        <w:spacing w:line="460" w:lineRule="exact"/>
        <w:rPr>
          <w:rFonts w:ascii="宋体" w:hAnsi="宋体" w:cs="宋体"/>
          <w:color w:val="auto"/>
          <w:sz w:val="28"/>
          <w:szCs w:val="28"/>
          <w:highlight w:val="none"/>
        </w:rPr>
        <w:outlineLvl w:val="2"/>
      </w:pPr>
      <w:r/>
      <w:bookmarkStart w:id="50" w:name="_Toc20136"/>
      <w:r>
        <w:rPr>
          <w:rFonts w:hint="eastAsia" w:ascii="宋体" w:hAnsi="宋体" w:cs="宋体"/>
          <w:color w:val="auto"/>
          <w:sz w:val="28"/>
          <w:szCs w:val="28"/>
          <w:highlight w:val="none"/>
        </w:rPr>
        <w:t xml:space="preserve">6.招标文件的解释</w:t>
      </w:r>
      <w:bookmarkEnd w:id="50"/>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6.1</w:t>
      </w:r>
      <w:r>
        <w:rPr>
          <w:rFonts w:hint="eastAsia" w:ascii="宋体" w:hAnsi="宋体" w:cs="宋体"/>
          <w:color w:val="auto"/>
          <w:sz w:val="28"/>
          <w:szCs w:val="28"/>
          <w:highlight w:val="none"/>
        </w:rPr>
        <w:t xml:space="preserve">招标文件需求部分（投标人资格要求、项目需求、商务技术评分标准）由采购人解释，其他部分由代理机构解释。</w:t>
      </w:r>
      <w:r/>
    </w:p>
    <w:p>
      <w:pPr>
        <w:pStyle w:val="736"/>
        <w:spacing w:before="0" w:after="0" w:line="460" w:lineRule="exact"/>
        <w:rPr>
          <w:rFonts w:ascii="宋体" w:hAnsi="宋体" w:eastAsia="宋体" w:cs="宋体"/>
          <w:color w:val="auto"/>
          <w:sz w:val="28"/>
          <w:szCs w:val="28"/>
          <w:highlight w:val="none"/>
        </w:rPr>
      </w:pPr>
      <w:r/>
      <w:bookmarkStart w:id="51" w:name="_Toc16938525"/>
      <w:r/>
      <w:bookmarkStart w:id="52" w:name="_Toc513029209"/>
      <w:r/>
      <w:bookmarkStart w:id="53" w:name="_Toc120614215"/>
      <w:r/>
      <w:bookmarkStart w:id="54" w:name="_Toc20823281"/>
      <w:r/>
      <w:bookmarkStart w:id="55" w:name="_Toc21896"/>
      <w:r>
        <w:rPr>
          <w:rFonts w:hint="eastAsia" w:ascii="宋体" w:hAnsi="宋体" w:eastAsia="宋体" w:cs="宋体"/>
          <w:color w:val="auto"/>
          <w:sz w:val="28"/>
          <w:szCs w:val="28"/>
          <w:highlight w:val="none"/>
        </w:rPr>
        <w:t xml:space="preserve">二、招标文件</w:t>
      </w:r>
      <w:bookmarkEnd w:id="51"/>
      <w:r/>
      <w:bookmarkEnd w:id="52"/>
      <w:r/>
      <w:bookmarkEnd w:id="53"/>
      <w:r/>
      <w:bookmarkEnd w:id="54"/>
      <w:r/>
      <w:bookmarkEnd w:id="55"/>
      <w:r/>
      <w:r/>
    </w:p>
    <w:p>
      <w:pPr>
        <w:ind w:firstLine="560"/>
        <w:spacing w:line="460" w:lineRule="exact"/>
        <w:rPr>
          <w:rFonts w:ascii="宋体" w:hAnsi="宋体" w:cs="宋体"/>
          <w:b/>
          <w:bCs/>
          <w:color w:val="auto"/>
          <w:sz w:val="28"/>
          <w:szCs w:val="28"/>
          <w:highlight w:val="none"/>
        </w:rPr>
        <w:outlineLvl w:val="2"/>
      </w:pPr>
      <w:r/>
      <w:bookmarkStart w:id="56" w:name="_Toc16938526"/>
      <w:r/>
      <w:bookmarkStart w:id="57" w:name="_Toc513029210"/>
      <w:r/>
      <w:bookmarkStart w:id="58" w:name="_Toc20823282"/>
      <w:r/>
      <w:bookmarkStart w:id="59" w:name="_Toc18925"/>
      <w:r>
        <w:rPr>
          <w:rFonts w:hint="eastAsia" w:ascii="宋体" w:hAnsi="宋体" w:cs="宋体"/>
          <w:color w:val="auto"/>
          <w:sz w:val="28"/>
          <w:szCs w:val="28"/>
          <w:highlight w:val="none"/>
        </w:rPr>
        <w:t xml:space="preserve">1.招标文件构成</w:t>
      </w:r>
      <w:bookmarkEnd w:id="56"/>
      <w:r/>
      <w:bookmarkEnd w:id="57"/>
      <w:r/>
      <w:bookmarkEnd w:id="58"/>
      <w:r/>
      <w:bookmarkEnd w:id="59"/>
      <w:r/>
      <w:r/>
    </w:p>
    <w:p>
      <w:pPr>
        <w:ind w:firstLine="561"/>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招标文件由以下部分组成：</w:t>
      </w:r>
      <w:r/>
    </w:p>
    <w:p>
      <w:pPr>
        <w:ind w:firstLine="561"/>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（1）招标邀请</w:t>
      </w:r>
      <w:r/>
    </w:p>
    <w:p>
      <w:pPr>
        <w:ind w:firstLine="561"/>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（2）投标须知</w:t>
      </w:r>
      <w:r/>
    </w:p>
    <w:p>
      <w:pPr>
        <w:ind w:firstLine="561"/>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（3）项目需求</w:t>
      </w:r>
      <w:r/>
    </w:p>
    <w:p>
      <w:pPr>
        <w:ind w:firstLine="561"/>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（4）开标和评标</w:t>
      </w:r>
      <w:r/>
    </w:p>
    <w:p>
      <w:pPr>
        <w:ind w:firstLine="561"/>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（5）投标文件组成</w:t>
      </w:r>
      <w:r/>
    </w:p>
    <w:p>
      <w:pPr>
        <w:ind w:firstLine="561"/>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（6）附件（如有）</w:t>
      </w:r>
      <w:r/>
    </w:p>
    <w:p>
      <w:pPr>
        <w:ind w:firstLine="561"/>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请仔细检查招标文件是否齐全，如有缺漏请立即与代理机构联系解决。</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60" w:lineRule="exact"/>
        <w:rPr>
          <w:rFonts w:ascii="宋体" w:hAnsi="宋体" w:cs="宋体"/>
          <w:b/>
          <w:bCs/>
          <w:color w:val="auto"/>
          <w:sz w:val="28"/>
          <w:szCs w:val="28"/>
          <w:highlight w:val="none"/>
        </w:rPr>
        <w:outlineLvl w:val="2"/>
      </w:pPr>
      <w:r/>
      <w:bookmarkStart w:id="60" w:name="_Toc16938527"/>
      <w:r/>
      <w:bookmarkStart w:id="61" w:name="_Toc513029211"/>
      <w:r/>
      <w:bookmarkStart w:id="62" w:name="_Toc20823283"/>
      <w:r/>
      <w:bookmarkStart w:id="63" w:name="_Toc462564070"/>
      <w:r/>
      <w:bookmarkStart w:id="64" w:name="_Toc31712"/>
      <w:r>
        <w:rPr>
          <w:rFonts w:hint="eastAsia" w:ascii="宋体" w:hAnsi="宋体" w:cs="宋体"/>
          <w:color w:val="auto"/>
          <w:sz w:val="28"/>
          <w:szCs w:val="28"/>
          <w:highlight w:val="none"/>
        </w:rPr>
        <w:t xml:space="preserve">2.招标文件的澄清</w:t>
      </w:r>
      <w:bookmarkEnd w:id="60"/>
      <w:r/>
      <w:bookmarkEnd w:id="61"/>
      <w:r/>
      <w:bookmarkEnd w:id="62"/>
      <w:r/>
      <w:bookmarkEnd w:id="63"/>
      <w:r/>
      <w:bookmarkEnd w:id="64"/>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任何要求对招标文件进行澄清的投标人，应在投标截止期十日前按招标公告中的通讯地址，以书面形式通知采购人。采购人有权对发出的招标文件进行必要的澄清或修改</w:t>
      </w:r>
      <w:r/>
    </w:p>
    <w:p>
      <w:pPr>
        <w:ind w:firstLine="561"/>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2.2采购人视情组织答疑会</w:t>
      </w:r>
      <w:r/>
    </w:p>
    <w:p>
      <w:pPr>
        <w:ind w:firstLine="561"/>
        <w:spacing w:line="460" w:lineRule="exact"/>
        <w:rPr>
          <w:rFonts w:ascii="宋体" w:hAnsi="宋体" w:cs="宋体"/>
          <w:b/>
          <w:bCs/>
          <w:color w:val="auto"/>
          <w:sz w:val="28"/>
          <w:szCs w:val="28"/>
          <w:highlight w:val="none"/>
        </w:rPr>
      </w:pPr>
      <w:r/>
      <w:bookmarkStart w:id="65" w:name="_Toc20823284"/>
      <w:r/>
      <w:bookmarkStart w:id="66" w:name="_Toc16938528"/>
      <w:r/>
      <w:bookmarkStart w:id="67" w:name="_Toc462564071"/>
      <w:r/>
      <w:bookmarkStart w:id="68" w:name="_Toc513029212"/>
      <w:r/>
      <w:bookmarkStart w:id="69" w:name="_Toc31249"/>
      <w:r>
        <w:rPr>
          <w:rFonts w:hint="eastAsia" w:ascii="宋体" w:hAnsi="宋体" w:cs="宋体"/>
          <w:color w:val="auto"/>
          <w:sz w:val="28"/>
          <w:szCs w:val="28"/>
          <w:highlight w:val="none"/>
        </w:rPr>
        <w:t xml:space="preserve">3.招标文件的修改</w:t>
      </w:r>
      <w:bookmarkEnd w:id="65"/>
      <w:r/>
      <w:bookmarkEnd w:id="66"/>
      <w:r/>
      <w:bookmarkEnd w:id="67"/>
      <w:r/>
      <w:bookmarkEnd w:id="68"/>
      <w:r/>
      <w:bookmarkEnd w:id="69"/>
      <w:r/>
      <w:r/>
    </w:p>
    <w:p>
      <w:pPr>
        <w:ind w:firstLine="561"/>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3.1</w:t>
      </w:r>
      <w:r>
        <w:rPr>
          <w:rFonts w:hint="eastAsia" w:ascii="宋体" w:hAnsi="宋体" w:cs="宋体"/>
          <w:color w:val="auto"/>
          <w:sz w:val="28"/>
          <w:szCs w:val="28"/>
          <w:highlight w:val="none"/>
        </w:rPr>
        <w:t xml:space="preserve">在投标截止时间前，代理机构可以对招标文件进行修改。</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3.2</w:t>
      </w:r>
      <w:r>
        <w:rPr>
          <w:rFonts w:hint="eastAsia" w:ascii="宋体" w:hAnsi="宋体" w:cs="宋体"/>
          <w:color w:val="auto"/>
          <w:sz w:val="28"/>
          <w:szCs w:val="28"/>
          <w:highlight w:val="none"/>
        </w:rPr>
        <w:t xml:space="preserve">代理机构有权按照法定的要求推迟投标截止日期和开标日期。</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3.3</w:t>
      </w:r>
      <w:r>
        <w:rPr>
          <w:rFonts w:hint="eastAsia" w:ascii="宋体" w:hAnsi="宋体" w:cs="宋体"/>
          <w:color w:val="auto"/>
          <w:sz w:val="28"/>
          <w:szCs w:val="28"/>
          <w:highlight w:val="none"/>
        </w:rPr>
        <w:t xml:space="preserve">招标文件的修改将在江苏政府采购网公布，补充文件将作为招标文件的组成部分，并对投标人具有约束力。</w:t>
      </w:r>
      <w:r/>
    </w:p>
    <w:p>
      <w:pPr>
        <w:ind w:firstLine="562"/>
        <w:spacing w:line="460" w:lineRule="exact"/>
        <w:rPr>
          <w:rFonts w:ascii="宋体" w:hAnsi="宋体" w:cs="宋体"/>
          <w:b/>
          <w:bCs/>
          <w:color w:val="auto"/>
          <w:sz w:val="28"/>
          <w:szCs w:val="28"/>
          <w:highlight w:val="none"/>
          <w:u w:val="single"/>
        </w:rPr>
      </w:pPr>
      <w:r/>
      <w:bookmarkStart w:id="70" w:name="_Toc20823285"/>
      <w:r/>
      <w:bookmarkStart w:id="71" w:name="_Toc120614216"/>
      <w:r/>
      <w:bookmarkStart w:id="72" w:name="_Toc513029213"/>
      <w:r/>
      <w:bookmarkStart w:id="73" w:name="_Toc462564072"/>
      <w:r/>
      <w:bookmarkStart w:id="74" w:name="_Toc16938529"/>
      <w:r>
        <w:rPr>
          <w:rFonts w:hint="eastAsia" w:ascii="宋体" w:hAnsi="宋体" w:cs="宋体"/>
          <w:b/>
          <w:bCs/>
          <w:color w:val="auto"/>
          <w:sz w:val="28"/>
          <w:szCs w:val="28"/>
          <w:highlight w:val="none"/>
          <w:u w:val="single"/>
        </w:rPr>
        <w:t xml:space="preserve">4.在投标文件提交截止日期，采购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p>
    <w:p>
      <w:pPr>
        <w:ind w:firstLine="560"/>
        <w:spacing w:line="460" w:lineRule="exact"/>
        <w:rPr>
          <w:rFonts w:ascii="宋体" w:hAnsi="宋体" w:cs="宋体"/>
          <w:color w:val="auto"/>
          <w:sz w:val="24"/>
          <w:highlight w:val="none"/>
        </w:rPr>
      </w:pPr>
      <w:r>
        <w:rPr>
          <w:rFonts w:hint="eastAsia" w:ascii="宋体" w:hAnsi="宋体" w:cs="宋体"/>
          <w:color w:val="auto"/>
          <w:sz w:val="28"/>
          <w:szCs w:val="28"/>
          <w:highlight w:val="none"/>
        </w:rPr>
        <w:t xml:space="preserve">5.投标人对采购人提供的招标文件所做出的推论、解释和结论，采购人概不负责。投标人由于对招标文件的任何推论和误解以及采购人对有关问题的口头解释所造成的后果，均由各潜在投标人自负。</w:t>
      </w:r>
      <w:r/>
    </w:p>
    <w:p>
      <w:pPr>
        <w:pStyle w:val="736"/>
        <w:spacing w:before="0" w:after="0" w:line="460" w:lineRule="exact"/>
        <w:rPr>
          <w:rFonts w:ascii="宋体" w:hAnsi="宋体" w:eastAsia="宋体" w:cs="宋体"/>
          <w:color w:val="auto"/>
          <w:sz w:val="28"/>
          <w:szCs w:val="28"/>
          <w:highlight w:val="none"/>
        </w:rPr>
      </w:pPr>
      <w:r/>
      <w:bookmarkStart w:id="75" w:name="_Toc16140"/>
      <w:r>
        <w:rPr>
          <w:rFonts w:hint="eastAsia" w:ascii="宋体" w:hAnsi="宋体" w:eastAsia="宋体" w:cs="宋体"/>
          <w:color w:val="auto"/>
          <w:sz w:val="28"/>
          <w:szCs w:val="28"/>
          <w:highlight w:val="none"/>
        </w:rPr>
        <w:t xml:space="preserve">三、投标文件的编制</w:t>
      </w:r>
      <w:bookmarkEnd w:id="70"/>
      <w:r/>
      <w:bookmarkEnd w:id="71"/>
      <w:r/>
      <w:bookmarkEnd w:id="72"/>
      <w:r/>
      <w:bookmarkEnd w:id="73"/>
      <w:r/>
      <w:bookmarkEnd w:id="74"/>
      <w:r/>
      <w:bookmarkEnd w:id="75"/>
      <w:r/>
      <w:r/>
    </w:p>
    <w:p>
      <w:pPr>
        <w:ind w:firstLine="560"/>
        <w:spacing w:line="460" w:lineRule="exact"/>
        <w:rPr>
          <w:rFonts w:ascii="宋体" w:hAnsi="宋体" w:cs="宋体"/>
          <w:bCs/>
          <w:color w:val="auto"/>
          <w:sz w:val="28"/>
          <w:szCs w:val="28"/>
          <w:highlight w:val="none"/>
        </w:rPr>
        <w:outlineLvl w:val="2"/>
      </w:pPr>
      <w:r/>
      <w:bookmarkStart w:id="76" w:name="_Toc32352"/>
      <w:r/>
      <w:bookmarkStart w:id="77" w:name="_Toc513029214"/>
      <w:r/>
      <w:bookmarkStart w:id="78" w:name="_Toc16938530"/>
      <w:r/>
      <w:bookmarkStart w:id="79" w:name="_Toc462564073"/>
      <w:r/>
      <w:bookmarkStart w:id="80" w:name="_Toc20823286"/>
      <w:r>
        <w:rPr>
          <w:rFonts w:hint="eastAsia" w:ascii="宋体" w:hAnsi="宋体" w:cs="宋体"/>
          <w:color w:val="auto"/>
          <w:sz w:val="28"/>
          <w:szCs w:val="28"/>
          <w:highlight w:val="none"/>
        </w:rPr>
        <w:t xml:space="preserve">1.投标文件的语言及度量衡单位</w:t>
      </w:r>
      <w:bookmarkEnd w:id="76"/>
      <w:r/>
      <w:bookmarkEnd w:id="77"/>
      <w:r/>
      <w:bookmarkEnd w:id="78"/>
      <w:r/>
      <w:bookmarkEnd w:id="79"/>
      <w:r/>
      <w:bookmarkEnd w:id="80"/>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投标人提交的投标文件以及投标人与代理机构就有关投标的所有来往通知、函件和文件均应使用</w:t>
      </w:r>
      <w:r>
        <w:rPr>
          <w:rFonts w:hint="eastAsia" w:ascii="宋体" w:hAnsi="宋体" w:cs="宋体"/>
          <w:bCs/>
          <w:color w:val="auto"/>
          <w:sz w:val="28"/>
          <w:szCs w:val="28"/>
          <w:highlight w:val="none"/>
        </w:rPr>
        <w:t xml:space="preserve">简体中文</w:t>
      </w:r>
      <w:r>
        <w:rPr>
          <w:rFonts w:hint="eastAsia" w:ascii="宋体" w:hAnsi="宋体" w:cs="宋体"/>
          <w:color w:val="auto"/>
          <w:sz w:val="28"/>
          <w:szCs w:val="28"/>
          <w:highlight w:val="none"/>
        </w:rPr>
        <w:t xml:space="preserve">。</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除技术性能另有规定外，投标文件所使用的度量衡单位，均须采用国家法定计量单位。</w:t>
      </w:r>
      <w:r/>
    </w:p>
    <w:p>
      <w:pPr>
        <w:ind w:firstLine="560"/>
        <w:spacing w:line="460" w:lineRule="exact"/>
        <w:rPr>
          <w:rFonts w:ascii="宋体" w:hAnsi="宋体" w:cs="宋体"/>
          <w:b/>
          <w:bCs/>
          <w:color w:val="auto"/>
          <w:sz w:val="28"/>
          <w:szCs w:val="28"/>
          <w:highlight w:val="none"/>
        </w:rPr>
        <w:outlineLvl w:val="2"/>
      </w:pPr>
      <w:r/>
      <w:bookmarkStart w:id="81" w:name="_Toc20823287"/>
      <w:r/>
      <w:bookmarkStart w:id="82" w:name="_Toc513029215"/>
      <w:r/>
      <w:bookmarkStart w:id="83" w:name="_Toc28358"/>
      <w:r/>
      <w:bookmarkStart w:id="84" w:name="_Toc462564074"/>
      <w:r/>
      <w:bookmarkStart w:id="85" w:name="_Toc16938531"/>
      <w:r>
        <w:rPr>
          <w:rFonts w:hint="eastAsia" w:ascii="宋体" w:hAnsi="宋体" w:cs="宋体"/>
          <w:color w:val="auto"/>
          <w:sz w:val="28"/>
          <w:szCs w:val="28"/>
          <w:highlight w:val="none"/>
        </w:rPr>
        <w:t xml:space="preserve">2.投标文件构成</w:t>
      </w:r>
      <w:bookmarkEnd w:id="81"/>
      <w:r/>
      <w:bookmarkEnd w:id="82"/>
      <w:r/>
      <w:bookmarkEnd w:id="83"/>
      <w:r/>
      <w:bookmarkEnd w:id="84"/>
      <w:r/>
      <w:bookmarkEnd w:id="85"/>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投标人编写的投标文件应包括资格审查证明材料文件、商务技术标文件、价格标文件。投标人按“第五部分 投标文件组成”要求编写投标文件</w:t>
      </w:r>
      <w:r/>
    </w:p>
    <w:p>
      <w:pPr>
        <w:ind w:firstLine="560"/>
        <w:spacing w:line="460" w:lineRule="exact"/>
        <w:rPr>
          <w:rFonts w:ascii="宋体" w:hAnsi="宋体" w:cs="宋体"/>
          <w:b/>
          <w:bCs/>
          <w:color w:val="auto"/>
          <w:sz w:val="28"/>
          <w:szCs w:val="28"/>
          <w:highlight w:val="none"/>
        </w:rPr>
        <w:outlineLvl w:val="2"/>
      </w:pPr>
      <w:r/>
      <w:bookmarkStart w:id="86" w:name="_Hlt26670360"/>
      <w:r/>
      <w:bookmarkEnd w:id="86"/>
      <w:r/>
      <w:bookmarkStart w:id="87" w:name="_Hlt26668975"/>
      <w:r/>
      <w:bookmarkEnd w:id="87"/>
      <w:r/>
      <w:bookmarkStart w:id="88" w:name="_Hlt26954838"/>
      <w:r/>
      <w:bookmarkEnd w:id="88"/>
      <w:r/>
      <w:bookmarkStart w:id="89" w:name="_Toc14577360"/>
      <w:r/>
      <w:bookmarkStart w:id="90" w:name="_Toc49090511"/>
      <w:r/>
      <w:bookmarkStart w:id="91" w:name="_Toc18141"/>
      <w:r>
        <w:rPr>
          <w:rFonts w:hint="eastAsia" w:ascii="宋体" w:hAnsi="宋体" w:cs="宋体"/>
          <w:color w:val="auto"/>
          <w:sz w:val="28"/>
          <w:szCs w:val="28"/>
          <w:highlight w:val="none"/>
        </w:rPr>
        <w:t xml:space="preserve">3.投标有效期</w:t>
      </w:r>
      <w:bookmarkEnd w:id="89"/>
      <w:r/>
      <w:bookmarkEnd w:id="90"/>
      <w:r/>
      <w:bookmarkEnd w:id="91"/>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3.1投标有效期为代理机构规定的开标之日后</w:t>
      </w:r>
      <w:r>
        <w:rPr>
          <w:rFonts w:hint="eastAsia" w:ascii="宋体" w:hAnsi="宋体" w:cs="宋体"/>
          <w:b/>
          <w:color w:val="auto"/>
          <w:sz w:val="28"/>
          <w:szCs w:val="28"/>
          <w:highlight w:val="none"/>
          <w:u w:val="single"/>
        </w:rPr>
        <w:t xml:space="preserve">六十（60）天</w:t>
      </w:r>
      <w:r>
        <w:rPr>
          <w:rFonts w:hint="eastAsia" w:ascii="宋体" w:hAnsi="宋体" w:cs="宋体"/>
          <w:bCs/>
          <w:color w:val="auto"/>
          <w:sz w:val="28"/>
          <w:szCs w:val="28"/>
          <w:highlight w:val="none"/>
        </w:rPr>
        <w:t xml:space="preserve">。投标有效期比规定短的将被视为非响应性投标而予以拒绝。</w:t>
      </w:r>
      <w:r/>
    </w:p>
    <w:p>
      <w:pPr>
        <w:ind w:firstLine="560"/>
        <w:spacing w:line="460" w:lineRule="exact"/>
        <w:rPr>
          <w:rFonts w:ascii="宋体" w:hAnsi="宋体" w:cs="宋体"/>
          <w:b/>
          <w:bCs/>
          <w:color w:val="auto"/>
          <w:sz w:val="28"/>
          <w:szCs w:val="28"/>
          <w:highlight w:val="none"/>
        </w:rPr>
        <w:outlineLvl w:val="2"/>
      </w:pPr>
      <w:r/>
      <w:bookmarkStart w:id="92" w:name="_Toc25966"/>
      <w:r>
        <w:rPr>
          <w:rFonts w:hint="eastAsia" w:ascii="宋体" w:hAnsi="宋体" w:cs="宋体"/>
          <w:color w:val="auto"/>
          <w:sz w:val="28"/>
          <w:szCs w:val="28"/>
          <w:highlight w:val="none"/>
        </w:rPr>
        <w:t xml:space="preserve">4.投标有效期的延长</w:t>
      </w:r>
      <w:bookmarkEnd w:id="92"/>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auto"/>
          <w:sz w:val="28"/>
          <w:szCs w:val="28"/>
          <w:highlight w:val="none"/>
        </w:rPr>
        <w:t xml:space="preserve">受投标有效期约束的所有权利与义务均延长至新的有效期</w:t>
      </w:r>
      <w:r>
        <w:rPr>
          <w:rFonts w:hint="eastAsia" w:ascii="宋体" w:hAnsi="宋体" w:cs="宋体"/>
          <w:bCs/>
          <w:color w:val="auto"/>
          <w:sz w:val="28"/>
          <w:szCs w:val="28"/>
          <w:highlight w:val="none"/>
        </w:rPr>
        <w:t xml:space="preserve">。</w:t>
      </w:r>
      <w:r/>
    </w:p>
    <w:p>
      <w:pPr>
        <w:ind w:firstLine="560"/>
        <w:spacing w:line="460" w:lineRule="exact"/>
        <w:rPr>
          <w:rFonts w:ascii="宋体" w:hAnsi="宋体" w:cs="宋体"/>
          <w:bCs/>
          <w:color w:val="auto"/>
          <w:sz w:val="28"/>
          <w:szCs w:val="28"/>
          <w:highlight w:val="none"/>
        </w:rPr>
        <w:outlineLvl w:val="2"/>
      </w:pPr>
      <w:r/>
      <w:bookmarkStart w:id="93" w:name="_Hlt26954852"/>
      <w:r/>
      <w:bookmarkEnd w:id="93"/>
      <w:r/>
      <w:bookmarkStart w:id="94" w:name="_Hlt26954739"/>
      <w:r/>
      <w:bookmarkEnd w:id="94"/>
      <w:r/>
      <w:bookmarkStart w:id="95" w:name="_Toc27948"/>
      <w:r/>
      <w:bookmarkStart w:id="96" w:name="_Toc513029224"/>
      <w:r/>
      <w:bookmarkStart w:id="97" w:name="_Toc120614217"/>
      <w:r/>
      <w:bookmarkStart w:id="98" w:name="_Toc16938540"/>
      <w:r/>
      <w:bookmarkStart w:id="99" w:name="_Toc20823296"/>
      <w:r>
        <w:rPr>
          <w:rFonts w:hint="eastAsia" w:ascii="宋体" w:hAnsi="宋体" w:cs="宋体"/>
          <w:bCs/>
          <w:color w:val="auto"/>
          <w:sz w:val="28"/>
          <w:szCs w:val="28"/>
          <w:highlight w:val="none"/>
        </w:rPr>
        <w:t xml:space="preserve">5.电子投标文件其他要求</w:t>
      </w:r>
      <w:bookmarkEnd w:id="95"/>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5.1电子招标投标交易平台（即“苏采云”系统）相关要求是本招标文件的组成部分。</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5.2投标人应对CA证书妥善保管，如被他人盗用投标，因此带来的结果均由投标人自行承担。</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5.3投标人应当对招标文件提出的实质性要求和条件作出实质性响应，并在电子投标系统逐条应答。</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6.投标人应当在招标文件要求提交投标文件的截止时间前，将投标文件提交至“苏采云”系统，逾期提交的投标文件，“苏采云”系统将自动拒收。各投标人应在规定时间内凭CA证书进行网上解密。</w:t>
      </w:r>
      <w:r/>
    </w:p>
    <w:p>
      <w:pPr>
        <w:pStyle w:val="736"/>
        <w:spacing w:before="0" w:after="0" w:line="460" w:lineRule="exact"/>
        <w:rPr>
          <w:rFonts w:ascii="宋体" w:hAnsi="宋体" w:eastAsia="宋体" w:cs="宋体"/>
          <w:color w:val="auto"/>
          <w:sz w:val="28"/>
          <w:szCs w:val="28"/>
          <w:highlight w:val="none"/>
        </w:rPr>
      </w:pPr>
      <w:r/>
      <w:bookmarkStart w:id="100" w:name="_Toc25552"/>
      <w:r>
        <w:rPr>
          <w:rFonts w:hint="eastAsia" w:ascii="宋体" w:hAnsi="宋体" w:eastAsia="宋体" w:cs="宋体"/>
          <w:color w:val="auto"/>
          <w:sz w:val="28"/>
          <w:szCs w:val="28"/>
          <w:highlight w:val="none"/>
        </w:rPr>
        <w:t xml:space="preserve">四、投标文件的递交</w:t>
      </w:r>
      <w:bookmarkEnd w:id="96"/>
      <w:r/>
      <w:bookmarkEnd w:id="97"/>
      <w:r/>
      <w:bookmarkEnd w:id="98"/>
      <w:r/>
      <w:bookmarkEnd w:id="99"/>
      <w:r/>
      <w:bookmarkEnd w:id="100"/>
      <w:r/>
      <w:r/>
    </w:p>
    <w:p>
      <w:pPr>
        <w:ind w:firstLine="560"/>
        <w:spacing w:line="460" w:lineRule="exact"/>
        <w:rPr>
          <w:rFonts w:ascii="宋体" w:hAnsi="宋体" w:cs="宋体"/>
          <w:bCs/>
          <w:color w:val="auto"/>
          <w:sz w:val="28"/>
          <w:szCs w:val="28"/>
          <w:highlight w:val="none"/>
        </w:rPr>
        <w:outlineLvl w:val="2"/>
      </w:pPr>
      <w:r/>
      <w:bookmarkStart w:id="101" w:name="_Toc20823297"/>
      <w:r/>
      <w:bookmarkStart w:id="102" w:name="_Toc16938541"/>
      <w:r/>
      <w:bookmarkStart w:id="103" w:name="_Toc513029225"/>
      <w:r/>
      <w:bookmarkStart w:id="104" w:name="_Toc462564084"/>
      <w:r/>
      <w:bookmarkStart w:id="105" w:name="_Toc28087"/>
      <w:r/>
      <w:bookmarkStart w:id="106" w:name="_Toc513029229"/>
      <w:r/>
      <w:bookmarkStart w:id="107" w:name="_Toc120614218"/>
      <w:r/>
      <w:bookmarkStart w:id="108" w:name="_Toc16938545"/>
      <w:r/>
      <w:bookmarkStart w:id="109" w:name="_Toc20823301"/>
      <w:r>
        <w:rPr>
          <w:rFonts w:hint="eastAsia" w:ascii="宋体" w:hAnsi="宋体" w:cs="宋体"/>
          <w:bCs/>
          <w:color w:val="auto"/>
          <w:sz w:val="28"/>
          <w:szCs w:val="28"/>
          <w:highlight w:val="none"/>
        </w:rPr>
        <w:t xml:space="preserve">1.</w:t>
      </w:r>
      <w:bookmarkEnd w:id="101"/>
      <w:r/>
      <w:bookmarkEnd w:id="102"/>
      <w:r/>
      <w:bookmarkEnd w:id="103"/>
      <w:r/>
      <w:bookmarkEnd w:id="104"/>
      <w:r>
        <w:rPr>
          <w:rFonts w:hint="eastAsia" w:ascii="宋体" w:hAnsi="宋体" w:cs="宋体"/>
          <w:bCs/>
          <w:color w:val="auto"/>
          <w:sz w:val="28"/>
          <w:szCs w:val="28"/>
          <w:highlight w:val="none"/>
        </w:rPr>
        <w:t xml:space="preserve">投标文件的提交</w:t>
      </w:r>
      <w:bookmarkEnd w:id="105"/>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1.1线上提交与接收地点：投标人应当通过“苏采云”系统提交数据电文形式的投标文件（即电子投标），“苏采云”系统自动接收。</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460" w:lineRule="exact"/>
        <w:rPr>
          <w:rFonts w:ascii="宋体" w:hAnsi="宋体" w:cs="宋体"/>
          <w:bCs/>
          <w:color w:val="auto"/>
          <w:sz w:val="28"/>
          <w:szCs w:val="28"/>
          <w:highlight w:val="none"/>
        </w:rPr>
        <w:outlineLvl w:val="2"/>
      </w:pPr>
      <w:r/>
      <w:bookmarkStart w:id="110" w:name="_Toc60"/>
      <w:r>
        <w:rPr>
          <w:rFonts w:hint="eastAsia" w:ascii="宋体" w:hAnsi="宋体" w:cs="宋体"/>
          <w:bCs/>
          <w:color w:val="auto"/>
          <w:sz w:val="28"/>
          <w:szCs w:val="28"/>
          <w:highlight w:val="none"/>
        </w:rPr>
        <w:t xml:space="preserve">2.提交投标文件截止日期</w:t>
      </w:r>
      <w:bookmarkEnd w:id="110"/>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2.1投标人上传电子投标文件的时间不得迟于公开招标公告中规定的投标文件提交截止时间。</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2.2采购人或招标代理机构可以按照规定，通过修改投标文件酌情延长投标文件提交截止日期，在此情况下，投标人的所有权利和义务以及投标人受制的截止日期均应以延长后新的截止日期为准。</w:t>
      </w:r>
      <w:r/>
    </w:p>
    <w:p>
      <w:pPr>
        <w:ind w:firstLine="560"/>
        <w:spacing w:line="460" w:lineRule="exact"/>
        <w:rPr>
          <w:rFonts w:ascii="宋体" w:hAnsi="宋体" w:cs="宋体"/>
          <w:bCs/>
          <w:color w:val="auto"/>
          <w:sz w:val="28"/>
          <w:szCs w:val="28"/>
          <w:highlight w:val="none"/>
        </w:rPr>
        <w:outlineLvl w:val="2"/>
      </w:pPr>
      <w:r/>
      <w:bookmarkStart w:id="111" w:name="_Toc2805"/>
      <w:r>
        <w:rPr>
          <w:rFonts w:hint="eastAsia" w:ascii="宋体" w:hAnsi="宋体" w:cs="宋体"/>
          <w:bCs/>
          <w:color w:val="auto"/>
          <w:sz w:val="28"/>
          <w:szCs w:val="28"/>
          <w:highlight w:val="none"/>
        </w:rPr>
        <w:t xml:space="preserve">3.投标文件的密封（加密）要求：</w:t>
      </w:r>
      <w:bookmarkEnd w:id="111"/>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3.2投标人须通过“苏采云”系统提供的政府采购客户端工具（使用“CA数字证书”）加盖电子签章。</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说明：投标人应在用CA数字证书以及自备的能够登录“苏采云”系统的电脑，在达到开标时间后，使用CA数字证书解密各自投标文件。</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3.3投标人未按规定加密的投标文件，“苏采云”系统将拒收并提示。</w:t>
      </w:r>
      <w:r/>
    </w:p>
    <w:p>
      <w:pPr>
        <w:ind w:firstLine="560"/>
        <w:spacing w:line="460" w:lineRule="exact"/>
        <w:rPr>
          <w:rFonts w:ascii="宋体" w:hAnsi="宋体" w:cs="宋体"/>
          <w:bCs/>
          <w:color w:val="auto"/>
          <w:sz w:val="28"/>
          <w:szCs w:val="28"/>
          <w:highlight w:val="none"/>
        </w:rPr>
        <w:outlineLvl w:val="2"/>
      </w:pPr>
      <w:r/>
      <w:bookmarkStart w:id="112" w:name="_Toc27425"/>
      <w:r>
        <w:rPr>
          <w:rFonts w:hint="eastAsia" w:ascii="宋体" w:hAnsi="宋体" w:cs="宋体"/>
          <w:bCs/>
          <w:color w:val="auto"/>
          <w:sz w:val="28"/>
          <w:szCs w:val="28"/>
          <w:highlight w:val="none"/>
        </w:rPr>
        <w:t xml:space="preserve">4.投标文件的拒收</w:t>
      </w:r>
      <w:bookmarkEnd w:id="112"/>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4.1招标代理机构拒绝接收在其规定的投标文件提交截止时间后上传的任何投标文件。</w:t>
      </w:r>
      <w:r/>
    </w:p>
    <w:p>
      <w:pPr>
        <w:ind w:firstLine="560"/>
        <w:spacing w:line="460" w:lineRule="exact"/>
        <w:rPr>
          <w:rFonts w:ascii="宋体" w:hAnsi="宋体" w:cs="宋体"/>
          <w:bCs/>
          <w:color w:val="auto"/>
          <w:sz w:val="28"/>
          <w:szCs w:val="28"/>
          <w:highlight w:val="none"/>
        </w:rPr>
        <w:outlineLvl w:val="2"/>
      </w:pPr>
      <w:r/>
      <w:bookmarkStart w:id="113" w:name="_Toc13316"/>
      <w:r>
        <w:rPr>
          <w:rFonts w:hint="eastAsia" w:ascii="宋体" w:hAnsi="宋体" w:cs="宋体"/>
          <w:bCs/>
          <w:color w:val="auto"/>
          <w:sz w:val="28"/>
          <w:szCs w:val="28"/>
          <w:highlight w:val="none"/>
        </w:rPr>
        <w:t xml:space="preserve">5.投标文件的撤回和修改</w:t>
      </w:r>
      <w:bookmarkEnd w:id="113"/>
      <w:r/>
      <w:r/>
    </w:p>
    <w:p>
      <w:pPr>
        <w:ind w:firstLine="561"/>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5.1投标文件的撤回</w:t>
      </w:r>
      <w:r/>
    </w:p>
    <w:p>
      <w:pPr>
        <w:ind w:firstLine="561"/>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5.1.1电子投标文件的撤回</w:t>
      </w:r>
      <w:r/>
    </w:p>
    <w:p>
      <w:pPr>
        <w:ind w:firstLine="561"/>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投标人可在投标文件提交截止时间前，撤回其电子投标文件，具体操作方法见“苏采云”系统供应商操作手册。</w:t>
      </w:r>
      <w:r/>
    </w:p>
    <w:p>
      <w:pPr>
        <w:ind w:firstLine="561"/>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5.1.2投标人撤回电子投标文件，则认为其不再参与本项目投标活动。</w:t>
      </w:r>
      <w:r/>
    </w:p>
    <w:p>
      <w:pPr>
        <w:ind w:firstLine="561"/>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5.2投标文件的修改</w:t>
      </w:r>
      <w:r/>
    </w:p>
    <w:p>
      <w:pPr>
        <w:ind w:firstLine="561"/>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投标人可在投标文件提交截止时间前，对其电子投标文件进行修改。具体操作方法见“苏采云”系统供应商操作手册。</w:t>
      </w:r>
      <w:r/>
    </w:p>
    <w:p>
      <w:pPr>
        <w:ind w:firstLine="561"/>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5.3在投标文件提交截止时间之后，投标人不得对其电子投标文件作任何修改。</w:t>
      </w:r>
      <w:r/>
    </w:p>
    <w:p>
      <w:pPr>
        <w:ind w:firstLine="561"/>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5.4在投标文件提交截止时间至招标文件中规定的投标有效期满之间的这段时间内，投标人不得撤回其投标文件。</w:t>
      </w:r>
      <w:r/>
    </w:p>
    <w:p>
      <w:pPr>
        <w:pStyle w:val="736"/>
        <w:spacing w:before="0" w:after="0" w:line="460" w:lineRule="exact"/>
        <w:rPr>
          <w:rFonts w:ascii="宋体" w:hAnsi="宋体" w:eastAsia="宋体" w:cs="宋体"/>
          <w:color w:val="auto"/>
          <w:sz w:val="28"/>
          <w:szCs w:val="28"/>
          <w:highlight w:val="none"/>
        </w:rPr>
      </w:pPr>
      <w:r/>
      <w:bookmarkStart w:id="114" w:name="_Toc7634"/>
      <w:r>
        <w:rPr>
          <w:rFonts w:hint="eastAsia" w:ascii="宋体" w:hAnsi="宋体" w:eastAsia="宋体" w:cs="宋体"/>
          <w:color w:val="auto"/>
          <w:sz w:val="28"/>
          <w:szCs w:val="28"/>
          <w:highlight w:val="none"/>
        </w:rPr>
        <w:t xml:space="preserve">五、开标与评标</w:t>
      </w:r>
      <w:bookmarkEnd w:id="106"/>
      <w:r/>
      <w:bookmarkEnd w:id="107"/>
      <w:r/>
      <w:bookmarkEnd w:id="108"/>
      <w:r/>
      <w:bookmarkEnd w:id="109"/>
      <w:r/>
      <w:bookmarkEnd w:id="114"/>
      <w:r/>
      <w:r/>
    </w:p>
    <w:p>
      <w:pPr>
        <w:ind w:firstLine="560"/>
        <w:spacing w:line="460" w:lineRule="exact"/>
        <w:rPr>
          <w:rFonts w:ascii="宋体" w:hAnsi="宋体" w:cs="宋体"/>
          <w:bCs/>
          <w:color w:val="auto"/>
          <w:sz w:val="28"/>
          <w:szCs w:val="28"/>
          <w:highlight w:val="none"/>
        </w:rPr>
        <w:outlineLvl w:val="2"/>
      </w:pPr>
      <w:r/>
      <w:bookmarkStart w:id="115" w:name="_Toc20724"/>
      <w:r/>
      <w:bookmarkStart w:id="116" w:name="_Toc513029231"/>
      <w:r/>
      <w:bookmarkStart w:id="117" w:name="_Toc16938547"/>
      <w:r/>
      <w:bookmarkStart w:id="118" w:name="_Toc20823303"/>
      <w:r>
        <w:rPr>
          <w:rFonts w:hint="eastAsia" w:ascii="宋体" w:hAnsi="宋体" w:cs="宋体"/>
          <w:bCs/>
          <w:color w:val="auto"/>
          <w:sz w:val="28"/>
          <w:szCs w:val="28"/>
          <w:highlight w:val="none"/>
        </w:rPr>
        <w:t xml:space="preserve">1.开标</w:t>
      </w:r>
      <w:bookmarkEnd w:id="115"/>
      <w:r/>
      <w:r/>
    </w:p>
    <w:p>
      <w:pPr>
        <w:ind w:firstLine="562"/>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1.1开标当天各投标人及时登录不见面开标大厅，响应文件提交截止时间后，招标代理机构将在系统内公布投标人名单，然后通过开标会议区发出响应文件解密的指令，投标人按规定时间自行实施远程解密，投标人解密限定在开标后</w:t>
      </w:r>
      <w:r>
        <w:rPr>
          <w:rFonts w:hint="eastAsia" w:ascii="宋体" w:hAnsi="宋体" w:cs="宋体"/>
          <w:b/>
          <w:color w:val="auto"/>
          <w:sz w:val="28"/>
          <w:szCs w:val="28"/>
          <w:highlight w:val="none"/>
          <w:u w:val="single"/>
        </w:rPr>
        <w:t xml:space="preserve">30分钟之内</w:t>
      </w:r>
      <w:r>
        <w:rPr>
          <w:rFonts w:hint="eastAsia" w:ascii="宋体" w:hAnsi="宋体" w:cs="宋体"/>
          <w:b/>
          <w:color w:val="auto"/>
          <w:sz w:val="28"/>
          <w:szCs w:val="28"/>
          <w:highlight w:val="none"/>
        </w:rPr>
        <w:t xml:space="preserve">完成。</w:t>
      </w:r>
      <w:r/>
    </w:p>
    <w:p>
      <w:pPr>
        <w:ind w:firstLine="562"/>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u w:val="single"/>
        </w:rPr>
        <w:t xml:space="preserve">1.2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cs="宋体"/>
          <w:b/>
          <w:color w:val="auto"/>
          <w:sz w:val="28"/>
          <w:szCs w:val="28"/>
          <w:highlight w:val="none"/>
        </w:rPr>
        <w:t xml:space="preserve">因采购人（或招标代理机构）原因或网上招投标平台发生故障，导致无法按时完成投标文件解密或开、评标工作无法进行的，可根据实际情况相应延迟解密时间或调整开、评标时间。</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1.3</w:t>
      </w:r>
      <w:r>
        <w:rPr>
          <w:rFonts w:hint="eastAsia" w:ascii="宋体" w:hAnsi="宋体" w:cs="宋体"/>
          <w:color w:val="auto"/>
          <w:sz w:val="28"/>
          <w:szCs w:val="28"/>
          <w:highlight w:val="none"/>
        </w:rPr>
        <w:t xml:space="preserve">开标仪式由</w:t>
      </w:r>
      <w:r>
        <w:rPr>
          <w:rFonts w:hint="eastAsia" w:ascii="宋体" w:hAnsi="宋体" w:cs="宋体"/>
          <w:bCs/>
          <w:color w:val="auto"/>
          <w:sz w:val="28"/>
          <w:szCs w:val="28"/>
          <w:highlight w:val="none"/>
        </w:rPr>
        <w:t xml:space="preserve">招标代理机构</w:t>
      </w:r>
      <w:r>
        <w:rPr>
          <w:rFonts w:hint="eastAsia" w:ascii="宋体" w:hAnsi="宋体" w:cs="宋体"/>
          <w:color w:val="auto"/>
          <w:sz w:val="28"/>
          <w:szCs w:val="28"/>
          <w:highlight w:val="none"/>
        </w:rPr>
        <w:t xml:space="preserve">组织。苏采云系统将自动对项目进行开标，并宣布各投标人名称和投标价格。</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1.4投标人在开标过程中涉及到的投标文件解密、开标结果确认等工作，应按照“苏采云”系统供应商操作手册规定执行。</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1.5投标人如果对开标过程和开标记录有疑义，应当根据</w:t>
      </w:r>
      <w:r>
        <w:rPr>
          <w:rFonts w:hint="eastAsia" w:ascii="宋体" w:hAnsi="宋体" w:cs="宋体"/>
          <w:bCs/>
          <w:color w:val="auto"/>
          <w:sz w:val="28"/>
          <w:szCs w:val="28"/>
          <w:highlight w:val="none"/>
        </w:rPr>
        <w:t xml:space="preserve">“苏采云”系统供应商操作手册</w:t>
      </w:r>
      <w:r>
        <w:rPr>
          <w:rFonts w:hint="eastAsia" w:ascii="宋体" w:hAnsi="宋体" w:cs="宋体"/>
          <w:color w:val="auto"/>
          <w:sz w:val="28"/>
          <w:szCs w:val="28"/>
          <w:highlight w:val="none"/>
        </w:rPr>
        <w:t xml:space="preserve">规定提出，如苏采云系统中《开标记录表》宣布后5分钟内未提出的，视同认可开标结果。</w:t>
      </w:r>
      <w:bookmarkEnd w:id="116"/>
      <w:r/>
      <w:bookmarkEnd w:id="117"/>
      <w:r/>
      <w:bookmarkEnd w:id="118"/>
      <w:r/>
      <w:r/>
    </w:p>
    <w:p>
      <w:pPr>
        <w:ind w:firstLine="560"/>
        <w:spacing w:line="460" w:lineRule="exact"/>
        <w:rPr>
          <w:rFonts w:ascii="宋体" w:hAnsi="宋体" w:cs="宋体"/>
          <w:bCs/>
          <w:color w:val="auto"/>
          <w:sz w:val="28"/>
          <w:szCs w:val="28"/>
          <w:highlight w:val="none"/>
        </w:rPr>
        <w:outlineLvl w:val="2"/>
      </w:pPr>
      <w:r/>
      <w:bookmarkStart w:id="119" w:name="_Toc27677"/>
      <w:r>
        <w:rPr>
          <w:rFonts w:hint="eastAsia" w:ascii="宋体" w:hAnsi="宋体" w:cs="宋体"/>
          <w:bCs/>
          <w:color w:val="auto"/>
          <w:sz w:val="28"/>
          <w:szCs w:val="28"/>
          <w:highlight w:val="none"/>
        </w:rPr>
        <w:t xml:space="preserve">2.评标委员会</w:t>
      </w:r>
      <w:bookmarkEnd w:id="119"/>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2.1开标后，招标代理机构将立即组织评标委员会（以下简称评委会）进行评审。</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2.2评委会由采购人代表和有关技术、经济等方面的专家组成，且人员构成符合政府采购有关规定。</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2.3评标委员会独立工作，负责评审所有投标文件并确定中标候选人。</w:t>
      </w:r>
      <w:r/>
    </w:p>
    <w:p>
      <w:pPr>
        <w:ind w:firstLine="560"/>
        <w:spacing w:line="460" w:lineRule="exact"/>
        <w:rPr>
          <w:rFonts w:ascii="宋体" w:hAnsi="宋体" w:cs="宋体"/>
          <w:bCs/>
          <w:color w:val="auto"/>
          <w:sz w:val="28"/>
          <w:szCs w:val="28"/>
          <w:highlight w:val="none"/>
        </w:rPr>
        <w:outlineLvl w:val="2"/>
      </w:pPr>
      <w:r/>
      <w:bookmarkStart w:id="120" w:name="_Toc10859"/>
      <w:r>
        <w:rPr>
          <w:rFonts w:hint="eastAsia" w:ascii="宋体" w:hAnsi="宋体" w:cs="宋体"/>
          <w:bCs/>
          <w:color w:val="auto"/>
          <w:sz w:val="28"/>
          <w:szCs w:val="28"/>
          <w:highlight w:val="none"/>
        </w:rPr>
        <w:t xml:space="preserve">3.评审过程的保密与公正</w:t>
      </w:r>
      <w:bookmarkEnd w:id="120"/>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3.1评标委员会、采购人或招标代理机构、相关监督人员等与评审工作有关的人员，对评审情况以及在评审过程中获悉的国家秘密、商业秘密负有保密责任。</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3.2在评审过程中，投标人不得以任何行为影响评审过程，否则其投标文件将被作为无效投标文件。</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3.4凡是与审查、澄清、评价和比较投标的有关资料以及授标建议等，采购人、评标委员会、招标代理机构均不得向投标人或与评标无关的其他人员透露。</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3.5在评审期间，招标代理机构将设专门人员与投标人联系。</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3.6采购人、招标代理机构和评标委员会不向未中标的投标人解释未中标原因，也不公布评审过程中的相关细节。</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3.7 采用综合评分法的项目，未中标的投标人可于中标结果公告期限届满之日起通过苏采云系统查看自己的评审得分及排序情况。</w:t>
      </w:r>
      <w:r/>
    </w:p>
    <w:p>
      <w:pPr>
        <w:ind w:firstLine="560"/>
        <w:spacing w:line="460" w:lineRule="exact"/>
        <w:rPr>
          <w:rFonts w:ascii="宋体" w:hAnsi="宋体" w:cs="宋体"/>
          <w:bCs/>
          <w:color w:val="auto"/>
          <w:sz w:val="28"/>
          <w:szCs w:val="28"/>
          <w:highlight w:val="none"/>
        </w:rPr>
        <w:outlineLvl w:val="2"/>
      </w:pPr>
      <w:r/>
      <w:bookmarkStart w:id="121" w:name="_Toc30673"/>
      <w:r>
        <w:rPr>
          <w:rFonts w:hint="eastAsia" w:ascii="宋体" w:hAnsi="宋体" w:cs="宋体"/>
          <w:bCs/>
          <w:color w:val="auto"/>
          <w:sz w:val="28"/>
          <w:szCs w:val="28"/>
          <w:highlight w:val="none"/>
        </w:rPr>
        <w:t xml:space="preserve">4.投标文件的澄清</w:t>
      </w:r>
      <w:bookmarkEnd w:id="121"/>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4.3 接到评标委员会澄清、说明和更正要求的投标人如未按规定做出澄清、说明和更正，其风险由投标人自行承担。</w:t>
      </w:r>
      <w:r/>
    </w:p>
    <w:p>
      <w:pPr>
        <w:ind w:firstLine="560"/>
        <w:spacing w:line="460" w:lineRule="exact"/>
        <w:rPr>
          <w:rFonts w:ascii="宋体" w:hAnsi="宋体" w:cs="宋体"/>
          <w:bCs/>
          <w:color w:val="auto"/>
          <w:sz w:val="28"/>
          <w:szCs w:val="28"/>
          <w:highlight w:val="none"/>
        </w:rPr>
        <w:outlineLvl w:val="2"/>
      </w:pPr>
      <w:r/>
      <w:bookmarkStart w:id="122" w:name="_Toc3995"/>
      <w:r>
        <w:rPr>
          <w:rFonts w:hint="eastAsia" w:ascii="宋体" w:hAnsi="宋体" w:cs="宋体"/>
          <w:bCs/>
          <w:color w:val="auto"/>
          <w:sz w:val="28"/>
          <w:szCs w:val="28"/>
          <w:highlight w:val="none"/>
        </w:rPr>
        <w:t xml:space="preserve">5.对投标文件的审查</w:t>
      </w:r>
      <w:bookmarkEnd w:id="122"/>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5.1投标文件初审分为资格性审查和符合性审查。</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5.1.1资格性检查：依据法律法规和招标文件的规定，由采购人对投标文件中的资格证明文件进行审查。资格审查的结论，采购人以书面形式向评委会进行反馈。</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5.1.2采购人在进行资格性审查的同时，将在“信用中国”网站（www.creditchina.gov.cn）查询投标人的信用记录，以确定投标人是否具备投标资格,查询结果留存并归档。</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5.1.3接受联合体的项目，两个以上的自然人、法人或者其他组织组成一个联合体，以一个投标人的身份共同参加政府采购活动的,联合体成员中任何一方存在不良信用记录的，视同联合体存在不良信用记录。</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5.1.4符合性审查：依据招标文件的规定，由评标委员会从投标文件的有效性、完整性和对招标文件的响应程度进行审查，以确定是否对招标文件的实质性要求作出响应。</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5.1.5未通过资格审查或符合性审查的投标人，招标代理机构将在苏采云系统中告知未通过资格审查或符合性审查的原因，评审结束后，招标代理机构将不再告知未通过资格审查或符合性审查的原因。</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5.2异常低价审查</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（1）政府采购评审中出现下列情形之一的，评审委员会应当启动异常低价投标（响应）审查程序：</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①投标（响应）报价低于全部通过符合性审查供应商投标（响应）报价平均值50%的，即投标（响应）报价&lt;全部通过符合性审查供应商投标（响应）报价平均值×50%； </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②投标（响应）报价低于通过符合性审查的次低报价供应商投标（响应）报价50%的，即投标（响应）报价&lt;通过符合性审查的次低报价供应商投标（响应）报价×50%； </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③投标（响应）报价低于采购项目最高限价45%的，即投标（响应）报价&lt;采购项目最高限价×45%； </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④评审委员会基于专业判断，认为供应商报价过低，有可能影响产品质量或者不能诚信履约的其他情形。 </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评审委员会启动异常低价投标(响应)审查后，属于上述情形的，应当要求相关供应商在评审现场30分钟内对投标（响应）价格作出解释，提供项目具体成本测算等与报价合理性相关的书面说明及必要的证明材料，包括但不限于原材料成本、人工成本、制造费用等。其中，属于第③项情形，投标人已随投标（响应）文件一并提交相关书面说明及必要的证明材料的，在评审现场可不再重复提交。</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采购人、采购代理机构应当为评审小组在评审现场及时获取同类项目中标（中标）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（5）异常低价投标审查的启动原因、审查意见和审查结果应当在评审报告中记录，并随供应商提供的相关书面说明及证明材料，以及评审小组有关互联网浏览、查询历史一并归档。</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5.3在详细评审之前，评标委员会将首先审查每份投标文件是否实质性响应了招标文件的要求。实质性响应的投标文件应该是与招标文件要求的全部条款、条件和规格相符，没有重大负偏离或保留。</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5.4如果投标文件实质上没有响应招标文件的要求，评标委员会将予以拒绝，投标人不得通过修改或撤销不合要求的偏离或保留而使其投标文件成为实质性响应的文件。</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5.5评标委员会将对确定为实质性响应的文件进行进一步审核，看其是否有计算上或累加上的算术错误，修正错误的原则如下：</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（1）投标文件中开标一览表内容与投标文件中相应内容不一致的，以开标一览表为准。</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（2）大写金额和小写金额不一致的，以大写金额为准。</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（3）单价金额小数点或者百分比有明显错位的，以开标一览表的总价为准，并修改单价。</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（4）总价金额与按单价汇总金额不一致的，以单价金额计算结果为准。</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同时出现两种以上错误的，按照前款规定的顺序修正。</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5.6评标委员会将按上述修正错误的方法调整投标文件中的报价，通过“苏采云系统”告知投标人，调整后的价格应对投标人具有约束力。如果投标人不接受修正后的价格，则其投标文件将被拒绝。</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5.7评标委员会将允许修正投标文件中不构成重大偏离的、微小的、非正规的、不一致的或不规则的地方，但这些修改不能影响任何投标人相应的名次排列。</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5.8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2"/>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5.9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2"/>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5.10非单一产品采购项目，招标文件中将载明其中的核心产品。多家投标人提供的核心产品品牌相同的，按前两款规定处理。</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5.11 投标人在开、评标全过程中应保持通讯畅通，及时登录苏采云系统查阅、答复相关信息，并安排专人与采购人或招标代理机构及评标委员会联系。</w:t>
      </w:r>
      <w:r/>
    </w:p>
    <w:p>
      <w:pPr>
        <w:ind w:firstLine="560"/>
        <w:spacing w:line="460" w:lineRule="exact"/>
        <w:rPr>
          <w:rFonts w:ascii="宋体" w:hAnsi="宋体" w:cs="宋体"/>
          <w:bCs/>
          <w:color w:val="auto"/>
          <w:sz w:val="28"/>
          <w:szCs w:val="28"/>
          <w:highlight w:val="none"/>
        </w:rPr>
        <w:outlineLvl w:val="2"/>
      </w:pPr>
      <w:r/>
      <w:bookmarkStart w:id="123" w:name="_Toc15738"/>
      <w:r>
        <w:rPr>
          <w:rFonts w:hint="eastAsia" w:ascii="宋体" w:hAnsi="宋体" w:cs="宋体"/>
          <w:bCs/>
          <w:color w:val="auto"/>
          <w:sz w:val="28"/>
          <w:szCs w:val="28"/>
          <w:highlight w:val="none"/>
        </w:rPr>
        <w:t xml:space="preserve">6.投标文件线上格式要求</w:t>
      </w:r>
      <w:bookmarkEnd w:id="123"/>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6.1投标人应当通过“苏采云”系统提交数据电文形式的投标文件（即电子投标）。</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6.2 通过“苏采云”系统提交政府采购客户端工具导出加密的投标文件（后缀名为zip）。投标文件不得超过150M！</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6.3本项目采用线上投标，即投标人投标文件从政府采购客户端工具制作通过“苏采云”系统提交，未提供线上投标文件的，投标无效。</w:t>
      </w:r>
      <w:r/>
    </w:p>
    <w:p>
      <w:pPr>
        <w:ind w:firstLine="560"/>
        <w:spacing w:line="460" w:lineRule="exact"/>
        <w:rPr>
          <w:rFonts w:ascii="宋体" w:hAnsi="宋体" w:cs="宋体"/>
          <w:b/>
          <w:bCs/>
          <w:color w:val="auto"/>
          <w:sz w:val="28"/>
          <w:szCs w:val="28"/>
          <w:highlight w:val="none"/>
        </w:rPr>
        <w:outlineLvl w:val="2"/>
      </w:pPr>
      <w:r/>
      <w:bookmarkStart w:id="124" w:name="_Toc13461"/>
      <w:r>
        <w:rPr>
          <w:rFonts w:hint="eastAsia" w:ascii="宋体" w:hAnsi="宋体" w:cs="宋体"/>
          <w:color w:val="auto"/>
          <w:sz w:val="28"/>
          <w:szCs w:val="28"/>
          <w:highlight w:val="none"/>
        </w:rPr>
        <w:t xml:space="preserve">7.无效投标条款和废标条款</w:t>
      </w:r>
      <w:bookmarkEnd w:id="124"/>
      <w:r/>
      <w:r/>
    </w:p>
    <w:p>
      <w:pPr>
        <w:ind w:firstLine="560"/>
        <w:spacing w:line="460" w:lineRule="exact"/>
        <w:rPr>
          <w:rFonts w:ascii="宋体" w:hAnsi="宋体" w:cs="宋体"/>
          <w:bCs/>
          <w:color w:val="auto"/>
          <w:sz w:val="28"/>
          <w:szCs w:val="28"/>
          <w:highlight w:val="none"/>
        </w:rPr>
      </w:pPr>
      <w:r/>
      <w:bookmarkStart w:id="125" w:name="_Toc20823307"/>
      <w:r/>
      <w:bookmarkStart w:id="126" w:name="_Toc513029235"/>
      <w:r/>
      <w:bookmarkStart w:id="127" w:name="_Toc16938551"/>
      <w:r>
        <w:rPr>
          <w:rFonts w:hint="eastAsia" w:ascii="宋体" w:hAnsi="宋体" w:cs="宋体"/>
          <w:bCs/>
          <w:color w:val="auto"/>
          <w:sz w:val="28"/>
          <w:szCs w:val="28"/>
          <w:highlight w:val="none"/>
        </w:rPr>
        <w:t xml:space="preserve">7.1.1同一投标人提交两个（含两个）以上不同的投标报价的。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7.1.2投标人不具备招标文件中规定资格要求的。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7.1.3投标人的报价超过了采购预算或最高限价的。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7.1.4未通过符合性检查的。</w:t>
      </w:r>
      <w:r/>
    </w:p>
    <w:p>
      <w:pPr>
        <w:ind w:firstLine="560"/>
        <w:spacing w:line="460" w:lineRule="exact"/>
        <w:rPr>
          <w:rStyle w:val="792"/>
          <w:color w:val="auto"/>
          <w:highlight w:val="none"/>
        </w:rPr>
      </w:pPr>
      <w:r>
        <w:rPr>
          <w:rFonts w:hint="eastAsia" w:ascii="宋体" w:hAnsi="宋体" w:cs="宋体"/>
          <w:bCs/>
          <w:color w:val="auto"/>
          <w:sz w:val="28"/>
          <w:szCs w:val="28"/>
          <w:highlight w:val="none"/>
        </w:rPr>
        <w:t xml:space="preserve">7.1.5不符合招标文件中规定的其他实质性要求和条件的：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①样品外露可识别投标人身份的名称、品牌、徽标、字符及各类标记，且未用不透明密封胶带有效遮挡的；未按要求现场提交样品、样品提供不全，视作未实质性响应，按无效投标处理；样品存在结构松动、严重安全隐患、材质造假、核心工艺缺失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②未对实质性要求逐条响应、未按要求提供证明材料的。</w:t>
      </w:r>
      <w:r/>
    </w:p>
    <w:p>
      <w:pPr>
        <w:ind w:firstLine="560"/>
        <w:spacing w:line="460" w:lineRule="exact"/>
        <w:rPr>
          <w:rFonts w:ascii="宋体" w:hAnsi="宋体" w:cs="宋体"/>
          <w:bCs/>
          <w:i/>
          <w:color w:val="auto"/>
          <w:sz w:val="28"/>
          <w:szCs w:val="28"/>
          <w:highlight w:val="none"/>
          <w:u w:val="single"/>
        </w:rPr>
      </w:pPr>
      <w:r>
        <w:rPr>
          <w:rFonts w:hint="eastAsia" w:ascii="宋体" w:hAnsi="宋体" w:cs="宋体"/>
          <w:bCs/>
          <w:color w:val="auto"/>
          <w:sz w:val="28"/>
          <w:szCs w:val="28"/>
          <w:highlight w:val="none"/>
        </w:rPr>
        <w:t xml:space="preserve">7.1.6投标人被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7.1.7投标文件含有采购人不能接受的附加条件的。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7.1.8 启动异常低价响应审查后，供应商不提供书面说明、证明材料，或者提供的书面说明、证明材料不能证明其报价合理性的。</w:t>
      </w:r>
      <w:r/>
    </w:p>
    <w:p>
      <w:pPr>
        <w:ind w:firstLine="562"/>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7.1.9本项目采购产品被财政部、国家发改委、生态环境部等列入“节能产品品目清单”、“环境标志产品品目清单”强制采购范围，而投标人所投标产品不在强制采购范围内的（所投产品如属于政府强制采购节能产品品目清单范围内，响应文件中必须提供国家确定的认证机构出具的、处于有效期之内的该节能产品认证证书图片）。</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7.1.10投标文件未按照招标文件要求加盖CA电子公章的。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7.1.11投标人的商务技术部分得分相差悬殊，评标委员会认为得分畸低者没有实质性响应的。</w:t>
      </w:r>
      <w:r/>
    </w:p>
    <w:p>
      <w:pPr>
        <w:pStyle w:val="1055"/>
        <w:ind w:left="0" w:firstLine="560"/>
        <w:rPr>
          <w:rFonts w:ascii="宋体" w:hAnsi="宋体" w:eastAsia="宋体" w:cs="宋体"/>
          <w:bCs/>
          <w:color w:val="auto"/>
          <w:szCs w:val="28"/>
          <w:highlight w:val="none"/>
        </w:rPr>
      </w:pPr>
      <w:r>
        <w:rPr>
          <w:rFonts w:hint="eastAsia" w:ascii="宋体" w:hAnsi="宋体" w:eastAsia="宋体" w:cs="宋体"/>
          <w:bCs/>
          <w:color w:val="auto"/>
          <w:szCs w:val="28"/>
          <w:highlight w:val="none"/>
        </w:rPr>
        <w:t xml:space="preserve">7.1.12不同的投标人响应文件MAC地址、标书制作工具客户端识别码一致的。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7.1.13其他法律、法规及本招标文件规定的属无效投标的情形。</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7.2废标条款：</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7.2.1符合专业条件的投标人或者对招标文件作实质响应的投标人不足三家的。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7.2.2出现影响采购公正的违法、违规行为的。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7.2.3因重大变故，采购任务取消的。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7.2.4评标委员会认定招标文件存在歧义、重大缺陷导致评审工作无法进行。</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7.2.5 因苏采云系统故障原因造成开标不成功的。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7.3 投标截止时间结束后参加投标的投标人不足三家的处理：</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7.3.1如出现投标截止时间结束后参加投标的投标人或者在评标期间对招标文件做出实质响应的投标人不足三家情况，按政府采购相关规定执行。</w:t>
      </w:r>
      <w:bookmarkEnd w:id="125"/>
      <w:r/>
      <w:bookmarkEnd w:id="126"/>
      <w:r/>
      <w:bookmarkEnd w:id="127"/>
      <w:r/>
      <w:r/>
    </w:p>
    <w:p>
      <w:pPr>
        <w:pStyle w:val="736"/>
        <w:spacing w:before="0" w:after="0" w:line="460" w:lineRule="exact"/>
        <w:rPr>
          <w:rFonts w:ascii="宋体" w:hAnsi="宋体" w:eastAsia="宋体" w:cs="宋体"/>
          <w:color w:val="auto"/>
          <w:sz w:val="28"/>
          <w:szCs w:val="28"/>
          <w:highlight w:val="none"/>
        </w:rPr>
      </w:pPr>
      <w:r/>
      <w:bookmarkStart w:id="128" w:name="_Toc27597"/>
      <w:r/>
      <w:bookmarkStart w:id="129" w:name="_Toc120614219"/>
      <w:r>
        <w:rPr>
          <w:rFonts w:hint="eastAsia" w:ascii="宋体" w:hAnsi="宋体" w:eastAsia="宋体" w:cs="宋体"/>
          <w:color w:val="auto"/>
          <w:sz w:val="28"/>
          <w:szCs w:val="28"/>
          <w:highlight w:val="none"/>
        </w:rPr>
        <w:t xml:space="preserve">六、定标</w:t>
      </w:r>
      <w:bookmarkEnd w:id="128"/>
      <w:r/>
      <w:bookmarkEnd w:id="129"/>
      <w:r/>
      <w:r/>
    </w:p>
    <w:p>
      <w:pPr>
        <w:ind w:firstLine="560"/>
        <w:spacing w:line="460" w:lineRule="exact"/>
        <w:rPr>
          <w:rFonts w:ascii="宋体" w:hAnsi="宋体" w:cs="宋体"/>
          <w:b/>
          <w:color w:val="auto"/>
          <w:sz w:val="28"/>
          <w:szCs w:val="28"/>
          <w:highlight w:val="none"/>
        </w:rPr>
        <w:outlineLvl w:val="2"/>
      </w:pPr>
      <w:r/>
      <w:bookmarkStart w:id="130" w:name="_Toc16938554"/>
      <w:r/>
      <w:bookmarkStart w:id="131" w:name="_Toc20823310"/>
      <w:r/>
      <w:bookmarkStart w:id="132" w:name="_Toc21628"/>
      <w:r>
        <w:rPr>
          <w:rFonts w:hint="eastAsia" w:ascii="宋体" w:hAnsi="宋体" w:cs="宋体"/>
          <w:color w:val="auto"/>
          <w:sz w:val="28"/>
          <w:szCs w:val="28"/>
          <w:highlight w:val="none"/>
        </w:rPr>
        <w:t xml:space="preserve">1.确定</w:t>
      </w:r>
      <w:bookmarkEnd w:id="130"/>
      <w:r/>
      <w:bookmarkEnd w:id="131"/>
      <w:r>
        <w:rPr>
          <w:rFonts w:hint="eastAsia" w:ascii="宋体" w:hAnsi="宋体" w:cs="宋体"/>
          <w:color w:val="auto"/>
          <w:sz w:val="28"/>
          <w:szCs w:val="28"/>
          <w:highlight w:val="none"/>
        </w:rPr>
        <w:t xml:space="preserve">中标单位</w:t>
      </w:r>
      <w:bookmarkEnd w:id="132"/>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1.1中标候选人的选取原则和数量见招标文件第四部分规定。 </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1.2采购人授权评委会在中标候选人中直接确定中标人。</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1.3</w:t>
      </w:r>
      <w:r>
        <w:rPr>
          <w:rFonts w:hint="eastAsia" w:ascii="宋体" w:hAnsi="宋体" w:cs="宋体"/>
          <w:color w:val="auto"/>
          <w:sz w:val="28"/>
          <w:szCs w:val="28"/>
          <w:highlight w:val="none"/>
        </w:rPr>
        <w:t xml:space="preserve">代理机构将在“江苏政府采购网”发布中标公告，公告期限为1个工作日。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1.4若有充分证据证明，中标人出现下列情况之一的，一经查实，将被取消中标资格：</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1.4.1提供虚假材料谋取中标的。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1.4.2向采购人、代理机构行贿或者提供其他不正当利益的。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1.4.3恶意竞争，投标总报价明显低于其自身合理成本且又无法提供证明的。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1.4.4属于本文件规定的无效条件，但在评标过程中又未被评委会发现的。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1.4.5与采购人或者其他投标人恶意串通的。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1.4.6采取不正当手段诋毁、排挤其他投标人的。</w:t>
      </w:r>
      <w:r/>
    </w:p>
    <w:p>
      <w:pPr>
        <w:ind w:firstLine="561"/>
        <w:spacing w:line="460" w:lineRule="exact"/>
        <w:rPr>
          <w:rFonts w:ascii="宋体" w:hAnsi="宋体" w:cs="宋体"/>
          <w:color w:val="auto"/>
          <w:sz w:val="28"/>
          <w:szCs w:val="28"/>
          <w:highlight w:val="none"/>
        </w:rPr>
      </w:pPr>
      <w:r/>
      <w:bookmarkStart w:id="133" w:name="_Toc200451960"/>
      <w:r>
        <w:rPr>
          <w:rFonts w:hint="eastAsia" w:ascii="宋体" w:hAnsi="宋体" w:cs="宋体"/>
          <w:color w:val="auto"/>
          <w:sz w:val="28"/>
          <w:szCs w:val="28"/>
          <w:highlight w:val="none"/>
        </w:rPr>
        <w:t xml:space="preserve">1.5.有下列情形之一的，视为投标人串通投标，投标无效：</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1.5.1不同投标人的投标文件由同一单位或者个人编制；</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1.5.2不同投标人委托同一单位或者个人办理投标事宜；</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1.5.3不同投标人的投标文件载明的项目管理成员或者联系人员为同一人；</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1.5.4不同投标人的投标文件异常一致或者投标报价呈规律性差异；</w:t>
      </w:r>
      <w:r/>
    </w:p>
    <w:p>
      <w:pPr>
        <w:ind w:firstLine="560"/>
        <w:spacing w:line="460" w:lineRule="exact"/>
        <w:rPr>
          <w:rFonts w:ascii="宋体" w:hAnsi="宋体" w:cs="宋体"/>
          <w:b/>
          <w:color w:val="auto"/>
          <w:sz w:val="28"/>
          <w:szCs w:val="28"/>
          <w:highlight w:val="none"/>
        </w:rPr>
        <w:outlineLvl w:val="2"/>
      </w:pPr>
      <w:r/>
      <w:bookmarkStart w:id="134" w:name="_Toc922"/>
      <w:r>
        <w:rPr>
          <w:rFonts w:hint="eastAsia" w:ascii="宋体" w:hAnsi="宋体" w:cs="宋体"/>
          <w:color w:val="auto"/>
          <w:sz w:val="28"/>
          <w:szCs w:val="28"/>
          <w:highlight w:val="none"/>
        </w:rPr>
        <w:t xml:space="preserve">2.质疑处理</w:t>
      </w:r>
      <w:bookmarkEnd w:id="133"/>
      <w:r/>
      <w:bookmarkEnd w:id="134"/>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2.1 提出质疑的投标人应当是参与所质疑项目采购活动的投标人。潜在投标人依法获取其可质疑的招标文件的，可以对招标文件提出质疑。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2.2投标人认为招标文件、采购过程和采购结果使自己的权益受到损害的，可以在知道或应知其权益受到损害之日起七个工作日内，以书面形式向代理机构或采购人提出质疑。上述应知其权益受到损害之日，是指：</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2.2.1对可以质疑的招标文件提出质疑的，为收到招标文件之日或者招标文件公告期限届满之日；</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2.2.2对采购过程提出质疑的，为各采购程序环节结束之日；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2.2.3对中标或者成交结果提出质疑的，为中标或者成交结果公告期限届满之日。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投标人应当在法定质疑期内一次性提出针对同一采购程序环节的质疑。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2.3质疑函必须按照本招标文件中《质疑函范本》要求的格式和内容进行填写。</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2.4对招标方式、招标文件中项目需求、投标人资格条件、评标方法和评标标准、资格审查结果等应当由采购人答复的质疑，请向采购人提出，由采购人负责答复。投标人对其他事项的质疑，请向代理机构提出，由采购人或代理机构负责答复。</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投标人提起质疑采取书面形式，可以现场送达，也可以邮寄。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采购人及代理机构质疑接收人及联系方式，见招标文件第一部分。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2.5 以下情形的质疑不予受理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2.5.1内容不符合《政府采购质疑和投诉办法》第十二条规定的质疑。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2.5.2 超出政府采购法定期限的质疑。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2.5.3未参加投标活动的投标人或在投标活动中自身权益未受到损害的投标人所提出的质疑。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2.6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ind w:firstLine="560"/>
        <w:spacing w:line="460" w:lineRule="exact"/>
        <w:rPr>
          <w:rFonts w:ascii="宋体" w:hAnsi="宋体" w:cs="宋体"/>
          <w:b/>
          <w:color w:val="auto"/>
          <w:sz w:val="28"/>
          <w:szCs w:val="28"/>
          <w:highlight w:val="none"/>
        </w:rPr>
        <w:outlineLvl w:val="2"/>
      </w:pPr>
      <w:r/>
      <w:bookmarkStart w:id="135" w:name="_Toc15921"/>
      <w:r>
        <w:rPr>
          <w:rFonts w:hint="eastAsia" w:ascii="宋体" w:hAnsi="宋体" w:cs="宋体"/>
          <w:color w:val="auto"/>
          <w:sz w:val="28"/>
          <w:szCs w:val="28"/>
          <w:highlight w:val="none"/>
        </w:rPr>
        <w:t xml:space="preserve">3.中标通知书</w:t>
      </w:r>
      <w:bookmarkEnd w:id="135"/>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l中标结果确定后，采购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3.2中标通知书将是合同的一个组成部分。对采购人和中标人均具有法律效力。中标通知书发出后，采购人改变中标结果的，或者中标人放弃中标项目的，应当依法承担法律责任。</w:t>
      </w:r>
      <w:r/>
    </w:p>
    <w:p>
      <w:pPr>
        <w:ind w:firstLine="562"/>
        <w:spacing w:line="420" w:lineRule="exact"/>
        <w:rPr>
          <w:rFonts w:ascii="宋体" w:hAnsi="宋体" w:cs="宋体"/>
          <w:b/>
          <w:bCs/>
          <w:color w:val="auto"/>
          <w:sz w:val="28"/>
          <w:szCs w:val="28"/>
          <w:highlight w:val="none"/>
        </w:rPr>
      </w:pPr>
      <w:r/>
      <w:bookmarkStart w:id="136" w:name="_Toc513029236"/>
      <w:r/>
      <w:bookmarkStart w:id="137" w:name="_Toc120614220"/>
      <w:r/>
      <w:bookmarkStart w:id="138" w:name="_Toc16938552"/>
      <w:r/>
      <w:bookmarkStart w:id="139" w:name="_Toc20823308"/>
      <w:r>
        <w:rPr>
          <w:rFonts w:hint="eastAsia" w:ascii="宋体" w:hAnsi="宋体" w:cs="宋体"/>
          <w:b/>
          <w:bCs/>
          <w:color w:val="auto"/>
          <w:sz w:val="28"/>
          <w:szCs w:val="28"/>
          <w:highlight w:val="none"/>
        </w:rPr>
        <w:t xml:space="preserve">特别说明：中标人在下载中标通知书后须提供4套加盖红章的系统内打印的纸质响应文件给招标代理机构。</w:t>
      </w:r>
      <w:r/>
    </w:p>
    <w:p>
      <w:pPr>
        <w:pStyle w:val="736"/>
        <w:ind w:firstLine="562"/>
        <w:spacing w:before="0" w:after="0" w:line="420" w:lineRule="exact"/>
        <w:rPr>
          <w:rFonts w:ascii="宋体" w:hAnsi="宋体" w:eastAsia="宋体" w:cs="宋体"/>
          <w:color w:val="auto"/>
          <w:sz w:val="28"/>
          <w:szCs w:val="28"/>
          <w:highlight w:val="none"/>
        </w:rPr>
      </w:pPr>
      <w:r/>
      <w:bookmarkStart w:id="140" w:name="_Toc27718"/>
      <w:r>
        <w:rPr>
          <w:rFonts w:hint="eastAsia" w:ascii="宋体" w:hAnsi="宋体" w:eastAsia="宋体" w:cs="宋体"/>
          <w:color w:val="auto"/>
          <w:sz w:val="28"/>
          <w:szCs w:val="28"/>
          <w:highlight w:val="none"/>
        </w:rPr>
        <w:t xml:space="preserve">七、授予合同</w:t>
      </w:r>
      <w:bookmarkEnd w:id="136"/>
      <w:r/>
      <w:bookmarkEnd w:id="137"/>
      <w:r/>
      <w:bookmarkEnd w:id="138"/>
      <w:r/>
      <w:bookmarkEnd w:id="139"/>
      <w:r/>
      <w:bookmarkEnd w:id="140"/>
      <w:r/>
      <w:r/>
    </w:p>
    <w:p>
      <w:pPr>
        <w:ind w:firstLine="560"/>
        <w:keepNext/>
        <w:spacing w:line="420" w:lineRule="exact"/>
        <w:rPr>
          <w:rFonts w:ascii="宋体" w:hAnsi="宋体" w:cs="宋体"/>
          <w:b/>
          <w:color w:val="auto"/>
          <w:sz w:val="28"/>
          <w:szCs w:val="28"/>
          <w:highlight w:val="none"/>
        </w:rPr>
        <w:outlineLvl w:val="2"/>
      </w:pPr>
      <w:r/>
      <w:bookmarkStart w:id="141" w:name="_Toc26471"/>
      <w:r>
        <w:rPr>
          <w:rFonts w:hint="eastAsia" w:ascii="宋体" w:hAnsi="宋体" w:cs="宋体"/>
          <w:color w:val="auto"/>
          <w:sz w:val="28"/>
          <w:szCs w:val="28"/>
          <w:highlight w:val="none"/>
        </w:rPr>
        <w:t xml:space="preserve">1.签订合同</w:t>
      </w:r>
      <w:bookmarkEnd w:id="141"/>
      <w:r/>
      <w:r/>
    </w:p>
    <w:p>
      <w:pPr>
        <w:ind w:firstLine="560"/>
        <w:spacing w:line="42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w:t>
      </w:r>
      <w:r>
        <w:rPr>
          <w:rFonts w:hint="eastAsia" w:ascii="宋体" w:hAnsi="宋体" w:cs="宋体"/>
          <w:color w:val="auto"/>
          <w:sz w:val="28"/>
          <w:szCs w:val="28"/>
          <w:highlight w:val="none"/>
        </w:rPr>
        <w:t xml:space="preserve">.l中标人应当在中标通知书发出之日起三十日内，按照招标文件确定的事项与采购人签订政府采购合同。</w:t>
      </w:r>
      <w:r/>
    </w:p>
    <w:p>
      <w:pPr>
        <w:ind w:firstLine="422"/>
        <w:spacing w:line="4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签订合同时需做好提交各类声明函、承诺函、业绩证明、资质、职称证书等相应原件的核查准备；核查后发现虚假或违背承诺的，依照相关法律法规规定处理。</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1.2招标文件、中标人的响应文件及开标过程中有关澄清、承诺文件均应作为合同附件。</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投标人就分包项目承担责任。转包或分包造成采购人损失的，中标人应承担相应赔偿责任。</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如中标人为产品销售商，则在中标后、签订合同前，中标人须提供产品生产商有关资质文件及授权书核验。如果无法提供，则采购人拒签合同。采购人可以按照评标委员会提出的中标候选人名单排字依次确定其他中标候选人为中标人，也可以重新招标。</w:t>
      </w:r>
      <w:r/>
    </w:p>
    <w:p>
      <w:pPr>
        <w:ind w:firstLine="560"/>
        <w:keepNext/>
        <w:spacing w:line="420" w:lineRule="exact"/>
        <w:rPr>
          <w:rFonts w:ascii="宋体" w:hAnsi="宋体" w:cs="宋体"/>
          <w:b/>
          <w:color w:val="auto"/>
          <w:sz w:val="28"/>
          <w:szCs w:val="28"/>
          <w:highlight w:val="none"/>
        </w:rPr>
        <w:outlineLvl w:val="2"/>
      </w:pPr>
      <w:r/>
      <w:bookmarkStart w:id="142" w:name="_Toc18712"/>
      <w:r>
        <w:rPr>
          <w:rFonts w:hint="eastAsia" w:ascii="宋体" w:hAnsi="宋体" w:cs="宋体"/>
          <w:color w:val="auto"/>
          <w:sz w:val="28"/>
          <w:szCs w:val="28"/>
          <w:highlight w:val="none"/>
        </w:rPr>
        <w:t xml:space="preserve">2.货物和服务的追加、减少和添购。</w:t>
      </w:r>
      <w:bookmarkEnd w:id="142"/>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560"/>
        <w:spacing w:line="420" w:lineRule="exact"/>
        <w:rPr>
          <w:rFonts w:ascii="宋体" w:hAnsi="宋体" w:cs="宋体"/>
          <w:color w:val="auto"/>
          <w:sz w:val="28"/>
          <w:szCs w:val="28"/>
          <w:highlight w:val="none"/>
        </w:rPr>
        <w:outlineLvl w:val="2"/>
      </w:pPr>
      <w:r/>
      <w:bookmarkStart w:id="143" w:name="_Toc16700"/>
      <w:r>
        <w:rPr>
          <w:rFonts w:hint="eastAsia" w:ascii="宋体" w:hAnsi="宋体" w:cs="宋体"/>
          <w:color w:val="auto"/>
          <w:sz w:val="28"/>
          <w:szCs w:val="28"/>
          <w:highlight w:val="none"/>
        </w:rPr>
        <w:t xml:space="preserve">3.政府采购履约保证资金、合同信用融资扶持政策</w:t>
      </w:r>
      <w:bookmarkEnd w:id="143"/>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根据《关于深入开展南通市政府采购线上合同信用融资工作的通知》（通财购〔2022〕68号），对政府采购中标人提出“政采贷”融资申请的，采购人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江苏省政府采购网-政采贷专栏。</w:t>
      </w:r>
      <w:r/>
    </w:p>
    <w:p>
      <w:pPr>
        <w:ind w:firstLine="562"/>
        <w:keepLines/>
        <w:keepNext/>
        <w:spacing w:line="420" w:lineRule="exact"/>
        <w:rPr>
          <w:rFonts w:ascii="宋体" w:hAnsi="宋体" w:cs="宋体"/>
          <w:b/>
          <w:bCs/>
          <w:color w:val="auto"/>
          <w:sz w:val="28"/>
          <w:szCs w:val="28"/>
          <w:highlight w:val="none"/>
        </w:rPr>
        <w:outlineLvl w:val="1"/>
      </w:pPr>
      <w:r/>
      <w:bookmarkStart w:id="144" w:name="_Toc32218"/>
      <w:r>
        <w:rPr>
          <w:rFonts w:hint="eastAsia" w:ascii="宋体" w:hAnsi="宋体" w:cs="宋体"/>
          <w:b/>
          <w:bCs/>
          <w:color w:val="auto"/>
          <w:sz w:val="28"/>
          <w:szCs w:val="28"/>
          <w:highlight w:val="none"/>
        </w:rPr>
        <w:t xml:space="preserve">八、电子招标投标交易平台</w:t>
      </w:r>
      <w:bookmarkEnd w:id="144"/>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电子招标投标交易平台（即“苏采云”系统，网址：http://jszfcg.jsczt.cn/）相关要求是本招标文件的组成部分。</w:t>
      </w:r>
      <w:r/>
    </w:p>
    <w:p>
      <w:pPr>
        <w:jc w:val="center"/>
        <w:spacing w:line="460" w:lineRule="exact"/>
        <w:rPr>
          <w:rFonts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bookmarkStart w:id="145" w:name="_Toc21690"/>
      <w:r/>
      <w:bookmarkStart w:id="146" w:name="_Toc8914"/>
      <w:r>
        <w:rPr>
          <w:rFonts w:hint="eastAsia" w:ascii="宋体" w:hAnsi="宋体" w:cs="宋体"/>
          <w:bCs/>
          <w:color w:val="auto"/>
          <w:sz w:val="36"/>
          <w:szCs w:val="36"/>
          <w:highlight w:val="none"/>
        </w:rPr>
        <w:t xml:space="preserve">第三部分  项目需求</w:t>
      </w:r>
      <w:bookmarkEnd w:id="145"/>
      <w:r/>
      <w:bookmarkEnd w:id="146"/>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在制作投标文件时仔细研究项目需求说明。项目需求包括技术要求和商务要求:技术要求是指对采购标的功能和质量要求，或者服务内容和标准等;商务要求是指取得采购标的的时间、地点、财务和服务要求，包括交付（实施）的时间（期限）和地点（范围），付款条件（进度和方法），售后服务，保险等。</w:t>
      </w:r>
      <w:bookmarkEnd w:id="4"/>
      <w:r/>
      <w:bookmarkEnd w:id="5"/>
      <w:r/>
      <w:bookmarkEnd w:id="6"/>
      <w:r/>
      <w:r/>
    </w:p>
    <w:p>
      <w:pPr>
        <w:ind w:firstLine="562"/>
        <w:spacing w:line="460" w:lineRule="exact"/>
        <w:rPr>
          <w:rFonts w:ascii="宋体" w:hAnsi="宋体" w:cs="宋体"/>
          <w:b/>
          <w:bCs/>
          <w:color w:val="auto"/>
          <w:sz w:val="28"/>
          <w:szCs w:val="28"/>
          <w:highlight w:val="none"/>
        </w:rPr>
        <w:outlineLvl w:val="0"/>
      </w:pPr>
      <w:r>
        <w:rPr>
          <w:rFonts w:hint="eastAsia" w:ascii="宋体" w:hAnsi="宋体" w:cs="宋体"/>
          <w:b/>
          <w:bCs/>
          <w:color w:val="auto"/>
          <w:sz w:val="28"/>
          <w:szCs w:val="28"/>
          <w:highlight w:val="none"/>
        </w:rPr>
        <w:t xml:space="preserve">一、项目概况</w:t>
      </w:r>
      <w:r/>
    </w:p>
    <w:p>
      <w:pPr>
        <w:ind w:firstLine="560"/>
        <w:spacing w:line="460" w:lineRule="exact"/>
        <w:rPr>
          <w:rFonts w:ascii="宋体" w:hAnsi="宋体"/>
          <w:color w:val="auto"/>
          <w:sz w:val="28"/>
          <w:szCs w:val="28"/>
          <w:highlight w:val="none"/>
        </w:rPr>
      </w:pPr>
      <w:r>
        <w:rPr>
          <w:rFonts w:hint="eastAsia" w:ascii="宋体" w:hAnsi="宋体"/>
          <w:color w:val="auto"/>
          <w:sz w:val="28"/>
          <w:szCs w:val="28"/>
          <w:highlight w:val="none"/>
        </w:rPr>
        <w:t xml:space="preserve">学校正在新建三幢连体学生宿舍楼，约3</w:t>
      </w:r>
      <w:r>
        <w:rPr>
          <w:rFonts w:ascii="宋体" w:hAnsi="宋体"/>
          <w:color w:val="auto"/>
          <w:sz w:val="28"/>
          <w:szCs w:val="28"/>
          <w:highlight w:val="none"/>
        </w:rPr>
        <w:t xml:space="preserve">000名</w:t>
      </w:r>
      <w:r>
        <w:rPr>
          <w:rFonts w:hint="eastAsia" w:ascii="宋体" w:hAnsi="宋体"/>
          <w:color w:val="auto"/>
          <w:sz w:val="28"/>
          <w:szCs w:val="28"/>
          <w:highlight w:val="none"/>
        </w:rPr>
        <w:t xml:space="preserve">左右</w:t>
      </w:r>
      <w:r>
        <w:rPr>
          <w:rFonts w:ascii="宋体" w:hAnsi="宋体"/>
          <w:color w:val="auto"/>
          <w:sz w:val="28"/>
          <w:szCs w:val="28"/>
          <w:highlight w:val="none"/>
        </w:rPr>
        <w:t xml:space="preserve">学生</w:t>
      </w:r>
      <w:r>
        <w:rPr>
          <w:rFonts w:hint="eastAsia" w:ascii="宋体" w:hAnsi="宋体"/>
          <w:color w:val="auto"/>
          <w:sz w:val="28"/>
          <w:szCs w:val="28"/>
          <w:highlight w:val="none"/>
        </w:rPr>
        <w:t xml:space="preserve">入住</w:t>
      </w:r>
      <w:r>
        <w:rPr>
          <w:rFonts w:ascii="宋体" w:hAnsi="宋体"/>
          <w:color w:val="auto"/>
          <w:sz w:val="28"/>
          <w:szCs w:val="28"/>
          <w:highlight w:val="none"/>
        </w:rPr>
        <w:t xml:space="preserve">。</w:t>
      </w:r>
      <w:r>
        <w:rPr>
          <w:rFonts w:hint="eastAsia" w:ascii="宋体" w:hAnsi="宋体"/>
          <w:color w:val="auto"/>
          <w:sz w:val="28"/>
          <w:szCs w:val="28"/>
          <w:highlight w:val="none"/>
        </w:rPr>
        <w:t xml:space="preserve">其中，</w:t>
      </w:r>
      <w:r>
        <w:rPr>
          <w:rFonts w:ascii="宋体" w:hAnsi="宋体"/>
          <w:color w:val="auto"/>
          <w:sz w:val="28"/>
          <w:szCs w:val="28"/>
          <w:highlight w:val="none"/>
        </w:rPr>
        <w:t xml:space="preserve">5层</w:t>
      </w:r>
      <w:r>
        <w:rPr>
          <w:rFonts w:hint="eastAsia" w:ascii="宋体" w:hAnsi="宋体"/>
          <w:color w:val="auto"/>
          <w:sz w:val="28"/>
          <w:szCs w:val="28"/>
          <w:highlight w:val="none"/>
        </w:rPr>
        <w:t xml:space="preserve">宿舍</w:t>
      </w:r>
      <w:r>
        <w:rPr>
          <w:rFonts w:ascii="宋体" w:hAnsi="宋体"/>
          <w:color w:val="auto"/>
          <w:sz w:val="28"/>
          <w:szCs w:val="28"/>
          <w:highlight w:val="none"/>
        </w:rPr>
        <w:t xml:space="preserve">楼</w:t>
      </w:r>
      <w:r>
        <w:rPr>
          <w:rFonts w:hint="eastAsia" w:ascii="宋体" w:hAnsi="宋体"/>
          <w:color w:val="auto"/>
          <w:sz w:val="28"/>
          <w:szCs w:val="28"/>
          <w:highlight w:val="none"/>
        </w:rPr>
        <w:t xml:space="preserve">为</w:t>
      </w:r>
      <w:r>
        <w:rPr>
          <w:rFonts w:ascii="宋体" w:hAnsi="宋体"/>
          <w:color w:val="auto"/>
          <w:sz w:val="28"/>
          <w:szCs w:val="28"/>
          <w:highlight w:val="none"/>
        </w:rPr>
        <w:t xml:space="preserve">4人间约68间</w:t>
      </w:r>
      <w:r>
        <w:rPr>
          <w:rFonts w:hint="eastAsia" w:ascii="宋体" w:hAnsi="宋体"/>
          <w:color w:val="auto"/>
          <w:sz w:val="28"/>
          <w:szCs w:val="28"/>
          <w:highlight w:val="none"/>
        </w:rPr>
        <w:t xml:space="preserve">，</w:t>
      </w:r>
      <w:r>
        <w:rPr>
          <w:rFonts w:ascii="宋体" w:hAnsi="宋体"/>
          <w:color w:val="auto"/>
          <w:sz w:val="28"/>
          <w:szCs w:val="28"/>
          <w:highlight w:val="none"/>
        </w:rPr>
        <w:t xml:space="preserve">11层</w:t>
      </w:r>
      <w:r>
        <w:rPr>
          <w:rFonts w:hint="eastAsia" w:ascii="宋体" w:hAnsi="宋体"/>
          <w:color w:val="auto"/>
          <w:sz w:val="28"/>
          <w:szCs w:val="28"/>
          <w:highlight w:val="none"/>
        </w:rPr>
        <w:t xml:space="preserve">宿舍</w:t>
      </w:r>
      <w:r>
        <w:rPr>
          <w:rFonts w:ascii="宋体" w:hAnsi="宋体"/>
          <w:color w:val="auto"/>
          <w:sz w:val="28"/>
          <w:szCs w:val="28"/>
          <w:highlight w:val="none"/>
        </w:rPr>
        <w:t xml:space="preserve">楼</w:t>
      </w:r>
      <w:r>
        <w:rPr>
          <w:rFonts w:hint="eastAsia" w:ascii="宋体" w:hAnsi="宋体"/>
          <w:color w:val="auto"/>
          <w:sz w:val="28"/>
          <w:szCs w:val="28"/>
          <w:highlight w:val="none"/>
        </w:rPr>
        <w:t xml:space="preserve">为</w:t>
      </w:r>
      <w:r>
        <w:rPr>
          <w:rFonts w:ascii="宋体" w:hAnsi="宋体"/>
          <w:color w:val="auto"/>
          <w:sz w:val="28"/>
          <w:szCs w:val="28"/>
          <w:highlight w:val="none"/>
        </w:rPr>
        <w:t xml:space="preserve">6人间约160间</w:t>
      </w:r>
      <w:r>
        <w:rPr>
          <w:rFonts w:hint="eastAsia" w:ascii="宋体" w:hAnsi="宋体"/>
          <w:color w:val="auto"/>
          <w:sz w:val="28"/>
          <w:szCs w:val="28"/>
          <w:highlight w:val="none"/>
        </w:rPr>
        <w:t xml:space="preserve">，</w:t>
      </w:r>
      <w:r>
        <w:rPr>
          <w:rFonts w:ascii="宋体" w:hAnsi="宋体"/>
          <w:color w:val="auto"/>
          <w:sz w:val="28"/>
          <w:szCs w:val="28"/>
          <w:highlight w:val="none"/>
        </w:rPr>
        <w:t xml:space="preserve">17层</w:t>
      </w:r>
      <w:r>
        <w:rPr>
          <w:rFonts w:hint="eastAsia" w:ascii="宋体" w:hAnsi="宋体"/>
          <w:color w:val="auto"/>
          <w:sz w:val="28"/>
          <w:szCs w:val="28"/>
          <w:highlight w:val="none"/>
        </w:rPr>
        <w:t xml:space="preserve">宿舍</w:t>
      </w:r>
      <w:r>
        <w:rPr>
          <w:rFonts w:ascii="宋体" w:hAnsi="宋体"/>
          <w:color w:val="auto"/>
          <w:sz w:val="28"/>
          <w:szCs w:val="28"/>
          <w:highlight w:val="none"/>
        </w:rPr>
        <w:t xml:space="preserve">楼</w:t>
      </w:r>
      <w:r>
        <w:rPr>
          <w:rFonts w:hint="eastAsia" w:ascii="宋体" w:hAnsi="宋体"/>
          <w:color w:val="auto"/>
          <w:sz w:val="28"/>
          <w:szCs w:val="28"/>
          <w:highlight w:val="none"/>
        </w:rPr>
        <w:t xml:space="preserve">为</w:t>
      </w:r>
      <w:r>
        <w:rPr>
          <w:rFonts w:ascii="宋体" w:hAnsi="宋体"/>
          <w:color w:val="auto"/>
          <w:sz w:val="28"/>
          <w:szCs w:val="28"/>
          <w:highlight w:val="none"/>
        </w:rPr>
        <w:t xml:space="preserve">6人间约297间</w:t>
      </w:r>
      <w:r>
        <w:rPr>
          <w:rFonts w:hint="eastAsia" w:ascii="宋体" w:hAnsi="宋体"/>
          <w:color w:val="auto"/>
          <w:sz w:val="28"/>
          <w:szCs w:val="28"/>
          <w:highlight w:val="none"/>
        </w:rPr>
        <w:t xml:space="preserve">。合计约需要床位数</w:t>
      </w:r>
      <w:r>
        <w:rPr>
          <w:rFonts w:ascii="宋体" w:hAnsi="宋体"/>
          <w:color w:val="auto"/>
          <w:sz w:val="28"/>
          <w:szCs w:val="28"/>
          <w:highlight w:val="none"/>
        </w:rPr>
        <w:t xml:space="preserve">3014</w:t>
      </w:r>
      <w:r>
        <w:rPr>
          <w:rFonts w:hint="eastAsia" w:ascii="宋体" w:hAnsi="宋体"/>
          <w:color w:val="auto"/>
          <w:sz w:val="28"/>
          <w:szCs w:val="28"/>
          <w:highlight w:val="none"/>
        </w:rPr>
        <w:t xml:space="preserve">张，最终以实际安装为准。</w:t>
      </w:r>
      <w:r/>
    </w:p>
    <w:p>
      <w:pPr>
        <w:ind w:firstLine="560"/>
        <w:spacing w:line="460" w:lineRule="exact"/>
        <w:tabs>
          <w:tab w:val="left" w:pos="1230" w:leader="none"/>
        </w:tabs>
        <w:rPr>
          <w:rFonts w:ascii="宋体" w:hAnsi="宋体"/>
          <w:color w:val="auto"/>
          <w:sz w:val="28"/>
          <w:szCs w:val="28"/>
          <w:highlight w:val="none"/>
        </w:rPr>
      </w:pPr>
      <w:r>
        <w:rPr>
          <w:rFonts w:hint="eastAsia" w:ascii="宋体" w:hAnsi="宋体"/>
          <w:color w:val="auto"/>
          <w:sz w:val="28"/>
          <w:szCs w:val="28"/>
          <w:highlight w:val="none"/>
        </w:rPr>
        <w:t xml:space="preserve">本次采购为学生宿舍楼配套公寓床项目采购，拟每间学生宿舍配备上床下桌连体公寓床4张或6张，按两联体或三联体公寓床布置在宿舍两侧。本项目建设包括联体公寓床及配套设备供货、安装调试、售后质保和维保等内容。</w:t>
      </w:r>
      <w:r/>
    </w:p>
    <w:p>
      <w:pPr>
        <w:ind w:firstLine="562"/>
        <w:spacing w:line="460" w:lineRule="exact"/>
        <w:rPr>
          <w:rFonts w:ascii="宋体" w:hAnsi="宋体" w:cs="宋体"/>
          <w:b/>
          <w:bCs/>
          <w:color w:val="auto"/>
          <w:sz w:val="28"/>
          <w:szCs w:val="28"/>
          <w:highlight w:val="none"/>
        </w:rPr>
        <w:outlineLvl w:val="0"/>
      </w:pPr>
      <w:r>
        <w:rPr>
          <w:rFonts w:hint="eastAsia" w:ascii="宋体" w:hAnsi="宋体" w:cs="宋体"/>
          <w:b/>
          <w:bCs/>
          <w:color w:val="auto"/>
          <w:sz w:val="28"/>
          <w:szCs w:val="28"/>
          <w:highlight w:val="none"/>
        </w:rPr>
        <w:t xml:space="preserve">二、项目属性：货物类项目。</w:t>
      </w:r>
      <w:r/>
    </w:p>
    <w:p>
      <w:pPr>
        <w:ind w:firstLine="562"/>
        <w:spacing w:line="460" w:lineRule="exact"/>
        <w:rPr>
          <w:rFonts w:ascii="宋体" w:hAnsi="宋体" w:cs="宋体"/>
          <w:b/>
          <w:bCs/>
          <w:color w:val="auto"/>
          <w:sz w:val="28"/>
          <w:szCs w:val="28"/>
          <w:highlight w:val="none"/>
        </w:rPr>
        <w:outlineLvl w:val="0"/>
      </w:pPr>
      <w:r>
        <w:rPr>
          <w:rFonts w:hint="eastAsia" w:ascii="宋体" w:hAnsi="宋体" w:cs="宋体"/>
          <w:b/>
          <w:bCs/>
          <w:color w:val="auto"/>
          <w:sz w:val="28"/>
          <w:szCs w:val="28"/>
          <w:highlight w:val="none"/>
        </w:rPr>
        <w:t xml:space="preserve">三、采购清单</w:t>
      </w:r>
      <w:r/>
    </w:p>
    <w:p>
      <w:pPr>
        <w:pStyle w:val="967"/>
        <w:ind w:firstLine="562"/>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（一）采购数量</w:t>
      </w:r>
      <w:r/>
    </w:p>
    <w:tbl>
      <w:tblPr>
        <w:tblStyle w:val="745"/>
        <w:tblW w:w="5025"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auto"/>
        <w:tblLayout w:type="fixed"/>
        <w:tblCellMar>
          <w:left w:w="10" w:type="dxa"/>
          <w:top w:w="0" w:type="dxa"/>
          <w:right w:w="10" w:type="dxa"/>
          <w:bottom w:w="0" w:type="dxa"/>
        </w:tblCellMar>
        <w:tblLook w:val="04A0" w:firstRow="1" w:lastRow="0" w:firstColumn="1" w:lastColumn="0" w:noHBand="0" w:noVBand="1"/>
      </w:tblPr>
      <w:tblGrid>
        <w:gridCol w:w="776"/>
        <w:gridCol w:w="1791"/>
        <w:gridCol w:w="1555"/>
        <w:gridCol w:w="1070"/>
        <w:gridCol w:w="960"/>
        <w:gridCol w:w="945"/>
        <w:gridCol w:w="1292"/>
      </w:tblGrid>
      <w:tr>
        <w:trPr>
          <w:jc w:val="center"/>
          <w:trHeight w:val="1266"/>
        </w:trPr>
        <w:tc>
          <w:tcPr>
            <w:shd w:val="clear" w:color="auto" w:fill="auto"/>
            <w:tcMar>
              <w:left w:w="20" w:type="dxa"/>
              <w:top w:w="20" w:type="dxa"/>
              <w:right w:w="20" w:type="dxa"/>
              <w:bottom w:w="20" w:type="dxa"/>
            </w:tcMar>
            <w:tcW w:w="462" w:type="pct"/>
            <w:vAlign w:val="center"/>
            <w:textDirection w:val="lrTb"/>
            <w:noWrap w:val="false"/>
          </w:tcPr>
          <w:p>
            <w:pPr>
              <w:jc w:val="center"/>
              <w:spacing w:line="460" w:lineRule="exact"/>
              <w:rPr>
                <w:rFonts w:ascii="宋体" w:hAnsi="宋体" w:cs="宋体"/>
                <w:color w:val="auto"/>
                <w:sz w:val="28"/>
                <w:szCs w:val="28"/>
                <w:highlight w:val="none"/>
              </w:rPr>
            </w:pPr>
            <w:r>
              <w:rPr>
                <w:rFonts w:hint="eastAsia" w:ascii="宋体" w:hAnsi="宋体" w:cs="宋体"/>
                <w:b/>
                <w:color w:val="auto"/>
                <w:sz w:val="28"/>
                <w:szCs w:val="28"/>
                <w:highlight w:val="none"/>
              </w:rPr>
              <w:t xml:space="preserve">序号</w:t>
            </w:r>
            <w:r/>
          </w:p>
        </w:tc>
        <w:tc>
          <w:tcPr>
            <w:shd w:val="clear" w:color="auto" w:fill="auto"/>
            <w:tcMar>
              <w:left w:w="20" w:type="dxa"/>
              <w:top w:w="20" w:type="dxa"/>
              <w:right w:w="20" w:type="dxa"/>
              <w:bottom w:w="20" w:type="dxa"/>
            </w:tcMar>
            <w:tcW w:w="1067" w:type="pct"/>
            <w:vAlign w:val="center"/>
            <w:textDirection w:val="lrTb"/>
            <w:noWrap w:val="false"/>
          </w:tcPr>
          <w:p>
            <w:pPr>
              <w:jc w:val="center"/>
              <w:spacing w:line="460" w:lineRule="exact"/>
              <w:rPr>
                <w:rFonts w:ascii="宋体" w:hAnsi="宋体" w:cs="宋体"/>
                <w:color w:val="auto"/>
                <w:sz w:val="28"/>
                <w:szCs w:val="28"/>
                <w:highlight w:val="none"/>
              </w:rPr>
            </w:pPr>
            <w:r>
              <w:rPr>
                <w:rFonts w:hint="eastAsia" w:ascii="宋体" w:hAnsi="宋体" w:cs="宋体"/>
                <w:b/>
                <w:color w:val="auto"/>
                <w:sz w:val="28"/>
                <w:szCs w:val="28"/>
                <w:highlight w:val="none"/>
              </w:rPr>
              <w:t xml:space="preserve">采购标的</w:t>
            </w:r>
            <w:r/>
          </w:p>
        </w:tc>
        <w:tc>
          <w:tcPr>
            <w:shd w:val="clear" w:color="auto" w:fill="auto"/>
            <w:tcMar>
              <w:left w:w="20" w:type="dxa"/>
              <w:top w:w="20" w:type="dxa"/>
              <w:right w:w="20" w:type="dxa"/>
              <w:bottom w:w="20" w:type="dxa"/>
            </w:tcMar>
            <w:tcW w:w="926" w:type="pct"/>
            <w:vAlign w:val="center"/>
            <w:textDirection w:val="lrTb"/>
            <w:noWrap w:val="false"/>
          </w:tcPr>
          <w:p>
            <w:pPr>
              <w:jc w:val="center"/>
              <w:spacing w:line="460" w:lineRule="exact"/>
              <w:rPr>
                <w:rFonts w:ascii="宋体" w:hAnsi="宋体" w:cs="宋体"/>
                <w:color w:val="auto"/>
                <w:sz w:val="28"/>
                <w:szCs w:val="28"/>
                <w:highlight w:val="none"/>
              </w:rPr>
            </w:pPr>
            <w:r>
              <w:rPr>
                <w:rFonts w:hint="eastAsia" w:ascii="宋体" w:hAnsi="宋体" w:cs="宋体"/>
                <w:b/>
                <w:color w:val="auto"/>
                <w:sz w:val="28"/>
                <w:szCs w:val="28"/>
                <w:highlight w:val="none"/>
              </w:rPr>
              <w:t xml:space="preserve">对应中小企业划分标准所属行业</w:t>
            </w:r>
            <w:r/>
          </w:p>
        </w:tc>
        <w:tc>
          <w:tcPr>
            <w:shd w:val="clear" w:color="auto" w:fill="auto"/>
            <w:tcBorders>
              <w:left w:val="single" w:color="auto" w:sz="4" w:space="0"/>
            </w:tcBorders>
            <w:tcMar>
              <w:left w:w="20" w:type="dxa"/>
              <w:top w:w="20" w:type="dxa"/>
              <w:right w:w="20" w:type="dxa"/>
              <w:bottom w:w="20" w:type="dxa"/>
            </w:tcMar>
            <w:tcW w:w="638" w:type="pct"/>
            <w:vAlign w:val="center"/>
            <w:textDirection w:val="lrTb"/>
            <w:noWrap w:val="false"/>
          </w:tcPr>
          <w:p>
            <w:pPr>
              <w:jc w:val="center"/>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数量</w:t>
            </w:r>
            <w:r/>
          </w:p>
        </w:tc>
        <w:tc>
          <w:tcPr>
            <w:shd w:val="clear" w:color="auto" w:fill="auto"/>
            <w:tcMar>
              <w:left w:w="20" w:type="dxa"/>
              <w:top w:w="20" w:type="dxa"/>
              <w:right w:w="20" w:type="dxa"/>
              <w:bottom w:w="20" w:type="dxa"/>
            </w:tcMar>
            <w:tcW w:w="572" w:type="pct"/>
            <w:vAlign w:val="center"/>
            <w:textDirection w:val="lrTb"/>
            <w:noWrap w:val="false"/>
          </w:tcPr>
          <w:p>
            <w:pPr>
              <w:jc w:val="center"/>
              <w:spacing w:line="460" w:lineRule="exact"/>
              <w:rPr>
                <w:rFonts w:ascii="宋体" w:hAnsi="宋体" w:cs="宋体"/>
                <w:color w:val="auto"/>
                <w:sz w:val="28"/>
                <w:szCs w:val="28"/>
                <w:highlight w:val="none"/>
              </w:rPr>
            </w:pPr>
            <w:r>
              <w:rPr>
                <w:rFonts w:hint="eastAsia" w:ascii="宋体" w:hAnsi="宋体" w:cs="宋体"/>
                <w:b/>
                <w:color w:val="auto"/>
                <w:sz w:val="28"/>
                <w:szCs w:val="28"/>
                <w:highlight w:val="none"/>
              </w:rPr>
              <w:t xml:space="preserve">是否主要标的</w:t>
            </w:r>
            <w:r/>
          </w:p>
        </w:tc>
        <w:tc>
          <w:tcPr>
            <w:shd w:val="clear" w:color="auto" w:fill="auto"/>
            <w:tcMar>
              <w:left w:w="20" w:type="dxa"/>
              <w:top w:w="20" w:type="dxa"/>
              <w:right w:w="20" w:type="dxa"/>
              <w:bottom w:w="20" w:type="dxa"/>
            </w:tcMar>
            <w:tcW w:w="563" w:type="pct"/>
            <w:vAlign w:val="center"/>
            <w:textDirection w:val="lrTb"/>
            <w:noWrap w:val="false"/>
          </w:tcPr>
          <w:p>
            <w:pPr>
              <w:jc w:val="center"/>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是否核心产品</w:t>
            </w:r>
            <w:r/>
          </w:p>
        </w:tc>
        <w:tc>
          <w:tcPr>
            <w:shd w:val="clear" w:color="auto" w:fill="auto"/>
            <w:tcMar>
              <w:left w:w="20" w:type="dxa"/>
              <w:top w:w="20" w:type="dxa"/>
              <w:right w:w="20" w:type="dxa"/>
              <w:bottom w:w="20" w:type="dxa"/>
            </w:tcMar>
            <w:tcW w:w="770" w:type="pct"/>
            <w:vAlign w:val="center"/>
            <w:textDirection w:val="lrTb"/>
            <w:noWrap w:val="false"/>
          </w:tcPr>
          <w:p>
            <w:pPr>
              <w:jc w:val="center"/>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是否强制节能</w:t>
            </w:r>
            <w:r/>
          </w:p>
        </w:tc>
      </w:tr>
      <w:tr>
        <w:trPr>
          <w:jc w:val="center"/>
          <w:trHeight w:val="692"/>
        </w:trPr>
        <w:tc>
          <w:tcPr>
            <w:shd w:val="clear" w:color="auto" w:fill="auto"/>
            <w:tcMar>
              <w:left w:w="20" w:type="dxa"/>
              <w:top w:w="20" w:type="dxa"/>
              <w:right w:w="20" w:type="dxa"/>
              <w:bottom w:w="20" w:type="dxa"/>
            </w:tcMar>
            <w:tcW w:w="462" w:type="pct"/>
            <w:vAlign w:val="center"/>
            <w:textDirection w:val="lrTb"/>
            <w:noWrap w:val="false"/>
          </w:tcPr>
          <w:p>
            <w:pPr>
              <w:jc w:val="center"/>
              <w:tabs>
                <w:tab w:val="left" w:pos="1230" w:leader="none"/>
              </w:tabs>
              <w:rPr>
                <w:rFonts w:ascii="宋体" w:hAnsi="宋体" w:cs="宋体"/>
                <w:color w:val="auto"/>
                <w:sz w:val="28"/>
                <w:szCs w:val="28"/>
                <w:highlight w:val="none"/>
              </w:rPr>
            </w:pPr>
            <w:r>
              <w:rPr>
                <w:rFonts w:hint="eastAsia" w:ascii="宋体" w:hAnsi="宋体"/>
                <w:color w:val="auto"/>
                <w:sz w:val="28"/>
                <w:szCs w:val="28"/>
                <w:highlight w:val="none"/>
              </w:rPr>
              <w:t xml:space="preserve">1</w:t>
            </w:r>
            <w:r/>
          </w:p>
        </w:tc>
        <w:tc>
          <w:tcPr>
            <w:shd w:val="clear" w:color="auto" w:fill="auto"/>
            <w:tcMar>
              <w:left w:w="20" w:type="dxa"/>
              <w:top w:w="20" w:type="dxa"/>
              <w:right w:w="20" w:type="dxa"/>
              <w:bottom w:w="20" w:type="dxa"/>
            </w:tcMar>
            <w:tcW w:w="1067" w:type="pct"/>
            <w:vAlign w:val="center"/>
            <w:textDirection w:val="lrTb"/>
            <w:noWrap w:val="false"/>
          </w:tcPr>
          <w:p>
            <w:pPr>
              <w:jc w:val="center"/>
              <w:tabs>
                <w:tab w:val="left" w:pos="1230" w:leader="none"/>
              </w:tabs>
              <w:rPr>
                <w:rFonts w:ascii="宋体" w:hAnsi="宋体" w:cs="宋体"/>
                <w:color w:val="auto"/>
                <w:sz w:val="28"/>
                <w:szCs w:val="28"/>
                <w:highlight w:val="none"/>
              </w:rPr>
            </w:pPr>
            <w:r>
              <w:rPr>
                <w:rFonts w:hint="eastAsia" w:ascii="宋体" w:hAnsi="宋体"/>
                <w:color w:val="auto"/>
                <w:sz w:val="28"/>
                <w:szCs w:val="28"/>
                <w:highlight w:val="none"/>
              </w:rPr>
              <w:t xml:space="preserve">两联体上床下桌公寓床（含床架、组合桌柜、爬梯、蚊帐架）</w:t>
            </w:r>
            <w:r/>
          </w:p>
        </w:tc>
        <w:tc>
          <w:tcPr>
            <w:shd w:val="clear" w:color="auto" w:fill="auto"/>
            <w:tcMar>
              <w:left w:w="20" w:type="dxa"/>
              <w:top w:w="20" w:type="dxa"/>
              <w:right w:w="20" w:type="dxa"/>
              <w:bottom w:w="20" w:type="dxa"/>
            </w:tcMar>
            <w:tcW w:w="926" w:type="pct"/>
            <w:vAlign w:val="center"/>
            <w:textDirection w:val="lrTb"/>
            <w:noWrap w:val="false"/>
          </w:tcPr>
          <w:p>
            <w:pPr>
              <w:jc w:val="center"/>
              <w:spacing w:line="3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工业</w:t>
            </w:r>
            <w:r/>
          </w:p>
        </w:tc>
        <w:tc>
          <w:tcPr>
            <w:shd w:val="clear" w:color="auto" w:fill="auto"/>
            <w:tcBorders>
              <w:left w:val="single" w:color="auto" w:sz="4" w:space="0"/>
            </w:tcBorders>
            <w:tcMar>
              <w:left w:w="20" w:type="dxa"/>
              <w:top w:w="20" w:type="dxa"/>
              <w:right w:w="20" w:type="dxa"/>
              <w:bottom w:w="20" w:type="dxa"/>
            </w:tcMar>
            <w:tcW w:w="638" w:type="pct"/>
            <w:vAlign w:val="center"/>
            <w:textDirection w:val="lrTb"/>
            <w:noWrap w:val="false"/>
          </w:tcPr>
          <w:p>
            <w:pPr>
              <w:jc w:val="center"/>
              <w:tabs>
                <w:tab w:val="left" w:pos="1230" w:leader="none"/>
              </w:tabs>
              <w:rPr>
                <w:rFonts w:ascii="宋体" w:hAnsi="宋体" w:cs="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套/间*6</w:t>
            </w:r>
            <w:r>
              <w:rPr>
                <w:rFonts w:ascii="宋体" w:hAnsi="宋体"/>
                <w:color w:val="auto"/>
                <w:sz w:val="28"/>
                <w:szCs w:val="28"/>
                <w:highlight w:val="none"/>
              </w:rPr>
              <w:t xml:space="preserve">8</w:t>
            </w:r>
            <w:r>
              <w:rPr>
                <w:rFonts w:hint="eastAsia" w:ascii="宋体" w:hAnsi="宋体"/>
                <w:color w:val="auto"/>
                <w:sz w:val="28"/>
                <w:szCs w:val="28"/>
                <w:highlight w:val="none"/>
              </w:rPr>
              <w:t xml:space="preserve">间=</w:t>
            </w:r>
            <w:r>
              <w:rPr>
                <w:rFonts w:ascii="宋体" w:hAnsi="宋体"/>
                <w:color w:val="auto"/>
                <w:sz w:val="28"/>
                <w:szCs w:val="28"/>
                <w:highlight w:val="none"/>
              </w:rPr>
              <w:t xml:space="preserve">136</w:t>
            </w:r>
            <w:r>
              <w:rPr>
                <w:rFonts w:hint="eastAsia" w:ascii="宋体" w:hAnsi="宋体"/>
                <w:color w:val="auto"/>
                <w:sz w:val="28"/>
                <w:szCs w:val="28"/>
                <w:highlight w:val="none"/>
              </w:rPr>
              <w:t xml:space="preserve">套</w:t>
            </w:r>
            <w:r/>
          </w:p>
        </w:tc>
        <w:tc>
          <w:tcPr>
            <w:shd w:val="clear" w:color="auto" w:fill="auto"/>
            <w:tcBorders>
              <w:bottom w:val="single" w:color="auto" w:sz="8" w:space="0"/>
            </w:tcBorders>
            <w:tcMar>
              <w:left w:w="20" w:type="dxa"/>
              <w:top w:w="20" w:type="dxa"/>
              <w:right w:w="20" w:type="dxa"/>
              <w:bottom w:w="20" w:type="dxa"/>
            </w:tcMar>
            <w:tcW w:w="572" w:type="pct"/>
            <w:vAlign w:val="center"/>
            <w:textDirection w:val="lrTb"/>
            <w:noWrap w:val="false"/>
          </w:tcPr>
          <w:p>
            <w:pPr>
              <w:jc w:val="cente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否</w:t>
            </w:r>
            <w:r/>
          </w:p>
        </w:tc>
        <w:tc>
          <w:tcPr>
            <w:shd w:val="clear" w:color="auto" w:fill="auto"/>
            <w:tcBorders>
              <w:bottom w:val="single" w:color="auto" w:sz="8" w:space="0"/>
            </w:tcBorders>
            <w:tcMar>
              <w:left w:w="20" w:type="dxa"/>
              <w:top w:w="20" w:type="dxa"/>
              <w:right w:w="20" w:type="dxa"/>
              <w:bottom w:w="20" w:type="dxa"/>
            </w:tcMar>
            <w:tcW w:w="563" w:type="pct"/>
            <w:vAlign w:val="center"/>
            <w:textDirection w:val="lrTb"/>
            <w:noWrap w:val="false"/>
          </w:tcPr>
          <w:p>
            <w:pPr>
              <w:jc w:val="cente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否</w:t>
            </w:r>
            <w:r/>
          </w:p>
        </w:tc>
        <w:tc>
          <w:tcPr>
            <w:shd w:val="clear" w:color="auto" w:fill="auto"/>
            <w:tcMar>
              <w:left w:w="20" w:type="dxa"/>
              <w:top w:w="20" w:type="dxa"/>
              <w:right w:w="20" w:type="dxa"/>
              <w:bottom w:w="20" w:type="dxa"/>
            </w:tcMar>
            <w:tcW w:w="770" w:type="pct"/>
            <w:vAlign w:val="center"/>
            <w:textDirection w:val="lrTb"/>
            <w:noWrap w:val="false"/>
          </w:tcPr>
          <w:p>
            <w:pPr>
              <w:jc w:val="center"/>
              <w:spacing w:line="460" w:lineRule="exact"/>
              <w:rPr>
                <w:rFonts w:ascii="宋体" w:hAnsi="宋体" w:cs="宋体"/>
                <w:b/>
                <w:color w:val="auto"/>
                <w:sz w:val="28"/>
                <w:szCs w:val="28"/>
                <w:highlight w:val="none"/>
              </w:rPr>
            </w:pPr>
            <w:r>
              <w:rPr>
                <w:rFonts w:hint="eastAsia" w:ascii="宋体" w:hAnsi="宋体" w:cs="宋体"/>
                <w:bCs/>
                <w:color w:val="auto"/>
                <w:sz w:val="28"/>
                <w:szCs w:val="28"/>
                <w:highlight w:val="none"/>
              </w:rPr>
              <w:t xml:space="preserve">否</w:t>
            </w:r>
            <w:r/>
          </w:p>
        </w:tc>
      </w:tr>
      <w:tr>
        <w:trPr>
          <w:jc w:val="center"/>
          <w:trHeight w:val="710"/>
        </w:trPr>
        <w:tc>
          <w:tcPr>
            <w:shd w:val="clear" w:color="auto" w:fill="auto"/>
            <w:tcMar>
              <w:left w:w="20" w:type="dxa"/>
              <w:top w:w="20" w:type="dxa"/>
              <w:right w:w="20" w:type="dxa"/>
              <w:bottom w:w="20" w:type="dxa"/>
            </w:tcMar>
            <w:tcW w:w="462" w:type="pct"/>
            <w:vAlign w:val="center"/>
            <w:textDirection w:val="lrTb"/>
            <w:noWrap w:val="false"/>
          </w:tcPr>
          <w:p>
            <w:pPr>
              <w:jc w:val="center"/>
              <w:tabs>
                <w:tab w:val="left" w:pos="1230" w:leader="none"/>
              </w:tabs>
              <w:rPr>
                <w:rFonts w:ascii="宋体" w:hAnsi="宋体" w:cs="宋体"/>
                <w:color w:val="auto"/>
                <w:sz w:val="28"/>
                <w:szCs w:val="28"/>
                <w:highlight w:val="none"/>
              </w:rPr>
            </w:pPr>
            <w:r>
              <w:rPr>
                <w:rFonts w:hint="eastAsia" w:ascii="宋体" w:hAnsi="宋体"/>
                <w:color w:val="auto"/>
                <w:sz w:val="28"/>
                <w:szCs w:val="28"/>
                <w:highlight w:val="none"/>
              </w:rPr>
              <w:t xml:space="preserve">2</w:t>
            </w:r>
            <w:r/>
          </w:p>
        </w:tc>
        <w:tc>
          <w:tcPr>
            <w:shd w:val="clear" w:color="auto" w:fill="auto"/>
            <w:tcMar>
              <w:left w:w="20" w:type="dxa"/>
              <w:top w:w="20" w:type="dxa"/>
              <w:right w:w="20" w:type="dxa"/>
              <w:bottom w:w="20" w:type="dxa"/>
            </w:tcMar>
            <w:tcW w:w="1067" w:type="pct"/>
            <w:vAlign w:val="center"/>
            <w:textDirection w:val="lrTb"/>
            <w:noWrap w:val="false"/>
          </w:tcPr>
          <w:p>
            <w:pPr>
              <w:jc w:val="center"/>
              <w:tabs>
                <w:tab w:val="left" w:pos="1230" w:leader="none"/>
              </w:tabs>
              <w:rPr>
                <w:rFonts w:ascii="宋体" w:hAnsi="宋体" w:cs="宋体"/>
                <w:color w:val="auto"/>
                <w:sz w:val="28"/>
                <w:szCs w:val="28"/>
                <w:highlight w:val="none"/>
              </w:rPr>
            </w:pPr>
            <w:r>
              <w:rPr>
                <w:rFonts w:hint="eastAsia" w:ascii="宋体" w:hAnsi="宋体"/>
                <w:color w:val="auto"/>
                <w:sz w:val="28"/>
                <w:szCs w:val="28"/>
                <w:highlight w:val="none"/>
              </w:rPr>
              <w:t xml:space="preserve">三联体上床下桌公寓床（含床架、组合桌柜、爬梯、蚊帐架）</w:t>
            </w:r>
            <w:r/>
          </w:p>
        </w:tc>
        <w:tc>
          <w:tcPr>
            <w:shd w:val="clear" w:color="auto" w:fill="auto"/>
            <w:tcMar>
              <w:left w:w="20" w:type="dxa"/>
              <w:top w:w="20" w:type="dxa"/>
              <w:right w:w="20" w:type="dxa"/>
              <w:bottom w:w="20" w:type="dxa"/>
            </w:tcMar>
            <w:tcW w:w="926" w:type="pct"/>
            <w:vAlign w:val="center"/>
            <w:textDirection w:val="lrTb"/>
            <w:noWrap w:val="false"/>
          </w:tcPr>
          <w:p>
            <w:pPr>
              <w:jc w:val="center"/>
              <w:spacing w:line="3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工业</w:t>
            </w:r>
            <w:r/>
          </w:p>
        </w:tc>
        <w:tc>
          <w:tcPr>
            <w:shd w:val="clear" w:color="auto" w:fill="auto"/>
            <w:tcBorders>
              <w:left w:val="single" w:color="auto" w:sz="4" w:space="0"/>
            </w:tcBorders>
            <w:tcMar>
              <w:left w:w="20" w:type="dxa"/>
              <w:top w:w="20" w:type="dxa"/>
              <w:right w:w="20" w:type="dxa"/>
              <w:bottom w:w="20" w:type="dxa"/>
            </w:tcMar>
            <w:tcW w:w="638" w:type="pct"/>
            <w:vAlign w:val="center"/>
            <w:textDirection w:val="lrTb"/>
            <w:noWrap w:val="false"/>
          </w:tcPr>
          <w:p>
            <w:pPr>
              <w:jc w:val="center"/>
              <w:tabs>
                <w:tab w:val="left" w:pos="1230" w:leader="none"/>
              </w:tabs>
              <w:rPr>
                <w:rFonts w:ascii="宋体" w:hAnsi="宋体" w:cs="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套/间</w:t>
            </w:r>
            <w:r>
              <w:rPr>
                <w:rFonts w:ascii="宋体" w:hAnsi="宋体"/>
                <w:color w:val="auto"/>
                <w:sz w:val="28"/>
                <w:szCs w:val="28"/>
                <w:highlight w:val="none"/>
              </w:rPr>
              <w:t xml:space="preserve">*</w:t>
            </w:r>
            <w:r>
              <w:rPr>
                <w:rFonts w:hint="eastAsia" w:ascii="宋体" w:hAnsi="宋体"/>
                <w:color w:val="auto"/>
                <w:sz w:val="28"/>
                <w:szCs w:val="28"/>
                <w:highlight w:val="none"/>
              </w:rPr>
              <w:t xml:space="preserve">4</w:t>
            </w:r>
            <w:r>
              <w:rPr>
                <w:rFonts w:ascii="宋体" w:hAnsi="宋体"/>
                <w:color w:val="auto"/>
                <w:sz w:val="28"/>
                <w:szCs w:val="28"/>
                <w:highlight w:val="none"/>
              </w:rPr>
              <w:t xml:space="preserve">57</w:t>
            </w:r>
            <w:r>
              <w:rPr>
                <w:rFonts w:hint="eastAsia" w:ascii="宋体" w:hAnsi="宋体"/>
                <w:color w:val="auto"/>
                <w:sz w:val="28"/>
                <w:szCs w:val="28"/>
                <w:highlight w:val="none"/>
              </w:rPr>
              <w:t xml:space="preserve">间</w:t>
            </w:r>
            <w:r>
              <w:rPr>
                <w:rFonts w:ascii="宋体" w:hAnsi="宋体"/>
                <w:color w:val="auto"/>
                <w:sz w:val="28"/>
                <w:szCs w:val="28"/>
                <w:highlight w:val="none"/>
              </w:rPr>
              <w:t xml:space="preserve">=914</w:t>
            </w:r>
            <w:r>
              <w:rPr>
                <w:rFonts w:hint="eastAsia" w:ascii="宋体" w:hAnsi="宋体"/>
                <w:color w:val="auto"/>
                <w:sz w:val="28"/>
                <w:szCs w:val="28"/>
                <w:highlight w:val="none"/>
              </w:rPr>
              <w:t xml:space="preserve">套</w:t>
            </w:r>
            <w:r/>
          </w:p>
        </w:tc>
        <w:tc>
          <w:tcPr>
            <w:shd w:val="clear" w:color="auto" w:fill="auto"/>
            <w:tcBorders>
              <w:bottom w:val="single" w:color="auto" w:sz="4" w:space="0"/>
            </w:tcBorders>
            <w:tcMar>
              <w:left w:w="20" w:type="dxa"/>
              <w:top w:w="20" w:type="dxa"/>
              <w:right w:w="20" w:type="dxa"/>
              <w:bottom w:w="20" w:type="dxa"/>
            </w:tcMar>
            <w:tcW w:w="572" w:type="pct"/>
            <w:vAlign w:val="center"/>
            <w:textDirection w:val="lrTb"/>
            <w:noWrap w:val="false"/>
          </w:tcPr>
          <w:p>
            <w:pPr>
              <w:jc w:val="cente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是</w:t>
            </w:r>
            <w:r/>
          </w:p>
        </w:tc>
        <w:tc>
          <w:tcPr>
            <w:shd w:val="clear" w:color="auto" w:fill="auto"/>
            <w:tcBorders>
              <w:bottom w:val="single" w:color="auto" w:sz="4" w:space="0"/>
            </w:tcBorders>
            <w:tcMar>
              <w:left w:w="20" w:type="dxa"/>
              <w:top w:w="20" w:type="dxa"/>
              <w:right w:w="20" w:type="dxa"/>
              <w:bottom w:w="20" w:type="dxa"/>
            </w:tcMar>
            <w:tcW w:w="563" w:type="pct"/>
            <w:vAlign w:val="center"/>
            <w:textDirection w:val="lrTb"/>
            <w:noWrap w:val="false"/>
          </w:tcPr>
          <w:p>
            <w:pPr>
              <w:jc w:val="cente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是</w:t>
            </w:r>
            <w:r/>
          </w:p>
        </w:tc>
        <w:tc>
          <w:tcPr>
            <w:shd w:val="clear" w:color="auto" w:fill="auto"/>
            <w:tcMar>
              <w:left w:w="20" w:type="dxa"/>
              <w:top w:w="20" w:type="dxa"/>
              <w:right w:w="20" w:type="dxa"/>
              <w:bottom w:w="20" w:type="dxa"/>
            </w:tcMar>
            <w:tcW w:w="770" w:type="pct"/>
            <w:vAlign w:val="center"/>
            <w:textDirection w:val="lrTb"/>
            <w:noWrap w:val="false"/>
          </w:tcPr>
          <w:p>
            <w:pPr>
              <w:jc w:val="center"/>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否</w:t>
            </w:r>
            <w:r/>
          </w:p>
        </w:tc>
      </w:tr>
      <w:tr>
        <w:trPr>
          <w:jc w:val="center"/>
          <w:trHeight w:val="710"/>
        </w:trPr>
        <w:tc>
          <w:tcPr>
            <w:shd w:val="clear" w:color="auto" w:fill="auto"/>
            <w:tcMar>
              <w:left w:w="20" w:type="dxa"/>
              <w:top w:w="20" w:type="dxa"/>
              <w:right w:w="20" w:type="dxa"/>
              <w:bottom w:w="20" w:type="dxa"/>
            </w:tcMar>
            <w:tcW w:w="462" w:type="pct"/>
            <w:vAlign w:val="center"/>
            <w:textDirection w:val="lrTb"/>
            <w:noWrap w:val="false"/>
          </w:tcPr>
          <w:p>
            <w:pPr>
              <w:jc w:val="center"/>
              <w:tabs>
                <w:tab w:val="left" w:pos="1230" w:leader="none"/>
              </w:tabs>
              <w:rPr>
                <w:rFonts w:ascii="宋体" w:hAnsi="宋体" w:cs="仿宋"/>
                <w:color w:val="auto"/>
                <w:sz w:val="28"/>
                <w:szCs w:val="28"/>
                <w:highlight w:val="none"/>
              </w:rPr>
            </w:pPr>
            <w:r>
              <w:rPr>
                <w:rFonts w:hint="eastAsia" w:ascii="宋体" w:hAnsi="宋体"/>
                <w:color w:val="auto"/>
                <w:sz w:val="28"/>
                <w:szCs w:val="28"/>
                <w:highlight w:val="none"/>
              </w:rPr>
              <w:t xml:space="preserve">3</w:t>
            </w:r>
            <w:r/>
          </w:p>
        </w:tc>
        <w:tc>
          <w:tcPr>
            <w:shd w:val="clear" w:color="auto" w:fill="auto"/>
            <w:tcMar>
              <w:left w:w="20" w:type="dxa"/>
              <w:top w:w="20" w:type="dxa"/>
              <w:right w:w="20" w:type="dxa"/>
              <w:bottom w:w="20" w:type="dxa"/>
            </w:tcMar>
            <w:tcW w:w="1067" w:type="pct"/>
            <w:vAlign w:val="center"/>
            <w:textDirection w:val="lrTb"/>
            <w:noWrap w:val="false"/>
          </w:tcPr>
          <w:p>
            <w:pPr>
              <w:jc w:val="center"/>
              <w:tabs>
                <w:tab w:val="left" w:pos="1230" w:leader="none"/>
              </w:tabs>
              <w:rPr>
                <w:rFonts w:ascii="宋体" w:hAnsi="宋体" w:cs="宋体"/>
                <w:bCs/>
                <w:color w:val="auto"/>
                <w:sz w:val="28"/>
                <w:szCs w:val="28"/>
                <w:highlight w:val="none"/>
              </w:rPr>
            </w:pPr>
            <w:r>
              <w:rPr>
                <w:rFonts w:hint="eastAsia" w:ascii="宋体" w:hAnsi="宋体"/>
                <w:color w:val="auto"/>
                <w:sz w:val="28"/>
                <w:szCs w:val="28"/>
                <w:highlight w:val="none"/>
              </w:rPr>
              <w:t xml:space="preserve">公寓椅</w:t>
            </w:r>
            <w:r/>
          </w:p>
        </w:tc>
        <w:tc>
          <w:tcPr>
            <w:shd w:val="clear" w:color="auto" w:fill="auto"/>
            <w:tcMar>
              <w:left w:w="20" w:type="dxa"/>
              <w:top w:w="20" w:type="dxa"/>
              <w:right w:w="20" w:type="dxa"/>
              <w:bottom w:w="20" w:type="dxa"/>
            </w:tcMar>
            <w:tcW w:w="926" w:type="pct"/>
            <w:vAlign w:val="center"/>
            <w:textDirection w:val="lrTb"/>
            <w:noWrap w:val="false"/>
          </w:tcPr>
          <w:p>
            <w:pPr>
              <w:jc w:val="center"/>
              <w:spacing w:line="3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工业</w:t>
            </w:r>
            <w:r/>
          </w:p>
        </w:tc>
        <w:tc>
          <w:tcPr>
            <w:shd w:val="clear" w:color="auto" w:fill="auto"/>
            <w:tcBorders>
              <w:left w:val="single" w:color="auto" w:sz="4" w:space="0"/>
            </w:tcBorders>
            <w:tcMar>
              <w:left w:w="20" w:type="dxa"/>
              <w:top w:w="20" w:type="dxa"/>
              <w:right w:w="20" w:type="dxa"/>
              <w:bottom w:w="20" w:type="dxa"/>
            </w:tcMar>
            <w:tcW w:w="638" w:type="pct"/>
            <w:vAlign w:val="center"/>
            <w:textDirection w:val="lrTb"/>
            <w:noWrap w:val="false"/>
          </w:tcPr>
          <w:p>
            <w:pPr>
              <w:jc w:val="center"/>
              <w:tabs>
                <w:tab w:val="left" w:pos="1230" w:leader="none"/>
              </w:tabs>
              <w:rPr>
                <w:rFonts w:ascii="宋体" w:hAnsi="宋体" w:cs="仿宋"/>
                <w:color w:val="auto"/>
                <w:sz w:val="28"/>
                <w:szCs w:val="28"/>
                <w:highlight w:val="none"/>
              </w:rPr>
            </w:pPr>
            <w:r>
              <w:rPr>
                <w:rFonts w:hint="eastAsia" w:ascii="宋体" w:hAnsi="宋体"/>
                <w:color w:val="auto"/>
                <w:sz w:val="28"/>
                <w:szCs w:val="28"/>
                <w:highlight w:val="none"/>
              </w:rPr>
              <w:t xml:space="preserve">3</w:t>
            </w:r>
            <w:r>
              <w:rPr>
                <w:rFonts w:ascii="宋体" w:hAnsi="宋体"/>
                <w:color w:val="auto"/>
                <w:sz w:val="28"/>
                <w:szCs w:val="28"/>
                <w:highlight w:val="none"/>
              </w:rPr>
              <w:t xml:space="preserve">014</w:t>
            </w:r>
            <w:r>
              <w:rPr>
                <w:rFonts w:hint="eastAsia" w:ascii="宋体" w:hAnsi="宋体"/>
                <w:color w:val="auto"/>
                <w:sz w:val="28"/>
                <w:szCs w:val="28"/>
                <w:highlight w:val="none"/>
              </w:rPr>
              <w:t xml:space="preserve">张</w:t>
            </w:r>
            <w:r/>
          </w:p>
        </w:tc>
        <w:tc>
          <w:tcPr>
            <w:shd w:val="clear" w:color="auto" w:fill="auto"/>
            <w:tcBorders>
              <w:top w:val="single" w:color="auto" w:sz="4" w:space="0"/>
            </w:tcBorders>
            <w:tcMar>
              <w:left w:w="20" w:type="dxa"/>
              <w:top w:w="20" w:type="dxa"/>
              <w:right w:w="20" w:type="dxa"/>
              <w:bottom w:w="20" w:type="dxa"/>
            </w:tcMar>
            <w:tcW w:w="572" w:type="pct"/>
            <w:vAlign w:val="center"/>
            <w:textDirection w:val="lrTb"/>
            <w:noWrap w:val="false"/>
          </w:tcPr>
          <w:p>
            <w:pPr>
              <w:jc w:val="cente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否</w:t>
            </w:r>
            <w:r/>
          </w:p>
        </w:tc>
        <w:tc>
          <w:tcPr>
            <w:shd w:val="clear" w:color="auto" w:fill="auto"/>
            <w:tcBorders>
              <w:top w:val="single" w:color="auto" w:sz="4" w:space="0"/>
            </w:tcBorders>
            <w:tcMar>
              <w:left w:w="20" w:type="dxa"/>
              <w:top w:w="20" w:type="dxa"/>
              <w:right w:w="20" w:type="dxa"/>
              <w:bottom w:w="20" w:type="dxa"/>
            </w:tcMar>
            <w:tcW w:w="563" w:type="pct"/>
            <w:vAlign w:val="center"/>
            <w:textDirection w:val="lrTb"/>
            <w:noWrap w:val="false"/>
          </w:tcPr>
          <w:p>
            <w:pPr>
              <w:jc w:val="cente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否</w:t>
            </w:r>
            <w:r/>
          </w:p>
        </w:tc>
        <w:tc>
          <w:tcPr>
            <w:shd w:val="clear" w:color="auto" w:fill="auto"/>
            <w:tcMar>
              <w:left w:w="20" w:type="dxa"/>
              <w:top w:w="20" w:type="dxa"/>
              <w:right w:w="20" w:type="dxa"/>
              <w:bottom w:w="20" w:type="dxa"/>
            </w:tcMar>
            <w:tcW w:w="770" w:type="pct"/>
            <w:vAlign w:val="center"/>
            <w:textDirection w:val="lrTb"/>
            <w:noWrap w:val="false"/>
          </w:tcPr>
          <w:p>
            <w:pPr>
              <w:jc w:val="center"/>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否</w:t>
            </w:r>
            <w:r/>
          </w:p>
        </w:tc>
      </w:tr>
      <w:tr>
        <w:trPr>
          <w:jc w:val="center"/>
          <w:trHeight w:val="710"/>
        </w:trPr>
        <w:tc>
          <w:tcPr>
            <w:shd w:val="clear" w:color="auto" w:fill="auto"/>
            <w:tcMar>
              <w:left w:w="20" w:type="dxa"/>
              <w:top w:w="20" w:type="dxa"/>
              <w:right w:w="20" w:type="dxa"/>
              <w:bottom w:w="20" w:type="dxa"/>
            </w:tcMar>
            <w:tcW w:w="776" w:type="dxa"/>
            <w:vAlign w:val="center"/>
            <w:textDirection w:val="lrTb"/>
            <w:noWrap w:val="false"/>
          </w:tcPr>
          <w:p>
            <w:pPr>
              <w:jc w:val="center"/>
              <w:tabs>
                <w:tab w:val="left" w:pos="1230" w:leader="none"/>
              </w:tabs>
              <w:rPr>
                <w:rFonts w:ascii="宋体" w:hAnsi="宋体"/>
                <w:b/>
                <w:color w:val="auto"/>
                <w:sz w:val="28"/>
                <w:szCs w:val="36"/>
                <w:highlight w:val="none"/>
              </w:rPr>
            </w:pPr>
            <w:r>
              <w:rPr>
                <w:rFonts w:hint="eastAsia" w:ascii="宋体" w:hAnsi="宋体"/>
                <w:b/>
                <w:color w:val="auto"/>
                <w:sz w:val="28"/>
                <w:szCs w:val="36"/>
                <w:highlight w:val="none"/>
              </w:rPr>
              <w:t xml:space="preserve">说</w:t>
            </w:r>
            <w:r/>
          </w:p>
          <w:p>
            <w:pPr>
              <w:jc w:val="center"/>
              <w:tabs>
                <w:tab w:val="left" w:pos="1230" w:leader="none"/>
              </w:tabs>
              <w:rPr>
                <w:rFonts w:ascii="宋体" w:hAnsi="宋体"/>
                <w:color w:val="auto"/>
                <w:sz w:val="40"/>
                <w:szCs w:val="40"/>
                <w:highlight w:val="none"/>
              </w:rPr>
            </w:pPr>
            <w:r>
              <w:rPr>
                <w:rFonts w:hint="eastAsia" w:ascii="宋体" w:hAnsi="宋体"/>
                <w:b/>
                <w:color w:val="auto"/>
                <w:sz w:val="28"/>
                <w:szCs w:val="36"/>
                <w:highlight w:val="none"/>
              </w:rPr>
              <w:t xml:space="preserve">明</w:t>
            </w:r>
            <w:r/>
          </w:p>
        </w:tc>
        <w:tc>
          <w:tcPr>
            <w:gridSpan w:val="6"/>
            <w:shd w:val="clear" w:color="auto" w:fill="auto"/>
            <w:tcMar>
              <w:left w:w="20" w:type="dxa"/>
              <w:top w:w="20" w:type="dxa"/>
              <w:right w:w="20" w:type="dxa"/>
              <w:bottom w:w="20" w:type="dxa"/>
            </w:tcMar>
            <w:tcW w:w="7613" w:type="dxa"/>
            <w:vAlign w:val="center"/>
            <w:textDirection w:val="lrTb"/>
            <w:noWrap w:val="false"/>
          </w:tcPr>
          <w:p>
            <w:pPr>
              <w:ind w:firstLine="280"/>
              <w:jc w:val="left"/>
              <w:tabs>
                <w:tab w:val="left" w:pos="1230" w:leader="none"/>
              </w:tabs>
              <w:rPr>
                <w:rFonts w:ascii="宋体" w:hAnsi="宋体"/>
                <w:color w:val="auto"/>
                <w:sz w:val="28"/>
                <w:szCs w:val="36"/>
                <w:highlight w:val="none"/>
              </w:rPr>
            </w:pPr>
            <w:r>
              <w:rPr>
                <w:rFonts w:ascii="宋体" w:hAnsi="宋体"/>
                <w:color w:val="auto"/>
                <w:sz w:val="28"/>
                <w:szCs w:val="36"/>
                <w:highlight w:val="none"/>
              </w:rPr>
              <w:t xml:space="preserve">1.</w:t>
            </w:r>
            <w:r>
              <w:rPr>
                <w:rFonts w:hint="eastAsia" w:ascii="宋体" w:hAnsi="宋体"/>
                <w:color w:val="auto"/>
                <w:sz w:val="28"/>
                <w:szCs w:val="36"/>
                <w:highlight w:val="none"/>
              </w:rPr>
              <w:t xml:space="preserve">钢木结构公寓床，爬梯左右位置根据现场情况确定。</w:t>
            </w:r>
            <w:r/>
          </w:p>
          <w:p>
            <w:pPr>
              <w:ind w:firstLine="280"/>
              <w:jc w:val="left"/>
              <w:tabs>
                <w:tab w:val="left" w:pos="1230" w:leader="none"/>
              </w:tabs>
              <w:rPr>
                <w:rFonts w:ascii="宋体" w:hAnsi="宋体" w:cs="宋体"/>
                <w:bCs/>
                <w:color w:val="auto"/>
                <w:sz w:val="40"/>
                <w:szCs w:val="40"/>
                <w:highlight w:val="none"/>
              </w:rPr>
            </w:pPr>
            <w:r>
              <w:rPr>
                <w:rFonts w:ascii="宋体" w:hAnsi="宋体"/>
                <w:color w:val="auto"/>
                <w:sz w:val="28"/>
                <w:szCs w:val="36"/>
                <w:highlight w:val="none"/>
              </w:rPr>
              <w:t xml:space="preserve">2.</w:t>
            </w:r>
            <w:r>
              <w:rPr>
                <w:rFonts w:hint="eastAsia" w:ascii="宋体" w:hAnsi="宋体"/>
                <w:color w:val="auto"/>
                <w:sz w:val="28"/>
                <w:szCs w:val="36"/>
                <w:highlight w:val="none"/>
              </w:rPr>
              <w:t xml:space="preserve">需提供样品，最终数量以实际安装为准（不含样品）。</w:t>
            </w:r>
            <w:r/>
          </w:p>
        </w:tc>
      </w:tr>
    </w:tbl>
    <w:p>
      <w:pPr>
        <w:spacing w:line="360" w:lineRule="auto"/>
        <w:tabs>
          <w:tab w:val="left" w:pos="1230" w:leader="none"/>
        </w:tabs>
        <w:rPr>
          <w:rFonts w:ascii="宋体" w:hAnsi="宋体"/>
          <w:color w:val="auto"/>
          <w:sz w:val="28"/>
          <w:szCs w:val="28"/>
          <w:highlight w:val="none"/>
        </w:rPr>
      </w:pPr>
      <w:r>
        <w:rPr>
          <w:rFonts w:hint="eastAsia" w:ascii="宋体" w:hAnsi="宋体"/>
          <w:color w:val="auto"/>
          <w:sz w:val="28"/>
          <w:szCs w:val="28"/>
          <w:highlight w:val="none"/>
        </w:rPr>
        <w:t xml:space="preserve">（二）房型规划</w:t>
      </w:r>
      <w:r/>
    </w:p>
    <w:p>
      <w:pPr>
        <w:jc w:val="center"/>
        <w:spacing w:line="360" w:lineRule="auto"/>
        <w:tabs>
          <w:tab w:val="left" w:pos="1230" w:leader="none"/>
        </w:tabs>
        <w:rPr>
          <w:rFonts w:ascii="宋体" w:hAnsi="宋体"/>
          <w:color w:val="auto"/>
          <w:sz w:val="24"/>
          <w:highlight w:val="none"/>
        </w:rPr>
      </w:pPr>
      <w:r>
        <w:rPr>
          <w:rFonts w:ascii="宋体" w:hAnsi="宋体"/>
          <w:color w:val="auto"/>
          <w:sz w:val="24"/>
          <w:highlight w:val="none"/>
        </w:rPr>
        <mc:AlternateContent>
          <mc:Choice Requires="wpg">
            <w:drawing>
              <wp:inline xmlns:wp="http://schemas.openxmlformats.org/drawingml/2006/wordprocessingDrawing" distT="0" distB="0" distL="0" distR="0">
                <wp:extent cx="2429510" cy="3239770"/>
                <wp:effectExtent l="0" t="0" r="8890" b="0"/>
                <wp:docPr id="3" name="图片 26" descr="C:\Users\Logistics\Documents\xwechat_files\wxid_kb3dyponzhvs22_be0a\temp\RWTemp\2026-06\51bead47cef459e0f41c617650736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C:\Users\Logistics\Documents\xwechat_files\wxid_kb3dyponzhvs22_be0a\temp\RWTemp\2026-06\51bead47cef459e0f41c61765073634a.jpg"/>
                        <pic:cNvPicPr>
                          <a:picLocks noChangeAspect="1"/>
                        </pic:cNvPicPr>
                        <pic:nvPr/>
                      </pic:nvPicPr>
                      <pic:blipFill>
                        <a:blip r:embed="rId17"/>
                        <a:stretch/>
                      </pic:blipFill>
                      <pic:spPr bwMode="auto">
                        <a:xfrm>
                          <a:off x="0" y="0"/>
                          <a:ext cx="2430000" cy="3240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1.3pt;height:255.1pt;mso-wrap-distance-left:0.0pt;mso-wrap-distance-top:0.0pt;mso-wrap-distance-right:0.0pt;mso-wrap-distance-bottom:0.0pt;" stroked="f">
                <v:path textboxrect="0,0,0,0"/>
                <v:imagedata r:id="rId17" o:title=""/>
              </v:shape>
            </w:pict>
          </mc:Fallback>
        </mc:AlternateContent>
      </w:r>
      <w:r>
        <w:rPr>
          <w:rFonts w:ascii="宋体" w:hAnsi="宋体"/>
          <w:color w:val="auto"/>
          <w:sz w:val="24"/>
          <w:highlight w:val="none"/>
        </w:rPr>
        <w:t xml:space="preserve">    </w:t>
      </w:r>
      <w:r>
        <w:rPr>
          <w:rFonts w:ascii="宋体" w:hAnsi="宋体"/>
          <w:color w:val="auto"/>
          <w:sz w:val="24"/>
          <w:highlight w:val="none"/>
        </w:rPr>
        <mc:AlternateContent>
          <mc:Choice Requires="wpg">
            <w:drawing>
              <wp:inline xmlns:wp="http://schemas.openxmlformats.org/drawingml/2006/wordprocessingDrawing" distT="0" distB="0" distL="0" distR="0">
                <wp:extent cx="2307590" cy="3239770"/>
                <wp:effectExtent l="0" t="0" r="0" b="0"/>
                <wp:docPr id="4" name="图片 27" descr="C:\Users\Logistics\Documents\xwechat_files\wxid_kb3dyponzhvs22_be0a\temp\RWTemp\2026-06\8ea89deeb99a2e091fddb81ed181da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C:\Users\Logistics\Documents\xwechat_files\wxid_kb3dyponzhvs22_be0a\temp\RWTemp\2026-06\8ea89deeb99a2e091fddb81ed181da67.jpg"/>
                        <pic:cNvPicPr>
                          <a:picLocks noChangeAspect="1"/>
                        </pic:cNvPicPr>
                        <pic:nvPr/>
                      </pic:nvPicPr>
                      <pic:blipFill>
                        <a:blip r:embed="rId18"/>
                        <a:stretch/>
                      </pic:blipFill>
                      <pic:spPr bwMode="auto">
                        <a:xfrm>
                          <a:off x="0" y="0"/>
                          <a:ext cx="2308172" cy="3240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1.7pt;height:255.1pt;mso-wrap-distance-left:0.0pt;mso-wrap-distance-top:0.0pt;mso-wrap-distance-right:0.0pt;mso-wrap-distance-bottom:0.0pt;" stroked="f">
                <v:path textboxrect="0,0,0,0"/>
                <v:imagedata r:id="rId18" o:title=""/>
              </v:shape>
            </w:pict>
          </mc:Fallback>
        </mc:AlternateContent>
      </w:r>
      <w:r/>
    </w:p>
    <w:p>
      <w:pPr>
        <w:ind w:firstLine="560"/>
        <w:spacing w:line="360" w:lineRule="auto"/>
        <w:tabs>
          <w:tab w:val="left" w:pos="1230" w:leader="none"/>
        </w:tabs>
        <w:rPr>
          <w:rFonts w:ascii="宋体" w:hAnsi="宋体"/>
          <w:color w:val="auto"/>
          <w:sz w:val="28"/>
          <w:szCs w:val="28"/>
          <w:highlight w:val="none"/>
        </w:rPr>
      </w:pPr>
      <w:r>
        <w:rPr>
          <w:rFonts w:hint="eastAsia" w:ascii="宋体" w:hAnsi="宋体"/>
          <w:color w:val="auto"/>
          <w:sz w:val="28"/>
          <w:szCs w:val="28"/>
          <w:highlight w:val="none"/>
        </w:rPr>
        <w:t xml:space="preserve">新建宿舍楼房间设计图如上所示，分为四人间和六人间，此图为建筑设计规划图（宿舍净高约3</w:t>
      </w:r>
      <w:r>
        <w:rPr>
          <w:rFonts w:ascii="宋体" w:hAnsi="宋体"/>
          <w:color w:val="auto"/>
          <w:sz w:val="28"/>
          <w:szCs w:val="28"/>
          <w:highlight w:val="none"/>
        </w:rPr>
        <w:t xml:space="preserve">.5</w:t>
      </w:r>
      <w:r>
        <w:rPr>
          <w:rFonts w:hint="eastAsia" w:ascii="宋体" w:hAnsi="宋体"/>
          <w:color w:val="auto"/>
          <w:sz w:val="28"/>
          <w:szCs w:val="28"/>
          <w:highlight w:val="none"/>
        </w:rPr>
        <w:t xml:space="preserve">m左右），</w:t>
      </w:r>
      <w:r>
        <w:rPr>
          <w:rFonts w:hint="eastAsia" w:ascii="宋体" w:hAnsi="宋体"/>
          <w:b/>
          <w:color w:val="auto"/>
          <w:sz w:val="28"/>
          <w:szCs w:val="28"/>
          <w:highlight w:val="none"/>
        </w:rPr>
        <w:t xml:space="preserve">实际房型尺寸以现场踏勘和测量为准。</w:t>
      </w:r>
      <w:r/>
    </w:p>
    <w:p>
      <w:pPr>
        <w:ind w:firstLine="562"/>
        <w:spacing w:line="460" w:lineRule="exact"/>
        <w:rPr>
          <w:rFonts w:ascii="宋体" w:hAnsi="宋体"/>
          <w:b/>
          <w:color w:val="auto"/>
          <w:sz w:val="28"/>
          <w:szCs w:val="28"/>
          <w:highlight w:val="none"/>
        </w:rPr>
        <w:outlineLvl w:val="0"/>
      </w:pPr>
      <w:r>
        <w:rPr>
          <w:rFonts w:hint="eastAsia" w:ascii="宋体" w:hAnsi="宋体"/>
          <w:b/>
          <w:color w:val="auto"/>
          <w:sz w:val="28"/>
          <w:szCs w:val="28"/>
          <w:highlight w:val="none"/>
        </w:rPr>
        <w:t xml:space="preserve">四、样式尺寸</w:t>
      </w:r>
      <w:r/>
    </w:p>
    <w:p>
      <w:pPr>
        <w:ind w:firstLine="560"/>
        <w:spacing w:line="460" w:lineRule="exact"/>
        <w:tabs>
          <w:tab w:val="left" w:pos="1230" w:leader="none"/>
        </w:tabs>
        <w:rPr>
          <w:rFonts w:ascii="宋体" w:hAnsi="宋体"/>
          <w:color w:val="auto"/>
          <w:sz w:val="28"/>
          <w:szCs w:val="28"/>
          <w:highlight w:val="none"/>
        </w:rPr>
        <w:outlineLvl w:val="1"/>
      </w:pPr>
      <w:r>
        <w:rPr>
          <w:rFonts w:hint="eastAsia" w:ascii="宋体" w:hAnsi="宋体"/>
          <w:color w:val="auto"/>
          <w:sz w:val="28"/>
          <w:szCs w:val="28"/>
          <w:highlight w:val="none"/>
        </w:rPr>
        <w:t xml:space="preserve">（一）两联体公寓床</w:t>
      </w:r>
      <w:r/>
    </w:p>
    <w:p>
      <w:pPr>
        <w:jc w:val="center"/>
        <w:spacing w:line="360" w:lineRule="auto"/>
        <w:tabs>
          <w:tab w:val="left" w:pos="1230" w:leader="none"/>
        </w:tabs>
        <w:rPr>
          <w:rFonts w:ascii="宋体" w:hAnsi="宋体"/>
          <w:color w:val="auto"/>
          <w:sz w:val="24"/>
          <w:highlight w:val="none"/>
        </w:rPr>
      </w:pPr>
      <w:r>
        <w:rPr>
          <w:rFonts w:ascii="宋体" w:hAnsi="宋体"/>
          <w:color w:val="auto"/>
          <w:sz w:val="24"/>
          <w:highlight w:val="none"/>
        </w:rPr>
        <mc:AlternateContent>
          <mc:Choice Requires="wpg">
            <w:drawing>
              <wp:inline xmlns:wp="http://schemas.openxmlformats.org/drawingml/2006/wordprocessingDrawing" distT="0" distB="0" distL="0" distR="0">
                <wp:extent cx="3672205" cy="2840990"/>
                <wp:effectExtent l="0" t="0" r="4445" b="16510"/>
                <wp:docPr id="5" name="图片 28" descr="D:\OneDrive - 江苏商贸职业学院\项目工程\公寓床\示意图\两联体公寓床示意图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D:\OneDrive - 江苏商贸职业学院\项目工程\公寓床\示意图\两联体公寓床示意图03.png"/>
                        <pic:cNvPicPr>
                          <a:picLocks noChangeAspect="1"/>
                        </pic:cNvPicPr>
                        <pic:nvPr/>
                      </pic:nvPicPr>
                      <pic:blipFill>
                        <a:blip r:embed="rId19"/>
                        <a:stretch/>
                      </pic:blipFill>
                      <pic:spPr bwMode="auto">
                        <a:xfrm>
                          <a:off x="0" y="0"/>
                          <a:ext cx="3672205" cy="2840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89.1pt;height:223.7pt;mso-wrap-distance-left:0.0pt;mso-wrap-distance-top:0.0pt;mso-wrap-distance-right:0.0pt;mso-wrap-distance-bottom:0.0pt;" stroked="f">
                <v:path textboxrect="0,0,0,0"/>
                <v:imagedata r:id="rId19" o:title=""/>
              </v:shape>
            </w:pict>
          </mc:Fallback>
        </mc:AlternateContent>
      </w:r>
      <w:r/>
    </w:p>
    <w:p>
      <w:pPr>
        <w:ind w:firstLine="560"/>
        <w:spacing w:line="460" w:lineRule="exact"/>
        <w:tabs>
          <w:tab w:val="left" w:pos="1230" w:leader="none"/>
        </w:tabs>
        <w:rPr>
          <w:rFonts w:ascii="宋体" w:hAnsi="宋体"/>
          <w:color w:val="auto"/>
          <w:sz w:val="28"/>
          <w:szCs w:val="28"/>
          <w:highlight w:val="none"/>
        </w:rPr>
      </w:pPr>
      <w:r>
        <w:rPr>
          <w:rFonts w:hint="eastAsia" w:ascii="宋体" w:hAnsi="宋体"/>
          <w:color w:val="auto"/>
          <w:sz w:val="28"/>
          <w:szCs w:val="28"/>
          <w:highlight w:val="none"/>
        </w:rPr>
        <w:t xml:space="preserve">两联体上床下桌公寓床规格</w:t>
      </w:r>
      <w:r>
        <w:rPr>
          <w:rFonts w:ascii="宋体" w:hAnsi="宋体"/>
          <w:color w:val="auto"/>
          <w:sz w:val="28"/>
          <w:szCs w:val="28"/>
          <w:highlight w:val="none"/>
        </w:rPr>
        <w:t xml:space="preserve">4000mm*920mm*2300mm</w:t>
      </w:r>
      <w:r>
        <w:rPr>
          <w:rFonts w:hint="eastAsia" w:ascii="宋体" w:hAnsi="宋体"/>
          <w:color w:val="auto"/>
          <w:sz w:val="28"/>
          <w:szCs w:val="28"/>
          <w:highlight w:val="none"/>
        </w:rPr>
        <w:t xml:space="preserve">（不含蚊帐杆），误差±</w:t>
      </w:r>
      <w:r>
        <w:rPr>
          <w:rFonts w:ascii="宋体" w:hAnsi="宋体"/>
          <w:color w:val="auto"/>
          <w:sz w:val="28"/>
          <w:szCs w:val="28"/>
          <w:highlight w:val="none"/>
        </w:rPr>
        <w:t xml:space="preserve">5mm</w:t>
      </w:r>
      <w:r>
        <w:rPr>
          <w:rFonts w:hint="eastAsia" w:ascii="宋体" w:hAnsi="宋体"/>
          <w:color w:val="auto"/>
          <w:sz w:val="28"/>
          <w:szCs w:val="28"/>
          <w:highlight w:val="none"/>
        </w:rPr>
        <w:t xml:space="preserve">。其中，床架横杆下沿净高不低于1</w:t>
      </w:r>
      <w:r>
        <w:rPr>
          <w:rFonts w:ascii="宋体" w:hAnsi="宋体"/>
          <w:color w:val="auto"/>
          <w:sz w:val="28"/>
          <w:szCs w:val="28"/>
          <w:highlight w:val="none"/>
        </w:rPr>
        <w:t xml:space="preserve">800mm</w:t>
      </w:r>
      <w:r>
        <w:rPr>
          <w:rFonts w:hint="eastAsia" w:ascii="宋体" w:hAnsi="宋体"/>
          <w:color w:val="auto"/>
          <w:sz w:val="28"/>
          <w:szCs w:val="28"/>
          <w:highlight w:val="none"/>
        </w:rPr>
        <w:t xml:space="preserve">，床架横杆上沿护栏净高不低于4</w:t>
      </w:r>
      <w:r>
        <w:rPr>
          <w:rFonts w:ascii="宋体" w:hAnsi="宋体"/>
          <w:color w:val="auto"/>
          <w:sz w:val="28"/>
          <w:szCs w:val="28"/>
          <w:highlight w:val="none"/>
        </w:rPr>
        <w:t xml:space="preserve">00</w:t>
      </w:r>
      <w:r>
        <w:rPr>
          <w:rFonts w:hint="eastAsia" w:ascii="宋体" w:hAnsi="宋体"/>
          <w:color w:val="auto"/>
          <w:sz w:val="28"/>
          <w:szCs w:val="28"/>
          <w:highlight w:val="none"/>
        </w:rPr>
        <w:t xml:space="preserve">mm。</w:t>
      </w:r>
      <w:r/>
    </w:p>
    <w:p>
      <w:pPr>
        <w:ind w:firstLine="560"/>
        <w:spacing w:line="460" w:lineRule="exact"/>
        <w:tabs>
          <w:tab w:val="left" w:pos="1230" w:leader="none"/>
        </w:tabs>
        <w:rPr>
          <w:rFonts w:ascii="宋体" w:hAnsi="宋体"/>
          <w:color w:val="auto"/>
          <w:sz w:val="28"/>
          <w:szCs w:val="28"/>
          <w:highlight w:val="none"/>
        </w:rPr>
        <w:outlineLvl w:val="1"/>
      </w:pPr>
      <w:r>
        <w:rPr>
          <w:rFonts w:hint="eastAsia" w:ascii="宋体" w:hAnsi="宋体"/>
          <w:color w:val="auto"/>
          <w:sz w:val="28"/>
          <w:szCs w:val="28"/>
          <w:highlight w:val="none"/>
        </w:rPr>
        <w:t xml:space="preserve">（二）三联体公寓床</w:t>
      </w:r>
      <w:r/>
    </w:p>
    <w:p>
      <w:pPr>
        <w:jc w:val="center"/>
        <w:spacing w:line="360" w:lineRule="auto"/>
        <w:tabs>
          <w:tab w:val="left" w:pos="1230" w:leader="none"/>
        </w:tabs>
        <w:rPr>
          <w:rFonts w:ascii="宋体" w:hAnsi="宋体"/>
          <w:color w:val="auto"/>
          <w:sz w:val="24"/>
          <w:highlight w:val="none"/>
        </w:rPr>
      </w:pPr>
      <w:r>
        <w:rPr>
          <w:rFonts w:ascii="宋体" w:hAnsi="宋体"/>
          <w:color w:val="auto"/>
          <w:sz w:val="24"/>
          <w:highlight w:val="none"/>
        </w:rPr>
        <mc:AlternateContent>
          <mc:Choice Requires="wpg">
            <w:drawing>
              <wp:inline xmlns:wp="http://schemas.openxmlformats.org/drawingml/2006/wordprocessingDrawing" distT="0" distB="0" distL="0" distR="0">
                <wp:extent cx="5457825" cy="3067050"/>
                <wp:effectExtent l="0" t="0" r="9525" b="0"/>
                <wp:docPr id="6" name="图片 29" descr="D:\OneDrive - 江苏商贸职业学院\项目工程\公寓床\示意图\三联体公寓床示意图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D:\OneDrive - 江苏商贸职业学院\项目工程\公寓床\示意图\三联体公寓床示意图03.png"/>
                        <pic:cNvPicPr>
                          <a:picLocks noChangeAspect="1"/>
                        </pic:cNvPicPr>
                        <pic:nvPr/>
                      </pic:nvPicPr>
                      <pic:blipFill>
                        <a:blip r:embed="rId20"/>
                        <a:stretch/>
                      </pic:blipFill>
                      <pic:spPr bwMode="auto">
                        <a:xfrm>
                          <a:off x="0" y="0"/>
                          <a:ext cx="5460623" cy="3068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29.8pt;height:241.5pt;mso-wrap-distance-left:0.0pt;mso-wrap-distance-top:0.0pt;mso-wrap-distance-right:0.0pt;mso-wrap-distance-bottom:0.0pt;" stroked="f">
                <v:path textboxrect="0,0,0,0"/>
                <v:imagedata r:id="rId20" o:title=""/>
              </v:shape>
            </w:pict>
          </mc:Fallback>
        </mc:AlternateContent>
      </w:r>
      <w:r/>
    </w:p>
    <w:p>
      <w:pPr>
        <w:ind w:firstLine="560"/>
        <w:spacing w:line="460" w:lineRule="exact"/>
        <w:tabs>
          <w:tab w:val="left" w:pos="1230" w:leader="none"/>
        </w:tabs>
        <w:rPr>
          <w:rFonts w:ascii="宋体" w:hAnsi="宋体"/>
          <w:color w:val="auto"/>
          <w:sz w:val="28"/>
          <w:szCs w:val="28"/>
          <w:highlight w:val="none"/>
        </w:rPr>
      </w:pPr>
      <w:r>
        <w:rPr>
          <w:rFonts w:hint="eastAsia" w:ascii="宋体" w:hAnsi="宋体"/>
          <w:color w:val="auto"/>
          <w:sz w:val="28"/>
          <w:szCs w:val="28"/>
          <w:highlight w:val="none"/>
        </w:rPr>
        <w:t xml:space="preserve">三联体上床下桌公寓床规格</w:t>
      </w:r>
      <w:r>
        <w:rPr>
          <w:rFonts w:ascii="宋体" w:hAnsi="宋体"/>
          <w:color w:val="auto"/>
          <w:sz w:val="28"/>
          <w:szCs w:val="28"/>
          <w:highlight w:val="none"/>
        </w:rPr>
        <w:t xml:space="preserve">6000mm*920mm*2300mm</w:t>
      </w:r>
      <w:r>
        <w:rPr>
          <w:rFonts w:hint="eastAsia" w:ascii="宋体" w:hAnsi="宋体"/>
          <w:color w:val="auto"/>
          <w:sz w:val="28"/>
          <w:szCs w:val="28"/>
          <w:highlight w:val="none"/>
        </w:rPr>
        <w:t xml:space="preserve">（不含蚊帐杆），误差±</w:t>
      </w:r>
      <w:r>
        <w:rPr>
          <w:rFonts w:ascii="宋体" w:hAnsi="宋体"/>
          <w:color w:val="auto"/>
          <w:sz w:val="28"/>
          <w:szCs w:val="28"/>
          <w:highlight w:val="none"/>
        </w:rPr>
        <w:t xml:space="preserve">5mm</w:t>
      </w:r>
      <w:r>
        <w:rPr>
          <w:rFonts w:hint="eastAsia" w:ascii="宋体" w:hAnsi="宋体"/>
          <w:color w:val="auto"/>
          <w:sz w:val="28"/>
          <w:szCs w:val="28"/>
          <w:highlight w:val="none"/>
        </w:rPr>
        <w:t xml:space="preserve">。其中，床架横杆下沿净高不低于1</w:t>
      </w:r>
      <w:r>
        <w:rPr>
          <w:rFonts w:ascii="宋体" w:hAnsi="宋体"/>
          <w:color w:val="auto"/>
          <w:sz w:val="28"/>
          <w:szCs w:val="28"/>
          <w:highlight w:val="none"/>
        </w:rPr>
        <w:t xml:space="preserve">800mm</w:t>
      </w:r>
      <w:r>
        <w:rPr>
          <w:rFonts w:hint="eastAsia" w:ascii="宋体" w:hAnsi="宋体"/>
          <w:color w:val="auto"/>
          <w:sz w:val="28"/>
          <w:szCs w:val="28"/>
          <w:highlight w:val="none"/>
        </w:rPr>
        <w:t xml:space="preserve">，床架横杆上沿护栏净高不低于4</w:t>
      </w:r>
      <w:r>
        <w:rPr>
          <w:rFonts w:ascii="宋体" w:hAnsi="宋体"/>
          <w:color w:val="auto"/>
          <w:sz w:val="28"/>
          <w:szCs w:val="28"/>
          <w:highlight w:val="none"/>
        </w:rPr>
        <w:t xml:space="preserve">00</w:t>
      </w:r>
      <w:r>
        <w:rPr>
          <w:rFonts w:hint="eastAsia" w:ascii="宋体" w:hAnsi="宋体"/>
          <w:color w:val="auto"/>
          <w:sz w:val="28"/>
          <w:szCs w:val="28"/>
          <w:highlight w:val="none"/>
        </w:rPr>
        <w:t xml:space="preserve">mm。</w:t>
      </w:r>
      <w:r/>
    </w:p>
    <w:p>
      <w:pPr>
        <w:ind w:firstLine="560"/>
        <w:spacing w:line="460" w:lineRule="exact"/>
        <w:tabs>
          <w:tab w:val="left" w:pos="1230" w:leader="none"/>
        </w:tabs>
        <w:rPr>
          <w:rFonts w:ascii="宋体" w:hAnsi="宋体"/>
          <w:i/>
          <w:color w:val="auto"/>
          <w:sz w:val="28"/>
          <w:szCs w:val="28"/>
          <w:highlight w:val="none"/>
          <w:u w:val="single"/>
        </w:rPr>
        <w:outlineLvl w:val="1"/>
      </w:pPr>
      <w:r>
        <w:rPr>
          <w:rFonts w:hint="eastAsia" w:ascii="宋体" w:hAnsi="宋体"/>
          <w:i/>
          <w:color w:val="auto"/>
          <w:sz w:val="28"/>
          <w:szCs w:val="28"/>
          <w:highlight w:val="none"/>
          <w:u w:val="single"/>
        </w:rPr>
        <w:t xml:space="preserve">（三）深化设计及相关说明</w:t>
      </w:r>
      <w:r/>
    </w:p>
    <w:p>
      <w:pPr>
        <w:ind w:firstLine="560"/>
        <w:spacing w:line="460" w:lineRule="exact"/>
        <w:tabs>
          <w:tab w:val="left" w:pos="1230" w:leader="none"/>
        </w:tabs>
        <w:rPr>
          <w:rFonts w:ascii="宋体" w:hAnsi="宋体"/>
          <w:color w:val="auto"/>
          <w:sz w:val="28"/>
          <w:szCs w:val="28"/>
          <w:highlight w:val="none"/>
        </w:rPr>
      </w:pPr>
      <w:r>
        <w:rPr>
          <w:rFonts w:hint="eastAsia" w:ascii="宋体" w:hAnsi="宋体"/>
          <w:color w:val="auto"/>
          <w:sz w:val="28"/>
          <w:szCs w:val="28"/>
          <w:highlight w:val="none"/>
        </w:rPr>
        <w:t xml:space="preserve">床、组合书桌柜、人体工程座椅示意图仅作参考，投标供应商应在不低于本招标文件所提“项目需求”，在需满足的质量、安全、技术规格、物理特性等要求</w:t>
      </w:r>
      <w:r>
        <w:rPr>
          <w:rFonts w:ascii="宋体" w:hAnsi="宋体"/>
          <w:color w:val="auto"/>
          <w:sz w:val="28"/>
          <w:szCs w:val="28"/>
          <w:highlight w:val="none"/>
        </w:rPr>
        <w:t xml:space="preserve">的要求前提下，</w:t>
      </w:r>
      <w:r>
        <w:rPr>
          <w:rFonts w:ascii="宋体" w:hAnsi="宋体"/>
          <w:b/>
          <w:color w:val="auto"/>
          <w:sz w:val="28"/>
          <w:szCs w:val="28"/>
          <w:highlight w:val="none"/>
        </w:rPr>
        <w:t xml:space="preserve">根据现场</w:t>
      </w:r>
      <w:r>
        <w:rPr>
          <w:rFonts w:hint="eastAsia" w:ascii="宋体" w:hAnsi="宋体"/>
          <w:b/>
          <w:color w:val="auto"/>
          <w:sz w:val="28"/>
          <w:szCs w:val="28"/>
          <w:highlight w:val="none"/>
        </w:rPr>
        <w:t xml:space="preserve">测量进行</w:t>
      </w:r>
      <w:r>
        <w:rPr>
          <w:rFonts w:ascii="宋体" w:hAnsi="宋体"/>
          <w:b/>
          <w:color w:val="auto"/>
          <w:sz w:val="28"/>
          <w:szCs w:val="28"/>
          <w:highlight w:val="none"/>
        </w:rPr>
        <w:t xml:space="preserve">优化</w:t>
      </w:r>
      <w:r>
        <w:rPr>
          <w:rFonts w:hint="eastAsia" w:ascii="宋体" w:hAnsi="宋体"/>
          <w:b/>
          <w:color w:val="auto"/>
          <w:sz w:val="28"/>
          <w:szCs w:val="28"/>
          <w:highlight w:val="none"/>
        </w:rPr>
        <w:t xml:space="preserve">及深化</w:t>
      </w:r>
      <w:r>
        <w:rPr>
          <w:rFonts w:ascii="宋体" w:hAnsi="宋体"/>
          <w:b/>
          <w:color w:val="auto"/>
          <w:sz w:val="28"/>
          <w:szCs w:val="28"/>
          <w:highlight w:val="none"/>
        </w:rPr>
        <w:t xml:space="preserve">设计</w:t>
      </w:r>
      <w:r>
        <w:rPr>
          <w:rFonts w:hint="eastAsia" w:ascii="宋体" w:hAnsi="宋体"/>
          <w:b/>
          <w:color w:val="auto"/>
          <w:sz w:val="28"/>
          <w:szCs w:val="28"/>
          <w:highlight w:val="none"/>
        </w:rPr>
        <w:t xml:space="preserve">（需提供深化设计图）</w:t>
      </w:r>
      <w:r>
        <w:rPr>
          <w:rFonts w:ascii="宋体" w:hAnsi="宋体"/>
          <w:color w:val="auto"/>
          <w:sz w:val="28"/>
          <w:szCs w:val="28"/>
          <w:highlight w:val="none"/>
        </w:rPr>
        <w:t xml:space="preserve">，优化</w:t>
      </w:r>
      <w:r>
        <w:rPr>
          <w:rFonts w:hint="eastAsia" w:ascii="宋体" w:hAnsi="宋体"/>
          <w:color w:val="auto"/>
          <w:sz w:val="28"/>
          <w:szCs w:val="28"/>
          <w:highlight w:val="none"/>
        </w:rPr>
        <w:t xml:space="preserve">和深化</w:t>
      </w:r>
      <w:r>
        <w:rPr>
          <w:rFonts w:ascii="宋体" w:hAnsi="宋体"/>
          <w:color w:val="auto"/>
          <w:sz w:val="28"/>
          <w:szCs w:val="28"/>
          <w:highlight w:val="none"/>
        </w:rPr>
        <w:t xml:space="preserve">设计费包含在投标报价中</w:t>
      </w:r>
      <w:r>
        <w:rPr>
          <w:rFonts w:hint="eastAsia" w:ascii="宋体" w:hAnsi="宋体"/>
          <w:color w:val="auto"/>
          <w:sz w:val="28"/>
          <w:szCs w:val="28"/>
          <w:highlight w:val="none"/>
        </w:rPr>
        <w:t xml:space="preserve">（</w:t>
      </w:r>
      <w:r>
        <w:rPr>
          <w:rFonts w:hint="eastAsia" w:ascii="宋体" w:hAnsi="宋体"/>
          <w:b/>
          <w:color w:val="auto"/>
          <w:sz w:val="28"/>
          <w:szCs w:val="28"/>
          <w:highlight w:val="none"/>
        </w:rPr>
        <w:t xml:space="preserve">公寓床的生产制造需与深化设计图保持一致</w:t>
      </w:r>
      <w:r>
        <w:rPr>
          <w:rFonts w:hint="eastAsia" w:ascii="宋体" w:hAnsi="宋体"/>
          <w:color w:val="auto"/>
          <w:sz w:val="28"/>
          <w:szCs w:val="28"/>
          <w:highlight w:val="none"/>
        </w:rPr>
        <w:t xml:space="preserve">）</w:t>
      </w:r>
      <w:r>
        <w:rPr>
          <w:rFonts w:ascii="宋体" w:hAnsi="宋体"/>
          <w:color w:val="auto"/>
          <w:sz w:val="28"/>
          <w:szCs w:val="28"/>
          <w:highlight w:val="none"/>
        </w:rPr>
        <w:t xml:space="preserve">。</w:t>
      </w:r>
      <w:r/>
    </w:p>
    <w:p>
      <w:pPr>
        <w:ind w:firstLine="562"/>
        <w:spacing w:line="460" w:lineRule="exact"/>
        <w:rPr>
          <w:rFonts w:ascii="宋体" w:hAnsi="宋体" w:cs="宋体"/>
          <w:b/>
          <w:color w:val="auto"/>
          <w:sz w:val="28"/>
          <w:szCs w:val="28"/>
          <w:highlight w:val="none"/>
        </w:rPr>
        <w:outlineLvl w:val="0"/>
      </w:pPr>
      <w:r>
        <w:rPr>
          <w:rFonts w:hint="eastAsia" w:ascii="宋体" w:hAnsi="宋体" w:cs="宋体"/>
          <w:b/>
          <w:color w:val="auto"/>
          <w:sz w:val="28"/>
          <w:szCs w:val="28"/>
          <w:highlight w:val="none"/>
        </w:rPr>
        <w:t xml:space="preserve">五、具体要求</w:t>
      </w:r>
      <w:r/>
    </w:p>
    <w:p>
      <w:pPr>
        <w:ind w:firstLine="560"/>
        <w:spacing w:line="460" w:lineRule="exact"/>
        <w:tabs>
          <w:tab w:val="left" w:pos="1230" w:leader="none"/>
        </w:tabs>
        <w:rPr>
          <w:rFonts w:ascii="宋体" w:hAnsi="宋体"/>
          <w:color w:val="auto"/>
          <w:sz w:val="28"/>
          <w:szCs w:val="28"/>
          <w:highlight w:val="none"/>
        </w:rPr>
      </w:pPr>
      <w:r>
        <w:rPr>
          <w:rFonts w:hint="eastAsia" w:ascii="宋体" w:hAnsi="宋体"/>
          <w:color w:val="auto"/>
          <w:sz w:val="28"/>
          <w:szCs w:val="28"/>
          <w:highlight w:val="none"/>
        </w:rPr>
        <w:t xml:space="preserve">实质性条款（核心参数）用★标注，可优化部分用</w:t>
      </w:r>
      <w:r>
        <w:rPr>
          <w:rFonts w:hint="eastAsia" w:ascii="宋体" w:hAnsi="宋体" w:cs="宋体"/>
          <w:color w:val="auto"/>
          <w:sz w:val="28"/>
          <w:szCs w:val="28"/>
          <w:highlight w:val="none"/>
        </w:rPr>
        <w:t xml:space="preserve">●</w:t>
      </w:r>
      <w:r>
        <w:rPr>
          <w:rFonts w:hint="eastAsia" w:ascii="宋体" w:hAnsi="宋体"/>
          <w:color w:val="auto"/>
          <w:sz w:val="28"/>
          <w:szCs w:val="28"/>
          <w:highlight w:val="none"/>
        </w:rPr>
        <w:t xml:space="preserve">标注。实质性条款（核心参数）不允许负偏离。</w:t>
      </w:r>
      <w:r/>
    </w:p>
    <w:p>
      <w:pPr>
        <w:ind w:firstLine="560"/>
        <w:spacing w:line="460" w:lineRule="exact"/>
        <w:tabs>
          <w:tab w:val="left" w:pos="1230" w:leader="none"/>
        </w:tabs>
        <w:rPr>
          <w:rFonts w:ascii="宋体" w:hAnsi="宋体"/>
          <w:color w:val="auto"/>
          <w:sz w:val="28"/>
          <w:szCs w:val="28"/>
          <w:highlight w:val="none"/>
        </w:rPr>
      </w:pPr>
      <w:r>
        <w:rPr>
          <w:rFonts w:hint="eastAsia" w:ascii="宋体" w:hAnsi="宋体"/>
          <w:color w:val="auto"/>
          <w:sz w:val="28"/>
          <w:szCs w:val="28"/>
          <w:highlight w:val="none"/>
        </w:rPr>
        <w:t xml:space="preserve">供应商提交的投标文件中，本项目中所有条款均需提供相关证明材料，所提供证明材料不满足招标文件要求的，或者所提供产品技术参数低于招标文件要求的，或者技术参数响应条款与招标文件对比有缺项、漏项的等，均视为未响应招标文件需求。</w:t>
      </w:r>
      <w:r/>
    </w:p>
    <w:p>
      <w:pPr>
        <w:ind w:firstLine="562"/>
        <w:spacing w:line="460" w:lineRule="exact"/>
        <w:tabs>
          <w:tab w:val="left" w:pos="1230" w:leader="none"/>
        </w:tabs>
        <w:rPr>
          <w:rFonts w:ascii="宋体" w:hAnsi="宋体"/>
          <w:color w:val="auto"/>
          <w:sz w:val="28"/>
          <w:szCs w:val="28"/>
          <w:highlight w:val="none"/>
        </w:rPr>
      </w:pPr>
      <w:r>
        <w:rPr>
          <w:rFonts w:hint="eastAsia" w:ascii="宋体" w:hAnsi="宋体"/>
          <w:b/>
          <w:color w:val="auto"/>
          <w:sz w:val="28"/>
          <w:szCs w:val="28"/>
          <w:highlight w:val="none"/>
        </w:rPr>
        <w:t xml:space="preserve">相关证明材料包括但不限于：</w:t>
      </w:r>
      <w:r>
        <w:rPr>
          <w:rFonts w:hint="eastAsia" w:ascii="宋体" w:hAnsi="宋体"/>
          <w:color w:val="auto"/>
          <w:sz w:val="28"/>
          <w:szCs w:val="28"/>
          <w:highlight w:val="none"/>
        </w:rPr>
        <w:t xml:space="preserve">钢结构、实木多层板等原材料CMA/CNAS等完整检测/检验报告、材质清单、材料产地证明，或能够证明投标人所提供货物与招标文件的要求相一致的说明书、手册、图纸、图片、文字资料、数据和承诺函等。所有证明材料均需加盖投标单位公章。</w:t>
      </w:r>
      <w:r/>
    </w:p>
    <w:p>
      <w:pPr>
        <w:ind w:firstLine="560"/>
        <w:spacing w:line="460" w:lineRule="exact"/>
        <w:tabs>
          <w:tab w:val="left" w:pos="1230" w:leader="none"/>
        </w:tabs>
        <w:rPr>
          <w:rFonts w:ascii="宋体" w:hAnsi="宋体" w:cs="宋体"/>
          <w:color w:val="auto"/>
          <w:sz w:val="28"/>
          <w:szCs w:val="28"/>
          <w:highlight w:val="none"/>
        </w:rPr>
        <w:outlineLvl w:val="1"/>
      </w:pPr>
      <w:r>
        <w:rPr>
          <w:rFonts w:hint="eastAsia" w:ascii="宋体" w:hAnsi="宋体" w:cs="宋体"/>
          <w:color w:val="auto"/>
          <w:sz w:val="28"/>
          <w:szCs w:val="28"/>
          <w:highlight w:val="none"/>
        </w:rPr>
        <w:t xml:space="preserve">（一）</w:t>
      </w:r>
      <w:r>
        <w:rPr>
          <w:rFonts w:hint="eastAsia" w:ascii="仿宋" w:hAnsi="仿宋" w:eastAsia="仿宋" w:cs="仿宋"/>
          <w:b/>
          <w:color w:val="auto"/>
          <w:sz w:val="28"/>
          <w:highlight w:val="none"/>
        </w:rPr>
        <w:t xml:space="preserve">●</w:t>
      </w:r>
      <w:r>
        <w:rPr>
          <w:rFonts w:hint="eastAsia" w:ascii="宋体" w:hAnsi="宋体" w:cs="宋体"/>
          <w:color w:val="auto"/>
          <w:sz w:val="28"/>
          <w:szCs w:val="28"/>
          <w:highlight w:val="none"/>
        </w:rPr>
        <w:t xml:space="preserve">钢结构床体部分</w:t>
      </w:r>
      <w:r/>
    </w:p>
    <w:p>
      <w:pPr>
        <w:ind w:firstLine="560"/>
        <w:spacing w:line="460" w:lineRule="exact"/>
        <w:tabs>
          <w:tab w:val="left" w:pos="123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仿宋" w:hAnsi="仿宋" w:eastAsia="仿宋" w:cs="仿宋"/>
          <w:b/>
          <w:color w:val="auto"/>
          <w:sz w:val="28"/>
          <w:highlight w:val="none"/>
          <w:lang w:val="zh-CN"/>
        </w:rPr>
        <w:t xml:space="preserve">★</w:t>
      </w:r>
      <w:r>
        <w:rPr>
          <w:rFonts w:hint="eastAsia" w:ascii="宋体" w:hAnsi="宋体" w:cs="宋体"/>
          <w:color w:val="auto"/>
          <w:sz w:val="28"/>
          <w:szCs w:val="28"/>
          <w:highlight w:val="none"/>
        </w:rPr>
        <w:t xml:space="preserve">床立柱：材料采用≥100mm×80mm×1.5mm矩形钢管（100mm×80mm为横截面尺寸，1.5mm为钢板壁厚。后面的不再赘述，以此类推）。</w:t>
      </w:r>
      <w:r/>
    </w:p>
    <w:p>
      <w:pPr>
        <w:ind w:firstLine="560"/>
        <w:spacing w:line="460" w:lineRule="exact"/>
        <w:tabs>
          <w:tab w:val="left" w:pos="123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仿宋" w:hAnsi="仿宋" w:eastAsia="仿宋" w:cs="仿宋"/>
          <w:b/>
          <w:color w:val="auto"/>
          <w:sz w:val="28"/>
          <w:highlight w:val="none"/>
          <w:lang w:val="zh-CN"/>
        </w:rPr>
        <w:t xml:space="preserve">★</w:t>
      </w:r>
      <w:r>
        <w:rPr>
          <w:rFonts w:hint="eastAsia" w:ascii="宋体" w:hAnsi="宋体" w:cs="宋体"/>
          <w:color w:val="auto"/>
          <w:sz w:val="28"/>
          <w:szCs w:val="28"/>
          <w:highlight w:val="none"/>
        </w:rPr>
        <w:t xml:space="preserve">床横梁：材料采用≥100mm×70mm×1.5mm异型钢管（倒T型），与床立柱相连接，其中上沿≥40mm，下沿带圆弧，倒T型承重面≥30mm，床头、床尾侧短横梁和床内外两侧长横梁要求一致。</w:t>
      </w:r>
      <w:r/>
    </w:p>
    <w:p>
      <w:pPr>
        <w:ind w:firstLine="560"/>
        <w:spacing w:line="460" w:lineRule="exact"/>
        <w:tabs>
          <w:tab w:val="left" w:pos="123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仿宋" w:hAnsi="仿宋" w:eastAsia="仿宋" w:cs="仿宋"/>
          <w:b/>
          <w:color w:val="auto"/>
          <w:sz w:val="28"/>
          <w:highlight w:val="none"/>
          <w:lang w:val="zh-CN"/>
        </w:rPr>
        <w:t xml:space="preserve">★</w:t>
      </w:r>
      <w:r>
        <w:rPr>
          <w:rFonts w:hint="eastAsia" w:ascii="宋体" w:hAnsi="宋体" w:cs="宋体"/>
          <w:color w:val="auto"/>
          <w:sz w:val="28"/>
          <w:szCs w:val="28"/>
          <w:highlight w:val="none"/>
        </w:rPr>
        <w:t xml:space="preserve">床支撑：材料采用≥30mm×20mm×1.2mm矩形钢管，床头、床尾侧和床内侧每侧各至少2根，与床立柱相连接，均匀分布。</w:t>
      </w:r>
      <w:r/>
    </w:p>
    <w:p>
      <w:pPr>
        <w:ind w:firstLine="560"/>
        <w:spacing w:line="460" w:lineRule="exact"/>
        <w:tabs>
          <w:tab w:val="left" w:pos="123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4、</w:t>
      </w:r>
      <w:r>
        <w:rPr>
          <w:rFonts w:hint="eastAsia" w:ascii="仿宋" w:hAnsi="仿宋" w:eastAsia="仿宋" w:cs="仿宋"/>
          <w:b/>
          <w:color w:val="auto"/>
          <w:sz w:val="28"/>
          <w:highlight w:val="none"/>
          <w:lang w:val="zh-CN"/>
        </w:rPr>
        <w:t xml:space="preserve">★</w:t>
      </w:r>
      <w:r>
        <w:rPr>
          <w:rFonts w:hint="eastAsia" w:ascii="宋体" w:hAnsi="宋体" w:cs="宋体"/>
          <w:color w:val="auto"/>
          <w:sz w:val="28"/>
          <w:szCs w:val="28"/>
          <w:highlight w:val="none"/>
        </w:rPr>
        <w:t xml:space="preserve">床板支撑：材料采用≥20mm×20mm×1.0mm方钢管，间隙≤200mm，与床内外两侧长横梁相连接，需配备PP一体成型消声套。</w:t>
      </w:r>
      <w:r/>
    </w:p>
    <w:p>
      <w:pPr>
        <w:ind w:firstLine="560"/>
        <w:spacing w:line="460" w:lineRule="exact"/>
        <w:tabs>
          <w:tab w:val="left" w:pos="123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5、床板：尺寸约1920mm×820mm×15mm（具体以适配床铺为准），采用≥15mm杉木板拼接而成，含水率≤1</w:t>
      </w:r>
      <w:r>
        <w:rPr>
          <w:rFonts w:ascii="宋体" w:hAnsi="宋体" w:cs="宋体"/>
          <w:color w:val="auto"/>
          <w:sz w:val="28"/>
          <w:szCs w:val="28"/>
          <w:highlight w:val="none"/>
        </w:rPr>
        <w:t xml:space="preserve">0%</w:t>
      </w:r>
      <w:r>
        <w:rPr>
          <w:rFonts w:hint="eastAsia" w:ascii="宋体" w:hAnsi="宋体" w:cs="宋体"/>
          <w:color w:val="auto"/>
          <w:sz w:val="28"/>
          <w:szCs w:val="28"/>
          <w:highlight w:val="none"/>
        </w:rPr>
        <w:t xml:space="preserve">，不得使用边角料，拼接隙缝应小于5mm，每张床板由不多于7片杉木板组合，每片杉木板需四面刨光、没有斜边、不带皮料，经干燥、防腐、防蛀互利，板底加固4根40*30mm杉木条为支撑点，制作牢固可靠，双面平整。床板安装后与床横梁上沿平齐。</w:t>
      </w:r>
      <w:r/>
    </w:p>
    <w:p>
      <w:pPr>
        <w:ind w:firstLine="560"/>
        <w:spacing w:line="460" w:lineRule="exact"/>
        <w:tabs>
          <w:tab w:val="left" w:pos="123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6、</w:t>
      </w:r>
      <w:r>
        <w:rPr>
          <w:rFonts w:hint="eastAsia" w:ascii="仿宋" w:hAnsi="仿宋" w:eastAsia="仿宋" w:cs="仿宋"/>
          <w:b/>
          <w:color w:val="auto"/>
          <w:sz w:val="28"/>
          <w:highlight w:val="none"/>
          <w:lang w:val="zh-CN"/>
        </w:rPr>
        <w:t xml:space="preserve">★</w:t>
      </w:r>
      <w:r>
        <w:rPr>
          <w:rFonts w:hint="eastAsia" w:ascii="宋体" w:hAnsi="宋体" w:cs="宋体"/>
          <w:color w:val="auto"/>
          <w:sz w:val="28"/>
          <w:szCs w:val="28"/>
          <w:highlight w:val="none"/>
        </w:rPr>
        <w:t xml:space="preserve">护栏：材料采用≥30mm×20mm×1.2mm矩形钢管，包括床头、床尾和床内外侧护栏，护栏净高不低于400mm。除床外侧护栏外内嵌≥18mm厚优质 E0级环保多层实木板。床外侧护栏内嵌PP中空吹塑一次成型护栏板，需开瞭望孔，床位侧护栏开口（550mm）左右侧方向根据爬梯位置确定。</w:t>
      </w:r>
      <w:r/>
    </w:p>
    <w:p>
      <w:pPr>
        <w:ind w:firstLine="560"/>
        <w:spacing w:line="460" w:lineRule="exact"/>
        <w:tabs>
          <w:tab w:val="left" w:pos="123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7、</w:t>
      </w:r>
      <w:r>
        <w:rPr>
          <w:rFonts w:hint="eastAsia" w:ascii="仿宋" w:hAnsi="仿宋" w:eastAsia="仿宋" w:cs="仿宋"/>
          <w:b/>
          <w:color w:val="auto"/>
          <w:sz w:val="28"/>
          <w:highlight w:val="none"/>
          <w:lang w:val="zh-CN"/>
        </w:rPr>
        <w:t xml:space="preserve">★</w:t>
      </w:r>
      <w:r>
        <w:rPr>
          <w:rFonts w:hint="eastAsia" w:ascii="宋体" w:hAnsi="宋体" w:cs="宋体"/>
          <w:color w:val="auto"/>
          <w:sz w:val="28"/>
          <w:szCs w:val="28"/>
          <w:highlight w:val="none"/>
        </w:rPr>
        <w:t xml:space="preserve">爬梯：斜梯式（外倾150mm）设计，材料采用≥25mm×25mm×1.5mm方钢管，踏板采用带防滑纹路的橡胶包覆钢板（≥1.5mm），踏步宽度400mm，深度≥100mm，踏数≥5级，间距均匀，梯子与床体连接牢固，无晃动。</w:t>
      </w:r>
      <w:r/>
    </w:p>
    <w:p>
      <w:pPr>
        <w:ind w:firstLine="560"/>
        <w:spacing w:line="460" w:lineRule="exact"/>
        <w:tabs>
          <w:tab w:val="left" w:pos="123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8、床脚立柱脚套：采用塑料环保超高分子量PP材料制作，脚套与床脚应结合紧密，牢靠，不脱落。</w:t>
      </w:r>
      <w:r/>
    </w:p>
    <w:p>
      <w:pPr>
        <w:ind w:firstLine="560"/>
        <w:spacing w:line="460" w:lineRule="exact"/>
        <w:tabs>
          <w:tab w:val="left" w:pos="123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9、</w:t>
      </w:r>
      <w:r>
        <w:rPr>
          <w:rFonts w:hint="eastAsia" w:ascii="仿宋" w:hAnsi="仿宋" w:eastAsia="仿宋" w:cs="仿宋"/>
          <w:b/>
          <w:color w:val="auto"/>
          <w:sz w:val="28"/>
          <w:highlight w:val="none"/>
          <w:lang w:val="zh-CN"/>
        </w:rPr>
        <w:t xml:space="preserve">★</w:t>
      </w:r>
      <w:r>
        <w:rPr>
          <w:rFonts w:hint="eastAsia" w:ascii="宋体" w:hAnsi="宋体" w:cs="宋体"/>
          <w:color w:val="auto"/>
          <w:sz w:val="28"/>
          <w:szCs w:val="28"/>
          <w:highlight w:val="none"/>
        </w:rPr>
        <w:t xml:space="preserve">钢制部件全部采用优质冷轧钢板或钢管，需经除锈、除油、清洗、表调、酸洗、中和、清洗、磷化、保护膜等工艺进行表面处理后，外表面采用聚脂环氧粉末静电喷塑工艺装饰，表面光亮平整、无颗粒渣点、颜色均匀。</w:t>
      </w:r>
      <w:r/>
    </w:p>
    <w:p>
      <w:pPr>
        <w:ind w:firstLine="560"/>
        <w:spacing w:line="460" w:lineRule="exact"/>
        <w:tabs>
          <w:tab w:val="left" w:pos="123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10、所有钢制部件采用满焊，焊接表面波纹均匀，焊接处无夹渣、气孔、焊瘤，焊丝咬边和飞溅，无脱焊、虚焊和焊空的现象。</w:t>
      </w:r>
      <w:r/>
    </w:p>
    <w:p>
      <w:pPr>
        <w:ind w:firstLine="560"/>
        <w:spacing w:line="460" w:lineRule="exact"/>
        <w:tabs>
          <w:tab w:val="left" w:pos="123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11、床体整体采用卡式无螺钉紧固，链接式插口配件，组合安装后整床稳固结实无晃动，为防倾倒床体需固定在墙上。</w:t>
      </w:r>
      <w:r/>
    </w:p>
    <w:p>
      <w:pPr>
        <w:ind w:firstLine="560"/>
        <w:spacing w:line="460" w:lineRule="exact"/>
        <w:tabs>
          <w:tab w:val="left" w:pos="123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12、</w:t>
      </w:r>
      <w:r>
        <w:rPr>
          <w:rFonts w:hint="eastAsia" w:ascii="仿宋" w:hAnsi="仿宋" w:eastAsia="仿宋" w:cs="仿宋"/>
          <w:b/>
          <w:color w:val="auto"/>
          <w:sz w:val="28"/>
          <w:highlight w:val="none"/>
          <w:lang w:val="zh-CN"/>
        </w:rPr>
        <w:t xml:space="preserve">★</w:t>
      </w:r>
      <w:r>
        <w:rPr>
          <w:rFonts w:hint="eastAsia" w:ascii="宋体" w:hAnsi="宋体" w:cs="宋体"/>
          <w:color w:val="auto"/>
          <w:sz w:val="28"/>
          <w:szCs w:val="28"/>
          <w:highlight w:val="none"/>
        </w:rPr>
        <w:t xml:space="preserve">单床位床架静态承重≥400kg，单床位床架动态承重≥150kg。双联体、三联体依次类推。</w:t>
      </w:r>
      <w:r/>
    </w:p>
    <w:p>
      <w:pPr>
        <w:ind w:firstLine="560"/>
        <w:spacing w:line="460" w:lineRule="exact"/>
        <w:tabs>
          <w:tab w:val="left" w:pos="1230" w:leader="none"/>
        </w:tabs>
        <w:rPr>
          <w:rFonts w:ascii="宋体" w:hAnsi="宋体" w:cs="宋体"/>
          <w:color w:val="auto"/>
          <w:sz w:val="28"/>
          <w:szCs w:val="28"/>
          <w:highlight w:val="none"/>
        </w:rPr>
        <w:outlineLvl w:val="1"/>
      </w:pPr>
      <w:r>
        <w:rPr>
          <w:rFonts w:hint="eastAsia" w:ascii="宋体" w:hAnsi="宋体" w:cs="宋体"/>
          <w:color w:val="auto"/>
          <w:sz w:val="28"/>
          <w:szCs w:val="28"/>
          <w:highlight w:val="none"/>
        </w:rPr>
        <w:t xml:space="preserve">（二）</w:t>
      </w:r>
      <w:r>
        <w:rPr>
          <w:rFonts w:hint="eastAsia" w:ascii="仿宋" w:hAnsi="仿宋" w:eastAsia="仿宋" w:cs="仿宋"/>
          <w:b/>
          <w:color w:val="auto"/>
          <w:sz w:val="28"/>
          <w:highlight w:val="none"/>
        </w:rPr>
        <w:t xml:space="preserve">●</w:t>
      </w:r>
      <w:r>
        <w:rPr>
          <w:rFonts w:hint="eastAsia" w:ascii="宋体" w:hAnsi="宋体" w:cs="宋体"/>
          <w:color w:val="auto"/>
          <w:sz w:val="28"/>
          <w:szCs w:val="28"/>
          <w:highlight w:val="none"/>
        </w:rPr>
        <w:t xml:space="preserve">木质部分（组合桌柜）</w:t>
      </w:r>
      <w:r/>
    </w:p>
    <w:p>
      <w:pPr>
        <w:ind w:firstLine="560"/>
        <w:spacing w:line="460" w:lineRule="exact"/>
        <w:tabs>
          <w:tab w:val="left" w:pos="123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仿宋" w:hAnsi="仿宋" w:eastAsia="仿宋" w:cs="仿宋"/>
          <w:b/>
          <w:color w:val="auto"/>
          <w:sz w:val="28"/>
          <w:highlight w:val="none"/>
          <w:lang w:val="zh-CN"/>
        </w:rPr>
        <w:t xml:space="preserve">★</w:t>
      </w:r>
      <w:r>
        <w:rPr>
          <w:rFonts w:hint="eastAsia" w:ascii="宋体" w:hAnsi="宋体" w:cs="宋体"/>
          <w:color w:val="auto"/>
          <w:sz w:val="28"/>
          <w:szCs w:val="28"/>
          <w:highlight w:val="none"/>
        </w:rPr>
        <w:t xml:space="preserve">基材：全部采用优质E0级环保多层实木板，甲醛释放量≤0.05mg/m³，含水率≤1</w:t>
      </w:r>
      <w:r>
        <w:rPr>
          <w:rFonts w:ascii="宋体" w:hAnsi="宋体" w:cs="宋体"/>
          <w:color w:val="auto"/>
          <w:sz w:val="28"/>
          <w:szCs w:val="28"/>
          <w:highlight w:val="none"/>
        </w:rPr>
        <w:t xml:space="preserve">0%</w:t>
      </w:r>
      <w:r>
        <w:rPr>
          <w:rFonts w:hint="eastAsia" w:ascii="宋体" w:hAnsi="宋体" w:cs="宋体"/>
          <w:color w:val="auto"/>
          <w:sz w:val="28"/>
          <w:szCs w:val="28"/>
          <w:highlight w:val="none"/>
        </w:rPr>
        <w:t xml:space="preserve">，提供国家认可的第三方检测机构出具的检测报告。</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仿宋" w:hAnsi="仿宋" w:eastAsia="仿宋" w:cs="仿宋"/>
          <w:b/>
          <w:color w:val="auto"/>
          <w:sz w:val="28"/>
          <w:highlight w:val="none"/>
          <w:lang w:val="zh-CN"/>
        </w:rPr>
        <w:t xml:space="preserve">★</w:t>
      </w:r>
      <w:r>
        <w:rPr>
          <w:rFonts w:hint="eastAsia" w:ascii="宋体" w:hAnsi="宋体" w:cs="宋体"/>
          <w:color w:val="auto"/>
          <w:sz w:val="28"/>
          <w:szCs w:val="28"/>
          <w:highlight w:val="none"/>
        </w:rPr>
        <w:t xml:space="preserve">厚度：桌面厚度≥25mm，侧板、门板等其他部位层板厚度≥18mm，背板厚度≥9mm，采用同材质板材。所有板材（含背板）正反面饰面一致。</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仿宋" w:hAnsi="仿宋" w:eastAsia="仿宋" w:cs="仿宋"/>
          <w:b/>
          <w:color w:val="auto"/>
          <w:sz w:val="28"/>
          <w:highlight w:val="none"/>
          <w:lang w:val="zh-CN"/>
        </w:rPr>
        <w:t xml:space="preserve">★</w:t>
      </w:r>
      <w:r>
        <w:rPr>
          <w:rFonts w:hint="eastAsia" w:ascii="宋体" w:hAnsi="宋体" w:cs="宋体"/>
          <w:color w:val="auto"/>
          <w:sz w:val="28"/>
          <w:szCs w:val="28"/>
          <w:highlight w:val="none"/>
        </w:rPr>
        <w:t xml:space="preserve">贴面与封边：采用优质三聚氰胺饰面纸，耐磨、耐划。所有板材截面必须采用全自动封边机进行四周封边（背板靠墙侧可不封），封边条厚度≥1.2mm，颜色与板材一致，要求密封性好，无脱胶、透胶、鼓泡。</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w:t>
      </w:r>
      <w:r>
        <w:rPr>
          <w:rFonts w:hint="eastAsia" w:ascii="仿宋" w:hAnsi="仿宋" w:eastAsia="仿宋" w:cs="仿宋"/>
          <w:b/>
          <w:color w:val="auto"/>
          <w:sz w:val="28"/>
          <w:highlight w:val="none"/>
        </w:rPr>
        <w:t xml:space="preserve">●</w:t>
      </w:r>
      <w:r>
        <w:rPr>
          <w:rFonts w:hint="eastAsia" w:ascii="宋体" w:hAnsi="宋体" w:cs="宋体"/>
          <w:color w:val="auto"/>
          <w:sz w:val="28"/>
          <w:szCs w:val="28"/>
          <w:highlight w:val="none"/>
        </w:rPr>
        <w:t xml:space="preserve">组合配置（每个独立床位）：</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（1）书桌：面向床头或床尾，深度≥4</w:t>
      </w:r>
      <w:r>
        <w:rPr>
          <w:rFonts w:ascii="宋体" w:hAnsi="宋体" w:cs="宋体"/>
          <w:color w:val="auto"/>
          <w:sz w:val="28"/>
          <w:szCs w:val="28"/>
          <w:highlight w:val="none"/>
        </w:rPr>
        <w:t xml:space="preserve">5</w:t>
      </w:r>
      <w:r>
        <w:rPr>
          <w:rFonts w:hint="eastAsia" w:ascii="宋体" w:hAnsi="宋体" w:cs="宋体"/>
          <w:color w:val="auto"/>
          <w:sz w:val="28"/>
          <w:szCs w:val="28"/>
          <w:highlight w:val="none"/>
        </w:rPr>
        <w:t xml:space="preserve">0mm，长度≥850mm，高度≥800mm。内外侧与床铺基本齐平，桌腿支撑考虑入座体验，呈弧形方便进出，下设两个独立抽屉，配暗装不锈钢拉手及不锈钢挂锁鼻。</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（2）书架：位于桌面上方，分为三层，高度≥300mm，深度≥240mm，书架背板全覆盖，布局合理、结构牢固耐久、并兼顾美观实用。</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（3）衣柜：宽≥700mm，深≥850mm，高≥1750mm。内外侧与床铺基本齐平，柜体分上下两层，下层内置内一根挂衣杆（壁厚≥1.0mm的304不锈钢）。采用对开门，配暗装不锈钢拉手及不锈钢挂锁鼻。</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（4）脚垫：脚垫采用铝压铸一次成型，底部设有水平调节螺丝，两端与25mm×25mm×1.0mm方钢管相结合，一并连接到柜体。</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w:t>
      </w:r>
      <w:r>
        <w:rPr>
          <w:rFonts w:hint="eastAsia" w:ascii="仿宋" w:hAnsi="仿宋" w:eastAsia="仿宋" w:cs="仿宋"/>
          <w:b/>
          <w:color w:val="auto"/>
          <w:sz w:val="28"/>
          <w:highlight w:val="none"/>
          <w:lang w:val="zh-CN"/>
        </w:rPr>
        <w:t xml:space="preserve">★</w:t>
      </w:r>
      <w:r>
        <w:rPr>
          <w:rFonts w:hint="eastAsia" w:ascii="宋体" w:hAnsi="宋体" w:cs="宋体"/>
          <w:color w:val="auto"/>
          <w:sz w:val="28"/>
          <w:szCs w:val="28"/>
          <w:highlight w:val="none"/>
        </w:rPr>
        <w:t xml:space="preserve">柜门铰链：采用优质阻尼缓冲铰链（二段力）。</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w:t>
      </w:r>
      <w:r>
        <w:rPr>
          <w:rFonts w:hint="eastAsia" w:ascii="仿宋" w:hAnsi="仿宋" w:eastAsia="仿宋" w:cs="仿宋"/>
          <w:b/>
          <w:color w:val="auto"/>
          <w:sz w:val="28"/>
          <w:highlight w:val="none"/>
          <w:lang w:val="zh-CN"/>
        </w:rPr>
        <w:t xml:space="preserve">★</w:t>
      </w:r>
      <w:r>
        <w:rPr>
          <w:rFonts w:hint="eastAsia" w:ascii="宋体" w:hAnsi="宋体" w:cs="宋体"/>
          <w:color w:val="auto"/>
          <w:sz w:val="28"/>
          <w:szCs w:val="28"/>
          <w:highlight w:val="none"/>
        </w:rPr>
        <w:t xml:space="preserve">抽屉滑轨：采用优质三节静音金属滑轨。</w:t>
      </w:r>
      <w:r/>
    </w:p>
    <w:p>
      <w:pPr>
        <w:ind w:firstLine="560"/>
        <w:spacing w:line="460" w:lineRule="exact"/>
        <w:tabs>
          <w:tab w:val="left" w:pos="1230" w:leader="none"/>
        </w:tabs>
        <w:rPr>
          <w:rFonts w:ascii="宋体" w:hAnsi="宋体" w:cs="宋体"/>
          <w:color w:val="auto"/>
          <w:sz w:val="28"/>
          <w:szCs w:val="28"/>
          <w:highlight w:val="none"/>
        </w:rPr>
        <w:outlineLvl w:val="1"/>
      </w:pPr>
      <w:r>
        <w:rPr>
          <w:rFonts w:hint="eastAsia" w:ascii="宋体" w:hAnsi="宋体" w:cs="宋体"/>
          <w:color w:val="auto"/>
          <w:sz w:val="28"/>
          <w:szCs w:val="28"/>
          <w:highlight w:val="none"/>
        </w:rPr>
        <w:t xml:space="preserve">（三）</w:t>
      </w:r>
      <w:r>
        <w:rPr>
          <w:rFonts w:hint="eastAsia" w:ascii="仿宋" w:hAnsi="仿宋" w:eastAsia="仿宋" w:cs="仿宋"/>
          <w:b/>
          <w:color w:val="auto"/>
          <w:sz w:val="28"/>
          <w:highlight w:val="none"/>
        </w:rPr>
        <w:t xml:space="preserve">●</w:t>
      </w:r>
      <w:r>
        <w:rPr>
          <w:rFonts w:hint="eastAsia" w:ascii="宋体" w:hAnsi="宋体" w:cs="宋体"/>
          <w:color w:val="auto"/>
          <w:sz w:val="28"/>
          <w:szCs w:val="28"/>
          <w:highlight w:val="none"/>
        </w:rPr>
        <w:t xml:space="preserve">其他部分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1、蚊帐架：采用≥φ20mm×1.2mm的304不锈钢圆管。蚊帐竖管插接在床立柱上端，通过立柱上一体成型环保级PP蚊帐杆套连接，上带螺纹式旋钮，通过螺纹式旋钮胀紧蚊帐杆，锁定后受力不滑动。蚊帐架高度≥</w:t>
      </w:r>
      <w:r>
        <w:rPr>
          <w:rFonts w:ascii="宋体" w:hAnsi="宋体" w:cs="宋体"/>
          <w:color w:val="auto"/>
          <w:sz w:val="28"/>
          <w:szCs w:val="28"/>
          <w:highlight w:val="none"/>
        </w:rPr>
        <w:t xml:space="preserve">3</w:t>
      </w:r>
      <w:r>
        <w:rPr>
          <w:rFonts w:hint="eastAsia" w:ascii="宋体" w:hAnsi="宋体" w:cs="宋体"/>
          <w:color w:val="auto"/>
          <w:sz w:val="28"/>
          <w:szCs w:val="28"/>
          <w:highlight w:val="none"/>
        </w:rPr>
        <w:t xml:space="preserve">400mm（距地面），蚊帐横管与竖管采用PP三通和四通蚊帐套连接。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仿宋" w:hAnsi="仿宋" w:eastAsia="仿宋" w:cs="仿宋"/>
          <w:b/>
          <w:color w:val="auto"/>
          <w:sz w:val="28"/>
          <w:highlight w:val="none"/>
          <w:lang w:val="zh-CN"/>
        </w:rPr>
        <w:t xml:space="preserve">★</w:t>
      </w:r>
      <w:r>
        <w:rPr>
          <w:rFonts w:hint="eastAsia" w:ascii="宋体" w:hAnsi="宋体" w:cs="宋体"/>
          <w:color w:val="auto"/>
          <w:sz w:val="28"/>
          <w:szCs w:val="28"/>
          <w:highlight w:val="none"/>
        </w:rPr>
        <w:t xml:space="preserve">人体工程座椅：无扶手，靠背款（整体尺寸约为5</w:t>
      </w:r>
      <w:r>
        <w:rPr>
          <w:rFonts w:ascii="宋体" w:hAnsi="宋体" w:cs="宋体"/>
          <w:color w:val="auto"/>
          <w:sz w:val="28"/>
          <w:szCs w:val="28"/>
          <w:highlight w:val="none"/>
        </w:rPr>
        <w:t xml:space="preserve">0</w:t>
      </w:r>
      <w:r>
        <w:rPr>
          <w:rFonts w:hint="eastAsia" w:ascii="宋体" w:hAnsi="宋体" w:cs="宋体"/>
          <w:color w:val="auto"/>
          <w:sz w:val="28"/>
          <w:szCs w:val="28"/>
          <w:highlight w:val="none"/>
        </w:rPr>
        <w:t xml:space="preserve">0mm×5</w:t>
      </w:r>
      <w:r>
        <w:rPr>
          <w:rFonts w:ascii="宋体" w:hAnsi="宋体" w:cs="宋体"/>
          <w:color w:val="auto"/>
          <w:sz w:val="28"/>
          <w:szCs w:val="28"/>
          <w:highlight w:val="none"/>
        </w:rPr>
        <w:t xml:space="preserve">0</w:t>
      </w:r>
      <w:r>
        <w:rPr>
          <w:rFonts w:hint="eastAsia" w:ascii="宋体" w:hAnsi="宋体" w:cs="宋体"/>
          <w:color w:val="auto"/>
          <w:sz w:val="28"/>
          <w:szCs w:val="28"/>
          <w:highlight w:val="none"/>
        </w:rPr>
        <w:t xml:space="preserve">0mm×</w:t>
      </w:r>
      <w:r>
        <w:rPr>
          <w:rFonts w:ascii="宋体" w:hAnsi="宋体" w:cs="宋体"/>
          <w:color w:val="auto"/>
          <w:sz w:val="28"/>
          <w:szCs w:val="28"/>
          <w:highlight w:val="none"/>
        </w:rPr>
        <w:t xml:space="preserve">85</w:t>
      </w:r>
      <w:r>
        <w:rPr>
          <w:rFonts w:hint="eastAsia" w:ascii="宋体" w:hAnsi="宋体" w:cs="宋体"/>
          <w:color w:val="auto"/>
          <w:sz w:val="28"/>
          <w:szCs w:val="28"/>
          <w:highlight w:val="none"/>
        </w:rPr>
        <w:t xml:space="preserve">0mm，坐高约450mm），适合学生公寓使用。采用工程塑料（PP）一体注塑成型，坐板和靠背连接处采用双层注塑工艺，底部带防滑静音脚垫。人体工程座椅整体承重≥150kg，符合QB/T 4880-2015《注塑塑料椅》或通过GB/T 10357.3-2013等力学性能测试。</w:t>
      </w:r>
      <w:r/>
    </w:p>
    <w:p>
      <w:pPr>
        <w:ind w:firstLine="562"/>
        <w:spacing w:line="460" w:lineRule="exact"/>
        <w:rPr>
          <w:rFonts w:ascii="宋体" w:hAnsi="宋体" w:cs="宋体"/>
          <w:b/>
          <w:color w:val="auto"/>
          <w:sz w:val="28"/>
          <w:szCs w:val="28"/>
          <w:highlight w:val="none"/>
        </w:rPr>
        <w:outlineLvl w:val="0"/>
      </w:pPr>
      <w:r>
        <w:rPr>
          <w:rFonts w:hint="eastAsia" w:ascii="宋体" w:hAnsi="宋体" w:cs="宋体"/>
          <w:b/>
          <w:color w:val="auto"/>
          <w:sz w:val="28"/>
          <w:szCs w:val="28"/>
          <w:highlight w:val="none"/>
        </w:rPr>
        <w:t xml:space="preserve">六、质量环保</w:t>
      </w:r>
      <w:r/>
    </w:p>
    <w:p>
      <w:pPr>
        <w:ind w:firstLine="560"/>
        <w:spacing w:line="460" w:lineRule="exact"/>
        <w:tabs>
          <w:tab w:val="left" w:pos="1230" w:leader="none"/>
        </w:tabs>
        <w:rPr>
          <w:rFonts w:ascii="宋体" w:hAnsi="宋体" w:cs="宋体"/>
          <w:color w:val="auto"/>
          <w:sz w:val="28"/>
          <w:szCs w:val="28"/>
          <w:highlight w:val="none"/>
        </w:rPr>
        <w:outlineLvl w:val="1"/>
      </w:pPr>
      <w:r>
        <w:rPr>
          <w:rFonts w:hint="eastAsia" w:ascii="宋体" w:hAnsi="宋体" w:cs="宋体"/>
          <w:color w:val="auto"/>
          <w:sz w:val="28"/>
          <w:szCs w:val="28"/>
          <w:highlight w:val="none"/>
        </w:rPr>
        <w:t xml:space="preserve">（一）执行标准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投标产品的技术标准按国家标准执行，无国家标准的，按行业标准执行；无国家和行业标准的，按企业标准执行；但在招标文件中有特别要求的，按招标文件中规定的要求执行，并且符合相关法律、法规规定的要求。</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2、项目提供的技术要求（规格）只是对产品的一些原则性要求，并不是最详尽的描述和要求，投标供应商有责任依据相关设计技术规范和有关行业国家标准执行。</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3、投标供应商应保证提供的产品不得侵犯第三方专利权、商标权和设计权、版权等。否则，投标供应商应负全部责任，并承担由此引起的一切后果。</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4、本项目执行但不限于如下标准：</w:t>
      </w:r>
      <w:r>
        <w:rPr>
          <w:rFonts w:ascii="宋体" w:hAnsi="宋体" w:cs="宋体"/>
          <w:color w:val="auto"/>
          <w:sz w:val="28"/>
          <w:szCs w:val="28"/>
          <w:highlight w:val="none"/>
        </w:rPr>
        <w:t xml:space="preserve">QB/T 2741-2013</w:t>
      </w:r>
      <w:r>
        <w:rPr>
          <w:rFonts w:hint="eastAsia" w:ascii="宋体" w:hAnsi="宋体" w:cs="宋体"/>
          <w:color w:val="auto"/>
          <w:sz w:val="28"/>
          <w:szCs w:val="28"/>
          <w:highlight w:val="none"/>
        </w:rPr>
        <w:t xml:space="preserve">《学生公寓多功能家具》、GB/T3324-2017《木家具通用技术条件》、GB/T3325-2024《金属家具通用技术条件》、GB18580-2017《室内装饰装修材料人造板及其制品中甲醛释放限量》、GB18584-2024《家具中有害物质限量》、GB/T35607-2024《绿色产品评价家具》。人体工程座椅符合QB/T 4880-2015《注塑塑料椅》或通过GB/T 10357.3-2013等力学性能测试。</w:t>
      </w:r>
      <w:r/>
    </w:p>
    <w:p>
      <w:pPr>
        <w:ind w:firstLine="560"/>
        <w:spacing w:line="460" w:lineRule="exact"/>
        <w:tabs>
          <w:tab w:val="left" w:pos="1230" w:leader="none"/>
        </w:tabs>
        <w:rPr>
          <w:rFonts w:ascii="宋体" w:hAnsi="宋体" w:cs="宋体"/>
          <w:color w:val="auto"/>
          <w:sz w:val="28"/>
          <w:szCs w:val="28"/>
          <w:highlight w:val="none"/>
        </w:rPr>
        <w:outlineLvl w:val="1"/>
      </w:pPr>
      <w:r>
        <w:rPr>
          <w:rFonts w:hint="eastAsia" w:ascii="宋体" w:hAnsi="宋体" w:cs="宋体"/>
          <w:color w:val="auto"/>
          <w:sz w:val="28"/>
          <w:szCs w:val="28"/>
          <w:highlight w:val="none"/>
        </w:rPr>
        <w:t xml:space="preserve">（二）安全要求</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1、所有边角、管口必须进行圆角或打磨处理，无毛刺、尖锐棱角。</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2、所有连接件、紧固件需做防松、防锈处理。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3、床体与墙体连接处需提供防倾倒固定装置。</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4、所有与地面接触处均应采用脚套或脚垫。</w:t>
      </w:r>
      <w:r/>
    </w:p>
    <w:p>
      <w:pPr>
        <w:ind w:firstLine="562"/>
        <w:spacing w:line="460" w:lineRule="exact"/>
        <w:rPr>
          <w:rFonts w:ascii="宋体" w:hAnsi="宋体" w:cs="宋体"/>
          <w:b/>
          <w:color w:val="auto"/>
          <w:sz w:val="28"/>
          <w:szCs w:val="28"/>
          <w:highlight w:val="none"/>
        </w:rPr>
        <w:outlineLvl w:val="0"/>
      </w:pPr>
      <w:r>
        <w:rPr>
          <w:rFonts w:hint="eastAsia" w:ascii="宋体" w:hAnsi="宋体" w:cs="宋体"/>
          <w:b/>
          <w:color w:val="auto"/>
          <w:sz w:val="28"/>
          <w:szCs w:val="28"/>
          <w:highlight w:val="none"/>
        </w:rPr>
        <w:t xml:space="preserve">七、验收标准和售后服务</w:t>
      </w:r>
      <w:r/>
    </w:p>
    <w:p>
      <w:pPr>
        <w:ind w:firstLine="562"/>
        <w:spacing w:line="460" w:lineRule="exact"/>
        <w:tabs>
          <w:tab w:val="left" w:pos="1230" w:leader="none"/>
        </w:tabs>
        <w:rPr>
          <w:rFonts w:ascii="宋体" w:hAnsi="宋体" w:cs="宋体"/>
          <w:b/>
          <w:bCs/>
          <w:color w:val="auto"/>
          <w:sz w:val="28"/>
          <w:szCs w:val="28"/>
          <w:highlight w:val="none"/>
        </w:rPr>
        <w:outlineLvl w:val="1"/>
      </w:pPr>
      <w:r>
        <w:rPr>
          <w:rFonts w:hint="eastAsia" w:ascii="宋体" w:hAnsi="宋体" w:cs="宋体"/>
          <w:b/>
          <w:bCs/>
          <w:color w:val="auto"/>
          <w:sz w:val="28"/>
          <w:szCs w:val="28"/>
          <w:highlight w:val="none"/>
        </w:rPr>
        <w:t xml:space="preserve">（一）验收标准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1、该批货物均按国家相关技术标准验收。</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所有公寓床及配套设施的规格、技术指标均不低于本招标文件所提“项目需求”，满足的质量、安全、技术规格、物理特性等要求，结合供应商的性能优化方案（包括原料、配件、生产、安装、验收、售后服务等）和提供的样品为验收依据。</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中标人所供产品应按国家相关强制标准或行业标准进行设计和制造。产品及其原材料应符合国家规定的强制性环保要求，所使用的主辅材料应符合国家环保标准。证明投标人所提供货物与招标文件的要求相一致的文件可以是说明书、手册、图纸、图片、文字资料。数据和承诺函等。</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4、中标人须保证本项目所需主要标的及核心产品是在中标人提交投标文件中指定的生产基地生产制造的。否则视为违约，终止合同，没收全额履约保证金。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原材料进场时、发货前中标人均应通知采购人进行验收，喷涂前提供本批次原材料（与商务技术标中的原材料检测响应情况一致）符合要求的完整的检测报告（含封底及封面），发货前提供本批次成品（与商务技术标中的成品检测响应情况一致）符合要求的完整的检测报告（含封底及封面），如未提供或提供不全、提供的材料不符合要求将不予验收，由此引起的一切后果由中标人承担。相关费用由中标人自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为保证采购人权益，在货物生产过程中采购人有权随时监督生产情况。监督过程中中标人需提供以下材料：①制造商必须提供产品相应生产证明（包括但不限于原材料采购证明，生产单、下料单等相关资料）。②所有家具成品必须附带原厂证明文件（包括但不限于发货单、保修卡等相关资料）。③若所供产品生产渠道不明确、检测不合格。采购人有权拒绝收货，并根据合同及相关政策法规进行处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7、中标人提供的货物必须达到或优于招标文件“采购清单”技术需求中各项指标参数。采购人在例行送检之外将随机抽检家具原材料、家具成品，检验机构为通过国家计量认证的第三方检测机构。对于产品的任何技术及质量不合格，中标人承担检测费用，采购人有权拒收、部分拒收、退货、部分退货直至解除本合同，同时采购人有权保留使用该产品直至供应商提供合格产品替换，并要求中标人支付因此造成的所有损失。破拆部件由中标人负责补齐且采购人不支付任何补偿费用。</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8、中标人交付的货物质量不得低于投标响应文件中产品生产工艺方案要求，否则采购人有权拒收、部分拒收、退货、部分退货直至解除本合同，同时采购人有权保留使用该产品直至供应商提供合格产品替换，并要求中标人支付因此造成的所有损失。</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9、验收不合格处理：如验收不通过，中标人需在规定时间内进行整改或更换，直至合格。由此产生的费用由中标人承担，由此造成的所有损失及一切后果由中标人承担。</w:t>
      </w:r>
      <w:r/>
    </w:p>
    <w:p>
      <w:pPr>
        <w:ind w:firstLine="562"/>
        <w:spacing w:line="460" w:lineRule="exact"/>
        <w:tabs>
          <w:tab w:val="left" w:pos="1230" w:leader="none"/>
        </w:tabs>
        <w:rPr>
          <w:rFonts w:ascii="宋体" w:hAnsi="宋体" w:cs="宋体"/>
          <w:b/>
          <w:bCs/>
          <w:color w:val="auto"/>
          <w:sz w:val="28"/>
          <w:szCs w:val="28"/>
          <w:highlight w:val="none"/>
        </w:rPr>
        <w:outlineLvl w:val="1"/>
      </w:pPr>
      <w:r>
        <w:rPr>
          <w:rFonts w:hint="eastAsia" w:ascii="宋体" w:hAnsi="宋体" w:cs="宋体"/>
          <w:b/>
          <w:bCs/>
          <w:color w:val="auto"/>
          <w:sz w:val="28"/>
          <w:szCs w:val="28"/>
          <w:highlight w:val="none"/>
        </w:rPr>
        <w:t xml:space="preserve">（二）售后服务</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1、质保期：自验收合格之日起，钢结构部分质保不少于10年，木质部分及五金件等质保不少于6年。</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售后服务：质保期内，产品出现任何质量问题，中标人须在接到报修通知后2小时内响应，24小时内到达现场处理。非人为损坏，由中标人负责修复或更换；人为损坏，由中标人负责修复，只收取采购方材料费；质保期内，如中标人在接到采购方维修通知后，24小时内未处理，采购方有权请第三方处理，所发生的费用由中标人全额负担，从履约保证金中扣除。</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3、备品备件：提供质保期内必要的易损件（如螺丝、脚垫等）备件清单及单价。质保期满后，中标人须承诺保证特殊零配件供应，按成本收取。</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4、培训：向学校宿舍管理等技术人员提供日常清洁、维护、简单调节的培训。</w:t>
      </w:r>
      <w:r/>
    </w:p>
    <w:p>
      <w:pPr>
        <w:ind w:firstLine="562"/>
        <w:spacing w:line="460" w:lineRule="exact"/>
        <w:rPr>
          <w:rFonts w:ascii="宋体" w:hAnsi="宋体" w:cs="宋体"/>
          <w:b/>
          <w:color w:val="auto"/>
          <w:sz w:val="28"/>
          <w:szCs w:val="28"/>
          <w:highlight w:val="none"/>
        </w:rPr>
        <w:outlineLvl w:val="0"/>
      </w:pPr>
      <w:r>
        <w:rPr>
          <w:rFonts w:hint="eastAsia" w:ascii="宋体" w:hAnsi="宋体" w:cs="宋体"/>
          <w:b/>
          <w:color w:val="auto"/>
          <w:sz w:val="28"/>
          <w:szCs w:val="28"/>
          <w:highlight w:val="none"/>
        </w:rPr>
        <w:t xml:space="preserve">八、其他说明</w:t>
      </w:r>
      <w:r/>
    </w:p>
    <w:p>
      <w:pPr>
        <w:ind w:firstLine="560"/>
        <w:spacing w:line="460" w:lineRule="exact"/>
        <w:tabs>
          <w:tab w:val="left" w:pos="1230" w:leader="none"/>
        </w:tabs>
        <w:rPr>
          <w:rFonts w:ascii="宋体" w:hAnsi="宋体" w:cs="宋体"/>
          <w:color w:val="auto"/>
          <w:sz w:val="28"/>
          <w:szCs w:val="28"/>
          <w:highlight w:val="none"/>
        </w:rPr>
        <w:outlineLvl w:val="1"/>
      </w:pPr>
      <w:r>
        <w:rPr>
          <w:rFonts w:hint="eastAsia" w:ascii="宋体" w:hAnsi="宋体" w:cs="宋体"/>
          <w:color w:val="auto"/>
          <w:sz w:val="28"/>
          <w:szCs w:val="28"/>
          <w:highlight w:val="none"/>
        </w:rPr>
        <w:t xml:space="preserve">（一）原材料环保要求</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1、投标供应商中标后，应提供家具材质清单、原材料产地证明，需就拟投入本项目生产的原材料和主要辅材进行送检，送检内容和受检机构需经采购方认可。</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2、原材料及辅材产品应符合国家规定的强制性环保指标，并达到以下要求（提供由中标人送检、经有资质的第三方出具的有效检测报告），免漆多层实木板（甲醛释放量不高于国家标准）。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3、经采购人确认中标人提供的主材相关指标符合采购方要求后，中标人可按要求组织生产。否则，后果由中标人承担。</w:t>
      </w:r>
      <w:r/>
    </w:p>
    <w:p>
      <w:pPr>
        <w:ind w:firstLine="560"/>
        <w:spacing w:line="460" w:lineRule="exact"/>
        <w:tabs>
          <w:tab w:val="left" w:pos="1230" w:leader="none"/>
        </w:tabs>
        <w:rPr>
          <w:rFonts w:ascii="宋体" w:hAnsi="宋体" w:cs="宋体"/>
          <w:color w:val="auto"/>
          <w:sz w:val="28"/>
          <w:szCs w:val="28"/>
          <w:highlight w:val="none"/>
        </w:rPr>
        <w:outlineLvl w:val="1"/>
      </w:pPr>
      <w:r>
        <w:rPr>
          <w:rFonts w:hint="eastAsia" w:ascii="宋体" w:hAnsi="宋体" w:cs="宋体"/>
          <w:color w:val="auto"/>
          <w:sz w:val="28"/>
          <w:szCs w:val="28"/>
          <w:highlight w:val="none"/>
        </w:rPr>
        <w:t xml:space="preserve">（二）设计、制造相关问题</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1、采购家具数量、规格、材质及工艺要求，详见项目需求清单。</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招标文件所附的图样为示意图，材质及工艺要求中有关技术指标为本次采购的最低要求。投标供应商应在不低于本招标文件所提“项目需求”，在满足的质量、安全、技术规格、物理特性等前提下，优化设计方案（包括原料、配件、生产、安装、验收、售后服务等），但尺寸需满足现场需求。</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3、须说明家具在生产安装过程中，所采用的主要配件的名称及生产厂家，并提供相应的技术说明书。所有内部配件（螺丝等）必须进行防腐蚀处理。</w:t>
      </w:r>
      <w:r/>
    </w:p>
    <w:p>
      <w:pPr>
        <w:ind w:firstLine="562"/>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4、所供产品的颜色与款式等最终由采购方确定后才可确定或生产。</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所供产品应按国家相关强制标准或行业标准进行设计和制造。所使用的主辅材料应符合国家环保标准。中标人应提供家具材质清单、原材料检验报告、材料产地证明。须说明家具在生产安装过程中，所采用的主要配件的名称及生产厂家，并提供相应的技术说明书。同时，还需提供中标人拥有的大型生产设备清单及证明文件。证明中标人所提供货物与招标文件的要求相一致的文件可以是说明书、手册、图纸、</w:t>
      </w:r>
      <w:r>
        <w:rPr>
          <w:rFonts w:hint="eastAsia" w:ascii="宋体" w:hAnsi="宋体"/>
          <w:color w:val="auto"/>
          <w:sz w:val="28"/>
          <w:szCs w:val="28"/>
          <w:highlight w:val="none"/>
        </w:rPr>
        <w:t xml:space="preserve">图片、文字资料、数据和承诺函</w:t>
      </w:r>
      <w:r>
        <w:rPr>
          <w:rFonts w:hint="eastAsia" w:ascii="宋体" w:hAnsi="宋体" w:cs="宋体"/>
          <w:color w:val="auto"/>
          <w:sz w:val="28"/>
          <w:szCs w:val="28"/>
          <w:highlight w:val="none"/>
        </w:rPr>
        <w:t xml:space="preserve">等。</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6、投标供</w:t>
      </w:r>
      <w:r>
        <w:rPr>
          <w:rFonts w:hint="eastAsia" w:ascii="宋体" w:hAnsi="宋体" w:cs="宋体"/>
          <w:color w:val="auto"/>
          <w:sz w:val="28"/>
          <w:szCs w:val="28"/>
          <w:highlight w:val="none"/>
        </w:rPr>
        <w:t xml:space="preserve">应商报价中包括完成本项目所需的全部材料费、加工制作费、包装费、运输保险费、安装费、调试费、检测费、力支费、利润、税费、合同包含的所有风险、责任等及投标供应商认为需要的其他费用等，且该价格不因市场价格因素及政策性调整的变化而调整。投标供应商应自行咨询、踏勘现场（联系人：宋老师，电话：18362805271），充分了解现场任何影响投标报价之情况，根据现场情况考虑相应的运输、上楼搬运、分楼分层安装等工作实际，并将相关费用考虑在报价中，任何忽视、猜测、或误解现场情况而导致的成本增加或工期延长等，采购方一律不予认可。</w:t>
      </w:r>
      <w:r/>
    </w:p>
    <w:p>
      <w:pPr>
        <w:ind w:firstLine="560"/>
        <w:spacing w:line="460" w:lineRule="exact"/>
        <w:tabs>
          <w:tab w:val="left" w:pos="1230" w:leader="none"/>
        </w:tabs>
        <w:rPr>
          <w:rFonts w:ascii="宋体" w:hAnsi="宋体" w:cs="宋体"/>
          <w:color w:val="auto"/>
          <w:sz w:val="28"/>
          <w:szCs w:val="28"/>
          <w:highlight w:val="none"/>
        </w:rPr>
        <w:outlineLvl w:val="1"/>
      </w:pPr>
      <w:r>
        <w:rPr>
          <w:rFonts w:hint="eastAsia" w:ascii="宋体" w:hAnsi="宋体" w:cs="宋体"/>
          <w:color w:val="auto"/>
          <w:sz w:val="28"/>
          <w:szCs w:val="28"/>
          <w:highlight w:val="none"/>
        </w:rPr>
        <w:t xml:space="preserve">（三）安装和调试等</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1、中标人负责标的物的现场安装、调试；</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2、中标人免费提供标的物组装和一般维修所必需的工具；</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3、中标人在合同规定的期限内对所提供的标的物实行现场维护，随时处理存在的故障，如现场不能维修解决的故障问题，须提供故障不能排除时的解决方案。</w:t>
      </w:r>
      <w:r/>
    </w:p>
    <w:p>
      <w:pPr>
        <w:ind w:firstLine="560"/>
        <w:spacing w:line="460" w:lineRule="exact"/>
        <w:tabs>
          <w:tab w:val="left" w:pos="1230" w:leader="none"/>
        </w:tabs>
        <w:rPr>
          <w:rFonts w:ascii="宋体" w:hAnsi="宋体" w:cs="宋体"/>
          <w:color w:val="auto"/>
          <w:sz w:val="28"/>
          <w:szCs w:val="28"/>
          <w:highlight w:val="none"/>
        </w:rPr>
        <w:outlineLvl w:val="1"/>
      </w:pPr>
      <w:r>
        <w:rPr>
          <w:rFonts w:hint="eastAsia" w:ascii="宋体" w:hAnsi="宋体" w:cs="宋体"/>
          <w:color w:val="auto"/>
          <w:sz w:val="28"/>
          <w:szCs w:val="28"/>
          <w:highlight w:val="none"/>
        </w:rPr>
        <w:t xml:space="preserve">（四）供货时间和地点等</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1、交货时间及相关要求：中标人确保2026年8月25日前在采购方指定地点安装、调试完成，并验收合格交付采购方使用。中标人如不能按期进场或按期交付使用，每滞后一天，中标人承担</w:t>
      </w:r>
      <w:r>
        <w:rPr>
          <w:rFonts w:ascii="宋体" w:hAnsi="宋体" w:cs="宋体"/>
          <w:color w:val="auto"/>
          <w:sz w:val="28"/>
          <w:szCs w:val="28"/>
          <w:highlight w:val="none"/>
        </w:rPr>
        <w:t xml:space="preserve">10</w:t>
      </w:r>
      <w:r>
        <w:rPr>
          <w:rFonts w:hint="eastAsia" w:ascii="宋体" w:hAnsi="宋体" w:cs="宋体"/>
          <w:color w:val="auto"/>
          <w:sz w:val="28"/>
          <w:szCs w:val="28"/>
          <w:highlight w:val="none"/>
        </w:rPr>
        <w:t xml:space="preserve">000.00元/天的延期违约金，违约金首先从合同履约保证金中扣除，违约金超出履约保证金的部分从总合同价款中扣除。</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2、交货地点：江苏商贸职业学院校内新建宿舍楼指定地点。</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3、标的物的交付：标的物的所有权自标的物交付时转移。投标供应商应当按照约定或者交易习惯向采购方交付提取标的物单证以外的有关单证和资料。</w:t>
      </w:r>
      <w:r/>
    </w:p>
    <w:p>
      <w:pPr>
        <w:ind w:firstLine="560"/>
        <w:spacing w:line="460" w:lineRule="exact"/>
        <w:tabs>
          <w:tab w:val="left" w:pos="1230" w:leader="none"/>
        </w:tabs>
        <w:rPr>
          <w:rFonts w:ascii="宋体" w:hAnsi="宋体" w:cs="宋体"/>
          <w:color w:val="auto"/>
          <w:sz w:val="28"/>
          <w:szCs w:val="28"/>
          <w:highlight w:val="none"/>
        </w:rPr>
        <w:outlineLvl w:val="1"/>
      </w:pPr>
      <w:r>
        <w:rPr>
          <w:rFonts w:hint="eastAsia" w:ascii="宋体" w:hAnsi="宋体" w:cs="宋体"/>
          <w:color w:val="auto"/>
          <w:sz w:val="28"/>
          <w:szCs w:val="28"/>
          <w:highlight w:val="none"/>
        </w:rPr>
        <w:t xml:space="preserve">（五）成交付款等</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1、签订合同日期：自采购中心中标通知书发出之日起30日内按时签约。</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2、项目履约保证金：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2.1本项目中标后的履约保证金为项目中标价的10%，中标人的履约保证金须在中标通知书发出之日起至合同签订前汇入采购人账户（应当以数字人民币、支票、汇票或者金融机构、担保机构出具的保函等非现金形式提交），中标人凭中标通知书与采购人签订合同。超期或未有协商，则视为自动放弃中标资格。</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中标人全部履约合同义务，经采购人验收合格无质量、进度等问题的，采购人在本项目质保期满后，由中标人提出退款申请后30日内一次性退还履约保证金，采购人若逾期退还履约保证金的，按照逾期部分的每日0.05%支付违约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2.3发生以下情况的，履约保证金不予退还或部分退还：</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a.签订合同后，中标人不履行合同义务的，采购人有权全额扣除履约保证金，全额不予退还，同时采购人亦有权终止合同，中标人还须承担相应的法律赔偿责任。</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b.中标人在履约过程中发生违约行为，给采购人造成损失的，采购人有权在中标人缴纳的履约保证金中予以扣款，以弥补采购人经济损失，不足的部分中标人另外补齐。</w:t>
      </w:r>
      <w:r/>
    </w:p>
    <w:p>
      <w:pPr>
        <w:ind w:firstLine="560"/>
        <w:spacing w:line="460" w:lineRule="exact"/>
        <w:rPr>
          <w:color w:val="auto"/>
          <w:highlight w:val="none"/>
        </w:rPr>
      </w:pPr>
      <w:r>
        <w:rPr>
          <w:rFonts w:hint="eastAsia" w:ascii="宋体" w:hAnsi="宋体" w:cs="宋体"/>
          <w:color w:val="auto"/>
          <w:sz w:val="28"/>
          <w:szCs w:val="28"/>
          <w:highlight w:val="none"/>
        </w:rPr>
        <w:t xml:space="preserve">2.4以履约保函（保险）形式向采购人缴纳的，按照《关于在全省政府采购领域推行电子履约保函（保险）的通知》，登录江苏政府采购网，选择“保险保函”模块，进行相关操作。投标人可登陆江苏政府采购网“资料下载”栏目下载“政府采购电子履约（保函）保险操作手册（网址：www.ccgp-jiangsu.gov.cn/jisngsu/zlxz/)。</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3、付款：</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合同签订（含备件报价）主要货物到场后支付合同款的</w:t>
      </w:r>
      <w:r>
        <w:rPr>
          <w:rFonts w:ascii="宋体" w:hAnsi="宋体" w:cs="宋体"/>
          <w:color w:val="auto"/>
          <w:sz w:val="28"/>
          <w:szCs w:val="28"/>
          <w:highlight w:val="none"/>
        </w:rPr>
        <w:t xml:space="preserve">40%</w:t>
      </w:r>
      <w:r>
        <w:rPr>
          <w:rFonts w:hint="eastAsia" w:ascii="宋体" w:hAnsi="宋体" w:cs="宋体"/>
          <w:color w:val="auto"/>
          <w:sz w:val="28"/>
          <w:szCs w:val="28"/>
          <w:highlight w:val="none"/>
        </w:rPr>
        <w:t xml:space="preserve">，全部安装调试完毕经初验合格后支付合同款的</w:t>
      </w:r>
      <w:r>
        <w:rPr>
          <w:rFonts w:ascii="宋体" w:hAnsi="宋体" w:cs="宋体"/>
          <w:color w:val="auto"/>
          <w:sz w:val="28"/>
          <w:szCs w:val="28"/>
          <w:highlight w:val="none"/>
        </w:rPr>
        <w:t xml:space="preserve">40%</w:t>
      </w:r>
      <w:r>
        <w:rPr>
          <w:rFonts w:hint="eastAsia" w:ascii="宋体" w:hAnsi="宋体" w:cs="宋体"/>
          <w:color w:val="auto"/>
          <w:sz w:val="28"/>
          <w:szCs w:val="28"/>
          <w:highlight w:val="none"/>
        </w:rPr>
        <w:t xml:space="preserve">，通过采购人组织的最终验收支付合同款的</w:t>
      </w:r>
      <w:r>
        <w:rPr>
          <w:rFonts w:ascii="宋体" w:hAnsi="宋体" w:cs="宋体"/>
          <w:color w:val="auto"/>
          <w:sz w:val="28"/>
          <w:szCs w:val="28"/>
          <w:highlight w:val="none"/>
        </w:rPr>
        <w:t xml:space="preserve">20%</w:t>
      </w:r>
      <w:r>
        <w:rPr>
          <w:rFonts w:hint="eastAsia" w:ascii="宋体" w:hAnsi="宋体" w:cs="宋体"/>
          <w:color w:val="auto"/>
          <w:sz w:val="28"/>
          <w:szCs w:val="28"/>
          <w:highlight w:val="none"/>
        </w:rPr>
        <w:t xml:space="preserve">。项目最终验收合格后无息退还8</w:t>
      </w:r>
      <w:r>
        <w:rPr>
          <w:rFonts w:ascii="宋体" w:hAnsi="宋体" w:cs="宋体"/>
          <w:color w:val="auto"/>
          <w:sz w:val="28"/>
          <w:szCs w:val="28"/>
          <w:highlight w:val="none"/>
        </w:rPr>
        <w:t xml:space="preserve">0%</w:t>
      </w:r>
      <w:r>
        <w:rPr>
          <w:rFonts w:hint="eastAsia" w:ascii="宋体" w:hAnsi="宋体" w:cs="宋体"/>
          <w:color w:val="auto"/>
          <w:sz w:val="28"/>
          <w:szCs w:val="28"/>
          <w:highlight w:val="none"/>
        </w:rPr>
        <w:t xml:space="preserve">的履约保证金，项目质保期全部结束后无息退还剩余履约保证金。所有费用需开具增值税专用发票。</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4、中标人需免费提供符合采购需求的单床位样品一套，封存在学校指定地点，并作为验收参考依据之一。</w:t>
      </w:r>
      <w:r/>
    </w:p>
    <w:p>
      <w:pPr>
        <w:ind w:firstLine="560"/>
        <w:spacing w:line="460" w:lineRule="exact"/>
        <w:tabs>
          <w:tab w:val="left" w:pos="1230" w:leader="none"/>
        </w:tabs>
        <w:rPr>
          <w:rFonts w:ascii="宋体" w:hAnsi="宋体" w:cs="宋体"/>
          <w:color w:val="auto"/>
          <w:sz w:val="28"/>
          <w:szCs w:val="28"/>
          <w:highlight w:val="none"/>
        </w:rPr>
        <w:outlineLvl w:val="1"/>
      </w:pPr>
      <w:r>
        <w:rPr>
          <w:rFonts w:hint="eastAsia" w:ascii="宋体" w:hAnsi="宋体" w:cs="宋体"/>
          <w:color w:val="auto"/>
          <w:sz w:val="28"/>
          <w:szCs w:val="28"/>
          <w:highlight w:val="none"/>
        </w:rPr>
        <w:t xml:space="preserve">（六）本次采购需切实履行绿色采购</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1.商品包装环保要求：应当按《关于印发〈商品包装政府采购需求标准（试行）〉、〈快递包装政府采购需求标准（试行）〉的通知》（财办库〔2020〕123号）文件执行。</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（1）商品包装层数不得超过 3 层，空隙率不大于 40%；</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（2）商品包装尽可能使用单一材质的包装材料，如因功能需求必需使用不同材质，不同材质间应便于分离；</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（3）商品包装中铅、汞、镉、六价铬的总含量应不大于100mg/kg；</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（4）商品包装印刷使用的油墨中挥发性有机化合物(VOCs)含量应不大于 5%（以重量计）；</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（5）塑料材质商品包装上呈现的印刷颜色不得超过 6 色；</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（6）纸质商品包装应使用 75%以上的可再生纤维原料生产；</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（7）木质商品包装的原料应来源于可持续性森林。</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6.2快递包装环保要求：</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（1）快递包装中重金属（铅、汞、镉、六价铬）总量应不大于 100mg/kg；</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（2）快递包装印刷使用的油墨中不应添加邻苯二甲酸酯，其挥发性有机化合物(VOCs)含量应不大于5%（以重量计）；</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（3）快递包装中使用纸基材的包装材料，纸基材中的有机氯的含量应不大于 150 mg/kg；</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（5）快递中使用的塑料包装袋不得使用聚氯乙烯作为原料，且原料应为单一材质制成，生物分解率大于60%；</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（6）快递中使用的充气类填充物不得使用聚氯乙烯作为 原料，且原料为单一材质制成，生物分解率大于60%；</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（7）快递中使用的集装袋应为单一材质制成，其重复使用次数应不小于 80 次；</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（8）快递中应使用幅宽不大于45mm 的生物降解胶带；</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（9）快递包装中不得使用溶剂型胶粘剂；</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（11）快递应使用电子面单；</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（12）直接使用商品包装作为快递包装的商品，其商品包装满足《商品包装政府采购需求标准（试行）》即可；</w:t>
      </w:r>
      <w:r/>
    </w:p>
    <w:p>
      <w:pPr>
        <w:ind w:firstLine="560"/>
        <w:spacing w:line="460" w:lineRule="exact"/>
        <w:rPr>
          <w:rFonts w:ascii="宋体" w:hAnsi="宋体" w:cs="宋体"/>
          <w:b/>
          <w:color w:val="auto"/>
          <w:sz w:val="28"/>
          <w:szCs w:val="28"/>
          <w:highlight w:val="none"/>
        </w:rPr>
      </w:pPr>
      <w:r>
        <w:rPr>
          <w:rFonts w:hint="eastAsia" w:ascii="宋体" w:hAnsi="宋体" w:cs="宋体"/>
          <w:color w:val="auto"/>
          <w:sz w:val="28"/>
          <w:szCs w:val="28"/>
          <w:highlight w:val="none"/>
        </w:rPr>
        <w:t xml:space="preserve">（13）快递包装产品质量和封装方式应符合相关国家或行业标准技术指标要求。</w:t>
      </w:r>
      <w:r/>
    </w:p>
    <w:p>
      <w:pPr>
        <w:ind w:firstLine="562"/>
        <w:spacing w:line="460" w:lineRule="exact"/>
        <w:tabs>
          <w:tab w:val="left" w:pos="420" w:leader="none"/>
        </w:tabs>
        <w:rPr>
          <w:rFonts w:ascii="宋体" w:hAnsi="宋体" w:cs="宋体"/>
          <w:b/>
          <w:bCs/>
          <w:color w:val="auto"/>
          <w:sz w:val="28"/>
          <w:szCs w:val="28"/>
          <w:highlight w:val="none"/>
        </w:rPr>
        <w:outlineLvl w:val="1"/>
      </w:pPr>
      <w:r>
        <w:rPr>
          <w:rFonts w:hint="eastAsia" w:ascii="宋体" w:hAnsi="宋体" w:cs="宋体"/>
          <w:b/>
          <w:bCs/>
          <w:color w:val="auto"/>
          <w:sz w:val="28"/>
          <w:szCs w:val="28"/>
          <w:highlight w:val="none"/>
        </w:rPr>
        <w:t xml:space="preserve">（七）样品</w:t>
      </w:r>
      <w:r/>
    </w:p>
    <w:p>
      <w:pPr>
        <w:contextualSpacing/>
        <w:ind w:firstLine="48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1.样品清单：</w:t>
      </w:r>
      <w:r/>
    </w:p>
    <w:tbl>
      <w:tblPr>
        <w:tblStyle w:val="745"/>
        <w:tblpPr w:horzAnchor="text" w:tblpXSpec="center" w:vertAnchor="text" w:tblpY="1" w:leftFromText="180" w:topFromText="0" w:rightFromText="180" w:bottomFromText="0"/>
        <w:tblW w:w="7927" w:type="dxa"/>
        <w:tblCellSpacing w:w="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326"/>
        <w:gridCol w:w="885"/>
        <w:gridCol w:w="2716"/>
      </w:tblGrid>
      <w:tr>
        <w:trPr>
          <w:tblCellSpacing w:w="0" w:type="dxa"/>
        </w:trPr>
        <w:tc>
          <w:tcPr>
            <w:tcMar>
              <w:left w:w="108" w:type="dxa"/>
              <w:top w:w="0" w:type="dxa"/>
              <w:right w:w="108" w:type="dxa"/>
              <w:bottom w:w="0" w:type="dxa"/>
            </w:tcMar>
            <w:tcW w:w="4326" w:type="dxa"/>
            <w:vAlign w:val="center"/>
            <w:textDirection w:val="lrTb"/>
            <w:noWrap w:val="false"/>
          </w:tcPr>
          <w:p>
            <w:pPr>
              <w:jc w:val="center"/>
              <w:spacing w:line="380" w:lineRule="exact"/>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出样产品名称</w:t>
            </w:r>
            <w:r/>
          </w:p>
        </w:tc>
        <w:tc>
          <w:tcPr>
            <w:tcMar>
              <w:left w:w="108" w:type="dxa"/>
              <w:top w:w="0" w:type="dxa"/>
              <w:right w:w="108" w:type="dxa"/>
              <w:bottom w:w="0" w:type="dxa"/>
            </w:tcMar>
            <w:tcW w:w="885" w:type="dxa"/>
            <w:vAlign w:val="center"/>
            <w:textDirection w:val="lrTb"/>
            <w:noWrap w:val="false"/>
          </w:tcPr>
          <w:p>
            <w:pPr>
              <w:jc w:val="center"/>
              <w:spacing w:line="380" w:lineRule="exact"/>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数量</w:t>
            </w:r>
            <w:r/>
          </w:p>
        </w:tc>
        <w:tc>
          <w:tcPr>
            <w:tcMar>
              <w:left w:w="108" w:type="dxa"/>
              <w:top w:w="0" w:type="dxa"/>
              <w:right w:w="108" w:type="dxa"/>
              <w:bottom w:w="0" w:type="dxa"/>
            </w:tcMar>
            <w:tcW w:w="2716" w:type="dxa"/>
            <w:vAlign w:val="center"/>
            <w:textDirection w:val="lrTb"/>
            <w:noWrap w:val="false"/>
          </w:tcPr>
          <w:p>
            <w:pPr>
              <w:jc w:val="center"/>
              <w:spacing w:line="380" w:lineRule="exact"/>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技术参数</w:t>
            </w:r>
            <w:r/>
          </w:p>
        </w:tc>
      </w:tr>
      <w:tr>
        <w:trPr>
          <w:tblCellSpacing w:w="0" w:type="dxa"/>
        </w:trPr>
        <w:tc>
          <w:tcPr>
            <w:tcMar>
              <w:left w:w="108" w:type="dxa"/>
              <w:top w:w="0" w:type="dxa"/>
              <w:right w:w="108" w:type="dxa"/>
              <w:bottom w:w="0" w:type="dxa"/>
            </w:tcMar>
            <w:tcW w:w="4326" w:type="dxa"/>
            <w:vAlign w:val="center"/>
            <w:textDirection w:val="lrTb"/>
            <w:noWrap w:val="false"/>
          </w:tcPr>
          <w:p>
            <w:pPr>
              <w:jc w:val="center"/>
              <w:tabs>
                <w:tab w:val="left" w:pos="123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单床位</w:t>
            </w:r>
            <w:r/>
          </w:p>
        </w:tc>
        <w:tc>
          <w:tcPr>
            <w:tcMar>
              <w:left w:w="108" w:type="dxa"/>
              <w:top w:w="0" w:type="dxa"/>
              <w:right w:w="108" w:type="dxa"/>
              <w:bottom w:w="0" w:type="dxa"/>
            </w:tcMar>
            <w:tcW w:w="885" w:type="dxa"/>
            <w:vAlign w:val="center"/>
            <w:textDirection w:val="lrTb"/>
            <w:noWrap w:val="false"/>
          </w:tcPr>
          <w:p>
            <w:pPr>
              <w:jc w:val="center"/>
              <w:spacing w:line="38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1张</w:t>
            </w:r>
            <w:r/>
          </w:p>
        </w:tc>
        <w:tc>
          <w:tcPr>
            <w:tcMar>
              <w:left w:w="108" w:type="dxa"/>
              <w:top w:w="0" w:type="dxa"/>
              <w:right w:w="108" w:type="dxa"/>
              <w:bottom w:w="0" w:type="dxa"/>
            </w:tcMar>
            <w:tcW w:w="2716" w:type="dxa"/>
            <w:vAlign w:val="center"/>
            <w:textDirection w:val="lrTb"/>
            <w:noWrap w:val="false"/>
          </w:tcPr>
          <w:p>
            <w:pPr>
              <w:jc w:val="left"/>
              <w:spacing w:line="38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参数详见项目需求</w:t>
            </w:r>
            <w:r/>
          </w:p>
        </w:tc>
      </w:tr>
    </w:tbl>
    <w:p>
      <w:pPr>
        <w:pStyle w:val="773"/>
        <w:ind w:firstLine="560"/>
        <w:spacing w:after="0"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2.递交投标样品时间为：请于</w:t>
      </w:r>
      <w:r>
        <w:rPr>
          <w:rFonts w:hint="eastAsia" w:ascii="宋体" w:hAnsi="宋体" w:cs="宋体"/>
          <w:color w:val="auto"/>
          <w:sz w:val="28"/>
          <w:szCs w:val="28"/>
          <w:highlight w:val="none"/>
          <w:lang w:val="en-US" w:eastAsia="zh-CN"/>
        </w:rPr>
        <w:t xml:space="preserve">2026年7月16日上午8:30-11:00，下午2:00-5:00前</w:t>
      </w:r>
      <w:r>
        <w:rPr>
          <w:rFonts w:hint="eastAsia" w:ascii="宋体" w:hAnsi="宋体" w:cs="宋体"/>
          <w:color w:val="auto"/>
          <w:sz w:val="28"/>
          <w:szCs w:val="28"/>
          <w:highlight w:val="none"/>
        </w:rPr>
        <w:t xml:space="preserve">（逾时不接受）统一送达至：学校西大门老图书馆，联系人：</w:t>
      </w:r>
      <w:r>
        <w:rPr>
          <w:rFonts w:hint="eastAsia" w:ascii="宋体" w:hAnsi="宋体" w:cs="宋体"/>
          <w:color w:val="auto"/>
          <w:sz w:val="28"/>
          <w:szCs w:val="28"/>
          <w:highlight w:val="none"/>
          <w:lang w:val="en-US" w:eastAsia="zh-CN"/>
        </w:rPr>
        <w:t xml:space="preserve">蒋老师</w:t>
      </w:r>
      <w:r>
        <w:rPr>
          <w:rFonts w:hint="eastAsia" w:ascii="宋体" w:hAnsi="宋体" w:cs="宋体"/>
          <w:color w:val="auto"/>
          <w:sz w:val="28"/>
          <w:szCs w:val="28"/>
          <w:highlight w:val="none"/>
        </w:rPr>
        <w:t xml:space="preserve">，联系电话：15262866727；</w:t>
      </w:r>
      <w:r/>
    </w:p>
    <w:p>
      <w:pPr>
        <w:pStyle w:val="773"/>
        <w:ind w:firstLine="560"/>
        <w:spacing w:after="0"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3.样品要求：</w:t>
      </w:r>
      <w:r/>
    </w:p>
    <w:p>
      <w:pPr>
        <w:pStyle w:val="773"/>
        <w:ind w:firstLine="560"/>
        <w:spacing w:after="0"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（1）投标样品需现场提交，不接受快递、邮寄等方式，样品递交截止时间后，采购代理机构有权拒收投标样品。</w:t>
      </w:r>
      <w:r/>
    </w:p>
    <w:p>
      <w:pPr>
        <w:pStyle w:val="773"/>
        <w:ind w:firstLine="560"/>
        <w:spacing w:after="0" w:line="46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出样要求：投标人投标样品可整体成品装箱密封递交，也可分块分装到场现场组装，不接受未封装零散单件。如采取现场组装的，应合理安排和配备安装人员、工具等，现场出样时间不超过60分钟</w:t>
      </w:r>
      <w:bookmarkStart w:id="184" w:name="_GoBack"/>
      <w:r/>
      <w:bookmarkEnd w:id="184"/>
      <w:r>
        <w:rPr>
          <w:rFonts w:hint="eastAsia" w:ascii="宋体" w:hAnsi="宋体" w:cs="宋体"/>
          <w:color w:val="auto"/>
          <w:sz w:val="28"/>
          <w:szCs w:val="28"/>
          <w:highlight w:val="none"/>
          <w:lang w:val="en-US" w:eastAsia="zh-CN"/>
        </w:rPr>
        <w:t xml:space="preserve">。样品组装完成后，投标人须使用彩条布全覆盖密封遮挡样品。</w:t>
      </w:r>
      <w:r/>
    </w:p>
    <w:p>
      <w:pPr>
        <w:pStyle w:val="773"/>
        <w:ind w:firstLine="560"/>
        <w:spacing w:after="0"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ascii="宋体" w:hAnsi="宋体" w:cs="宋体"/>
          <w:color w:val="auto"/>
          <w:sz w:val="28"/>
          <w:szCs w:val="28"/>
          <w:highlight w:val="none"/>
        </w:rPr>
        <w:t xml:space="preserve">样品实行暗标评审，样品表面</w:t>
      </w:r>
      <w:r>
        <w:rPr>
          <w:b/>
          <w:bCs/>
          <w:color w:val="auto"/>
          <w:sz w:val="28"/>
          <w:szCs w:val="28"/>
          <w:highlight w:val="none"/>
        </w:rPr>
        <w:t xml:space="preserve">严禁显露</w:t>
      </w:r>
      <w:r>
        <w:rPr>
          <w:rFonts w:ascii="宋体" w:hAnsi="宋体" w:cs="宋体"/>
          <w:color w:val="auto"/>
          <w:sz w:val="28"/>
          <w:szCs w:val="28"/>
          <w:highlight w:val="none"/>
        </w:rPr>
        <w:t xml:space="preserve">投标人名称、品牌 LOGO、标识、字符、徽标、人员名称及其他可识别供应商身份的标记。若原有标识、字样，须使用</w:t>
      </w:r>
      <w:r>
        <w:rPr>
          <w:b/>
          <w:bCs/>
          <w:color w:val="auto"/>
          <w:sz w:val="28"/>
          <w:szCs w:val="28"/>
          <w:highlight w:val="none"/>
        </w:rPr>
        <w:t xml:space="preserve">不透明密封胶带完全、牢固遮挡</w:t>
      </w:r>
      <w:r>
        <w:rPr>
          <w:rFonts w:ascii="宋体" w:hAnsi="宋体" w:cs="宋体"/>
          <w:color w:val="auto"/>
          <w:sz w:val="28"/>
          <w:szCs w:val="28"/>
          <w:highlight w:val="none"/>
        </w:rPr>
        <w:t xml:space="preserve">，确保评审过程中无法辨识供应商信息，否则按废标处理。</w:t>
      </w:r>
      <w:r/>
    </w:p>
    <w:p>
      <w:pPr>
        <w:pStyle w:val="773"/>
        <w:ind w:firstLine="560"/>
        <w:spacing w:after="0"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（4）投标人应服从采购人及代理机构的管理，将样品摆放在规定位置，并有序摆放整齐。送样品期间投标人不得围观样品、不得拍照、不得私自联系，否则采购人或代理机构有权拒绝接受投标人样品。</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样品的制作、运输等相关费用由投标人承担。投标人自行承担样品运送过程中的交通管制、运送过程中外观保护等所有责任。</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中标人的投标样品在评标结束后由采购人当场封样，作为履约验收的标准；未中标的投标人应在接到采购代理机构通知之日起3个工作日内自行取回投标样品，费用自行承担，采购人不承担损坏、遗失等保管责任。3个工作日后不取回样品，视为自动放弃样品的所有权，采购代理机构或采购人有权自行处置相关样品。</w:t>
      </w:r>
      <w:r/>
    </w:p>
    <w:p>
      <w:pPr>
        <w:contextualSpacing/>
        <w:ind w:firstLine="562"/>
        <w:spacing w:line="460" w:lineRule="exact"/>
        <w:tabs>
          <w:tab w:val="left" w:pos="5325" w:leader="none"/>
        </w:tabs>
        <w:rPr>
          <w:rFonts w:ascii="宋体" w:hAnsi="宋体" w:cs="宋体"/>
          <w:color w:val="auto"/>
          <w:sz w:val="28"/>
          <w:szCs w:val="28"/>
          <w:highlight w:val="none"/>
        </w:rPr>
      </w:pPr>
      <w:r>
        <w:rPr>
          <w:rFonts w:hint="eastAsia" w:ascii="宋体" w:hAnsi="宋体" w:cs="宋体"/>
          <w:b/>
          <w:bCs/>
          <w:color w:val="auto"/>
          <w:sz w:val="28"/>
          <w:szCs w:val="28"/>
          <w:highlight w:val="none"/>
        </w:rPr>
        <w:t xml:space="preserve">九、招标项目涉及到的现场勘察</w:t>
      </w:r>
      <w:r>
        <w:rPr>
          <w:rFonts w:hint="eastAsia" w:ascii="宋体" w:hAnsi="宋体" w:cs="宋体"/>
          <w:color w:val="auto"/>
          <w:sz w:val="28"/>
          <w:szCs w:val="28"/>
          <w:highlight w:val="none"/>
        </w:rPr>
        <w:t xml:space="preserve"> </w:t>
      </w:r>
      <w:r/>
    </w:p>
    <w:p>
      <w:pPr>
        <w:contextualSpacing/>
        <w:ind w:firstLine="560"/>
        <w:spacing w:line="460" w:lineRule="exact"/>
        <w:tabs>
          <w:tab w:val="left" w:pos="53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根据项目建设需求及复杂性，投标人可自行勘察现场，掌握有关现场的数据和资料。</w:t>
      </w:r>
      <w:r/>
    </w:p>
    <w:p>
      <w:pPr>
        <w:pStyle w:val="1057"/>
        <w:ind w:firstLine="560"/>
        <w:jc w:val="both"/>
        <w:spacing w:before="0" w:beforeAutospacing="0" w:after="0" w:afterAutospacing="0" w:line="460" w:lineRule="exact"/>
        <w:shd w:val="clear" w:color="auto" w:fill="ffffff"/>
        <w:rPr>
          <w:rFonts w:cs="宋体"/>
          <w:color w:val="auto"/>
          <w:sz w:val="28"/>
          <w:szCs w:val="28"/>
          <w:highlight w:val="none"/>
        </w:rPr>
      </w:pPr>
      <w:r>
        <w:rPr>
          <w:rFonts w:hint="eastAsia" w:cs="宋体"/>
          <w:color w:val="auto"/>
          <w:sz w:val="28"/>
          <w:szCs w:val="28"/>
          <w:highlight w:val="none"/>
        </w:rPr>
        <w:t xml:space="preserve">1.投标人可以在在投标文件递交之日前对有关现场和周围环境进行勘察，以获取编制响应文件和签署合同所需的信息。勘察现场所发生的费用由供应商自己承担。</w:t>
      </w:r>
      <w:r/>
    </w:p>
    <w:p>
      <w:pPr>
        <w:pStyle w:val="1057"/>
        <w:ind w:firstLine="560"/>
        <w:jc w:val="both"/>
        <w:spacing w:before="0" w:beforeAutospacing="0" w:after="0" w:afterAutospacing="0" w:line="460" w:lineRule="exact"/>
        <w:shd w:val="clear" w:color="auto" w:fill="ffffff"/>
        <w:rPr>
          <w:rFonts w:cs="宋体"/>
          <w:color w:val="auto"/>
          <w:sz w:val="28"/>
          <w:szCs w:val="28"/>
          <w:highlight w:val="none"/>
        </w:rPr>
      </w:pPr>
      <w:r>
        <w:rPr>
          <w:rFonts w:hint="eastAsia" w:cs="宋体"/>
          <w:color w:val="auto"/>
          <w:sz w:val="28"/>
          <w:szCs w:val="28"/>
          <w:highlight w:val="none"/>
        </w:rPr>
        <w:t xml:space="preserve">2.采购人向投标人提供的有关现场的资料和数据，是采购人现有的并认为能使供应商可利用的资料。采购人对投标人由此而做出的推论、理解和结论概不负责。</w:t>
      </w:r>
      <w:r/>
    </w:p>
    <w:p>
      <w:pPr>
        <w:pStyle w:val="1057"/>
        <w:ind w:firstLine="560"/>
        <w:jc w:val="both"/>
        <w:spacing w:before="0" w:beforeAutospacing="0" w:after="0" w:afterAutospacing="0" w:line="460" w:lineRule="exact"/>
        <w:shd w:val="clear" w:color="auto" w:fill="ffffff"/>
        <w:rPr>
          <w:rFonts w:cs="宋体"/>
          <w:color w:val="auto"/>
          <w:sz w:val="28"/>
          <w:szCs w:val="28"/>
          <w:highlight w:val="none"/>
        </w:rPr>
      </w:pPr>
      <w:r>
        <w:rPr>
          <w:rFonts w:hint="eastAsia" w:cs="宋体"/>
          <w:color w:val="auto"/>
          <w:sz w:val="28"/>
          <w:szCs w:val="28"/>
          <w:highlight w:val="none"/>
        </w:rPr>
        <w:t xml:space="preserve">3.经采购人允许，投标人可为勘察目的进入采购人的项目现场，但投标人不得因此使采购人承担有关的责任和蒙受损失。投标人应承担勘察现场的责任和风险。</w:t>
      </w:r>
      <w:r/>
    </w:p>
    <w:p>
      <w:pPr>
        <w:pStyle w:val="1057"/>
        <w:ind w:firstLine="560"/>
        <w:jc w:val="both"/>
        <w:spacing w:before="0" w:beforeAutospacing="0" w:after="0" w:afterAutospacing="0" w:line="460" w:lineRule="exact"/>
        <w:shd w:val="clear" w:color="auto" w:fill="ffffff"/>
        <w:rPr>
          <w:rFonts w:cs="宋体"/>
          <w:color w:val="auto"/>
          <w:sz w:val="28"/>
          <w:szCs w:val="28"/>
          <w:highlight w:val="none"/>
        </w:rPr>
      </w:pPr>
      <w:r>
        <w:rPr>
          <w:rFonts w:hint="eastAsia" w:cs="宋体"/>
          <w:color w:val="auto"/>
          <w:sz w:val="28"/>
          <w:szCs w:val="28"/>
          <w:highlight w:val="none"/>
        </w:rPr>
        <w:t xml:space="preserve">4.投标人应认真踏勘现场。在现场勘察时，熟悉施工及安装现场、现场周围交通道路等情况，以获得一切可能影响其投标的直接资料。供应商成交后，不得以不完全了解现场情况为理由而向采购人提出任何索赔的要求，对此采购人不承担任何责任并将不作任何答复与考虑。</w:t>
      </w:r>
      <w:r/>
    </w:p>
    <w:p>
      <w:pPr>
        <w:ind w:firstLine="562"/>
        <w:spacing w:line="460" w:lineRule="exact"/>
        <w:tabs>
          <w:tab w:val="left" w:pos="420" w:leader="none"/>
        </w:tabs>
        <w:rPr>
          <w:rFonts w:ascii="宋体" w:hAnsi="宋体" w:cs="宋体"/>
          <w:b/>
          <w:bCs/>
          <w:color w:val="auto"/>
          <w:sz w:val="28"/>
          <w:szCs w:val="28"/>
          <w:highlight w:val="none"/>
          <w:u w:val="single"/>
        </w:rPr>
      </w:pPr>
      <w:r>
        <w:rPr>
          <w:rFonts w:hint="eastAsia" w:ascii="宋体" w:hAnsi="宋体" w:cs="宋体"/>
          <w:color w:val="auto"/>
          <w:sz w:val="28"/>
          <w:szCs w:val="28"/>
          <w:highlight w:val="none"/>
        </w:rPr>
        <w:t xml:space="preserve">5.现场实地勘察时需携带营业执照副本原件及复印件、法定代表人的委托书、被委托人身份证原件及复印件至江苏商贸职业学院勘察（联系人：宋老师，电话：18362805271），截止时间开标时间前一日，勘察时间：工作日上午8：30--10：30，下午14：00-16：00。</w:t>
      </w:r>
      <w:r/>
    </w:p>
    <w:p>
      <w:pPr>
        <w:ind w:firstLine="562"/>
        <w:spacing w:line="460" w:lineRule="exact"/>
        <w:tabs>
          <w:tab w:val="left" w:pos="420" w:leader="none"/>
        </w:tabs>
        <w:rPr>
          <w:rFonts w:ascii="宋体" w:hAnsi="宋体" w:cs="宋体"/>
          <w:b/>
          <w:bCs/>
          <w:color w:val="auto"/>
          <w:sz w:val="28"/>
          <w:szCs w:val="28"/>
          <w:highlight w:val="none"/>
          <w:u w:val="single"/>
        </w:rPr>
      </w:pPr>
      <w:r>
        <w:rPr>
          <w:rFonts w:hint="eastAsia" w:ascii="宋体" w:hAnsi="宋体" w:cs="宋体"/>
          <w:b/>
          <w:bCs/>
          <w:color w:val="auto"/>
          <w:sz w:val="28"/>
          <w:szCs w:val="28"/>
          <w:highlight w:val="none"/>
          <w:u w:val="single"/>
        </w:rPr>
        <w:t xml:space="preserve">十、采购需求中必须满足的实质性要求</w:t>
      </w:r>
      <w:r/>
    </w:p>
    <w:p>
      <w:pPr>
        <w:ind w:firstLine="480"/>
        <w:spacing w:line="420" w:lineRule="exact"/>
        <w:rPr>
          <w:rFonts w:ascii="宋体" w:hAnsi="宋体" w:cs="宋体"/>
          <w:i/>
          <w:iCs/>
          <w:color w:val="auto"/>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8"/>
          <w:szCs w:val="28"/>
          <w:highlight w:val="none"/>
          <w:u w:val="single"/>
        </w:rPr>
        <w:t xml:space="preserve">1.为保证采购人权益，在货物生产过程中采购人有权随时监督生产情况。监督过程中成交供应商需提供以下材料：①制造商必须提供产品相应生产证明（包括但不限于原材料采购证明，生产单、下料单等相关资料）。②所有家具成品必须附带原厂证明文件（包括但不限于发货单、保修卡等相关资料）。③若所供产品生产渠道不明确、检测不合格。采购人有权拒绝收货，并根据合同及相关政策法规进行处理。</w:t>
      </w:r>
      <w:r/>
    </w:p>
    <w:p>
      <w:pPr>
        <w:ind w:firstLine="480"/>
        <w:spacing w:line="420" w:lineRule="exact"/>
        <w:rPr>
          <w:rFonts w:ascii="宋体" w:hAnsi="宋体" w:cs="宋体"/>
          <w:i/>
          <w:iCs/>
          <w:color w:val="auto"/>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8"/>
          <w:szCs w:val="28"/>
          <w:highlight w:val="none"/>
          <w:u w:val="single"/>
        </w:rPr>
        <w:t xml:space="preserve">2.投标供应商成交后，应提供家具材质清单、原材料产地证明，需就拟投入本项目生产的原材料和主要辅材进行送检，送检内容和受检机构需经采购方认可。</w:t>
      </w:r>
      <w:r/>
    </w:p>
    <w:p>
      <w:pPr>
        <w:ind w:firstLine="480"/>
        <w:spacing w:line="420" w:lineRule="exact"/>
        <w:rPr>
          <w:rFonts w:ascii="宋体" w:hAnsi="宋体" w:cs="宋体"/>
          <w:i/>
          <w:iCs/>
          <w:color w:val="auto"/>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8"/>
          <w:szCs w:val="28"/>
          <w:highlight w:val="none"/>
          <w:u w:val="single"/>
        </w:rPr>
        <w:t xml:space="preserve">3.原材料及辅材产品应符合国家规定的强制性环保指标，并达到以下要求（提供由投标供应商送检、经有资质的第三方出具的有效检测报告），免漆多层实木板（甲醛释放量不高于国家标准）。</w:t>
      </w:r>
      <w:r/>
    </w:p>
    <w:p>
      <w:pPr>
        <w:ind w:firstLine="560"/>
        <w:spacing w:line="300" w:lineRule="auto"/>
        <w:rPr>
          <w:rFonts w:ascii="宋体" w:hAnsi="宋体" w:cs="宋体"/>
          <w:i/>
          <w:iCs/>
          <w:color w:val="auto"/>
          <w:sz w:val="28"/>
          <w:szCs w:val="28"/>
          <w:highlight w:val="none"/>
          <w:u w:val="single"/>
        </w:rPr>
      </w:pPr>
      <w:r>
        <w:rPr>
          <w:rFonts w:hint="eastAsia" w:ascii="宋体" w:hAnsi="宋体" w:cs="宋体"/>
          <w:i/>
          <w:iCs/>
          <w:color w:val="auto"/>
          <w:sz w:val="28"/>
          <w:szCs w:val="28"/>
          <w:highlight w:val="none"/>
          <w:u w:val="single"/>
        </w:rPr>
        <w:t xml:space="preserve">4.本项目招标文件第三部分项目需求“五、具体要求”中实质性条款（核心参数）用★标注，可优化部分用●标注。供应商提交的投标文件中，本项目中所有条款均需提供相关证明材料，所提供证明材料不满足招标文件要求的，或者所提供产品技术参数低于招标文件要求的，或者技术参数响应条款与招标文件对比有缺项、漏项的等，均视为未响应招标文件需求，作无效标处理。投标时提供《</w:t>
      </w:r>
      <w:r>
        <w:rPr>
          <w:rFonts w:hint="eastAsia" w:ascii="宋体" w:hAnsi="宋体" w:cs="宋体"/>
          <w:i/>
          <w:iCs/>
          <w:color w:val="auto"/>
          <w:sz w:val="28"/>
          <w:szCs w:val="28"/>
          <w:highlight w:val="none"/>
          <w:u w:val="single"/>
          <w:lang w:val="zh-CN"/>
        </w:rPr>
        <w:t xml:space="preserve">实质性要求响应及偏离表</w:t>
      </w:r>
      <w:r>
        <w:rPr>
          <w:rFonts w:hint="eastAsia" w:ascii="宋体" w:hAnsi="宋体" w:cs="宋体"/>
          <w:i/>
          <w:iCs/>
          <w:color w:val="auto"/>
          <w:sz w:val="28"/>
          <w:szCs w:val="28"/>
          <w:highlight w:val="none"/>
          <w:u w:val="single"/>
        </w:rPr>
        <w:t xml:space="preserve">》及对应的证明材料。</w:t>
      </w:r>
      <w:r/>
    </w:p>
    <w:p>
      <w:pPr>
        <w:ind w:firstLine="560"/>
        <w:spacing w:line="300" w:lineRule="auto"/>
        <w:rPr>
          <w:rFonts w:ascii="宋体" w:hAnsi="宋体" w:cs="宋体"/>
          <w:i/>
          <w:iCs/>
          <w:color w:val="auto"/>
          <w:sz w:val="28"/>
          <w:szCs w:val="28"/>
          <w:highlight w:val="none"/>
          <w:u w:val="single"/>
        </w:rPr>
      </w:pPr>
      <w:r>
        <w:rPr>
          <w:rFonts w:ascii="宋体" w:hAnsi="宋体" w:cs="宋体"/>
          <w:i/>
          <w:iCs/>
          <w:color w:val="auto"/>
          <w:sz w:val="28"/>
          <w:szCs w:val="28"/>
          <w:highlight w:val="none"/>
          <w:u w:val="single"/>
        </w:rPr>
        <w:t xml:space="preserve">5.</w:t>
      </w:r>
      <w:r>
        <w:rPr>
          <w:rFonts w:hint="eastAsia" w:ascii="宋体" w:hAnsi="宋体" w:cs="宋体"/>
          <w:i/>
          <w:iCs/>
          <w:color w:val="auto"/>
          <w:sz w:val="28"/>
          <w:szCs w:val="28"/>
          <w:highlight w:val="none"/>
          <w:u w:val="single"/>
        </w:rPr>
        <w:t xml:space="preserve"> 本项目供应商应确保2026年8月25日前在采购方指定地点安装、调试完成，并验收合格交付采购方使用。</w:t>
      </w:r>
      <w:r/>
    </w:p>
    <w:p>
      <w:pPr>
        <w:ind w:firstLine="560"/>
        <w:spacing w:line="300" w:lineRule="auto"/>
        <w:rPr>
          <w:rFonts w:ascii="宋体" w:hAnsi="宋体" w:cs="宋体"/>
          <w:i/>
          <w:iCs/>
          <w:color w:val="auto"/>
          <w:sz w:val="28"/>
          <w:szCs w:val="28"/>
          <w:highlight w:val="none"/>
          <w:u w:val="single"/>
        </w:rPr>
      </w:pPr>
      <w:r>
        <w:rPr>
          <w:rFonts w:ascii="宋体" w:hAnsi="宋体" w:cs="宋体"/>
          <w:i/>
          <w:iCs/>
          <w:color w:val="auto"/>
          <w:sz w:val="28"/>
          <w:szCs w:val="28"/>
          <w:highlight w:val="none"/>
          <w:u w:val="single"/>
        </w:rPr>
        <w:t xml:space="preserve">6</w:t>
      </w:r>
      <w:r>
        <w:rPr>
          <w:rFonts w:hint="eastAsia" w:ascii="宋体" w:hAnsi="宋体" w:cs="宋体"/>
          <w:i/>
          <w:iCs/>
          <w:color w:val="auto"/>
          <w:sz w:val="28"/>
          <w:szCs w:val="28"/>
          <w:highlight w:val="none"/>
          <w:u w:val="single"/>
        </w:rPr>
        <w:t xml:space="preserve">、</w:t>
      </w:r>
      <w:r>
        <w:rPr>
          <w:rFonts w:hint="eastAsia" w:ascii="仿宋" w:hAnsi="仿宋" w:eastAsia="仿宋" w:cs="仿宋"/>
          <w:i/>
          <w:color w:val="auto"/>
          <w:sz w:val="28"/>
          <w:szCs w:val="28"/>
          <w:highlight w:val="none"/>
          <w:u w:val="single"/>
        </w:rPr>
        <w:t xml:space="preserve">投标人需提供成品检测报告承诺函并加盖公章。</w:t>
      </w:r>
      <w:r/>
    </w:p>
    <w:p>
      <w:pPr>
        <w:ind w:firstLine="480"/>
        <w:spacing w:line="420" w:lineRule="exact"/>
        <w:rPr>
          <w:rFonts w:ascii="宋体" w:hAnsi="宋体" w:cs="宋体"/>
          <w:i/>
          <w:iCs/>
          <w:color w:val="auto"/>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8"/>
          <w:szCs w:val="28"/>
          <w:highlight w:val="none"/>
          <w:u w:val="single"/>
        </w:rPr>
        <w:t xml:space="preserve">以上1-</w:t>
      </w:r>
      <w:r>
        <w:rPr>
          <w:rFonts w:ascii="宋体" w:hAnsi="宋体" w:cs="宋体"/>
          <w:i/>
          <w:iCs/>
          <w:color w:val="auto"/>
          <w:sz w:val="28"/>
          <w:szCs w:val="28"/>
          <w:highlight w:val="none"/>
          <w:u w:val="single"/>
        </w:rPr>
        <w:t xml:space="preserve">6</w:t>
      </w:r>
      <w:r>
        <w:rPr>
          <w:rFonts w:hint="eastAsia" w:ascii="宋体" w:hAnsi="宋体" w:cs="宋体"/>
          <w:i/>
          <w:iCs/>
          <w:color w:val="auto"/>
          <w:sz w:val="28"/>
          <w:szCs w:val="28"/>
          <w:highlight w:val="none"/>
          <w:u w:val="single"/>
        </w:rPr>
        <w:t xml:space="preserve">项实质性要求，投标时须提供承诺函，格式如下：</w:t>
      </w:r>
      <w:r/>
    </w:p>
    <w:p>
      <w:pPr>
        <w:jc w:val="center"/>
        <w:spacing w:line="400" w:lineRule="exact"/>
        <w:tabs>
          <w:tab w:val="left" w:pos="420" w:leader="none"/>
        </w:tabs>
        <w:rPr>
          <w:rFonts w:ascii="方正仿宋_GB18030" w:hAnsi="方正仿宋_GB18030" w:eastAsia="方正仿宋_GB18030" w:cs="方正仿宋_GB18030"/>
          <w:color w:val="auto"/>
          <w:sz w:val="36"/>
          <w:szCs w:val="36"/>
          <w:highlight w:val="none"/>
        </w:rPr>
      </w:pPr>
      <w:r>
        <w:rPr>
          <w:rFonts w:ascii="方正仿宋_GB18030" w:hAnsi="方正仿宋_GB18030" w:eastAsia="方正仿宋_GB18030" w:cs="方正仿宋_GB18030"/>
          <w:color w:val="auto"/>
          <w:sz w:val="36"/>
          <w:szCs w:val="36"/>
          <w:highlight w:val="none"/>
        </w:rPr>
      </w:r>
      <w:r/>
    </w:p>
    <w:p>
      <w:pPr>
        <w:jc w:val="center"/>
        <w:spacing w:line="400" w:lineRule="exact"/>
        <w:tabs>
          <w:tab w:val="left" w:pos="420" w:leader="none"/>
        </w:tabs>
        <w:rPr>
          <w:rFonts w:ascii="方正仿宋_GB18030" w:hAnsi="方正仿宋_GB18030" w:eastAsia="方正仿宋_GB18030" w:cs="方正仿宋_GB18030"/>
          <w:color w:val="auto"/>
          <w:sz w:val="36"/>
          <w:szCs w:val="36"/>
          <w:highlight w:val="none"/>
        </w:rPr>
      </w:pPr>
      <w:r>
        <w:rPr>
          <w:rFonts w:hint="eastAsia" w:ascii="方正仿宋_GB18030" w:hAnsi="方正仿宋_GB18030" w:eastAsia="方正仿宋_GB18030" w:cs="方正仿宋_GB18030"/>
          <w:color w:val="auto"/>
          <w:sz w:val="36"/>
          <w:szCs w:val="36"/>
          <w:highlight w:val="none"/>
        </w:rPr>
        <w:t xml:space="preserve">承诺函</w:t>
      </w:r>
      <w:r/>
    </w:p>
    <w:p>
      <w:pPr>
        <w:ind w:firstLine="560"/>
        <w:spacing w:line="400" w:lineRule="exact"/>
        <w:tabs>
          <w:tab w:val="left" w:pos="420" w:leader="none"/>
        </w:tabs>
        <w:rPr>
          <w:rFonts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 xml:space="preserve">江苏商贸职业学院：</w:t>
      </w:r>
      <w:r/>
    </w:p>
    <w:p>
      <w:pPr>
        <w:ind w:firstLine="560"/>
        <w:tabs>
          <w:tab w:val="left" w:pos="420" w:leader="none"/>
        </w:tabs>
        <w:rPr>
          <w:rFonts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 xml:space="preserve">我方愿就由贵单位组织实施的（江苏商贸职业学院新建宿舍楼公寓床项目)招标活动进行投标响应，我方承诺完全满足招标文件第三部分项目需求中“十、采购需求中必须满足的实质性要求”，并承诺中标后严格执行：</w:t>
      </w:r>
      <w:r/>
    </w:p>
    <w:p>
      <w:pPr>
        <w:ind w:firstLine="560"/>
        <w:tabs>
          <w:tab w:val="left" w:pos="420" w:leader="none"/>
        </w:tabs>
        <w:rPr>
          <w:rFonts w:cs="方正仿宋_GB18030" w:asciiTheme="minorEastAsia" w:hAnsiTheme="minorEastAsia" w:eastAsiaTheme="minorEastAsia"/>
          <w:b/>
          <w:color w:val="auto"/>
          <w:sz w:val="28"/>
          <w:szCs w:val="28"/>
          <w:highlight w:val="none"/>
        </w:rPr>
      </w:pPr>
      <w:r>
        <w:rPr>
          <w:rFonts w:hint="eastAsia" w:cs="宋体" w:asciiTheme="minorEastAsia" w:hAnsiTheme="minorEastAsia" w:eastAsiaTheme="minorEastAsia"/>
          <w:b/>
          <w:color w:val="auto"/>
          <w:sz w:val="28"/>
          <w:szCs w:val="28"/>
          <w:highlight w:val="none"/>
        </w:rPr>
        <w:t xml:space="preserve">本</w:t>
      </w:r>
      <w:r>
        <w:rPr>
          <w:rFonts w:hint="eastAsia" w:cs="___WRD_EMBED_SUB_51" w:asciiTheme="minorEastAsia" w:hAnsiTheme="minorEastAsia" w:eastAsiaTheme="minorEastAsia"/>
          <w:b/>
          <w:color w:val="auto"/>
          <w:sz w:val="28"/>
          <w:szCs w:val="28"/>
          <w:highlight w:val="none"/>
        </w:rPr>
        <w:t xml:space="preserve">项目</w:t>
      </w:r>
      <w:r>
        <w:rPr>
          <w:rFonts w:hint="eastAsia" w:cs="宋体" w:asciiTheme="minorEastAsia" w:hAnsiTheme="minorEastAsia" w:eastAsiaTheme="minorEastAsia"/>
          <w:b/>
          <w:color w:val="auto"/>
          <w:sz w:val="28"/>
          <w:szCs w:val="28"/>
          <w:highlight w:val="none"/>
        </w:rPr>
        <w:t xml:space="preserve">供货前</w:t>
      </w:r>
      <w:r>
        <w:rPr>
          <w:rFonts w:hint="eastAsia" w:cs="___WRD_EMBED_SUB_51" w:asciiTheme="minorEastAsia" w:hAnsiTheme="minorEastAsia" w:eastAsiaTheme="minorEastAsia"/>
          <w:b/>
          <w:color w:val="auto"/>
          <w:sz w:val="28"/>
          <w:szCs w:val="28"/>
          <w:highlight w:val="none"/>
        </w:rPr>
        <w:t xml:space="preserve">，</w:t>
      </w:r>
      <w:r>
        <w:rPr>
          <w:rFonts w:hint="eastAsia" w:cs="宋体" w:asciiTheme="minorEastAsia" w:hAnsiTheme="minorEastAsia" w:eastAsiaTheme="minorEastAsia"/>
          <w:b/>
          <w:color w:val="auto"/>
          <w:sz w:val="28"/>
          <w:szCs w:val="28"/>
          <w:highlight w:val="none"/>
        </w:rPr>
        <w:t xml:space="preserve">会按时提供本批次成品检测报告</w:t>
      </w:r>
      <w:r>
        <w:rPr>
          <w:rFonts w:hint="eastAsia" w:cs="___WRD_EMBED_SUB_51" w:asciiTheme="minorEastAsia" w:hAnsiTheme="minorEastAsia" w:eastAsiaTheme="minorEastAsia"/>
          <w:b/>
          <w:color w:val="auto"/>
          <w:sz w:val="28"/>
          <w:szCs w:val="28"/>
          <w:highlight w:val="none"/>
        </w:rPr>
        <w:t xml:space="preserve">（</w:t>
      </w:r>
      <w:r>
        <w:rPr>
          <w:rFonts w:hint="eastAsia" w:cs="宋体" w:asciiTheme="minorEastAsia" w:hAnsiTheme="minorEastAsia" w:eastAsiaTheme="minorEastAsia"/>
          <w:b/>
          <w:color w:val="auto"/>
          <w:sz w:val="28"/>
          <w:szCs w:val="28"/>
          <w:highlight w:val="none"/>
        </w:rPr>
        <w:t xml:space="preserve">含封底</w:t>
      </w:r>
      <w:r>
        <w:rPr>
          <w:rFonts w:hint="eastAsia" w:cs="___WRD_EMBED_SUB_51" w:asciiTheme="minorEastAsia" w:hAnsiTheme="minorEastAsia" w:eastAsiaTheme="minorEastAsia"/>
          <w:b/>
          <w:color w:val="auto"/>
          <w:sz w:val="28"/>
          <w:szCs w:val="28"/>
          <w:highlight w:val="none"/>
        </w:rPr>
        <w:t xml:space="preserve">、</w:t>
      </w:r>
      <w:r>
        <w:rPr>
          <w:rFonts w:hint="eastAsia" w:cs="宋体" w:asciiTheme="minorEastAsia" w:hAnsiTheme="minorEastAsia" w:eastAsiaTheme="minorEastAsia"/>
          <w:b/>
          <w:color w:val="auto"/>
          <w:sz w:val="28"/>
          <w:szCs w:val="28"/>
          <w:highlight w:val="none"/>
        </w:rPr>
        <w:t xml:space="preserve">封面</w:t>
      </w:r>
      <w:r>
        <w:rPr>
          <w:rFonts w:hint="eastAsia" w:cs="___WRD_EMBED_SUB_51" w:asciiTheme="minorEastAsia" w:hAnsiTheme="minorEastAsia" w:eastAsiaTheme="minorEastAsia"/>
          <w:b/>
          <w:color w:val="auto"/>
          <w:sz w:val="28"/>
          <w:szCs w:val="28"/>
          <w:highlight w:val="none"/>
        </w:rPr>
        <w:t xml:space="preserve">），</w:t>
      </w:r>
      <w:r>
        <w:rPr>
          <w:rFonts w:hint="eastAsia" w:cs="宋体" w:asciiTheme="minorEastAsia" w:hAnsiTheme="minorEastAsia" w:eastAsiaTheme="minorEastAsia"/>
          <w:b/>
          <w:color w:val="auto"/>
          <w:sz w:val="28"/>
          <w:szCs w:val="28"/>
          <w:highlight w:val="none"/>
        </w:rPr>
        <w:t xml:space="preserve">检测报告封面有</w:t>
      </w:r>
      <w:r>
        <w:rPr>
          <w:rFonts w:cs="方正仿宋_GB18030" w:asciiTheme="minorEastAsia" w:hAnsiTheme="minorEastAsia" w:eastAsiaTheme="minorEastAsia"/>
          <w:b/>
          <w:color w:val="auto"/>
          <w:sz w:val="28"/>
          <w:szCs w:val="28"/>
          <w:highlight w:val="none"/>
        </w:rPr>
        <w:t xml:space="preserve">CMA</w:t>
      </w:r>
      <w:r>
        <w:rPr>
          <w:rFonts w:hint="eastAsia" w:cs="方正仿宋_GB18030" w:asciiTheme="minorEastAsia" w:hAnsiTheme="minorEastAsia" w:eastAsiaTheme="minorEastAsia"/>
          <w:b/>
          <w:color w:val="auto"/>
          <w:sz w:val="28"/>
          <w:szCs w:val="28"/>
          <w:highlight w:val="none"/>
        </w:rPr>
        <w:t xml:space="preserve">或</w:t>
      </w:r>
      <w:r>
        <w:rPr>
          <w:rFonts w:hint="eastAsia" w:cs="宋体" w:asciiTheme="minorEastAsia" w:hAnsiTheme="minorEastAsia" w:eastAsiaTheme="minorEastAsia"/>
          <w:b/>
          <w:color w:val="auto"/>
          <w:sz w:val="28"/>
          <w:szCs w:val="28"/>
          <w:highlight w:val="none"/>
        </w:rPr>
        <w:t xml:space="preserve">者</w:t>
      </w:r>
      <w:r>
        <w:rPr>
          <w:rFonts w:cs="方正仿宋_GB18030" w:asciiTheme="minorEastAsia" w:hAnsiTheme="minorEastAsia" w:eastAsiaTheme="minorEastAsia"/>
          <w:b/>
          <w:color w:val="auto"/>
          <w:sz w:val="28"/>
          <w:szCs w:val="28"/>
          <w:highlight w:val="none"/>
        </w:rPr>
        <w:t xml:space="preserve">CNAS</w:t>
      </w:r>
      <w:r>
        <w:rPr>
          <w:rFonts w:hint="eastAsia" w:cs="方正仿宋_GB18030" w:asciiTheme="minorEastAsia" w:hAnsiTheme="minorEastAsia" w:eastAsiaTheme="minorEastAsia"/>
          <w:b/>
          <w:color w:val="auto"/>
          <w:sz w:val="28"/>
          <w:szCs w:val="28"/>
          <w:highlight w:val="none"/>
        </w:rPr>
        <w:t xml:space="preserve">标</w:t>
      </w:r>
      <w:r>
        <w:rPr>
          <w:rFonts w:hint="eastAsia" w:cs="宋体" w:asciiTheme="minorEastAsia" w:hAnsiTheme="minorEastAsia" w:eastAsiaTheme="minorEastAsia"/>
          <w:b/>
          <w:color w:val="auto"/>
          <w:sz w:val="28"/>
          <w:szCs w:val="28"/>
          <w:highlight w:val="none"/>
        </w:rPr>
        <w:t xml:space="preserve">志</w:t>
      </w:r>
      <w:r>
        <w:rPr>
          <w:rFonts w:hint="eastAsia" w:cs="___WRD_EMBED_SUB_51" w:asciiTheme="minorEastAsia" w:hAnsiTheme="minorEastAsia" w:eastAsiaTheme="minorEastAsia"/>
          <w:b/>
          <w:color w:val="auto"/>
          <w:sz w:val="28"/>
          <w:szCs w:val="28"/>
          <w:highlight w:val="none"/>
        </w:rPr>
        <w:t xml:space="preserve">，</w:t>
      </w:r>
      <w:r>
        <w:rPr>
          <w:rFonts w:hint="eastAsia" w:cs="宋体" w:asciiTheme="minorEastAsia" w:hAnsiTheme="minorEastAsia" w:eastAsiaTheme="minorEastAsia"/>
          <w:b/>
          <w:color w:val="auto"/>
          <w:sz w:val="28"/>
          <w:szCs w:val="28"/>
          <w:highlight w:val="none"/>
        </w:rPr>
        <w:t xml:space="preserve">检测内容及结果符</w:t>
      </w:r>
      <w:r>
        <w:rPr>
          <w:rFonts w:hint="eastAsia" w:cs="___WRD_EMBED_SUB_51" w:asciiTheme="minorEastAsia" w:hAnsiTheme="minorEastAsia" w:eastAsiaTheme="minorEastAsia"/>
          <w:b/>
          <w:color w:val="auto"/>
          <w:sz w:val="28"/>
          <w:szCs w:val="28"/>
          <w:highlight w:val="none"/>
        </w:rPr>
        <w:t xml:space="preserve">合</w:t>
      </w:r>
      <w:r>
        <w:rPr>
          <w:rFonts w:hint="eastAsia" w:cs="宋体" w:asciiTheme="minorEastAsia" w:hAnsiTheme="minorEastAsia" w:eastAsiaTheme="minorEastAsia"/>
          <w:b/>
          <w:color w:val="auto"/>
          <w:sz w:val="28"/>
          <w:szCs w:val="28"/>
          <w:highlight w:val="none"/>
        </w:rPr>
        <w:t xml:space="preserve">技术</w:t>
      </w:r>
      <w:r>
        <w:rPr>
          <w:rFonts w:hint="eastAsia" w:cs="___WRD_EMBED_SUB_51" w:asciiTheme="minorEastAsia" w:hAnsiTheme="minorEastAsia" w:eastAsiaTheme="minorEastAsia"/>
          <w:b/>
          <w:color w:val="auto"/>
          <w:sz w:val="28"/>
          <w:szCs w:val="28"/>
          <w:highlight w:val="none"/>
        </w:rPr>
        <w:t xml:space="preserve">部分实质性要求，受</w:t>
      </w:r>
      <w:r>
        <w:rPr>
          <w:rFonts w:hint="eastAsia" w:cs="宋体" w:asciiTheme="minorEastAsia" w:hAnsiTheme="minorEastAsia" w:eastAsiaTheme="minorEastAsia"/>
          <w:b/>
          <w:color w:val="auto"/>
          <w:sz w:val="28"/>
          <w:szCs w:val="28"/>
          <w:highlight w:val="none"/>
        </w:rPr>
        <w:t xml:space="preserve">检</w:t>
      </w:r>
      <w:r>
        <w:rPr>
          <w:rFonts w:hint="eastAsia" w:cs="___WRD_EMBED_SUB_51" w:asciiTheme="minorEastAsia" w:hAnsiTheme="minorEastAsia" w:eastAsiaTheme="minorEastAsia"/>
          <w:b/>
          <w:color w:val="auto"/>
          <w:sz w:val="28"/>
          <w:szCs w:val="28"/>
          <w:highlight w:val="none"/>
        </w:rPr>
        <w:t xml:space="preserve">单位</w:t>
      </w:r>
      <w:r>
        <w:rPr>
          <w:rFonts w:hint="eastAsia" w:cs="宋体" w:asciiTheme="minorEastAsia" w:hAnsiTheme="minorEastAsia" w:eastAsiaTheme="minorEastAsia"/>
          <w:b/>
          <w:color w:val="auto"/>
          <w:sz w:val="28"/>
          <w:szCs w:val="28"/>
          <w:highlight w:val="none"/>
        </w:rPr>
        <w:t xml:space="preserve">为</w:t>
      </w:r>
      <w:r>
        <w:rPr>
          <w:rFonts w:hint="eastAsia" w:cs="___WRD_EMBED_SUB_51" w:asciiTheme="minorEastAsia" w:hAnsiTheme="minorEastAsia" w:eastAsiaTheme="minorEastAsia"/>
          <w:b/>
          <w:color w:val="auto"/>
          <w:sz w:val="28"/>
          <w:szCs w:val="28"/>
          <w:highlight w:val="none"/>
        </w:rPr>
        <w:t xml:space="preserve">投标人或</w:t>
      </w:r>
      <w:r>
        <w:rPr>
          <w:rFonts w:hint="eastAsia" w:cs="宋体" w:asciiTheme="minorEastAsia" w:hAnsiTheme="minorEastAsia" w:eastAsiaTheme="minorEastAsia"/>
          <w:b/>
          <w:color w:val="auto"/>
          <w:sz w:val="28"/>
          <w:szCs w:val="28"/>
          <w:highlight w:val="none"/>
        </w:rPr>
        <w:t xml:space="preserve">产品制造</w:t>
      </w:r>
      <w:r>
        <w:rPr>
          <w:rFonts w:hint="eastAsia" w:cs="___WRD_EMBED_SUB_51" w:asciiTheme="minorEastAsia" w:hAnsiTheme="minorEastAsia" w:eastAsiaTheme="minorEastAsia"/>
          <w:b/>
          <w:color w:val="auto"/>
          <w:sz w:val="28"/>
          <w:szCs w:val="28"/>
          <w:highlight w:val="none"/>
        </w:rPr>
        <w:t xml:space="preserve">商，受</w:t>
      </w:r>
      <w:r>
        <w:rPr>
          <w:rFonts w:hint="eastAsia" w:cs="宋体" w:asciiTheme="minorEastAsia" w:hAnsiTheme="minorEastAsia" w:eastAsiaTheme="minorEastAsia"/>
          <w:b/>
          <w:color w:val="auto"/>
          <w:sz w:val="28"/>
          <w:szCs w:val="28"/>
          <w:highlight w:val="none"/>
        </w:rPr>
        <w:t xml:space="preserve">检机构</w:t>
      </w:r>
      <w:r>
        <w:rPr>
          <w:rFonts w:hint="eastAsia" w:cs="___WRD_EMBED_SUB_51" w:asciiTheme="minorEastAsia" w:hAnsiTheme="minorEastAsia" w:eastAsiaTheme="minorEastAsia"/>
          <w:b/>
          <w:color w:val="auto"/>
          <w:sz w:val="28"/>
          <w:szCs w:val="28"/>
          <w:highlight w:val="none"/>
        </w:rPr>
        <w:t xml:space="preserve">需</w:t>
      </w:r>
      <w:r>
        <w:rPr>
          <w:rFonts w:hint="eastAsia" w:cs="宋体" w:asciiTheme="minorEastAsia" w:hAnsiTheme="minorEastAsia" w:eastAsiaTheme="minorEastAsia"/>
          <w:b/>
          <w:color w:val="auto"/>
          <w:sz w:val="28"/>
          <w:szCs w:val="28"/>
          <w:highlight w:val="none"/>
        </w:rPr>
        <w:t xml:space="preserve">经</w:t>
      </w:r>
      <w:r>
        <w:rPr>
          <w:rFonts w:hint="eastAsia" w:cs="___WRD_EMBED_SUB_51" w:asciiTheme="minorEastAsia" w:hAnsiTheme="minorEastAsia" w:eastAsiaTheme="minorEastAsia"/>
          <w:b/>
          <w:color w:val="auto"/>
          <w:sz w:val="28"/>
          <w:szCs w:val="28"/>
          <w:highlight w:val="none"/>
        </w:rPr>
        <w:t xml:space="preserve">采购方</w:t>
      </w:r>
      <w:r>
        <w:rPr>
          <w:rFonts w:hint="eastAsia" w:cs="宋体" w:asciiTheme="minorEastAsia" w:hAnsiTheme="minorEastAsia" w:eastAsiaTheme="minorEastAsia"/>
          <w:b/>
          <w:color w:val="auto"/>
          <w:sz w:val="28"/>
          <w:szCs w:val="28"/>
          <w:highlight w:val="none"/>
        </w:rPr>
        <w:t xml:space="preserve">认可</w:t>
      </w:r>
      <w:r>
        <w:rPr>
          <w:rFonts w:hint="eastAsia" w:cs="___WRD_EMBED_SUB_51" w:asciiTheme="minorEastAsia" w:hAnsiTheme="minorEastAsia" w:eastAsiaTheme="minorEastAsia"/>
          <w:b/>
          <w:color w:val="auto"/>
          <w:sz w:val="28"/>
          <w:szCs w:val="28"/>
          <w:highlight w:val="none"/>
        </w:rPr>
        <w:t xml:space="preserve">。</w:t>
      </w:r>
      <w:r/>
    </w:p>
    <w:p>
      <w:pPr>
        <w:ind w:firstLine="560"/>
        <w:tabs>
          <w:tab w:val="left" w:pos="420" w:leader="none"/>
        </w:tabs>
        <w:rPr>
          <w:rFonts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 xml:space="preserve">如违反上述任何一条承诺，自愿接受采购人处罚，包括同意采购人取消我方中标资格、终止合同并不予退还履约保证金、将我方列入黑名单等。</w:t>
      </w:r>
      <w:r/>
    </w:p>
    <w:p>
      <w:pPr>
        <w:ind w:firstLine="420"/>
        <w:spacing w:line="360" w:lineRule="auto"/>
        <w:rPr>
          <w:rFonts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ab/>
      </w:r>
      <w:r>
        <w:rPr>
          <w:rFonts w:hint="eastAsia" w:ascii="方正仿宋_GB18030" w:hAnsi="方正仿宋_GB18030" w:eastAsia="方正仿宋_GB18030" w:cs="方正仿宋_GB18030"/>
          <w:color w:val="auto"/>
          <w:sz w:val="28"/>
          <w:szCs w:val="28"/>
          <w:highlight w:val="none"/>
        </w:rPr>
        <w:tab/>
      </w:r>
      <w:r>
        <w:rPr>
          <w:rFonts w:hint="eastAsia" w:ascii="方正仿宋_GB18030" w:hAnsi="方正仿宋_GB18030" w:eastAsia="方正仿宋_GB18030" w:cs="方正仿宋_GB18030"/>
          <w:color w:val="auto"/>
          <w:sz w:val="28"/>
          <w:szCs w:val="28"/>
          <w:highlight w:val="none"/>
        </w:rPr>
        <w:tab/>
      </w:r>
      <w:r>
        <w:rPr>
          <w:rFonts w:hint="eastAsia" w:ascii="方正仿宋_GB18030" w:hAnsi="方正仿宋_GB18030" w:eastAsia="方正仿宋_GB18030" w:cs="方正仿宋_GB18030"/>
          <w:color w:val="auto"/>
          <w:sz w:val="28"/>
          <w:szCs w:val="28"/>
          <w:highlight w:val="none"/>
        </w:rPr>
        <w:tab/>
      </w:r>
      <w:r>
        <w:rPr>
          <w:rFonts w:hint="eastAsia" w:ascii="方正仿宋_GB18030" w:hAnsi="方正仿宋_GB18030" w:eastAsia="方正仿宋_GB18030" w:cs="方正仿宋_GB18030"/>
          <w:color w:val="auto"/>
          <w:sz w:val="28"/>
          <w:szCs w:val="28"/>
          <w:highlight w:val="none"/>
        </w:rPr>
        <w:t xml:space="preserve">           投标人法定代表人（签字或盖章）：</w:t>
      </w:r>
      <w:r/>
    </w:p>
    <w:p>
      <w:pPr>
        <w:ind w:left="1700" w:firstLine="425"/>
        <w:spacing w:line="360" w:lineRule="auto"/>
        <w:rPr>
          <w:rFonts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 xml:space="preserve">            投标人公章：</w:t>
      </w:r>
      <w:r/>
    </w:p>
    <w:p>
      <w:pPr>
        <w:ind w:left="1700" w:firstLine="2242"/>
        <w:spacing w:line="360" w:lineRule="auto"/>
        <w:rPr>
          <w:rFonts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 xml:space="preserve">日期：</w:t>
      </w:r>
      <w:r>
        <w:rPr>
          <w:rFonts w:hint="eastAsia" w:ascii="方正仿宋_GB18030" w:hAnsi="方正仿宋_GB18030" w:eastAsia="方正仿宋_GB18030" w:cs="方正仿宋_GB18030"/>
          <w:color w:val="auto"/>
          <w:sz w:val="28"/>
          <w:szCs w:val="28"/>
          <w:highlight w:val="none"/>
        </w:rPr>
        <w:br w:type="page" w:clear="all"/>
      </w:r>
      <w:r/>
    </w:p>
    <w:p>
      <w:pPr>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spacing w:line="460" w:lineRule="exact"/>
        <w:tabs>
          <w:tab w:val="left" w:pos="420" w:leader="none"/>
        </w:tabs>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十一、合同文本（仅供参考）：</w:t>
      </w:r>
      <w:r/>
    </w:p>
    <w:p>
      <w:pPr>
        <w:jc w:val="center"/>
        <w:rPr>
          <w:rFonts w:ascii="宋体" w:hAnsi="宋体" w:cs="宋体"/>
          <w:b/>
          <w:color w:val="auto"/>
          <w:sz w:val="36"/>
          <w:szCs w:val="36"/>
          <w:highlight w:val="none"/>
        </w:rPr>
      </w:pPr>
      <w:r/>
      <w:bookmarkStart w:id="147" w:name="_Toc8219"/>
      <w:r>
        <w:rPr>
          <w:rFonts w:hint="eastAsia" w:ascii="宋体" w:hAnsi="宋体" w:cs="宋体"/>
          <w:b/>
          <w:color w:val="auto"/>
          <w:sz w:val="36"/>
          <w:szCs w:val="36"/>
          <w:highlight w:val="none"/>
        </w:rPr>
        <w:t xml:space="preserve">江苏省政府采购合同（货物）</w:t>
      </w:r>
      <w:r/>
    </w:p>
    <w:p>
      <w:pPr>
        <w:ind w:firstLine="482"/>
        <w:jc w:val="center"/>
        <w:spacing w:line="500" w:lineRule="exact"/>
        <w:rPr>
          <w:rFonts w:ascii="宋体" w:hAnsi="宋体" w:cs="宋体"/>
          <w:b/>
          <w:bCs/>
          <w:color w:val="auto"/>
          <w:sz w:val="24"/>
          <w:highlight w:val="none"/>
        </w:rPr>
      </w:pPr>
      <w:r>
        <w:rPr>
          <w:rFonts w:hint="eastAsia" w:ascii="宋体" w:hAnsi="宋体" w:cs="宋体"/>
          <w:b/>
          <w:color w:val="auto"/>
          <w:sz w:val="24"/>
          <w:highlight w:val="none"/>
        </w:rPr>
        <w:t xml:space="preserve">（合同编号：         ）</w:t>
      </w:r>
      <w:bookmarkEnd w:id="147"/>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项目名称：江苏商贸职业学院新建宿舍楼公寓床项目                                      </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项目编号：</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甲方：（买方）：</w:t>
      </w:r>
      <w:r>
        <w:rPr>
          <w:rFonts w:hint="eastAsia" w:ascii="宋体" w:hAnsi="宋体" w:cs="宋体"/>
          <w:color w:val="auto"/>
          <w:sz w:val="24"/>
          <w:highlight w:val="none"/>
          <w:u w:val="single"/>
        </w:rPr>
        <w:t xml:space="preserve">江苏商贸职业学院  </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乙方：（卖方）：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ind w:firstLine="480"/>
        <w:spacing w:line="500" w:lineRule="exact"/>
        <w:rPr>
          <w:rFonts w:ascii="宋体" w:hAnsi="宋体" w:cs="宋体"/>
          <w:b/>
          <w:color w:val="auto"/>
          <w:sz w:val="24"/>
          <w:highlight w:val="none"/>
        </w:rPr>
      </w:pPr>
      <w:r>
        <w:rPr>
          <w:rFonts w:hint="eastAsia" w:ascii="宋体" w:hAnsi="宋体" w:cs="宋体"/>
          <w:color w:val="auto"/>
          <w:sz w:val="24"/>
          <w:highlight w:val="none"/>
        </w:rPr>
        <w:t xml:space="preserve">甲、乙双方根据</w:t>
      </w:r>
      <w:r>
        <w:rPr>
          <w:rFonts w:hint="eastAsia" w:ascii="宋体" w:hAnsi="宋体" w:cs="宋体"/>
          <w:color w:val="auto"/>
          <w:sz w:val="24"/>
          <w:highlight w:val="none"/>
          <w:u w:val="single"/>
        </w:rPr>
        <w:t xml:space="preserve"> 江苏商贸职业学院新建宿舍楼公寓床</w:t>
      </w:r>
      <w:r>
        <w:rPr>
          <w:rFonts w:hint="eastAsia" w:ascii="宋体" w:hAnsi="宋体" w:cs="宋体"/>
          <w:color w:val="auto"/>
          <w:sz w:val="24"/>
          <w:highlight w:val="none"/>
        </w:rPr>
        <w:t xml:space="preserve">项目（项目编号：  ）公开招标的结果，签署本合同。</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一、合同内容</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1.1 标的名称：江苏商贸职业学院新建宿舍楼公寓床项目    </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1.2 标的质量：合格</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1.3 标的数量（规模）：详见表格</w:t>
      </w:r>
      <w:r/>
    </w:p>
    <w:p>
      <w:pPr>
        <w:pStyle w:val="752"/>
        <w:ind w:firstLine="480"/>
        <w:rPr>
          <w:rFonts w:ascii="宋体" w:hAnsi="宋体" w:cs="宋体"/>
          <w:color w:val="auto"/>
          <w:sz w:val="24"/>
          <w:highlight w:val="none"/>
        </w:rPr>
      </w:pPr>
      <w:r>
        <w:rPr>
          <w:rFonts w:hint="eastAsia" w:ascii="宋体" w:hAnsi="宋体" w:cs="宋体"/>
          <w:color w:val="auto"/>
          <w:sz w:val="24"/>
          <w:highlight w:val="none"/>
        </w:rPr>
        <w:t xml:space="preserve">1.4 履行时间（期限）：2026年8月25日前在甲方指定地点安装、调试完成，并验收合格交付甲方使用。乙方如不能按期进场或按期交付使用，每滞后一天，乙方承担</w:t>
      </w:r>
      <w:r>
        <w:rPr>
          <w:rFonts w:ascii="宋体" w:hAnsi="宋体" w:cs="宋体"/>
          <w:color w:val="auto"/>
          <w:sz w:val="24"/>
          <w:highlight w:val="none"/>
        </w:rPr>
        <w:t xml:space="preserve">10</w:t>
      </w:r>
      <w:r>
        <w:rPr>
          <w:rFonts w:hint="eastAsia" w:ascii="宋体" w:hAnsi="宋体" w:cs="宋体"/>
          <w:color w:val="auto"/>
          <w:sz w:val="24"/>
          <w:highlight w:val="none"/>
        </w:rPr>
        <w:t xml:space="preserve">000.00元/天的延期违约金，违约金首先从合同履约保证金中扣除，违约金超出履约保证金的部分从总合同价款中扣除。</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1.5 履行地点：江苏商贸职业学院校内新建宿舍楼指定地点。</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1.6 履行方式：同招标文件要求。</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1.7 包装方式：同招标文件要求。</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二、合同金额</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2.1 本合同金额为（大写）：      元（      元）人民币。已包含但不限于本项目所有产品的产品成本、深化设计、劳务费、管理费、材料费、设备费、机械费、包装费、运输费、装卸费（含上下力资费）、二次搬运费、安装费、成品保护费、服务费（包括调试、安装完毕后对相关人员的技术指导、培训等）、措施费、风险费（政策性文件规定及本合同包含的所有风险）、售后服务费、检测试验费等利润和税金、质保期内的维护保养费等。</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2.2本合同价格形式为固定单价合同，该固定单价在合同履行过程中不因市场变化、政策调整等各种因素而变动。</w:t>
      </w:r>
      <w:r/>
    </w:p>
    <w:p>
      <w:pPr>
        <w:ind w:firstLine="482"/>
        <w:jc w:val="left"/>
        <w:spacing w:line="50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三、技术资料</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3.1乙方应按招标文件规定的时间向甲方提供使用货物(包含与货物相关的服务)的有关技术资料。乙方在签订本合同前对本项目的全部技术要求及说明、质量标准、招标文件、合同条件、现场条件及周围环境、交通道路、现场管理要求等已详细研究并完全明确，在合同价款中已予以充分考虑。</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四、知识产权</w:t>
      </w:r>
      <w:r/>
    </w:p>
    <w:p>
      <w:pPr>
        <w:ind w:firstLine="480"/>
        <w:spacing w:line="500" w:lineRule="exact"/>
        <w:rPr>
          <w:rFonts w:ascii="宋体" w:hAnsi="宋体" w:cs="宋体"/>
          <w:b/>
          <w:color w:val="auto"/>
          <w:sz w:val="24"/>
          <w:highlight w:val="none"/>
        </w:rPr>
      </w:pPr>
      <w:r>
        <w:rPr>
          <w:rFonts w:hint="eastAsia" w:ascii="宋体" w:hAnsi="宋体" w:cs="宋体"/>
          <w:color w:val="auto"/>
          <w:sz w:val="24"/>
          <w:highlight w:val="none"/>
        </w:rPr>
        <w:t xml:space="preserve">4.1乙方所投产品的设计、生产、销售未侵犯任何第三方的专利权、商标权、著作权、工业设计权等知识产权，若存在侵权情形，由乙方承担全部法律责任及经济赔偿责任。按乙方出具的《不侵权承诺函》执行。</w:t>
      </w:r>
      <w:r/>
    </w:p>
    <w:p>
      <w:pPr>
        <w:ind w:firstLine="482"/>
        <w:spacing w:line="500" w:lineRule="exact"/>
        <w:rPr>
          <w:rFonts w:ascii="宋体" w:hAnsi="宋体" w:cs="宋体"/>
          <w:color w:val="auto"/>
          <w:sz w:val="24"/>
          <w:highlight w:val="none"/>
          <w:u w:val="single"/>
        </w:rPr>
      </w:pPr>
      <w:r>
        <w:rPr>
          <w:rFonts w:hint="eastAsia" w:ascii="宋体" w:hAnsi="宋体" w:cs="宋体"/>
          <w:b/>
          <w:color w:val="auto"/>
          <w:sz w:val="24"/>
          <w:highlight w:val="none"/>
        </w:rPr>
        <w:t xml:space="preserve">五、产权担保</w:t>
      </w:r>
      <w:r/>
    </w:p>
    <w:p>
      <w:pPr>
        <w:ind w:firstLine="480"/>
        <w:spacing w:line="500" w:lineRule="exact"/>
        <w:rPr>
          <w:rFonts w:ascii="宋体" w:hAnsi="宋体" w:cs="宋体"/>
          <w:color w:val="auto"/>
          <w:sz w:val="24"/>
          <w:highlight w:val="none"/>
          <w:u w:val="single"/>
        </w:rPr>
      </w:pPr>
      <w:r>
        <w:rPr>
          <w:rFonts w:hint="eastAsia" w:ascii="宋体" w:hAnsi="宋体" w:cs="宋体"/>
          <w:color w:val="auto"/>
          <w:sz w:val="24"/>
          <w:highlight w:val="none"/>
        </w:rPr>
        <w:t xml:space="preserve">5.1 乙方保证所交付的货物（包含与货物相关的服务）的所有权完全属于乙方且无任何抵押、查封等产权瑕疵。</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六、履约保证金</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6.1 乙方交纳人民币</w:t>
      </w:r>
      <w:r>
        <w:rPr>
          <w:rFonts w:hint="eastAsia" w:ascii="宋体" w:hAnsi="宋体" w:cs="宋体"/>
          <w:color w:val="auto"/>
          <w:sz w:val="24"/>
          <w:highlight w:val="none"/>
          <w:u w:val="single"/>
        </w:rPr>
        <w:t xml:space="preserve">        元</w:t>
      </w:r>
      <w:r>
        <w:rPr>
          <w:rFonts w:hint="eastAsia" w:ascii="宋体" w:hAnsi="宋体" w:cs="宋体"/>
          <w:color w:val="auto"/>
          <w:sz w:val="24"/>
          <w:highlight w:val="none"/>
        </w:rPr>
        <w:t xml:space="preserve">作为本合同合同金额10%的履约保证金。</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6.2合同全部履行结束后，甲方应及时退还交纳的履约保证金。</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6.2.1履约保证金退还方式：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6.2.2履约保证金退还时间：项目最终验收合格后无息退还80%的履约保证金，项目质保期全部结束后无息退还剩余履约保证金。</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6.2.3履约保证金退还条件：乙方全部履约合同义务后（分阶段：项目最终验收合格后、质保期满后）并提出申请后，经甲方确认无质量、进度等问题；</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6.2.4履约保证金不予退还的情形：</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a.签订合同后，乙方不履行合同义务的，甲方有权全额扣除履约保证金，全额不予退还，同时甲方亦有权终止合同，乙方还须承担相应的法律赔偿责任。</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b.乙方在履约过程中发生违约行为，给甲方造成损失或者应承担违约金的，甲方有权在乙方缴纳的履约保证金中予以扣款或要求担保人按照保函约定向甲方无条件付款，不足的部分乙方另外补齐。因乙方违约导致甲方解除本合同的，甲方有权没收全部履约保证金或要求担保人按照保函约定向甲方无条件付款。并且，乙方还应承担本合同其他条款约定的违约责任。</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C.若乙方以保函形式提供担保的，乙方需将保函正本提交给甲方。乙方在履约过程中发生违约行为，甲方有权要求担保人按照保函约定向甲方无条件付款。满足本合同第6.2.2约定的条件时，甲方将保函正本退还给乙方。</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七、合同转包等事项</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7.1乙方不得将合同标的转包给他人履行。乙方如有转包，甲方视为乙方根本违约，有权给予解除合同。</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7.2乙方承诺，所有产品由乙方自行制造且需将制造详细地点作为本合同附件，并在甲方指定的现场安装。</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八、合同款项支付</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8.1合同款项的支付方式及进度安排</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合同签订（含备件报价）主要货物到场后支付合同款的</w:t>
      </w:r>
      <w:r>
        <w:rPr>
          <w:rFonts w:ascii="宋体" w:hAnsi="宋体" w:cs="宋体"/>
          <w:color w:val="auto"/>
          <w:sz w:val="24"/>
          <w:highlight w:val="none"/>
        </w:rPr>
        <w:t xml:space="preserve">40</w:t>
      </w:r>
      <w:r>
        <w:rPr>
          <w:rFonts w:hint="eastAsia" w:ascii="宋体" w:hAnsi="宋体" w:cs="宋体"/>
          <w:color w:val="auto"/>
          <w:sz w:val="24"/>
          <w:highlight w:val="none"/>
        </w:rPr>
        <w:t xml:space="preserve">%，全部安装调试完毕经初验合格后支付合同款的</w:t>
      </w:r>
      <w:r>
        <w:rPr>
          <w:rFonts w:ascii="宋体" w:hAnsi="宋体" w:cs="宋体"/>
          <w:color w:val="auto"/>
          <w:sz w:val="24"/>
          <w:highlight w:val="none"/>
        </w:rPr>
        <w:t xml:space="preserve">40</w:t>
      </w:r>
      <w:r>
        <w:rPr>
          <w:rFonts w:hint="eastAsia" w:ascii="宋体" w:hAnsi="宋体" w:cs="宋体"/>
          <w:color w:val="auto"/>
          <w:sz w:val="24"/>
          <w:highlight w:val="none"/>
        </w:rPr>
        <w:t xml:space="preserve">%，通过采购人组织的最终验收支付合同款的</w:t>
      </w:r>
      <w:r>
        <w:rPr>
          <w:rFonts w:ascii="宋体" w:hAnsi="宋体" w:cs="宋体"/>
          <w:color w:val="auto"/>
          <w:sz w:val="24"/>
          <w:highlight w:val="none"/>
        </w:rPr>
        <w:t xml:space="preserve">20</w:t>
      </w:r>
      <w:r>
        <w:rPr>
          <w:rFonts w:hint="eastAsia" w:ascii="宋体" w:hAnsi="宋体" w:cs="宋体"/>
          <w:color w:val="auto"/>
          <w:sz w:val="24"/>
          <w:highlight w:val="none"/>
        </w:rPr>
        <w:t xml:space="preserve">%。项目最终验收合格后无息退还80%的履约保证金，项目质保期全部结束后无息退还剩余履约保证金。所有费用需开具增值税专用发票。</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九、税费</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9.1本合同执行中相关的一切税费均由乙方负担。</w:t>
      </w:r>
      <w:r/>
    </w:p>
    <w:p>
      <w:pPr>
        <w:ind w:firstLine="482"/>
        <w:spacing w:line="500" w:lineRule="exact"/>
        <w:rPr>
          <w:rFonts w:ascii="宋体" w:hAnsi="宋体" w:cs="宋体"/>
          <w:color w:val="auto"/>
          <w:sz w:val="24"/>
          <w:highlight w:val="none"/>
        </w:rPr>
      </w:pPr>
      <w:r>
        <w:rPr>
          <w:rFonts w:hint="eastAsia" w:ascii="宋体" w:hAnsi="宋体" w:cs="宋体"/>
          <w:b/>
          <w:color w:val="auto"/>
          <w:sz w:val="24"/>
          <w:highlight w:val="none"/>
        </w:rPr>
        <w:t xml:space="preserve">十、质量保修范围和保修期及售后服务</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10.1 乙方应按招标文件规定的货物性能、技术要求、质量标准向甲方提供未经使用的全新产品，并不低于投标文件的质量、规格和参数的要求。</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10.2 乙方提供的货物在质量期内因货物本身的质量问题发生故障，乙方应负责免费更换。对达不到技术要求者，根据实际情况，经双方协商，可按以下办法处理：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⑴更换：由乙方承担所发生的全部费用。</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⑵贬值处理：由甲乙双方合议定价。</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⑶退货处理：乙方应退还甲方支付的合同款，同时应承担该货物的直接费用（运输、保险、检验、货款利息及银行手续费等）。</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10.3 如在使用过程中发生质量问题，乙方在接到甲方通知后在2小时内到达甲方现场。</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10.4 在质保期内，乙方应对货物出现的质量及安全问题负责处理解决并承担一切费用。</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10.5上述的货物免费保修期为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年（自项目验收合格之日起计），因人为因素出现的故障不在免费保修范围内，维修时只收成本费。</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10.6售后服务要求：</w:t>
      </w:r>
      <w:r/>
    </w:p>
    <w:p>
      <w:pPr>
        <w:ind w:firstLine="482"/>
        <w:spacing w:line="500" w:lineRule="exact"/>
        <w:rPr>
          <w:rFonts w:ascii="宋体" w:hAnsi="宋体" w:cs="宋体"/>
          <w:color w:val="auto"/>
          <w:sz w:val="24"/>
          <w:highlight w:val="none"/>
        </w:rPr>
      </w:pPr>
      <w:r>
        <w:rPr>
          <w:rFonts w:hint="eastAsia" w:ascii="宋体" w:hAnsi="宋体" w:cs="宋体"/>
          <w:color w:val="auto"/>
          <w:sz w:val="24"/>
          <w:highlight w:val="none"/>
        </w:rPr>
        <w:t xml:space="preserve">10.6.1质保期内，产品出现任何质量问题，成交供应商须在接到报修通知后2小时内响应，24小时内到达现场处理。非人为损坏，由乙方负责修复或更换；人为损坏，由乙方负责修复，只收取甲方材料费；质保期内，如乙方在接到甲方维修通知后，24小时内未处理，甲方有权请第三方处理，所发生的费用由乙方全额负担，从履约保证金中扣除。</w:t>
      </w:r>
      <w:r/>
    </w:p>
    <w:p>
      <w:pPr>
        <w:ind w:firstLine="482"/>
        <w:spacing w:line="500" w:lineRule="exact"/>
        <w:rPr>
          <w:rFonts w:ascii="宋体" w:hAnsi="宋体" w:cs="宋体"/>
          <w:color w:val="auto"/>
          <w:sz w:val="24"/>
          <w:highlight w:val="none"/>
        </w:rPr>
      </w:pPr>
      <w:r>
        <w:rPr>
          <w:rFonts w:hint="eastAsia" w:ascii="宋体" w:hAnsi="宋体" w:cs="宋体"/>
          <w:color w:val="auto"/>
          <w:sz w:val="24"/>
          <w:highlight w:val="none"/>
        </w:rPr>
        <w:t xml:space="preserve">10.6.2备品备件：提供质保期内必要的易损件（如螺丝、脚垫等）备件清单及单价。质保期满后，乙方须承诺保证特殊零配件供应，按成本收取。</w:t>
      </w:r>
      <w:r/>
    </w:p>
    <w:p>
      <w:pPr>
        <w:ind w:firstLine="482"/>
        <w:spacing w:line="500" w:lineRule="exact"/>
        <w:rPr>
          <w:rFonts w:ascii="宋体" w:hAnsi="宋体" w:cs="宋体"/>
          <w:color w:val="auto"/>
          <w:sz w:val="24"/>
          <w:highlight w:val="none"/>
        </w:rPr>
      </w:pPr>
      <w:r>
        <w:rPr>
          <w:rFonts w:hint="eastAsia" w:ascii="宋体" w:hAnsi="宋体" w:cs="宋体"/>
          <w:color w:val="auto"/>
          <w:sz w:val="24"/>
          <w:highlight w:val="none"/>
        </w:rPr>
        <w:t xml:space="preserve">10.6.3培训：向学校宿舍管理等技术人员提供日常清洁、维护、简单调节的培训。</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十一、项目验收</w:t>
      </w:r>
      <w:r/>
    </w:p>
    <w:p>
      <w:pPr>
        <w:ind w:firstLine="482"/>
        <w:spacing w:line="500" w:lineRule="exact"/>
        <w:rPr>
          <w:rFonts w:ascii="宋体" w:hAnsi="宋体" w:cs="宋体"/>
          <w:color w:val="auto"/>
          <w:sz w:val="24"/>
          <w:highlight w:val="none"/>
        </w:rPr>
      </w:pPr>
      <w:r>
        <w:rPr>
          <w:rFonts w:hint="eastAsia" w:ascii="宋体" w:hAnsi="宋体" w:cs="宋体"/>
          <w:color w:val="auto"/>
          <w:sz w:val="24"/>
          <w:highlight w:val="none"/>
        </w:rPr>
        <w:t xml:space="preserve">11.1该批货物均按国家相关技术标准验收。</w:t>
      </w:r>
      <w:r/>
    </w:p>
    <w:p>
      <w:pPr>
        <w:ind w:firstLine="482"/>
        <w:spacing w:line="500" w:lineRule="exact"/>
        <w:rPr>
          <w:rFonts w:ascii="宋体" w:hAnsi="宋体" w:cs="宋体"/>
          <w:color w:val="auto"/>
          <w:sz w:val="24"/>
          <w:highlight w:val="none"/>
        </w:rPr>
      </w:pPr>
      <w:r>
        <w:rPr>
          <w:rFonts w:hint="eastAsia" w:ascii="宋体" w:hAnsi="宋体" w:cs="宋体"/>
          <w:color w:val="auto"/>
          <w:sz w:val="24"/>
          <w:highlight w:val="none"/>
        </w:rPr>
        <w:t xml:space="preserve">11.2所有公寓床及配套设施的规格、技术指标均不低于本招标文件所提“项目需求”，满足的质量、安全、技术规格、物理特性等要求，结合乙方的性能优化方案（包括原料、配件、生产、安装、验收、售后服务等）和提供的样品为验收依据。</w:t>
      </w:r>
      <w:r/>
    </w:p>
    <w:p>
      <w:pPr>
        <w:ind w:firstLine="482"/>
        <w:spacing w:line="500" w:lineRule="exact"/>
        <w:rPr>
          <w:rFonts w:ascii="宋体" w:hAnsi="宋体" w:cs="宋体"/>
          <w:color w:val="auto"/>
          <w:sz w:val="24"/>
          <w:highlight w:val="none"/>
        </w:rPr>
      </w:pPr>
      <w:r>
        <w:rPr>
          <w:rFonts w:hint="eastAsia" w:ascii="宋体" w:hAnsi="宋体" w:cs="宋体"/>
          <w:color w:val="auto"/>
          <w:sz w:val="24"/>
          <w:highlight w:val="none"/>
        </w:rPr>
        <w:t xml:space="preserve">11.3乙方所供产品应按国家相关强制标准或行业标准进行设计和制造。产品及其原材料应符合国家规定的强制性环保要求，所使用的主辅材料应符合国家环保标准。证明乙方所提供货物与招标文件的要求相一致的文件可以是说明书、手册、图纸、图片、文字资料、数据和承诺函等。</w:t>
      </w:r>
      <w:r/>
    </w:p>
    <w:p>
      <w:pPr>
        <w:ind w:firstLine="482"/>
        <w:spacing w:line="500" w:lineRule="exact"/>
        <w:rPr>
          <w:rFonts w:ascii="宋体" w:hAnsi="宋体" w:cs="宋体"/>
          <w:color w:val="auto"/>
          <w:sz w:val="24"/>
          <w:highlight w:val="none"/>
        </w:rPr>
      </w:pPr>
      <w:r>
        <w:rPr>
          <w:rFonts w:hint="eastAsia" w:ascii="宋体" w:hAnsi="宋体" w:cs="宋体"/>
          <w:color w:val="auto"/>
          <w:sz w:val="24"/>
          <w:highlight w:val="none"/>
        </w:rPr>
        <w:t xml:space="preserve">11.4乙方须保证本项目所需主要标的及核心产品是在乙方提交投标文件中指定的生产基地生产制造的。否则视为违约，终止合同，没收全额履约保证金。</w:t>
      </w:r>
      <w:r/>
    </w:p>
    <w:p>
      <w:pPr>
        <w:ind w:firstLine="482"/>
        <w:spacing w:line="500" w:lineRule="exact"/>
        <w:rPr>
          <w:rFonts w:ascii="宋体" w:hAnsi="宋体" w:cs="宋体"/>
          <w:color w:val="auto"/>
          <w:sz w:val="24"/>
          <w:highlight w:val="none"/>
        </w:rPr>
      </w:pPr>
      <w:r>
        <w:rPr>
          <w:rFonts w:hint="eastAsia" w:ascii="宋体" w:hAnsi="宋体" w:cs="宋体"/>
          <w:color w:val="auto"/>
          <w:sz w:val="24"/>
          <w:highlight w:val="none"/>
        </w:rPr>
        <w:t xml:space="preserve">11.5原材料进场时、发货前乙方均应通知甲方进行验收，喷涂前提供本批次原材料（与商务技术标中的原材料检测响应情况一致）符合要求的完整的检测报告（含封底及封面），发货前提供本批次成品（与商务技术标中的成品检测响应情况一致）符合要求的完整的检测报告（含封底及封面），如未提供或提供不全、提供的材料不符合要求将不予验收，由此引起的一切后果由乙方承担。相关费用由乙方自理。</w:t>
      </w:r>
      <w:r/>
    </w:p>
    <w:p>
      <w:pPr>
        <w:ind w:firstLine="482"/>
        <w:spacing w:line="500" w:lineRule="exact"/>
        <w:rPr>
          <w:rFonts w:ascii="宋体" w:hAnsi="宋体" w:cs="宋体"/>
          <w:color w:val="auto"/>
          <w:sz w:val="24"/>
          <w:highlight w:val="none"/>
        </w:rPr>
      </w:pPr>
      <w:r>
        <w:rPr>
          <w:rFonts w:hint="eastAsia" w:ascii="宋体" w:hAnsi="宋体" w:cs="宋体"/>
          <w:color w:val="auto"/>
          <w:sz w:val="24"/>
          <w:highlight w:val="none"/>
        </w:rPr>
        <w:t xml:space="preserve">11.6为保证甲方权益，在货物生产过程中甲方有权随时监督生产情况。监督过程中乙方需提供以下材料：①制造商必须提供产品相应生产证明（包括但不限于原材料采购证明，生产单、下料单等相关资料）。②所有家具成品必须附带原厂证明文件（包括但不限于发货单、保修卡等相关资料）。③若所供产品生产渠道不明确、检测不合格。甲方有权拒绝收货，并根据合同及相关政策法规进行处理。</w:t>
      </w:r>
      <w:r/>
    </w:p>
    <w:p>
      <w:pPr>
        <w:ind w:firstLine="482"/>
        <w:spacing w:line="500" w:lineRule="exact"/>
        <w:rPr>
          <w:rFonts w:ascii="宋体" w:hAnsi="宋体" w:cs="宋体"/>
          <w:color w:val="auto"/>
          <w:sz w:val="24"/>
          <w:highlight w:val="none"/>
        </w:rPr>
      </w:pPr>
      <w:r>
        <w:rPr>
          <w:rFonts w:hint="eastAsia" w:ascii="宋体" w:hAnsi="宋体" w:cs="宋体"/>
          <w:color w:val="auto"/>
          <w:sz w:val="24"/>
          <w:highlight w:val="none"/>
        </w:rPr>
        <w:t xml:space="preserve">11.7乙方提供的货物必须达到或优于招标文件“采购清单”技术需求中各项指标参数。甲方在例行送检之外将随机抽检家具原材料、家具成品，检验机构为通过国家计量认证的第三方检测机构。对于产品的任何技术及质量不合格，乙方承担检测费用，甲方有权拒收、部分拒收、退货、部分退货直至解除本合同，同时甲方有权保留使用该产品直至供应商提供合格产品替换，并要求乙方支付因此造成的所有损失。破拆部件由乙方负责补齐且甲方不支付任何补偿费用。</w:t>
      </w:r>
      <w:r/>
    </w:p>
    <w:p>
      <w:pPr>
        <w:ind w:firstLine="482"/>
        <w:spacing w:line="500" w:lineRule="exact"/>
        <w:rPr>
          <w:rFonts w:ascii="宋体" w:hAnsi="宋体" w:cs="宋体"/>
          <w:color w:val="auto"/>
          <w:sz w:val="24"/>
          <w:highlight w:val="none"/>
        </w:rPr>
      </w:pPr>
      <w:r>
        <w:rPr>
          <w:rFonts w:hint="eastAsia" w:ascii="宋体" w:hAnsi="宋体" w:cs="宋体"/>
          <w:color w:val="auto"/>
          <w:sz w:val="24"/>
          <w:highlight w:val="none"/>
        </w:rPr>
        <w:t xml:space="preserve">11.8乙方交付的货物质量不得低于投标响应文件中产品生产工艺方案要求，否则甲方有权拒收、部分拒收、退货、部分退货直至解除本合同，同时甲方有权保留使用该产品直至供应商提供合格产品替换，并要求乙方支付因此造成的所有损失。</w:t>
      </w:r>
      <w:r/>
    </w:p>
    <w:p>
      <w:pPr>
        <w:ind w:firstLine="482"/>
        <w:spacing w:line="500" w:lineRule="exact"/>
        <w:rPr>
          <w:rFonts w:ascii="宋体" w:hAnsi="宋体" w:cs="宋体"/>
          <w:color w:val="auto"/>
          <w:sz w:val="24"/>
          <w:highlight w:val="none"/>
        </w:rPr>
      </w:pPr>
      <w:r>
        <w:rPr>
          <w:rFonts w:hint="eastAsia" w:ascii="宋体" w:hAnsi="宋体" w:cs="宋体"/>
          <w:color w:val="auto"/>
          <w:sz w:val="24"/>
          <w:highlight w:val="none"/>
        </w:rPr>
        <w:t xml:space="preserve">11.9验收不合格处理：如验收不通过，乙方需在规定时间内进行整改或更换，直至合格。由此产生的费用由乙方承担，由此造成的所有损失及一切后果由乙方承担。</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十二、货物的包装、发运及运输</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12.2 使用说明书、质量检验证明书、随配附件和工具以及清单一并附于货物内。</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12.3 乙方在货物发运手续办理完毕后24小时内或货到甲方48小时前通知甲方，以准备接货。</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12.4 货物在交付甲方前发生的风险均由乙方负责。</w:t>
      </w:r>
      <w:r/>
    </w:p>
    <w:p>
      <w:pPr>
        <w:ind w:right="26"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12.5 货物在规定的交付期限内由乙方送达甲方指定的地点视为交付，乙方同时需通知甲方货物已送达。</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12.6商品包装环保要求：应当按《关于印发〈商品包装政府采购需求标准（试行）〉、〈快递包装政府采购需求标准（试行）〉的通知》（财办库〔2020〕123号）文件执行。</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（1）商品包装层数不得超过 3 层，空隙率不大于 40%；</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（2）商品包装尽可能使用单一材质的包装材料，如因功能需求必需使用不同材质，不同材质间应便于分离；</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（3）商品包装中铅、汞、镉、六价铬的总含量应不大于100mg/kg；</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（4）商品包装印刷使用的油墨中挥发性有机化合物(VOCs)含量应不大于 5%（以重量计）；</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（5）塑料材质商品包装上呈现的印刷颜色不得超过 6 色；</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（6）纸质商品包装应使用 75%以上的可再生纤维原料生产；</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（7）木质商品包装的原料应来源于可持续性森林。</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12.7快递包装环保要求：</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（1）快递包装中重金属（铅、汞、镉、六价铬）总量应不大于 100mg/kg；</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（2）快递包装印刷使用的油墨中不应添加邻苯二甲酸酯，其挥发性有机化合物(VOCs)含量应不大于5%（以重量计）；</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（3）快递包装中使用纸基材的包装材料，纸基材中的有机氯的含量应不大于 150 mg/kg；</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（5）快递中使用的塑料包装袋不得使用聚氯乙烯作为原料，且原料应为单一材质制成，生物分解率大于60%；</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（6）快递中使用的充气类填充物不得使用聚氯乙烯作为 原料，且原料为单一材质制成，生物分解率大于60%；</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（7）快递中使用的集装袋应为单一材质制成，其重复使用次数应不小于 80 次；</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（8）快递中应使用幅宽不大于45mm 的生物降解胶带；</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（9）快递包装中不得使用溶剂型胶粘剂；</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（10）快递应使用电子面单；</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（11）直接使用商品包装作为快递包装的商品，其商品包装满足《商品包装政府采购需求标准（试行）》即可；</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（12）快递包装产品质量和封装方式应符合相关国家或行业标准技术指标要求。</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十三、其他要求：</w:t>
      </w:r>
      <w:r/>
    </w:p>
    <w:p>
      <w:pPr>
        <w:ind w:firstLine="480"/>
        <w:spacing w:line="360" w:lineRule="auto"/>
        <w:tabs>
          <w:tab w:val="left" w:pos="1230" w:leader="none"/>
        </w:tabs>
        <w:rPr>
          <w:rFonts w:ascii="宋体" w:hAnsi="宋体"/>
          <w:color w:val="auto"/>
          <w:sz w:val="24"/>
          <w:highlight w:val="none"/>
        </w:rPr>
        <w:outlineLvl w:val="1"/>
      </w:pPr>
      <w:r>
        <w:rPr>
          <w:rFonts w:hint="eastAsia" w:ascii="宋体" w:hAnsi="宋体"/>
          <w:color w:val="auto"/>
          <w:sz w:val="24"/>
          <w:highlight w:val="none"/>
        </w:rPr>
        <w:t xml:space="preserve">（一）</w:t>
      </w:r>
      <w:r>
        <w:rPr>
          <w:rFonts w:ascii="宋体" w:hAnsi="宋体"/>
          <w:color w:val="auto"/>
          <w:sz w:val="24"/>
          <w:highlight w:val="none"/>
        </w:rPr>
        <w:t xml:space="preserve">原材料环保要求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13.1</w:t>
      </w:r>
      <w:r>
        <w:rPr>
          <w:rFonts w:ascii="宋体" w:hAnsi="宋体"/>
          <w:color w:val="auto"/>
          <w:sz w:val="24"/>
          <w:highlight w:val="none"/>
        </w:rPr>
        <w:t xml:space="preserve">投标供应商成交后，应提供家具材质清单、原材料产地证明，需就拟投入本项目生产的原材料和主要辅材进行送检，送检内容和受检机构需经采购方认可</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13.2</w:t>
      </w:r>
      <w:r>
        <w:rPr>
          <w:rFonts w:ascii="宋体" w:hAnsi="宋体"/>
          <w:color w:val="auto"/>
          <w:sz w:val="24"/>
          <w:highlight w:val="none"/>
        </w:rPr>
        <w:t xml:space="preserve">原材料及辅材产品应符合国家规定的强制性环保指标，并达到以下要求（提供由投标供应商送检、经有资质的第三方出具的有效检测报告）</w:t>
      </w:r>
      <w:r>
        <w:rPr>
          <w:rFonts w:hint="eastAsia" w:ascii="宋体" w:hAnsi="宋体"/>
          <w:color w:val="auto"/>
          <w:sz w:val="24"/>
          <w:highlight w:val="none"/>
        </w:rPr>
        <w:t xml:space="preserve">，</w:t>
      </w:r>
      <w:r>
        <w:rPr>
          <w:rFonts w:ascii="宋体" w:hAnsi="宋体"/>
          <w:color w:val="auto"/>
          <w:sz w:val="24"/>
          <w:highlight w:val="none"/>
        </w:rPr>
        <w:t xml:space="preserve">免漆多层实木板（甲醛释放量不高于国家标准）。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13.3</w:t>
      </w:r>
      <w:r>
        <w:rPr>
          <w:rFonts w:ascii="宋体" w:hAnsi="宋体"/>
          <w:color w:val="auto"/>
          <w:sz w:val="24"/>
          <w:highlight w:val="none"/>
        </w:rPr>
        <w:t xml:space="preserve">经采购人确认投标供应商提供的主材相关指标符合采购方要求后，投标供应商方可按要求组织生产。否则，后果由投标供应商承担。</w:t>
      </w:r>
      <w:r/>
    </w:p>
    <w:p>
      <w:pPr>
        <w:ind w:firstLine="480"/>
        <w:spacing w:line="360" w:lineRule="auto"/>
        <w:tabs>
          <w:tab w:val="left" w:pos="1230" w:leader="none"/>
        </w:tabs>
        <w:rPr>
          <w:rFonts w:ascii="宋体" w:hAnsi="宋体"/>
          <w:color w:val="auto"/>
          <w:sz w:val="24"/>
          <w:highlight w:val="none"/>
        </w:rPr>
        <w:outlineLvl w:val="1"/>
      </w:pPr>
      <w:r>
        <w:rPr>
          <w:rFonts w:hint="eastAsia" w:ascii="宋体" w:hAnsi="宋体"/>
          <w:color w:val="auto"/>
          <w:sz w:val="24"/>
          <w:highlight w:val="none"/>
        </w:rPr>
        <w:t xml:space="preserve">（二）</w:t>
      </w:r>
      <w:r>
        <w:rPr>
          <w:rFonts w:ascii="宋体" w:hAnsi="宋体"/>
          <w:color w:val="auto"/>
          <w:sz w:val="24"/>
          <w:highlight w:val="none"/>
        </w:rPr>
        <w:t xml:space="preserve">设计、制造相关问题</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13.4</w:t>
      </w:r>
      <w:r>
        <w:rPr>
          <w:rFonts w:ascii="宋体" w:hAnsi="宋体"/>
          <w:color w:val="auto"/>
          <w:sz w:val="24"/>
          <w:highlight w:val="none"/>
        </w:rPr>
        <w:t xml:space="preserve">采购家具数量、规格、材质及工艺要求，详见项目需求清单。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13.5</w:t>
      </w:r>
      <w:r>
        <w:rPr>
          <w:rFonts w:ascii="宋体" w:hAnsi="宋体"/>
          <w:color w:val="auto"/>
          <w:sz w:val="24"/>
          <w:highlight w:val="none"/>
        </w:rPr>
        <w:t xml:space="preserve">招标文件所附的图样为示意图，材质及工艺要求中有关技术指标为本次采购的最低要求。</w:t>
      </w:r>
      <w:r>
        <w:rPr>
          <w:rFonts w:hint="eastAsia" w:ascii="宋体" w:hAnsi="宋体"/>
          <w:color w:val="auto"/>
          <w:sz w:val="24"/>
          <w:highlight w:val="none"/>
        </w:rPr>
        <w:t xml:space="preserve">乙方</w:t>
      </w:r>
      <w:r>
        <w:rPr>
          <w:rFonts w:ascii="宋体" w:hAnsi="宋体"/>
          <w:color w:val="auto"/>
          <w:sz w:val="24"/>
          <w:highlight w:val="none"/>
        </w:rPr>
        <w:t xml:space="preserve">应在不低于本招标文件所提</w:t>
      </w:r>
      <w:r>
        <w:rPr>
          <w:rFonts w:hint="eastAsia" w:ascii="宋体" w:hAnsi="宋体"/>
          <w:color w:val="auto"/>
          <w:sz w:val="24"/>
          <w:highlight w:val="none"/>
        </w:rPr>
        <w:t xml:space="preserve">“项目需求”，在</w:t>
      </w:r>
      <w:r>
        <w:rPr>
          <w:rFonts w:ascii="宋体" w:hAnsi="宋体"/>
          <w:color w:val="auto"/>
          <w:sz w:val="24"/>
          <w:highlight w:val="none"/>
        </w:rPr>
        <w:t xml:space="preserve">满足的质量、安全、技术规格、物理特性等前提下，优化设计方案（包括原料、配件、生产、安装、验收、售后服务等），但尺寸需满足现场需求。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13.6</w:t>
      </w:r>
      <w:r>
        <w:rPr>
          <w:rFonts w:ascii="宋体" w:hAnsi="宋体"/>
          <w:color w:val="auto"/>
          <w:sz w:val="24"/>
          <w:highlight w:val="none"/>
        </w:rPr>
        <w:t xml:space="preserve">须说明家具在生产安装过程中，所采用的主要配件的名称及生产厂家，并提供相应的技术说明书。所有内部配件（螺丝等）必须进行防腐蚀处理。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13.7</w:t>
      </w:r>
      <w:r>
        <w:rPr>
          <w:rFonts w:ascii="宋体" w:hAnsi="宋体"/>
          <w:color w:val="auto"/>
          <w:sz w:val="24"/>
          <w:highlight w:val="none"/>
        </w:rPr>
        <w:t xml:space="preserve">所供产品的颜色与款式等最终由</w:t>
      </w:r>
      <w:r>
        <w:rPr>
          <w:rFonts w:hint="eastAsia" w:ascii="宋体" w:hAnsi="宋体"/>
          <w:color w:val="auto"/>
          <w:sz w:val="24"/>
          <w:highlight w:val="none"/>
        </w:rPr>
        <w:t xml:space="preserve">甲方</w:t>
      </w:r>
      <w:r>
        <w:rPr>
          <w:rFonts w:ascii="宋体" w:hAnsi="宋体"/>
          <w:color w:val="auto"/>
          <w:sz w:val="24"/>
          <w:highlight w:val="none"/>
        </w:rPr>
        <w:t xml:space="preserve">确定后才可确定或生产。</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13.8</w:t>
      </w:r>
      <w:r>
        <w:rPr>
          <w:rFonts w:ascii="宋体" w:hAnsi="宋体"/>
          <w:color w:val="auto"/>
          <w:sz w:val="24"/>
          <w:highlight w:val="none"/>
        </w:rPr>
        <w:t xml:space="preserve">所供产品应按国家相关强制标准或行业标准进行设计和制造。所使用的主辅材料应符合国家环保标准。投标人应提供家具材质清单、原材料检验报告、材料产地证明。须说明家具在生产安装过程中，所采用的主要配件的名称及生产厂家，并提供相应的技术说明书。同时，还需提供</w:t>
      </w:r>
      <w:r>
        <w:rPr>
          <w:rFonts w:hint="eastAsia" w:ascii="宋体" w:hAnsi="宋体"/>
          <w:color w:val="auto"/>
          <w:sz w:val="24"/>
          <w:highlight w:val="none"/>
        </w:rPr>
        <w:t xml:space="preserve">乙方</w:t>
      </w:r>
      <w:r>
        <w:rPr>
          <w:rFonts w:ascii="宋体" w:hAnsi="宋体"/>
          <w:color w:val="auto"/>
          <w:sz w:val="24"/>
          <w:highlight w:val="none"/>
        </w:rPr>
        <w:t xml:space="preserve">拥有的大型生产设备清单及证明文件。证明</w:t>
      </w:r>
      <w:r>
        <w:rPr>
          <w:rFonts w:hint="eastAsia" w:ascii="宋体" w:hAnsi="宋体"/>
          <w:color w:val="auto"/>
          <w:sz w:val="24"/>
          <w:highlight w:val="none"/>
        </w:rPr>
        <w:t xml:space="preserve">乙方</w:t>
      </w:r>
      <w:r>
        <w:rPr>
          <w:rFonts w:ascii="宋体" w:hAnsi="宋体"/>
          <w:color w:val="auto"/>
          <w:sz w:val="24"/>
          <w:highlight w:val="none"/>
        </w:rPr>
        <w:t xml:space="preserve">所提供货物与招标文件的要求相一致的文件可以是说明书、手册、图纸、</w:t>
      </w:r>
      <w:r>
        <w:rPr>
          <w:rFonts w:hint="eastAsia" w:ascii="宋体" w:hAnsi="宋体"/>
          <w:color w:val="auto"/>
          <w:sz w:val="24"/>
          <w:highlight w:val="none"/>
        </w:rPr>
        <w:t xml:space="preserve">图片、文字资料、数据和承诺函</w:t>
      </w:r>
      <w:r>
        <w:rPr>
          <w:rFonts w:ascii="宋体" w:hAnsi="宋体"/>
          <w:color w:val="auto"/>
          <w:sz w:val="24"/>
          <w:highlight w:val="none"/>
        </w:rPr>
        <w:t xml:space="preserve">等。</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十四、违约责任</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14.1甲方无正当理由未按合同规定的期限向乙方支付货款的，每逾期1天甲方向乙方支付该批次货款总额的0.04%滞纳金。</w:t>
      </w:r>
      <w:r/>
    </w:p>
    <w:p>
      <w:pPr>
        <w:ind w:firstLine="480"/>
        <w:spacing w:line="500" w:lineRule="exact"/>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4.2乙方逾期交付货物的，每滞后一天，乙方承担</w:t>
      </w:r>
      <w:r>
        <w:rPr>
          <w:rFonts w:ascii="宋体" w:hAnsi="宋体" w:cs="宋体"/>
          <w:color w:val="auto"/>
          <w:sz w:val="24"/>
          <w:highlight w:val="none"/>
        </w:rPr>
        <w:t xml:space="preserve">10</w:t>
      </w:r>
      <w:r>
        <w:rPr>
          <w:rFonts w:hint="eastAsia" w:ascii="宋体" w:hAnsi="宋体" w:cs="宋体"/>
          <w:color w:val="auto"/>
          <w:sz w:val="24"/>
          <w:highlight w:val="none"/>
        </w:rPr>
        <w:t xml:space="preserve">000.00元/天的延期违约金，违约金首先从合同履约保证金中扣除，违约金超出履约保证金的部分从总合同价款中扣除。</w:t>
      </w:r>
      <w:r/>
    </w:p>
    <w:p>
      <w:pPr>
        <w:ind w:firstLine="480"/>
        <w:spacing w:line="500" w:lineRule="exact"/>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4.3乙方所交付的货物品种、型号、规格不符合合同规定，乙方需在收到通知后5日内解决退换货问题，因退换货造成逾期交付的，乙方需交纳逾期滞纳金，逾期滞纳金按原收货截止日次日起计至合格货物收到之日止，每逾期1天，按5000元滞纳金计算。若乙方在7日退换货期限内不能完成供货，支付每日1万元罚款，直至供货日止。若乙方在以上合计15天期限内仍不能完成供货，甲方可采取必要的补救措施，但由此引发的风险和费用将由乙方承担。</w:t>
      </w:r>
      <w:r/>
    </w:p>
    <w:p>
      <w:pPr>
        <w:ind w:firstLine="480"/>
        <w:spacing w:line="500" w:lineRule="exact"/>
        <w:rPr>
          <w:rFonts w:ascii="宋体" w:hAnsi="宋体" w:cs="宋体"/>
          <w:b/>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4.4乙方未按合同规定的和“服务承诺”提供的售后服务的，应按合同总价款的8%向甲方承担违约责任。</w:t>
      </w:r>
      <w:r/>
    </w:p>
    <w:p>
      <w:pPr>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14.5空气质量检测不合格责任界定家具安装完毕后，室内空气质量检测若不符合GB50325-2020标准要求，除按原规定扣除履约保证金外，乙方需承担以下整改、退换、重做责任：</w:t>
      </w:r>
      <w:r/>
    </w:p>
    <w:p>
      <w:pPr>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14.5.1首次检测不合格的，乙方需在7日内完成全面整改，整改方式包括但不限于更换不合格家具、采用环保治理措施等，整改费用由乙方全额承担，同时扣除履约保证金的10%；整改完成后由甲方组织二次检测，二次检测费用仍由乙方承担。</w:t>
      </w:r>
      <w:r/>
    </w:p>
    <w:p>
      <w:pPr>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14.5.2二次检测仍不合格的，乙方需在20日内对不合格房间的所有家具进行无条件全额退换重做，退换重做期间需保障甲方正常使用需求，甲方有权免费使用所有家具或要求乙方提供临时替代家具，相关费用由乙方承担，同时没收全部履约保证金。</w:t>
      </w:r>
      <w:r/>
    </w:p>
    <w:p>
      <w:pPr>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14.5.3因空气质量不合格导致甲方学生无法正常入住、产生住宿安置等费用的，所有费用由乙方承担；若造成人身损害的，乙方需承担全部民事赔偿责任及相应法律责任。</w:t>
      </w:r>
      <w:r/>
    </w:p>
    <w:p>
      <w:pPr>
        <w:ind w:firstLine="480"/>
        <w:spacing w:line="500" w:lineRule="exact"/>
        <w:widowControl/>
        <w:rPr>
          <w:rFonts w:ascii="宋体" w:hAnsi="宋体" w:cs="宋体"/>
          <w:b/>
          <w:color w:val="auto"/>
          <w:sz w:val="24"/>
          <w:highlight w:val="none"/>
        </w:rPr>
      </w:pPr>
      <w:r>
        <w:rPr>
          <w:rFonts w:hint="eastAsia" w:ascii="宋体" w:hAnsi="宋体" w:cs="宋体"/>
          <w:color w:val="auto"/>
          <w:sz w:val="24"/>
          <w:highlight w:val="none"/>
        </w:rPr>
        <w:t xml:space="preserve">14.5.4退换重做后仍无法达到空气质量标准的，甲方有权单方面解除合同，乙方需赔偿合同总金额50%的违约金，同时承担甲方因此产生的一切直接和间接损失。</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十五、不可抗力事件处理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15.1 在合同有效期内，任何一方因不可抗力事件导致不能履行合同，则合同履行期可延长，其延长期与不可抗力影响期相同。</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15.2 不可抗力事件发生后，应立即通知对方，并寄送有关权威机构出具的证明。</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15.3 不可抗力事件延续120天以上，双方应通过友好协商，确定是否继续履行合同。</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十六、解决争议的方法</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16.1甲乙双方因合同签订、履行而发生的一切争议，应通过友好协商解决。如协商不成由甲方住所地人民法院管辖。</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十七、合同生效及其它</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17.1 合同经双方法定代表人或授权委托代表人签字并加盖单位公章后生效。</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17.2本合同未尽事宜，遵照中华人民共和国现行法律法规有关条文执行。</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17.3 本合同正本一式捌份，具有同等法律效力，甲方、乙方各执肆份。</w:t>
      </w:r>
      <w:r/>
    </w:p>
    <w:p>
      <w:pPr>
        <w:ind w:firstLine="480"/>
        <w:spacing w:line="500" w:lineRule="exact"/>
        <w:rPr>
          <w:rFonts w:ascii="宋体" w:hAnsi="宋体" w:cs="宋体"/>
          <w:color w:val="auto"/>
          <w:sz w:val="24"/>
          <w:highlight w:val="none"/>
          <w:lang w:val="zh-CN"/>
        </w:rPr>
      </w:pPr>
      <w:r>
        <w:rPr>
          <w:rFonts w:hint="eastAsia" w:ascii="宋体" w:hAnsi="宋体" w:cs="宋体"/>
          <w:color w:val="auto"/>
          <w:sz w:val="24"/>
          <w:highlight w:val="none"/>
        </w:rPr>
        <w:t xml:space="preserve">17.4</w:t>
      </w:r>
      <w:r>
        <w:rPr>
          <w:rFonts w:hint="eastAsia" w:ascii="宋体" w:hAnsi="宋体" w:cs="宋体"/>
          <w:color w:val="auto"/>
          <w:sz w:val="24"/>
          <w:highlight w:val="none"/>
          <w:lang w:val="zh-CN"/>
        </w:rPr>
        <w:t xml:space="preserve">组成本合同的有关文件</w:t>
      </w:r>
      <w:r/>
    </w:p>
    <w:p>
      <w:pPr>
        <w:ind w:firstLine="480"/>
        <w:spacing w:line="5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组成合同的各项文件应互相解释，互为说明。除专用合同条款另有约定外，解释合同文件的优先顺序如下： </w:t>
      </w:r>
      <w:r/>
    </w:p>
    <w:p>
      <w:pPr>
        <w:ind w:firstLine="480"/>
        <w:spacing w:line="5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（1）合同协议书； </w:t>
      </w:r>
      <w:r/>
    </w:p>
    <w:p>
      <w:pPr>
        <w:ind w:firstLine="480"/>
        <w:spacing w:line="5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（2）中标通知书； </w:t>
      </w:r>
      <w:r/>
    </w:p>
    <w:p>
      <w:pPr>
        <w:ind w:firstLine="480"/>
        <w:spacing w:line="5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（3）投标函（</w:t>
      </w:r>
      <w:r>
        <w:rPr>
          <w:rFonts w:hint="eastAsia" w:ascii="宋体" w:hAnsi="宋体" w:cs="宋体"/>
          <w:color w:val="auto"/>
          <w:sz w:val="24"/>
          <w:highlight w:val="none"/>
        </w:rPr>
        <w:t xml:space="preserve">含投标文件其他内容</w:t>
      </w:r>
      <w:r>
        <w:rPr>
          <w:rFonts w:hint="eastAsia" w:ascii="宋体" w:hAnsi="宋体" w:cs="宋体"/>
          <w:color w:val="auto"/>
          <w:sz w:val="24"/>
          <w:highlight w:val="none"/>
          <w:lang w:val="zh-CN"/>
        </w:rPr>
        <w:t xml:space="preserve">）； </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lang w:val="zh-CN"/>
        </w:rPr>
        <w:t xml:space="preserve">（4）</w:t>
      </w:r>
      <w:r>
        <w:rPr>
          <w:rFonts w:hint="eastAsia" w:ascii="宋体" w:hAnsi="宋体" w:cs="宋体"/>
          <w:color w:val="auto"/>
          <w:sz w:val="24"/>
          <w:highlight w:val="none"/>
        </w:rPr>
        <w:t xml:space="preserve">招标文件；</w:t>
      </w:r>
      <w:r/>
    </w:p>
    <w:p>
      <w:pPr>
        <w:ind w:firstLine="480"/>
        <w:spacing w:line="5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（5）供货要求</w:t>
      </w:r>
      <w:r>
        <w:rPr>
          <w:rFonts w:hint="eastAsia" w:ascii="宋体" w:hAnsi="宋体" w:cs="宋体"/>
          <w:color w:val="auto"/>
          <w:sz w:val="24"/>
          <w:highlight w:val="none"/>
        </w:rPr>
        <w:t xml:space="preserve">及计划响应</w:t>
      </w:r>
      <w:r>
        <w:rPr>
          <w:rFonts w:hint="eastAsia" w:ascii="宋体" w:hAnsi="宋体" w:cs="宋体"/>
          <w:color w:val="auto"/>
          <w:sz w:val="24"/>
          <w:highlight w:val="none"/>
          <w:lang w:val="zh-CN"/>
        </w:rPr>
        <w:t xml:space="preserve">； </w:t>
      </w:r>
      <w:r/>
    </w:p>
    <w:p>
      <w:pPr>
        <w:ind w:firstLine="480"/>
        <w:spacing w:line="5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）相关服务计划；</w:t>
      </w:r>
      <w:r/>
    </w:p>
    <w:p>
      <w:pPr>
        <w:ind w:firstLine="480"/>
        <w:spacing w:line="5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7</w:t>
      </w:r>
      <w:r>
        <w:rPr>
          <w:rFonts w:hint="eastAsia" w:ascii="宋体" w:hAnsi="宋体" w:cs="宋体"/>
          <w:color w:val="auto"/>
          <w:sz w:val="24"/>
          <w:highlight w:val="none"/>
          <w:lang w:val="zh-CN"/>
        </w:rPr>
        <w:t xml:space="preserve">）其他合同文件。</w:t>
      </w:r>
      <w:r/>
    </w:p>
    <w:p>
      <w:pPr>
        <w:spacing w:line="500" w:lineRule="exact"/>
        <w:rPr>
          <w:rFonts w:ascii="宋体" w:hAnsi="宋体" w:cs="宋体"/>
          <w:color w:val="auto"/>
          <w:sz w:val="24"/>
          <w:highlight w:val="none"/>
          <w:lang w:val="zh-CN"/>
        </w:rPr>
      </w:pPr>
      <w:r>
        <w:rPr>
          <w:rFonts w:ascii="宋体" w:hAnsi="宋体" w:cs="宋体"/>
          <w:color w:val="auto"/>
          <w:sz w:val="24"/>
          <w:highlight w:val="none"/>
          <w:lang w:val="zh-CN"/>
        </w:rPr>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甲方：                        乙方： </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地址：                        地址： </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法定代表人或授权代表：        法定代表人或授权代表：</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联系电话：                    联系电话：     </w:t>
      </w:r>
      <w:r/>
    </w:p>
    <w:p>
      <w:pPr>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spacing w:line="480" w:lineRule="exact"/>
        <w:rPr>
          <w:rFonts w:ascii="宋体" w:hAnsi="宋体" w:cs="宋体"/>
          <w:color w:val="auto"/>
          <w:sz w:val="22"/>
          <w:szCs w:val="22"/>
          <w:highlight w:val="none"/>
        </w:rPr>
      </w:pPr>
      <w:r>
        <w:rPr>
          <w:rFonts w:hint="eastAsia" w:ascii="宋体" w:hAnsi="宋体" w:cs="宋体"/>
          <w:color w:val="auto"/>
          <w:sz w:val="24"/>
          <w:highlight w:val="none"/>
        </w:rPr>
        <w:t xml:space="preserve">签订日期：2026年 </w:t>
      </w:r>
      <w:r>
        <w:rPr>
          <w:rFonts w:ascii="宋体" w:hAnsi="宋体" w:cs="宋体"/>
          <w:color w:val="auto"/>
          <w:sz w:val="24"/>
          <w:highlight w:val="none"/>
        </w:rPr>
        <w:t xml:space="preserve"> </w:t>
      </w:r>
      <w:r>
        <w:rPr>
          <w:rFonts w:hint="eastAsia" w:ascii="宋体" w:hAnsi="宋体" w:cs="宋体"/>
          <w:color w:val="auto"/>
          <w:sz w:val="24"/>
          <w:highlight w:val="none"/>
        </w:rPr>
        <w:t xml:space="preserve">月  日</w:t>
      </w:r>
      <w:bookmarkStart w:id="148" w:name="_Hlt16619369"/>
      <w:r/>
      <w:bookmarkEnd w:id="148"/>
      <w:r>
        <w:rPr>
          <w:rFonts w:hint="eastAsia" w:ascii="宋体" w:hAnsi="宋体" w:cs="宋体"/>
          <w:color w:val="auto"/>
          <w:sz w:val="24"/>
          <w:highlight w:val="none"/>
        </w:rPr>
        <w:t xml:space="preserve">     签订日期：2026年 </w:t>
      </w:r>
      <w:r>
        <w:rPr>
          <w:rFonts w:ascii="宋体" w:hAnsi="宋体" w:cs="宋体"/>
          <w:color w:val="auto"/>
          <w:sz w:val="24"/>
          <w:highlight w:val="none"/>
        </w:rPr>
        <w:t xml:space="preserve"> </w:t>
      </w:r>
      <w:r>
        <w:rPr>
          <w:rFonts w:hint="eastAsia" w:ascii="宋体" w:hAnsi="宋体" w:cs="宋体"/>
          <w:color w:val="auto"/>
          <w:sz w:val="24"/>
          <w:highlight w:val="none"/>
        </w:rPr>
        <w:t xml:space="preserve">月  日</w:t>
      </w:r>
      <w:r/>
    </w:p>
    <w:p>
      <w:pPr>
        <w:jc w:val="center"/>
        <w:spacing w:line="460" w:lineRule="exact"/>
        <w:rPr>
          <w:rFonts w:ascii="宋体" w:hAnsi="宋体" w:cs="宋体"/>
          <w:bCs/>
          <w:color w:val="auto"/>
          <w:sz w:val="36"/>
          <w:szCs w:val="36"/>
          <w:highlight w:val="none"/>
        </w:rPr>
        <w:outlineLvl w:val="0"/>
      </w:pPr>
      <w:r>
        <w:rPr>
          <w:rFonts w:hint="eastAsia" w:ascii="宋体" w:hAnsi="宋体" w:cs="宋体"/>
          <w:bCs/>
          <w:color w:val="auto"/>
          <w:sz w:val="24"/>
          <w:highlight w:val="none"/>
        </w:rPr>
        <w:br w:type="page" w:clear="all"/>
      </w:r>
      <w:bookmarkStart w:id="149" w:name="_Toc26259"/>
      <w:r/>
      <w:bookmarkStart w:id="150" w:name="_Toc30320"/>
      <w:r>
        <w:rPr>
          <w:rFonts w:hint="eastAsia" w:ascii="宋体" w:hAnsi="宋体" w:cs="宋体"/>
          <w:bCs/>
          <w:color w:val="auto"/>
          <w:sz w:val="36"/>
          <w:szCs w:val="36"/>
          <w:highlight w:val="none"/>
        </w:rPr>
        <w:t xml:space="preserve">第四部分  开标和评标</w:t>
      </w:r>
      <w:bookmarkEnd w:id="149"/>
      <w:r/>
      <w:bookmarkEnd w:id="150"/>
      <w:r/>
      <w:r/>
    </w:p>
    <w:p>
      <w:pPr>
        <w:pStyle w:val="976"/>
        <w:ind w:left="0" w:right="0" w:firstLine="562"/>
        <w:jc w:val="left"/>
        <w:spacing w:before="0" w:after="0" w:line="460" w:lineRule="exact"/>
        <w:rPr>
          <w:rFonts w:ascii="宋体" w:hAnsi="宋体" w:cs="宋体"/>
          <w:b/>
          <w:color w:val="auto"/>
          <w:sz w:val="28"/>
          <w:szCs w:val="28"/>
          <w:highlight w:val="none"/>
        </w:rPr>
        <w:outlineLvl w:val="1"/>
      </w:pPr>
      <w:r/>
      <w:bookmarkStart w:id="151" w:name="_Toc29131"/>
      <w:r>
        <w:rPr>
          <w:rFonts w:hint="eastAsia" w:ascii="宋体" w:hAnsi="宋体" w:cs="宋体"/>
          <w:b/>
          <w:color w:val="auto"/>
          <w:sz w:val="28"/>
          <w:szCs w:val="28"/>
          <w:highlight w:val="none"/>
        </w:rPr>
        <w:t xml:space="preserve">一、开标</w:t>
      </w:r>
      <w:bookmarkEnd w:id="151"/>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不见面远程开标模式：开标当天各投标人在各自地点通过苏采云系统及时登录不见面开标大厅，参加投标活动。</w:t>
      </w:r>
      <w:r/>
    </w:p>
    <w:p>
      <w:pPr>
        <w:pStyle w:val="976"/>
        <w:ind w:left="0" w:right="0" w:firstLine="562"/>
        <w:jc w:val="left"/>
        <w:spacing w:before="0" w:after="0" w:line="460" w:lineRule="exact"/>
        <w:rPr>
          <w:rFonts w:ascii="宋体" w:hAnsi="宋体" w:cs="宋体"/>
          <w:b/>
          <w:color w:val="auto"/>
          <w:sz w:val="28"/>
          <w:szCs w:val="28"/>
          <w:highlight w:val="none"/>
        </w:rPr>
        <w:outlineLvl w:val="1"/>
      </w:pPr>
      <w:r/>
      <w:bookmarkStart w:id="152" w:name="_Toc28154"/>
      <w:r>
        <w:rPr>
          <w:rFonts w:hint="eastAsia" w:ascii="宋体" w:hAnsi="宋体" w:cs="宋体"/>
          <w:b/>
          <w:color w:val="auto"/>
          <w:sz w:val="28"/>
          <w:szCs w:val="28"/>
          <w:highlight w:val="none"/>
        </w:rPr>
        <w:t xml:space="preserve">二、评标流程和评标标准</w:t>
      </w:r>
      <w:bookmarkEnd w:id="152"/>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采用综合评分法。分资格审查、商务技术标、价格标、三部分评审，总分值为100分，加分和减分因素除外。</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评委在认真审阅投标文件的基础上，根据各投标文件的响应程度独立评判，不得统一打分。</w:t>
      </w:r>
      <w:r/>
    </w:p>
    <w:p>
      <w:pPr>
        <w:ind w:firstLine="562"/>
        <w:spacing w:line="460" w:lineRule="exact"/>
        <w:rPr>
          <w:rFonts w:ascii="宋体" w:hAnsi="宋体" w:cs="宋体"/>
          <w:b/>
          <w:color w:val="auto"/>
          <w:sz w:val="28"/>
          <w:szCs w:val="28"/>
          <w:highlight w:val="none"/>
        </w:rPr>
        <w:outlineLvl w:val="2"/>
      </w:pPr>
      <w:r/>
      <w:bookmarkStart w:id="153" w:name="_Toc13980"/>
      <w:r>
        <w:rPr>
          <w:rFonts w:hint="eastAsia" w:ascii="宋体" w:hAnsi="宋体" w:cs="宋体"/>
          <w:b/>
          <w:color w:val="auto"/>
          <w:sz w:val="28"/>
          <w:szCs w:val="28"/>
          <w:highlight w:val="none"/>
        </w:rPr>
        <w:t xml:space="preserve">（一）采购人（代表）对投标人资格进行审查。</w:t>
      </w:r>
      <w:bookmarkEnd w:id="153"/>
      <w:r/>
      <w:r/>
    </w:p>
    <w:p>
      <w:pPr>
        <w:pStyle w:val="980"/>
        <w:ind w:firstLine="560"/>
        <w:spacing w:line="460" w:lineRule="exact"/>
        <w:rPr>
          <w:rFonts w:ascii="宋体" w:eastAsia="宋体" w:cs="宋体"/>
          <w:color w:val="auto"/>
          <w:sz w:val="28"/>
          <w:highlight w:val="none"/>
        </w:rPr>
      </w:pPr>
      <w:r>
        <w:rPr>
          <w:rFonts w:hint="eastAsia" w:ascii="宋体" w:eastAsia="宋体" w:cs="宋体"/>
          <w:color w:val="auto"/>
          <w:sz w:val="28"/>
          <w:highlight w:val="none"/>
        </w:rPr>
        <w:t xml:space="preserve">投标人资格不合格的，其投标文件判定为无效投标文件。</w:t>
      </w:r>
      <w:r/>
    </w:p>
    <w:p>
      <w:pPr>
        <w:ind w:firstLine="562"/>
        <w:jc w:val="left"/>
        <w:spacing w:line="460" w:lineRule="exact"/>
        <w:rPr>
          <w:rFonts w:ascii="宋体" w:hAnsi="宋体" w:cs="宋体"/>
          <w:b/>
          <w:color w:val="auto"/>
          <w:sz w:val="28"/>
          <w:szCs w:val="28"/>
          <w:highlight w:val="none"/>
        </w:rPr>
        <w:outlineLvl w:val="2"/>
      </w:pPr>
      <w:r/>
      <w:bookmarkStart w:id="154" w:name="_Toc8474"/>
      <w:r>
        <w:rPr>
          <w:rFonts w:hint="eastAsia" w:ascii="宋体" w:hAnsi="宋体" w:cs="宋体"/>
          <w:b/>
          <w:color w:val="auto"/>
          <w:sz w:val="28"/>
          <w:szCs w:val="28"/>
          <w:highlight w:val="none"/>
        </w:rPr>
        <w:t xml:space="preserve">（二）评标委员会对符合资格投标人的投标文件进行符合性审查。</w:t>
      </w:r>
      <w:bookmarkEnd w:id="154"/>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实质性条款（核心参数）用★标注，实质性条款（核心参数）不允许负偏离。供应商提交的投标文件中，本项目中所有条款均需提供相关证明材料，所提供证明材料不满足招标文件要求的，或者所提供产品技术参数低于招标文件要求的，或者技术参数响应条款与招标文件对比有缺项、漏项的等，均视为未响应招标文件需求。</w:t>
      </w:r>
      <w:r/>
    </w:p>
    <w:p>
      <w:pPr>
        <w:pStyle w:val="980"/>
        <w:ind w:firstLine="560"/>
        <w:spacing w:line="460" w:lineRule="exact"/>
        <w:rPr>
          <w:rFonts w:ascii="宋体" w:eastAsia="宋体" w:cs="宋体"/>
          <w:color w:val="auto"/>
          <w:sz w:val="28"/>
          <w:highlight w:val="none"/>
        </w:rPr>
      </w:pPr>
      <w:r>
        <w:rPr>
          <w:rFonts w:ascii="宋体" w:eastAsia="宋体" w:cs="宋体"/>
          <w:color w:val="auto"/>
          <w:sz w:val="28"/>
          <w:highlight w:val="none"/>
        </w:rPr>
        <w:t xml:space="preserve">2</w:t>
      </w:r>
      <w:r>
        <w:rPr>
          <w:rFonts w:hint="eastAsia" w:ascii="宋体" w:eastAsia="宋体" w:cs="宋体"/>
          <w:color w:val="auto"/>
          <w:sz w:val="28"/>
          <w:highlight w:val="none"/>
        </w:rPr>
        <w:t xml:space="preserve">、原材料检测报告：钢管、板材、环保涂料、五金件四大类核心原材料，均需提供有效CMA检测合格报告；所有报告需为2024年7月1日及之后的合格检测报告，复印件需清晰可查、加盖投标人公章。</w:t>
      </w:r>
      <w:r/>
    </w:p>
    <w:p>
      <w:pPr>
        <w:pStyle w:val="980"/>
        <w:ind w:firstLine="560"/>
        <w:spacing w:line="460" w:lineRule="exact"/>
        <w:rPr>
          <w:rFonts w:ascii="宋体" w:eastAsia="宋体" w:cs="宋体"/>
          <w:color w:val="auto"/>
          <w:sz w:val="28"/>
          <w:highlight w:val="none"/>
        </w:rPr>
      </w:pPr>
      <w:r>
        <w:rPr>
          <w:rFonts w:hint="eastAsia" w:ascii="宋体" w:eastAsia="宋体" w:cs="宋体"/>
          <w:color w:val="auto"/>
          <w:sz w:val="28"/>
          <w:highlight w:val="none"/>
        </w:rPr>
        <w:t xml:space="preserve">未通过符合性审查的投标文件，将被判为不满足招标文件实质性要求。 </w:t>
      </w:r>
      <w:r/>
    </w:p>
    <w:p>
      <w:pPr>
        <w:ind w:firstLine="562"/>
        <w:jc w:val="left"/>
        <w:spacing w:line="460" w:lineRule="exact"/>
        <w:rPr>
          <w:rFonts w:ascii="宋体" w:hAnsi="宋体" w:cs="宋体"/>
          <w:b/>
          <w:color w:val="auto"/>
          <w:sz w:val="28"/>
          <w:szCs w:val="28"/>
          <w:highlight w:val="none"/>
          <w:lang w:val="zh-CN"/>
        </w:rPr>
        <w:outlineLvl w:val="2"/>
      </w:pPr>
      <w:r/>
      <w:bookmarkStart w:id="155" w:name="_Toc24736"/>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三</w:t>
      </w: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商务技术分：4</w:t>
      </w:r>
      <w:r>
        <w:rPr>
          <w:rFonts w:ascii="宋体" w:hAnsi="宋体" w:cs="宋体"/>
          <w:b/>
          <w:color w:val="auto"/>
          <w:sz w:val="28"/>
          <w:szCs w:val="28"/>
          <w:highlight w:val="none"/>
          <w:lang w:val="zh-CN"/>
        </w:rPr>
        <w:t xml:space="preserve">0</w:t>
      </w:r>
      <w:r>
        <w:rPr>
          <w:rFonts w:hint="eastAsia" w:ascii="宋体" w:hAnsi="宋体" w:cs="宋体"/>
          <w:b/>
          <w:color w:val="auto"/>
          <w:sz w:val="28"/>
          <w:szCs w:val="28"/>
          <w:highlight w:val="none"/>
          <w:lang w:val="zh-CN"/>
        </w:rPr>
        <w:t xml:space="preserve">分</w:t>
      </w:r>
      <w:bookmarkEnd w:id="155"/>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各投标人得分为评委会成员评分的算术平均分，分值保留小数点后两位。</w:t>
      </w:r>
      <w:r/>
    </w:p>
    <w:tbl>
      <w:tblPr>
        <w:tblStyle w:val="745"/>
        <w:tblpPr w:horzAnchor="text" w:tblpXSpec="center" w:vertAnchor="text" w:tblpY="1" w:leftFromText="180" w:topFromText="0" w:rightFromText="180" w:bottomFromText="0"/>
        <w:tblW w:w="5367" w:type="pct"/>
        <w:tblInd w:w="0" w:type="dxa"/>
        <w:tblLayout w:type="autofit"/>
        <w:tblCellMar>
          <w:left w:w="108" w:type="dxa"/>
          <w:top w:w="0" w:type="dxa"/>
          <w:right w:w="108" w:type="dxa"/>
          <w:bottom w:w="0" w:type="dxa"/>
        </w:tblCellMar>
        <w:tblLook w:val="04A0" w:firstRow="1" w:lastRow="0" w:firstColumn="1" w:lastColumn="0" w:noHBand="0" w:noVBand="1"/>
      </w:tblPr>
      <w:tblGrid>
        <w:gridCol w:w="593"/>
        <w:gridCol w:w="1005"/>
        <w:gridCol w:w="5039"/>
        <w:gridCol w:w="710"/>
        <w:gridCol w:w="887"/>
        <w:gridCol w:w="915"/>
      </w:tblGrid>
      <w:tr>
        <w:trPr>
          <w:trHeight w:val="780"/>
        </w:trPr>
        <w:tc>
          <w:tcPr>
            <w:tcBorders>
              <w:top w:val="single" w:color="000000" w:sz="4" w:space="0"/>
              <w:left w:val="single" w:color="000000" w:sz="4" w:space="0"/>
              <w:bottom w:val="single" w:color="000000" w:sz="4" w:space="0"/>
              <w:right w:val="single" w:color="auto" w:sz="4" w:space="0"/>
            </w:tcBorders>
            <w:tcW w:w="324" w:type="pct"/>
            <w:vAlign w:val="center"/>
            <w:textDirection w:val="lrTb"/>
            <w:noWrap w:val="false"/>
          </w:tcPr>
          <w:p>
            <w:pPr>
              <w:jc w:val="center"/>
              <w:spacing w:line="460" w:lineRule="exact"/>
              <w:widowControl/>
              <w:rPr>
                <w:rFonts w:ascii="宋体" w:hAnsi="宋体" w:cs="宋体"/>
                <w:b/>
                <w:bCs/>
                <w:color w:val="auto"/>
                <w:sz w:val="24"/>
                <w:highlight w:val="none"/>
              </w:rPr>
            </w:pPr>
            <w:r/>
            <w:bookmarkStart w:id="156" w:name="_Toc126"/>
            <w:r>
              <w:rPr>
                <w:rFonts w:hint="eastAsia" w:ascii="宋体" w:hAnsi="宋体" w:cs="宋体"/>
                <w:b/>
                <w:bCs/>
                <w:color w:val="auto"/>
                <w:sz w:val="24"/>
                <w:highlight w:val="none"/>
              </w:rPr>
              <w:t xml:space="preserve">序号</w:t>
            </w:r>
            <w:r/>
          </w:p>
        </w:tc>
        <w:tc>
          <w:tcPr>
            <w:tcBorders>
              <w:top w:val="single" w:color="000000" w:sz="4" w:space="0"/>
              <w:left w:val="single" w:color="auto" w:sz="4" w:space="0"/>
              <w:bottom w:val="single" w:color="000000" w:sz="4" w:space="0"/>
              <w:right w:val="single" w:color="000000" w:sz="4" w:space="0"/>
            </w:tcBorders>
            <w:tcW w:w="549" w:type="pct"/>
            <w:vAlign w:val="center"/>
            <w:textDirection w:val="lrTb"/>
            <w:noWrap w:val="false"/>
          </w:tcPr>
          <w:p>
            <w:pPr>
              <w:jc w:val="center"/>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评分因素</w:t>
            </w:r>
            <w:r/>
          </w:p>
        </w:tc>
        <w:tc>
          <w:tcPr>
            <w:tcBorders>
              <w:top w:val="single" w:color="000000" w:sz="4" w:space="0"/>
              <w:left w:val="single" w:color="000000" w:sz="4" w:space="0"/>
              <w:bottom w:val="single" w:color="000000" w:sz="4" w:space="0"/>
              <w:right w:val="single" w:color="000000" w:sz="4" w:space="0"/>
            </w:tcBorders>
            <w:tcW w:w="2754" w:type="pct"/>
            <w:vAlign w:val="center"/>
            <w:textDirection w:val="lrTb"/>
            <w:noWrap w:val="false"/>
          </w:tcPr>
          <w:p>
            <w:pPr>
              <w:jc w:val="center"/>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最高分</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最低分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主/客观分</w:t>
            </w:r>
            <w:r/>
          </w:p>
        </w:tc>
      </w:tr>
      <w:tr>
        <w:trPr>
          <w:trHeight w:val="396"/>
        </w:trPr>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深化设计能力</w:t>
            </w:r>
            <w:r/>
          </w:p>
        </w:tc>
        <w:tc>
          <w:tcPr>
            <w:tcBorders>
              <w:top w:val="single" w:color="000000" w:sz="4" w:space="0"/>
              <w:left w:val="single" w:color="000000" w:sz="4" w:space="0"/>
              <w:bottom w:val="single" w:color="000000" w:sz="4" w:space="0"/>
              <w:right w:val="single" w:color="000000" w:sz="4" w:space="0"/>
            </w:tcBorders>
            <w:tcW w:w="2754" w:type="pct"/>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按本次采购所有投标产品深化设计图纸进行评审。</w:t>
            </w:r>
            <w:r/>
          </w:p>
          <w:p>
            <w:pPr>
              <w:pStyle w:val="752"/>
              <w:rPr>
                <w:rFonts w:ascii="宋体" w:hAnsi="宋体" w:cs="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图纸完整规范（3分）：完整提供</w:t>
            </w:r>
            <w:r>
              <w:rPr>
                <w:rFonts w:hint="eastAsia" w:ascii="宋体" w:hAnsi="宋体"/>
                <w:color w:val="auto"/>
                <w:sz w:val="24"/>
                <w:highlight w:val="none"/>
              </w:rPr>
              <w:t xml:space="preserve">各品类对应的</w:t>
            </w:r>
            <w:r>
              <w:rPr>
                <w:rFonts w:ascii="Calibri" w:hAnsi="Calibri" w:cs="Calibri"/>
                <w:color w:val="auto"/>
                <w:sz w:val="24"/>
                <w:highlight w:val="none"/>
              </w:rPr>
              <w:t xml:space="preserve">①</w:t>
            </w:r>
            <w:r>
              <w:rPr>
                <w:rFonts w:ascii="宋体" w:hAnsi="宋体"/>
                <w:color w:val="auto"/>
                <w:sz w:val="24"/>
                <w:highlight w:val="none"/>
              </w:rPr>
              <w:t xml:space="preserve">产品彩色效果图</w:t>
            </w:r>
            <w:r>
              <w:rPr>
                <w:rFonts w:ascii="Calibri" w:hAnsi="Calibri" w:cs="Calibri"/>
                <w:color w:val="auto"/>
                <w:sz w:val="24"/>
                <w:highlight w:val="none"/>
              </w:rPr>
              <w:t xml:space="preserve">②</w:t>
            </w:r>
            <w:r>
              <w:rPr>
                <w:rFonts w:ascii="宋体" w:hAnsi="宋体"/>
                <w:color w:val="auto"/>
                <w:sz w:val="24"/>
                <w:highlight w:val="none"/>
              </w:rPr>
              <w:t xml:space="preserve">正视/侧视/俯视三视图</w:t>
            </w:r>
            <w:r>
              <w:rPr>
                <w:rFonts w:ascii="Calibri" w:hAnsi="Calibri" w:cs="Calibri"/>
                <w:color w:val="auto"/>
                <w:sz w:val="24"/>
                <w:highlight w:val="none"/>
              </w:rPr>
              <w:t xml:space="preserve">③</w:t>
            </w:r>
            <w:r>
              <w:rPr>
                <w:rFonts w:ascii="宋体" w:hAnsi="宋体"/>
                <w:color w:val="auto"/>
                <w:sz w:val="24"/>
                <w:highlight w:val="none"/>
              </w:rPr>
              <w:t xml:space="preserve">关键连接节点结构细节图纸，</w:t>
            </w:r>
            <w:r>
              <w:rPr>
                <w:rFonts w:hint="eastAsia" w:ascii="宋体" w:hAnsi="宋体"/>
                <w:color w:val="auto"/>
                <w:sz w:val="24"/>
                <w:highlight w:val="none"/>
              </w:rPr>
              <w:t xml:space="preserve">每缺少任意一个产品的任意一类图纸，扣</w:t>
            </w:r>
            <w:r>
              <w:rPr>
                <w:rFonts w:ascii="宋体" w:hAnsi="宋体"/>
                <w:color w:val="auto"/>
                <w:sz w:val="24"/>
                <w:highlight w:val="none"/>
              </w:rPr>
              <w:t xml:space="preserve">1</w:t>
            </w:r>
            <w:r>
              <w:rPr>
                <w:rFonts w:hint="eastAsia" w:ascii="宋体" w:hAnsi="宋体"/>
                <w:color w:val="auto"/>
                <w:sz w:val="24"/>
                <w:highlight w:val="none"/>
              </w:rPr>
              <w:t xml:space="preserve">分，扣完</w:t>
            </w:r>
            <w:r>
              <w:rPr>
                <w:rFonts w:ascii="宋体" w:hAnsi="宋体"/>
                <w:color w:val="auto"/>
                <w:sz w:val="24"/>
                <w:highlight w:val="none"/>
              </w:rPr>
              <w:t xml:space="preserve">3</w:t>
            </w:r>
            <w:r>
              <w:rPr>
                <w:rFonts w:hint="eastAsia" w:ascii="宋体" w:hAnsi="宋体"/>
                <w:color w:val="auto"/>
                <w:sz w:val="24"/>
                <w:highlight w:val="none"/>
              </w:rPr>
              <w:t xml:space="preserve">分为止（即最多扣</w:t>
            </w:r>
            <w:r>
              <w:rPr>
                <w:rFonts w:ascii="宋体" w:hAnsi="宋体"/>
                <w:color w:val="auto"/>
                <w:sz w:val="24"/>
                <w:highlight w:val="none"/>
              </w:rPr>
              <w:t xml:space="preserve">3</w:t>
            </w:r>
            <w:r>
              <w:rPr>
                <w:rFonts w:hint="eastAsia" w:ascii="宋体" w:hAnsi="宋体"/>
                <w:color w:val="auto"/>
                <w:sz w:val="24"/>
                <w:highlight w:val="none"/>
              </w:rPr>
              <w:t xml:space="preserve">分）。</w:t>
            </w:r>
            <w:r>
              <w:rPr>
                <w:rFonts w:ascii="宋体" w:hAnsi="宋体" w:cs="宋体"/>
                <w:color w:val="auto"/>
                <w:sz w:val="24"/>
                <w:highlight w:val="none"/>
              </w:rPr>
              <w:t xml:space="preserve">单张图纸标注不清、尺寸错误累计达 3 处及以上的，视为该类图纸未提供</w:t>
            </w:r>
            <w:r>
              <w:rPr>
                <w:rFonts w:hint="eastAsia" w:ascii="宋体" w:hAnsi="宋体" w:cs="宋体"/>
                <w:color w:val="auto"/>
                <w:sz w:val="24"/>
                <w:highlight w:val="none"/>
              </w:rPr>
              <w:t xml:space="preserve">。</w:t>
            </w:r>
            <w:r/>
          </w:p>
          <w:p>
            <w:pPr>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设计合理性（2分）：产品结构设计稳固、安全合规</w:t>
            </w:r>
            <w:r>
              <w:rPr>
                <w:rFonts w:hint="eastAsia" w:ascii="宋体" w:hAnsi="宋体"/>
                <w:color w:val="auto"/>
                <w:sz w:val="24"/>
                <w:highlight w:val="none"/>
              </w:rPr>
              <w:t xml:space="preserve">、</w:t>
            </w:r>
            <w:r>
              <w:rPr>
                <w:rFonts w:ascii="宋体" w:hAnsi="宋体"/>
                <w:color w:val="auto"/>
                <w:sz w:val="24"/>
                <w:highlight w:val="none"/>
              </w:rPr>
              <w:t xml:space="preserve">布局合理得2分；</w:t>
            </w:r>
            <w:r>
              <w:rPr>
                <w:rFonts w:hint="eastAsia" w:ascii="宋体" w:hAnsi="宋体"/>
                <w:color w:val="auto"/>
                <w:sz w:val="24"/>
                <w:highlight w:val="none"/>
              </w:rPr>
              <w:t xml:space="preserve">任一产品存在非安全性设计瑕疵、布局不合理，每款产品扣 0.5 分，扣完为止</w:t>
            </w:r>
            <w:r>
              <w:rPr>
                <w:rFonts w:ascii="宋体" w:hAnsi="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rPr>
                <w:rFonts w:ascii="宋体" w:hAnsi="宋体" w:cs="宋体"/>
                <w:color w:val="auto"/>
                <w:sz w:val="24"/>
                <w:highlight w:val="none"/>
              </w:rPr>
            </w:pPr>
            <w:r>
              <w:rPr>
                <w:rFonts w:hint="eastAsia" w:ascii="宋体" w:hAnsi="宋体"/>
                <w:color w:val="auto"/>
                <w:sz w:val="24"/>
                <w:highlight w:val="none"/>
              </w:rPr>
              <w:t xml:space="preserve">0分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rPr>
                <w:rFonts w:ascii="宋体" w:hAnsi="宋体" w:cs="宋体"/>
                <w:color w:val="auto"/>
                <w:sz w:val="24"/>
                <w:highlight w:val="none"/>
              </w:rPr>
            </w:pPr>
            <w:r>
              <w:rPr>
                <w:rFonts w:hint="eastAsia" w:ascii="宋体" w:hAnsi="宋体"/>
                <w:color w:val="auto"/>
                <w:sz w:val="24"/>
                <w:highlight w:val="none"/>
              </w:rPr>
              <w:t xml:space="preserve">客/主观分</w:t>
            </w:r>
            <w:r/>
          </w:p>
        </w:tc>
      </w:tr>
      <w:tr>
        <w:trPr>
          <w:trHeight w:val="96"/>
        </w:trPr>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rPr>
                <w:rFonts w:ascii="宋体" w:hAnsi="宋体" w:cs="宋体"/>
                <w:color w:val="auto"/>
                <w:sz w:val="24"/>
                <w:highlight w:val="none"/>
              </w:rPr>
            </w:pPr>
            <w:r>
              <w:rPr>
                <w:rFonts w:ascii="宋体" w:hAnsi="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rPr>
                <w:rFonts w:ascii="宋体" w:hAnsi="宋体" w:cs="宋体"/>
                <w:color w:val="auto"/>
                <w:sz w:val="24"/>
                <w:highlight w:val="none"/>
              </w:rPr>
            </w:pPr>
            <w:r>
              <w:rPr>
                <w:rFonts w:hint="eastAsia" w:ascii="宋体" w:hAnsi="宋体"/>
                <w:color w:val="auto"/>
                <w:sz w:val="24"/>
                <w:highlight w:val="none"/>
              </w:rPr>
              <w:t xml:space="preserve">样品（单床位全套样品）</w:t>
            </w:r>
            <w:r/>
          </w:p>
        </w:tc>
        <w:tc>
          <w:tcPr>
            <w:tcBorders>
              <w:top w:val="single" w:color="000000" w:sz="4" w:space="0"/>
              <w:left w:val="single" w:color="000000" w:sz="4" w:space="0"/>
              <w:bottom w:val="single" w:color="000000" w:sz="4" w:space="0"/>
              <w:right w:val="single" w:color="000000" w:sz="4" w:space="0"/>
            </w:tcBorders>
            <w:tcW w:w="2754" w:type="pct"/>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1）焊接工艺（4分）：焊缝均匀饱满、无漏焊、虚焊、夹渣、气孔，表面平整光滑得4分；存在轻微瑕疵扣0.5分，明显缺陷扣1分，严重漏焊、虚焊本项0分；</w:t>
            </w:r>
            <w:r/>
          </w:p>
          <w:p>
            <w:pPr>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2）涂层质量（4分）：表面无漏喷、锈蚀、流挂、气泡、划痕，涂层均匀牢固得4分；轻微瑕疵扣0.5分，明显质量问题本项0分；</w:t>
            </w:r>
            <w:r/>
          </w:p>
          <w:p>
            <w:pPr>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3）安全细节（2分）：人体接触部位无毛刺、刃口、尖锐棱角，边角圆弧处理合规，结构稳固无松动得2分；存在安全隐患本项直接0分；</w:t>
            </w:r>
            <w:r/>
          </w:p>
          <w:p>
            <w:pPr>
              <w:rPr>
                <w:rFonts w:ascii="宋体" w:hAnsi="宋体"/>
                <w:color w:val="auto"/>
                <w:sz w:val="24"/>
                <w:highlight w:val="none"/>
              </w:rPr>
            </w:pPr>
            <w:r>
              <w:rPr>
                <w:rFonts w:hint="eastAsia" w:ascii="宋体" w:hAnsi="宋体"/>
                <w:color w:val="auto"/>
                <w:sz w:val="24"/>
                <w:highlight w:val="none"/>
              </w:rPr>
              <w:t xml:space="preserve">（4）美观性（</w:t>
            </w:r>
            <w:r>
              <w:rPr>
                <w:rFonts w:ascii="宋体" w:hAnsi="宋体"/>
                <w:color w:val="auto"/>
                <w:sz w:val="24"/>
                <w:highlight w:val="none"/>
              </w:rPr>
              <w:t xml:space="preserve">2分）：产品外观整洁美观，贴合校园公寓使用场景得2分；</w:t>
            </w:r>
            <w:r>
              <w:rPr>
                <w:rFonts w:hint="eastAsia" w:ascii="宋体" w:hAnsi="宋体"/>
                <w:color w:val="auto"/>
                <w:sz w:val="24"/>
                <w:highlight w:val="none"/>
              </w:rPr>
              <w:t xml:space="preserve">存在轻微色差、细小磕碰（单处≤</w:t>
            </w:r>
            <w:r>
              <w:rPr>
                <w:rFonts w:ascii="宋体" w:hAnsi="宋体"/>
                <w:color w:val="auto"/>
                <w:sz w:val="24"/>
                <w:highlight w:val="none"/>
              </w:rPr>
              <w:t xml:space="preserve">3mm，不影响使用与整体观感），整体造型合规，得1 分</w:t>
            </w:r>
            <w:r>
              <w:rPr>
                <w:rFonts w:hint="eastAsia" w:ascii="宋体" w:hAnsi="宋体"/>
                <w:color w:val="auto"/>
                <w:sz w:val="24"/>
                <w:highlight w:val="none"/>
              </w:rPr>
              <w:t xml:space="preserve">，多处磕碰掉漆、大面积色差、外形粗糙不协调，美观较差不得分。</w:t>
            </w:r>
            <w:r/>
          </w:p>
          <w:p>
            <w:pPr>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5</w:t>
            </w:r>
            <w:r>
              <w:rPr>
                <w:rFonts w:hint="eastAsia" w:ascii="宋体" w:hAnsi="宋体"/>
                <w:color w:val="auto"/>
                <w:sz w:val="24"/>
                <w:highlight w:val="none"/>
              </w:rPr>
              <w:t xml:space="preserve">）否决项：样品出现结构松动、严重安全隐患、材质造假、核心工艺缺失，</w:t>
            </w:r>
            <w:r>
              <w:rPr>
                <w:rFonts w:ascii="宋体" w:hAnsi="宋体"/>
                <w:color w:val="auto"/>
                <w:sz w:val="24"/>
                <w:highlight w:val="none"/>
              </w:rPr>
              <w:t xml:space="preserve">作</w:t>
            </w:r>
            <w:r>
              <w:rPr>
                <w:rFonts w:hint="eastAsia" w:ascii="宋体" w:hAnsi="宋体"/>
                <w:color w:val="auto"/>
                <w:sz w:val="24"/>
                <w:highlight w:val="none"/>
              </w:rPr>
              <w:t xml:space="preserve">无效标</w:t>
            </w:r>
            <w:r>
              <w:rPr>
                <w:rFonts w:ascii="宋体" w:hAnsi="宋体"/>
                <w:color w:val="auto"/>
                <w:sz w:val="24"/>
                <w:highlight w:val="none"/>
              </w:rPr>
              <w:t xml:space="preserve">处理。</w:t>
            </w:r>
            <w:r/>
          </w:p>
          <w:p>
            <w:pPr>
              <w:rPr>
                <w:rFonts w:ascii="宋体" w:hAnsi="宋体"/>
                <w:color w:val="auto"/>
                <w:sz w:val="24"/>
                <w:highlight w:val="none"/>
              </w:rPr>
            </w:pPr>
            <w:r>
              <w:rPr>
                <w:rFonts w:hint="eastAsia" w:ascii="宋体" w:hAnsi="宋体"/>
                <w:color w:val="auto"/>
                <w:sz w:val="24"/>
                <w:highlight w:val="none"/>
              </w:rPr>
              <w:t xml:space="preserve">注：</w:t>
            </w:r>
            <w:r>
              <w:rPr>
                <w:rFonts w:hint="eastAsia"/>
                <w:color w:val="auto"/>
                <w:sz w:val="24"/>
                <w:highlight w:val="none"/>
              </w:rPr>
              <w:t xml:space="preserve">投标人未提供样品或样品提供不全的视作未实质性响应招标文件要求，按无效投标处理；</w:t>
            </w:r>
            <w:r>
              <w:rPr>
                <w:rFonts w:hint="eastAsia" w:ascii="宋体" w:hAnsi="宋体" w:cs="宋体"/>
                <w:bCs/>
                <w:color w:val="auto"/>
                <w:sz w:val="28"/>
                <w:szCs w:val="28"/>
                <w:highlight w:val="none"/>
              </w:rPr>
              <w:t xml:space="preserve">样品外露可识别投标人身份的名称、品牌、徽标、字符及各类标记，且未用不透明密封胶带有效遮挡的视为无效投标。</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0分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主观分</w:t>
            </w:r>
            <w:r/>
          </w:p>
        </w:tc>
      </w:tr>
      <w:tr>
        <w:trPr>
          <w:trHeight w:val="396"/>
        </w:trPr>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项目实施方案</w:t>
            </w:r>
            <w:r/>
          </w:p>
        </w:tc>
        <w:tc>
          <w:tcPr>
            <w:tcBorders>
              <w:top w:val="single" w:color="000000" w:sz="4" w:space="0"/>
              <w:left w:val="single" w:color="000000" w:sz="4" w:space="0"/>
              <w:bottom w:val="single" w:color="000000" w:sz="4" w:space="0"/>
              <w:right w:val="single" w:color="000000" w:sz="4" w:space="0"/>
            </w:tcBorders>
            <w:tcW w:w="2754" w:type="pct"/>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方案需包含生产实施方案、安装调试方案、质量控制方案、工期保障方案、安全施工及成品保护方案、验收交付方案六大核心模块，按梯度量化打分：</w:t>
            </w:r>
            <w:r/>
          </w:p>
          <w:p>
            <w:pPr>
              <w:rPr>
                <w:rFonts w:ascii="宋体" w:hAnsi="宋体"/>
                <w:color w:val="auto"/>
                <w:sz w:val="24"/>
                <w:highlight w:val="none"/>
              </w:rPr>
            </w:pPr>
            <w:r>
              <w:rPr>
                <w:rFonts w:ascii="宋体" w:hAnsi="宋体"/>
                <w:color w:val="auto"/>
                <w:sz w:val="24"/>
                <w:highlight w:val="none"/>
              </w:rPr>
              <w:t xml:space="preserve">1. 方案内容完整详实、科学合理，贴合项目现场实际，工艺标准、管控流程、施工计划清晰可行，具备针对性，无漏洞</w:t>
            </w:r>
            <w:r>
              <w:rPr>
                <w:rFonts w:hint="eastAsia" w:ascii="宋体" w:hAnsi="宋体"/>
                <w:color w:val="auto"/>
                <w:sz w:val="24"/>
                <w:highlight w:val="none"/>
              </w:rPr>
              <w:t xml:space="preserve">得</w:t>
            </w:r>
            <w:r>
              <w:rPr>
                <w:rFonts w:ascii="宋体" w:hAnsi="宋体"/>
                <w:color w:val="auto"/>
                <w:sz w:val="24"/>
                <w:highlight w:val="none"/>
              </w:rPr>
              <w:t xml:space="preserve">6</w:t>
            </w:r>
            <w:r>
              <w:rPr>
                <w:rFonts w:hint="eastAsia" w:ascii="宋体" w:hAnsi="宋体"/>
                <w:color w:val="auto"/>
                <w:sz w:val="24"/>
                <w:highlight w:val="none"/>
              </w:rPr>
              <w:t xml:space="preserve">分</w:t>
            </w:r>
            <w:r>
              <w:rPr>
                <w:rFonts w:ascii="宋体" w:hAnsi="宋体"/>
                <w:color w:val="auto"/>
                <w:sz w:val="24"/>
                <w:highlight w:val="none"/>
              </w:rPr>
              <w:t xml:space="preserve">；</w:t>
            </w:r>
            <w:r/>
          </w:p>
          <w:p>
            <w:pPr>
              <w:rPr>
                <w:rFonts w:ascii="宋体" w:hAnsi="宋体"/>
                <w:color w:val="auto"/>
                <w:sz w:val="24"/>
                <w:highlight w:val="none"/>
              </w:rPr>
            </w:pPr>
            <w:r>
              <w:rPr>
                <w:rFonts w:ascii="宋体" w:hAnsi="宋体"/>
                <w:color w:val="auto"/>
                <w:sz w:val="24"/>
                <w:highlight w:val="none"/>
              </w:rPr>
              <w:t xml:space="preserve">2. 方案内容较完整，流程基本清晰，可行性较好，存在少量非核心瑕疵</w:t>
            </w:r>
            <w:r>
              <w:rPr>
                <w:rFonts w:hint="eastAsia" w:ascii="宋体" w:hAnsi="宋体"/>
                <w:color w:val="auto"/>
                <w:sz w:val="24"/>
                <w:highlight w:val="none"/>
              </w:rPr>
              <w:t xml:space="preserve">得</w:t>
            </w:r>
            <w:r>
              <w:rPr>
                <w:rFonts w:ascii="宋体" w:hAnsi="宋体"/>
                <w:color w:val="auto"/>
                <w:sz w:val="24"/>
                <w:highlight w:val="none"/>
              </w:rPr>
              <w:t xml:space="preserve">4</w:t>
            </w:r>
            <w:r>
              <w:rPr>
                <w:rFonts w:hint="eastAsia" w:ascii="宋体" w:hAnsi="宋体"/>
                <w:color w:val="auto"/>
                <w:sz w:val="24"/>
                <w:highlight w:val="none"/>
              </w:rPr>
              <w:t xml:space="preserve">分</w:t>
            </w:r>
            <w:r>
              <w:rPr>
                <w:rFonts w:ascii="宋体" w:hAnsi="宋体"/>
                <w:color w:val="auto"/>
                <w:sz w:val="24"/>
                <w:highlight w:val="none"/>
              </w:rPr>
              <w:t xml:space="preserve">；</w:t>
            </w:r>
            <w:r/>
          </w:p>
          <w:p>
            <w:pPr>
              <w:rPr>
                <w:rFonts w:ascii="宋体" w:hAnsi="宋体"/>
                <w:color w:val="auto"/>
                <w:sz w:val="24"/>
                <w:highlight w:val="none"/>
              </w:rPr>
            </w:pPr>
            <w:r>
              <w:rPr>
                <w:rFonts w:ascii="宋体" w:hAnsi="宋体"/>
                <w:color w:val="auto"/>
                <w:sz w:val="24"/>
                <w:highlight w:val="none"/>
              </w:rPr>
              <w:t xml:space="preserve">3. 方案内容简略，核心流程缺失，针对性不足，可行性一般</w:t>
            </w:r>
            <w:r>
              <w:rPr>
                <w:rFonts w:hint="eastAsia" w:ascii="宋体" w:hAnsi="宋体"/>
                <w:color w:val="auto"/>
                <w:sz w:val="24"/>
                <w:highlight w:val="none"/>
              </w:rPr>
              <w:t xml:space="preserve">得</w:t>
            </w:r>
            <w:r>
              <w:rPr>
                <w:rFonts w:ascii="宋体" w:hAnsi="宋体"/>
                <w:color w:val="auto"/>
                <w:sz w:val="24"/>
                <w:highlight w:val="none"/>
              </w:rPr>
              <w:t xml:space="preserve">2</w:t>
            </w:r>
            <w:r>
              <w:rPr>
                <w:rFonts w:hint="eastAsia" w:ascii="宋体" w:hAnsi="宋体"/>
                <w:color w:val="auto"/>
                <w:sz w:val="24"/>
                <w:highlight w:val="none"/>
              </w:rPr>
              <w:t xml:space="preserve">分</w:t>
            </w:r>
            <w:r>
              <w:rPr>
                <w:rFonts w:ascii="宋体" w:hAnsi="宋体"/>
                <w:color w:val="auto"/>
                <w:sz w:val="24"/>
                <w:highlight w:val="none"/>
              </w:rPr>
              <w:t xml:space="preserve">；</w:t>
            </w:r>
            <w:r/>
          </w:p>
          <w:p>
            <w:pPr>
              <w:rPr>
                <w:rFonts w:ascii="宋体" w:hAnsi="宋体"/>
                <w:color w:val="auto"/>
                <w:sz w:val="24"/>
                <w:highlight w:val="none"/>
              </w:rPr>
            </w:pPr>
            <w:r>
              <w:rPr>
                <w:rFonts w:ascii="宋体" w:hAnsi="宋体"/>
                <w:color w:val="auto"/>
                <w:sz w:val="24"/>
                <w:highlight w:val="none"/>
              </w:rPr>
              <w:t xml:space="preserve">4.方案内容空洞、照搬模板，核心模块缺失，无可行性</w:t>
            </w:r>
            <w:r>
              <w:rPr>
                <w:rFonts w:hint="eastAsia" w:ascii="宋体" w:hAnsi="宋体"/>
                <w:color w:val="auto"/>
                <w:sz w:val="24"/>
                <w:highlight w:val="none"/>
              </w:rPr>
              <w:t xml:space="preserve">得0分</w:t>
            </w:r>
            <w:r>
              <w:rPr>
                <w:rFonts w:ascii="宋体" w:hAnsi="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0分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主观分</w:t>
            </w:r>
            <w:r/>
          </w:p>
        </w:tc>
      </w:tr>
      <w:tr>
        <w:trPr>
          <w:trHeight w:val="575"/>
        </w:trPr>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生产设备</w:t>
            </w:r>
            <w:r/>
          </w:p>
        </w:tc>
        <w:tc>
          <w:tcPr>
            <w:tcBorders>
              <w:top w:val="single" w:color="000000" w:sz="4" w:space="0"/>
              <w:left w:val="single" w:color="000000" w:sz="4" w:space="0"/>
              <w:bottom w:val="single" w:color="000000" w:sz="4" w:space="0"/>
              <w:right w:val="single" w:color="000000" w:sz="4" w:space="0"/>
            </w:tcBorders>
            <w:tcW w:w="2754" w:type="pct"/>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1）核心生产设备（3分）：提供在厂、真实有效的全自动喷涂线、数控激光切割机、自动焊接机器人、数控折弯机等高端自动化设备佐证材料（</w:t>
            </w:r>
            <w:r>
              <w:rPr>
                <w:rFonts w:hint="eastAsia" w:ascii="宋体" w:hAnsi="宋体"/>
                <w:color w:val="auto"/>
                <w:sz w:val="24"/>
                <w:highlight w:val="none"/>
              </w:rPr>
              <w:t xml:space="preserve">设备购置或租赁费结算</w:t>
            </w:r>
            <w:r>
              <w:rPr>
                <w:rFonts w:ascii="宋体" w:hAnsi="宋体"/>
                <w:color w:val="auto"/>
                <w:sz w:val="24"/>
                <w:highlight w:val="none"/>
              </w:rPr>
              <w:t xml:space="preserve">发票+</w:t>
            </w:r>
            <w:r>
              <w:rPr>
                <w:rFonts w:hint="eastAsia" w:ascii="宋体" w:hAnsi="宋体"/>
                <w:color w:val="auto"/>
                <w:sz w:val="24"/>
                <w:highlight w:val="none"/>
              </w:rPr>
              <w:t xml:space="preserve">设备购置或租赁</w:t>
            </w:r>
            <w:r>
              <w:rPr>
                <w:rFonts w:ascii="宋体" w:hAnsi="宋体"/>
                <w:color w:val="auto"/>
                <w:sz w:val="24"/>
                <w:highlight w:val="none"/>
              </w:rPr>
              <w:t xml:space="preserve">合同+设备实景图），每提供1</w:t>
            </w:r>
            <w:r>
              <w:rPr>
                <w:rFonts w:hint="eastAsia" w:ascii="宋体" w:hAnsi="宋体"/>
                <w:color w:val="auto"/>
                <w:sz w:val="24"/>
                <w:highlight w:val="none"/>
              </w:rPr>
              <w:t xml:space="preserve">类设备</w:t>
            </w:r>
            <w:r>
              <w:rPr>
                <w:rFonts w:ascii="宋体" w:hAnsi="宋体"/>
                <w:color w:val="auto"/>
                <w:sz w:val="24"/>
                <w:highlight w:val="none"/>
              </w:rPr>
              <w:t xml:space="preserve">得</w:t>
            </w:r>
            <w:r>
              <w:rPr>
                <w:rFonts w:hint="eastAsia" w:ascii="宋体" w:hAnsi="宋体"/>
                <w:color w:val="auto"/>
                <w:sz w:val="24"/>
                <w:highlight w:val="none"/>
              </w:rPr>
              <w:t xml:space="preserve">1</w:t>
            </w:r>
            <w:r>
              <w:rPr>
                <w:rFonts w:ascii="宋体" w:hAnsi="宋体"/>
                <w:color w:val="auto"/>
                <w:sz w:val="24"/>
                <w:highlight w:val="none"/>
              </w:rPr>
              <w:t xml:space="preserve">分，满分3分；普通通用设备不计分；</w:t>
            </w:r>
            <w:r/>
          </w:p>
          <w:p>
            <w:pPr>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2）所有设备佐证需可核验，虚假材料作废标处理。</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0分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客观分</w:t>
            </w:r>
            <w:r/>
          </w:p>
        </w:tc>
      </w:tr>
      <w:tr>
        <w:trPr>
          <w:trHeight w:val="575"/>
        </w:trPr>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售后服务方案</w:t>
            </w:r>
            <w:r/>
          </w:p>
        </w:tc>
        <w:tc>
          <w:tcPr>
            <w:tcBorders>
              <w:top w:val="single" w:color="000000" w:sz="4" w:space="0"/>
              <w:left w:val="single" w:color="000000" w:sz="4" w:space="0"/>
              <w:bottom w:val="single" w:color="000000" w:sz="4" w:space="0"/>
              <w:right w:val="single" w:color="000000" w:sz="4" w:space="0"/>
            </w:tcBorders>
            <w:tcW w:w="2754" w:type="pct"/>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售后服务体系、质保年限、故障响应时效、维修解决方案、配件储备、终身维护承诺：</w:t>
            </w:r>
            <w:r/>
          </w:p>
          <w:p>
            <w:pPr>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方案完整规范，质保、响应、维保</w:t>
            </w:r>
            <w:r>
              <w:rPr>
                <w:rFonts w:hint="eastAsia" w:ascii="宋体" w:hAnsi="宋体"/>
                <w:color w:val="auto"/>
                <w:sz w:val="24"/>
                <w:highlight w:val="none"/>
              </w:rPr>
              <w:t xml:space="preserve">均</w:t>
            </w:r>
            <w:r>
              <w:rPr>
                <w:rFonts w:ascii="宋体" w:hAnsi="宋体"/>
                <w:color w:val="auto"/>
                <w:sz w:val="24"/>
                <w:highlight w:val="none"/>
              </w:rPr>
              <w:t xml:space="preserve">优于招标要求，无任何瑕疵，</w:t>
            </w:r>
            <w:r>
              <w:rPr>
                <w:rFonts w:hint="eastAsia" w:ascii="宋体" w:hAnsi="宋体"/>
                <w:color w:val="auto"/>
                <w:sz w:val="24"/>
                <w:highlight w:val="none"/>
              </w:rPr>
              <w:t xml:space="preserve">售后</w:t>
            </w:r>
            <w:r>
              <w:rPr>
                <w:rFonts w:ascii="宋体" w:hAnsi="宋体"/>
                <w:color w:val="auto"/>
                <w:sz w:val="24"/>
                <w:highlight w:val="none"/>
              </w:rPr>
              <w:t xml:space="preserve">服务能力完善</w:t>
            </w:r>
            <w:r>
              <w:rPr>
                <w:rFonts w:hint="eastAsia" w:ascii="宋体" w:hAnsi="宋体"/>
                <w:color w:val="auto"/>
                <w:sz w:val="24"/>
                <w:highlight w:val="none"/>
              </w:rPr>
              <w:t xml:space="preserve">得</w:t>
            </w:r>
            <w:r>
              <w:rPr>
                <w:rFonts w:ascii="宋体" w:hAnsi="宋体"/>
                <w:color w:val="auto"/>
                <w:sz w:val="24"/>
                <w:highlight w:val="none"/>
              </w:rPr>
              <w:t xml:space="preserve">4</w:t>
            </w:r>
            <w:r>
              <w:rPr>
                <w:rFonts w:hint="eastAsia" w:ascii="宋体" w:hAnsi="宋体"/>
                <w:color w:val="auto"/>
                <w:sz w:val="24"/>
                <w:highlight w:val="none"/>
              </w:rPr>
              <w:t xml:space="preserve">分</w:t>
            </w:r>
            <w:r>
              <w:rPr>
                <w:rFonts w:ascii="宋体" w:hAnsi="宋体"/>
                <w:color w:val="auto"/>
                <w:sz w:val="24"/>
                <w:highlight w:val="none"/>
              </w:rPr>
              <w:t xml:space="preserve">；</w:t>
            </w:r>
            <w:r/>
          </w:p>
          <w:p>
            <w:pPr>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方案整体合规，满足招标基本要求，存在</w:t>
            </w:r>
            <w:r>
              <w:rPr>
                <w:rFonts w:hint="eastAsia" w:ascii="宋体" w:hAnsi="宋体"/>
                <w:color w:val="auto"/>
                <w:sz w:val="24"/>
                <w:highlight w:val="none"/>
              </w:rPr>
              <w:t xml:space="preserve">部分</w:t>
            </w:r>
            <w:r>
              <w:rPr>
                <w:rFonts w:ascii="宋体" w:hAnsi="宋体"/>
                <w:color w:val="auto"/>
                <w:sz w:val="24"/>
                <w:highlight w:val="none"/>
              </w:rPr>
              <w:t xml:space="preserve">轻微文字、表述瑕疵，无实质性缺陷</w:t>
            </w:r>
            <w:r>
              <w:rPr>
                <w:rFonts w:hint="eastAsia" w:ascii="宋体" w:hAnsi="宋体"/>
                <w:color w:val="auto"/>
                <w:sz w:val="24"/>
                <w:highlight w:val="none"/>
              </w:rPr>
              <w:t xml:space="preserve">得</w:t>
            </w:r>
            <w:r>
              <w:rPr>
                <w:rFonts w:ascii="宋体" w:hAnsi="宋体"/>
                <w:color w:val="auto"/>
                <w:sz w:val="24"/>
                <w:highlight w:val="none"/>
              </w:rPr>
              <w:t xml:space="preserve">2</w:t>
            </w:r>
            <w:r>
              <w:rPr>
                <w:rFonts w:hint="eastAsia" w:ascii="宋体" w:hAnsi="宋体"/>
                <w:color w:val="auto"/>
                <w:sz w:val="24"/>
                <w:highlight w:val="none"/>
              </w:rPr>
              <w:t xml:space="preserve">分</w:t>
            </w:r>
            <w:r>
              <w:rPr>
                <w:rFonts w:ascii="宋体" w:hAnsi="宋体"/>
                <w:color w:val="auto"/>
                <w:sz w:val="24"/>
                <w:highlight w:val="none"/>
              </w:rPr>
              <w:t xml:space="preserve">；</w:t>
            </w:r>
            <w:r/>
          </w:p>
          <w:p>
            <w:pPr>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方案核心内容缺失，服务承诺不明确，本地化服务能力不足</w:t>
            </w:r>
            <w:r>
              <w:rPr>
                <w:rFonts w:hint="eastAsia" w:ascii="宋体" w:hAnsi="宋体"/>
                <w:color w:val="auto"/>
                <w:sz w:val="24"/>
                <w:highlight w:val="none"/>
              </w:rPr>
              <w:t xml:space="preserve">得</w:t>
            </w:r>
            <w:r>
              <w:rPr>
                <w:rFonts w:ascii="宋体" w:hAnsi="宋体"/>
                <w:color w:val="auto"/>
                <w:sz w:val="24"/>
                <w:highlight w:val="none"/>
              </w:rPr>
              <w:t xml:space="preserve">1</w:t>
            </w:r>
            <w:r>
              <w:rPr>
                <w:rFonts w:hint="eastAsia" w:ascii="宋体" w:hAnsi="宋体"/>
                <w:color w:val="auto"/>
                <w:sz w:val="24"/>
                <w:highlight w:val="none"/>
              </w:rPr>
              <w:t xml:space="preserve">分</w:t>
            </w:r>
            <w:r>
              <w:rPr>
                <w:rFonts w:ascii="宋体" w:hAnsi="宋体"/>
                <w:color w:val="auto"/>
                <w:sz w:val="24"/>
                <w:highlight w:val="none"/>
              </w:rPr>
              <w:t xml:space="preserve">；</w:t>
            </w:r>
            <w:r/>
          </w:p>
          <w:p>
            <w:pPr>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方案空洞、无可行性，不满足基本售后要求</w:t>
            </w:r>
            <w:r>
              <w:rPr>
                <w:rFonts w:hint="eastAsia" w:ascii="宋体" w:hAnsi="宋体"/>
                <w:color w:val="auto"/>
                <w:sz w:val="24"/>
                <w:highlight w:val="none"/>
              </w:rPr>
              <w:t xml:space="preserve">得0分</w:t>
            </w:r>
            <w:r>
              <w:rPr>
                <w:rFonts w:ascii="宋体" w:hAnsi="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0分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主观分</w:t>
            </w:r>
            <w:r/>
          </w:p>
        </w:tc>
      </w:tr>
      <w:tr>
        <w:trPr>
          <w:trHeight w:val="575"/>
        </w:trPr>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企业资信与认证</w:t>
            </w:r>
            <w:r/>
          </w:p>
        </w:tc>
        <w:tc>
          <w:tcPr>
            <w:tcBorders>
              <w:top w:val="single" w:color="000000" w:sz="4" w:space="0"/>
              <w:left w:val="single" w:color="000000" w:sz="4" w:space="0"/>
              <w:bottom w:val="single" w:color="000000" w:sz="4" w:space="0"/>
              <w:right w:val="single" w:color="000000" w:sz="4" w:space="0"/>
            </w:tcBorders>
            <w:tcW w:w="2754" w:type="pct"/>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1）基础体系认证（3分）：提供有效的ISO9001质量管理体系、ISO14001环境管理体系、ISO45001职业健康安全管理体系认证，每提供1项得1分，满分3分；</w:t>
            </w:r>
            <w:r/>
          </w:p>
          <w:p>
            <w:pPr>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2）绿色环保专项认证（2分）：提供有效的中国环境标志产品认证（十环认证）、家具有害物质限量合规认证，每提供1项得1分，满分2分。</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0分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客观分</w:t>
            </w:r>
            <w:r/>
          </w:p>
        </w:tc>
      </w:tr>
      <w:tr>
        <w:trPr>
          <w:trHeight w:val="575"/>
        </w:trPr>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类似项目业绩</w:t>
            </w:r>
            <w:r/>
          </w:p>
        </w:tc>
        <w:tc>
          <w:tcPr>
            <w:tcBorders>
              <w:top w:val="single" w:color="000000" w:sz="4" w:space="0"/>
              <w:left w:val="single" w:color="000000" w:sz="4" w:space="0"/>
              <w:bottom w:val="single" w:color="000000" w:sz="4" w:space="0"/>
              <w:right w:val="single" w:color="000000" w:sz="4" w:space="0"/>
            </w:tcBorders>
            <w:tcW w:w="2754" w:type="pct"/>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（1）有效业绩定义：投标人</w:t>
            </w:r>
            <w:r>
              <w:rPr>
                <w:rFonts w:ascii="宋体" w:hAnsi="宋体"/>
                <w:color w:val="auto"/>
                <w:sz w:val="24"/>
                <w:highlight w:val="none"/>
              </w:rPr>
              <w:t xml:space="preserve">2023年1月1日</w:t>
            </w:r>
            <w:r>
              <w:rPr>
                <w:rFonts w:hint="eastAsia" w:ascii="宋体" w:hAnsi="宋体"/>
                <w:color w:val="auto"/>
                <w:sz w:val="24"/>
                <w:highlight w:val="none"/>
              </w:rPr>
              <w:t xml:space="preserve">（以合同签订日期为准）</w:t>
            </w:r>
            <w:r>
              <w:rPr>
                <w:rFonts w:ascii="宋体" w:hAnsi="宋体"/>
                <w:color w:val="auto"/>
                <w:sz w:val="24"/>
                <w:highlight w:val="none"/>
              </w:rPr>
              <w:t xml:space="preserve">至今，</w:t>
            </w:r>
            <w:r>
              <w:rPr>
                <w:rFonts w:hint="eastAsia" w:ascii="宋体" w:hAnsi="宋体"/>
                <w:color w:val="auto"/>
                <w:sz w:val="24"/>
                <w:highlight w:val="none"/>
              </w:rPr>
              <w:t xml:space="preserve">承接过与本项目采购标的同类的学</w:t>
            </w:r>
            <w:r>
              <w:rPr>
                <w:rFonts w:ascii="宋体" w:hAnsi="宋体"/>
                <w:color w:val="auto"/>
                <w:sz w:val="24"/>
                <w:highlight w:val="none"/>
              </w:rPr>
              <w:t xml:space="preserve">生公寓床/宿舍家具成套供货及安装项目，为有效类似业绩。</w:t>
            </w:r>
            <w:r/>
          </w:p>
          <w:p>
            <w:pPr>
              <w:rPr>
                <w:rFonts w:ascii="宋体" w:hAnsi="宋体"/>
                <w:color w:val="auto"/>
                <w:sz w:val="24"/>
                <w:highlight w:val="none"/>
              </w:rPr>
            </w:pPr>
            <w:r>
              <w:rPr>
                <w:rFonts w:hint="eastAsia" w:ascii="宋体" w:hAnsi="宋体"/>
                <w:color w:val="auto"/>
                <w:sz w:val="24"/>
                <w:highlight w:val="none"/>
              </w:rPr>
              <w:t xml:space="preserve">（2）计分规则：每提供</w:t>
            </w:r>
            <w:r>
              <w:rPr>
                <w:rFonts w:ascii="宋体" w:hAnsi="宋体"/>
                <w:color w:val="auto"/>
                <w:sz w:val="24"/>
                <w:highlight w:val="none"/>
              </w:rPr>
              <w:t xml:space="preserve">1个</w:t>
            </w:r>
            <w:r>
              <w:rPr>
                <w:rFonts w:hint="eastAsia" w:ascii="宋体" w:hAnsi="宋体"/>
                <w:color w:val="auto"/>
                <w:sz w:val="24"/>
                <w:highlight w:val="none"/>
              </w:rPr>
              <w:t xml:space="preserve">与本项目采购标的同类的学</w:t>
            </w:r>
            <w:r>
              <w:rPr>
                <w:rFonts w:ascii="宋体" w:hAnsi="宋体"/>
                <w:color w:val="auto"/>
                <w:sz w:val="24"/>
                <w:highlight w:val="none"/>
              </w:rPr>
              <w:t xml:space="preserve">生公寓床/宿舍家具成套供货及安装业绩得1分</w:t>
            </w:r>
            <w:r>
              <w:rPr>
                <w:rFonts w:hint="eastAsia" w:ascii="宋体" w:hAnsi="宋体"/>
                <w:color w:val="auto"/>
                <w:sz w:val="24"/>
                <w:highlight w:val="none"/>
              </w:rPr>
              <w:t xml:space="preserve">，</w:t>
            </w:r>
            <w:r>
              <w:rPr>
                <w:rFonts w:ascii="宋体" w:hAnsi="宋体"/>
                <w:color w:val="auto"/>
                <w:sz w:val="24"/>
                <w:highlight w:val="none"/>
              </w:rPr>
              <w:t xml:space="preserve">最多计5分；</w:t>
            </w:r>
            <w:r/>
          </w:p>
          <w:p>
            <w:pPr>
              <w:rPr>
                <w:rFonts w:ascii="宋体" w:hAnsi="宋体"/>
                <w:color w:val="auto"/>
                <w:sz w:val="24"/>
                <w:highlight w:val="none"/>
              </w:rPr>
            </w:pPr>
            <w:r>
              <w:rPr>
                <w:rFonts w:hint="eastAsia" w:ascii="宋体" w:hAnsi="宋体"/>
                <w:color w:val="auto"/>
                <w:sz w:val="24"/>
                <w:highlight w:val="none"/>
              </w:rPr>
              <w:t xml:space="preserve">（3）佐证材料要求（缺一不可）：需同时提供：中标通知书</w:t>
            </w:r>
            <w:r>
              <w:rPr>
                <w:rFonts w:ascii="宋体" w:hAnsi="宋体"/>
                <w:color w:val="auto"/>
                <w:sz w:val="24"/>
                <w:highlight w:val="none"/>
              </w:rPr>
              <w:t xml:space="preserve">+完整合同扫描件+项目验收合格证明（或结算报告），资料不全的不予计分；招标人保留官网核验、电话核验项目真实性的权利。</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0分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客观分</w:t>
            </w:r>
            <w:r/>
          </w:p>
        </w:tc>
      </w:tr>
    </w:tbl>
    <w:p>
      <w:pPr>
        <w:spacing w:line="46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（四）</w:t>
      </w:r>
      <w:r>
        <w:rPr>
          <w:rFonts w:hint="eastAsia" w:ascii="宋体" w:hAnsi="宋体" w:cs="宋体"/>
          <w:b/>
          <w:color w:val="auto"/>
          <w:sz w:val="28"/>
          <w:szCs w:val="28"/>
          <w:highlight w:val="none"/>
          <w:lang w:val="zh-CN"/>
        </w:rPr>
        <w:t xml:space="preserve">价格分</w:t>
      </w:r>
      <w:r>
        <w:rPr>
          <w:rFonts w:hint="eastAsia" w:ascii="宋体" w:hAnsi="宋体" w:cs="宋体"/>
          <w:b/>
          <w:color w:val="auto"/>
          <w:sz w:val="28"/>
          <w:szCs w:val="28"/>
          <w:highlight w:val="none"/>
        </w:rPr>
        <w:t xml:space="preserve">：</w:t>
      </w:r>
      <w:r>
        <w:rPr>
          <w:rFonts w:ascii="宋体" w:hAnsi="宋体" w:cs="宋体"/>
          <w:b/>
          <w:color w:val="auto"/>
          <w:sz w:val="28"/>
          <w:szCs w:val="28"/>
          <w:highlight w:val="none"/>
        </w:rPr>
        <w:t xml:space="preserve">60</w:t>
      </w:r>
      <w:r>
        <w:rPr>
          <w:rFonts w:hint="eastAsia" w:ascii="宋体" w:hAnsi="宋体" w:cs="宋体"/>
          <w:b/>
          <w:color w:val="auto"/>
          <w:sz w:val="28"/>
          <w:szCs w:val="28"/>
          <w:highlight w:val="none"/>
          <w:lang w:val="zh-CN"/>
        </w:rPr>
        <w:t xml:space="preserve">分</w:t>
      </w:r>
      <w:bookmarkEnd w:id="156"/>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投标报价得分=（评标基准价/投标报价）×</w:t>
      </w:r>
      <w:r>
        <w:rPr>
          <w:rFonts w:ascii="宋体" w:hAnsi="宋体" w:cs="宋体"/>
          <w:color w:val="auto"/>
          <w:sz w:val="28"/>
          <w:szCs w:val="28"/>
          <w:highlight w:val="none"/>
        </w:rPr>
        <w:t xml:space="preserve">60</w:t>
      </w:r>
      <w:r/>
    </w:p>
    <w:p>
      <w:pPr>
        <w:ind w:firstLine="562"/>
        <w:spacing w:line="5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spacing w:line="460" w:lineRule="exact"/>
        <w:rPr>
          <w:rFonts w:ascii="宋体" w:hAnsi="宋体" w:cs="宋体"/>
          <w:b/>
          <w:color w:val="auto"/>
          <w:sz w:val="28"/>
          <w:szCs w:val="28"/>
          <w:highlight w:val="none"/>
        </w:rPr>
        <w:outlineLvl w:val="2"/>
      </w:pPr>
      <w:r/>
      <w:bookmarkStart w:id="157" w:name="_Toc13123"/>
      <w:r>
        <w:rPr>
          <w:rFonts w:hint="eastAsia" w:ascii="宋体" w:hAnsi="宋体" w:cs="宋体"/>
          <w:b/>
          <w:color w:val="auto"/>
          <w:sz w:val="28"/>
          <w:szCs w:val="28"/>
          <w:highlight w:val="none"/>
        </w:rPr>
        <w:t xml:space="preserve">（五）</w:t>
      </w:r>
      <w:r>
        <w:rPr>
          <w:rFonts w:hint="eastAsia" w:ascii="宋体" w:hAnsi="宋体" w:cs="宋体"/>
          <w:b/>
          <w:bCs/>
          <w:color w:val="auto"/>
          <w:sz w:val="28"/>
          <w:szCs w:val="28"/>
          <w:highlight w:val="none"/>
        </w:rPr>
        <w:t xml:space="preserve">政府采购政策功能落实</w:t>
      </w:r>
      <w:r/>
    </w:p>
    <w:p>
      <w:pPr>
        <w:ind w:firstLine="560"/>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A.采购本国产品的支持政策</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3.本项目政府采购活动中既有本国产品又有非本国产品参与竞争的，依法对本国产品给予价格评审优惠，对本国产品的报价给予20%的价格扣除，用扣除后的价格参与评审。</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投标文件组成”的“附件1 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5.投标人需按照招标文件的要求提供《关于符合本国产品标准的声明函》（以下简称《声明函》）（格式见附件2），如不提供将不享受本国产品价格评审优惠。</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562"/>
        <w:spacing w:line="460" w:lineRule="exact"/>
        <w:rPr>
          <w:rFonts w:ascii="宋体" w:hAnsi="宋体" w:cs="宋体"/>
          <w:bCs/>
          <w:color w:val="auto"/>
          <w:sz w:val="28"/>
          <w:szCs w:val="28"/>
          <w:highlight w:val="none"/>
        </w:rPr>
        <w:outlineLvl w:val="2"/>
      </w:pPr>
      <w:r>
        <w:rPr>
          <w:rFonts w:hint="eastAsia" w:ascii="宋体" w:hAnsi="宋体" w:cs="宋体"/>
          <w:b/>
          <w:color w:val="auto"/>
          <w:sz w:val="28"/>
          <w:szCs w:val="28"/>
          <w:highlight w:val="none"/>
        </w:rPr>
        <w:t xml:space="preserve">（六）中标人的确定</w:t>
      </w:r>
      <w:bookmarkEnd w:id="157"/>
      <w:r/>
      <w:r/>
    </w:p>
    <w:p>
      <w:pPr>
        <w:ind w:firstLine="57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采用综合评分法的，评审结果按评审后得分由高到低顺序排列。得分相同的，按投标报价由低到高顺序排列。得分且投标报价相同的并列。采取随机抽取的方式确定。</w:t>
      </w:r>
      <w:r/>
    </w:p>
    <w:p>
      <w:pPr>
        <w:ind w:firstLine="562"/>
        <w:spacing w:line="460" w:lineRule="exact"/>
        <w:rPr>
          <w:rFonts w:ascii="宋体" w:hAnsi="宋体" w:cs="宋体"/>
          <w:b/>
          <w:color w:val="auto"/>
          <w:sz w:val="28"/>
          <w:szCs w:val="28"/>
          <w:highlight w:val="none"/>
        </w:rPr>
        <w:outlineLvl w:val="2"/>
      </w:pPr>
      <w:r/>
      <w:bookmarkStart w:id="158" w:name="_Toc13"/>
      <w:r>
        <w:rPr>
          <w:rFonts w:hint="eastAsia" w:ascii="宋体" w:hAnsi="宋体" w:cs="宋体"/>
          <w:b/>
          <w:color w:val="auto"/>
          <w:sz w:val="28"/>
          <w:szCs w:val="28"/>
          <w:highlight w:val="none"/>
        </w:rPr>
        <w:t xml:space="preserve">（七）公告中标结果</w:t>
      </w:r>
      <w:bookmarkEnd w:id="158"/>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自确定中标人之日起2个工作日内，在江苏政府采购网公告中标结果，公告期限为1个工作日。</w:t>
      </w:r>
      <w:r/>
    </w:p>
    <w:p>
      <w:pPr>
        <w:ind w:firstLine="562"/>
        <w:spacing w:line="420" w:lineRule="exact"/>
        <w:rPr>
          <w:rFonts w:ascii="宋体" w:hAnsi="宋体" w:cs="宋体"/>
          <w:b/>
          <w:bCs/>
          <w:color w:val="auto"/>
          <w:sz w:val="28"/>
          <w:szCs w:val="28"/>
          <w:highlight w:val="none"/>
        </w:rPr>
        <w:outlineLvl w:val="2"/>
      </w:pPr>
      <w:r/>
      <w:bookmarkStart w:id="159" w:name="_Toc27458"/>
      <w:r>
        <w:rPr>
          <w:rFonts w:hint="eastAsia" w:ascii="宋体" w:hAnsi="宋体" w:cs="宋体"/>
          <w:b/>
          <w:color w:val="auto"/>
          <w:sz w:val="28"/>
          <w:szCs w:val="28"/>
          <w:highlight w:val="none"/>
        </w:rPr>
        <w:t xml:space="preserve">（八）</w:t>
      </w:r>
      <w:r>
        <w:rPr>
          <w:rFonts w:hint="eastAsia" w:ascii="宋体" w:hAnsi="宋体" w:cs="宋体"/>
          <w:b/>
          <w:bCs/>
          <w:color w:val="auto"/>
          <w:sz w:val="28"/>
          <w:szCs w:val="28"/>
          <w:highlight w:val="none"/>
        </w:rPr>
        <w:t xml:space="preserve">发放中标通知书</w:t>
      </w:r>
      <w:bookmarkEnd w:id="159"/>
      <w:r/>
      <w:r/>
    </w:p>
    <w:p>
      <w:pPr>
        <w:ind w:firstLine="560"/>
        <w:spacing w:line="420" w:lineRule="exact"/>
        <w:rPr>
          <w:rFonts w:ascii="宋体" w:hAnsi="宋体" w:cs="宋体"/>
          <w:bCs/>
          <w:color w:val="auto"/>
          <w:sz w:val="28"/>
          <w:szCs w:val="28"/>
          <w:highlight w:val="none"/>
        </w:rPr>
      </w:pPr>
      <w:r>
        <w:rPr>
          <w:rFonts w:hint="eastAsia" w:ascii="宋体" w:hAnsi="宋体" w:cs="宋体"/>
          <w:color w:val="auto"/>
          <w:sz w:val="28"/>
          <w:szCs w:val="28"/>
          <w:highlight w:val="none"/>
        </w:rPr>
        <w:t xml:space="preserve">公告中标结果的同时，采购人</w:t>
      </w:r>
      <w:r>
        <w:rPr>
          <w:rFonts w:hint="eastAsia" w:ascii="宋体" w:hAnsi="宋体" w:cs="宋体"/>
          <w:bCs/>
          <w:color w:val="auto"/>
          <w:sz w:val="28"/>
          <w:szCs w:val="28"/>
          <w:highlight w:val="none"/>
        </w:rPr>
        <w:t xml:space="preserve">向中标人发放中标通知书。</w:t>
      </w:r>
      <w:r/>
    </w:p>
    <w:p>
      <w:pPr>
        <w:ind w:firstLine="560"/>
        <w:spacing w:line="420" w:lineRule="exact"/>
        <w:rPr>
          <w:rFonts w:ascii="宋体" w:hAnsi="宋体" w:cs="宋体"/>
          <w:b/>
          <w:color w:val="auto"/>
          <w:sz w:val="28"/>
          <w:szCs w:val="28"/>
          <w:highlight w:val="none"/>
        </w:rPr>
      </w:pPr>
      <w:r>
        <w:rPr>
          <w:rFonts w:hint="eastAsia" w:ascii="宋体" w:hAnsi="宋体" w:cs="宋体"/>
          <w:color w:val="auto"/>
          <w:sz w:val="28"/>
          <w:szCs w:val="28"/>
          <w:highlight w:val="none"/>
        </w:rPr>
        <w:t xml:space="preserve">中标通知书发出后，采购人不得违法改变中标结果，中标人无正当理由不得放弃中标。</w:t>
      </w:r>
      <w:r/>
    </w:p>
    <w:p>
      <w:pPr>
        <w:ind w:firstLine="562"/>
        <w:spacing w:line="420" w:lineRule="exact"/>
        <w:rPr>
          <w:rFonts w:ascii="宋体" w:hAnsi="宋体" w:cs="宋体"/>
          <w:b/>
          <w:color w:val="auto"/>
          <w:sz w:val="28"/>
          <w:szCs w:val="28"/>
          <w:highlight w:val="none"/>
        </w:rPr>
        <w:outlineLvl w:val="2"/>
      </w:pPr>
      <w:r/>
      <w:bookmarkStart w:id="160" w:name="_Toc19733"/>
      <w:r>
        <w:rPr>
          <w:rFonts w:hint="eastAsia" w:ascii="宋体" w:hAnsi="宋体" w:cs="宋体"/>
          <w:b/>
          <w:color w:val="auto"/>
          <w:sz w:val="28"/>
          <w:szCs w:val="28"/>
          <w:highlight w:val="none"/>
        </w:rPr>
        <w:t xml:space="preserve">（九）其他</w:t>
      </w:r>
      <w:bookmarkEnd w:id="160"/>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当中标人无正当理由放弃中标，被查实存在影响中标结果的违法行为等情形，采购人有权按照政府采购相关法律法规的规定对其采取惩戒措施，包含但不限于列入采购失信人黑名单等措施。</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当中标人放弃中标、因不可抗力不能履行合同，或者被查实存在影响中标结果的违法行为等情形，不符合中标条件的（存在招标文件规定的被采购人拒签合同的情形等），采购人可以按照评标委员会提出的中标候选人名单排序依次确定其他中标候选人为中标人，也可以重新招标。</w:t>
      </w:r>
      <w:r/>
    </w:p>
    <w:p>
      <w:pPr>
        <w:jc w:val="center"/>
        <w:rPr>
          <w:rFonts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bookmarkStart w:id="161" w:name="_Toc7997"/>
      <w:r/>
      <w:bookmarkStart w:id="162" w:name="_Toc23874"/>
      <w:r>
        <w:rPr>
          <w:rFonts w:hint="eastAsia" w:ascii="宋体" w:hAnsi="宋体" w:cs="宋体"/>
          <w:bCs/>
          <w:color w:val="auto"/>
          <w:sz w:val="36"/>
          <w:szCs w:val="36"/>
          <w:highlight w:val="none"/>
        </w:rPr>
        <w:t xml:space="preserve">第五部分 质疑与投诉</w:t>
      </w:r>
      <w:bookmarkEnd w:id="161"/>
      <w:r/>
      <w:bookmarkEnd w:id="162"/>
      <w:r/>
      <w:r/>
    </w:p>
    <w:p>
      <w:pPr>
        <w:ind w:firstLine="560"/>
        <w:spacing w:line="460" w:lineRule="exact"/>
        <w:rPr>
          <w:rFonts w:ascii="宋体" w:hAnsi="宋体" w:cs="宋体"/>
          <w:color w:val="auto"/>
          <w:sz w:val="28"/>
          <w:szCs w:val="28"/>
          <w:highlight w:val="none"/>
        </w:rPr>
        <w:outlineLvl w:val="1"/>
      </w:pPr>
      <w:r/>
      <w:bookmarkStart w:id="163" w:name="_Toc23571"/>
      <w:r>
        <w:rPr>
          <w:rFonts w:hint="eastAsia" w:ascii="宋体" w:hAnsi="宋体" w:cs="宋体"/>
          <w:color w:val="auto"/>
          <w:sz w:val="28"/>
          <w:szCs w:val="28"/>
          <w:highlight w:val="none"/>
        </w:rPr>
        <w:t xml:space="preserve">一、质疑事项</w:t>
      </w:r>
      <w:bookmarkEnd w:id="163"/>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1.提出质疑的投标人应当是参与所质疑项目采购活动的投标人。潜在投标人依法获取其可质疑的招标文件的，可以对招标文件提出质疑。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2.投标人认为招标文件、采购过程和采购结果使自己的权益受到损害的，可以在知道或应知其权益受到损害之日起七个工作日内，以书面形式向代理机构或采购人提出质疑。上述应知其权益受到损害之日，是指：</w:t>
      </w:r>
      <w:r/>
    </w:p>
    <w:p>
      <w:pPr>
        <w:pStyle w:val="738"/>
        <w:ind w:firstLine="560"/>
        <w:spacing w:line="46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2.1对可以质疑的招标文件提出质疑的，为收到招标文件之日或者招标文件公告期限届满之日；采购项目开标后，不再接受投标人对招标文件（含更正公告等）内容的异议或质询（质疑）。</w:t>
      </w:r>
      <w:r/>
    </w:p>
    <w:p>
      <w:pPr>
        <w:ind w:firstLine="562"/>
        <w:spacing w:line="460" w:lineRule="exact"/>
        <w:rPr>
          <w:rFonts w:ascii="宋体" w:hAnsi="宋体" w:cs="宋体"/>
          <w:b/>
          <w:bCs/>
          <w:color w:val="auto"/>
          <w:sz w:val="28"/>
          <w:szCs w:val="28"/>
          <w:highlight w:val="none"/>
        </w:rPr>
        <w:outlineLvl w:val="2"/>
      </w:pPr>
      <w:r/>
      <w:bookmarkStart w:id="164" w:name="_Toc32024"/>
      <w:r>
        <w:rPr>
          <w:rFonts w:hint="eastAsia" w:ascii="宋体" w:hAnsi="宋体" w:cs="宋体"/>
          <w:b/>
          <w:bCs/>
          <w:color w:val="auto"/>
          <w:sz w:val="28"/>
          <w:szCs w:val="28"/>
          <w:highlight w:val="none"/>
        </w:rPr>
        <w:t xml:space="preserve">2.2对采购过程提出质疑的，为各采购程序环节结束之日；</w:t>
      </w:r>
      <w:bookmarkEnd w:id="164"/>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其中：对评审过程中涉及的密封检查、身份核对、澄清等程序性事项，投标人如有异议的，必须当场提出。否则，均视为投标人无异议。无论是否中标，投标人事后不得再就前述事项提出任何异议或质疑投诉。</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2.3对中标或者成交结果提出质疑的，为中标或者成交结果公告期限届满之日。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投标人应当在法定质疑期内一次性提出针对同一采购程序环节的质疑。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3.质疑函必须按照本招标文件中《质疑函范本》要求的格式和内容进行填写。</w:t>
      </w:r>
      <w:r/>
    </w:p>
    <w:p>
      <w:pPr>
        <w:ind w:firstLine="560"/>
        <w:spacing w:line="460" w:lineRule="exact"/>
        <w:rPr>
          <w:rFonts w:ascii="宋体" w:hAnsi="宋体" w:cs="宋体"/>
          <w:b/>
          <w:color w:val="auto"/>
          <w:sz w:val="28"/>
          <w:szCs w:val="28"/>
          <w:highlight w:val="none"/>
        </w:rPr>
      </w:pPr>
      <w:r>
        <w:rPr>
          <w:rFonts w:hint="eastAsia" w:ascii="宋体" w:hAnsi="宋体" w:cs="宋体"/>
          <w:color w:val="auto"/>
          <w:sz w:val="28"/>
          <w:szCs w:val="28"/>
          <w:highlight w:val="none"/>
        </w:rPr>
        <w:t xml:space="preserve">4.对招标方式、招标文件中项目需求、投标人资格条件、评审方法和评审标准、资格审查结果等应当由采购人答复的质疑，请向采购人提出，由采购人负责答复。投标人对其他事项的质疑，请向招标代理机构提出，由采购人或招标代理机构负责答复。</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投标人提起质疑采取书面形式，可以现场送达，也可以邮寄。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采购人及招标代理机构质疑接收人及联系方式，见招标文件第一部分。</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5.投标人提出质疑应当提交质疑函和必要的证明材料，否则不予受理。质疑函应当包括下列内容：</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投标人的姓名或者名称、地址、邮编、联系人及联系电话；</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质疑项目的名称、编号；</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具体、明确的质疑事项和与质疑事项相关的请求；</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事实依据；</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必要的法律依据；</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提出质疑的日期。</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投标人为自然人的，应当由本人签字；投标人为法人或者其他组织的，应当由法定代表人、主要负责人，或者其授权代表签字或者盖章，并加盖公章。</w:t>
      </w:r>
      <w:r/>
    </w:p>
    <w:p>
      <w:pPr>
        <w:ind w:firstLine="560"/>
        <w:spacing w:line="46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6.以下情形的质疑不予受理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6.1内容不符合上述规定的质疑。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6.2 超出采购法定期限的质疑。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6.3未参加招标活动的投标人或在招标活动中自身权益未受到损害的投标人所提出的质疑。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7.投标人提出书面质疑必须有理、有据，不得捏造事实、提供虚假材料进行恶意质疑。否则，一经查实，招标代理机构有权依据招标的有关规定，报请采购监管部门对该投标人进行相应的行政处罚和记录该投标人的失信信息。一、质疑的提出</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8.下载招标文件的投标人应根据第二章“投标人须知”中第一条第4款的约定提出；响应文件接收截止后，投标人未进行投标登记的，不能就响应文件接收截止后的招投标过程、中标结果提出质疑；在投标过程中，凡主持人或评标小组明确提出须由投标人确认的事项，投标人当场无异议的，事后不得提出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9.提出质疑时，必须坚持“谁主张，谁举证”“实事求是”的原则，不能臆测。属于须由法定部门调查、侦查或先行作出相关认定的事项，质疑人应当依法申请具有法定职权的部门查清、认定，并将相关结果提供给招标单位或代理机构。招标单位或代理机构不具有法定调查、认定权限。</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10.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对不能提供相关佐证材料的、涉及商业秘密的、非书面形式的、非送达的、匿名的《质疑函》将不予受理。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相关佐证材料要具备客观性、关联性、合法性，无法查实的（如宣传册、媒体报道、猜测、推理等）不能作为佐证材料。</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招标单位或代理机构不负责搜集相关佐证材料等工作。</w:t>
      </w:r>
      <w:r/>
    </w:p>
    <w:p>
      <w:pPr>
        <w:ind w:firstLine="560"/>
        <w:spacing w:line="460" w:lineRule="exact"/>
        <w:rPr>
          <w:rFonts w:ascii="宋体" w:hAnsi="宋体" w:cs="宋体"/>
          <w:color w:val="auto"/>
          <w:sz w:val="28"/>
          <w:szCs w:val="28"/>
          <w:highlight w:val="none"/>
        </w:rPr>
        <w:outlineLvl w:val="1"/>
      </w:pPr>
      <w:r/>
      <w:bookmarkStart w:id="165" w:name="_Toc32547"/>
      <w:r>
        <w:rPr>
          <w:rFonts w:hint="eastAsia" w:ascii="宋体" w:hAnsi="宋体" w:cs="宋体"/>
          <w:color w:val="auto"/>
          <w:sz w:val="28"/>
          <w:szCs w:val="28"/>
          <w:highlight w:val="none"/>
        </w:rPr>
        <w:t xml:space="preserve">二、《质疑函》的受理和回复</w:t>
      </w:r>
      <w:bookmarkEnd w:id="165"/>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1.质疑函》须由质疑人的法定代表人或参加本次投标授权人送达招标单位和代理机构。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对符合提出质疑要求的，招标单位、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3.对不符合提出质疑要求的，出具《质疑退回通知书》并提出相关补充材料要求，质疑人未在规定的时间内提供补充佐证材料的，视同放弃质疑。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4.招标单位、代理机构负责将质疑人提出的质疑相关材料提供给相关专家或评标小组审核，并将审核意见回复质疑人。</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必要时，可向被质疑人转发《质疑函》及相关佐证材料。被质疑人应当在要求的时间内，以书面形式作出说明，并提交相关证据。被质疑人在规定时间内，无正当理由未提交相关证据的，视同放弃说明权利，认可被质疑事项。</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5.因质疑情况复杂，组织论证或审查时间较长的，采购人、代理机构以书面形式通知质疑人，可适当延长质疑回复处理时间。</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①质疑成立的处理。采购人或代理机构终止招标，并建议有关部门给相关当事人予以处理。</w:t>
      </w:r>
      <w:r/>
    </w:p>
    <w:p>
      <w:pPr>
        <w:contextualSpacing/>
        <w:ind w:firstLine="560"/>
        <w:spacing w:line="460" w:lineRule="exact"/>
        <w:rPr>
          <w:rFonts w:ascii="宋体" w:hAnsi="宋体" w:cs="宋体"/>
          <w:color w:val="auto"/>
          <w:sz w:val="28"/>
          <w:szCs w:val="28"/>
          <w:highlight w:val="none"/>
        </w:rPr>
        <w:outlineLvl w:val="2"/>
      </w:pPr>
      <w:r/>
      <w:bookmarkStart w:id="166" w:name="_Toc18082"/>
      <w:r>
        <w:rPr>
          <w:rFonts w:hint="eastAsia" w:ascii="宋体" w:hAnsi="宋体" w:cs="宋体"/>
          <w:color w:val="auto"/>
          <w:sz w:val="28"/>
          <w:szCs w:val="28"/>
          <w:highlight w:val="none"/>
        </w:rPr>
        <w:t xml:space="preserve">②质疑不成立的处理。</w:t>
      </w:r>
      <w:bookmarkEnd w:id="166"/>
      <w:r/>
      <w:r/>
    </w:p>
    <w:p>
      <w:pPr>
        <w:contextualSpacing/>
        <w:ind w:firstLine="560"/>
        <w:spacing w:line="46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1）质疑人书面《申请撤回质疑函》的，不作违约处理。</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2）质疑人在规定的时间内不配合进行质疑调查处理的，按自动撤回《质疑函》处理。</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3）质疑人不按《质疑函》格式就提出质疑的，作违约处理。同时，视情列入不良投标人名单。</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4）质疑人虽提供了相关佐证材料，但不能证明其质疑成立的，采购人或代理机构请质疑人补充相关佐证材料，仍不能证明其质疑成立的，作违约处理。</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5）质疑人不能提供相关佐证材料的，采购人、代理机构已指出，质疑人仍然坚持提出质疑的，作违约处理。</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6）对明显有违事实的、经相关专家或评标小组认定无依据的、经其他投标人举证无依据的质疑，作违约处理，视情在采购人官网媒体予以披露。</w:t>
      </w:r>
      <w:r/>
    </w:p>
    <w:p>
      <w:pPr>
        <w:contextualSpacing/>
        <w:ind w:firstLine="560"/>
        <w:spacing w:line="460" w:lineRule="exact"/>
        <w:rPr>
          <w:rFonts w:ascii="宋体" w:hAnsi="宋体" w:cs="宋体"/>
          <w:color w:val="auto"/>
          <w:sz w:val="28"/>
          <w:szCs w:val="28"/>
          <w:highlight w:val="none"/>
        </w:rPr>
        <w:outlineLvl w:val="4"/>
      </w:pPr>
      <w:r>
        <w:rPr>
          <w:rFonts w:hint="eastAsia" w:ascii="宋体" w:hAnsi="宋体" w:cs="宋体"/>
          <w:color w:val="auto"/>
          <w:sz w:val="28"/>
          <w:szCs w:val="28"/>
          <w:highlight w:val="none"/>
        </w:rPr>
        <w:t xml:space="preserve">（7）质疑人承担使用虚假材料或恶意方式质疑的法律责任。</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三、无佐证材料的举报作违约处理。投标人不得进行不提供相关佐证材料（含无法查实的如宣传册、媒体报道、猜测、推理等）向有关部门的举报，否则作违约处理。</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四、投诉不成立的作违约处理。投标人进行质疑后，采购人回复质疑不成立，投标人仍进行投诉的，并最终投诉不成立的，作违约处理。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五、《质疑函》《质疑回复函》，质疑、举报、投诉不成立等相关情况，视情在采购人官网等相关媒体予以披露。</w:t>
      </w:r>
      <w:r/>
    </w:p>
    <w:p>
      <w:pPr>
        <w:ind w:firstLine="560"/>
        <w:spacing w:line="460" w:lineRule="exact"/>
        <w:rPr>
          <w:rFonts w:ascii="宋体" w:hAnsi="宋体" w:cs="宋体"/>
          <w:bCs/>
          <w:color w:val="auto"/>
          <w:sz w:val="36"/>
          <w:szCs w:val="36"/>
          <w:highlight w:val="none"/>
        </w:rPr>
      </w:pPr>
      <w:r>
        <w:rPr>
          <w:rFonts w:hint="eastAsia" w:ascii="宋体" w:hAnsi="宋体" w:cs="宋体"/>
          <w:color w:val="auto"/>
          <w:sz w:val="28"/>
          <w:szCs w:val="28"/>
          <w:highlight w:val="none"/>
        </w:rPr>
        <w:t xml:space="preserve">六、质疑人对采购人或代理机构的答复不满意或者采购人、代理机构未在规定的时间内作出答复的，可以在答复期满后15个工作日内向相关监督管理部门投诉。</w:t>
      </w:r>
      <w:r/>
    </w:p>
    <w:p>
      <w:pPr>
        <w:jc w:val="center"/>
        <w:rPr>
          <w:rFonts w:ascii="宋体" w:hAnsi="宋体" w:cs="宋体"/>
          <w:bCs/>
          <w:color w:val="auto"/>
          <w:sz w:val="36"/>
          <w:szCs w:val="36"/>
          <w:highlight w:val="none"/>
        </w:rPr>
      </w:pPr>
      <w:r>
        <w:rPr>
          <w:rFonts w:ascii="宋体" w:hAnsi="宋体" w:cs="宋体"/>
          <w:bCs/>
          <w:color w:val="auto"/>
          <w:sz w:val="36"/>
          <w:szCs w:val="36"/>
          <w:highlight w:val="none"/>
        </w:rPr>
      </w:r>
      <w:r/>
    </w:p>
    <w:p>
      <w:pPr>
        <w:jc w:val="center"/>
        <w:rPr>
          <w:rFonts w:ascii="宋体" w:hAnsi="宋体" w:cs="宋体"/>
          <w:bCs/>
          <w:color w:val="auto"/>
          <w:sz w:val="36"/>
          <w:szCs w:val="36"/>
          <w:highlight w:val="none"/>
        </w:rPr>
      </w:pPr>
      <w:r>
        <w:rPr>
          <w:rFonts w:ascii="宋体" w:hAnsi="宋体" w:cs="宋体"/>
          <w:bCs/>
          <w:color w:val="auto"/>
          <w:sz w:val="36"/>
          <w:szCs w:val="36"/>
          <w:highlight w:val="none"/>
        </w:rPr>
      </w:r>
      <w:r/>
    </w:p>
    <w:p>
      <w:pPr>
        <w:jc w:val="center"/>
        <w:rPr>
          <w:rFonts w:ascii="宋体" w:hAnsi="宋体" w:cs="宋体"/>
          <w:bCs/>
          <w:color w:val="auto"/>
          <w:sz w:val="36"/>
          <w:szCs w:val="36"/>
          <w:highlight w:val="none"/>
        </w:rPr>
      </w:pPr>
      <w:r>
        <w:rPr>
          <w:rFonts w:ascii="宋体" w:hAnsi="宋体" w:cs="宋体"/>
          <w:bCs/>
          <w:color w:val="auto"/>
          <w:sz w:val="36"/>
          <w:szCs w:val="36"/>
          <w:highlight w:val="none"/>
        </w:rPr>
      </w:r>
      <w:r/>
    </w:p>
    <w:p>
      <w:pPr>
        <w:jc w:val="center"/>
        <w:rPr>
          <w:rFonts w:ascii="宋体" w:hAnsi="宋体" w:cs="宋体"/>
          <w:bCs/>
          <w:color w:val="auto"/>
          <w:sz w:val="36"/>
          <w:szCs w:val="36"/>
          <w:highlight w:val="none"/>
        </w:rPr>
      </w:pPr>
      <w:r>
        <w:rPr>
          <w:rFonts w:ascii="宋体" w:hAnsi="宋体" w:cs="宋体"/>
          <w:bCs/>
          <w:color w:val="auto"/>
          <w:sz w:val="36"/>
          <w:szCs w:val="36"/>
          <w:highlight w:val="none"/>
        </w:rPr>
      </w:r>
      <w:r/>
    </w:p>
    <w:p>
      <w:pPr>
        <w:jc w:val="center"/>
        <w:rPr>
          <w:rFonts w:ascii="宋体" w:hAnsi="宋体" w:cs="宋体"/>
          <w:bCs/>
          <w:color w:val="auto"/>
          <w:sz w:val="36"/>
          <w:szCs w:val="36"/>
          <w:highlight w:val="none"/>
        </w:rPr>
        <w:outlineLvl w:val="0"/>
      </w:pPr>
      <w:r/>
      <w:bookmarkStart w:id="167" w:name="_Toc20594"/>
      <w:r/>
      <w:bookmarkStart w:id="168" w:name="_Toc12704"/>
      <w:r>
        <w:rPr>
          <w:rFonts w:hint="eastAsia" w:ascii="宋体" w:hAnsi="宋体" w:cs="宋体"/>
          <w:bCs/>
          <w:color w:val="auto"/>
          <w:sz w:val="36"/>
          <w:szCs w:val="36"/>
          <w:highlight w:val="none"/>
        </w:rPr>
        <w:t xml:space="preserve">第六部分  投标文件组成</w:t>
      </w:r>
      <w:bookmarkEnd w:id="167"/>
      <w:r/>
      <w:bookmarkEnd w:id="168"/>
      <w:r/>
      <w:r/>
    </w:p>
    <w:p>
      <w:pPr>
        <w:ind w:left="480"/>
        <w:spacing w:line="460" w:lineRule="exact"/>
        <w:rPr>
          <w:rFonts w:ascii="宋体" w:hAnsi="宋体" w:cs="宋体"/>
          <w:b/>
          <w:color w:val="auto"/>
          <w:sz w:val="28"/>
          <w:szCs w:val="28"/>
          <w:highlight w:val="none"/>
        </w:rPr>
        <w:outlineLvl w:val="1"/>
      </w:pPr>
      <w:r/>
      <w:bookmarkStart w:id="169" w:name="_Toc30344"/>
      <w:r>
        <w:rPr>
          <w:rFonts w:hint="eastAsia" w:ascii="宋体" w:hAnsi="宋体" w:cs="宋体"/>
          <w:b/>
          <w:color w:val="auto"/>
          <w:sz w:val="28"/>
          <w:szCs w:val="28"/>
          <w:highlight w:val="none"/>
        </w:rPr>
        <w:t xml:space="preserve">一、基本目录</w:t>
      </w:r>
      <w:bookmarkEnd w:id="169"/>
      <w:r/>
      <w:r/>
    </w:p>
    <w:p>
      <w:pPr>
        <w:ind w:firstLine="560"/>
        <w:spacing w:line="440" w:lineRule="exact"/>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.开标一览表（</w:t>
      </w:r>
      <w:r>
        <w:rPr>
          <w:rFonts w:hint="eastAsia" w:ascii="宋体" w:hAnsi="宋体" w:cs="宋体"/>
          <w:bCs/>
          <w:color w:val="auto"/>
          <w:sz w:val="28"/>
          <w:szCs w:val="28"/>
          <w:highlight w:val="none"/>
        </w:rPr>
        <w:t xml:space="preserve">苏采云系统固定格式</w:t>
      </w:r>
      <w:r>
        <w:rPr>
          <w:rFonts w:hint="eastAsia" w:ascii="宋体" w:hAnsi="宋体" w:cs="宋体"/>
          <w:color w:val="auto"/>
          <w:sz w:val="28"/>
          <w:szCs w:val="28"/>
          <w:highlight w:val="none"/>
          <w:lang w:val="zh-CN"/>
        </w:rPr>
        <w:t xml:space="preserve">）；</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2.分项报价表（</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rPr>
        <w:t xml:space="preserve">1）；</w:t>
      </w:r>
      <w:r/>
    </w:p>
    <w:p>
      <w:pPr>
        <w:ind w:firstLine="560"/>
        <w:spacing w:line="460" w:lineRule="exact"/>
        <w:rPr>
          <w:rFonts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3.</w:t>
      </w:r>
      <w:r>
        <w:rPr>
          <w:rFonts w:hint="eastAsia" w:ascii="宋体" w:hAnsi="宋体" w:cs="宋体"/>
          <w:bCs/>
          <w:color w:val="auto"/>
          <w:sz w:val="28"/>
          <w:szCs w:val="28"/>
          <w:highlight w:val="none"/>
          <w:lang w:val="zh-CN"/>
        </w:rPr>
        <w:t xml:space="preserve">投标人情况一览表（格式见附件</w:t>
      </w:r>
      <w:r>
        <w:rPr>
          <w:rFonts w:hint="eastAsia" w:ascii="宋体" w:hAnsi="宋体" w:cs="宋体"/>
          <w:bCs/>
          <w:color w:val="auto"/>
          <w:sz w:val="28"/>
          <w:szCs w:val="28"/>
          <w:highlight w:val="none"/>
        </w:rPr>
        <w:t xml:space="preserve">3</w:t>
      </w:r>
      <w:r>
        <w:rPr>
          <w:rFonts w:hint="eastAsia" w:ascii="宋体" w:hAnsi="宋体" w:cs="宋体"/>
          <w:bCs/>
          <w:color w:val="auto"/>
          <w:sz w:val="28"/>
          <w:szCs w:val="28"/>
          <w:highlight w:val="none"/>
          <w:lang w:val="zh-CN"/>
        </w:rPr>
        <w:t xml:space="preserve">）；</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lang w:val="en-US" w:eastAsia="zh-CN"/>
        </w:rPr>
        <w:t xml:space="preserve">4</w:t>
      </w:r>
      <w:r>
        <w:rPr>
          <w:rFonts w:hint="eastAsia" w:ascii="宋体" w:hAnsi="宋体" w:cs="宋体"/>
          <w:bCs/>
          <w:color w:val="auto"/>
          <w:sz w:val="28"/>
          <w:szCs w:val="28"/>
          <w:highlight w:val="none"/>
        </w:rPr>
        <w:t xml:space="preserve">.技术要求响应及偏离表</w:t>
      </w:r>
      <w:r>
        <w:rPr>
          <w:rFonts w:hint="eastAsia" w:ascii="宋体" w:hAnsi="宋体" w:cs="宋体"/>
          <w:bCs/>
          <w:color w:val="auto"/>
          <w:sz w:val="28"/>
          <w:szCs w:val="28"/>
          <w:highlight w:val="none"/>
          <w:lang w:val="zh-CN"/>
        </w:rPr>
        <w:t xml:space="preserve">格式见附件</w:t>
      </w:r>
      <w:r>
        <w:rPr>
          <w:rFonts w:hint="eastAsia" w:ascii="宋体" w:hAnsi="宋体" w:cs="宋体"/>
          <w:bCs/>
          <w:color w:val="auto"/>
          <w:sz w:val="28"/>
          <w:szCs w:val="28"/>
          <w:highlight w:val="none"/>
        </w:rPr>
        <w:t xml:space="preserve">4</w:t>
      </w:r>
      <w:r>
        <w:rPr>
          <w:rFonts w:hint="eastAsia" w:ascii="宋体" w:hAnsi="宋体" w:cs="宋体"/>
          <w:bCs/>
          <w:color w:val="auto"/>
          <w:sz w:val="28"/>
          <w:szCs w:val="28"/>
          <w:highlight w:val="none"/>
          <w:lang w:val="zh-CN"/>
        </w:rPr>
        <w:t xml:space="preserve">）；</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lang w:val="en-US" w:eastAsia="zh-CN"/>
        </w:rPr>
        <w:t xml:space="preserve">5</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val="zh-CN"/>
        </w:rPr>
        <w:t xml:space="preserve">商务要求响应及偏离表（格式见附件</w:t>
      </w:r>
      <w:r>
        <w:rPr>
          <w:rFonts w:hint="eastAsia" w:ascii="宋体" w:hAnsi="宋体" w:cs="宋体"/>
          <w:bCs/>
          <w:color w:val="auto"/>
          <w:sz w:val="28"/>
          <w:szCs w:val="28"/>
          <w:highlight w:val="none"/>
        </w:rPr>
        <w:t xml:space="preserve">5</w:t>
      </w:r>
      <w:r>
        <w:rPr>
          <w:rFonts w:hint="eastAsia" w:ascii="宋体" w:hAnsi="宋体" w:cs="宋体"/>
          <w:bCs/>
          <w:color w:val="auto"/>
          <w:sz w:val="28"/>
          <w:szCs w:val="28"/>
          <w:highlight w:val="none"/>
          <w:lang w:val="zh-CN"/>
        </w:rPr>
        <w:t xml:space="preserve">）；</w:t>
      </w:r>
      <w:r/>
    </w:p>
    <w:p>
      <w:pPr>
        <w:ind w:firstLine="560"/>
        <w:spacing w:line="440" w:lineRule="exact"/>
        <w:rPr>
          <w:rFonts w:ascii="宋体" w:hAnsi="宋体" w:cs="宋体"/>
          <w:color w:val="auto"/>
          <w:highlight w:val="none"/>
        </w:rPr>
      </w:pPr>
      <w:r>
        <w:rPr>
          <w:rFonts w:hint="eastAsia" w:ascii="宋体" w:hAnsi="宋体" w:cs="宋体"/>
          <w:bCs/>
          <w:color w:val="auto"/>
          <w:sz w:val="28"/>
          <w:szCs w:val="28"/>
          <w:highlight w:val="none"/>
          <w:lang w:val="en-US" w:eastAsia="zh-CN"/>
        </w:rPr>
        <w:t xml:space="preserve">6</w:t>
      </w:r>
      <w:r>
        <w:rPr>
          <w:rFonts w:hint="eastAsia" w:ascii="宋体" w:hAnsi="宋体" w:cs="宋体"/>
          <w:bCs/>
          <w:color w:val="auto"/>
          <w:sz w:val="28"/>
          <w:szCs w:val="28"/>
          <w:highlight w:val="none"/>
          <w:lang w:val="zh-CN"/>
        </w:rPr>
        <w:t xml:space="preserve">.</w:t>
      </w:r>
      <w:r>
        <w:rPr>
          <w:rFonts w:hint="eastAsia" w:ascii="宋体" w:hAnsi="宋体" w:cs="宋体"/>
          <w:color w:val="auto"/>
          <w:sz w:val="28"/>
          <w:szCs w:val="28"/>
          <w:highlight w:val="none"/>
          <w:lang w:val="zh-CN"/>
        </w:rPr>
        <w:t xml:space="preserve">投标人信用承诺书</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rPr>
        <w:t xml:space="preserve">6）；</w:t>
      </w:r>
      <w:r/>
    </w:p>
    <w:p>
      <w:pPr>
        <w:ind w:left="480"/>
        <w:spacing w:line="460" w:lineRule="exact"/>
        <w:rPr>
          <w:rFonts w:ascii="宋体" w:hAnsi="宋体" w:cs="宋体"/>
          <w:b/>
          <w:color w:val="auto"/>
          <w:sz w:val="28"/>
          <w:szCs w:val="28"/>
          <w:highlight w:val="none"/>
        </w:rPr>
        <w:outlineLvl w:val="1"/>
      </w:pPr>
      <w:r/>
      <w:bookmarkStart w:id="170" w:name="_Toc19557"/>
      <w:r>
        <w:rPr>
          <w:rFonts w:hint="eastAsia" w:ascii="宋体" w:hAnsi="宋体" w:cs="宋体"/>
          <w:b/>
          <w:color w:val="auto"/>
          <w:sz w:val="28"/>
          <w:szCs w:val="28"/>
          <w:highlight w:val="none"/>
        </w:rPr>
        <w:t xml:space="preserve">二、资格审查内容</w:t>
      </w:r>
      <w:bookmarkEnd w:id="170"/>
      <w:r/>
      <w:r/>
    </w:p>
    <w:p>
      <w:pPr>
        <w:ind w:firstLine="560"/>
        <w:spacing w:line="44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投标人符合《中华人民共和国政府采购法》第二十二条规定条件的承诺函</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rPr>
        <w:t xml:space="preserve">7</w:t>
      </w:r>
      <w:r>
        <w:rPr>
          <w:rFonts w:hint="eastAsia" w:ascii="宋体" w:hAnsi="宋体" w:cs="宋体"/>
          <w:color w:val="auto"/>
          <w:sz w:val="28"/>
          <w:szCs w:val="28"/>
          <w:highlight w:val="none"/>
          <w:lang w:val="zh-CN"/>
        </w:rPr>
        <w:t xml:space="preserve">）；</w:t>
      </w:r>
      <w:r/>
    </w:p>
    <w:p>
      <w:pPr>
        <w:ind w:firstLine="560"/>
        <w:spacing w:line="440" w:lineRule="exact"/>
        <w:rPr>
          <w:rFonts w:ascii="宋体" w:hAnsi="宋体" w:cs="宋体"/>
          <w:color w:val="auto"/>
          <w:sz w:val="28"/>
          <w:szCs w:val="28"/>
          <w:highlight w:val="none"/>
          <w:lang w:val="zh-CN"/>
        </w:rPr>
        <w:outlineLvl w:val="2"/>
      </w:pPr>
      <w:r/>
      <w:bookmarkStart w:id="171" w:name="_Toc31323"/>
      <w:r>
        <w:rPr>
          <w:rFonts w:hint="eastAsia" w:ascii="宋体" w:hAnsi="宋体" w:cs="宋体"/>
          <w:color w:val="auto"/>
          <w:sz w:val="28"/>
          <w:szCs w:val="28"/>
          <w:highlight w:val="none"/>
          <w:lang w:val="zh-CN"/>
        </w:rPr>
        <w:t xml:space="preserve">2.法定代表人身份证明书（格式见附件</w:t>
      </w:r>
      <w:r>
        <w:rPr>
          <w:rFonts w:hint="eastAsia" w:ascii="宋体" w:hAnsi="宋体" w:cs="宋体"/>
          <w:color w:val="auto"/>
          <w:sz w:val="28"/>
          <w:szCs w:val="28"/>
          <w:highlight w:val="none"/>
        </w:rPr>
        <w:t xml:space="preserve">8</w:t>
      </w:r>
      <w:r>
        <w:rPr>
          <w:rFonts w:hint="eastAsia" w:ascii="宋体" w:hAnsi="宋体" w:cs="宋体"/>
          <w:color w:val="auto"/>
          <w:sz w:val="28"/>
          <w:szCs w:val="28"/>
          <w:highlight w:val="none"/>
          <w:lang w:val="zh-CN"/>
        </w:rPr>
        <w:t xml:space="preserve">）；</w:t>
      </w:r>
      <w:bookmarkEnd w:id="171"/>
      <w:r/>
      <w:r/>
    </w:p>
    <w:p>
      <w:pPr>
        <w:ind w:firstLine="560"/>
        <w:spacing w:line="44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3.法定代表人授权委托书原件，</w:t>
      </w:r>
      <w:r>
        <w:rPr>
          <w:rFonts w:hint="eastAsia" w:ascii="宋体" w:hAnsi="宋体" w:cs="宋体"/>
          <w:color w:val="auto"/>
          <w:sz w:val="28"/>
          <w:szCs w:val="28"/>
          <w:highlight w:val="none"/>
        </w:rPr>
        <w:t xml:space="preserve">投标</w:t>
      </w:r>
      <w:r>
        <w:rPr>
          <w:rFonts w:hint="eastAsia" w:ascii="宋体" w:hAnsi="宋体" w:cs="宋体"/>
          <w:color w:val="auto"/>
          <w:sz w:val="28"/>
          <w:szCs w:val="28"/>
          <w:highlight w:val="none"/>
          <w:lang w:val="zh-CN"/>
        </w:rPr>
        <w:t xml:space="preserve">代表本人身份证复印件（格式见附件</w:t>
      </w:r>
      <w:r>
        <w:rPr>
          <w:rFonts w:hint="eastAsia" w:ascii="宋体" w:hAnsi="宋体" w:cs="宋体"/>
          <w:color w:val="auto"/>
          <w:sz w:val="28"/>
          <w:szCs w:val="28"/>
          <w:highlight w:val="none"/>
        </w:rPr>
        <w:t xml:space="preserve">9</w:t>
      </w:r>
      <w:r>
        <w:rPr>
          <w:rFonts w:hint="eastAsia" w:ascii="宋体" w:hAnsi="宋体" w:cs="宋体"/>
          <w:color w:val="auto"/>
          <w:sz w:val="28"/>
          <w:szCs w:val="28"/>
          <w:highlight w:val="none"/>
          <w:lang w:val="zh-CN"/>
        </w:rPr>
        <w:t xml:space="preserve">）；</w:t>
      </w:r>
      <w:r/>
    </w:p>
    <w:p>
      <w:pPr>
        <w:ind w:firstLine="560"/>
        <w:spacing w:line="42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lang w:val="zh-CN"/>
        </w:rPr>
        <w:t xml:space="preserve">.其它需要提交的资格审查证明材料（以下满足其一即可）：</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4.1</w:t>
      </w:r>
      <w:r>
        <w:rPr>
          <w:rFonts w:hint="eastAsia" w:ascii="宋体" w:hAnsi="宋体" w:cs="宋体"/>
          <w:color w:val="auto"/>
          <w:sz w:val="28"/>
          <w:szCs w:val="28"/>
          <w:highlight w:val="none"/>
        </w:rPr>
        <w:t xml:space="preserve">中小企业声明函（如是，格式见附件10）；</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4.2</w:t>
      </w:r>
      <w:r>
        <w:rPr>
          <w:rFonts w:hint="eastAsia" w:ascii="宋体" w:hAnsi="宋体" w:cs="宋体"/>
          <w:color w:val="auto"/>
          <w:sz w:val="28"/>
          <w:szCs w:val="28"/>
          <w:highlight w:val="none"/>
        </w:rPr>
        <w:t xml:space="preserve">残疾人福利性单位声明函（如是，格式见附件11）；</w:t>
      </w:r>
      <w:r/>
    </w:p>
    <w:p>
      <w:pPr>
        <w:ind w:firstLine="562"/>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4.3</w:t>
      </w:r>
      <w:r>
        <w:rPr>
          <w:rFonts w:hint="eastAsia" w:ascii="宋体" w:hAnsi="宋体" w:cs="宋体"/>
          <w:color w:val="auto"/>
          <w:sz w:val="28"/>
          <w:szCs w:val="28"/>
          <w:highlight w:val="none"/>
        </w:rPr>
        <w:t xml:space="preserve">监狱和戒毒企业证明材料（如是，格式见附件12）</w:t>
      </w:r>
      <w:r/>
    </w:p>
    <w:p>
      <w:pPr>
        <w:ind w:firstLine="562"/>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注：上述“资格审查内容”中1-</w:t>
      </w:r>
      <w:r>
        <w:rPr>
          <w:rFonts w:hint="eastAsia" w:ascii="宋体" w:hAnsi="宋体" w:cs="宋体"/>
          <w:b/>
          <w:color w:val="auto"/>
          <w:sz w:val="28"/>
          <w:szCs w:val="28"/>
          <w:highlight w:val="none"/>
          <w:lang w:val="en-US" w:eastAsia="zh-CN"/>
        </w:rPr>
        <w:t xml:space="preserve">4</w:t>
      </w:r>
      <w:r>
        <w:rPr>
          <w:rFonts w:hint="eastAsia" w:ascii="宋体" w:hAnsi="宋体" w:cs="宋体"/>
          <w:b/>
          <w:color w:val="auto"/>
          <w:sz w:val="28"/>
          <w:szCs w:val="28"/>
          <w:highlight w:val="none"/>
        </w:rPr>
        <w:t xml:space="preserve">条投标人必须逐条响应，否则作无效响应处理。</w:t>
      </w:r>
      <w:r/>
    </w:p>
    <w:p>
      <w:pPr>
        <w:ind w:left="480"/>
        <w:spacing w:line="460" w:lineRule="exact"/>
        <w:rPr>
          <w:rFonts w:ascii="宋体" w:hAnsi="宋体" w:cs="宋体"/>
          <w:b/>
          <w:color w:val="auto"/>
          <w:sz w:val="28"/>
          <w:szCs w:val="28"/>
          <w:highlight w:val="none"/>
        </w:rPr>
        <w:outlineLvl w:val="1"/>
      </w:pPr>
      <w:r/>
      <w:bookmarkStart w:id="172" w:name="_Toc2566"/>
      <w:r>
        <w:rPr>
          <w:rFonts w:hint="eastAsia" w:ascii="宋体" w:hAnsi="宋体" w:cs="宋体"/>
          <w:b/>
          <w:color w:val="auto"/>
          <w:sz w:val="28"/>
          <w:szCs w:val="28"/>
          <w:highlight w:val="none"/>
        </w:rPr>
        <w:t xml:space="preserve">三、符合性审查内容</w:t>
      </w:r>
      <w:bookmarkEnd w:id="172"/>
      <w:r/>
      <w:r/>
    </w:p>
    <w:p>
      <w:pPr>
        <w:ind w:firstLine="560"/>
        <w:jc w:val="left"/>
        <w:spacing w:line="440" w:lineRule="exact"/>
        <w:rPr>
          <w:rFonts w:ascii="宋体" w:hAnsi="宋体" w:cs="宋体"/>
          <w:bCs/>
          <w:color w:val="auto"/>
          <w:sz w:val="28"/>
          <w:szCs w:val="28"/>
          <w:highlight w:val="none"/>
        </w:rPr>
        <w:outlineLvl w:val="1"/>
      </w:pPr>
      <w:r/>
      <w:bookmarkStart w:id="173" w:name="_Toc21971"/>
      <w:r>
        <w:rPr>
          <w:rFonts w:hint="eastAsia" w:ascii="宋体" w:hAnsi="宋体" w:cs="宋体"/>
          <w:bCs/>
          <w:color w:val="auto"/>
          <w:sz w:val="28"/>
          <w:szCs w:val="28"/>
          <w:highlight w:val="none"/>
        </w:rPr>
        <w:t xml:space="preserve">1.按招标文件第三部分 项目需求“十、采购需求中必须满足的实质性要求”提供承诺函、《实质性要求响应及偏离表》（</w:t>
      </w:r>
      <w:r>
        <w:rPr>
          <w:rFonts w:hint="eastAsia" w:ascii="宋体" w:hAnsi="宋体" w:cs="宋体"/>
          <w:bCs/>
          <w:color w:val="auto"/>
          <w:sz w:val="28"/>
          <w:szCs w:val="28"/>
          <w:highlight w:val="none"/>
          <w:lang w:val="zh-CN"/>
        </w:rPr>
        <w:t xml:space="preserve">格式见</w:t>
      </w:r>
      <w:r>
        <w:rPr>
          <w:rFonts w:hint="eastAsia" w:ascii="宋体" w:hAnsi="宋体" w:cs="宋体"/>
          <w:bCs/>
          <w:color w:val="auto"/>
          <w:sz w:val="28"/>
          <w:szCs w:val="28"/>
          <w:highlight w:val="none"/>
        </w:rPr>
        <w:t xml:space="preserve">附件13）及证明材料。</w:t>
      </w:r>
      <w:r/>
    </w:p>
    <w:p>
      <w:pPr>
        <w:ind w:firstLine="562"/>
        <w:jc w:val="left"/>
        <w:spacing w:line="44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四、商务技术文件</w:t>
      </w:r>
      <w:bookmarkEnd w:id="173"/>
      <w:r/>
      <w:r/>
    </w:p>
    <w:p>
      <w:pPr>
        <w:ind w:firstLine="560"/>
        <w:spacing w:line="460" w:lineRule="exact"/>
        <w:rPr>
          <w:rFonts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1.</w:t>
      </w:r>
      <w:r>
        <w:rPr>
          <w:rFonts w:hint="eastAsia" w:ascii="宋体" w:hAnsi="宋体" w:cs="宋体"/>
          <w:bCs/>
          <w:color w:val="auto"/>
          <w:sz w:val="28"/>
          <w:szCs w:val="28"/>
          <w:highlight w:val="none"/>
          <w:lang w:val="zh-CN"/>
        </w:rPr>
        <w:t xml:space="preserve">商务技术评分标准中须提供的相关得分佐证材料；</w:t>
      </w:r>
      <w:r/>
    </w:p>
    <w:p>
      <w:pPr>
        <w:contextualSpacing/>
        <w:ind w:firstLine="560"/>
        <w:spacing w:line="40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2.</w:t>
      </w:r>
      <w:r>
        <w:rPr>
          <w:rFonts w:hint="eastAsia" w:ascii="宋体" w:hAnsi="宋体" w:cs="宋体"/>
          <w:bCs/>
          <w:color w:val="auto"/>
          <w:sz w:val="28"/>
          <w:szCs w:val="28"/>
          <w:highlight w:val="none"/>
          <w:lang w:val="zh-CN"/>
        </w:rPr>
        <w:t xml:space="preserve">投标人认为需要提交的其他商务技术材料。</w:t>
      </w:r>
      <w:r/>
    </w:p>
    <w:p>
      <w:pPr>
        <w:contextualSpacing/>
        <w:ind w:firstLine="562"/>
        <w:spacing w:line="400" w:lineRule="exact"/>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五、价格折扣</w:t>
      </w:r>
      <w:r/>
    </w:p>
    <w:p>
      <w:pPr>
        <w:contextualSpacing/>
        <w:ind w:firstLine="562"/>
        <w:spacing w:line="400" w:lineRule="exact"/>
        <w:rPr>
          <w:rFonts w:hint="eastAsia" w:ascii="宋体" w:hAnsi="宋体" w:eastAsia="宋体" w:cs="宋体"/>
          <w:color w:val="auto"/>
          <w:sz w:val="28"/>
          <w:szCs w:val="28"/>
          <w:highlight w:val="none"/>
          <w:lang w:eastAsia="zh-CN"/>
        </w:rPr>
      </w:pPr>
      <w:r>
        <w:rPr>
          <w:rFonts w:hint="eastAsia" w:ascii="宋体" w:hAnsi="宋体" w:cs="宋体"/>
          <w:bCs/>
          <w:color w:val="auto"/>
          <w:sz w:val="28"/>
          <w:szCs w:val="28"/>
          <w:highlight w:val="none"/>
        </w:rPr>
        <w:t xml:space="preserve">关于符合本国产品标准的声明函</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eastAsia="zh-CN"/>
        </w:rPr>
        <w:t xml:space="preserve">。</w:t>
      </w:r>
      <w:r/>
    </w:p>
    <w:p>
      <w:pPr>
        <w:contextualSpacing/>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附件1</w:t>
      </w:r>
      <w:r/>
    </w:p>
    <w:p>
      <w:pPr>
        <w:jc w:val="center"/>
        <w:spacing w:line="48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投标分项报价表</w:t>
      </w:r>
      <w:r/>
    </w:p>
    <w:tbl>
      <w:tblPr>
        <w:tblStyle w:val="745"/>
        <w:tblW w:w="10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33"/>
        <w:gridCol w:w="861"/>
        <w:gridCol w:w="1676"/>
        <w:gridCol w:w="859"/>
        <w:gridCol w:w="643"/>
        <w:gridCol w:w="1064"/>
        <w:gridCol w:w="1020"/>
        <w:gridCol w:w="803"/>
        <w:gridCol w:w="1631"/>
        <w:gridCol w:w="987"/>
      </w:tblGrid>
      <w:tr>
        <w:trPr>
          <w:jc w:val="center"/>
          <w:trHeight w:val="1218"/>
        </w:trPr>
        <w:tc>
          <w:tcPr>
            <w:gridSpan w:val="2"/>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contextualSpacing/>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tcBorders>
              <w:top w:val="single" w:color="auto" w:sz="4" w:space="0"/>
              <w:left w:val="none" w:color="000000" w:sz="4" w:space="0"/>
              <w:bottom w:val="single" w:color="auto" w:sz="4" w:space="0"/>
              <w:right w:val="single" w:color="auto" w:sz="4" w:space="0"/>
            </w:tcBorders>
            <w:tcW w:w="861" w:type="dxa"/>
            <w:vAlign w:val="center"/>
            <w:textDirection w:val="lrTb"/>
            <w:noWrap w:val="false"/>
          </w:tcPr>
          <w:p>
            <w:pPr>
              <w:contextualSpacing/>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产品名称</w:t>
            </w:r>
            <w:r/>
          </w:p>
        </w:tc>
        <w:tc>
          <w:tcPr>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contextualSpacing/>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859" w:type="dxa"/>
            <w:vAlign w:val="center"/>
            <w:textDirection w:val="lrTb"/>
            <w:noWrap w:val="false"/>
          </w:tcPr>
          <w:p>
            <w:pPr>
              <w:contextualSpacing/>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数量</w:t>
            </w:r>
            <w:r/>
          </w:p>
        </w:tc>
        <w:tc>
          <w:tcPr>
            <w:tcBorders>
              <w:top w:val="single" w:color="auto" w:sz="4" w:space="0"/>
              <w:left w:val="none" w:color="000000" w:sz="4" w:space="0"/>
              <w:bottom w:val="single" w:color="auto" w:sz="4" w:space="0"/>
              <w:right w:val="single" w:color="auto" w:sz="4" w:space="0"/>
            </w:tcBorders>
            <w:tcW w:w="643" w:type="dxa"/>
            <w:vAlign w:val="center"/>
            <w:textDirection w:val="lrTb"/>
            <w:noWrap w:val="false"/>
          </w:tcPr>
          <w:p>
            <w:pPr>
              <w:contextualSpacing/>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品牌</w:t>
            </w:r>
            <w:r/>
          </w:p>
        </w:tc>
        <w:tc>
          <w:tcPr>
            <w:tcBorders>
              <w:top w:val="single" w:color="auto" w:sz="4" w:space="0"/>
              <w:left w:val="none" w:color="000000" w:sz="4" w:space="0"/>
              <w:bottom w:val="single" w:color="auto" w:sz="4" w:space="0"/>
              <w:right w:val="single" w:color="auto" w:sz="4" w:space="0"/>
            </w:tcBorders>
            <w:tcW w:w="1065" w:type="dxa"/>
            <w:vAlign w:val="center"/>
            <w:textDirection w:val="lrTb"/>
            <w:noWrap w:val="false"/>
          </w:tcPr>
          <w:p>
            <w:pPr>
              <w:contextualSpacing/>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规格型号</w:t>
            </w:r>
            <w:r/>
          </w:p>
        </w:tc>
        <w:tc>
          <w:tcPr>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contextualSpacing/>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制造商名称</w:t>
            </w:r>
            <w:r/>
          </w:p>
        </w:tc>
        <w:tc>
          <w:tcPr>
            <w:tcBorders>
              <w:top w:val="single" w:color="auto" w:sz="4" w:space="0"/>
              <w:left w:val="none" w:color="000000" w:sz="4" w:space="0"/>
              <w:bottom w:val="single" w:color="auto" w:sz="4" w:space="0"/>
              <w:right w:val="single" w:color="auto" w:sz="4" w:space="0"/>
            </w:tcBorders>
            <w:tcW w:w="803" w:type="dxa"/>
            <w:vAlign w:val="center"/>
            <w:textDirection w:val="lrTb"/>
            <w:noWrap w:val="false"/>
          </w:tcPr>
          <w:p>
            <w:pPr>
              <w:contextualSpacing/>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产地</w:t>
            </w:r>
            <w:r/>
          </w:p>
        </w:tc>
        <w:tc>
          <w:tcPr>
            <w:tcBorders>
              <w:top w:val="single" w:color="auto" w:sz="4" w:space="0"/>
              <w:left w:val="none" w:color="000000" w:sz="4" w:space="0"/>
              <w:bottom w:val="single" w:color="auto" w:sz="4" w:space="0"/>
              <w:right w:val="single" w:color="auto" w:sz="4" w:space="0"/>
            </w:tcBorders>
            <w:tcW w:w="1632" w:type="dxa"/>
            <w:vAlign w:val="center"/>
            <w:textDirection w:val="lrTb"/>
            <w:noWrap w:val="false"/>
          </w:tcPr>
          <w:p>
            <w:pPr>
              <w:contextualSpacing/>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投标单价（元）</w:t>
            </w:r>
            <w:r/>
          </w:p>
        </w:tc>
        <w:tc>
          <w:tcPr>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contextualSpacing/>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投标合价（元）</w:t>
            </w:r>
            <w:r/>
          </w:p>
        </w:tc>
      </w:tr>
      <w:tr>
        <w:trPr>
          <w:jc w:val="center"/>
          <w:trHeight w:val="815"/>
        </w:trPr>
        <w:tc>
          <w:tcPr>
            <w:gridSpan w:val="2"/>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contextualSpacing/>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jc w:val="center"/>
              <w:tabs>
                <w:tab w:val="left" w:pos="1230" w:leader="none"/>
              </w:tabs>
              <w:rPr>
                <w:rFonts w:ascii="宋体" w:hAnsi="宋体" w:cs="宋体"/>
                <w:color w:val="auto"/>
                <w:sz w:val="28"/>
                <w:szCs w:val="28"/>
                <w:highlight w:val="none"/>
              </w:rPr>
            </w:pPr>
            <w:r>
              <w:rPr>
                <w:rFonts w:hint="eastAsia" w:ascii="宋体" w:hAnsi="宋体"/>
                <w:color w:val="auto"/>
                <w:highlight w:val="none"/>
              </w:rPr>
              <w:t xml:space="preserve">两联体上床下桌公寓床（含床架、组合桌柜、爬梯、蚊帐架）</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tabs>
                <w:tab w:val="left" w:pos="1230" w:leader="none"/>
              </w:tabs>
              <w:rPr>
                <w:rFonts w:ascii="宋体" w:hAnsi="宋体" w:cs="仿宋"/>
                <w:color w:val="auto"/>
                <w:sz w:val="24"/>
                <w:highlight w:val="none"/>
              </w:rPr>
            </w:pPr>
            <w:r>
              <w:rPr>
                <w:rFonts w:hint="eastAsia" w:ascii="宋体" w:hAnsi="宋体"/>
                <w:color w:val="auto"/>
                <w:highlight w:val="none"/>
              </w:rPr>
              <w:t xml:space="preserve">两联体上床下桌公寓床（含床架、组合桌柜、爬梯、蚊帐架）</w:t>
            </w:r>
            <w:r/>
          </w:p>
        </w:tc>
        <w:tc>
          <w:tcPr>
            <w:tcBorders>
              <w:top w:val="single" w:color="auto" w:sz="4" w:space="0"/>
              <w:left w:val="none" w:color="000000" w:sz="4" w:space="0"/>
              <w:bottom w:val="single" w:color="auto" w:sz="4" w:space="0"/>
              <w:right w:val="single" w:color="auto" w:sz="4" w:space="0"/>
            </w:tcBorders>
            <w:tcW w:w="859" w:type="dxa"/>
            <w:vAlign w:val="center"/>
            <w:textDirection w:val="lrTb"/>
            <w:noWrap w:val="false"/>
          </w:tcPr>
          <w:p>
            <w:pPr>
              <w:jc w:val="center"/>
              <w:tabs>
                <w:tab w:val="left" w:pos="1230" w:leader="none"/>
              </w:tabs>
              <w:rPr>
                <w:rFonts w:ascii="宋体" w:hAnsi="宋体" w:cs="宋体"/>
                <w:color w:val="auto"/>
                <w:sz w:val="28"/>
                <w:szCs w:val="28"/>
                <w:highlight w:val="none"/>
              </w:rPr>
            </w:pPr>
            <w:r>
              <w:rPr>
                <w:rFonts w:ascii="宋体" w:hAnsi="宋体"/>
                <w:color w:val="auto"/>
                <w:highlight w:val="none"/>
              </w:rPr>
              <w:t xml:space="preserve">2</w:t>
            </w:r>
            <w:r>
              <w:rPr>
                <w:rFonts w:hint="eastAsia" w:ascii="宋体" w:hAnsi="宋体"/>
                <w:color w:val="auto"/>
                <w:highlight w:val="none"/>
              </w:rPr>
              <w:t xml:space="preserve">套/间*6</w:t>
            </w:r>
            <w:r>
              <w:rPr>
                <w:rFonts w:ascii="宋体" w:hAnsi="宋体"/>
                <w:color w:val="auto"/>
                <w:highlight w:val="none"/>
              </w:rPr>
              <w:t xml:space="preserve">8</w:t>
            </w:r>
            <w:r>
              <w:rPr>
                <w:rFonts w:hint="eastAsia" w:ascii="宋体" w:hAnsi="宋体"/>
                <w:color w:val="auto"/>
                <w:highlight w:val="none"/>
              </w:rPr>
              <w:t xml:space="preserve">间=</w:t>
            </w:r>
            <w:r>
              <w:rPr>
                <w:rFonts w:ascii="宋体" w:hAnsi="宋体"/>
                <w:color w:val="auto"/>
                <w:highlight w:val="none"/>
              </w:rPr>
              <w:t xml:space="preserve">136</w:t>
            </w:r>
            <w:r>
              <w:rPr>
                <w:rFonts w:hint="eastAsia" w:ascii="宋体" w:hAnsi="宋体"/>
                <w:color w:val="auto"/>
                <w:highlight w:val="none"/>
              </w:rPr>
              <w:t xml:space="preserve">套</w:t>
            </w:r>
            <w:r/>
          </w:p>
        </w:tc>
        <w:tc>
          <w:tcPr>
            <w:tcBorders>
              <w:top w:val="single" w:color="auto" w:sz="4" w:space="0"/>
              <w:left w:val="none" w:color="000000" w:sz="4" w:space="0"/>
              <w:bottom w:val="single" w:color="auto" w:sz="4" w:space="0"/>
              <w:right w:val="single" w:color="auto" w:sz="4" w:space="0"/>
            </w:tcBorders>
            <w:tcW w:w="643" w:type="dxa"/>
            <w:vAlign w:val="center"/>
            <w:textDirection w:val="lrTb"/>
            <w:noWrap w:val="false"/>
          </w:tcPr>
          <w:p>
            <w:pPr>
              <w:contextualSpacing/>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65" w:type="dxa"/>
            <w:vAlign w:val="center"/>
            <w:textDirection w:val="lrTb"/>
            <w:noWrap w:val="false"/>
          </w:tcPr>
          <w:p>
            <w:pPr>
              <w:contextualSpacing/>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contextualSpacing/>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803" w:type="dxa"/>
            <w:vAlign w:val="center"/>
            <w:textDirection w:val="lrTb"/>
            <w:noWrap w:val="false"/>
          </w:tcPr>
          <w:p>
            <w:pPr>
              <w:contextualSpacing/>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632" w:type="dxa"/>
            <w:vAlign w:val="center"/>
            <w:textDirection w:val="lrTb"/>
            <w:noWrap w:val="false"/>
          </w:tcPr>
          <w:p>
            <w:pPr>
              <w:contextualSpacing/>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contextualSpacing/>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1218"/>
        </w:trPr>
        <w:tc>
          <w:tcPr>
            <w:gridSpan w:val="2"/>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jc w:val="center"/>
              <w:tabs>
                <w:tab w:val="left" w:pos="1230" w:leader="none"/>
              </w:tabs>
              <w:rPr>
                <w:rFonts w:ascii="宋体" w:hAnsi="宋体" w:cs="宋体"/>
                <w:color w:val="auto"/>
                <w:sz w:val="28"/>
                <w:szCs w:val="28"/>
                <w:highlight w:val="none"/>
              </w:rPr>
            </w:pPr>
            <w:r>
              <w:rPr>
                <w:rFonts w:hint="eastAsia" w:ascii="宋体" w:hAnsi="宋体"/>
                <w:color w:val="auto"/>
                <w:highlight w:val="none"/>
              </w:rPr>
              <w:t xml:space="preserve">三联体上床下桌公寓床（含床架、组合桌柜、爬梯、蚊帐架）</w:t>
            </w:r>
            <w:r/>
          </w:p>
        </w:tc>
        <w:tc>
          <w:tcPr>
            <w:tcBorders>
              <w:top w:val="single" w:color="auto" w:sz="4" w:space="0"/>
              <w:left w:val="none" w:color="000000" w:sz="4" w:space="0"/>
              <w:bottom w:val="single" w:color="auto" w:sz="4" w:space="0"/>
              <w:right w:val="single" w:color="auto" w:sz="4" w:space="0"/>
            </w:tcBorders>
            <w:tcW w:w="1677" w:type="dxa"/>
            <w:vAlign w:val="center"/>
            <w:textDirection w:val="lrTb"/>
            <w:noWrap w:val="false"/>
          </w:tcPr>
          <w:p>
            <w:pPr>
              <w:jc w:val="center"/>
              <w:tabs>
                <w:tab w:val="left" w:pos="1230" w:leader="none"/>
              </w:tabs>
              <w:rPr>
                <w:rFonts w:ascii="宋体" w:hAnsi="宋体" w:cs="仿宋"/>
                <w:color w:val="auto"/>
                <w:sz w:val="24"/>
                <w:highlight w:val="none"/>
              </w:rPr>
            </w:pPr>
            <w:r>
              <w:rPr>
                <w:rFonts w:hint="eastAsia" w:ascii="宋体" w:hAnsi="宋体"/>
                <w:color w:val="auto"/>
                <w:highlight w:val="none"/>
              </w:rPr>
              <w:t xml:space="preserve">三联体上床下桌公寓床（含床架、组合桌柜、爬梯、蚊帐架）</w:t>
            </w:r>
            <w:r/>
          </w:p>
        </w:tc>
        <w:tc>
          <w:tcPr>
            <w:tcBorders>
              <w:top w:val="single" w:color="auto" w:sz="4" w:space="0"/>
              <w:left w:val="none" w:color="000000" w:sz="4" w:space="0"/>
              <w:bottom w:val="single" w:color="auto" w:sz="4" w:space="0"/>
              <w:right w:val="single" w:color="auto" w:sz="4" w:space="0"/>
            </w:tcBorders>
            <w:tcW w:w="859" w:type="dxa"/>
            <w:vAlign w:val="center"/>
            <w:textDirection w:val="lrTb"/>
            <w:noWrap w:val="false"/>
          </w:tcPr>
          <w:p>
            <w:pPr>
              <w:jc w:val="center"/>
              <w:tabs>
                <w:tab w:val="left" w:pos="1230" w:leader="none"/>
              </w:tabs>
              <w:rPr>
                <w:rFonts w:ascii="宋体" w:hAnsi="宋体" w:cs="宋体"/>
                <w:color w:val="auto"/>
                <w:sz w:val="28"/>
                <w:szCs w:val="28"/>
                <w:highlight w:val="none"/>
              </w:rPr>
            </w:pPr>
            <w:r>
              <w:rPr>
                <w:rFonts w:ascii="宋体" w:hAnsi="宋体"/>
                <w:color w:val="auto"/>
                <w:highlight w:val="none"/>
              </w:rPr>
              <w:t xml:space="preserve">2</w:t>
            </w:r>
            <w:r>
              <w:rPr>
                <w:rFonts w:hint="eastAsia" w:ascii="宋体" w:hAnsi="宋体"/>
                <w:color w:val="auto"/>
                <w:highlight w:val="none"/>
              </w:rPr>
              <w:t xml:space="preserve">套/间</w:t>
            </w:r>
            <w:r>
              <w:rPr>
                <w:rFonts w:ascii="宋体" w:hAnsi="宋体"/>
                <w:color w:val="auto"/>
                <w:highlight w:val="none"/>
              </w:rPr>
              <w:t xml:space="preserve">*</w:t>
            </w:r>
            <w:r>
              <w:rPr>
                <w:rFonts w:hint="eastAsia" w:ascii="宋体" w:hAnsi="宋体"/>
                <w:color w:val="auto"/>
                <w:highlight w:val="none"/>
              </w:rPr>
              <w:t xml:space="preserve">4</w:t>
            </w:r>
            <w:r>
              <w:rPr>
                <w:rFonts w:ascii="宋体" w:hAnsi="宋体"/>
                <w:color w:val="auto"/>
                <w:highlight w:val="none"/>
              </w:rPr>
              <w:t xml:space="preserve">57</w:t>
            </w:r>
            <w:r>
              <w:rPr>
                <w:rFonts w:hint="eastAsia" w:ascii="宋体" w:hAnsi="宋体"/>
                <w:color w:val="auto"/>
                <w:highlight w:val="none"/>
              </w:rPr>
              <w:t xml:space="preserve">间</w:t>
            </w:r>
            <w:r>
              <w:rPr>
                <w:rFonts w:ascii="宋体" w:hAnsi="宋体"/>
                <w:color w:val="auto"/>
                <w:highlight w:val="none"/>
              </w:rPr>
              <w:t xml:space="preserve">=914</w:t>
            </w:r>
            <w:r>
              <w:rPr>
                <w:rFonts w:hint="eastAsia" w:ascii="宋体" w:hAnsi="宋体"/>
                <w:color w:val="auto"/>
                <w:highlight w:val="none"/>
              </w:rPr>
              <w:t xml:space="preserve">套</w:t>
            </w:r>
            <w:r/>
          </w:p>
        </w:tc>
        <w:tc>
          <w:tcPr>
            <w:tcBorders>
              <w:top w:val="single" w:color="auto" w:sz="4" w:space="0"/>
              <w:left w:val="none" w:color="000000" w:sz="4" w:space="0"/>
              <w:bottom w:val="single" w:color="auto" w:sz="4" w:space="0"/>
              <w:right w:val="single" w:color="auto" w:sz="4" w:space="0"/>
            </w:tcBorders>
            <w:tcW w:w="643" w:type="dxa"/>
            <w:vAlign w:val="center"/>
            <w:textDirection w:val="lrTb"/>
            <w:noWrap w:val="false"/>
          </w:tcPr>
          <w:p>
            <w:pPr>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65" w:type="dxa"/>
            <w:vAlign w:val="center"/>
            <w:textDirection w:val="lrTb"/>
            <w:noWrap w:val="false"/>
          </w:tcPr>
          <w:p>
            <w:pPr>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803" w:type="dxa"/>
            <w:vAlign w:val="center"/>
            <w:textDirection w:val="lrTb"/>
            <w:noWrap w:val="false"/>
          </w:tcPr>
          <w:p>
            <w:pPr>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632" w:type="dxa"/>
            <w:vAlign w:val="center"/>
            <w:textDirection w:val="lrTb"/>
            <w:noWrap w:val="false"/>
          </w:tcPr>
          <w:p>
            <w:pPr>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1218"/>
        </w:trPr>
        <w:tc>
          <w:tcPr>
            <w:gridSpan w:val="2"/>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jc w:val="center"/>
              <w:tabs>
                <w:tab w:val="left" w:pos="1230" w:leader="none"/>
              </w:tabs>
              <w:rPr>
                <w:rFonts w:ascii="宋体" w:hAnsi="宋体" w:cs="宋体"/>
                <w:bCs/>
                <w:color w:val="auto"/>
                <w:sz w:val="24"/>
                <w:highlight w:val="none"/>
              </w:rPr>
            </w:pPr>
            <w:r>
              <w:rPr>
                <w:rFonts w:hint="eastAsia" w:ascii="宋体" w:hAnsi="宋体"/>
                <w:color w:val="auto"/>
                <w:highlight w:val="none"/>
              </w:rPr>
              <w:t xml:space="preserve">公寓椅</w:t>
            </w:r>
            <w:r/>
          </w:p>
        </w:tc>
        <w:tc>
          <w:tcPr>
            <w:tcBorders>
              <w:top w:val="single" w:color="auto" w:sz="4" w:space="0"/>
              <w:left w:val="none" w:color="000000" w:sz="4" w:space="0"/>
              <w:bottom w:val="single" w:color="auto" w:sz="4" w:space="0"/>
              <w:right w:val="single" w:color="auto" w:sz="4" w:space="0"/>
            </w:tcBorders>
            <w:tcW w:w="1677" w:type="dxa"/>
            <w:vAlign w:val="center"/>
            <w:textDirection w:val="lrTb"/>
            <w:noWrap w:val="false"/>
          </w:tcPr>
          <w:p>
            <w:pPr>
              <w:jc w:val="center"/>
              <w:tabs>
                <w:tab w:val="left" w:pos="1230" w:leader="none"/>
              </w:tabs>
              <w:rPr>
                <w:rFonts w:ascii="宋体" w:hAnsi="宋体" w:cs="宋体"/>
                <w:color w:val="auto"/>
                <w:sz w:val="24"/>
                <w:highlight w:val="none"/>
              </w:rPr>
            </w:pPr>
            <w:r>
              <w:rPr>
                <w:rFonts w:hint="eastAsia" w:ascii="宋体" w:hAnsi="宋体"/>
                <w:color w:val="auto"/>
                <w:highlight w:val="none"/>
              </w:rPr>
              <w:t xml:space="preserve">公寓椅</w:t>
            </w:r>
            <w:r/>
          </w:p>
        </w:tc>
        <w:tc>
          <w:tcPr>
            <w:tcBorders>
              <w:top w:val="single" w:color="auto" w:sz="4" w:space="0"/>
              <w:left w:val="none" w:color="000000" w:sz="4" w:space="0"/>
              <w:bottom w:val="single" w:color="auto" w:sz="4" w:space="0"/>
              <w:right w:val="single" w:color="auto" w:sz="4" w:space="0"/>
            </w:tcBorders>
            <w:tcW w:w="859" w:type="dxa"/>
            <w:vAlign w:val="center"/>
            <w:textDirection w:val="lrTb"/>
            <w:noWrap w:val="false"/>
          </w:tcPr>
          <w:p>
            <w:pPr>
              <w:jc w:val="center"/>
              <w:tabs>
                <w:tab w:val="left" w:pos="1230" w:leader="none"/>
              </w:tabs>
              <w:rPr>
                <w:rFonts w:ascii="宋体" w:hAnsi="宋体" w:cs="仿宋"/>
                <w:color w:val="auto"/>
                <w:sz w:val="24"/>
                <w:highlight w:val="none"/>
              </w:rPr>
            </w:pPr>
            <w:r>
              <w:rPr>
                <w:rFonts w:hint="eastAsia" w:ascii="宋体" w:hAnsi="宋体"/>
                <w:color w:val="auto"/>
                <w:highlight w:val="none"/>
              </w:rPr>
              <w:t xml:space="preserve">3</w:t>
            </w:r>
            <w:r>
              <w:rPr>
                <w:rFonts w:ascii="宋体" w:hAnsi="宋体"/>
                <w:color w:val="auto"/>
                <w:highlight w:val="none"/>
              </w:rPr>
              <w:t xml:space="preserve">014</w:t>
            </w:r>
            <w:r>
              <w:rPr>
                <w:rFonts w:hint="eastAsia" w:ascii="宋体" w:hAnsi="宋体"/>
                <w:color w:val="auto"/>
                <w:highlight w:val="none"/>
              </w:rPr>
              <w:t xml:space="preserve">张</w:t>
            </w:r>
            <w:r/>
          </w:p>
        </w:tc>
        <w:tc>
          <w:tcPr>
            <w:tcBorders>
              <w:top w:val="single" w:color="auto" w:sz="4" w:space="0"/>
              <w:left w:val="none" w:color="000000" w:sz="4" w:space="0"/>
              <w:bottom w:val="single" w:color="auto" w:sz="4" w:space="0"/>
              <w:right w:val="single" w:color="auto" w:sz="4" w:space="0"/>
            </w:tcBorders>
            <w:tcW w:w="643" w:type="dxa"/>
            <w:vAlign w:val="center"/>
            <w:textDirection w:val="lrTb"/>
            <w:noWrap w:val="false"/>
          </w:tcPr>
          <w:p>
            <w:pPr>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65" w:type="dxa"/>
            <w:vAlign w:val="center"/>
            <w:textDirection w:val="lrTb"/>
            <w:noWrap w:val="false"/>
          </w:tcPr>
          <w:p>
            <w:pPr>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803" w:type="dxa"/>
            <w:vAlign w:val="center"/>
            <w:textDirection w:val="lrTb"/>
            <w:noWrap w:val="false"/>
          </w:tcPr>
          <w:p>
            <w:pPr>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632" w:type="dxa"/>
            <w:vAlign w:val="center"/>
            <w:textDirection w:val="lrTb"/>
            <w:noWrap w:val="false"/>
          </w:tcPr>
          <w:p>
            <w:pPr>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1218"/>
        </w:trPr>
        <w:tc>
          <w:tcPr>
            <w:gridSpan w:val="2"/>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4</w:t>
            </w:r>
            <w:r/>
          </w:p>
        </w:tc>
        <w:tc>
          <w:tcPr>
            <w:gridSpan w:val="8"/>
            <w:tcBorders>
              <w:top w:val="single" w:color="auto" w:sz="4" w:space="0"/>
              <w:left w:val="none" w:color="000000" w:sz="4" w:space="0"/>
              <w:bottom w:val="single" w:color="auto" w:sz="4" w:space="0"/>
              <w:right w:val="single" w:color="auto" w:sz="4" w:space="0"/>
            </w:tcBorders>
            <w:tcW w:w="8555" w:type="dxa"/>
            <w:vAlign w:val="center"/>
            <w:textDirection w:val="lrTb"/>
            <w:noWrap w:val="false"/>
          </w:tcPr>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合计（元）</w:t>
            </w:r>
            <w:r/>
          </w:p>
        </w:tc>
        <w:tc>
          <w:tcPr>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418"/>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tc>
        <w:tc>
          <w:tcPr>
            <w:gridSpan w:val="10"/>
            <w:tcBorders>
              <w:top w:val="single" w:color="auto" w:sz="4" w:space="0"/>
              <w:left w:val="single" w:color="auto" w:sz="4" w:space="0"/>
              <w:bottom w:val="single" w:color="auto" w:sz="4" w:space="0"/>
              <w:right w:val="single" w:color="auto" w:sz="4" w:space="0"/>
            </w:tcBorders>
            <w:tcW w:w="9576" w:type="dxa"/>
            <w:vAlign w:val="center"/>
            <w:textDirection w:val="lrTb"/>
            <w:noWrap w:val="false"/>
          </w:tcPr>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本采购包中提供的符合本国产品标准的产品成本之和占该采购包提供的全部产品成本之和的比例为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r/>
          </w:p>
        </w:tc>
      </w:tr>
    </w:tbl>
    <w:p>
      <w:pPr>
        <w:pStyle w:val="1055"/>
        <w:ind w:left="0" w:firstLine="0"/>
        <w:rPr>
          <w:rFonts w:ascii="宋体" w:hAnsi="宋体" w:eastAsia="宋体" w:cs="宋体"/>
          <w:b/>
          <w:color w:val="auto"/>
          <w:szCs w:val="28"/>
          <w:highlight w:val="none"/>
        </w:rPr>
      </w:pPr>
      <w:r>
        <w:rPr>
          <w:rFonts w:ascii="宋体" w:hAnsi="宋体" w:eastAsia="宋体" w:cs="宋体"/>
          <w:b/>
          <w:color w:val="auto"/>
          <w:szCs w:val="28"/>
          <w:highlight w:val="none"/>
        </w:rPr>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投标报价采用总承包方式，“投标总报价”应包括采购人需求的货物价格、质量保证费用、培训费用等，项目在指定地点、环境交付、安装、调试、验收所需费用和所有相关税金费用及为完成整个项目所产生的其它所有费用，招标文件另有规定的除外。</w:t>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2.“投标分项报价表”中“投标总报价”数额应当与“开标一览表”中“投标总报价”数额一致。</w:t>
      </w:r>
      <w:r/>
    </w:p>
    <w:p>
      <w:pPr>
        <w:spacing w:line="480" w:lineRule="exact"/>
        <w:rPr>
          <w:rFonts w:ascii="宋体" w:hAnsi="宋体" w:cs="宋体"/>
          <w:color w:val="auto"/>
          <w:sz w:val="32"/>
          <w:szCs w:val="32"/>
          <w:highlight w:val="none"/>
          <w:lang w:val="zh-CN"/>
        </w:rPr>
      </w:pPr>
      <w:r>
        <w:rPr>
          <w:rFonts w:hint="eastAsia" w:ascii="宋体" w:hAnsi="宋体" w:cs="宋体"/>
          <w:color w:val="auto"/>
          <w:sz w:val="28"/>
          <w:szCs w:val="28"/>
          <w:highlight w:val="none"/>
        </w:rPr>
        <w:t xml:space="preserve">3.投标人需认真填写本报价表，尤其注意规格型号的准确填写。</w:t>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ascii="宋体" w:hAnsi="宋体" w:cs="宋体"/>
          <w:b/>
          <w:color w:val="auto"/>
          <w:sz w:val="32"/>
          <w:szCs w:val="28"/>
          <w:highlight w:val="none"/>
        </w:rPr>
        <w:sectPr>
          <w:footerReference w:type="default" r:id="rId12"/>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cs="宋体"/>
          <w:b/>
          <w:color w:val="auto"/>
          <w:sz w:val="32"/>
          <w:szCs w:val="28"/>
          <w:highlight w:val="none"/>
        </w:rPr>
        <w:t xml:space="preserve">5.</w:t>
      </w:r>
      <w:r>
        <w:rPr>
          <w:rFonts w:ascii="宋体" w:hAnsi="宋体" w:cs="宋体"/>
          <w:b/>
          <w:color w:val="auto"/>
          <w:sz w:val="28"/>
          <w:highlight w:val="none"/>
        </w:rPr>
        <w:t xml:space="preserve">“品牌”“规格型号”“制造商名称”“产地” 等列需投标人</w:t>
      </w:r>
      <w:r>
        <w:rPr>
          <w:rFonts w:hint="eastAsia" w:ascii="宋体" w:hAnsi="宋体" w:cs="宋体"/>
          <w:b/>
          <w:color w:val="auto"/>
          <w:sz w:val="28"/>
          <w:highlight w:val="none"/>
        </w:rPr>
        <w:t xml:space="preserve">填写。</w:t>
      </w:r>
      <w:r/>
    </w:p>
    <w:p>
      <w:pPr>
        <w:spacing w:line="30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附件2</w:t>
      </w:r>
      <w:r/>
    </w:p>
    <w:p>
      <w:pPr>
        <w:ind w:left="100"/>
        <w:jc w:val="center"/>
        <w:spacing w:before="50" w:line="360" w:lineRule="auto"/>
        <w:rPr>
          <w:rFonts w:hAnsi="宋体" w:cs="方正魏碑_GBK"/>
          <w:b/>
          <w:bCs/>
          <w:color w:val="auto"/>
          <w:sz w:val="28"/>
          <w:szCs w:val="28"/>
          <w:highlight w:val="none"/>
        </w:rPr>
        <w:outlineLvl w:val="2"/>
      </w:pPr>
      <w:r>
        <w:rPr>
          <w:rFonts w:hint="eastAsia" w:hAnsi="宋体"/>
          <w:b/>
          <w:bCs/>
          <w:color w:val="auto"/>
          <w:sz w:val="28"/>
          <w:szCs w:val="28"/>
          <w:highlight w:val="none"/>
        </w:rPr>
        <w:t xml:space="preserve">关于符合本国产品标准的声明函</w:t>
      </w:r>
      <w:r/>
    </w:p>
    <w:p>
      <w:pPr>
        <w:ind w:firstLine="420"/>
        <w:spacing w:line="360" w:lineRule="auto"/>
        <w:rPr>
          <w:rFonts w:hAnsi="宋体" w:cs="方正魏碑_GBK"/>
          <w:color w:val="auto"/>
          <w:sz w:val="24"/>
          <w:highlight w:val="none"/>
        </w:rPr>
      </w:pPr>
      <w:r>
        <w:rPr>
          <w:rFonts w:hint="eastAsia" w:hAnsi="宋体" w:cs="方正魏碑_GBK"/>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Ansi="宋体" w:cs="方正魏碑_GBK"/>
          <w:color w:val="auto"/>
          <w:sz w:val="24"/>
          <w:highlight w:val="none"/>
        </w:rPr>
      </w:pPr>
      <w:r>
        <w:rPr>
          <w:rFonts w:hint="eastAsia" w:hAnsi="宋体" w:cs="方正魏碑_GBK"/>
          <w:color w:val="auto"/>
          <w:sz w:val="24"/>
          <w:highlight w:val="none"/>
          <w:shd w:val="clear" w:color="auto" w:fill="ffffff"/>
        </w:rPr>
        <w:t xml:space="preserve">1.</w:t>
      </w:r>
      <w:r>
        <w:rPr>
          <w:rFonts w:hint="eastAsia" w:hAnsi="宋体" w:cs="方正魏碑_GBK"/>
          <w:color w:val="auto"/>
          <w:sz w:val="24"/>
          <w:highlight w:val="none"/>
          <w:u w:val="single"/>
          <w:shd w:val="clear" w:color="auto" w:fill="ffffff"/>
        </w:rPr>
        <w:t xml:space="preserve">（产品名称1）</w:t>
      </w:r>
      <w:r>
        <w:rPr>
          <w:rFonts w:hint="eastAsia" w:hAnsi="宋体" w:cs="方正魏碑_GBK"/>
          <w:color w:val="auto"/>
          <w:sz w:val="24"/>
          <w:highlight w:val="none"/>
          <w:shd w:val="clear" w:color="auto" w:fill="ffffff"/>
          <w:vertAlign w:val="superscript"/>
        </w:rPr>
        <w:t xml:space="preserve">1</w:t>
      </w:r>
      <w:r>
        <w:rPr>
          <w:rFonts w:hint="eastAsia" w:hAnsi="宋体" w:cs="方正魏碑_GBK"/>
          <w:color w:val="auto"/>
          <w:sz w:val="24"/>
          <w:highlight w:val="none"/>
          <w:shd w:val="clear" w:color="auto" w:fill="ffffff"/>
        </w:rPr>
        <w:t xml:space="preserve">，生产厂为</w:t>
      </w:r>
      <w:r>
        <w:rPr>
          <w:rFonts w:hint="eastAsia" w:hAnsi="宋体" w:cs="方正魏碑_GBK"/>
          <w:color w:val="auto"/>
          <w:sz w:val="24"/>
          <w:highlight w:val="none"/>
          <w:u w:val="single"/>
          <w:shd w:val="clear" w:color="auto" w:fill="ffffff"/>
        </w:rPr>
        <w:t xml:space="preserve">（厂名）</w:t>
      </w:r>
      <w:r>
        <w:rPr>
          <w:rFonts w:hint="eastAsia" w:hAnsi="宋体" w:cs="方正魏碑_GBK"/>
          <w:color w:val="auto"/>
          <w:sz w:val="24"/>
          <w:highlight w:val="none"/>
          <w:shd w:val="clear" w:color="auto" w:fill="ffffff"/>
          <w:vertAlign w:val="superscript"/>
        </w:rPr>
        <w:t xml:space="preserve">2</w:t>
      </w:r>
      <w:r>
        <w:rPr>
          <w:rFonts w:hint="eastAsia" w:hAnsi="宋体" w:cs="方正魏碑_GBK"/>
          <w:color w:val="auto"/>
          <w:sz w:val="24"/>
          <w:highlight w:val="none"/>
          <w:shd w:val="clear" w:color="auto" w:fill="ffffff"/>
        </w:rPr>
        <w:t xml:space="preserve">，厂址为</w:t>
      </w:r>
      <w:r>
        <w:rPr>
          <w:rFonts w:hint="eastAsia" w:hAnsi="宋体" w:cs="方正魏碑_GBK"/>
          <w:color w:val="auto"/>
          <w:sz w:val="24"/>
          <w:highlight w:val="none"/>
          <w:u w:val="single"/>
          <w:shd w:val="clear" w:color="auto" w:fill="ffffff"/>
        </w:rPr>
        <w:t xml:space="preserve">（生产厂址）</w:t>
      </w:r>
      <w:r>
        <w:rPr>
          <w:rFonts w:hint="eastAsia" w:hAnsi="宋体" w:cs="方正魏碑_GBK"/>
          <w:color w:val="auto"/>
          <w:sz w:val="24"/>
          <w:highlight w:val="none"/>
          <w:shd w:val="clear" w:color="auto" w:fill="ffffff"/>
        </w:rPr>
        <w:t xml:space="preserve">。</w:t>
      </w:r>
      <w:r>
        <w:rPr>
          <w:rFonts w:hint="eastAsia" w:hAnsi="宋体" w:cs="方正魏碑_GBK"/>
          <w:color w:val="auto"/>
          <w:sz w:val="24"/>
          <w:highlight w:val="none"/>
          <w:u w:val="single"/>
          <w:shd w:val="clear" w:color="auto" w:fill="ffffff"/>
        </w:rPr>
        <w:t xml:space="preserve"> （产品名称1） </w:t>
      </w:r>
      <w:r>
        <w:rPr>
          <w:rFonts w:hint="eastAsia" w:hAnsi="宋体" w:cs="方正魏碑_GBK"/>
          <w:color w:val="auto"/>
          <w:sz w:val="24"/>
          <w:highlight w:val="none"/>
          <w:shd w:val="clear" w:color="auto" w:fill="ffffff"/>
        </w:rPr>
        <w:t xml:space="preserve">的中国境内生产的组件成本占比≥</w:t>
      </w:r>
      <w:r>
        <w:rPr>
          <w:rFonts w:hint="eastAsia" w:hAnsi="宋体" w:cs="方正魏碑_GBK"/>
          <w:color w:val="auto"/>
          <w:sz w:val="24"/>
          <w:highlight w:val="none"/>
          <w:u w:val="single"/>
          <w:shd w:val="clear" w:color="auto" w:fill="ffffff"/>
        </w:rPr>
        <w:t xml:space="preserve">（规定</w:t>
      </w:r>
      <w:r>
        <w:rPr>
          <w:rFonts w:hAnsi="宋体" w:cs="方正魏碑_GBK"/>
          <w:color w:val="auto"/>
          <w:sz w:val="24"/>
          <w:highlight w:val="none"/>
          <w:u w:val="single"/>
          <w:shd w:val="clear" w:color="auto" w:fill="ffffff"/>
        </w:rPr>
        <w:t xml:space="preserve">比例</w:t>
      </w:r>
      <w:r>
        <w:rPr>
          <w:rFonts w:hint="eastAsia" w:hAnsi="宋体" w:cs="方正魏碑_GBK"/>
          <w:color w:val="auto"/>
          <w:sz w:val="24"/>
          <w:highlight w:val="none"/>
          <w:u w:val="single"/>
          <w:shd w:val="clear" w:color="auto" w:fill="ffffff"/>
        </w:rPr>
        <w:t xml:space="preserve">）</w:t>
      </w:r>
      <w:r>
        <w:rPr>
          <w:rFonts w:hint="eastAsia" w:hAnsi="宋体" w:cs="方正魏碑_GBK"/>
          <w:color w:val="auto"/>
          <w:sz w:val="24"/>
          <w:highlight w:val="none"/>
          <w:shd w:val="clear" w:color="auto" w:fill="ffffff"/>
          <w:vertAlign w:val="superscript"/>
        </w:rPr>
        <w:t xml:space="preserve">3</w:t>
      </w:r>
      <w:r>
        <w:rPr>
          <w:rFonts w:hint="eastAsia" w:hAnsi="宋体" w:cs="方正魏碑_GBK"/>
          <w:color w:val="auto"/>
          <w:sz w:val="24"/>
          <w:highlight w:val="none"/>
          <w:shd w:val="clear" w:color="auto" w:fill="ffffff"/>
        </w:rPr>
        <w:t xml:space="preserve">。</w:t>
      </w:r>
      <w:r>
        <w:rPr>
          <w:rFonts w:hint="eastAsia" w:hAnsi="宋体" w:cs="方正魏碑_GBK"/>
          <w:color w:val="auto"/>
          <w:sz w:val="24"/>
          <w:highlight w:val="none"/>
          <w:u w:val="single"/>
          <w:shd w:val="clear" w:color="auto" w:fill="ffffff"/>
        </w:rPr>
        <w:t xml:space="preserve">（产品名称1）</w:t>
      </w:r>
      <w:r>
        <w:rPr>
          <w:rFonts w:hint="eastAsia" w:hAnsi="宋体" w:cs="方正魏碑_GBK"/>
          <w:color w:val="auto"/>
          <w:sz w:val="24"/>
          <w:highlight w:val="none"/>
          <w:shd w:val="clear" w:color="auto" w:fill="ffffff"/>
        </w:rPr>
        <w:t xml:space="preserve">的</w:t>
      </w:r>
      <w:r>
        <w:rPr>
          <w:rFonts w:hint="eastAsia" w:hAnsi="宋体" w:cs="方正魏碑_GBK"/>
          <w:color w:val="auto"/>
          <w:sz w:val="24"/>
          <w:highlight w:val="none"/>
          <w:u w:val="single"/>
          <w:shd w:val="clear" w:color="auto" w:fill="ffffff"/>
        </w:rPr>
        <w:t xml:space="preserve">（关键</w:t>
      </w:r>
      <w:r>
        <w:rPr>
          <w:rFonts w:hAnsi="宋体" w:cs="方正魏碑_GBK"/>
          <w:color w:val="auto"/>
          <w:sz w:val="24"/>
          <w:highlight w:val="none"/>
          <w:u w:val="single"/>
          <w:shd w:val="clear" w:color="auto" w:fill="ffffff"/>
        </w:rPr>
        <w:t xml:space="preserve">组件</w:t>
      </w:r>
      <w:r>
        <w:rPr>
          <w:rFonts w:hint="eastAsia" w:hAnsi="宋体" w:cs="方正魏碑_GBK"/>
          <w:color w:val="auto"/>
          <w:sz w:val="24"/>
          <w:highlight w:val="none"/>
          <w:u w:val="single"/>
          <w:shd w:val="clear" w:color="auto" w:fill="ffffff"/>
        </w:rPr>
        <w:t xml:space="preserve">）</w:t>
      </w:r>
      <w:r>
        <w:rPr>
          <w:rFonts w:hint="eastAsia" w:hAnsi="宋体" w:cs="方正魏碑_GBK"/>
          <w:color w:val="auto"/>
          <w:sz w:val="24"/>
          <w:highlight w:val="none"/>
          <w:shd w:val="clear" w:color="auto" w:fill="ffffff"/>
          <w:vertAlign w:val="superscript"/>
        </w:rPr>
        <w:t xml:space="preserve">4</w:t>
      </w:r>
      <w:r>
        <w:rPr>
          <w:rFonts w:hint="eastAsia" w:hAnsi="宋体" w:cs="方正魏碑_GBK"/>
          <w:color w:val="auto"/>
          <w:sz w:val="24"/>
          <w:highlight w:val="none"/>
          <w:shd w:val="clear" w:color="auto" w:fill="ffffff"/>
        </w:rPr>
        <w:t xml:space="preserve">在中国境内生产。</w:t>
      </w:r>
      <w:r>
        <w:rPr>
          <w:rFonts w:hint="eastAsia" w:hAnsi="宋体" w:cs="方正魏碑_GBK"/>
          <w:color w:val="auto"/>
          <w:sz w:val="24"/>
          <w:highlight w:val="none"/>
          <w:u w:val="single"/>
          <w:shd w:val="clear" w:color="auto" w:fill="ffffff"/>
        </w:rPr>
        <w:t xml:space="preserve">（产品名称1）</w:t>
      </w:r>
      <w:r>
        <w:rPr>
          <w:rFonts w:hint="eastAsia" w:hAnsi="宋体" w:cs="方正魏碑_GBK"/>
          <w:color w:val="auto"/>
          <w:sz w:val="24"/>
          <w:highlight w:val="none"/>
          <w:shd w:val="clear" w:color="auto" w:fill="ffffff"/>
        </w:rPr>
        <w:t xml:space="preserve">的</w:t>
      </w:r>
      <w:r>
        <w:rPr>
          <w:rFonts w:hint="eastAsia" w:hAnsi="宋体" w:cs="方正魏碑_GBK"/>
          <w:color w:val="auto"/>
          <w:sz w:val="24"/>
          <w:highlight w:val="none"/>
          <w:u w:val="single"/>
          <w:shd w:val="clear" w:color="auto" w:fill="ffffff"/>
        </w:rPr>
        <w:t xml:space="preserve">（关键工序）</w:t>
      </w:r>
      <w:r>
        <w:rPr>
          <w:rFonts w:hint="eastAsia" w:hAnsi="宋体" w:cs="方正魏碑_GBK"/>
          <w:color w:val="auto"/>
          <w:sz w:val="24"/>
          <w:highlight w:val="none"/>
          <w:shd w:val="clear" w:color="auto" w:fill="ffffff"/>
          <w:vertAlign w:val="superscript"/>
        </w:rPr>
        <w:t xml:space="preserve">5</w:t>
      </w:r>
      <w:r>
        <w:rPr>
          <w:rFonts w:hint="eastAsia" w:hAnsi="宋体" w:cs="方正魏碑_GBK"/>
          <w:color w:val="auto"/>
          <w:sz w:val="24"/>
          <w:highlight w:val="none"/>
          <w:shd w:val="clear" w:color="auto" w:fill="ffffff"/>
        </w:rPr>
        <w:t xml:space="preserve">在中国境内完成。</w:t>
      </w:r>
      <w:r/>
    </w:p>
    <w:p>
      <w:pPr>
        <w:ind w:firstLine="420"/>
        <w:spacing w:before="30" w:after="30" w:line="360" w:lineRule="auto"/>
        <w:rPr>
          <w:rFonts w:hAnsi="宋体" w:cs="方正魏碑_GBK"/>
          <w:color w:val="auto"/>
          <w:sz w:val="24"/>
          <w:highlight w:val="none"/>
        </w:rPr>
      </w:pPr>
      <w:r>
        <w:rPr>
          <w:rFonts w:hint="eastAsia" w:hAnsi="宋体" w:cs="方正魏碑_GBK"/>
          <w:color w:val="auto"/>
          <w:sz w:val="24"/>
          <w:highlight w:val="none"/>
          <w:shd w:val="clear" w:color="auto" w:fill="ffffff"/>
        </w:rPr>
        <w:t xml:space="preserve">2.</w:t>
      </w:r>
      <w:r>
        <w:rPr>
          <w:rFonts w:hint="eastAsia" w:hAnsi="宋体" w:cs="方正魏碑_GBK"/>
          <w:color w:val="auto"/>
          <w:sz w:val="24"/>
          <w:highlight w:val="none"/>
          <w:u w:val="single"/>
          <w:shd w:val="clear" w:color="auto" w:fill="ffffff"/>
        </w:rPr>
        <w:t xml:space="preserve">（产品名称2）</w:t>
      </w:r>
      <w:r>
        <w:rPr>
          <w:rFonts w:hint="eastAsia" w:hAnsi="宋体" w:cs="方正魏碑_GBK"/>
          <w:color w:val="auto"/>
          <w:sz w:val="24"/>
          <w:highlight w:val="none"/>
          <w:shd w:val="clear" w:color="auto" w:fill="ffffff"/>
        </w:rPr>
        <w:t xml:space="preserve">，生产厂为</w:t>
      </w:r>
      <w:r>
        <w:rPr>
          <w:rFonts w:hint="eastAsia" w:hAnsi="宋体" w:cs="方正魏碑_GBK"/>
          <w:color w:val="auto"/>
          <w:sz w:val="24"/>
          <w:highlight w:val="none"/>
          <w:u w:val="single"/>
          <w:shd w:val="clear" w:color="auto" w:fill="ffffff"/>
        </w:rPr>
        <w:t xml:space="preserve">（厂名）</w:t>
      </w:r>
      <w:r>
        <w:rPr>
          <w:rFonts w:hint="eastAsia" w:hAnsi="宋体" w:cs="方正魏碑_GBK"/>
          <w:color w:val="auto"/>
          <w:sz w:val="24"/>
          <w:highlight w:val="none"/>
          <w:shd w:val="clear" w:color="auto" w:fill="ffffff"/>
        </w:rPr>
        <w:t xml:space="preserve">，厂址为</w:t>
      </w:r>
      <w:r>
        <w:rPr>
          <w:rFonts w:hint="eastAsia" w:hAnsi="宋体" w:cs="方正魏碑_GBK"/>
          <w:color w:val="auto"/>
          <w:sz w:val="24"/>
          <w:highlight w:val="none"/>
          <w:u w:val="single"/>
          <w:shd w:val="clear" w:color="auto" w:fill="ffffff"/>
        </w:rPr>
        <w:t xml:space="preserve">（生产厂址）</w:t>
      </w:r>
      <w:r>
        <w:rPr>
          <w:rFonts w:hint="eastAsia" w:hAnsi="宋体" w:cs="方正魏碑_GBK"/>
          <w:color w:val="auto"/>
          <w:sz w:val="24"/>
          <w:highlight w:val="none"/>
          <w:shd w:val="clear" w:color="auto" w:fill="ffffff"/>
        </w:rPr>
        <w:t xml:space="preserve">。</w:t>
      </w:r>
      <w:r>
        <w:rPr>
          <w:rFonts w:hint="eastAsia" w:hAnsi="宋体" w:cs="方正魏碑_GBK"/>
          <w:color w:val="auto"/>
          <w:sz w:val="24"/>
          <w:highlight w:val="none"/>
          <w:u w:val="single"/>
          <w:shd w:val="clear" w:color="auto" w:fill="ffffff"/>
        </w:rPr>
        <w:t xml:space="preserve">（产品名称2）</w:t>
      </w:r>
      <w:r>
        <w:rPr>
          <w:rFonts w:hint="eastAsia" w:hAnsi="宋体" w:cs="方正魏碑_GBK"/>
          <w:color w:val="auto"/>
          <w:sz w:val="24"/>
          <w:highlight w:val="none"/>
          <w:shd w:val="clear" w:color="auto" w:fill="ffffff"/>
        </w:rPr>
        <w:t xml:space="preserve">的中国境内生产的组件成本占比≥</w:t>
      </w:r>
      <w:r>
        <w:rPr>
          <w:rFonts w:hint="eastAsia" w:hAnsi="宋体" w:cs="方正魏碑_GBK"/>
          <w:color w:val="auto"/>
          <w:sz w:val="24"/>
          <w:highlight w:val="none"/>
          <w:u w:val="single"/>
          <w:shd w:val="clear" w:color="auto" w:fill="ffffff"/>
        </w:rPr>
        <w:t xml:space="preserve">（规定</w:t>
      </w:r>
      <w:r>
        <w:rPr>
          <w:rFonts w:hAnsi="宋体" w:cs="方正魏碑_GBK"/>
          <w:color w:val="auto"/>
          <w:sz w:val="24"/>
          <w:highlight w:val="none"/>
          <w:u w:val="single"/>
          <w:shd w:val="clear" w:color="auto" w:fill="ffffff"/>
        </w:rPr>
        <w:t xml:space="preserve">比例</w:t>
      </w:r>
      <w:r>
        <w:rPr>
          <w:rFonts w:hint="eastAsia" w:hAnsi="宋体" w:cs="方正魏碑_GBK"/>
          <w:color w:val="auto"/>
          <w:sz w:val="24"/>
          <w:highlight w:val="none"/>
          <w:u w:val="single"/>
          <w:shd w:val="clear" w:color="auto" w:fill="ffffff"/>
        </w:rPr>
        <w:t xml:space="preserve">）</w:t>
      </w:r>
      <w:r>
        <w:rPr>
          <w:rFonts w:hint="eastAsia" w:hAnsi="宋体" w:cs="方正魏碑_GBK"/>
          <w:color w:val="auto"/>
          <w:sz w:val="24"/>
          <w:highlight w:val="none"/>
          <w:shd w:val="clear" w:color="auto" w:fill="ffffff"/>
        </w:rPr>
        <w:t xml:space="preserve">。</w:t>
      </w:r>
      <w:r>
        <w:rPr>
          <w:rFonts w:hint="eastAsia" w:hAnsi="宋体" w:cs="方正魏碑_GBK"/>
          <w:color w:val="auto"/>
          <w:sz w:val="24"/>
          <w:highlight w:val="none"/>
          <w:u w:val="single"/>
          <w:shd w:val="clear" w:color="auto" w:fill="ffffff"/>
        </w:rPr>
        <w:t xml:space="preserve">（产品名称2）</w:t>
      </w:r>
      <w:r>
        <w:rPr>
          <w:rFonts w:hint="eastAsia" w:hAnsi="宋体" w:cs="方正魏碑_GBK"/>
          <w:color w:val="auto"/>
          <w:sz w:val="24"/>
          <w:highlight w:val="none"/>
          <w:shd w:val="clear" w:color="auto" w:fill="ffffff"/>
        </w:rPr>
        <w:t xml:space="preserve">的</w:t>
      </w:r>
      <w:r>
        <w:rPr>
          <w:rFonts w:hint="eastAsia" w:hAnsi="宋体" w:cs="方正魏碑_GBK"/>
          <w:color w:val="auto"/>
          <w:sz w:val="24"/>
          <w:highlight w:val="none"/>
          <w:u w:val="single"/>
          <w:shd w:val="clear" w:color="auto" w:fill="ffffff"/>
        </w:rPr>
        <w:t xml:space="preserve">（关键</w:t>
      </w:r>
      <w:r>
        <w:rPr>
          <w:rFonts w:hAnsi="宋体" w:cs="方正魏碑_GBK"/>
          <w:color w:val="auto"/>
          <w:sz w:val="24"/>
          <w:highlight w:val="none"/>
          <w:u w:val="single"/>
          <w:shd w:val="clear" w:color="auto" w:fill="ffffff"/>
        </w:rPr>
        <w:t xml:space="preserve">组件</w:t>
      </w:r>
      <w:r>
        <w:rPr>
          <w:rFonts w:hint="eastAsia" w:hAnsi="宋体" w:cs="方正魏碑_GBK"/>
          <w:color w:val="auto"/>
          <w:sz w:val="24"/>
          <w:highlight w:val="none"/>
          <w:u w:val="single"/>
          <w:shd w:val="clear" w:color="auto" w:fill="ffffff"/>
        </w:rPr>
        <w:t xml:space="preserve">）</w:t>
      </w:r>
      <w:r>
        <w:rPr>
          <w:rFonts w:hint="eastAsia" w:hAnsi="宋体" w:cs="方正魏碑_GBK"/>
          <w:color w:val="auto"/>
          <w:sz w:val="24"/>
          <w:highlight w:val="none"/>
          <w:shd w:val="clear" w:color="auto" w:fill="ffffff"/>
        </w:rPr>
        <w:t xml:space="preserve">在中国境内生产。</w:t>
      </w:r>
      <w:r>
        <w:rPr>
          <w:rFonts w:hint="eastAsia" w:hAnsi="宋体" w:cs="方正魏碑_GBK"/>
          <w:color w:val="auto"/>
          <w:sz w:val="24"/>
          <w:highlight w:val="none"/>
          <w:u w:val="single"/>
          <w:shd w:val="clear" w:color="auto" w:fill="ffffff"/>
        </w:rPr>
        <w:t xml:space="preserve">（产品名称1）</w:t>
      </w:r>
      <w:r>
        <w:rPr>
          <w:rFonts w:hint="eastAsia" w:hAnsi="宋体" w:cs="方正魏碑_GBK"/>
          <w:color w:val="auto"/>
          <w:sz w:val="24"/>
          <w:highlight w:val="none"/>
          <w:shd w:val="clear" w:color="auto" w:fill="ffffff"/>
        </w:rPr>
        <w:t xml:space="preserve">的</w:t>
      </w:r>
      <w:r>
        <w:rPr>
          <w:rFonts w:hint="eastAsia" w:hAnsi="宋体" w:cs="方正魏碑_GBK"/>
          <w:color w:val="auto"/>
          <w:sz w:val="24"/>
          <w:highlight w:val="none"/>
          <w:u w:val="single"/>
          <w:shd w:val="clear" w:color="auto" w:fill="ffffff"/>
        </w:rPr>
        <w:t xml:space="preserve">（关键工序）</w:t>
      </w:r>
      <w:r>
        <w:rPr>
          <w:rFonts w:hint="eastAsia" w:hAnsi="宋体" w:cs="方正魏碑_GBK"/>
          <w:color w:val="auto"/>
          <w:sz w:val="24"/>
          <w:highlight w:val="none"/>
          <w:shd w:val="clear" w:color="auto" w:fill="ffffff"/>
        </w:rPr>
        <w:t xml:space="preserve">在中国境内完成。</w:t>
      </w:r>
      <w:r/>
    </w:p>
    <w:p>
      <w:pPr>
        <w:ind w:firstLine="420"/>
        <w:spacing w:before="30" w:after="30" w:line="360" w:lineRule="auto"/>
        <w:rPr>
          <w:rFonts w:hAnsi="宋体" w:cs="方正魏碑_GBK"/>
          <w:color w:val="auto"/>
          <w:sz w:val="24"/>
          <w:highlight w:val="none"/>
        </w:rPr>
      </w:pPr>
      <w:r>
        <w:rPr>
          <w:rFonts w:hint="eastAsia" w:hAnsi="宋体" w:cs="方正魏碑_GBK"/>
          <w:color w:val="auto"/>
          <w:sz w:val="24"/>
          <w:highlight w:val="none"/>
          <w:shd w:val="clear" w:color="auto" w:fill="ffffff"/>
        </w:rPr>
        <w:t xml:space="preserve">……</w:t>
      </w:r>
      <w:r/>
    </w:p>
    <w:p>
      <w:pPr>
        <w:ind w:firstLine="420"/>
        <w:spacing w:before="30" w:after="30" w:line="360" w:lineRule="auto"/>
        <w:rPr>
          <w:rFonts w:hAnsi="宋体" w:cs="方正魏碑_GBK"/>
          <w:color w:val="auto"/>
          <w:sz w:val="24"/>
          <w:highlight w:val="none"/>
        </w:rPr>
      </w:pPr>
      <w:r>
        <w:rPr>
          <w:rFonts w:hint="eastAsia" w:hAnsi="宋体" w:cs="方正魏碑_GBK"/>
          <w:color w:val="auto"/>
          <w:sz w:val="24"/>
          <w:highlight w:val="none"/>
          <w:shd w:val="clear" w:color="auto" w:fill="ffffff"/>
        </w:rPr>
        <w:t xml:space="preserve">本公司（单位）对上述声明内容的真实性负责。如有虚假，愿承担相应法律责任。</w:t>
      </w:r>
      <w:r/>
    </w:p>
    <w:p>
      <w:pPr>
        <w:spacing w:before="30" w:after="30" w:line="360" w:lineRule="auto"/>
        <w:rPr>
          <w:rFonts w:hAnsi="宋体" w:cs="方正魏碑_GBK"/>
          <w:color w:val="auto"/>
          <w:sz w:val="24"/>
          <w:highlight w:val="none"/>
        </w:rPr>
      </w:pPr>
      <w:r>
        <w:rPr>
          <w:rFonts w:hAnsi="宋体" w:cs="方正魏碑_GBK"/>
          <w:color w:val="auto"/>
          <w:sz w:val="24"/>
          <w:highlight w:val="none"/>
        </w:rPr>
      </w:r>
      <w:r/>
    </w:p>
    <w:p>
      <w:pPr>
        <w:ind w:right="1560" w:firstLine="444"/>
        <w:jc w:val="center"/>
        <w:spacing w:line="360" w:lineRule="auto"/>
        <w:tabs>
          <w:tab w:val="left" w:pos="4860" w:leader="none"/>
        </w:tabs>
        <w:rPr>
          <w:rFonts w:hAnsi="宋体"/>
          <w:color w:val="auto"/>
          <w:sz w:val="24"/>
          <w:highlight w:val="none"/>
        </w:rPr>
      </w:pPr>
      <w:r>
        <w:rPr>
          <w:rFonts w:hint="eastAsia" w:hAnsi="宋体"/>
          <w:color w:val="auto"/>
          <w:spacing w:val="6"/>
          <w:sz w:val="24"/>
          <w:highlight w:val="none"/>
        </w:rPr>
        <w:t xml:space="preserve">           </w:t>
      </w:r>
      <w:r>
        <w:rPr>
          <w:rFonts w:hint="eastAsia" w:hAnsi="宋体"/>
          <w:color w:val="auto"/>
          <w:sz w:val="24"/>
          <w:highlight w:val="none"/>
        </w:rPr>
        <w:t xml:space="preserve">               投标人名称（盖章）：</w:t>
      </w:r>
      <w:r/>
    </w:p>
    <w:p>
      <w:pPr>
        <w:ind w:right="1560" w:firstLine="420"/>
        <w:jc w:val="center"/>
        <w:spacing w:line="360" w:lineRule="auto"/>
        <w:tabs>
          <w:tab w:val="left" w:pos="4860" w:leader="none"/>
        </w:tabs>
        <w:rPr>
          <w:rFonts w:hAnsi="宋体" w:cs="方正魏碑_GBK"/>
          <w:color w:val="auto"/>
          <w:sz w:val="24"/>
          <w:highlight w:val="none"/>
        </w:rPr>
      </w:pPr>
      <w:r>
        <w:rPr>
          <w:rFonts w:hint="eastAsia" w:hAnsi="宋体"/>
          <w:color w:val="auto"/>
          <w:sz w:val="24"/>
          <w:highlight w:val="none"/>
        </w:rPr>
        <w:t xml:space="preserve">                              日  期：</w:t>
      </w:r>
      <w:r>
        <w:rPr>
          <w:rFonts w:hint="eastAsia" w:hAnsi="宋体" w:cs="方正魏碑_GBK"/>
          <w:color w:val="auto"/>
          <w:sz w:val="24"/>
          <w:highlight w:val="none"/>
          <w:shd w:val="clear" w:color="auto" w:fill="ffffff"/>
        </w:rPr>
        <w:t xml:space="preserve">   </w:t>
      </w:r>
      <w:r/>
    </w:p>
    <w:p>
      <w:pPr>
        <w:spacing w:before="30" w:after="30" w:line="360" w:lineRule="auto"/>
        <w:rPr>
          <w:rFonts w:hAnsi="宋体" w:cs="方正魏碑_GBK"/>
          <w:color w:val="auto"/>
          <w:sz w:val="24"/>
          <w:highlight w:val="none"/>
        </w:rPr>
      </w:pPr>
      <w:r>
        <w:rPr>
          <w:rFonts w:hint="eastAsia" w:hAnsi="宋体" w:cs="方正魏碑_GBK"/>
          <w:color w:val="auto"/>
          <w:sz w:val="24"/>
          <w:highlight w:val="none"/>
          <w:shd w:val="clear" w:color="auto" w:fill="ffffff"/>
        </w:rPr>
        <w:t xml:space="preserve">__________________</w:t>
      </w:r>
      <w:r/>
    </w:p>
    <w:p>
      <w:pPr>
        <w:spacing w:before="30" w:after="30" w:line="360" w:lineRule="auto"/>
        <w:rPr>
          <w:rFonts w:hAnsi="宋体" w:cs="方正魏碑_GBK"/>
          <w:color w:val="auto"/>
          <w:sz w:val="24"/>
          <w:highlight w:val="none"/>
        </w:rPr>
      </w:pPr>
      <w:r>
        <w:rPr>
          <w:rFonts w:hint="eastAsia" w:hAnsi="宋体" w:cs="方正魏碑_GBK"/>
          <w:color w:val="auto"/>
          <w:sz w:val="24"/>
          <w:highlight w:val="none"/>
          <w:shd w:val="clear" w:color="auto" w:fill="ffffff"/>
        </w:rPr>
        <w:t xml:space="preserve">1.产品如有型号，请在“产品名称”栏一并填写。</w:t>
      </w:r>
      <w:r/>
    </w:p>
    <w:p>
      <w:pPr>
        <w:spacing w:before="30" w:after="30" w:line="360" w:lineRule="auto"/>
        <w:rPr>
          <w:rFonts w:hAnsi="宋体" w:cs="方正魏碑_GBK"/>
          <w:color w:val="auto"/>
          <w:sz w:val="24"/>
          <w:highlight w:val="none"/>
        </w:rPr>
      </w:pPr>
      <w:r>
        <w:rPr>
          <w:rFonts w:hint="eastAsia" w:hAnsi="宋体" w:cs="方正魏碑_GBK"/>
          <w:color w:val="auto"/>
          <w:sz w:val="24"/>
          <w:highlight w:val="none"/>
          <w:shd w:val="clear" w:color="auto" w:fill="ffffff"/>
        </w:rPr>
        <w:t xml:space="preserve">2.生产厂名与厂址应与生产厂营业执照载明的相关信息保持一致。</w:t>
      </w:r>
      <w:r/>
    </w:p>
    <w:p>
      <w:pPr>
        <w:spacing w:before="30" w:after="30" w:line="360" w:lineRule="auto"/>
        <w:rPr>
          <w:rFonts w:hAnsi="宋体" w:cs="方正魏碑_GBK"/>
          <w:color w:val="auto"/>
          <w:sz w:val="24"/>
          <w:highlight w:val="none"/>
        </w:rPr>
      </w:pPr>
      <w:r>
        <w:rPr>
          <w:rFonts w:hint="eastAsia" w:hAnsi="宋体" w:cs="方正魏碑_GBK"/>
          <w:color w:val="auto"/>
          <w:sz w:val="24"/>
          <w:highlight w:val="none"/>
          <w:shd w:val="clear" w:color="auto" w:fill="ffffff"/>
        </w:rPr>
        <w:t xml:space="preserve">3.该产品的中国境内生产的组件成本占比相关要求实施前，“规定比例”栏可不填，下同。</w:t>
      </w:r>
      <w:r/>
    </w:p>
    <w:p>
      <w:pPr>
        <w:spacing w:before="30" w:after="30" w:line="360" w:lineRule="auto"/>
        <w:rPr>
          <w:rFonts w:hAnsi="宋体" w:cs="方正魏碑_GBK"/>
          <w:color w:val="auto"/>
          <w:sz w:val="24"/>
          <w:highlight w:val="none"/>
        </w:rPr>
      </w:pPr>
      <w:r>
        <w:rPr>
          <w:rFonts w:hint="eastAsia" w:hAnsi="宋体" w:cs="方正魏碑_GBK"/>
          <w:color w:val="auto"/>
          <w:sz w:val="24"/>
          <w:highlight w:val="none"/>
          <w:shd w:val="clear" w:color="auto" w:fill="ffffff"/>
        </w:rPr>
        <w:t xml:space="preserve">4.该产品的关键组件要求实施前，“关键组件”栏可不填，下同。</w:t>
      </w:r>
      <w:r/>
    </w:p>
    <w:p>
      <w:pPr>
        <w:spacing w:before="30" w:after="30" w:line="360" w:lineRule="auto"/>
        <w:rPr>
          <w:rFonts w:hAnsi="宋体" w:cs="方正魏碑_GBK"/>
          <w:color w:val="auto"/>
          <w:sz w:val="24"/>
          <w:highlight w:val="none"/>
          <w:shd w:val="clear" w:color="auto" w:fill="ffffff"/>
        </w:rPr>
      </w:pPr>
      <w:r>
        <w:rPr>
          <w:rFonts w:hint="eastAsia" w:hAnsi="宋体" w:cs="方正魏碑_GBK"/>
          <w:color w:val="auto"/>
          <w:sz w:val="24"/>
          <w:highlight w:val="none"/>
          <w:shd w:val="clear" w:color="auto" w:fill="ffffff"/>
        </w:rPr>
        <w:t xml:space="preserve">5.该产品的关键工序要求实施前，“关键工序”栏可不填，下同。</w:t>
      </w:r>
      <w:r/>
    </w:p>
    <w:p>
      <w:pPr>
        <w:spacing w:line="300" w:lineRule="auto"/>
        <w:rPr>
          <w:rFonts w:ascii="宋体" w:hAnsi="宋体" w:cs="宋体"/>
          <w:color w:val="auto"/>
          <w:sz w:val="24"/>
          <w:highlight w:val="none"/>
        </w:rPr>
        <w:sectPr>
          <w:footnotePr/>
          <w:endnotePr/>
          <w:type w:val="nextPage"/>
          <w:pgSz w:w="11907" w:h="16839" w:orient="portrait"/>
          <w:pgMar w:top="1440" w:right="1800" w:bottom="1440" w:left="1800" w:header="720" w:footer="720" w:gutter="0"/>
          <w:cols w:num="1" w:sep="0" w:space="720" w:equalWidth="1"/>
          <w:docGrid w:linePitch="360"/>
        </w:sectPr>
      </w:pPr>
      <w:r>
        <w:rPr>
          <w:rFonts w:ascii="宋体" w:hAnsi="宋体" w:cs="宋体"/>
          <w:color w:val="auto"/>
          <w:sz w:val="24"/>
          <w:highlight w:val="none"/>
        </w:rPr>
      </w:r>
      <w:r/>
    </w:p>
    <w:p>
      <w:pPr>
        <w:spacing w:line="300" w:lineRule="auto"/>
        <w:rPr>
          <w:rFonts w:ascii="宋体" w:hAnsi="宋体" w:cs="宋体"/>
          <w:color w:val="auto"/>
          <w:sz w:val="28"/>
          <w:szCs w:val="28"/>
          <w:highlight w:val="none"/>
        </w:rPr>
      </w:pPr>
      <w:r>
        <w:rPr>
          <w:rFonts w:hint="eastAsia" w:ascii="宋体" w:hAnsi="宋体" w:cs="宋体"/>
          <w:color w:val="auto"/>
          <w:sz w:val="32"/>
          <w:szCs w:val="32"/>
          <w:highlight w:val="none"/>
        </w:rPr>
        <w:t xml:space="preserve">附件3</w:t>
      </w:r>
      <w:r/>
    </w:p>
    <w:p>
      <w:pPr>
        <w:contextualSpacing/>
        <w:jc w:val="center"/>
        <w:spacing w:line="300" w:lineRule="auto"/>
        <w:tabs>
          <w:tab w:val="left" w:pos="1260" w:leader="none"/>
        </w:tabs>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投标人情况一览表</w:t>
      </w:r>
      <w:r/>
    </w:p>
    <w:tbl>
      <w:tblPr>
        <w:tblStyle w:val="745"/>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595"/>
        <w:gridCol w:w="765"/>
        <w:gridCol w:w="283"/>
        <w:gridCol w:w="1050"/>
        <w:gridCol w:w="567"/>
        <w:gridCol w:w="946"/>
        <w:gridCol w:w="1263"/>
        <w:gridCol w:w="61"/>
        <w:gridCol w:w="1212"/>
        <w:gridCol w:w="168"/>
        <w:gridCol w:w="1438"/>
      </w:tblGrid>
      <w:tr>
        <w:trPr>
          <w:trHeight w:val="397"/>
        </w:trPr>
        <w:tc>
          <w:tcPr>
            <w:gridSpan w:val="2"/>
            <w:tcBorders>
              <w:top w:val="single" w:color="auto" w:sz="4" w:space="0"/>
              <w:left w:val="single" w:color="auto" w:sz="4" w:space="0"/>
            </w:tcBorders>
            <w:tcW w:w="1412" w:type="dxa"/>
            <w:vAlign w:val="center"/>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单位名称</w:t>
            </w:r>
            <w:r/>
          </w:p>
        </w:tc>
        <w:tc>
          <w:tcPr>
            <w:gridSpan w:val="10"/>
            <w:tcBorders>
              <w:top w:val="single" w:color="auto" w:sz="4" w:space="0"/>
              <w:right w:val="single" w:color="auto" w:sz="4" w:space="0"/>
            </w:tcBorders>
            <w:tcW w:w="775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r>
        <w:trPr>
          <w:trHeight w:val="397"/>
        </w:trPr>
        <w:tc>
          <w:tcPr>
            <w:gridSpan w:val="3"/>
            <w:tcBorders>
              <w:left w:val="single" w:color="auto" w:sz="4" w:space="0"/>
              <w:right w:val="single" w:color="auto" w:sz="4" w:space="0"/>
            </w:tcBorders>
            <w:tcW w:w="2177" w:type="dxa"/>
            <w:vAlign w:val="center"/>
            <w:textDirection w:val="lrTb"/>
            <w:noWrap w:val="false"/>
          </w:tcPr>
          <w:p>
            <w:pP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单位优势及特长</w:t>
            </w:r>
            <w:r/>
          </w:p>
        </w:tc>
        <w:tc>
          <w:tcPr>
            <w:gridSpan w:val="9"/>
            <w:tcBorders>
              <w:left w:val="single" w:color="auto" w:sz="4" w:space="0"/>
              <w:right w:val="single" w:color="auto" w:sz="4" w:space="0"/>
            </w:tcBorders>
            <w:tcW w:w="6988"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restart"/>
            <w:textDirection w:val="lrTb"/>
            <w:noWrap w:val="false"/>
          </w:tcPr>
          <w:p>
            <w:pPr>
              <w:ind w:left="311" w:hanging="31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单位</w:t>
            </w:r>
            <w:r/>
          </w:p>
          <w:p>
            <w:pPr>
              <w:ind w:left="311" w:hanging="31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概况</w:t>
            </w:r>
            <w:r/>
          </w:p>
        </w:tc>
        <w:tc>
          <w:tcPr>
            <w:gridSpan w:val="2"/>
            <w:tcW w:w="1360" w:type="dxa"/>
            <w:vAlign w:val="center"/>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职工总数</w:t>
            </w:r>
            <w:r/>
          </w:p>
        </w:tc>
        <w:tc>
          <w:tcPr>
            <w:gridSpan w:val="2"/>
            <w:tcW w:w="1333" w:type="dxa"/>
            <w:vAlign w:val="center"/>
            <w:textDirection w:val="lrTb"/>
            <w:noWrap w:val="false"/>
          </w:tcPr>
          <w:p>
            <w:pPr>
              <w:jc w:val="right"/>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人</w:t>
            </w:r>
            <w:r/>
          </w:p>
        </w:tc>
        <w:tc>
          <w:tcPr>
            <w:tcW w:w="567" w:type="dxa"/>
            <w:vAlign w:val="center"/>
            <w:vMerge w:val="restart"/>
            <w:textDirection w:val="lrTb"/>
            <w:noWrap w:val="false"/>
          </w:tcPr>
          <w:p>
            <w:pP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上一年主要经济指标</w:t>
            </w:r>
            <w:r/>
          </w:p>
        </w:tc>
        <w:tc>
          <w:tcPr>
            <w:tcW w:w="946" w:type="dxa"/>
            <w:vAlign w:val="center"/>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营业额</w:t>
            </w:r>
            <w:r/>
          </w:p>
        </w:tc>
        <w:tc>
          <w:tcPr>
            <w:gridSpan w:val="2"/>
            <w:tcW w:w="1324"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380" w:type="dxa"/>
            <w:vAlign w:val="center"/>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实现利润</w:t>
            </w:r>
            <w:r/>
          </w:p>
        </w:tc>
        <w:tc>
          <w:tcPr>
            <w:tcBorders>
              <w:right w:val="single" w:color="auto" w:sz="4" w:space="0"/>
            </w:tcBorders>
            <w:tcW w:w="1438"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continue"/>
            <w:textDirection w:val="lrTb"/>
            <w:noWrap w:val="false"/>
          </w:tcPr>
          <w:p>
            <w:pPr>
              <w:ind w:left="311" w:hanging="310"/>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360" w:type="dxa"/>
            <w:vAlign w:val="center"/>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流动资金</w:t>
            </w:r>
            <w:r/>
          </w:p>
        </w:tc>
        <w:tc>
          <w:tcPr>
            <w:gridSpan w:val="2"/>
            <w:tcW w:w="1333" w:type="dxa"/>
            <w:vAlign w:val="center"/>
            <w:textDirection w:val="lrTb"/>
            <w:noWrap w:val="false"/>
          </w:tcPr>
          <w:p>
            <w:pPr>
              <w:jc w:val="right"/>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万元</w:t>
            </w:r>
            <w:r/>
          </w:p>
        </w:tc>
        <w:tc>
          <w:tcPr>
            <w:tcW w:w="56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946" w:type="dxa"/>
            <w:vAlign w:val="center"/>
            <w:vMerge w:val="restart"/>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主要</w:t>
            </w:r>
            <w:r/>
          </w:p>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产品</w:t>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p>
        </w:tc>
      </w:tr>
      <w:tr>
        <w:trPr>
          <w:cantSplit/>
          <w:trHeight w:val="1292"/>
        </w:trPr>
        <w:tc>
          <w:tcPr>
            <w:tcBorders>
              <w:left w:val="single" w:color="auto" w:sz="4" w:space="0"/>
            </w:tcBorders>
            <w:tcW w:w="817" w:type="dxa"/>
            <w:vAlign w:val="center"/>
            <w:vMerge w:val="continue"/>
            <w:textDirection w:val="lrTb"/>
            <w:noWrap w:val="false"/>
          </w:tcPr>
          <w:p>
            <w:pPr>
              <w:ind w:left="311" w:hanging="310"/>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360" w:type="dxa"/>
            <w:vAlign w:val="center"/>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固定资产</w:t>
            </w:r>
            <w:r/>
          </w:p>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（万元）</w:t>
            </w:r>
            <w:r/>
          </w:p>
        </w:tc>
        <w:tc>
          <w:tcPr>
            <w:gridSpan w:val="2"/>
            <w:tcW w:w="1333" w:type="dxa"/>
            <w:vAlign w:val="center"/>
            <w:textDirection w:val="lrTb"/>
            <w:noWrap w:val="false"/>
          </w:tcPr>
          <w:p>
            <w:pPr>
              <w:ind w:right="-133" w:hanging="48"/>
              <w:tabs>
                <w:tab w:val="left" w:pos="-48" w:leader="none"/>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原值：</w:t>
            </w:r>
            <w:r/>
          </w:p>
          <w:p>
            <w:pPr>
              <w:ind w:hanging="48"/>
              <w:jc w:val="right"/>
              <w:tabs>
                <w:tab w:val="left" w:pos="-48" w:leader="none"/>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p>
            <w:pPr>
              <w:ind w:right="-133" w:hanging="48"/>
              <w:tabs>
                <w:tab w:val="left" w:pos="-48" w:leader="none"/>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净值：</w:t>
            </w:r>
            <w:r/>
          </w:p>
          <w:p>
            <w:pPr>
              <w:ind w:hanging="48"/>
              <w:jc w:val="right"/>
              <w:tabs>
                <w:tab w:val="left" w:pos="-48" w:leader="none"/>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56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946" w:type="dxa"/>
            <w:vAlign w:val="center"/>
            <w:vMerge w:val="continue"/>
            <w:textDirection w:val="lrTb"/>
            <w:noWrap w:val="false"/>
          </w:tcPr>
          <w:p>
            <w:pPr>
              <w:jc w:val="cente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5"/>
            <w:tcBorders>
              <w:right w:val="single" w:color="auto" w:sz="4" w:space="0"/>
            </w:tcBorders>
            <w:tcW w:w="4142" w:type="dxa"/>
            <w:vAlign w:val="center"/>
            <w:textDirection w:val="lrTb"/>
            <w:noWrap w:val="false"/>
          </w:tcPr>
          <w:p>
            <w:pP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p>
        </w:tc>
      </w:tr>
      <w:tr>
        <w:trPr>
          <w:cantSplit/>
          <w:trHeight w:val="397"/>
        </w:trPr>
        <w:tc>
          <w:tcPr>
            <w:tcBorders>
              <w:left w:val="single" w:color="auto" w:sz="4" w:space="0"/>
            </w:tcBorders>
            <w:tcW w:w="817" w:type="dxa"/>
            <w:vAlign w:val="center"/>
            <w:vMerge w:val="continue"/>
            <w:textDirection w:val="lrTb"/>
            <w:noWrap w:val="false"/>
          </w:tcPr>
          <w:p>
            <w:pPr>
              <w:ind w:left="311" w:hanging="310"/>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360" w:type="dxa"/>
            <w:vAlign w:val="center"/>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占地面积</w:t>
            </w:r>
            <w:r/>
          </w:p>
        </w:tc>
        <w:tc>
          <w:tcPr>
            <w:gridSpan w:val="2"/>
            <w:tcW w:w="1333" w:type="dxa"/>
            <w:vAlign w:val="center"/>
            <w:textDirection w:val="lrTb"/>
            <w:noWrap w:val="false"/>
          </w:tcPr>
          <w:p>
            <w:pPr>
              <w:jc w:val="right"/>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M</w:t>
            </w:r>
            <w:r>
              <w:rPr>
                <w:rFonts w:hint="eastAsia" w:ascii="宋体" w:hAnsi="宋体" w:cs="宋体"/>
                <w:color w:val="auto"/>
                <w:sz w:val="28"/>
                <w:szCs w:val="28"/>
                <w:highlight w:val="none"/>
                <w:vertAlign w:val="superscript"/>
              </w:rPr>
              <w:t xml:space="preserve">2</w:t>
            </w:r>
            <w:r/>
          </w:p>
        </w:tc>
        <w:tc>
          <w:tcPr>
            <w:tcW w:w="56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946" w:type="dxa"/>
            <w:vAlign w:val="center"/>
            <w:vMerge w:val="continue"/>
            <w:textDirection w:val="lrTb"/>
            <w:noWrap w:val="false"/>
          </w:tcPr>
          <w:p>
            <w:pPr>
              <w:jc w:val="cente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p>
        </w:tc>
      </w:tr>
      <w:tr>
        <w:trPr>
          <w:cantSplit/>
          <w:trHeight w:val="397"/>
        </w:trPr>
        <w:tc>
          <w:tcPr>
            <w:tcBorders>
              <w:left w:val="single" w:color="auto" w:sz="4" w:space="0"/>
            </w:tcBorders>
            <w:tcW w:w="817" w:type="dxa"/>
            <w:vAlign w:val="center"/>
            <w:vMerge w:val="restart"/>
            <w:textDirection w:val="lrTb"/>
            <w:noWrap w:val="false"/>
          </w:tcPr>
          <w:p>
            <w:pPr>
              <w:ind w:left="311" w:hanging="31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本次</w:t>
            </w:r>
            <w:r/>
          </w:p>
          <w:p>
            <w:pPr>
              <w:ind w:left="311" w:hanging="31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投标</w:t>
            </w:r>
            <w:r/>
          </w:p>
          <w:p>
            <w:pPr>
              <w:ind w:left="311" w:hanging="31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产品</w:t>
            </w:r>
            <w:r/>
          </w:p>
          <w:p>
            <w:pPr>
              <w:ind w:left="311" w:hanging="31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情况</w:t>
            </w:r>
            <w:r/>
          </w:p>
        </w:tc>
        <w:tc>
          <w:tcPr>
            <w:gridSpan w:val="3"/>
            <w:tcW w:w="1643" w:type="dxa"/>
            <w:vAlign w:val="center"/>
            <w:textDirection w:val="lrTb"/>
            <w:noWrap w:val="false"/>
          </w:tcPr>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本次投标</w:t>
            </w:r>
            <w:r/>
          </w:p>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产品名称</w:t>
            </w:r>
            <w:r/>
          </w:p>
        </w:tc>
        <w:tc>
          <w:tcPr>
            <w:gridSpan w:val="2"/>
            <w:tcW w:w="1617" w:type="dxa"/>
            <w:vAlign w:val="center"/>
            <w:textDirection w:val="lrTb"/>
            <w:noWrap w:val="false"/>
          </w:tcPr>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型    号</w:t>
            </w:r>
            <w:r/>
          </w:p>
        </w:tc>
        <w:tc>
          <w:tcPr>
            <w:tcW w:w="946" w:type="dxa"/>
            <w:vAlign w:val="center"/>
            <w:textDirection w:val="lrTb"/>
            <w:noWrap w:val="false"/>
          </w:tcPr>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上年</w:t>
            </w:r>
            <w:r/>
          </w:p>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产销量</w:t>
            </w:r>
            <w:r/>
          </w:p>
        </w:tc>
        <w:tc>
          <w:tcPr>
            <w:tcW w:w="1263" w:type="dxa"/>
            <w:vAlign w:val="center"/>
            <w:textDirection w:val="lrTb"/>
            <w:noWrap w:val="false"/>
          </w:tcPr>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产品技术先进水平</w:t>
            </w:r>
            <w:r/>
          </w:p>
        </w:tc>
        <w:tc>
          <w:tcPr>
            <w:gridSpan w:val="2"/>
            <w:tcW w:w="1273" w:type="dxa"/>
            <w:vAlign w:val="center"/>
            <w:textDirection w:val="lrTb"/>
            <w:noWrap w:val="false"/>
          </w:tcPr>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曾获何级何种奖励</w:t>
            </w:r>
            <w:r/>
          </w:p>
        </w:tc>
        <w:tc>
          <w:tcPr>
            <w:gridSpan w:val="2"/>
            <w:tcBorders>
              <w:right w:val="single" w:color="auto" w:sz="4" w:space="0"/>
            </w:tcBorders>
            <w:tcW w:w="1606" w:type="dxa"/>
            <w:vAlign w:val="center"/>
            <w:textDirection w:val="lrTb"/>
            <w:noWrap w:val="false"/>
          </w:tcPr>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主要用户</w:t>
            </w:r>
            <w:r/>
          </w:p>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名称</w:t>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3"/>
            <w:tcW w:w="164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617"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94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126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27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3"/>
            <w:tcW w:w="164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617"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94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126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27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3"/>
            <w:tcW w:w="164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617"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94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126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27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3"/>
            <w:tcW w:w="164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617"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94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126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27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restart"/>
            <w:textDirection w:val="lrTb"/>
            <w:noWrap w:val="false"/>
          </w:tcPr>
          <w:p>
            <w:pP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其它</w:t>
            </w:r>
            <w:r/>
          </w:p>
        </w:tc>
        <w:tc>
          <w:tcPr>
            <w:gridSpan w:val="6"/>
            <w:tcW w:w="4206" w:type="dxa"/>
            <w:vAlign w:val="center"/>
            <w:textDirection w:val="lrTb"/>
            <w:noWrap w:val="false"/>
          </w:tcPr>
          <w:p>
            <w:pP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近3年完成及正在执行的合同中发生的由于投标人违约或部分违约而引起诉讼和受到索赔的案件具体情况及结果（须如实填写，若对此进行隐瞒，尔后又被采购人或采购代理机构发现，或被它人举证成立，其投标资格将被取消）。</w:t>
            </w:r>
            <w:r/>
          </w:p>
        </w:tc>
        <w:tc>
          <w:tcPr>
            <w:gridSpan w:val="5"/>
            <w:tcBorders>
              <w:right w:val="single" w:color="auto" w:sz="4" w:space="0"/>
            </w:tcBorders>
            <w:tcW w:w="4142" w:type="dxa"/>
            <w:vAlign w:val="center"/>
            <w:textDirection w:val="lrTb"/>
            <w:noWrap w:val="false"/>
          </w:tcPr>
          <w:p>
            <w:pP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2095"/>
        </w:trPr>
        <w:tc>
          <w:tcPr>
            <w:tcBorders>
              <w:left w:val="single" w:color="auto" w:sz="4" w:space="0"/>
              <w:bottom w:val="single" w:color="auto" w:sz="4" w:space="0"/>
            </w:tcBorders>
            <w:tcW w:w="81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6"/>
            <w:tcBorders>
              <w:bottom w:val="single" w:color="auto" w:sz="4" w:space="0"/>
            </w:tcBorders>
            <w:tcW w:w="420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5"/>
            <w:tcBorders>
              <w:bottom w:val="single" w:color="auto" w:sz="4" w:space="0"/>
              <w:right w:val="single" w:color="auto" w:sz="4" w:space="0"/>
            </w:tcBorders>
            <w:tcW w:w="4142"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bl>
    <w:p>
      <w:pPr>
        <w:spacing w:line="48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480" w:lineRule="exact"/>
        <w:rPr>
          <w:rFonts w:ascii="宋体" w:hAnsi="宋体" w:cs="宋体"/>
          <w:b/>
          <w:color w:val="auto"/>
          <w:sz w:val="28"/>
          <w:szCs w:val="28"/>
          <w:highlight w:val="none"/>
        </w:rPr>
        <w:sectPr>
          <w:footnotePr/>
          <w:endnotePr/>
          <w:type w:val="nextPage"/>
          <w:pgSz w:w="11907" w:h="16839" w:orient="portrait"/>
          <w:pgMar w:top="1440" w:right="1800" w:bottom="1440" w:left="1800" w:header="720" w:footer="720" w:gutter="0"/>
          <w:cols w:num="1" w:sep="0" w:space="720" w:equalWidth="1"/>
          <w:docGrid w:linePitch="360"/>
        </w:sectPr>
        <w:outlineLvl w:val="3"/>
      </w:pPr>
      <w:r>
        <w:rPr>
          <w:rFonts w:ascii="宋体" w:hAnsi="宋体" w:cs="宋体"/>
          <w:b/>
          <w:color w:val="auto"/>
          <w:sz w:val="28"/>
          <w:szCs w:val="28"/>
          <w:highlight w:val="none"/>
        </w:rPr>
      </w:r>
      <w:r/>
    </w:p>
    <w:p>
      <w:pPr>
        <w:spacing w:line="48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附件4</w:t>
      </w:r>
      <w:r/>
    </w:p>
    <w:p>
      <w:pPr>
        <w:jc w:val="center"/>
        <w:spacing w:line="48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技术要求响应及偏离表</w:t>
      </w:r>
      <w:r/>
    </w:p>
    <w:tbl>
      <w:tblPr>
        <w:tblStyle w:val="745"/>
        <w:tblpPr w:horzAnchor="text" w:tblpXSpec="center" w:vertAnchor="text" w:tblpY="1" w:leftFromText="180" w:topFromText="0" w:rightFromText="180" w:bottomFromText="0"/>
        <w:tblW w:w="89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5439"/>
        <w:gridCol w:w="1395"/>
        <w:gridCol w:w="1450"/>
      </w:tblGrid>
      <w:tr>
        <w:trPr/>
        <w:tc>
          <w:tcPr>
            <w:tcW w:w="643"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tcW w:w="5439"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技术要求</w:t>
            </w:r>
            <w:r/>
          </w:p>
        </w:tc>
        <w:tc>
          <w:tcPr>
            <w:tcW w:w="1395"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投标响应情况</w:t>
            </w:r>
            <w:r/>
          </w:p>
        </w:tc>
        <w:tc>
          <w:tcPr>
            <w:tcW w:w="1450"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超出、符合或偏离</w:t>
            </w:r>
            <w:r/>
          </w:p>
        </w:tc>
      </w:tr>
      <w:tr>
        <w:trPr>
          <w:trHeight w:val="1010"/>
        </w:trPr>
        <w:tc>
          <w:tcPr>
            <w:tcBorders>
              <w:bottom w:val="single" w:color="auto" w:sz="4" w:space="0"/>
            </w:tcBorders>
            <w:tcW w:w="643"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tcBorders>
              <w:bottom w:val="single" w:color="auto" w:sz="4" w:space="0"/>
            </w:tcBorders>
            <w:tcW w:w="5439" w:type="dxa"/>
            <w:vAlign w:val="center"/>
            <w:textDirection w:val="lrTb"/>
            <w:noWrap w:val="false"/>
          </w:tcPr>
          <w:p>
            <w:pPr>
              <w:pStyle w:val="967"/>
              <w:ind w:firstLine="0"/>
              <w:spacing w:line="460" w:lineRule="exact"/>
              <w:tabs>
                <w:tab w:val="left" w:pos="448" w:leader="none"/>
                <w:tab w:val="left" w:pos="851" w:leader="none"/>
              </w:tabs>
              <w:rPr>
                <w:rFonts w:ascii="宋体" w:hAnsi="宋体" w:cs="宋体"/>
                <w:color w:val="auto"/>
                <w:sz w:val="24"/>
                <w:highlight w:val="none"/>
              </w:rPr>
            </w:pPr>
            <w:r>
              <w:rPr>
                <w:rFonts w:ascii="宋体" w:hAnsi="宋体" w:cs="宋体"/>
                <w:color w:val="auto"/>
                <w:sz w:val="24"/>
                <w:highlight w:val="none"/>
              </w:rPr>
            </w:r>
            <w:r/>
          </w:p>
        </w:tc>
        <w:tc>
          <w:tcPr>
            <w:tcBorders>
              <w:bottom w:val="single" w:color="auto" w:sz="4" w:space="0"/>
            </w:tcBorders>
            <w:tcW w:w="1395" w:type="dxa"/>
            <w:vAlign w:val="center"/>
            <w:textDirection w:val="lrTb"/>
            <w:noWrap w:val="false"/>
          </w:tcPr>
          <w:p>
            <w:pPr>
              <w:spacing w:line="460" w:lineRule="exact"/>
              <w:widowControl/>
              <w:rPr>
                <w:rFonts w:ascii="宋体" w:hAnsi="宋体" w:cs="宋体"/>
                <w:color w:val="auto"/>
                <w:sz w:val="24"/>
                <w:highlight w:val="none"/>
              </w:rPr>
            </w:pPr>
            <w:r>
              <w:rPr>
                <w:rFonts w:ascii="宋体" w:hAnsi="宋体" w:cs="宋体"/>
                <w:color w:val="auto"/>
                <w:sz w:val="24"/>
                <w:highlight w:val="none"/>
              </w:rPr>
            </w:r>
            <w:r/>
          </w:p>
        </w:tc>
        <w:tc>
          <w:tcPr>
            <w:tcW w:w="145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640"/>
        </w:trPr>
        <w:tc>
          <w:tcPr>
            <w:tcBorders>
              <w:top w:val="single" w:color="auto" w:sz="4" w:space="0"/>
            </w:tcBorders>
            <w:tcW w:w="643"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p>
        </w:tc>
        <w:tc>
          <w:tcPr>
            <w:tcBorders>
              <w:top w:val="single" w:color="auto" w:sz="4" w:space="0"/>
            </w:tcBorders>
            <w:tcW w:w="5439" w:type="dxa"/>
            <w:vAlign w:val="center"/>
            <w:textDirection w:val="lrTb"/>
            <w:noWrap w:val="false"/>
          </w:tcPr>
          <w:p>
            <w:pPr>
              <w:pStyle w:val="967"/>
              <w:ind w:firstLine="0"/>
              <w:spacing w:line="460" w:lineRule="exact"/>
              <w:tabs>
                <w:tab w:val="left" w:pos="448"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tcBorders>
            <w:tcW w:w="1395" w:type="dxa"/>
            <w:vAlign w:val="center"/>
            <w:textDirection w:val="lrTb"/>
            <w:noWrap w:val="false"/>
          </w:tcPr>
          <w:p>
            <w:pPr>
              <w:spacing w:line="460" w:lineRule="exact"/>
              <w:widowControl/>
              <w:rPr>
                <w:rFonts w:ascii="宋体" w:hAnsi="宋体" w:cs="宋体"/>
                <w:color w:val="auto"/>
                <w:sz w:val="24"/>
                <w:highlight w:val="none"/>
              </w:rPr>
            </w:pPr>
            <w:r>
              <w:rPr>
                <w:rFonts w:ascii="宋体" w:hAnsi="宋体" w:cs="宋体"/>
                <w:color w:val="auto"/>
                <w:sz w:val="24"/>
                <w:highlight w:val="none"/>
              </w:rPr>
            </w:r>
            <w:r/>
          </w:p>
        </w:tc>
        <w:tc>
          <w:tcPr>
            <w:tcW w:w="145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835"/>
        </w:trPr>
        <w:tc>
          <w:tcPr>
            <w:tcW w:w="643"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p>
        </w:tc>
        <w:tc>
          <w:tcPr>
            <w:tcW w:w="5439" w:type="dxa"/>
            <w:vAlign w:val="center"/>
            <w:textDirection w:val="lrTb"/>
            <w:noWrap w:val="false"/>
          </w:tcPr>
          <w:p>
            <w:pPr>
              <w:pStyle w:val="967"/>
              <w:ind w:firstLine="0"/>
              <w:spacing w:line="460" w:lineRule="exact"/>
              <w:tabs>
                <w:tab w:val="left" w:pos="448" w:leader="none"/>
              </w:tabs>
              <w:rPr>
                <w:rFonts w:ascii="宋体" w:hAnsi="宋体" w:cs="宋体"/>
                <w:color w:val="auto"/>
                <w:sz w:val="24"/>
                <w:highlight w:val="none"/>
              </w:rPr>
            </w:pPr>
            <w:r>
              <w:rPr>
                <w:rFonts w:ascii="宋体" w:hAnsi="宋体" w:cs="宋体"/>
                <w:color w:val="auto"/>
                <w:sz w:val="24"/>
                <w:highlight w:val="none"/>
              </w:rPr>
            </w:r>
            <w:r/>
          </w:p>
        </w:tc>
        <w:tc>
          <w:tcPr>
            <w:tcW w:w="1395" w:type="dxa"/>
            <w:vAlign w:val="center"/>
            <w:textDirection w:val="lrTb"/>
            <w:noWrap w:val="false"/>
          </w:tcPr>
          <w:p>
            <w:pPr>
              <w:spacing w:line="460" w:lineRule="exact"/>
              <w:widowControl/>
              <w:rPr>
                <w:rFonts w:ascii="宋体" w:hAnsi="宋体" w:cs="宋体"/>
                <w:color w:val="auto"/>
                <w:sz w:val="24"/>
                <w:highlight w:val="none"/>
              </w:rPr>
            </w:pPr>
            <w:r>
              <w:rPr>
                <w:rFonts w:ascii="宋体" w:hAnsi="宋体" w:cs="宋体"/>
                <w:color w:val="auto"/>
                <w:sz w:val="24"/>
                <w:highlight w:val="none"/>
              </w:rPr>
            </w:r>
            <w:r/>
          </w:p>
        </w:tc>
        <w:tc>
          <w:tcPr>
            <w:tcW w:w="145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835"/>
        </w:trPr>
        <w:tc>
          <w:tcPr>
            <w:tcW w:w="643"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tc>
        <w:tc>
          <w:tcPr>
            <w:tcW w:w="5439" w:type="dxa"/>
            <w:vAlign w:val="center"/>
            <w:textDirection w:val="lrTb"/>
            <w:noWrap w:val="false"/>
          </w:tcPr>
          <w:p>
            <w:pPr>
              <w:pStyle w:val="967"/>
              <w:ind w:firstLine="0"/>
              <w:spacing w:line="460" w:lineRule="exact"/>
              <w:tabs>
                <w:tab w:val="left" w:pos="448" w:leader="none"/>
              </w:tabs>
              <w:rPr>
                <w:rFonts w:ascii="宋体" w:hAnsi="宋体" w:cs="宋体"/>
                <w:color w:val="auto"/>
                <w:sz w:val="24"/>
                <w:highlight w:val="none"/>
              </w:rPr>
            </w:pPr>
            <w:r>
              <w:rPr>
                <w:rFonts w:hint="eastAsia" w:ascii="宋体" w:hAnsi="宋体" w:cs="宋体"/>
                <w:color w:val="auto"/>
                <w:sz w:val="24"/>
                <w:highlight w:val="none"/>
              </w:rPr>
              <w:t xml:space="preserve">....</w:t>
            </w:r>
            <w:r/>
          </w:p>
        </w:tc>
        <w:tc>
          <w:tcPr>
            <w:tcW w:w="1395" w:type="dxa"/>
            <w:vAlign w:val="center"/>
            <w:textDirection w:val="lrTb"/>
            <w:noWrap w:val="false"/>
          </w:tcPr>
          <w:p>
            <w:pPr>
              <w:spacing w:line="460" w:lineRule="exact"/>
              <w:widowControl/>
              <w:rPr>
                <w:rFonts w:ascii="宋体" w:hAnsi="宋体" w:cs="宋体"/>
                <w:color w:val="auto"/>
                <w:sz w:val="24"/>
                <w:highlight w:val="none"/>
              </w:rPr>
            </w:pPr>
            <w:r>
              <w:rPr>
                <w:rFonts w:ascii="宋体" w:hAnsi="宋体" w:cs="宋体"/>
                <w:color w:val="auto"/>
                <w:sz w:val="24"/>
                <w:highlight w:val="none"/>
              </w:rPr>
            </w:r>
            <w:r/>
          </w:p>
        </w:tc>
        <w:tc>
          <w:tcPr>
            <w:tcW w:w="145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bl>
    <w:p>
      <w:pPr>
        <w:jc w:val="center"/>
        <w:spacing w:line="48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附件4-1  证明材料1，证明材料2，……</w:t>
      </w:r>
      <w:r/>
    </w:p>
    <w:p>
      <w:pP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spacing w:line="480" w:lineRule="exact"/>
        <w:rPr>
          <w:rFonts w:ascii="宋体" w:hAnsi="宋体" w:cs="宋体"/>
          <w:color w:val="auto"/>
          <w:sz w:val="28"/>
          <w:szCs w:val="28"/>
          <w:highlight w:val="none"/>
        </w:rPr>
        <w:outlineLvl w:val="2"/>
      </w:pPr>
      <w:r>
        <w:rPr>
          <w:rFonts w:hint="eastAsia" w:ascii="宋体" w:hAnsi="宋体" w:cs="宋体"/>
          <w:color w:val="auto"/>
          <w:sz w:val="28"/>
          <w:szCs w:val="28"/>
          <w:highlight w:val="none"/>
        </w:rPr>
        <w:t xml:space="preserve">1.投标人需对技术要求逐条做出明确响应。</w:t>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2.如果招标文件要求提供证明材料，投标人需将证明材料列于该表之下。</w:t>
      </w:r>
      <w:r/>
    </w:p>
    <w:p>
      <w:pPr>
        <w:spacing w:line="480" w:lineRule="exact"/>
        <w:rPr>
          <w:rFonts w:ascii="宋体" w:hAnsi="宋体" w:cs="宋体"/>
          <w:color w:val="auto"/>
          <w:sz w:val="28"/>
          <w:szCs w:val="28"/>
          <w:highlight w:val="none"/>
        </w:rPr>
      </w:pPr>
      <w:r>
        <w:rPr>
          <w:rFonts w:ascii="宋体" w:hAnsi="宋体" w:cs="宋体"/>
          <w:color w:val="auto"/>
          <w:sz w:val="28"/>
          <w:szCs w:val="28"/>
          <w:highlight w:val="none"/>
        </w:rPr>
        <w:t xml:space="preserve">3</w:t>
      </w:r>
      <w:r>
        <w:rPr>
          <w:rFonts w:hint="eastAsia" w:ascii="宋体" w:hAnsi="宋体" w:cs="宋体"/>
          <w:color w:val="auto"/>
          <w:sz w:val="28"/>
          <w:szCs w:val="28"/>
          <w:highlight w:val="none"/>
        </w:rPr>
        <w:t xml:space="preserve">.</w:t>
      </w:r>
      <w:r>
        <w:rPr>
          <w:rFonts w:hint="eastAsia"/>
          <w:color w:val="auto"/>
          <w:highlight w:val="none"/>
        </w:rPr>
        <w:t xml:space="preserve"> </w:t>
      </w:r>
      <w:r>
        <w:rPr>
          <w:rFonts w:hint="eastAsia" w:ascii="宋体" w:hAnsi="宋体" w:cs="宋体"/>
          <w:color w:val="auto"/>
          <w:sz w:val="28"/>
          <w:szCs w:val="28"/>
          <w:highlight w:val="none"/>
        </w:rPr>
        <w:t xml:space="preserve">相关证明材料包括但不限于：钢结构、实木多层板等原材料CMA/CNAS等完整检测/检验报告、材质清单、材料产地证明，或能够证明投标人所提供货物与招标文件的要求相一致的说明书、手册、图纸、图片、文字资料、数据和承诺函等。所有证明材料均需加盖投标单位公章。</w:t>
      </w:r>
      <w:r/>
    </w:p>
    <w:p>
      <w:pP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80" w:lineRule="exact"/>
        <w:rPr>
          <w:rFonts w:ascii="宋体" w:hAnsi="宋体" w:cs="宋体"/>
          <w:b/>
          <w:color w:val="auto"/>
          <w:sz w:val="28"/>
          <w:szCs w:val="28"/>
          <w:highlight w:val="none"/>
        </w:rPr>
        <w:sectPr>
          <w:footnotePr/>
          <w:endnotePr/>
          <w:type w:val="nextPage"/>
          <w:pgSz w:w="11907" w:h="16839" w:orient="portrait"/>
          <w:pgMar w:top="1440" w:right="1800" w:bottom="1440" w:left="1800" w:header="720" w:footer="720" w:gutter="0"/>
          <w:cols w:num="1" w:sep="0" w:space="720" w:equalWidth="1"/>
          <w:docGrid w:linePitch="360"/>
        </w:sectPr>
        <w:outlineLvl w:val="3"/>
      </w:pPr>
      <w:r>
        <w:rPr>
          <w:rFonts w:ascii="宋体" w:hAnsi="宋体" w:cs="宋体"/>
          <w:b/>
          <w:color w:val="auto"/>
          <w:sz w:val="28"/>
          <w:szCs w:val="28"/>
          <w:highlight w:val="none"/>
        </w:rPr>
      </w:r>
      <w:r/>
    </w:p>
    <w:p>
      <w:pPr>
        <w:spacing w:line="480" w:lineRule="exact"/>
        <w:rPr>
          <w:rFonts w:ascii="宋体" w:hAnsi="宋体" w:cs="宋体"/>
          <w:b/>
          <w:color w:val="auto"/>
          <w:sz w:val="28"/>
          <w:szCs w:val="28"/>
          <w:highlight w:val="none"/>
        </w:rPr>
        <w:outlineLvl w:val="3"/>
      </w:pPr>
      <w:r>
        <w:rPr>
          <w:rFonts w:hint="eastAsia" w:ascii="宋体" w:hAnsi="宋体" w:cs="宋体"/>
          <w:b/>
          <w:color w:val="auto"/>
          <w:sz w:val="28"/>
          <w:szCs w:val="28"/>
          <w:highlight w:val="none"/>
        </w:rPr>
        <w:t xml:space="preserve">附件5</w:t>
      </w:r>
      <w:r/>
    </w:p>
    <w:p>
      <w:pPr>
        <w:jc w:val="center"/>
        <w:spacing w:line="48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商务要求响应及偏离表</w:t>
      </w:r>
      <w:r/>
    </w:p>
    <w:tbl>
      <w:tblPr>
        <w:tblStyle w:val="745"/>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999"/>
        <w:gridCol w:w="2320"/>
      </w:tblGrid>
      <w:tr>
        <w:trPr>
          <w:cantSplit/>
        </w:trPr>
        <w:tc>
          <w:tcPr>
            <w:tcW w:w="545"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tcW w:w="3063"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商务要求</w:t>
            </w:r>
            <w:r/>
          </w:p>
        </w:tc>
        <w:tc>
          <w:tcPr>
            <w:tcW w:w="2999"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投标响应情况</w:t>
            </w:r>
            <w:r/>
          </w:p>
        </w:tc>
        <w:tc>
          <w:tcPr>
            <w:tcW w:w="2320"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超出、符合或偏离</w:t>
            </w:r>
            <w:r/>
          </w:p>
        </w:tc>
      </w:tr>
      <w:tr>
        <w:trPr>
          <w:cantSplit/>
          <w:trHeight w:val="640"/>
        </w:trPr>
        <w:tc>
          <w:tcPr>
            <w:tcW w:w="545" w:type="dxa"/>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tcW w:w="3063"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c>
          <w:tcPr>
            <w:tcW w:w="2999"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c>
          <w:tcPr>
            <w:tcW w:w="232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640"/>
        </w:trPr>
        <w:tc>
          <w:tcPr>
            <w:tcW w:w="545"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c>
          <w:tcPr>
            <w:tcW w:w="3063" w:type="dxa"/>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tc>
        <w:tc>
          <w:tcPr>
            <w:tcW w:w="2999"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c>
          <w:tcPr>
            <w:tcW w:w="232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bl>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附件5-1  证明材料1，证明材料2，……</w:t>
      </w:r>
      <w:r/>
    </w:p>
    <w:p>
      <w:pP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spacing w:line="480" w:lineRule="exact"/>
        <w:rPr>
          <w:rFonts w:ascii="宋体" w:hAnsi="宋体" w:cs="宋体"/>
          <w:color w:val="auto"/>
          <w:sz w:val="28"/>
          <w:szCs w:val="28"/>
          <w:highlight w:val="none"/>
        </w:rPr>
        <w:outlineLvl w:val="2"/>
      </w:pPr>
      <w:r/>
      <w:bookmarkStart w:id="174" w:name="_Toc12886"/>
      <w:r>
        <w:rPr>
          <w:rFonts w:hint="eastAsia" w:ascii="宋体" w:hAnsi="宋体" w:cs="宋体"/>
          <w:color w:val="auto"/>
          <w:sz w:val="28"/>
          <w:szCs w:val="28"/>
          <w:highlight w:val="none"/>
        </w:rPr>
        <w:t xml:space="preserve">1.投标人需对商务要求逐条做出明确响应。</w:t>
      </w:r>
      <w:bookmarkEnd w:id="174"/>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2.如果招标文件要求提供证明材料，投标人需将证明材料列于该表之下。</w:t>
      </w:r>
      <w:r/>
    </w:p>
    <w:p>
      <w:pPr>
        <w:contextualSpacing/>
        <w:spacing w:line="30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783"/>
        <w:ind w:firstLine="240"/>
        <w:rPr>
          <w:rFonts w:ascii="宋体" w:hAnsi="宋体" w:cs="宋体"/>
          <w:color w:val="auto"/>
          <w:highlight w:val="none"/>
        </w:rPr>
      </w:pPr>
      <w:r>
        <w:rPr>
          <w:rFonts w:ascii="宋体" w:hAnsi="宋体" w:cs="宋体"/>
          <w:color w:val="auto"/>
          <w:highlight w:val="none"/>
        </w:rPr>
      </w:r>
      <w:r/>
    </w:p>
    <w:p>
      <w:pPr>
        <w:contextualSpacing/>
        <w:ind w:firstLine="560"/>
        <w:spacing w:line="460" w:lineRule="exact"/>
        <w:tabs>
          <w:tab w:val="left" w:pos="1260" w:leader="none"/>
        </w:tabs>
        <w:rPr>
          <w:rFonts w:ascii="宋体" w:hAnsi="宋体" w:cs="宋体"/>
          <w:bCs/>
          <w:color w:val="auto"/>
          <w:sz w:val="28"/>
          <w:szCs w:val="28"/>
          <w:highlight w:val="none"/>
        </w:rPr>
      </w:pPr>
      <w:r>
        <w:rPr>
          <w:rFonts w:hint="eastAsia" w:ascii="宋体" w:hAnsi="宋体" w:cs="宋体"/>
          <w:bCs/>
          <w:color w:val="auto"/>
          <w:sz w:val="28"/>
          <w:szCs w:val="28"/>
          <w:highlight w:val="none"/>
        </w:rPr>
        <w:br w:type="page" w:clear="all"/>
      </w:r>
      <w:r>
        <w:rPr>
          <w:rFonts w:hint="eastAsia" w:ascii="宋体" w:hAnsi="宋体" w:cs="宋体"/>
          <w:bCs/>
          <w:color w:val="auto"/>
          <w:sz w:val="28"/>
          <w:szCs w:val="28"/>
          <w:highlight w:val="none"/>
        </w:rPr>
        <w:t xml:space="preserve">附件6</w:t>
      </w:r>
      <w:r/>
    </w:p>
    <w:p>
      <w:pPr>
        <w:jc w:val="center"/>
        <w:spacing w:before="240"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投标人信用承诺书</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为营造公开、公平、公正的公共资源交易环境，树立诚信守法的投标人形象，本人代表本单位作出以下承诺：</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二、严格依照国家和省、市、县关于政府采购等方面的法律、法规、规章、规范性文件，参加公共资源交易招标投标活动；积极履行社会责任，促进廉政建设；</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三、严格遵守即时信息公示规定，及时更新公共资源交易中心主体信息库中信息；</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四、自我约束、自我管理，守合同、重信用，不参与围标串标、弄虚作假、骗取中标、干扰评标、违约毁约、恶意投诉等行为，主动维护公共资源交易招标投标的良好秩序；</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六、自觉接受政府部门、行业组织、社会公众、新闻舆论等监督；</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七、上述承诺已向本单位员工作了宣传教育；</w:t>
      </w:r>
      <w:r/>
    </w:p>
    <w:p>
      <w:pPr>
        <w:ind w:right="1560"/>
        <w:jc w:val="left"/>
        <w:spacing w:line="460" w:lineRule="exact"/>
        <w:tabs>
          <w:tab w:val="left" w:pos="4860" w:leader="none"/>
        </w:tabs>
        <w:rPr>
          <w:rFonts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如有违反上述承诺的不良行为，本单位同意将其予以上网公示。</w:t>
      </w:r>
      <w:r/>
    </w:p>
    <w:p>
      <w:pPr>
        <w:ind w:firstLine="3080"/>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3080"/>
        <w:spacing w:line="460" w:lineRule="exact"/>
        <w:rPr>
          <w:rFonts w:ascii="宋体" w:hAnsi="宋体" w:cs="宋体"/>
          <w:color w:val="auto"/>
          <w:sz w:val="28"/>
          <w:szCs w:val="28"/>
          <w:highlight w:val="none"/>
          <w:u w:val="single"/>
          <w:lang w:val="zh-CN"/>
        </w:rPr>
      </w:pPr>
      <w:r>
        <w:rPr>
          <w:rFonts w:hint="eastAsia" w:ascii="宋体" w:hAnsi="宋体" w:cs="宋体"/>
          <w:color w:val="auto"/>
          <w:sz w:val="28"/>
          <w:szCs w:val="28"/>
          <w:highlight w:val="none"/>
          <w:lang w:val="zh-CN"/>
        </w:rPr>
        <w:t xml:space="preserve">投标</w:t>
      </w:r>
      <w:r>
        <w:rPr>
          <w:rFonts w:hint="eastAsia" w:ascii="宋体" w:hAnsi="宋体" w:cs="宋体"/>
          <w:color w:val="auto"/>
          <w:sz w:val="28"/>
          <w:szCs w:val="28"/>
          <w:highlight w:val="none"/>
        </w:rPr>
        <w:t xml:space="preserve">人</w:t>
      </w:r>
      <w:r>
        <w:rPr>
          <w:rFonts w:hint="eastAsia" w:ascii="宋体" w:hAnsi="宋体" w:cs="宋体"/>
          <w:color w:val="auto"/>
          <w:sz w:val="28"/>
          <w:szCs w:val="28"/>
          <w:highlight w:val="none"/>
          <w:lang w:val="zh-CN"/>
        </w:rPr>
        <w:t xml:space="preserve">全称(</w:t>
      </w:r>
      <w:r>
        <w:rPr>
          <w:rFonts w:hint="eastAsia" w:ascii="宋体" w:hAnsi="宋体" w:cs="宋体"/>
          <w:color w:val="auto"/>
          <w:sz w:val="28"/>
          <w:szCs w:val="28"/>
          <w:highlight w:val="none"/>
        </w:rPr>
        <w:t xml:space="preserve">加盖CA电子签章</w:t>
      </w:r>
      <w:r>
        <w:rPr>
          <w:rFonts w:hint="eastAsia" w:ascii="宋体" w:hAnsi="宋体" w:cs="宋体"/>
          <w:color w:val="auto"/>
          <w:sz w:val="28"/>
          <w:szCs w:val="28"/>
          <w:highlight w:val="none"/>
          <w:lang w:val="zh-CN"/>
        </w:rPr>
        <w:t xml:space="preserve">)：</w:t>
      </w:r>
      <w:r/>
    </w:p>
    <w:p>
      <w:pPr>
        <w:ind w:firstLine="3080"/>
        <w:spacing w:line="460" w:lineRule="exact"/>
        <w:rPr>
          <w:rFonts w:ascii="宋体" w:hAnsi="宋体" w:cs="宋体"/>
          <w:color w:val="auto"/>
          <w:sz w:val="28"/>
          <w:szCs w:val="28"/>
          <w:highlight w:val="none"/>
          <w:u w:val="single"/>
          <w:lang w:val="zh-CN"/>
        </w:rPr>
      </w:pPr>
      <w:r>
        <w:rPr>
          <w:rFonts w:hint="eastAsia" w:ascii="宋体" w:hAnsi="宋体" w:cs="宋体"/>
          <w:color w:val="auto"/>
          <w:sz w:val="28"/>
          <w:szCs w:val="28"/>
          <w:highlight w:val="none"/>
          <w:lang w:val="zh-CN"/>
        </w:rPr>
        <w:t xml:space="preserve">法定代表人（签字或</w:t>
      </w:r>
      <w:r>
        <w:rPr>
          <w:rFonts w:hint="eastAsia" w:ascii="宋体" w:hAnsi="宋体" w:cs="宋体"/>
          <w:color w:val="auto"/>
          <w:sz w:val="28"/>
          <w:szCs w:val="28"/>
          <w:highlight w:val="none"/>
        </w:rPr>
        <w:t xml:space="preserve">加盖CA电子签章）</w:t>
      </w:r>
      <w:r>
        <w:rPr>
          <w:rFonts w:hint="eastAsia" w:ascii="宋体" w:hAnsi="宋体" w:cs="宋体"/>
          <w:color w:val="auto"/>
          <w:sz w:val="28"/>
          <w:szCs w:val="28"/>
          <w:highlight w:val="none"/>
          <w:lang w:val="zh-CN"/>
        </w:rPr>
        <w:t xml:space="preserve">：</w:t>
      </w:r>
      <w:r/>
    </w:p>
    <w:p>
      <w:pPr>
        <w:ind w:firstLine="308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时间：  年  月   日</w:t>
      </w:r>
      <w:r/>
    </w:p>
    <w:p>
      <w:pPr>
        <w:spacing w:line="460" w:lineRule="exact"/>
        <w:rPr>
          <w:rFonts w:ascii="宋体" w:hAnsi="宋体" w:cs="宋体"/>
          <w:color w:val="auto"/>
          <w:sz w:val="28"/>
          <w:szCs w:val="28"/>
          <w:highlight w:val="none"/>
        </w:rPr>
        <w:sectPr>
          <w:footnotePr/>
          <w:endnotePr/>
          <w:type w:val="nextPage"/>
          <w:pgSz w:w="11907" w:h="16839" w:orient="portrait"/>
          <w:pgMar w:top="1440" w:right="1800" w:bottom="1440" w:left="1800" w:header="720" w:footer="720" w:gutter="0"/>
          <w:cols w:num="1" w:sep="0" w:space="720" w:equalWidth="1"/>
          <w:docGrid w:linePitch="360"/>
        </w:sectPr>
      </w:pPr>
      <w:r>
        <w:rPr>
          <w:rFonts w:ascii="宋体" w:hAnsi="宋体" w:cs="宋体"/>
          <w:color w:val="auto"/>
          <w:sz w:val="28"/>
          <w:szCs w:val="28"/>
          <w:highlight w:val="none"/>
        </w:rPr>
      </w:r>
      <w:r/>
    </w:p>
    <w:p>
      <w:pPr>
        <w:contextualSpacing/>
        <w:ind w:firstLine="640"/>
        <w:spacing w:line="400" w:lineRule="exact"/>
        <w:rPr>
          <w:rFonts w:ascii="宋体" w:hAnsi="宋体" w:cs="宋体"/>
          <w:color w:val="auto"/>
          <w:sz w:val="32"/>
          <w:szCs w:val="32"/>
          <w:highlight w:val="none"/>
        </w:rPr>
        <w:outlineLvl w:val="3"/>
      </w:pP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rPr>
        <w:t xml:space="preserve">7</w:t>
      </w:r>
      <w:r/>
    </w:p>
    <w:p>
      <w:pPr>
        <w:jc w:val="center"/>
        <w:rPr>
          <w:rFonts w:ascii="宋体" w:hAnsi="宋体" w:cs="宋体"/>
          <w:b/>
          <w:color w:val="auto"/>
          <w:sz w:val="30"/>
          <w:szCs w:val="30"/>
          <w:highlight w:val="none"/>
        </w:rPr>
      </w:pPr>
      <w:r>
        <w:rPr>
          <w:rFonts w:ascii="宋体" w:hAnsi="宋体" w:cs="宋体"/>
          <w:b/>
          <w:color w:val="auto"/>
          <w:sz w:val="30"/>
          <w:szCs w:val="30"/>
          <w:highlight w:val="none"/>
        </w:rPr>
      </w:r>
      <w:r/>
    </w:p>
    <w:p>
      <w:pPr>
        <w:jc w:val="center"/>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4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投标人符合《中华人民共和国政府采购法》第二十二条规定条件的声明函</w:t>
      </w:r>
      <w:r/>
    </w:p>
    <w:p>
      <w:pPr>
        <w:spacing w:line="40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560"/>
        <w:spacing w:line="400" w:lineRule="exact"/>
        <w:rPr>
          <w:rFonts w:ascii="宋体" w:hAnsi="宋体" w:cs="宋体"/>
          <w:b/>
          <w:bCs/>
          <w:color w:val="auto"/>
          <w:sz w:val="28"/>
          <w:szCs w:val="28"/>
          <w:highlight w:val="none"/>
        </w:rPr>
      </w:pPr>
      <w:r>
        <w:rPr>
          <w:rFonts w:hint="eastAsia" w:ascii="宋体" w:hAnsi="宋体" w:cs="宋体"/>
          <w:bCs/>
          <w:color w:val="auto"/>
          <w:sz w:val="28"/>
          <w:szCs w:val="28"/>
          <w:highlight w:val="none"/>
        </w:rPr>
        <w:t xml:space="preserve">我单位参加</w:t>
      </w:r>
      <w:r>
        <w:rPr>
          <w:rFonts w:hint="eastAsia" w:ascii="宋体" w:hAnsi="宋体" w:cs="宋体"/>
          <w:bCs/>
          <w:color w:val="auto"/>
          <w:sz w:val="28"/>
          <w:szCs w:val="28"/>
          <w:highlight w:val="none"/>
          <w:u w:val="single"/>
        </w:rPr>
        <w:t xml:space="preserve">________________ _</w:t>
      </w:r>
      <w:r>
        <w:rPr>
          <w:rFonts w:hint="eastAsia" w:ascii="宋体" w:hAnsi="宋体" w:cs="宋体"/>
          <w:bCs/>
          <w:color w:val="auto"/>
          <w:sz w:val="28"/>
          <w:szCs w:val="28"/>
          <w:highlight w:val="none"/>
        </w:rPr>
        <w:t xml:space="preserve">（项目名称），</w:t>
      </w:r>
      <w:r>
        <w:rPr>
          <w:rFonts w:hint="eastAsia" w:ascii="宋体" w:hAnsi="宋体" w:cs="宋体"/>
          <w:bCs/>
          <w:color w:val="auto"/>
          <w:sz w:val="28"/>
          <w:szCs w:val="28"/>
          <w:highlight w:val="none"/>
          <w:u w:val="single"/>
        </w:rPr>
        <w:t xml:space="preserve">_______ __________</w:t>
      </w:r>
      <w:r>
        <w:rPr>
          <w:rFonts w:hint="eastAsia" w:ascii="宋体" w:hAnsi="宋体" w:cs="宋体"/>
          <w:bCs/>
          <w:color w:val="auto"/>
          <w:sz w:val="28"/>
          <w:szCs w:val="28"/>
          <w:highlight w:val="none"/>
        </w:rPr>
        <w:t xml:space="preserve">（项目编号）投标活动。针对《中华人民共和国政府采购法》第二十二条规定做出如下声明：</w:t>
      </w:r>
      <w:r/>
    </w:p>
    <w:p>
      <w:pPr>
        <w:ind w:firstLine="560"/>
        <w:spacing w:line="40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1.我单位具有独立承担民事责任的能力；</w:t>
      </w:r>
      <w:r/>
    </w:p>
    <w:p>
      <w:pPr>
        <w:ind w:firstLine="56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2.我单位具有良好的商业信誉和健全的财务会计制度；</w:t>
      </w:r>
      <w:r/>
    </w:p>
    <w:p>
      <w:pPr>
        <w:ind w:firstLine="56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3.我单位具有履行合同所必需的设备和专业技术能力；</w:t>
      </w:r>
      <w:r/>
    </w:p>
    <w:p>
      <w:pPr>
        <w:ind w:firstLine="56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4.我单位有依法缴纳税收和社会保障资金的良好记录；</w:t>
      </w:r>
      <w:r/>
    </w:p>
    <w:p>
      <w:pPr>
        <w:ind w:firstLine="56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spacing w:line="400" w:lineRule="exact"/>
        <w:rPr>
          <w:rFonts w:ascii="宋体" w:hAnsi="宋体" w:cs="宋体"/>
          <w:color w:val="auto"/>
          <w:sz w:val="28"/>
          <w:szCs w:val="28"/>
          <w:highlight w:val="none"/>
        </w:rPr>
        <w:outlineLvl w:val="2"/>
      </w:pPr>
      <w:r/>
      <w:bookmarkStart w:id="175" w:name="_Toc9266"/>
      <w:r>
        <w:rPr>
          <w:rFonts w:hint="eastAsia" w:ascii="宋体" w:hAnsi="宋体" w:cs="宋体"/>
          <w:color w:val="auto"/>
          <w:sz w:val="28"/>
          <w:szCs w:val="28"/>
          <w:highlight w:val="none"/>
        </w:rPr>
        <w:t xml:space="preserve">6.我单位满足法律、行政法规规定的其他条件。</w:t>
      </w:r>
      <w:bookmarkEnd w:id="175"/>
      <w:r/>
      <w:r/>
    </w:p>
    <w:p>
      <w:pPr>
        <w:ind w:firstLine="560"/>
        <w:spacing w:line="40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40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40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ind w:firstLine="560"/>
        <w:spacing w:line="40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ind w:firstLine="560"/>
        <w:spacing w:line="40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ind w:firstLine="560"/>
        <w:jc w:val="center"/>
        <w:spacing w:line="4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承诺人名称（</w:t>
      </w:r>
      <w:r>
        <w:rPr>
          <w:rFonts w:hint="eastAsia" w:ascii="宋体" w:hAnsi="宋体" w:cs="宋体"/>
          <w:color w:val="auto"/>
          <w:sz w:val="28"/>
          <w:szCs w:val="28"/>
          <w:highlight w:val="none"/>
        </w:rPr>
        <w:t xml:space="preserve">加盖CA电子签章</w:t>
      </w:r>
      <w:r>
        <w:rPr>
          <w:rFonts w:hint="eastAsia" w:ascii="宋体" w:hAnsi="宋体" w:cs="宋体"/>
          <w:bCs/>
          <w:color w:val="auto"/>
          <w:sz w:val="28"/>
          <w:szCs w:val="28"/>
          <w:highlight w:val="none"/>
        </w:rPr>
        <w:t xml:space="preserve">）：</w:t>
      </w:r>
      <w:r/>
    </w:p>
    <w:p>
      <w:pPr>
        <w:ind w:firstLine="560"/>
        <w:jc w:val="right"/>
        <w:spacing w:line="40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ind w:firstLine="560"/>
        <w:jc w:val="right"/>
        <w:spacing w:line="4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日期：</w:t>
      </w:r>
      <w:r>
        <w:rPr>
          <w:rFonts w:hint="eastAsia" w:ascii="宋体" w:hAnsi="宋体" w:cs="宋体"/>
          <w:bCs/>
          <w:color w:val="auto"/>
          <w:sz w:val="28"/>
          <w:szCs w:val="28"/>
          <w:highlight w:val="none"/>
          <w:u w:val="single"/>
        </w:rPr>
        <w:t xml:space="preserve">______</w:t>
      </w:r>
      <w:r>
        <w:rPr>
          <w:rFonts w:hint="eastAsia" w:ascii="宋体" w:hAnsi="宋体" w:cs="宋体"/>
          <w:bCs/>
          <w:color w:val="auto"/>
          <w:sz w:val="28"/>
          <w:szCs w:val="28"/>
          <w:highlight w:val="none"/>
        </w:rPr>
        <w:t xml:space="preserve">年月日</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spacing w:line="400" w:lineRule="exact"/>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contextualSpacing/>
        <w:spacing w:line="460" w:lineRule="exact"/>
        <w:rPr>
          <w:rFonts w:ascii="宋体" w:hAnsi="宋体" w:cs="宋体"/>
          <w:b/>
          <w:bCs/>
          <w:color w:val="auto"/>
          <w:sz w:val="28"/>
          <w:szCs w:val="28"/>
          <w:highlight w:val="none"/>
        </w:rPr>
        <w:outlineLvl w:val="3"/>
      </w:pPr>
      <w:r>
        <w:rPr>
          <w:rFonts w:hint="eastAsia" w:ascii="宋体" w:hAnsi="宋体" w:cs="宋体"/>
          <w:color w:val="auto"/>
          <w:sz w:val="28"/>
          <w:szCs w:val="28"/>
          <w:highlight w:val="none"/>
          <w:lang w:val="zh-CN"/>
        </w:rPr>
        <w:t xml:space="preserve">附件</w:t>
      </w:r>
      <w:r>
        <w:rPr>
          <w:rFonts w:hint="eastAsia" w:ascii="宋体" w:hAnsi="宋体" w:cs="宋体"/>
          <w:color w:val="auto"/>
          <w:sz w:val="28"/>
          <w:szCs w:val="28"/>
          <w:highlight w:val="none"/>
        </w:rPr>
        <w:t xml:space="preserve">8</w:t>
      </w:r>
      <w:r/>
    </w:p>
    <w:p>
      <w:pPr>
        <w:jc w:val="center"/>
        <w:spacing w:line="46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法定代表人身份证明</w:t>
      </w:r>
      <w:r/>
    </w:p>
    <w:p>
      <w:pPr>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先生/女士： 现任我单位职务，为法定代表人，特此证明。</w:t>
      </w:r>
      <w:r/>
    </w:p>
    <w:p>
      <w:pPr>
        <w:ind w:firstLine="480"/>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身份证号码：</w:t>
      </w:r>
      <w:r/>
    </w:p>
    <w:p>
      <w:pPr>
        <w:ind w:firstLine="480"/>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注：提供法定代表人的身份证复印件</w:t>
      </w:r>
      <w:r/>
    </w:p>
    <w:p>
      <w:pPr>
        <w:ind w:firstLine="560"/>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highlight w:val="none"/>
        </w:rPr>
      </w:pPr>
      <w:r>
        <w:rPr>
          <w:rFonts w:ascii="宋体" w:hAnsi="宋体" w:cs="宋体"/>
          <w:color w:val="auto"/>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spacing w:line="400" w:lineRule="exact"/>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contextualSpacing/>
        <w:spacing w:line="400" w:lineRule="exact"/>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br w:type="page" w:clear="all"/>
      </w:r>
      <w:r/>
    </w:p>
    <w:p>
      <w:pPr>
        <w:contextualSpacing/>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附件</w:t>
      </w:r>
      <w:r>
        <w:rPr>
          <w:rFonts w:hint="eastAsia" w:ascii="宋体" w:hAnsi="宋体" w:cs="宋体"/>
          <w:color w:val="auto"/>
          <w:sz w:val="28"/>
          <w:szCs w:val="28"/>
          <w:highlight w:val="none"/>
        </w:rPr>
        <w:t xml:space="preserve">9</w:t>
      </w:r>
      <w:r/>
    </w:p>
    <w:p>
      <w:pPr>
        <w:jc w:val="center"/>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cente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法定代表人授权委托书</w:t>
      </w:r>
      <w:r/>
    </w:p>
    <w:p>
      <w:pPr>
        <w:ind w:firstLine="560"/>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本授权书于---年---月---日起生效。代理人无转委托权。</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代理人(被授权人姓名):------</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代理人联系方式：</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授权单位名称（盖章）：-----</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授权单位法定代表人（签字或盖章）：-----</w:t>
      </w:r>
      <w:r/>
    </w:p>
    <w:p>
      <w:pPr>
        <w:ind w:firstLine="560"/>
        <w:jc w:val="right"/>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right"/>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right"/>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XXXX年XX月XX日</w:t>
      </w:r>
      <w:r/>
    </w:p>
    <w:p>
      <w:pPr>
        <w:contextualSpacing/>
        <w:ind w:firstLine="562"/>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62"/>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62"/>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注：提供投标代表本人身份证复印件</w:t>
      </w:r>
      <w:r/>
    </w:p>
    <w:p>
      <w:pPr>
        <w:contextualSpacing/>
        <w:ind w:firstLine="562"/>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color w:val="auto"/>
          <w:sz w:val="28"/>
          <w:szCs w:val="28"/>
          <w:highlight w:val="none"/>
        </w:rPr>
      </w:pPr>
      <w:r>
        <w:rPr>
          <w:rFonts w:ascii="宋体" w:hAnsi="宋体" w:cs="宋体"/>
          <w:color w:val="auto"/>
          <w:sz w:val="28"/>
          <w:szCs w:val="28"/>
          <w:highlight w:val="none"/>
        </w:rPr>
      </w:r>
      <w:r/>
    </w:p>
    <w:p>
      <w:pPr>
        <w:contextualSpacing/>
        <w:ind w:firstLine="537"/>
        <w:spacing w:line="400" w:lineRule="exact"/>
        <w:rPr>
          <w:rFonts w:ascii="宋体" w:hAnsi="宋体" w:cs="宋体"/>
          <w:color w:val="auto"/>
          <w:sz w:val="28"/>
          <w:szCs w:val="28"/>
          <w:highlight w:val="none"/>
        </w:rPr>
      </w:pPr>
      <w:r>
        <w:rPr>
          <w:rFonts w:ascii="宋体" w:hAnsi="宋体" w:cs="宋体"/>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contextualSpacing/>
        <w:spacing w:line="400" w:lineRule="exact"/>
        <w:rPr>
          <w:rFonts w:ascii="宋体" w:hAnsi="宋体" w:cs="宋体"/>
          <w:b/>
          <w:color w:val="auto"/>
          <w:sz w:val="28"/>
          <w:szCs w:val="28"/>
          <w:highlight w:val="none"/>
        </w:rPr>
      </w:pPr>
      <w:r>
        <w:rPr>
          <w:rFonts w:hint="eastAsia" w:ascii="宋体" w:hAnsi="宋体" w:cs="宋体"/>
          <w:color w:val="auto"/>
          <w:sz w:val="28"/>
          <w:szCs w:val="28"/>
          <w:highlight w:val="none"/>
        </w:rPr>
        <w:t xml:space="preserve">附件10</w:t>
      </w:r>
      <w:r/>
    </w:p>
    <w:p>
      <w:pPr>
        <w:ind w:firstLine="281"/>
        <w:jc w:val="center"/>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中小微企业声明函（货物类项目）</w:t>
      </w:r>
      <w:r/>
    </w:p>
    <w:p>
      <w:pPr>
        <w:ind w:firstLine="420"/>
        <w:spacing w:line="320" w:lineRule="exact"/>
        <w:rPr>
          <w:rFonts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highlight w:val="none"/>
          <w:u w:val="single"/>
        </w:rPr>
        <w:t xml:space="preserve">（采购单位名称）</w:t>
      </w:r>
      <w:r>
        <w:rPr>
          <w:rFonts w:hint="eastAsia" w:ascii="宋体" w:hAnsi="宋体" w:cs="宋体"/>
          <w:color w:val="auto"/>
          <w:sz w:val="24"/>
          <w:highlight w:val="none"/>
        </w:rPr>
        <w:t xml:space="preserve">采购编号为，</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20"/>
        <w:spacing w:line="320" w:lineRule="exact"/>
        <w:rPr>
          <w:rFonts w:ascii="宋体" w:hAnsi="宋体" w:cs="宋体"/>
          <w:i/>
          <w:color w:val="auto"/>
          <w:sz w:val="24"/>
          <w:highlight w:val="none"/>
          <w:u w:val="singl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（两联体上床下桌公寓床（含床架、组合桌柜、爬梯、蚊帐架））</w:t>
      </w:r>
      <w:r>
        <w:rPr>
          <w:rFonts w:hint="eastAsia" w:ascii="宋体" w:hAnsi="宋体" w:cs="宋体"/>
          <w:i/>
          <w:color w:val="auto"/>
          <w:sz w:val="24"/>
          <w:highlight w:val="none"/>
        </w:rPr>
        <w:t xml:space="preserve">，</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工业</w:t>
      </w:r>
      <w:r>
        <w:rPr>
          <w:rFonts w:hint="eastAsia" w:ascii="宋体" w:hAnsi="宋体" w:cs="宋体"/>
          <w:color w:val="auto"/>
          <w:sz w:val="24"/>
          <w:highlight w:val="none"/>
        </w:rPr>
        <w:t xml:space="preserve">行业；制造商为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 □小型企业 □微型企业）；</w:t>
      </w:r>
      <w:r/>
    </w:p>
    <w:p>
      <w:pPr>
        <w:ind w:firstLine="420"/>
        <w:spacing w:line="320" w:lineRule="exact"/>
        <w:rPr>
          <w:rFonts w:ascii="宋体" w:hAnsi="宋体" w:cs="宋体"/>
          <w:color w:val="auto"/>
          <w:sz w:val="24"/>
          <w:highlight w:val="none"/>
          <w:u w:val="singl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（三联体上床下桌公寓床（含床架、组合桌柜、爬梯、蚊帐架））</w:t>
      </w:r>
      <w:r>
        <w:rPr>
          <w:rFonts w:hint="eastAsia" w:ascii="宋体" w:hAnsi="宋体" w:cs="宋体"/>
          <w:i/>
          <w:color w:val="auto"/>
          <w:sz w:val="24"/>
          <w:highlight w:val="none"/>
        </w:rPr>
        <w:t xml:space="preserve">，</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工业</w:t>
      </w:r>
      <w:r>
        <w:rPr>
          <w:rFonts w:hint="eastAsia" w:ascii="宋体" w:hAnsi="宋体" w:cs="宋体"/>
          <w:color w:val="auto"/>
          <w:sz w:val="24"/>
          <w:highlight w:val="none"/>
        </w:rPr>
        <w:t xml:space="preserve">行业；制造商为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为万元，资产总额为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 □小型企业 □微型企业）；</w:t>
      </w:r>
      <w:r/>
    </w:p>
    <w:p>
      <w:pPr>
        <w:ind w:firstLine="420"/>
        <w:spacing w:line="320" w:lineRule="exact"/>
        <w:rPr>
          <w:color w:val="auto"/>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（公寓椅）</w:t>
      </w:r>
      <w:r>
        <w:rPr>
          <w:rFonts w:hint="eastAsia" w:ascii="宋体" w:hAnsi="宋体" w:cs="宋体"/>
          <w:i/>
          <w:color w:val="auto"/>
          <w:sz w:val="24"/>
          <w:highlight w:val="none"/>
        </w:rPr>
        <w:t xml:space="preserve">，</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工业</w:t>
      </w:r>
      <w:r>
        <w:rPr>
          <w:rFonts w:hint="eastAsia" w:ascii="宋体" w:hAnsi="宋体" w:cs="宋体"/>
          <w:color w:val="auto"/>
          <w:sz w:val="24"/>
          <w:highlight w:val="none"/>
        </w:rPr>
        <w:t xml:space="preserve">行业；制造商为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 □小型企业 □微型企业）；</w:t>
      </w:r>
      <w:r/>
    </w:p>
    <w:p>
      <w:pPr>
        <w:ind w:firstLine="420"/>
        <w:spacing w:line="320" w:lineRule="exact"/>
        <w:rPr>
          <w:rFonts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20"/>
        <w:spacing w:line="320" w:lineRule="exact"/>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right="180" w:firstLine="420"/>
        <w:jc w:val="right"/>
        <w:spacing w:line="320" w:lineRule="exact"/>
        <w:rPr>
          <w:rFonts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right="480" w:firstLine="6300"/>
        <w:spacing w:line="320" w:lineRule="exact"/>
        <w:rPr>
          <w:rFonts w:ascii="宋体" w:hAnsi="宋体" w:cs="宋体"/>
          <w:color w:val="auto"/>
          <w:sz w:val="24"/>
          <w:highlight w:val="none"/>
        </w:rPr>
      </w:pPr>
      <w:r>
        <w:rPr>
          <w:rFonts w:hint="eastAsia" w:ascii="宋体" w:hAnsi="宋体" w:cs="宋体"/>
          <w:color w:val="auto"/>
          <w:sz w:val="24"/>
          <w:highlight w:val="none"/>
        </w:rPr>
        <w:t xml:space="preserve">日  期：</w:t>
      </w:r>
      <w:r/>
    </w:p>
    <w:p>
      <w:pPr>
        <w:ind w:firstLine="560"/>
        <w:spacing w:line="320" w:lineRule="exact"/>
        <w:rPr>
          <w:rFonts w:ascii="宋体" w:hAnsi="宋体" w:cs="宋体"/>
          <w:color w:val="auto"/>
          <w:sz w:val="24"/>
          <w:highlight w:val="none"/>
        </w:rPr>
      </w:pPr>
      <w:r>
        <w:rPr>
          <w:rFonts w:hint="eastAsia" w:ascii="宋体" w:hAnsi="宋体" w:cs="宋体"/>
          <w:color w:val="auto"/>
          <w:sz w:val="24"/>
          <w:highlight w:val="none"/>
        </w:rPr>
        <w:t xml:space="preserve">备注：</w:t>
      </w:r>
      <w:r/>
    </w:p>
    <w:p>
      <w:pPr>
        <w:ind w:firstLine="562"/>
        <w:spacing w:line="320" w:lineRule="exact"/>
        <w:rPr>
          <w:rFonts w:ascii="宋体" w:hAnsi="宋体" w:cs="宋体"/>
          <w:color w:val="auto"/>
          <w:sz w:val="24"/>
          <w:highlight w:val="none"/>
        </w:rPr>
      </w:pPr>
      <w:r>
        <w:rPr>
          <w:rFonts w:hint="eastAsia" w:ascii="宋体" w:hAnsi="宋体" w:cs="宋体"/>
          <w:color w:val="auto"/>
          <w:sz w:val="24"/>
          <w:highlight w:val="none"/>
        </w:rPr>
        <w:t xml:space="preserve">1.从业人员、营业收入、资产总额填报上一年度数据，无上一年度数据的新成立企业可不填报。</w:t>
      </w:r>
      <w:r/>
    </w:p>
    <w:p>
      <w:pPr>
        <w:ind w:firstLine="562"/>
        <w:spacing w:line="32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b/>
          <w:bCs/>
          <w:color w:val="auto"/>
          <w:sz w:val="24"/>
          <w:highlight w:val="none"/>
        </w:rPr>
        <w:t xml:space="preserve">本项目所属行业为</w:t>
      </w:r>
      <w:r>
        <w:rPr>
          <w:rFonts w:hint="eastAsia" w:ascii="宋体" w:hAnsi="宋体" w:cs="宋体"/>
          <w:b/>
          <w:bCs/>
          <w:color w:val="auto"/>
          <w:sz w:val="24"/>
          <w:highlight w:val="none"/>
          <w:u w:val="single"/>
        </w:rPr>
        <w:t xml:space="preserve">工业</w:t>
      </w: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auto"/>
          <w:sz w:val="24"/>
          <w:highlight w:val="none"/>
        </w:rPr>
        <w:br/>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3.专门面向中小微型企业采购的项目，投标人如不提供此声明函，则不能通过资格审查；非专门面向中小微型企业采购的项目，投标人如不提供此声明函，价格将不做相应扣除。</w:t>
      </w:r>
      <w:r/>
    </w:p>
    <w:p>
      <w:pPr>
        <w:ind w:firstLine="562"/>
        <w:spacing w:line="320" w:lineRule="exact"/>
        <w:rPr>
          <w:rFonts w:ascii="宋体" w:hAnsi="宋体" w:cs="宋体"/>
          <w:color w:val="auto"/>
          <w:sz w:val="24"/>
          <w:highlight w:val="none"/>
        </w:rPr>
      </w:pPr>
      <w:r/>
      <w:bookmarkStart w:id="176" w:name="_Toc28642"/>
      <w:r>
        <w:rPr>
          <w:rFonts w:hint="eastAsia" w:ascii="宋体" w:hAnsi="宋体" w:cs="宋体"/>
          <w:color w:val="auto"/>
          <w:sz w:val="24"/>
          <w:highlight w:val="none"/>
        </w:rPr>
        <w:t xml:space="preserve">4.投标人自行勾选制造商的企业规模类型。</w:t>
      </w:r>
      <w:bookmarkEnd w:id="176"/>
      <w:r/>
      <w:r/>
    </w:p>
    <w:p>
      <w:pPr>
        <w:spacing w:line="480" w:lineRule="exact"/>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 xml:space="preserve">附件11</w:t>
      </w:r>
      <w:r/>
    </w:p>
    <w:p>
      <w:pPr>
        <w:ind w:left="561" w:hanging="141"/>
        <w:jc w:val="center"/>
        <w:spacing w:line="480" w:lineRule="exact"/>
        <w:rPr>
          <w:rFonts w:ascii="宋体" w:hAnsi="宋体" w:cs="宋体"/>
          <w:color w:val="auto"/>
          <w:sz w:val="28"/>
          <w:szCs w:val="28"/>
          <w:highlight w:val="none"/>
        </w:rPr>
        <w:outlineLvl w:val="1"/>
      </w:pPr>
      <w:r/>
      <w:bookmarkStart w:id="177" w:name="_Toc5882"/>
      <w:r>
        <w:rPr>
          <w:rFonts w:hint="eastAsia" w:ascii="宋体" w:hAnsi="宋体" w:cs="宋体"/>
          <w:b/>
          <w:color w:val="auto"/>
          <w:sz w:val="28"/>
          <w:szCs w:val="28"/>
          <w:highlight w:val="none"/>
        </w:rPr>
        <w:t xml:space="preserve">残疾人福利性单位声明函（货物类项目）（分包号：**）</w:t>
      </w:r>
      <w:bookmarkEnd w:id="177"/>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中国残疾人联合会关于促进残疾人就业政府采购政策的通知》（财库〔2017〕141号）的规定，本单位为符合条件的残疾人福利性单位，且本单位参加______单位的招标文件编号为JSZC-320000-</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的项目（分包号：**）采购活动提供本单位制造的货物，或者提供其他残疾人福利性单位制造的货物（不包括使用非残疾人福利性单位注册商标的货物）。</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本单位对上述声明的真实性负责。如有虚假，将依法承担相应责任。</w:t>
      </w:r>
      <w:r/>
    </w:p>
    <w:p>
      <w:pPr>
        <w:ind w:firstLine="560"/>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ind w:firstLine="562"/>
        <w:spacing w:line="48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1.专门面向中小微型企业采购的项目，投标人为残疾人福利性单位并提供本单位制造的货物，或者提供其他残疾人福利性单位制造的货物，必须提供此声明函，否则将不能通过资格审查。</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 非专门面向中小微型企业采购的项目，投标人如不提供此声明函，价格将不做相应扣除。</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3.中标人为残疾人福利性单位的，此声明函将随中标/成交结果同时公告，接受社会监督。</w:t>
      </w:r>
      <w:r/>
    </w:p>
    <w:p>
      <w:pPr>
        <w:ind w:firstLine="584"/>
        <w:spacing w:line="480" w:lineRule="exact"/>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ind w:right="1559" w:firstLine="584"/>
        <w:jc w:val="right"/>
        <w:spacing w:line="480" w:lineRule="exact"/>
        <w:tabs>
          <w:tab w:val="left" w:pos="486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投标人全称（加盖CA电子公章）：</w:t>
      </w:r>
      <w:r/>
    </w:p>
    <w:p>
      <w:pPr>
        <w:ind w:right="1559" w:firstLine="560"/>
        <w:jc w:val="right"/>
        <w:spacing w:line="480" w:lineRule="exact"/>
        <w:tabs>
          <w:tab w:val="left" w:pos="486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日  期：</w:t>
      </w:r>
      <w:r/>
    </w:p>
    <w:p>
      <w:pPr>
        <w:jc w:val="center"/>
        <w:spacing w:line="480" w:lineRule="exact"/>
        <w:rPr>
          <w:rFonts w:ascii="宋体" w:hAnsi="宋体" w:cs="宋体"/>
          <w:b/>
          <w:color w:val="auto"/>
          <w:sz w:val="28"/>
          <w:szCs w:val="28"/>
          <w:highlight w:val="none"/>
        </w:rPr>
      </w:pPr>
      <w:r>
        <w:rPr>
          <w:rFonts w:ascii="宋体" w:hAnsi="宋体" w:cs="宋体"/>
          <w:b/>
          <w:color w:val="auto"/>
          <w:sz w:val="28"/>
          <w:szCs w:val="28"/>
          <w:highlight w:val="none"/>
        </w:rPr>
      </w:r>
      <w:r/>
    </w:p>
    <w:p>
      <w:pPr>
        <w:ind w:firstLine="420"/>
        <w:rPr>
          <w:rFonts w:ascii="宋体" w:hAnsi="宋体" w:cs="宋体"/>
          <w:color w:val="auto"/>
          <w:sz w:val="28"/>
          <w:szCs w:val="28"/>
          <w:highlight w:val="none"/>
        </w:rPr>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00" w:lineRule="auto"/>
        <w:rPr>
          <w:rFonts w:ascii="宋体" w:hAnsi="宋体" w:cs="宋体"/>
          <w:color w:val="auto"/>
          <w:sz w:val="32"/>
          <w:szCs w:val="32"/>
          <w:highlight w:val="none"/>
        </w:rPr>
      </w:pPr>
      <w:r>
        <w:rPr>
          <w:rFonts w:ascii="宋体" w:hAnsi="宋体" w:cs="宋体"/>
          <w:color w:val="auto"/>
          <w:sz w:val="32"/>
          <w:szCs w:val="32"/>
          <w:highlight w:val="none"/>
        </w:rPr>
      </w:r>
      <w:r/>
    </w:p>
    <w:p>
      <w:pPr>
        <w:spacing w:line="30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附件12</w:t>
      </w:r>
      <w:r/>
    </w:p>
    <w:p>
      <w:pPr>
        <w:jc w:val="center"/>
        <w:spacing w:line="420" w:lineRule="exac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监狱和戒毒管理部门所属企业证明材料</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98"/>
        <w:jc w:val="center"/>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contextualSpacing/>
        <w:spacing w:line="300" w:lineRule="auto"/>
        <w:tabs>
          <w:tab w:val="left" w:pos="1260" w:leader="none"/>
        </w:tabs>
        <w:rPr>
          <w:rFonts w:ascii="宋体" w:hAnsi="宋体" w:cs="宋体"/>
          <w:color w:val="auto"/>
          <w:sz w:val="28"/>
          <w:szCs w:val="28"/>
          <w:highlight w:val="none"/>
        </w:rPr>
      </w:pPr>
      <w:r>
        <w:rPr>
          <w:rFonts w:ascii="宋体" w:hAnsi="宋体" w:cs="宋体"/>
          <w:color w:val="auto"/>
          <w:sz w:val="28"/>
          <w:szCs w:val="28"/>
          <w:highlight w:val="none"/>
        </w:rPr>
      </w:r>
      <w:r/>
    </w:p>
    <w:p>
      <w:pPr>
        <w:contextualSpacing/>
        <w:spacing w:line="300" w:lineRule="auto"/>
        <w:tabs>
          <w:tab w:val="left" w:pos="126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投标人属于监狱企业的证明文件。</w:t>
      </w:r>
      <w:r/>
    </w:p>
    <w:p>
      <w:pPr>
        <w:spacing w:line="300" w:lineRule="auto"/>
        <w:rPr>
          <w:rFonts w:ascii="宋体" w:hAnsi="宋体" w:cs="宋体"/>
          <w:color w:val="auto"/>
          <w:sz w:val="32"/>
          <w:szCs w:val="32"/>
          <w:highlight w:val="none"/>
        </w:rPr>
      </w:pPr>
      <w:r>
        <w:rPr>
          <w:rFonts w:ascii="宋体" w:hAnsi="宋体" w:cs="宋体"/>
          <w:color w:val="auto"/>
          <w:sz w:val="32"/>
          <w:szCs w:val="32"/>
          <w:highlight w:val="none"/>
        </w:rPr>
      </w:r>
      <w:r/>
    </w:p>
    <w:p>
      <w:pPr>
        <w:spacing w:line="300" w:lineRule="auto"/>
        <w:rPr>
          <w:rFonts w:ascii="宋体" w:hAnsi="宋体" w:cs="宋体"/>
          <w:color w:val="auto"/>
          <w:sz w:val="32"/>
          <w:szCs w:val="32"/>
          <w:highlight w:val="none"/>
        </w:rPr>
      </w:pPr>
      <w:r>
        <w:rPr>
          <w:rFonts w:ascii="宋体" w:hAnsi="宋体" w:cs="宋体"/>
          <w:color w:val="auto"/>
          <w:sz w:val="32"/>
          <w:szCs w:val="32"/>
          <w:highlight w:val="none"/>
        </w:rPr>
      </w:r>
      <w:r/>
    </w:p>
    <w:p>
      <w:pPr>
        <w:spacing w:line="300" w:lineRule="auto"/>
        <w:rPr>
          <w:rFonts w:ascii="宋体" w:hAnsi="宋体" w:cs="宋体"/>
          <w:color w:val="auto"/>
          <w:sz w:val="32"/>
          <w:szCs w:val="32"/>
          <w:highlight w:val="none"/>
        </w:rPr>
      </w:pPr>
      <w:r>
        <w:rPr>
          <w:rFonts w:ascii="宋体" w:hAnsi="宋体" w:cs="宋体"/>
          <w:color w:val="auto"/>
          <w:sz w:val="32"/>
          <w:szCs w:val="32"/>
          <w:highlight w:val="none"/>
        </w:rPr>
      </w:r>
      <w:r/>
    </w:p>
    <w:p>
      <w:pPr>
        <w:spacing w:line="300" w:lineRule="auto"/>
        <w:rPr>
          <w:rFonts w:ascii="宋体" w:hAnsi="宋体" w:cs="宋体"/>
          <w:color w:val="auto"/>
          <w:sz w:val="32"/>
          <w:szCs w:val="32"/>
          <w:highlight w:val="none"/>
        </w:rPr>
      </w:pPr>
      <w:r>
        <w:rPr>
          <w:rFonts w:ascii="宋体" w:hAnsi="宋体" w:cs="宋体"/>
          <w:color w:val="auto"/>
          <w:sz w:val="32"/>
          <w:szCs w:val="32"/>
          <w:highlight w:val="none"/>
        </w:rPr>
      </w:r>
      <w:r/>
    </w:p>
    <w:p>
      <w:pPr>
        <w:spacing w:line="300" w:lineRule="auto"/>
        <w:rPr>
          <w:rFonts w:ascii="宋体" w:hAnsi="宋体" w:cs="宋体"/>
          <w:color w:val="auto"/>
          <w:sz w:val="32"/>
          <w:szCs w:val="32"/>
          <w:highlight w:val="none"/>
        </w:rPr>
      </w:pPr>
      <w:r>
        <w:rPr>
          <w:rFonts w:ascii="宋体" w:hAnsi="宋体" w:cs="宋体"/>
          <w:color w:val="auto"/>
          <w:sz w:val="32"/>
          <w:szCs w:val="32"/>
          <w:highlight w:val="none"/>
        </w:rPr>
      </w:r>
      <w:r/>
    </w:p>
    <w:p>
      <w:pPr>
        <w:spacing w:line="300" w:lineRule="auto"/>
        <w:rPr>
          <w:rFonts w:ascii="宋体" w:hAnsi="宋体" w:cs="宋体"/>
          <w:color w:val="auto"/>
          <w:sz w:val="32"/>
          <w:szCs w:val="32"/>
          <w:highlight w:val="none"/>
        </w:rPr>
      </w:pPr>
      <w:r>
        <w:rPr>
          <w:rFonts w:ascii="宋体" w:hAnsi="宋体" w:cs="宋体"/>
          <w:color w:val="auto"/>
          <w:sz w:val="32"/>
          <w:szCs w:val="32"/>
          <w:highlight w:val="none"/>
        </w:rPr>
      </w:r>
      <w:r/>
    </w:p>
    <w:p>
      <w:pPr>
        <w:spacing w:line="300" w:lineRule="auto"/>
        <w:rPr>
          <w:rFonts w:ascii="宋体" w:hAnsi="宋体" w:cs="宋体"/>
          <w:color w:val="auto"/>
          <w:sz w:val="32"/>
          <w:szCs w:val="32"/>
          <w:highlight w:val="none"/>
        </w:rPr>
      </w:pPr>
      <w:r>
        <w:rPr>
          <w:rFonts w:ascii="宋体" w:hAnsi="宋体" w:cs="宋体"/>
          <w:color w:val="auto"/>
          <w:sz w:val="32"/>
          <w:szCs w:val="32"/>
          <w:highlight w:val="none"/>
        </w:rPr>
      </w:r>
      <w:r/>
    </w:p>
    <w:p>
      <w:pPr>
        <w:spacing w:line="300" w:lineRule="auto"/>
        <w:rPr>
          <w:rFonts w:ascii="宋体" w:hAnsi="宋体" w:cs="宋体"/>
          <w:color w:val="auto"/>
          <w:sz w:val="32"/>
          <w:szCs w:val="32"/>
          <w:highlight w:val="none"/>
        </w:rPr>
      </w:pPr>
      <w:r>
        <w:rPr>
          <w:rFonts w:ascii="宋体" w:hAnsi="宋体" w:cs="宋体"/>
          <w:color w:val="auto"/>
          <w:sz w:val="32"/>
          <w:szCs w:val="32"/>
          <w:highlight w:val="none"/>
        </w:rPr>
      </w:r>
      <w:r/>
    </w:p>
    <w:p>
      <w:pPr>
        <w:spacing w:line="300" w:lineRule="auto"/>
        <w:rPr>
          <w:rFonts w:ascii="宋体" w:hAnsi="宋体" w:cs="宋体"/>
          <w:color w:val="auto"/>
          <w:sz w:val="32"/>
          <w:szCs w:val="32"/>
          <w:highlight w:val="none"/>
        </w:rPr>
      </w:pPr>
      <w:r>
        <w:rPr>
          <w:rFonts w:ascii="宋体" w:hAnsi="宋体" w:cs="宋体"/>
          <w:color w:val="auto"/>
          <w:sz w:val="32"/>
          <w:szCs w:val="32"/>
          <w:highlight w:val="none"/>
        </w:rPr>
      </w:r>
      <w:r/>
    </w:p>
    <w:p>
      <w:pPr>
        <w:spacing w:line="300" w:lineRule="auto"/>
        <w:rPr>
          <w:rFonts w:ascii="宋体" w:hAnsi="宋体" w:cs="宋体"/>
          <w:color w:val="auto"/>
          <w:sz w:val="32"/>
          <w:szCs w:val="32"/>
          <w:highlight w:val="none"/>
        </w:rPr>
      </w:pPr>
      <w:r>
        <w:rPr>
          <w:rFonts w:ascii="宋体" w:hAnsi="宋体" w:cs="宋体"/>
          <w:color w:val="auto"/>
          <w:sz w:val="32"/>
          <w:szCs w:val="32"/>
          <w:highlight w:val="none"/>
        </w:rPr>
      </w:r>
      <w:r/>
    </w:p>
    <w:p>
      <w:pPr>
        <w:spacing w:line="300" w:lineRule="auto"/>
        <w:rPr>
          <w:rFonts w:ascii="宋体" w:hAnsi="宋体" w:cs="宋体"/>
          <w:color w:val="auto"/>
          <w:sz w:val="32"/>
          <w:szCs w:val="32"/>
          <w:highlight w:val="none"/>
        </w:rPr>
      </w:pPr>
      <w:r>
        <w:rPr>
          <w:rFonts w:ascii="宋体" w:hAnsi="宋体" w:cs="宋体"/>
          <w:color w:val="auto"/>
          <w:sz w:val="32"/>
          <w:szCs w:val="32"/>
          <w:highlight w:val="none"/>
        </w:rPr>
      </w:r>
      <w:r/>
    </w:p>
    <w:p>
      <w:pPr>
        <w:spacing w:line="300" w:lineRule="auto"/>
        <w:rPr>
          <w:rFonts w:ascii="宋体" w:hAnsi="宋体" w:cs="宋体"/>
          <w:color w:val="auto"/>
          <w:sz w:val="32"/>
          <w:szCs w:val="32"/>
          <w:highlight w:val="none"/>
        </w:rPr>
      </w:pPr>
      <w:r>
        <w:rPr>
          <w:rFonts w:ascii="宋体" w:hAnsi="宋体" w:cs="宋体"/>
          <w:color w:val="auto"/>
          <w:sz w:val="32"/>
          <w:szCs w:val="32"/>
          <w:highlight w:val="none"/>
        </w:rPr>
      </w:r>
      <w:r/>
    </w:p>
    <w:p>
      <w:pPr>
        <w:spacing w:line="300" w:lineRule="auto"/>
        <w:rPr>
          <w:rFonts w:ascii="宋体" w:hAnsi="宋体" w:cs="宋体"/>
          <w:color w:val="auto"/>
          <w:sz w:val="32"/>
          <w:szCs w:val="32"/>
          <w:highlight w:val="none"/>
        </w:rPr>
      </w:pPr>
      <w:r>
        <w:rPr>
          <w:rFonts w:ascii="宋体" w:hAnsi="宋体" w:cs="宋体"/>
          <w:color w:val="auto"/>
          <w:sz w:val="32"/>
          <w:szCs w:val="32"/>
          <w:highlight w:val="none"/>
        </w:rPr>
      </w:r>
      <w:r/>
    </w:p>
    <w:p>
      <w:pPr>
        <w:spacing w:line="300" w:lineRule="auto"/>
        <w:rPr>
          <w:rFonts w:ascii="宋体" w:hAnsi="宋体" w:cs="宋体"/>
          <w:color w:val="auto"/>
          <w:sz w:val="32"/>
          <w:szCs w:val="32"/>
          <w:highlight w:val="none"/>
        </w:rPr>
      </w:pPr>
      <w:r>
        <w:rPr>
          <w:rFonts w:ascii="宋体" w:hAnsi="宋体" w:cs="宋体"/>
          <w:color w:val="auto"/>
          <w:sz w:val="32"/>
          <w:szCs w:val="32"/>
          <w:highlight w:val="none"/>
        </w:rPr>
      </w:r>
      <w:r/>
    </w:p>
    <w:p>
      <w:pPr>
        <w:spacing w:line="300" w:lineRule="auto"/>
        <w:rPr>
          <w:rFonts w:ascii="宋体" w:hAnsi="宋体" w:cs="宋体"/>
          <w:color w:val="auto"/>
          <w:sz w:val="32"/>
          <w:szCs w:val="32"/>
          <w:highlight w:val="none"/>
        </w:rPr>
      </w:pPr>
      <w:r>
        <w:rPr>
          <w:rFonts w:ascii="宋体" w:hAnsi="宋体" w:cs="宋体"/>
          <w:color w:val="auto"/>
          <w:sz w:val="32"/>
          <w:szCs w:val="32"/>
          <w:highlight w:val="none"/>
        </w:rPr>
      </w:r>
      <w:r/>
    </w:p>
    <w:p>
      <w:pPr>
        <w:spacing w:line="300" w:lineRule="auto"/>
        <w:rPr>
          <w:rFonts w:ascii="宋体" w:hAnsi="宋体" w:cs="宋体"/>
          <w:color w:val="auto"/>
          <w:sz w:val="32"/>
          <w:szCs w:val="32"/>
          <w:highlight w:val="none"/>
        </w:rPr>
      </w:pPr>
      <w:r>
        <w:rPr>
          <w:rFonts w:ascii="宋体" w:hAnsi="宋体" w:cs="宋体"/>
          <w:color w:val="auto"/>
          <w:sz w:val="32"/>
          <w:szCs w:val="32"/>
          <w:highlight w:val="none"/>
        </w:rPr>
      </w:r>
      <w:r/>
    </w:p>
    <w:p>
      <w:pPr>
        <w:spacing w:line="300" w:lineRule="auto"/>
        <w:rPr>
          <w:rFonts w:ascii="宋体" w:hAnsi="宋体" w:cs="宋体"/>
          <w:color w:val="auto"/>
          <w:sz w:val="32"/>
          <w:szCs w:val="32"/>
          <w:highlight w:val="none"/>
        </w:rPr>
      </w:pPr>
      <w:r>
        <w:rPr>
          <w:rFonts w:ascii="宋体" w:hAnsi="宋体" w:cs="宋体"/>
          <w:color w:val="auto"/>
          <w:sz w:val="32"/>
          <w:szCs w:val="32"/>
          <w:highlight w:val="none"/>
        </w:rPr>
      </w:r>
      <w:r/>
    </w:p>
    <w:p>
      <w:pPr>
        <w:spacing w:line="300" w:lineRule="auto"/>
        <w:rPr>
          <w:rFonts w:ascii="宋体" w:hAnsi="宋体" w:cs="宋体"/>
          <w:color w:val="auto"/>
          <w:sz w:val="32"/>
          <w:szCs w:val="32"/>
          <w:highlight w:val="none"/>
        </w:rPr>
      </w:pPr>
      <w:r>
        <w:rPr>
          <w:rFonts w:ascii="宋体" w:hAnsi="宋体" w:cs="宋体"/>
          <w:color w:val="auto"/>
          <w:sz w:val="32"/>
          <w:szCs w:val="32"/>
          <w:highlight w:val="none"/>
        </w:rPr>
      </w:r>
      <w:r/>
    </w:p>
    <w:p>
      <w:pPr>
        <w:spacing w:line="30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附件13</w:t>
      </w:r>
      <w:r/>
    </w:p>
    <w:p>
      <w:pPr>
        <w:spacing w:line="30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rPr>
          <w:rFonts w:ascii="宋体" w:hAnsi="宋体"/>
          <w:b/>
          <w:bCs/>
          <w:color w:val="auto"/>
          <w:sz w:val="28"/>
          <w:szCs w:val="28"/>
          <w:highlight w:val="none"/>
          <w:lang w:val="zh-CN"/>
        </w:rPr>
      </w:pPr>
      <w:r>
        <w:rPr>
          <w:rFonts w:hint="eastAsia" w:ascii="宋体" w:hAnsi="宋体"/>
          <w:b/>
          <w:bCs/>
          <w:color w:val="auto"/>
          <w:sz w:val="28"/>
          <w:szCs w:val="28"/>
          <w:highlight w:val="none"/>
          <w:lang w:val="zh-CN"/>
        </w:rPr>
        <w:t xml:space="preserve">实质性要求响应及偏离表</w:t>
      </w:r>
      <w:r/>
    </w:p>
    <w:tbl>
      <w:tblPr>
        <w:tblStyle w:val="745"/>
        <w:tblW w:w="91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4147"/>
        <w:gridCol w:w="2779"/>
        <w:gridCol w:w="1526"/>
      </w:tblGrid>
      <w:tr>
        <w:trPr>
          <w:cantSplit/>
          <w:jc w:val="center"/>
        </w:trPr>
        <w:tc>
          <w:tcPr>
            <w:tcW w:w="733" w:type="dxa"/>
            <w:vAlign w:val="center"/>
            <w:textDirection w:val="lrTb"/>
            <w:noWrap/>
          </w:tcPr>
          <w:p>
            <w:pPr>
              <w:jc w:val="cente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序号</w:t>
            </w:r>
            <w:r/>
          </w:p>
        </w:tc>
        <w:tc>
          <w:tcPr>
            <w:tcW w:w="4147" w:type="dxa"/>
            <w:vAlign w:val="center"/>
            <w:textDirection w:val="lrTb"/>
            <w:noWrap/>
          </w:tcPr>
          <w:p>
            <w:pPr>
              <w:jc w:val="cente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采购需求中必须满足的实质性要求</w:t>
            </w:r>
            <w:r/>
          </w:p>
        </w:tc>
        <w:tc>
          <w:tcPr>
            <w:tcW w:w="2779" w:type="dxa"/>
            <w:vAlign w:val="center"/>
            <w:textDirection w:val="lrTb"/>
            <w:noWrap/>
          </w:tcPr>
          <w:p>
            <w:pPr>
              <w:jc w:val="cente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投标响应情况</w:t>
            </w:r>
            <w:r/>
          </w:p>
        </w:tc>
        <w:tc>
          <w:tcPr>
            <w:tcW w:w="1526" w:type="dxa"/>
            <w:vAlign w:val="center"/>
            <w:textDirection w:val="lrTb"/>
            <w:noWrap/>
          </w:tcPr>
          <w:p>
            <w:pPr>
              <w:jc w:val="cente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超出、符合或偏离</w:t>
            </w:r>
            <w:r/>
          </w:p>
        </w:tc>
      </w:tr>
      <w:tr>
        <w:trPr>
          <w:cantSplit/>
          <w:jc w:val="center"/>
          <w:trHeight w:val="640"/>
        </w:trPr>
        <w:tc>
          <w:tcPr>
            <w:tcBorders>
              <w:right w:val="single" w:color="auto" w:sz="4" w:space="0"/>
            </w:tcBorders>
            <w:tcW w:w="733" w:type="dxa"/>
            <w:vAlign w:val="center"/>
            <w:textDirection w:val="lrTb"/>
            <w:noWrap/>
          </w:tcPr>
          <w:p>
            <w:pPr>
              <w:jc w:val="center"/>
              <w:rPr>
                <w:rFonts w:ascii="宋体" w:hAnsi="宋体" w:cs="宋体"/>
                <w:b/>
                <w:color w:val="auto"/>
                <w:sz w:val="24"/>
                <w:highlight w:val="none"/>
              </w:rPr>
            </w:pPr>
            <w:r>
              <w:rPr>
                <w:rFonts w:hint="eastAsia" w:ascii="宋体" w:hAnsi="宋体" w:cs="宋体"/>
                <w:b/>
                <w:color w:val="auto"/>
                <w:sz w:val="24"/>
                <w:highlight w:val="none"/>
              </w:rPr>
              <w:t xml:space="preserve">1</w:t>
            </w:r>
            <w:r/>
          </w:p>
        </w:tc>
        <w:tc>
          <w:tcPr>
            <w:tcBorders>
              <w:left w:val="single" w:color="auto" w:sz="4" w:space="0"/>
            </w:tcBorders>
            <w:tcW w:w="4147" w:type="dxa"/>
            <w:vAlign w:val="center"/>
            <w:textDirection w:val="lrTb"/>
            <w:noWrap/>
          </w:tcPr>
          <w:p>
            <w:pPr>
              <w:pStyle w:val="1023"/>
              <w:ind w:left="0"/>
              <w:spacing w:line="276" w:lineRule="auto"/>
              <w:rPr>
                <w:rFonts w:ascii="宋体" w:hAnsi="宋体" w:cs="宋体"/>
                <w:b/>
                <w:color w:val="auto"/>
                <w:highlight w:val="none"/>
                <w:lang w:eastAsia="zh-CN"/>
              </w:rPr>
            </w:pPr>
            <w:r>
              <w:rPr>
                <w:rFonts w:ascii="宋体" w:hAnsi="宋体" w:cs="宋体"/>
                <w:b/>
                <w:color w:val="auto"/>
                <w:highlight w:val="none"/>
                <w:lang w:eastAsia="zh-CN"/>
              </w:rPr>
            </w:r>
            <w:r/>
          </w:p>
        </w:tc>
        <w:tc>
          <w:tcPr>
            <w:tcW w:w="2779" w:type="dxa"/>
            <w:textDirection w:val="lrTb"/>
            <w:noWrap/>
          </w:tcPr>
          <w:p>
            <w:pPr>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26" w:type="dxa"/>
            <w:textDirection w:val="lrTb"/>
            <w:noWrap/>
          </w:tcPr>
          <w:p>
            <w:pPr>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cantSplit/>
          <w:jc w:val="center"/>
          <w:trHeight w:val="640"/>
        </w:trPr>
        <w:tc>
          <w:tcPr>
            <w:tcBorders>
              <w:right w:val="single" w:color="auto" w:sz="4" w:space="0"/>
            </w:tcBorders>
            <w:tcW w:w="733"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left w:val="single" w:color="auto" w:sz="4" w:space="0"/>
            </w:tcBorders>
            <w:tcW w:w="4147" w:type="dxa"/>
            <w:vAlign w:val="center"/>
            <w:textDirection w:val="lrTb"/>
            <w:noWrap/>
          </w:tcPr>
          <w:p>
            <w:pPr>
              <w:rPr>
                <w:rFonts w:ascii="宋体" w:hAnsi="宋体" w:cs="宋体"/>
                <w:color w:val="auto"/>
                <w:sz w:val="24"/>
                <w:highlight w:val="none"/>
              </w:rPr>
            </w:pPr>
            <w:r>
              <w:rPr>
                <w:rFonts w:ascii="宋体" w:hAnsi="宋体" w:cs="宋体"/>
                <w:color w:val="auto"/>
                <w:sz w:val="24"/>
                <w:highlight w:val="none"/>
              </w:rPr>
            </w:r>
            <w:r/>
          </w:p>
        </w:tc>
        <w:tc>
          <w:tcPr>
            <w:tcW w:w="2779" w:type="dxa"/>
            <w:textDirection w:val="lrTb"/>
            <w:noWrap/>
          </w:tcPr>
          <w:p>
            <w:pPr>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26" w:type="dxa"/>
            <w:textDirection w:val="lrTb"/>
            <w:noWrap/>
          </w:tcPr>
          <w:p>
            <w:pPr>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cantSplit/>
          <w:jc w:val="center"/>
          <w:trHeight w:val="640"/>
        </w:trPr>
        <w:tc>
          <w:tcPr>
            <w:tcBorders>
              <w:right w:val="single" w:color="auto" w:sz="4" w:space="0"/>
            </w:tcBorders>
            <w:tcW w:w="733"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left w:val="single" w:color="auto" w:sz="4" w:space="0"/>
            </w:tcBorders>
            <w:tcW w:w="4147" w:type="dxa"/>
            <w:vAlign w:val="center"/>
            <w:textDirection w:val="lrTb"/>
            <w:noWrap/>
          </w:tcPr>
          <w:p>
            <w:pPr>
              <w:pStyle w:val="1023"/>
              <w:ind w:left="0"/>
              <w:spacing w:line="276" w:lineRule="auto"/>
              <w:rPr>
                <w:rFonts w:ascii="宋体" w:hAnsi="宋体" w:cs="宋体"/>
                <w:color w:val="auto"/>
                <w:highlight w:val="none"/>
                <w:lang w:eastAsia="zh-CN"/>
              </w:rPr>
            </w:pPr>
            <w:r>
              <w:rPr>
                <w:rFonts w:ascii="宋体" w:hAnsi="宋体" w:cs="宋体"/>
                <w:color w:val="auto"/>
                <w:highlight w:val="none"/>
                <w:lang w:eastAsia="zh-CN"/>
              </w:rPr>
            </w:r>
            <w:r/>
          </w:p>
        </w:tc>
        <w:tc>
          <w:tcPr>
            <w:tcW w:w="2779" w:type="dxa"/>
            <w:textDirection w:val="lrTb"/>
            <w:noWrap/>
          </w:tcPr>
          <w:p>
            <w:pPr>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26" w:type="dxa"/>
            <w:textDirection w:val="lrTb"/>
            <w:noWrap/>
          </w:tcPr>
          <w:p>
            <w:pPr>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cantSplit/>
          <w:jc w:val="center"/>
          <w:trHeight w:val="640"/>
        </w:trPr>
        <w:tc>
          <w:tcPr>
            <w:tcBorders>
              <w:right w:val="single" w:color="auto" w:sz="4" w:space="0"/>
            </w:tcBorders>
            <w:tcW w:w="733" w:type="dxa"/>
            <w:vAlign w:val="center"/>
            <w:textDirection w:val="lrTb"/>
            <w:noWrap/>
          </w:tcPr>
          <w:p>
            <w:pPr>
              <w:jc w:val="center"/>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4147" w:type="dxa"/>
            <w:vAlign w:val="center"/>
            <w:textDirection w:val="lrTb"/>
            <w:noWrap/>
          </w:tcPr>
          <w:p>
            <w:pPr>
              <w:pStyle w:val="1023"/>
              <w:ind w:left="0"/>
              <w:spacing w:line="276" w:lineRule="auto"/>
              <w:rPr>
                <w:rFonts w:ascii="宋体" w:hAnsi="宋体" w:cs="宋体"/>
                <w:color w:val="auto"/>
                <w:highlight w:val="none"/>
                <w:lang w:eastAsia="zh-CN"/>
              </w:rPr>
            </w:pPr>
            <w:r>
              <w:rPr>
                <w:rFonts w:ascii="宋体" w:hAnsi="宋体" w:cs="宋体"/>
                <w:color w:val="auto"/>
                <w:highlight w:val="none"/>
                <w:lang w:eastAsia="zh-CN"/>
              </w:rPr>
            </w:r>
            <w:r/>
          </w:p>
        </w:tc>
        <w:tc>
          <w:tcPr>
            <w:tcW w:w="2779" w:type="dxa"/>
            <w:textDirection w:val="lrTb"/>
            <w:noWrap/>
          </w:tcPr>
          <w:p>
            <w:pPr>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26" w:type="dxa"/>
            <w:textDirection w:val="lrTb"/>
            <w:noWrap/>
          </w:tcPr>
          <w:p>
            <w:pPr>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cantSplit/>
          <w:jc w:val="center"/>
          <w:trHeight w:val="640"/>
        </w:trPr>
        <w:tc>
          <w:tcPr>
            <w:tcBorders>
              <w:right w:val="single" w:color="auto" w:sz="4" w:space="0"/>
            </w:tcBorders>
            <w:tcW w:w="733" w:type="dxa"/>
            <w:vAlign w:val="center"/>
            <w:textDirection w:val="lrTb"/>
            <w:noWrap/>
          </w:tcPr>
          <w:p>
            <w:pPr>
              <w:jc w:val="center"/>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4147" w:type="dxa"/>
            <w:vAlign w:val="center"/>
            <w:textDirection w:val="lrTb"/>
            <w:noWrap/>
          </w:tcPr>
          <w:p>
            <w:pPr>
              <w:pStyle w:val="1023"/>
              <w:ind w:left="0"/>
              <w:spacing w:line="276" w:lineRule="auto"/>
              <w:rPr>
                <w:rFonts w:ascii="宋体" w:hAnsi="宋体" w:cs="宋体"/>
                <w:color w:val="auto"/>
                <w:highlight w:val="none"/>
                <w:lang w:eastAsia="zh-CN"/>
              </w:rPr>
            </w:pPr>
            <w:r>
              <w:rPr>
                <w:rFonts w:ascii="宋体" w:hAnsi="宋体" w:cs="宋体"/>
                <w:color w:val="auto"/>
                <w:highlight w:val="none"/>
                <w:lang w:eastAsia="zh-CN"/>
              </w:rPr>
            </w:r>
            <w:r/>
          </w:p>
        </w:tc>
        <w:tc>
          <w:tcPr>
            <w:tcW w:w="2779" w:type="dxa"/>
            <w:textDirection w:val="lrTb"/>
            <w:noWrap/>
          </w:tcPr>
          <w:p>
            <w:pPr>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26" w:type="dxa"/>
            <w:textDirection w:val="lrTb"/>
            <w:noWrap/>
          </w:tcPr>
          <w:p>
            <w:pPr>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cantSplit/>
          <w:jc w:val="center"/>
          <w:trHeight w:val="640"/>
        </w:trPr>
        <w:tc>
          <w:tcPr>
            <w:tcBorders>
              <w:right w:val="single" w:color="auto" w:sz="4" w:space="0"/>
            </w:tcBorders>
            <w:tcW w:w="733" w:type="dxa"/>
            <w:vAlign w:val="center"/>
            <w:textDirection w:val="lrTb"/>
            <w:noWrap/>
          </w:tcPr>
          <w:p>
            <w:pPr>
              <w:jc w:val="center"/>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4147" w:type="dxa"/>
            <w:vAlign w:val="center"/>
            <w:textDirection w:val="lrTb"/>
            <w:noWrap/>
          </w:tcPr>
          <w:p>
            <w:pPr>
              <w:pStyle w:val="1023"/>
              <w:ind w:left="0"/>
              <w:spacing w:line="276" w:lineRule="auto"/>
              <w:rPr>
                <w:rFonts w:ascii="宋体" w:hAnsi="宋体" w:cs="宋体"/>
                <w:color w:val="auto"/>
                <w:highlight w:val="none"/>
                <w:lang w:eastAsia="zh-CN"/>
              </w:rPr>
            </w:pPr>
            <w:r>
              <w:rPr>
                <w:rFonts w:ascii="宋体" w:hAnsi="宋体" w:cs="宋体"/>
                <w:color w:val="auto"/>
                <w:highlight w:val="none"/>
                <w:lang w:eastAsia="zh-CN"/>
              </w:rPr>
            </w:r>
            <w:r/>
          </w:p>
        </w:tc>
        <w:tc>
          <w:tcPr>
            <w:tcW w:w="2779" w:type="dxa"/>
            <w:textDirection w:val="lrTb"/>
            <w:noWrap/>
          </w:tcPr>
          <w:p>
            <w:pPr>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26" w:type="dxa"/>
            <w:textDirection w:val="lrTb"/>
            <w:noWrap/>
          </w:tcPr>
          <w:p>
            <w:pPr>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cantSplit/>
          <w:jc w:val="center"/>
          <w:trHeight w:val="640"/>
        </w:trPr>
        <w:tc>
          <w:tcPr>
            <w:tcBorders>
              <w:right w:val="single" w:color="auto" w:sz="4" w:space="0"/>
            </w:tcBorders>
            <w:tcW w:w="733" w:type="dxa"/>
            <w:vAlign w:val="center"/>
            <w:textDirection w:val="lrTb"/>
            <w:noWrap/>
          </w:tcPr>
          <w:p>
            <w:pPr>
              <w:jc w:val="center"/>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4147" w:type="dxa"/>
            <w:vAlign w:val="center"/>
            <w:textDirection w:val="lrTb"/>
            <w:noWrap/>
          </w:tcPr>
          <w:p>
            <w:pPr>
              <w:pStyle w:val="1023"/>
              <w:ind w:left="0"/>
              <w:spacing w:line="276" w:lineRule="auto"/>
              <w:rPr>
                <w:rFonts w:ascii="宋体" w:hAnsi="宋体" w:cs="宋体"/>
                <w:color w:val="auto"/>
                <w:highlight w:val="none"/>
                <w:lang w:eastAsia="zh-CN"/>
              </w:rPr>
            </w:pPr>
            <w:r>
              <w:rPr>
                <w:rFonts w:ascii="宋体" w:hAnsi="宋体" w:cs="宋体"/>
                <w:color w:val="auto"/>
                <w:highlight w:val="none"/>
                <w:lang w:eastAsia="zh-CN"/>
              </w:rPr>
            </w:r>
            <w:r/>
          </w:p>
        </w:tc>
        <w:tc>
          <w:tcPr>
            <w:tcW w:w="2779" w:type="dxa"/>
            <w:textDirection w:val="lrTb"/>
            <w:noWrap/>
          </w:tcPr>
          <w:p>
            <w:pPr>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26" w:type="dxa"/>
            <w:textDirection w:val="lrTb"/>
            <w:noWrap/>
          </w:tcPr>
          <w:p>
            <w:pPr>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cantSplit/>
          <w:jc w:val="center"/>
          <w:trHeight w:val="640"/>
        </w:trPr>
        <w:tc>
          <w:tcPr>
            <w:tcBorders>
              <w:right w:val="single" w:color="auto" w:sz="4" w:space="0"/>
            </w:tcBorders>
            <w:tcW w:w="733" w:type="dxa"/>
            <w:vAlign w:val="center"/>
            <w:textDirection w:val="lrTb"/>
            <w:noWrap/>
          </w:tcPr>
          <w:p>
            <w:pPr>
              <w:jc w:val="center"/>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4147" w:type="dxa"/>
            <w:vAlign w:val="center"/>
            <w:textDirection w:val="lrTb"/>
            <w:noWrap/>
          </w:tcPr>
          <w:p>
            <w:pPr>
              <w:pStyle w:val="1023"/>
              <w:ind w:left="0"/>
              <w:spacing w:line="276" w:lineRule="auto"/>
              <w:rPr>
                <w:rFonts w:ascii="宋体" w:hAnsi="宋体" w:cs="宋体"/>
                <w:color w:val="auto"/>
                <w:highlight w:val="none"/>
                <w:lang w:eastAsia="zh-CN"/>
              </w:rPr>
            </w:pPr>
            <w:r>
              <w:rPr>
                <w:rFonts w:ascii="宋体" w:hAnsi="宋体" w:cs="宋体"/>
                <w:color w:val="auto"/>
                <w:highlight w:val="none"/>
                <w:lang w:eastAsia="zh-CN"/>
              </w:rPr>
            </w:r>
            <w:r/>
          </w:p>
        </w:tc>
        <w:tc>
          <w:tcPr>
            <w:tcW w:w="2779" w:type="dxa"/>
            <w:textDirection w:val="lrTb"/>
            <w:noWrap/>
          </w:tcPr>
          <w:p>
            <w:pPr>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26" w:type="dxa"/>
            <w:textDirection w:val="lrTb"/>
            <w:noWrap/>
          </w:tcPr>
          <w:p>
            <w:pPr>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bl>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附件13-1 证明材料1，证明材料2，……</w:t>
      </w:r>
      <w:r/>
    </w:p>
    <w:p>
      <w:pPr>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备注：</w:t>
      </w: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1.供应商必须对项目需求中（加斜体下划线内容）逐条做出明确响应，否则作无效投标处理。</w:t>
      </w: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2.如果招标文件要求提供证明材料，供应商必须将证明材料列于该表之下。</w:t>
      </w: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3.供应商未对实质性要求逐条作出明确响应的，或未按招标文件要求提供证明材料的，作无效投标处理。</w:t>
      </w:r>
      <w:r/>
    </w:p>
    <w:p>
      <w:pPr>
        <w:spacing w:line="300" w:lineRule="auto"/>
        <w:rPr>
          <w:rFonts w:ascii="宋体" w:hAnsi="宋体" w:cs="宋体"/>
          <w:color w:val="auto"/>
          <w:sz w:val="32"/>
          <w:szCs w:val="32"/>
          <w:highlight w:val="none"/>
        </w:rPr>
      </w:pPr>
      <w:r>
        <w:rPr>
          <w:rFonts w:ascii="宋体" w:hAnsi="宋体" w:cs="宋体"/>
          <w:color w:val="auto"/>
          <w:sz w:val="32"/>
          <w:szCs w:val="32"/>
          <w:highlight w:val="none"/>
        </w:rPr>
      </w:r>
      <w:r/>
    </w:p>
    <w:p>
      <w:pPr>
        <w:spacing w:line="300" w:lineRule="auto"/>
        <w:rPr>
          <w:rFonts w:ascii="宋体" w:hAnsi="宋体" w:cs="宋体"/>
          <w:color w:val="auto"/>
          <w:sz w:val="32"/>
          <w:szCs w:val="32"/>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cs="宋体"/>
          <w:color w:val="auto"/>
          <w:sz w:val="32"/>
          <w:szCs w:val="32"/>
          <w:highlight w:val="none"/>
        </w:rPr>
      </w:r>
      <w:r/>
    </w:p>
    <w:p>
      <w:pPr>
        <w:spacing w:line="30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附件14</w:t>
      </w:r>
      <w:r/>
    </w:p>
    <w:p>
      <w:pPr>
        <w:jc w:val="center"/>
        <w:spacing w:line="460" w:lineRule="exact"/>
        <w:rPr>
          <w:rFonts w:ascii="宋体" w:hAnsi="宋体" w:cs="宋体"/>
          <w:bCs/>
          <w:color w:val="auto"/>
          <w:sz w:val="40"/>
          <w:szCs w:val="40"/>
          <w:highlight w:val="none"/>
        </w:rPr>
      </w:pPr>
      <w:r>
        <w:rPr>
          <w:rFonts w:hint="eastAsia" w:ascii="宋体" w:hAnsi="宋体" w:cs="宋体"/>
          <w:bCs/>
          <w:color w:val="auto"/>
          <w:sz w:val="40"/>
          <w:szCs w:val="40"/>
          <w:highlight w:val="none"/>
        </w:rPr>
        <w:t xml:space="preserve">质疑函范本</w:t>
      </w:r>
      <w:r/>
    </w:p>
    <w:p>
      <w:pPr>
        <w:spacing w:line="460" w:lineRule="exact"/>
        <w:rPr>
          <w:rFonts w:ascii="宋体" w:hAnsi="宋体" w:cs="宋体"/>
          <w:bCs/>
          <w:color w:val="auto"/>
          <w:sz w:val="28"/>
          <w:szCs w:val="28"/>
          <w:highlight w:val="none"/>
        </w:rPr>
        <w:outlineLvl w:val="1"/>
      </w:pPr>
      <w:r/>
      <w:bookmarkStart w:id="178" w:name="_Toc31083"/>
      <w:r>
        <w:rPr>
          <w:rFonts w:hint="eastAsia" w:ascii="宋体" w:hAnsi="宋体" w:cs="宋体"/>
          <w:bCs/>
          <w:color w:val="auto"/>
          <w:sz w:val="28"/>
          <w:szCs w:val="28"/>
          <w:highlight w:val="none"/>
        </w:rPr>
        <w:t xml:space="preserve">一、质疑投标人基本信息</w:t>
      </w:r>
      <w:bookmarkEnd w:id="178"/>
      <w:r/>
      <w:r/>
    </w:p>
    <w:p>
      <w:pPr>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质疑投标人：</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联系人：联系电话：</w:t>
      </w:r>
      <w:r/>
    </w:p>
    <w:p>
      <w:pPr>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授权代表：</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联系电话：</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ascii="宋体" w:hAnsi="宋体" w:cs="宋体"/>
          <w:bCs/>
          <w:color w:val="auto"/>
          <w:sz w:val="28"/>
          <w:szCs w:val="28"/>
          <w:highlight w:val="none"/>
        </w:rPr>
        <w:outlineLvl w:val="1"/>
      </w:pPr>
      <w:r/>
      <w:bookmarkStart w:id="179" w:name="_Toc10335"/>
      <w:r>
        <w:rPr>
          <w:rFonts w:hint="eastAsia" w:ascii="宋体" w:hAnsi="宋体" w:cs="宋体"/>
          <w:bCs/>
          <w:color w:val="auto"/>
          <w:sz w:val="28"/>
          <w:szCs w:val="28"/>
          <w:highlight w:val="none"/>
        </w:rPr>
        <w:t xml:space="preserve">二、质疑项目基本情况</w:t>
      </w:r>
      <w:bookmarkEnd w:id="179"/>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质疑项目的名称：</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质疑项目的编号：包号：</w:t>
      </w:r>
      <w:r/>
    </w:p>
    <w:p>
      <w:pPr>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采购人名称：</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招标文件获取日期：</w:t>
      </w:r>
      <w:r/>
    </w:p>
    <w:p>
      <w:pPr>
        <w:spacing w:line="460" w:lineRule="exact"/>
        <w:rPr>
          <w:rFonts w:ascii="宋体" w:hAnsi="宋体" w:cs="宋体"/>
          <w:bCs/>
          <w:color w:val="auto"/>
          <w:sz w:val="28"/>
          <w:szCs w:val="28"/>
          <w:highlight w:val="none"/>
        </w:rPr>
        <w:outlineLvl w:val="1"/>
      </w:pPr>
      <w:r/>
      <w:bookmarkStart w:id="180" w:name="_Toc16480"/>
      <w:r>
        <w:rPr>
          <w:rFonts w:hint="eastAsia" w:ascii="宋体" w:hAnsi="宋体" w:cs="宋体"/>
          <w:bCs/>
          <w:color w:val="auto"/>
          <w:sz w:val="28"/>
          <w:szCs w:val="28"/>
          <w:highlight w:val="none"/>
        </w:rPr>
        <w:t xml:space="preserve">三、质疑事项具体内容</w:t>
      </w:r>
      <w:bookmarkEnd w:id="180"/>
      <w:r/>
      <w:r/>
    </w:p>
    <w:p>
      <w:pPr>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质疑事项1：</w:t>
      </w:r>
      <w:r/>
    </w:p>
    <w:p>
      <w:pPr>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事实依据：</w:t>
      </w:r>
      <w:r/>
    </w:p>
    <w:p>
      <w:pPr>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法律依据：</w:t>
      </w:r>
      <w:r/>
    </w:p>
    <w:p>
      <w:pPr>
        <w:spacing w:line="460" w:lineRule="exact"/>
        <w:rPr>
          <w:rFonts w:ascii="宋体" w:hAnsi="宋体" w:cs="宋体"/>
          <w:color w:val="auto"/>
          <w:sz w:val="28"/>
          <w:szCs w:val="28"/>
          <w:highlight w:val="none"/>
          <w:u w:val="single"/>
        </w:rPr>
      </w:pPr>
      <w:r>
        <w:rPr>
          <w:rFonts w:ascii="宋体" w:hAnsi="宋体" w:cs="宋体"/>
          <w:color w:val="auto"/>
          <w:sz w:val="28"/>
          <w:szCs w:val="28"/>
          <w:highlight w:val="none"/>
          <w:u w:val="single"/>
        </w:rPr>
      </w:r>
      <w:r/>
    </w:p>
    <w:p>
      <w:pPr>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质疑事项2</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p>
      <w:pPr>
        <w:spacing w:line="460" w:lineRule="exact"/>
        <w:rPr>
          <w:rFonts w:ascii="宋体" w:hAnsi="宋体" w:cs="宋体"/>
          <w:bCs/>
          <w:color w:val="auto"/>
          <w:sz w:val="28"/>
          <w:szCs w:val="28"/>
          <w:highlight w:val="none"/>
        </w:rPr>
        <w:outlineLvl w:val="1"/>
      </w:pPr>
      <w:r/>
      <w:bookmarkStart w:id="181" w:name="_Toc21173"/>
      <w:r>
        <w:rPr>
          <w:rFonts w:hint="eastAsia" w:ascii="宋体" w:hAnsi="宋体" w:cs="宋体"/>
          <w:bCs/>
          <w:color w:val="auto"/>
          <w:sz w:val="28"/>
          <w:szCs w:val="28"/>
          <w:highlight w:val="none"/>
        </w:rPr>
        <w:t xml:space="preserve">四、与质疑事项相关的质疑请求</w:t>
      </w:r>
      <w:bookmarkEnd w:id="181"/>
      <w:r/>
      <w:r/>
    </w:p>
    <w:p>
      <w:pPr>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请求：</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签字(签章)：                   公章：                      </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日期：    </w:t>
      </w:r>
      <w:r/>
    </w:p>
    <w:p>
      <w:pPr>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质疑函制作说明：</w:t>
      </w:r>
      <w:r/>
    </w:p>
    <w:p>
      <w:pPr>
        <w:ind w:firstLine="560"/>
        <w:jc w:val="left"/>
        <w:spacing w:line="460" w:lineRule="exact"/>
        <w:widowControl/>
        <w:rPr>
          <w:rFonts w:ascii="宋体" w:hAnsi="宋体" w:cs="宋体"/>
          <w:color w:val="auto"/>
          <w:sz w:val="28"/>
          <w:szCs w:val="28"/>
          <w:highlight w:val="none"/>
        </w:rPr>
        <w:outlineLvl w:val="2"/>
      </w:pPr>
      <w:r/>
      <w:bookmarkStart w:id="182" w:name="_Toc29150"/>
      <w:r>
        <w:rPr>
          <w:rFonts w:hint="eastAsia" w:ascii="宋体" w:hAnsi="宋体" w:cs="宋体"/>
          <w:color w:val="auto"/>
          <w:sz w:val="28"/>
          <w:szCs w:val="28"/>
          <w:highlight w:val="none"/>
        </w:rPr>
        <w:t xml:space="preserve">1.投标人提出质疑时，应提交质疑函和必要的证明材料。</w:t>
      </w:r>
      <w:bookmarkEnd w:id="182"/>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3.质疑投标人若对项目的某一分包进行质疑，质疑函中应列明具体分包号。</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4.质疑函的质疑事项应具体、明确，并有必要的事实依据和法律依据。</w:t>
      </w:r>
      <w:r/>
    </w:p>
    <w:p>
      <w:pPr>
        <w:ind w:firstLine="560"/>
        <w:jc w:val="left"/>
        <w:spacing w:line="460" w:lineRule="exact"/>
        <w:widowControl/>
        <w:rPr>
          <w:rFonts w:ascii="宋体" w:hAnsi="宋体" w:cs="宋体"/>
          <w:color w:val="auto"/>
          <w:sz w:val="28"/>
          <w:szCs w:val="28"/>
          <w:highlight w:val="none"/>
        </w:rPr>
        <w:outlineLvl w:val="2"/>
      </w:pPr>
      <w:r/>
      <w:bookmarkStart w:id="183" w:name="_Toc8790"/>
      <w:r>
        <w:rPr>
          <w:rFonts w:hint="eastAsia" w:ascii="宋体" w:hAnsi="宋体" w:cs="宋体"/>
          <w:color w:val="auto"/>
          <w:sz w:val="28"/>
          <w:szCs w:val="28"/>
          <w:highlight w:val="none"/>
        </w:rPr>
        <w:t xml:space="preserve">5.质疑函的质疑请求应与质疑事项相关。</w:t>
      </w:r>
      <w:bookmarkEnd w:id="183"/>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6.质疑投标人为自然人的，质疑函应由本人签字；质疑投标人为法人或者其他组织的，质疑函应由法定代表人、主要负责人，或者其授权代表签字或者盖章，并加盖公章。</w:t>
      </w:r>
      <w:r/>
    </w:p>
    <w:p>
      <w:pPr>
        <w:spacing w:line="30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rPr>
          <w:rFonts w:eastAsia="方正小标宋_GBK"/>
          <w:color w:val="auto"/>
          <w:sz w:val="44"/>
          <w:szCs w:val="44"/>
          <w:highlight w:val="none"/>
        </w:rPr>
      </w:pPr>
      <w:r>
        <w:rPr>
          <w:rFonts w:hint="eastAsia" w:eastAsia="方正小标宋_GBK"/>
          <w:color w:val="auto"/>
          <w:sz w:val="44"/>
          <w:szCs w:val="44"/>
          <w:highlight w:val="none"/>
        </w:rPr>
        <w:br w:type="page" w:clear="all"/>
      </w:r>
      <w:r/>
    </w:p>
    <w:p>
      <w:pPr>
        <w:jc w:val="center"/>
        <w:spacing w:line="460" w:lineRule="exact"/>
        <w:rPr>
          <w:rFonts w:eastAsia="方正小标宋_GBK"/>
          <w:color w:val="auto"/>
          <w:sz w:val="44"/>
          <w:szCs w:val="44"/>
          <w:highlight w:val="none"/>
        </w:rPr>
      </w:pPr>
      <w:r>
        <w:rPr>
          <w:rFonts w:hint="eastAsia" w:eastAsia="方正小标宋_GBK"/>
          <w:color w:val="auto"/>
          <w:sz w:val="44"/>
          <w:szCs w:val="44"/>
          <w:highlight w:val="none"/>
        </w:rPr>
        <w:t xml:space="preserve">江苏中润工程建设咨询有限公司</w:t>
      </w:r>
      <w:r/>
    </w:p>
    <w:p>
      <w:pPr>
        <w:jc w:val="center"/>
        <w:spacing w:line="460" w:lineRule="exact"/>
        <w:rPr>
          <w:rFonts w:eastAsia="方正仿宋_GBK"/>
          <w:color w:val="auto"/>
          <w:sz w:val="30"/>
          <w:szCs w:val="30"/>
          <w:highlight w:val="none"/>
        </w:rPr>
      </w:pPr>
      <w:r>
        <w:rPr>
          <w:rFonts w:eastAsia="方正小标宋_GBK"/>
          <w:color w:val="auto"/>
          <w:sz w:val="44"/>
          <w:szCs w:val="44"/>
          <w:highlight w:val="none"/>
        </w:rPr>
        <w:t xml:space="preserve">政府采购供应商友情提醒</w:t>
      </w:r>
      <w:r/>
    </w:p>
    <w:p>
      <w:pPr>
        <w:ind w:firstLine="560"/>
        <w:spacing w:line="460" w:lineRule="exact"/>
        <w:rPr>
          <w:rFonts w:ascii="宋体" w:hAnsi="宋体" w:cs="宋体"/>
          <w:bCs/>
          <w:color w:val="auto"/>
          <w:sz w:val="28"/>
          <w:szCs w:val="28"/>
          <w:highlight w:val="none"/>
        </w:rPr>
      </w:pPr>
      <w:r>
        <w:rPr>
          <w:rFonts w:ascii="宋体" w:hAnsi="宋体" w:cs="宋体"/>
          <w:bCs/>
          <w:color w:val="auto"/>
          <w:sz w:val="28"/>
          <w:szCs w:val="28"/>
          <w:highlight w:val="none"/>
        </w:rPr>
        <w:t xml:space="preserve">供应商在参与政府采购项目中的常见问题，现将有关常见问题提醒如下：</w:t>
      </w:r>
      <w:r/>
    </w:p>
    <w:p>
      <w:pPr>
        <w:ind w:firstLine="560"/>
        <w:spacing w:line="460" w:lineRule="exact"/>
        <w:rPr>
          <w:rFonts w:ascii="宋体" w:hAnsi="宋体" w:cs="宋体"/>
          <w:bCs/>
          <w:color w:val="auto"/>
          <w:sz w:val="28"/>
          <w:szCs w:val="28"/>
          <w:highlight w:val="none"/>
        </w:rPr>
      </w:pPr>
      <w:r>
        <w:rPr>
          <w:rFonts w:ascii="宋体" w:hAnsi="宋体" w:cs="宋体"/>
          <w:bCs/>
          <w:color w:val="auto"/>
          <w:sz w:val="28"/>
          <w:szCs w:val="28"/>
          <w:highlight w:val="none"/>
        </w:rPr>
        <w:t xml:space="preserve">一、如何参与政府采购项目？</w:t>
      </w:r>
      <w:r/>
    </w:p>
    <w:p>
      <w:pPr>
        <w:ind w:firstLine="560"/>
        <w:spacing w:line="460" w:lineRule="exact"/>
        <w:rPr>
          <w:rFonts w:ascii="宋体" w:hAnsi="宋体" w:cs="宋体"/>
          <w:bCs/>
          <w:color w:val="auto"/>
          <w:sz w:val="28"/>
          <w:szCs w:val="28"/>
          <w:highlight w:val="none"/>
        </w:rPr>
      </w:pPr>
      <w:r>
        <w:rPr>
          <w:rFonts w:ascii="宋体" w:hAnsi="宋体" w:cs="宋体"/>
          <w:bCs/>
          <w:color w:val="auto"/>
          <w:sz w:val="28"/>
          <w:szCs w:val="28"/>
          <w:highlight w:val="none"/>
        </w:rPr>
        <w:t xml:space="preserve">答：（1）潜在供应商如有意向参与</w:t>
      </w:r>
      <w:r>
        <w:rPr>
          <w:rFonts w:hint="eastAsia" w:ascii="宋体" w:hAnsi="宋体" w:cs="宋体"/>
          <w:bCs/>
          <w:color w:val="auto"/>
          <w:sz w:val="28"/>
          <w:szCs w:val="28"/>
          <w:highlight w:val="none"/>
        </w:rPr>
        <w:t xml:space="preserve">本公司</w:t>
      </w:r>
      <w:r>
        <w:rPr>
          <w:rFonts w:ascii="宋体" w:hAnsi="宋体" w:cs="宋体"/>
          <w:bCs/>
          <w:color w:val="auto"/>
          <w:sz w:val="28"/>
          <w:szCs w:val="28"/>
          <w:highlight w:val="none"/>
        </w:rPr>
        <w:t xml:space="preserve">政府采购项目，必须按照以下方法进行操作，方可视为参与成功。</w:t>
      </w:r>
      <w:r/>
    </w:p>
    <w:p>
      <w:pPr>
        <w:ind w:firstLine="560"/>
        <w:spacing w:line="460" w:lineRule="exact"/>
        <w:rPr>
          <w:rFonts w:ascii="宋体" w:hAnsi="宋体" w:cs="宋体"/>
          <w:bCs/>
          <w:color w:val="auto"/>
          <w:sz w:val="28"/>
          <w:szCs w:val="28"/>
          <w:highlight w:val="none"/>
        </w:rPr>
      </w:pPr>
      <w:r>
        <w:rPr>
          <w:rFonts w:ascii="宋体" w:hAnsi="宋体" w:cs="宋体"/>
          <w:bCs/>
          <w:color w:val="auto"/>
          <w:sz w:val="28"/>
          <w:szCs w:val="28"/>
          <w:highlight w:val="none"/>
        </w:rPr>
        <w:t xml:space="preserve">方法为：“苏采云”系统用户注册--获取“CA数字证书”--CA绑定与登录--网上报名--下载</w:t>
      </w:r>
      <w:r>
        <w:rPr>
          <w:rFonts w:hint="eastAsia" w:ascii="宋体" w:hAnsi="宋体" w:cs="宋体"/>
          <w:bCs/>
          <w:color w:val="auto"/>
          <w:sz w:val="28"/>
          <w:szCs w:val="28"/>
          <w:highlight w:val="none"/>
        </w:rPr>
        <w:t xml:space="preserve">招标文件</w:t>
      </w:r>
      <w:r>
        <w:rPr>
          <w:rFonts w:ascii="宋体" w:hAnsi="宋体" w:cs="宋体"/>
          <w:bCs/>
          <w:color w:val="auto"/>
          <w:sz w:val="28"/>
          <w:szCs w:val="28"/>
          <w:highlight w:val="none"/>
        </w:rPr>
        <w:t xml:space="preserve">（后缀名为“.kedt”）--将后缀名为“.kedt”的</w:t>
      </w:r>
      <w:r>
        <w:rPr>
          <w:rFonts w:hint="eastAsia" w:ascii="宋体" w:hAnsi="宋体" w:cs="宋体"/>
          <w:bCs/>
          <w:color w:val="auto"/>
          <w:sz w:val="28"/>
          <w:szCs w:val="28"/>
          <w:highlight w:val="none"/>
        </w:rPr>
        <w:t xml:space="preserve">招标文件</w:t>
      </w:r>
      <w:r>
        <w:rPr>
          <w:rFonts w:ascii="宋体" w:hAnsi="宋体" w:cs="宋体"/>
          <w:bCs/>
          <w:color w:val="auto"/>
          <w:sz w:val="28"/>
          <w:szCs w:val="28"/>
          <w:highlight w:val="none"/>
        </w:rPr>
        <w:t xml:space="preserve">导入政府采购客户端工具--制作投标文件--导出加密的投标文件（后缀名为zip）--通过“苏采云”系统上传投标文件。</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招标文件</w:t>
      </w:r>
      <w:r>
        <w:rPr>
          <w:rFonts w:ascii="宋体" w:hAnsi="宋体" w:cs="宋体"/>
          <w:bCs/>
          <w:color w:val="auto"/>
          <w:sz w:val="28"/>
          <w:szCs w:val="28"/>
          <w:highlight w:val="none"/>
        </w:rPr>
        <w:t xml:space="preserve">及其附件（如有）会在江苏省政府采购网进行公示，供应商可前往江苏省政府采购网查看下载，请注意，</w:t>
      </w:r>
      <w:r>
        <w:rPr>
          <w:rFonts w:hint="eastAsia" w:ascii="宋体" w:hAnsi="宋体" w:cs="宋体"/>
          <w:bCs/>
          <w:color w:val="auto"/>
          <w:sz w:val="28"/>
          <w:szCs w:val="28"/>
          <w:highlight w:val="none"/>
        </w:rPr>
        <w:t xml:space="preserve">招标文件获取时限</w:t>
      </w:r>
      <w:r>
        <w:rPr>
          <w:rFonts w:ascii="宋体" w:hAnsi="宋体" w:cs="宋体"/>
          <w:bCs/>
          <w:color w:val="auto"/>
          <w:sz w:val="28"/>
          <w:szCs w:val="28"/>
          <w:highlight w:val="none"/>
        </w:rPr>
        <w:t xml:space="preserve">为</w:t>
      </w:r>
      <w:r>
        <w:rPr>
          <w:rFonts w:hint="eastAsia" w:ascii="宋体" w:hAnsi="宋体" w:cs="宋体"/>
          <w:bCs/>
          <w:color w:val="auto"/>
          <w:sz w:val="28"/>
          <w:szCs w:val="28"/>
          <w:highlight w:val="none"/>
        </w:rPr>
        <w:t xml:space="preserve">自</w:t>
      </w:r>
      <w:r>
        <w:rPr>
          <w:rFonts w:ascii="宋体" w:hAnsi="宋体" w:cs="宋体"/>
          <w:bCs/>
          <w:color w:val="auto"/>
          <w:sz w:val="28"/>
          <w:szCs w:val="28"/>
          <w:highlight w:val="none"/>
        </w:rPr>
        <w:t xml:space="preserve">采购公告发布之日起5个工作日内，仅在江苏省政府采购网下载</w:t>
      </w:r>
      <w:r>
        <w:rPr>
          <w:rFonts w:hint="eastAsia" w:ascii="宋体" w:hAnsi="宋体" w:cs="宋体"/>
          <w:bCs/>
          <w:color w:val="auto"/>
          <w:sz w:val="28"/>
          <w:szCs w:val="28"/>
          <w:highlight w:val="none"/>
        </w:rPr>
        <w:t xml:space="preserve">招标文件</w:t>
      </w:r>
      <w:r>
        <w:rPr>
          <w:rFonts w:ascii="宋体" w:hAnsi="宋体" w:cs="宋体"/>
          <w:bCs/>
          <w:color w:val="auto"/>
          <w:sz w:val="28"/>
          <w:szCs w:val="28"/>
          <w:highlight w:val="none"/>
        </w:rPr>
        <w:t xml:space="preserve">无法参与后续项目投标。</w:t>
      </w:r>
      <w:r/>
    </w:p>
    <w:p>
      <w:pPr>
        <w:ind w:firstLine="560"/>
        <w:spacing w:line="460" w:lineRule="exact"/>
        <w:rPr>
          <w:rFonts w:ascii="宋体" w:hAnsi="宋体" w:cs="宋体"/>
          <w:bCs/>
          <w:color w:val="auto"/>
          <w:sz w:val="28"/>
          <w:szCs w:val="28"/>
          <w:highlight w:val="none"/>
        </w:rPr>
      </w:pPr>
      <w:r>
        <w:rPr>
          <w:rFonts w:ascii="宋体" w:hAnsi="宋体" w:cs="宋体"/>
          <w:bCs/>
          <w:color w:val="auto"/>
          <w:sz w:val="28"/>
          <w:szCs w:val="28"/>
          <w:highlight w:val="none"/>
        </w:rPr>
        <w:t xml:space="preserve">（2）“CA数字证书”的办理材料以及供应商操作手册详见：</w:t>
      </w:r>
      <w:r/>
    </w:p>
    <w:p>
      <w:pPr>
        <w:ind w:firstLine="560"/>
        <w:spacing w:line="460" w:lineRule="exact"/>
        <w:rPr>
          <w:rFonts w:ascii="宋体" w:hAnsi="宋体" w:cs="宋体"/>
          <w:bCs/>
          <w:color w:val="auto"/>
          <w:sz w:val="28"/>
          <w:szCs w:val="28"/>
          <w:highlight w:val="none"/>
        </w:rPr>
      </w:pPr>
      <w:r>
        <w:rPr>
          <w:rFonts w:ascii="宋体" w:hAnsi="宋体" w:cs="宋体"/>
          <w:bCs/>
          <w:color w:val="auto"/>
          <w:sz w:val="28"/>
          <w:szCs w:val="28"/>
          <w:highlight w:val="none"/>
        </w:rPr>
        <w:t xml:space="preserve">http://www.ccgp-jiangsu.gov.cn/jiangsu/zlxz/ee/ee3a4bc5a3454aa2b0d9312230633ce9.html</w:t>
      </w:r>
      <w:r/>
    </w:p>
    <w:p>
      <w:pPr>
        <w:ind w:firstLine="560"/>
        <w:spacing w:line="460" w:lineRule="exact"/>
        <w:rPr>
          <w:rFonts w:ascii="宋体" w:hAnsi="宋体" w:cs="宋体"/>
          <w:bCs/>
          <w:color w:val="auto"/>
          <w:sz w:val="28"/>
          <w:szCs w:val="28"/>
          <w:highlight w:val="none"/>
        </w:rPr>
      </w:pPr>
      <w:r>
        <w:rPr>
          <w:rFonts w:ascii="宋体" w:hAnsi="宋体" w:cs="宋体"/>
          <w:bCs/>
          <w:color w:val="auto"/>
          <w:sz w:val="28"/>
          <w:szCs w:val="28"/>
          <w:highlight w:val="none"/>
        </w:rPr>
        <w:t xml:space="preserve">二、如何正确填写《中小企业声明函》？</w:t>
      </w:r>
      <w:r/>
    </w:p>
    <w:p>
      <w:pPr>
        <w:ind w:firstLine="560"/>
        <w:spacing w:line="460" w:lineRule="exact"/>
        <w:rPr>
          <w:rFonts w:ascii="宋体" w:hAnsi="宋体" w:cs="宋体"/>
          <w:bCs/>
          <w:color w:val="auto"/>
          <w:sz w:val="28"/>
          <w:szCs w:val="28"/>
          <w:highlight w:val="none"/>
        </w:rPr>
      </w:pPr>
      <w:r>
        <w:rPr>
          <w:rFonts w:ascii="宋体" w:hAnsi="宋体" w:cs="宋体"/>
          <w:bCs/>
          <w:color w:val="auto"/>
          <w:sz w:val="28"/>
          <w:szCs w:val="28"/>
          <w:highlight w:val="none"/>
        </w:rPr>
        <w:t xml:space="preserve">答：受中小企业扶持政策的供应商应当满足下列条件：在货物采购项目中，货物应当由中小企业制造，不对其中涉及的服务的承接商作出要求。货物类项目制造商在填写中小企业声明函时，需按照采购标的中的标的清单逐项进行响应；在工程采购项目中，工程应当由中小企业承建，不对其中涉及的货物的制造商和服务的承接商作出要求；在服务采购项目中，服务的承接商应当为中小企业，不对其中涉及的货物的制造商作出要求。</w:t>
      </w:r>
      <w:r/>
    </w:p>
    <w:p>
      <w:pPr>
        <w:ind w:firstLine="560"/>
        <w:spacing w:line="460" w:lineRule="exact"/>
        <w:rPr>
          <w:rFonts w:ascii="宋体" w:hAnsi="宋体" w:cs="宋体"/>
          <w:bCs/>
          <w:color w:val="auto"/>
          <w:sz w:val="28"/>
          <w:szCs w:val="28"/>
          <w:highlight w:val="none"/>
        </w:rPr>
      </w:pPr>
      <w:r>
        <w:rPr>
          <w:rFonts w:ascii="宋体" w:hAnsi="宋体" w:cs="宋体"/>
          <w:bCs/>
          <w:color w:val="auto"/>
          <w:sz w:val="28"/>
          <w:szCs w:val="28"/>
          <w:highlight w:val="none"/>
        </w:rPr>
        <w:t xml:space="preserve">如采购项目允许分包，所有分包供应商也需按照采购项目的属性提供《中小企业声明函》，否则视为不享受中小企业扶持政策。</w:t>
      </w:r>
      <w:r/>
    </w:p>
    <w:p>
      <w:pPr>
        <w:ind w:firstLine="560"/>
        <w:spacing w:line="460" w:lineRule="exact"/>
        <w:rPr>
          <w:rFonts w:ascii="宋体" w:hAnsi="宋体" w:cs="宋体"/>
          <w:bCs/>
          <w:color w:val="auto"/>
          <w:sz w:val="28"/>
          <w:szCs w:val="28"/>
          <w:highlight w:val="none"/>
        </w:rPr>
      </w:pPr>
      <w:r>
        <w:rPr>
          <w:rFonts w:ascii="宋体" w:hAnsi="宋体" w:cs="宋体"/>
          <w:bCs/>
          <w:color w:val="auto"/>
          <w:sz w:val="28"/>
          <w:szCs w:val="28"/>
          <w:highlight w:val="none"/>
        </w:rPr>
        <w:t xml:space="preserve">三、填写附件的时候有哪些需要注意的？</w:t>
      </w:r>
      <w:r/>
    </w:p>
    <w:p>
      <w:pPr>
        <w:ind w:firstLine="560"/>
        <w:spacing w:line="460" w:lineRule="exact"/>
        <w:rPr>
          <w:rFonts w:ascii="宋体" w:hAnsi="宋体" w:cs="宋体"/>
          <w:bCs/>
          <w:color w:val="auto"/>
          <w:sz w:val="28"/>
          <w:szCs w:val="28"/>
          <w:highlight w:val="none"/>
        </w:rPr>
      </w:pPr>
      <w:r>
        <w:rPr>
          <w:rFonts w:ascii="宋体" w:hAnsi="宋体" w:cs="宋体"/>
          <w:bCs/>
          <w:color w:val="auto"/>
          <w:sz w:val="28"/>
          <w:szCs w:val="28"/>
          <w:highlight w:val="none"/>
        </w:rPr>
        <w:t xml:space="preserve">答：供应商需严格按照</w:t>
      </w:r>
      <w:r>
        <w:rPr>
          <w:rFonts w:hint="eastAsia" w:ascii="宋体" w:hAnsi="宋体" w:cs="宋体"/>
          <w:bCs/>
          <w:color w:val="auto"/>
          <w:sz w:val="28"/>
          <w:szCs w:val="28"/>
          <w:highlight w:val="none"/>
        </w:rPr>
        <w:t xml:space="preserve">招标文件</w:t>
      </w:r>
      <w:r>
        <w:rPr>
          <w:rFonts w:ascii="宋体" w:hAnsi="宋体" w:cs="宋体"/>
          <w:bCs/>
          <w:color w:val="auto"/>
          <w:sz w:val="28"/>
          <w:szCs w:val="28"/>
          <w:highlight w:val="none"/>
        </w:rPr>
        <w:t xml:space="preserve">要求填写相关附件，如响应文件有要求提供承诺函且需供应商自拟格式的，请务必按照文件要求对所有需承诺内容进行逐项、完整响应，不得缺项漏项。</w:t>
      </w:r>
      <w:r/>
    </w:p>
    <w:p>
      <w:pPr>
        <w:ind w:firstLine="560"/>
        <w:spacing w:line="460" w:lineRule="exact"/>
        <w:rPr>
          <w:rFonts w:ascii="宋体" w:hAnsi="宋体" w:cs="宋体"/>
          <w:bCs/>
          <w:color w:val="auto"/>
          <w:sz w:val="28"/>
          <w:szCs w:val="28"/>
          <w:highlight w:val="none"/>
        </w:rPr>
      </w:pPr>
      <w:r>
        <w:rPr>
          <w:rFonts w:ascii="宋体" w:hAnsi="宋体" w:cs="宋体"/>
          <w:bCs/>
          <w:color w:val="auto"/>
          <w:sz w:val="28"/>
          <w:szCs w:val="28"/>
          <w:highlight w:val="none"/>
        </w:rPr>
        <w:t xml:space="preserve">四、报价时有哪些注意事项？</w:t>
      </w:r>
      <w:r/>
    </w:p>
    <w:p>
      <w:pPr>
        <w:ind w:firstLine="560"/>
        <w:spacing w:line="460" w:lineRule="exact"/>
        <w:rPr>
          <w:rFonts w:ascii="宋体" w:hAnsi="宋体" w:cs="宋体"/>
          <w:bCs/>
          <w:color w:val="auto"/>
          <w:sz w:val="28"/>
          <w:szCs w:val="28"/>
          <w:highlight w:val="none"/>
        </w:rPr>
      </w:pPr>
      <w:r>
        <w:rPr>
          <w:rFonts w:ascii="宋体" w:hAnsi="宋体" w:cs="宋体"/>
          <w:bCs/>
          <w:color w:val="auto"/>
          <w:sz w:val="28"/>
          <w:szCs w:val="28"/>
          <w:highlight w:val="none"/>
        </w:rPr>
        <w:t xml:space="preserve">答：各供应商报价时应注意总报价不得高于最高限价。涉及分项报价有最高限价要求的，应当逐项审查；分项报价与总价存在换算关系的，应核对换算是否准确。</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（1）根据财库〔2026〕2号文件,政府采购评审中出现下列情形之一的，评审委员会应当启动异常低价投标（响应）审查程序：</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①投标（响应）报价低于全部通过符合性审查供应商投标（响应）报价平均值50%的，即投标（响应）报价&lt;全部通过符合性审查供应商投标（响应）报价平均值×50%； </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②投标（响应）报价低于通过符合性审查的次低报价供应商投标（响应）报价50%的，即投标（响应）报价&lt;通过符合性审查的次低报价供应商投标（响应）报价×50%； </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③投标（响应）报价低于采购项目最高限价45%的，即投标（响应）报价&lt;采购项目最高限价×45%； </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④评审委员会基于专业判断，认为供应商报价过低，有可能影响产品质量或者不能诚信履约的其他情形。 </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评审委员会启动异常低价投标(响应)审查后，属于上述情形的，应当要求相关供应商在评审现场30分钟内对投标（响应）价格作出解释，提供项目具体成本测算等与报价合理性相关的书面说明及必要的证明材料，包括但不限于原材料成本、人工成本、制造费用等。其中，属于第③项情形，投标人已随投标（响应）文件一并提交相关书面说明及必要的证明材料的，在评审现场可不再重复提交。</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480"/>
        <w:spacing w:line="460" w:lineRule="exact"/>
        <w:rPr>
          <w:rFonts w:ascii="宋体" w:hAnsi="宋体" w:cs="宋体"/>
          <w:bCs/>
          <w:color w:val="auto"/>
          <w:sz w:val="28"/>
          <w:szCs w:val="28"/>
          <w:highlight w:val="none"/>
        </w:rPr>
      </w:pPr>
      <w:r>
        <w:rPr>
          <w:rFonts w:ascii="宋体" w:hAnsi="宋体" w:cs="宋体"/>
          <w:bCs/>
          <w:color w:val="auto"/>
          <w:sz w:val="28"/>
          <w:szCs w:val="28"/>
          <w:highlight w:val="none"/>
        </w:rPr>
        <w:t xml:space="preserve">各</w:t>
      </w:r>
      <w:r>
        <w:rPr>
          <w:rFonts w:hint="eastAsia" w:ascii="宋体" w:hAnsi="宋体" w:cs="宋体"/>
          <w:bCs/>
          <w:color w:val="auto"/>
          <w:sz w:val="28"/>
          <w:szCs w:val="28"/>
          <w:highlight w:val="none"/>
        </w:rPr>
        <w:t xml:space="preserve">投标（响应）</w:t>
      </w:r>
      <w:r>
        <w:rPr>
          <w:rFonts w:ascii="宋体" w:hAnsi="宋体" w:cs="宋体"/>
          <w:bCs/>
          <w:color w:val="auto"/>
          <w:sz w:val="28"/>
          <w:szCs w:val="28"/>
          <w:highlight w:val="none"/>
        </w:rPr>
        <w:t xml:space="preserve">供应商应当</w:t>
      </w:r>
      <w:r>
        <w:rPr>
          <w:rFonts w:hint="eastAsia" w:ascii="宋体" w:hAnsi="宋体" w:cs="宋体"/>
          <w:bCs/>
          <w:color w:val="auto"/>
          <w:sz w:val="28"/>
          <w:szCs w:val="28"/>
          <w:highlight w:val="none"/>
        </w:rPr>
        <w:t xml:space="preserve">始终</w:t>
      </w:r>
      <w:r>
        <w:rPr>
          <w:rFonts w:ascii="宋体" w:hAnsi="宋体" w:cs="宋体"/>
          <w:bCs/>
          <w:color w:val="auto"/>
          <w:sz w:val="28"/>
          <w:szCs w:val="28"/>
          <w:highlight w:val="none"/>
        </w:rPr>
        <w:t xml:space="preserve">关注开标大厅</w:t>
      </w:r>
      <w:r>
        <w:rPr>
          <w:rFonts w:hint="eastAsia" w:ascii="宋体" w:hAnsi="宋体" w:cs="宋体"/>
          <w:bCs/>
          <w:color w:val="auto"/>
          <w:sz w:val="28"/>
          <w:szCs w:val="28"/>
          <w:highlight w:val="none"/>
        </w:rPr>
        <w:t xml:space="preserve">，</w:t>
      </w:r>
      <w:r>
        <w:rPr>
          <w:rFonts w:ascii="宋体" w:hAnsi="宋体" w:cs="宋体"/>
          <w:bCs/>
          <w:color w:val="auto"/>
          <w:sz w:val="28"/>
          <w:szCs w:val="28"/>
          <w:highlight w:val="none"/>
        </w:rPr>
        <w:t xml:space="preserve">并</w:t>
      </w:r>
      <w:r>
        <w:rPr>
          <w:rFonts w:hint="eastAsia" w:ascii="宋体" w:hAnsi="宋体" w:cs="宋体"/>
          <w:bCs/>
          <w:color w:val="auto"/>
          <w:sz w:val="28"/>
          <w:szCs w:val="28"/>
          <w:highlight w:val="none"/>
        </w:rPr>
        <w:t xml:space="preserve">及时</w:t>
      </w:r>
      <w:r>
        <w:rPr>
          <w:rFonts w:ascii="宋体" w:hAnsi="宋体" w:cs="宋体"/>
          <w:bCs/>
          <w:color w:val="auto"/>
          <w:sz w:val="28"/>
          <w:szCs w:val="28"/>
          <w:highlight w:val="none"/>
        </w:rPr>
        <w:t xml:space="preserve">进行响应。</w:t>
      </w:r>
      <w:r>
        <w:rPr>
          <w:rFonts w:hint="eastAsia" w:ascii="宋体" w:hAnsi="宋体" w:cs="宋体"/>
          <w:bCs/>
          <w:color w:val="auto"/>
          <w:sz w:val="28"/>
          <w:szCs w:val="28"/>
          <w:highlight w:val="none"/>
        </w:rPr>
        <w:t xml:space="preserve">如</w:t>
      </w:r>
      <w:r>
        <w:rPr>
          <w:rFonts w:ascii="宋体" w:hAnsi="宋体" w:cs="宋体"/>
          <w:bCs/>
          <w:color w:val="auto"/>
          <w:sz w:val="28"/>
          <w:szCs w:val="28"/>
          <w:highlight w:val="none"/>
        </w:rPr>
        <w:t xml:space="preserve">投标（响应）供应商不提供书面说明、证明材料，或者提供的书面说明、证明材料不能证明其报价合理性的，评审委员会</w:t>
      </w:r>
      <w:r>
        <w:rPr>
          <w:rFonts w:hint="eastAsia" w:ascii="宋体" w:hAnsi="宋体" w:cs="宋体"/>
          <w:bCs/>
          <w:color w:val="auto"/>
          <w:sz w:val="28"/>
          <w:szCs w:val="28"/>
          <w:highlight w:val="none"/>
        </w:rPr>
        <w:t xml:space="preserve">有权</w:t>
      </w:r>
      <w:r>
        <w:rPr>
          <w:rFonts w:ascii="宋体" w:hAnsi="宋体" w:cs="宋体"/>
          <w:bCs/>
          <w:color w:val="auto"/>
          <w:sz w:val="28"/>
          <w:szCs w:val="28"/>
          <w:highlight w:val="none"/>
        </w:rPr>
        <w:t xml:space="preserve">将其作为无效投标（响应）处理。</w:t>
      </w:r>
      <w:r/>
    </w:p>
    <w:p>
      <w:pPr>
        <w:ind w:firstLine="480"/>
        <w:spacing w:line="460" w:lineRule="exact"/>
        <w:rPr>
          <w:rFonts w:ascii="宋体" w:hAnsi="宋体" w:cs="宋体"/>
          <w:bCs/>
          <w:color w:val="auto"/>
          <w:sz w:val="28"/>
          <w:szCs w:val="28"/>
          <w:highlight w:val="none"/>
        </w:rPr>
      </w:pPr>
      <w:r>
        <w:rPr>
          <w:rFonts w:ascii="宋体" w:hAnsi="宋体" w:cs="宋体"/>
          <w:bCs/>
          <w:color w:val="auto"/>
          <w:sz w:val="28"/>
          <w:szCs w:val="28"/>
          <w:highlight w:val="none"/>
        </w:rPr>
        <w:t xml:space="preserve">对报价异常低且经评审委员会启动相关审查机制后仍中标或成交的供应商，</w:t>
      </w:r>
      <w:r>
        <w:rPr>
          <w:rFonts w:hint="eastAsia" w:ascii="宋体" w:hAnsi="宋体" w:cs="宋体"/>
          <w:bCs/>
          <w:color w:val="auto"/>
          <w:sz w:val="28"/>
          <w:szCs w:val="28"/>
          <w:highlight w:val="none"/>
        </w:rPr>
        <w:t xml:space="preserve">采购人将</w:t>
      </w:r>
      <w:r>
        <w:rPr>
          <w:rFonts w:ascii="宋体" w:hAnsi="宋体" w:cs="宋体"/>
          <w:bCs/>
          <w:color w:val="auto"/>
          <w:sz w:val="28"/>
          <w:szCs w:val="28"/>
          <w:highlight w:val="none"/>
        </w:rPr>
        <w:t xml:space="preserve">重点关注其履约能力、履约承诺、实际履约情况等。</w:t>
      </w:r>
      <w:r/>
    </w:p>
    <w:p>
      <w:pPr>
        <w:ind w:firstLine="480"/>
        <w:spacing w:line="460" w:lineRule="exact"/>
        <w:rPr>
          <w:rFonts w:ascii="宋体" w:hAnsi="宋体" w:cs="宋体"/>
          <w:bCs/>
          <w:color w:val="auto"/>
          <w:sz w:val="28"/>
          <w:szCs w:val="28"/>
          <w:highlight w:val="none"/>
        </w:rPr>
      </w:pPr>
      <w:r>
        <w:rPr>
          <w:rFonts w:ascii="宋体" w:hAnsi="宋体" w:cs="宋体"/>
          <w:bCs/>
          <w:color w:val="auto"/>
          <w:sz w:val="28"/>
          <w:szCs w:val="28"/>
          <w:highlight w:val="none"/>
        </w:rPr>
        <w:t xml:space="preserve">五、开评标过程中供应商的注意事项有哪些？</w:t>
      </w:r>
      <w:r/>
    </w:p>
    <w:p>
      <w:pPr>
        <w:ind w:firstLine="480"/>
        <w:spacing w:line="460" w:lineRule="exact"/>
        <w:rPr>
          <w:rFonts w:ascii="宋体" w:hAnsi="宋体" w:cs="宋体"/>
          <w:bCs/>
          <w:color w:val="auto"/>
          <w:sz w:val="28"/>
          <w:szCs w:val="28"/>
          <w:highlight w:val="none"/>
        </w:rPr>
      </w:pPr>
      <w:r>
        <w:rPr>
          <w:rFonts w:ascii="宋体" w:hAnsi="宋体" w:cs="宋体"/>
          <w:bCs/>
          <w:color w:val="auto"/>
          <w:sz w:val="28"/>
          <w:szCs w:val="28"/>
          <w:highlight w:val="none"/>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p>
    <w:p>
      <w:pPr>
        <w:ind w:firstLine="480"/>
        <w:spacing w:line="460" w:lineRule="exact"/>
        <w:rPr>
          <w:rFonts w:ascii="宋体" w:hAnsi="宋体" w:cs="宋体"/>
          <w:bCs/>
          <w:color w:val="auto"/>
          <w:sz w:val="28"/>
          <w:szCs w:val="28"/>
          <w:highlight w:val="none"/>
        </w:rPr>
      </w:pPr>
      <w:r>
        <w:rPr>
          <w:rFonts w:ascii="宋体" w:hAnsi="宋体" w:cs="宋体"/>
          <w:bCs/>
          <w:color w:val="auto"/>
          <w:sz w:val="28"/>
          <w:szCs w:val="28"/>
          <w:highlight w:val="none"/>
        </w:rPr>
        <w:t xml:space="preserve">六、评标结束后什么时候能查询结果？如何查询？</w:t>
      </w:r>
      <w:r/>
    </w:p>
    <w:p>
      <w:pPr>
        <w:ind w:firstLine="480"/>
        <w:spacing w:line="460" w:lineRule="exact"/>
        <w:rPr>
          <w:rFonts w:ascii="宋体" w:hAnsi="宋体" w:cs="宋体"/>
          <w:bCs/>
          <w:color w:val="auto"/>
          <w:sz w:val="28"/>
          <w:szCs w:val="28"/>
          <w:highlight w:val="none"/>
        </w:rPr>
      </w:pPr>
      <w:r>
        <w:rPr>
          <w:rFonts w:ascii="宋体" w:hAnsi="宋体" w:cs="宋体"/>
          <w:bCs/>
          <w:color w:val="auto"/>
          <w:sz w:val="28"/>
          <w:szCs w:val="28"/>
          <w:highlight w:val="none"/>
        </w:rPr>
        <w:t xml:space="preserve">答：</w:t>
      </w:r>
      <w:r>
        <w:rPr>
          <w:rFonts w:hint="eastAsia" w:ascii="宋体" w:hAnsi="宋体" w:cs="宋体"/>
          <w:bCs/>
          <w:color w:val="auto"/>
          <w:sz w:val="28"/>
          <w:szCs w:val="28"/>
          <w:highlight w:val="none"/>
        </w:rPr>
        <w:t xml:space="preserve">对于采用公开招标或封闭式框架协议方式采购的项目，</w:t>
      </w:r>
      <w:r>
        <w:rPr>
          <w:rFonts w:ascii="宋体" w:hAnsi="宋体" w:cs="宋体"/>
          <w:bCs/>
          <w:color w:val="auto"/>
          <w:sz w:val="28"/>
          <w:szCs w:val="28"/>
          <w:highlight w:val="none"/>
        </w:rPr>
        <w:t xml:space="preserve">项目中标</w:t>
      </w:r>
      <w:r>
        <w:rPr>
          <w:rFonts w:hint="eastAsia" w:ascii="宋体" w:hAnsi="宋体" w:cs="宋体"/>
          <w:bCs/>
          <w:color w:val="auto"/>
          <w:sz w:val="28"/>
          <w:szCs w:val="28"/>
          <w:highlight w:val="none"/>
        </w:rPr>
        <w:t xml:space="preserve">（入围）</w:t>
      </w:r>
      <w:r>
        <w:rPr>
          <w:rFonts w:ascii="宋体" w:hAnsi="宋体" w:cs="宋体"/>
          <w:bCs/>
          <w:color w:val="auto"/>
          <w:sz w:val="28"/>
          <w:szCs w:val="28"/>
          <w:highlight w:val="none"/>
        </w:rPr>
        <w:t xml:space="preserve">公告</w:t>
      </w:r>
      <w:r>
        <w:rPr>
          <w:rFonts w:hint="eastAsia" w:ascii="宋体" w:hAnsi="宋体" w:cs="宋体"/>
          <w:bCs/>
          <w:color w:val="auto"/>
          <w:sz w:val="28"/>
          <w:szCs w:val="28"/>
          <w:highlight w:val="none"/>
        </w:rPr>
        <w:t xml:space="preserve">发布</w:t>
      </w:r>
      <w:r>
        <w:rPr>
          <w:rFonts w:ascii="宋体" w:hAnsi="宋体" w:cs="宋体"/>
          <w:bCs/>
          <w:color w:val="auto"/>
          <w:sz w:val="28"/>
          <w:szCs w:val="28"/>
          <w:highlight w:val="none"/>
        </w:rPr>
        <w:t xml:space="preserve">，参与供应商即可在</w:t>
      </w:r>
      <w:r>
        <w:rPr>
          <w:rFonts w:hint="eastAsia" w:ascii="宋体" w:hAnsi="宋体" w:cs="宋体"/>
          <w:bCs/>
          <w:color w:val="auto"/>
          <w:sz w:val="28"/>
          <w:szCs w:val="28"/>
          <w:highlight w:val="none"/>
        </w:rPr>
        <w:t xml:space="preserve">“</w:t>
      </w:r>
      <w:r>
        <w:rPr>
          <w:rFonts w:ascii="宋体" w:hAnsi="宋体" w:cs="宋体"/>
          <w:bCs/>
          <w:color w:val="auto"/>
          <w:sz w:val="28"/>
          <w:szCs w:val="28"/>
          <w:highlight w:val="none"/>
        </w:rPr>
        <w:t xml:space="preserve">苏采云</w:t>
      </w:r>
      <w:r>
        <w:rPr>
          <w:rFonts w:hint="eastAsia" w:ascii="宋体" w:hAnsi="宋体" w:cs="宋体"/>
          <w:bCs/>
          <w:color w:val="auto"/>
          <w:sz w:val="28"/>
          <w:szCs w:val="28"/>
          <w:highlight w:val="none"/>
        </w:rPr>
        <w:t xml:space="preserve">”</w:t>
      </w:r>
      <w:r>
        <w:rPr>
          <w:rFonts w:ascii="宋体" w:hAnsi="宋体" w:cs="宋体"/>
          <w:bCs/>
          <w:color w:val="auto"/>
          <w:sz w:val="28"/>
          <w:szCs w:val="28"/>
          <w:highlight w:val="none"/>
        </w:rPr>
        <w:t xml:space="preserve">系统中查看</w:t>
      </w:r>
      <w:r>
        <w:rPr>
          <w:rFonts w:hint="eastAsia" w:ascii="宋体" w:hAnsi="宋体" w:cs="宋体"/>
          <w:bCs/>
          <w:color w:val="auto"/>
          <w:sz w:val="28"/>
          <w:szCs w:val="28"/>
          <w:highlight w:val="none"/>
        </w:rPr>
        <w:t xml:space="preserve">评审</w:t>
      </w:r>
      <w:r>
        <w:rPr>
          <w:rFonts w:ascii="宋体" w:hAnsi="宋体" w:cs="宋体"/>
          <w:bCs/>
          <w:color w:val="auto"/>
          <w:sz w:val="28"/>
          <w:szCs w:val="28"/>
          <w:highlight w:val="none"/>
        </w:rPr>
        <w:t xml:space="preserve">结果。</w:t>
      </w:r>
      <w:r/>
    </w:p>
    <w:p>
      <w:pPr>
        <w:ind w:firstLine="480"/>
        <w:spacing w:line="460" w:lineRule="exact"/>
        <w:rPr>
          <w:rFonts w:ascii="宋体" w:hAnsi="宋体" w:cs="宋体"/>
          <w:bCs/>
          <w:color w:val="auto"/>
          <w:sz w:val="28"/>
          <w:szCs w:val="28"/>
          <w:highlight w:val="none"/>
        </w:rPr>
      </w:pPr>
      <w:r>
        <w:rPr>
          <w:rFonts w:ascii="宋体" w:hAnsi="宋体" w:cs="宋体"/>
          <w:bCs/>
          <w:color w:val="auto"/>
          <w:sz w:val="28"/>
          <w:szCs w:val="28"/>
          <w:highlight w:val="none"/>
        </w:rPr>
        <w:t xml:space="preserve">供应商查询</w:t>
      </w:r>
      <w:r>
        <w:rPr>
          <w:rFonts w:hint="eastAsia" w:ascii="宋体" w:hAnsi="宋体" w:cs="宋体"/>
          <w:bCs/>
          <w:color w:val="auto"/>
          <w:sz w:val="28"/>
          <w:szCs w:val="28"/>
          <w:highlight w:val="none"/>
        </w:rPr>
        <w:t xml:space="preserve">评审</w:t>
      </w:r>
      <w:r>
        <w:rPr>
          <w:rFonts w:ascii="宋体" w:hAnsi="宋体" w:cs="宋体"/>
          <w:bCs/>
          <w:color w:val="auto"/>
          <w:sz w:val="28"/>
          <w:szCs w:val="28"/>
          <w:highlight w:val="none"/>
        </w:rPr>
        <w:t xml:space="preserve">结果的</w:t>
      </w:r>
      <w:r>
        <w:rPr>
          <w:rFonts w:hint="eastAsia" w:ascii="宋体" w:hAnsi="宋体" w:cs="宋体"/>
          <w:bCs/>
          <w:color w:val="auto"/>
          <w:sz w:val="28"/>
          <w:szCs w:val="28"/>
          <w:highlight w:val="none"/>
        </w:rPr>
        <w:t xml:space="preserve">路径</w:t>
      </w:r>
      <w:r>
        <w:rPr>
          <w:rFonts w:ascii="宋体" w:hAnsi="宋体" w:cs="宋体"/>
          <w:bCs/>
          <w:color w:val="auto"/>
          <w:sz w:val="28"/>
          <w:szCs w:val="28"/>
          <w:highlight w:val="none"/>
        </w:rPr>
        <w:t xml:space="preserve">为：</w:t>
      </w:r>
      <w:r>
        <w:rPr>
          <w:rFonts w:hint="eastAsia" w:ascii="宋体" w:hAnsi="宋体" w:cs="宋体"/>
          <w:bCs/>
          <w:color w:val="auto"/>
          <w:sz w:val="28"/>
          <w:szCs w:val="28"/>
          <w:highlight w:val="none"/>
        </w:rPr>
        <w:t xml:space="preserve">登录“苏采云”系统-</w:t>
      </w:r>
      <w:r>
        <w:rPr>
          <w:rFonts w:ascii="宋体" w:hAnsi="宋体" w:cs="宋体"/>
          <w:bCs/>
          <w:color w:val="auto"/>
          <w:sz w:val="28"/>
          <w:szCs w:val="28"/>
          <w:highlight w:val="none"/>
        </w:rPr>
        <w:t xml:space="preserve">点击【采购项目参与】-【评审结果查询】-点击【查看】按钮，进入评审结果详情页面。供应商可以查看到资格符合评审是否通过、评审总得分、排名和是否中标/成交。</w:t>
      </w:r>
      <w:r/>
    </w:p>
    <w:p>
      <w:pPr>
        <w:rPr>
          <w:color w:val="auto"/>
          <w:highlight w:val="none"/>
        </w:rPr>
      </w:pPr>
      <w:r>
        <w:rPr>
          <w:color w:val="auto"/>
          <w:highlight w:val="none"/>
        </w:rPr>
      </w:r>
      <w:r/>
    </w:p>
    <w:p>
      <w:pPr>
        <w:jc w:val="left"/>
        <w:widowControl/>
        <w:rPr>
          <w:rFonts w:ascii="宋体" w:hAnsi="宋体" w:cs="宋体"/>
          <w:color w:val="auto"/>
          <w:sz w:val="28"/>
          <w:szCs w:val="28"/>
          <w:highlight w:val="none"/>
        </w:rPr>
      </w:pPr>
      <w:r>
        <w:rPr>
          <w:rFonts w:ascii="宋体" w:hAnsi="宋体" w:cs="宋体"/>
          <w:color w:val="auto"/>
          <w:sz w:val="28"/>
          <w:szCs w:val="28"/>
          <w:highlight w:val="none"/>
        </w:rPr>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魏碑_GBK">
    <w:panose1 w:val="020B0503020202020204"/>
  </w:font>
  <w:font w:name="___WRD_EMBED_SUB_51">
    <w:panose1 w:val="020B0503020202020204"/>
  </w:font>
  <w:font w:name="Wingdings">
    <w:panose1 w:val="05000000000000000000"/>
  </w:font>
  <w:font w:name="Times New Roman Regular">
    <w:panose1 w:val="02020603050405020304"/>
  </w:font>
  <w:font w:name="等线">
    <w:panose1 w:val="02010600030101010101"/>
  </w:font>
  <w:font w:name="仿宋">
    <w:panose1 w:val="02010609060101010101"/>
  </w:font>
  <w:font w:name="Tahoma">
    <w:panose1 w:val="020B0604030504040204"/>
  </w:font>
  <w:font w:name="楷体_GB2312">
    <w:panose1 w:val="02010609060101010101"/>
  </w:font>
  <w:font w:name="ˎ̥">
    <w:panose1 w:val="020B0503020202020204"/>
  </w:font>
  <w:font w:name="微软雅黑">
    <w:panose1 w:val="020B0503020204020204"/>
  </w:font>
  <w:font w:name="Calibri">
    <w:panose1 w:val="020F0502020204030204"/>
  </w:font>
  <w:font w:name="PMingLiU">
    <w:panose1 w:val="02020500000000000000"/>
  </w:font>
  <w:font w:name="华文细黑">
    <w:panose1 w:val="02010600040101010101"/>
  </w:font>
  <w:font w:name="Courier New">
    <w:panose1 w:val="02070309020205020404"/>
  </w:font>
  <w:font w:name="新宋体">
    <w:panose1 w:val="02010609030101010101"/>
  </w:font>
  <w:font w:name="Verdana">
    <w:panose1 w:val="020B0604030504040204"/>
  </w:font>
  <w:font w:name="仿宋_GB2312">
    <w:panose1 w:val="02010609060101010101"/>
  </w:font>
  <w:font w:name="黑体">
    <w:panose1 w:val="02010609060101010101"/>
  </w:font>
  <w:font w:name="Arial">
    <w:panose1 w:val="020B0604020202020204"/>
  </w:font>
  <w:font w:name="方正仿宋_GB18030">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2185" cy="147955"/>
              <wp:effectExtent l="0" t="0" r="0" b="0"/>
              <wp:wrapNone/>
              <wp:docPr id="1"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72185" cy="147955"/>
                      </a:xfrm>
                      <a:prstGeom prst="rect">
                        <a:avLst/>
                      </a:prstGeom>
                      <a:noFill/>
                      <a:ln>
                        <a:noFill/>
                      </a:ln>
                      <a:effectLst/>
                    </wps:spPr>
                    <wps:txbx>
                      <w:txbxContent>
                        <w:p>
                          <w:pPr>
                            <w:pStyle w:val="76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v:textbox inset="0,0,0,0">
                <w:txbxContent>
                  <w:p>
                    <w:pPr>
                      <w:pStyle w:val="76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a:effectLst/>
                    </wps:spPr>
                    <wps:txbx>
                      <w:txbxContent>
                        <w:p>
                          <w:pPr>
                            <w:pStyle w:val="767"/>
                          </w:pPr>
                          <w:r>
                            <w:t xml:space="preserve">第 </w:t>
                          </w:r>
                          <w:r>
                            <w:fldChar w:fldCharType="begin"/>
                          </w:r>
                          <w:r>
                            <w:instrText xml:space="preserve"> PAGE  \* MERGEFORMAT </w:instrText>
                          </w:r>
                          <w:r>
                            <w:fldChar w:fldCharType="separate"/>
                          </w:r>
                          <w:r>
                            <w:t xml:space="preserve">80</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pPr>
                      <w:pStyle w:val="767"/>
                    </w:pPr>
                    <w:r>
                      <w:t xml:space="preserve">第 </w:t>
                    </w:r>
                    <w:r>
                      <w:fldChar w:fldCharType="begin"/>
                    </w:r>
                    <w:r>
                      <w:instrText xml:space="preserve"> PAGE  \* MERGEFORMAT </w:instrText>
                    </w:r>
                    <w:r>
                      <w:fldChar w:fldCharType="separate"/>
                    </w:r>
                    <w:r>
                      <w:t xml:space="preserve">80</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17"/>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44"/>
    <w:link w:val="781"/>
    <w:uiPriority w:val="10"/>
    <w:rPr>
      <w:sz w:val="48"/>
      <w:szCs w:val="48"/>
    </w:rPr>
  </w:style>
  <w:style w:type="character" w:styleId="36">
    <w:name w:val="Subtitle Char"/>
    <w:basedOn w:val="744"/>
    <w:link w:val="771"/>
    <w:uiPriority w:val="11"/>
    <w:rPr>
      <w:sz w:val="24"/>
      <w:szCs w:val="24"/>
    </w:rPr>
  </w:style>
  <w:style w:type="character" w:styleId="38">
    <w:name w:val="Quote Char"/>
    <w:link w:val="805"/>
    <w:uiPriority w:val="29"/>
    <w:rPr>
      <w:i/>
    </w:rPr>
  </w:style>
  <w:style w:type="character" w:styleId="40">
    <w:name w:val="Intense Quote Char"/>
    <w:link w:val="807"/>
    <w:uiPriority w:val="30"/>
    <w:rPr>
      <w:i/>
    </w:rPr>
  </w:style>
  <w:style w:type="table" w:styleId="49">
    <w:name w:val="Plain Table 1"/>
    <w:basedOn w:val="7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73"/>
    <w:uiPriority w:val="99"/>
    <w:rPr>
      <w:sz w:val="18"/>
    </w:rPr>
  </w:style>
  <w:style w:type="character" w:styleId="178">
    <w:name w:val="Endnote Text Char"/>
    <w:link w:val="765"/>
    <w:uiPriority w:val="99"/>
    <w:rPr>
      <w:sz w:val="20"/>
    </w:rPr>
  </w:style>
  <w:style w:type="paragraph" w:styleId="189">
    <w:name w:val="TOC Heading"/>
    <w:uiPriority w:val="39"/>
    <w:unhideWhenUsed/>
  </w:style>
  <w:style w:type="paragraph" w:styleId="73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35">
    <w:name w:val="Heading 1"/>
    <w:basedOn w:val="734"/>
    <w:next w:val="734"/>
    <w:link w:val="942"/>
    <w:uiPriority w:val="0"/>
    <w:qFormat/>
    <w:pPr>
      <w:keepLines/>
      <w:keepNext/>
      <w:spacing w:before="340" w:after="330" w:line="578" w:lineRule="auto"/>
      <w:outlineLvl w:val="0"/>
    </w:pPr>
    <w:rPr>
      <w:b/>
      <w:bCs/>
      <w:sz w:val="44"/>
      <w:szCs w:val="44"/>
    </w:rPr>
  </w:style>
  <w:style w:type="paragraph" w:styleId="736">
    <w:name w:val="Heading 2"/>
    <w:basedOn w:val="734"/>
    <w:next w:val="734"/>
    <w:link w:val="943"/>
    <w:uiPriority w:val="0"/>
    <w:qFormat/>
    <w:pPr>
      <w:keepLines/>
      <w:keepNext/>
      <w:spacing w:before="260" w:after="260" w:line="416" w:lineRule="auto"/>
      <w:outlineLvl w:val="1"/>
    </w:pPr>
    <w:rPr>
      <w:rFonts w:ascii="Arial" w:hAnsi="Arial" w:eastAsia="黑体"/>
      <w:b/>
      <w:bCs/>
      <w:sz w:val="32"/>
      <w:szCs w:val="32"/>
    </w:rPr>
  </w:style>
  <w:style w:type="paragraph" w:styleId="737">
    <w:name w:val="Heading 3"/>
    <w:basedOn w:val="734"/>
    <w:next w:val="734"/>
    <w:link w:val="944"/>
    <w:uiPriority w:val="0"/>
    <w:qFormat/>
    <w:pPr>
      <w:keepLines/>
      <w:keepNext/>
      <w:spacing w:before="260" w:after="260" w:line="416" w:lineRule="auto"/>
      <w:outlineLvl w:val="2"/>
    </w:pPr>
    <w:rPr>
      <w:b/>
      <w:bCs/>
      <w:sz w:val="32"/>
      <w:szCs w:val="32"/>
    </w:rPr>
  </w:style>
  <w:style w:type="paragraph" w:styleId="738">
    <w:name w:val="Heading 4"/>
    <w:basedOn w:val="734"/>
    <w:next w:val="734"/>
    <w:link w:val="945"/>
    <w:uiPriority w:val="0"/>
    <w:qFormat/>
    <w:pPr>
      <w:jc w:val="center"/>
      <w:keepNext/>
      <w:outlineLvl w:val="3"/>
    </w:pPr>
    <w:rPr>
      <w:rFonts w:eastAsia="新宋体"/>
      <w:sz w:val="30"/>
      <w:szCs w:val="21"/>
    </w:rPr>
  </w:style>
  <w:style w:type="paragraph" w:styleId="739">
    <w:name w:val="Heading 5"/>
    <w:basedOn w:val="734"/>
    <w:next w:val="734"/>
    <w:link w:val="946"/>
    <w:uiPriority w:val="0"/>
    <w:qFormat/>
    <w:pPr>
      <w:keepLines/>
      <w:keepNext/>
      <w:spacing w:before="280" w:after="290" w:line="376" w:lineRule="auto"/>
      <w:outlineLvl w:val="4"/>
    </w:pPr>
    <w:rPr>
      <w:b/>
      <w:bCs/>
      <w:sz w:val="28"/>
      <w:szCs w:val="28"/>
    </w:rPr>
  </w:style>
  <w:style w:type="paragraph" w:styleId="740">
    <w:name w:val="Heading 6"/>
    <w:basedOn w:val="734"/>
    <w:next w:val="746"/>
    <w:link w:val="947"/>
    <w:uiPriority w:val="0"/>
    <w:qFormat/>
    <w:pPr>
      <w:jc w:val="center"/>
      <w:keepNext/>
      <w:outlineLvl w:val="5"/>
    </w:pPr>
    <w:rPr>
      <w:b/>
      <w:sz w:val="44"/>
      <w:szCs w:val="20"/>
    </w:rPr>
  </w:style>
  <w:style w:type="paragraph" w:styleId="741">
    <w:name w:val="Heading 7"/>
    <w:basedOn w:val="734"/>
    <w:next w:val="734"/>
    <w:link w:val="949"/>
    <w:uiPriority w:val="0"/>
    <w:qFormat/>
    <w:pPr>
      <w:keepLines/>
      <w:keepNext/>
      <w:spacing w:before="240" w:after="64" w:line="320" w:lineRule="auto"/>
      <w:outlineLvl w:val="6"/>
    </w:pPr>
    <w:rPr>
      <w:b/>
      <w:bCs/>
      <w:sz w:val="24"/>
    </w:rPr>
  </w:style>
  <w:style w:type="paragraph" w:styleId="742">
    <w:name w:val="Heading 8"/>
    <w:basedOn w:val="734"/>
    <w:next w:val="734"/>
    <w:link w:val="950"/>
    <w:uiPriority w:val="0"/>
    <w:qFormat/>
    <w:pPr>
      <w:keepLines/>
      <w:keepNext/>
      <w:spacing w:before="240" w:after="64" w:line="320" w:lineRule="auto"/>
      <w:outlineLvl w:val="7"/>
    </w:pPr>
    <w:rPr>
      <w:rFonts w:ascii="Arial" w:hAnsi="Arial" w:eastAsia="黑体"/>
      <w:sz w:val="24"/>
    </w:rPr>
  </w:style>
  <w:style w:type="paragraph" w:styleId="743">
    <w:name w:val="Heading 9"/>
    <w:basedOn w:val="734"/>
    <w:next w:val="734"/>
    <w:link w:val="951"/>
    <w:uiPriority w:val="0"/>
    <w:qFormat/>
    <w:pPr>
      <w:keepLines/>
      <w:keepNext/>
      <w:spacing w:before="240" w:after="64" w:line="320" w:lineRule="auto"/>
      <w:outlineLvl w:val="8"/>
    </w:pPr>
    <w:rPr>
      <w:rFonts w:ascii="Arial" w:hAnsi="Arial" w:eastAsia="黑体"/>
      <w:sz w:val="24"/>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name w:val="Normal Indent"/>
    <w:basedOn w:val="734"/>
    <w:link w:val="948"/>
    <w:uiPriority w:val="0"/>
    <w:qFormat/>
    <w:pPr>
      <w:ind w:firstLine="420"/>
    </w:pPr>
    <w:rPr>
      <w:sz w:val="20"/>
      <w:szCs w:val="20"/>
    </w:rPr>
  </w:style>
  <w:style w:type="paragraph" w:styleId="747">
    <w:name w:val="toc 7"/>
    <w:basedOn w:val="734"/>
    <w:next w:val="734"/>
    <w:uiPriority w:val="39"/>
    <w:unhideWhenUsed/>
    <w:qFormat/>
    <w:pPr>
      <w:ind w:left="1701"/>
      <w:spacing w:after="57"/>
    </w:pPr>
  </w:style>
  <w:style w:type="paragraph" w:styleId="748">
    <w:name w:val="Note Heading"/>
    <w:basedOn w:val="734"/>
    <w:next w:val="734"/>
    <w:uiPriority w:val="0"/>
    <w:qFormat/>
    <w:rPr>
      <w:rFonts w:ascii="Verdana" w:hAnsi="Verdana"/>
      <w:szCs w:val="20"/>
    </w:rPr>
  </w:style>
  <w:style w:type="paragraph" w:styleId="749">
    <w:name w:val="Caption"/>
    <w:basedOn w:val="734"/>
    <w:next w:val="7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0">
    <w:name w:val="Document Map"/>
    <w:basedOn w:val="734"/>
    <w:link w:val="952"/>
    <w:uiPriority w:val="0"/>
    <w:semiHidden/>
    <w:qFormat/>
    <w:pPr>
      <w:shd w:val="clear" w:color="auto" w:fill="000080"/>
    </w:pPr>
    <w:rPr>
      <w:sz w:val="20"/>
    </w:rPr>
  </w:style>
  <w:style w:type="paragraph" w:styleId="751">
    <w:name w:val="toa heading"/>
    <w:basedOn w:val="734"/>
    <w:next w:val="734"/>
    <w:uiPriority w:val="0"/>
    <w:qFormat/>
    <w:pPr>
      <w:jc w:val="center"/>
      <w:spacing w:line="360" w:lineRule="atLeast"/>
    </w:pPr>
    <w:rPr>
      <w:rFonts w:ascii="Arial" w:hAnsi="Arial" w:eastAsia="黑体"/>
      <w:sz w:val="36"/>
      <w:szCs w:val="20"/>
    </w:rPr>
  </w:style>
  <w:style w:type="paragraph" w:styleId="752">
    <w:name w:val="annotation text"/>
    <w:basedOn w:val="734"/>
    <w:link w:val="953"/>
    <w:uiPriority w:val="99"/>
    <w:unhideWhenUsed/>
    <w:qFormat/>
    <w:pPr>
      <w:jc w:val="left"/>
    </w:pPr>
  </w:style>
  <w:style w:type="paragraph" w:styleId="753">
    <w:name w:val="Body Text 3"/>
    <w:basedOn w:val="734"/>
    <w:link w:val="954"/>
    <w:uiPriority w:val="0"/>
    <w:qFormat/>
    <w:pPr>
      <w:spacing w:after="120"/>
    </w:pPr>
    <w:rPr>
      <w:sz w:val="16"/>
      <w:szCs w:val="16"/>
    </w:rPr>
  </w:style>
  <w:style w:type="paragraph" w:styleId="754">
    <w:name w:val="Body Text"/>
    <w:basedOn w:val="734"/>
    <w:next w:val="755"/>
    <w:link w:val="955"/>
    <w:uiPriority w:val="0"/>
    <w:qFormat/>
    <w:rPr>
      <w:rFonts w:ascii="仿宋_GB2312" w:eastAsia="仿宋_GB2312"/>
      <w:sz w:val="24"/>
      <w:szCs w:val="20"/>
    </w:rPr>
  </w:style>
  <w:style w:type="paragraph" w:styleId="755" w:customStyle="1">
    <w:name w:val="目录 82"/>
    <w:next w:val="734"/>
    <w:uiPriority w:val="0"/>
    <w:qFormat/>
    <w:pPr>
      <w:ind w:left="2550"/>
      <w:jc w:val="both"/>
    </w:pPr>
    <w:rPr>
      <w:rFonts w:ascii="Times New Roman" w:hAnsi="Times New Roman" w:eastAsia="宋体" w:cs="Times New Roman"/>
      <w:sz w:val="21"/>
      <w:lang w:val="en-US" w:eastAsia="zh-CN" w:bidi="ar-SA"/>
    </w:rPr>
  </w:style>
  <w:style w:type="paragraph" w:styleId="756">
    <w:name w:val="Body Text Indent"/>
    <w:basedOn w:val="734"/>
    <w:next w:val="757"/>
    <w:link w:val="956"/>
    <w:uiPriority w:val="0"/>
    <w:qFormat/>
    <w:pPr>
      <w:ind w:left="765"/>
    </w:pPr>
    <w:rPr>
      <w:rFonts w:ascii="仿宋_GB2312" w:eastAsia="仿宋_GB2312"/>
      <w:sz w:val="28"/>
      <w:szCs w:val="20"/>
    </w:rPr>
  </w:style>
  <w:style w:type="paragraph" w:styleId="757">
    <w:name w:val="envelope return"/>
    <w:basedOn w:val="734"/>
    <w:uiPriority w:val="99"/>
    <w:unhideWhenUsed/>
    <w:qFormat/>
    <w:rPr>
      <w:rFonts w:ascii="Arial" w:hAnsi="Arial"/>
    </w:rPr>
  </w:style>
  <w:style w:type="paragraph" w:styleId="758">
    <w:name w:val="Block Text"/>
    <w:basedOn w:val="734"/>
    <w:next w:val="754"/>
    <w:uiPriority w:val="0"/>
    <w:qFormat/>
    <w:pPr>
      <w:ind w:right="210" w:firstLine="560"/>
      <w:spacing w:line="360" w:lineRule="auto"/>
    </w:pPr>
    <w:rPr>
      <w:rFonts w:ascii="宋体" w:hAnsi="宋体"/>
      <w:color w:val="000000"/>
      <w:spacing w:val="20"/>
      <w:sz w:val="24"/>
      <w:szCs w:val="18"/>
    </w:rPr>
  </w:style>
  <w:style w:type="paragraph" w:styleId="759">
    <w:name w:val="toc 5"/>
    <w:basedOn w:val="734"/>
    <w:next w:val="734"/>
    <w:uiPriority w:val="39"/>
    <w:unhideWhenUsed/>
    <w:qFormat/>
    <w:pPr>
      <w:ind w:left="1134"/>
      <w:spacing w:after="57"/>
    </w:pPr>
  </w:style>
  <w:style w:type="paragraph" w:styleId="760">
    <w:name w:val="toc 3"/>
    <w:basedOn w:val="734"/>
    <w:next w:val="734"/>
    <w:uiPriority w:val="39"/>
    <w:unhideWhenUsed/>
    <w:qFormat/>
    <w:pPr>
      <w:ind w:left="840"/>
    </w:pPr>
  </w:style>
  <w:style w:type="paragraph" w:styleId="761">
    <w:name w:val="Plain Text"/>
    <w:basedOn w:val="734"/>
    <w:link w:val="957"/>
    <w:uiPriority w:val="0"/>
    <w:qFormat/>
    <w:rPr>
      <w:rFonts w:ascii="宋体" w:hAnsi="Courier New"/>
      <w:sz w:val="20"/>
      <w:szCs w:val="21"/>
    </w:rPr>
  </w:style>
  <w:style w:type="paragraph" w:styleId="762">
    <w:name w:val="toc 8"/>
    <w:basedOn w:val="734"/>
    <w:next w:val="734"/>
    <w:uiPriority w:val="39"/>
    <w:unhideWhenUsed/>
    <w:qFormat/>
    <w:pPr>
      <w:ind w:left="1984"/>
      <w:spacing w:after="57"/>
    </w:pPr>
  </w:style>
  <w:style w:type="paragraph" w:styleId="763">
    <w:name w:val="Date"/>
    <w:basedOn w:val="734"/>
    <w:next w:val="734"/>
    <w:link w:val="958"/>
    <w:uiPriority w:val="0"/>
    <w:qFormat/>
    <w:rPr>
      <w:sz w:val="24"/>
      <w:szCs w:val="20"/>
    </w:rPr>
  </w:style>
  <w:style w:type="paragraph" w:styleId="764">
    <w:name w:val="Body Text Indent 2"/>
    <w:basedOn w:val="734"/>
    <w:link w:val="959"/>
    <w:uiPriority w:val="0"/>
    <w:qFormat/>
    <w:pPr>
      <w:ind w:firstLine="560"/>
      <w:spacing w:line="500" w:lineRule="exact"/>
    </w:pPr>
    <w:rPr>
      <w:rFonts w:eastAsia="仿宋_GB2312"/>
      <w:sz w:val="28"/>
      <w:szCs w:val="20"/>
    </w:rPr>
  </w:style>
  <w:style w:type="paragraph" w:styleId="765">
    <w:name w:val="endnote text"/>
    <w:basedOn w:val="734"/>
    <w:link w:val="938"/>
    <w:uiPriority w:val="99"/>
    <w:semiHidden/>
    <w:unhideWhenUsed/>
    <w:qFormat/>
    <w:rPr>
      <w:sz w:val="20"/>
    </w:rPr>
  </w:style>
  <w:style w:type="paragraph" w:styleId="766">
    <w:name w:val="Balloon Text"/>
    <w:basedOn w:val="734"/>
    <w:link w:val="960"/>
    <w:uiPriority w:val="0"/>
    <w:semiHidden/>
    <w:qFormat/>
    <w:rPr>
      <w:sz w:val="18"/>
      <w:szCs w:val="18"/>
    </w:rPr>
  </w:style>
  <w:style w:type="paragraph" w:styleId="767">
    <w:name w:val="Footer"/>
    <w:basedOn w:val="734"/>
    <w:link w:val="961"/>
    <w:uiPriority w:val="99"/>
    <w:qFormat/>
    <w:pPr>
      <w:jc w:val="left"/>
      <w:tabs>
        <w:tab w:val="center" w:pos="4153" w:leader="none"/>
        <w:tab w:val="right" w:pos="8306" w:leader="none"/>
      </w:tabs>
    </w:pPr>
    <w:rPr>
      <w:sz w:val="18"/>
      <w:szCs w:val="20"/>
    </w:rPr>
  </w:style>
  <w:style w:type="paragraph" w:styleId="768">
    <w:name w:val="Header"/>
    <w:basedOn w:val="734"/>
    <w:link w:val="962"/>
    <w:uiPriority w:val="0"/>
    <w:qFormat/>
    <w:pPr>
      <w:jc w:val="center"/>
      <w:tabs>
        <w:tab w:val="center" w:pos="4153" w:leader="none"/>
        <w:tab w:val="right" w:pos="8306" w:leader="none"/>
      </w:tabs>
      <w:pBdr>
        <w:bottom w:val="single" w:color="auto" w:sz="6" w:space="1"/>
      </w:pBdr>
    </w:pPr>
    <w:rPr>
      <w:sz w:val="18"/>
      <w:szCs w:val="18"/>
    </w:rPr>
  </w:style>
  <w:style w:type="paragraph" w:styleId="769">
    <w:name w:val="toc 1"/>
    <w:basedOn w:val="734"/>
    <w:next w:val="734"/>
    <w:uiPriority w:val="0"/>
    <w:semiHidden/>
    <w:qFormat/>
    <w:rPr>
      <w:sz w:val="24"/>
    </w:rPr>
  </w:style>
  <w:style w:type="paragraph" w:styleId="770">
    <w:name w:val="toc 4"/>
    <w:basedOn w:val="734"/>
    <w:next w:val="734"/>
    <w:uiPriority w:val="39"/>
    <w:unhideWhenUsed/>
    <w:qFormat/>
    <w:pPr>
      <w:ind w:left="850"/>
      <w:spacing w:after="57"/>
    </w:pPr>
  </w:style>
  <w:style w:type="paragraph" w:styleId="771">
    <w:name w:val="Subtitle"/>
    <w:basedOn w:val="734"/>
    <w:next w:val="734"/>
    <w:link w:val="804"/>
    <w:uiPriority w:val="11"/>
    <w:qFormat/>
    <w:pPr>
      <w:spacing w:before="200" w:after="200"/>
    </w:pPr>
    <w:rPr>
      <w:sz w:val="24"/>
    </w:rPr>
  </w:style>
  <w:style w:type="paragraph" w:styleId="772">
    <w:name w:val="List"/>
    <w:basedOn w:val="734"/>
    <w:uiPriority w:val="0"/>
    <w:qFormat/>
    <w:pPr>
      <w:ind w:left="200" w:hanging="200"/>
    </w:pPr>
  </w:style>
  <w:style w:type="paragraph" w:styleId="773">
    <w:name w:val="footnote text"/>
    <w:basedOn w:val="734"/>
    <w:link w:val="937"/>
    <w:uiPriority w:val="99"/>
    <w:semiHidden/>
    <w:unhideWhenUsed/>
    <w:qFormat/>
    <w:pPr>
      <w:spacing w:after="40"/>
    </w:pPr>
    <w:rPr>
      <w:sz w:val="18"/>
    </w:rPr>
  </w:style>
  <w:style w:type="paragraph" w:styleId="774">
    <w:name w:val="toc 6"/>
    <w:basedOn w:val="734"/>
    <w:next w:val="734"/>
    <w:uiPriority w:val="39"/>
    <w:unhideWhenUsed/>
    <w:qFormat/>
    <w:pPr>
      <w:ind w:left="1417"/>
      <w:spacing w:after="57"/>
    </w:pPr>
  </w:style>
  <w:style w:type="paragraph" w:styleId="775">
    <w:name w:val="Body Text Indent 3"/>
    <w:basedOn w:val="734"/>
    <w:next w:val="751"/>
    <w:link w:val="963"/>
    <w:uiPriority w:val="0"/>
    <w:qFormat/>
    <w:pPr>
      <w:ind w:left="420"/>
      <w:spacing w:after="120"/>
    </w:pPr>
    <w:rPr>
      <w:sz w:val="16"/>
      <w:szCs w:val="16"/>
    </w:rPr>
  </w:style>
  <w:style w:type="paragraph" w:styleId="776">
    <w:name w:val="table of figures"/>
    <w:basedOn w:val="734"/>
    <w:next w:val="734"/>
    <w:uiPriority w:val="99"/>
    <w:unhideWhenUsed/>
    <w:qFormat/>
  </w:style>
  <w:style w:type="paragraph" w:styleId="777">
    <w:name w:val="toc 2"/>
    <w:basedOn w:val="734"/>
    <w:next w:val="734"/>
    <w:uiPriority w:val="39"/>
    <w:unhideWhenUsed/>
    <w:qFormat/>
    <w:pPr>
      <w:ind w:left="420"/>
    </w:pPr>
  </w:style>
  <w:style w:type="paragraph" w:styleId="778">
    <w:name w:val="toc 9"/>
    <w:basedOn w:val="734"/>
    <w:next w:val="734"/>
    <w:uiPriority w:val="39"/>
    <w:unhideWhenUsed/>
    <w:qFormat/>
    <w:pPr>
      <w:ind w:left="2268"/>
      <w:spacing w:after="57"/>
    </w:pPr>
  </w:style>
  <w:style w:type="paragraph" w:styleId="779">
    <w:name w:val="Body Text 2"/>
    <w:basedOn w:val="734"/>
    <w:link w:val="964"/>
    <w:uiPriority w:val="0"/>
    <w:qFormat/>
    <w:rPr>
      <w:b/>
      <w:bCs/>
      <w:sz w:val="18"/>
    </w:rPr>
  </w:style>
  <w:style w:type="paragraph" w:styleId="780">
    <w:name w:val="Normal (Web)"/>
    <w:basedOn w:val="734"/>
    <w:uiPriority w:val="0"/>
    <w:qFormat/>
    <w:pPr>
      <w:jc w:val="left"/>
      <w:spacing w:before="100" w:beforeAutospacing="1" w:after="100" w:afterAutospacing="1"/>
      <w:widowControl/>
    </w:pPr>
    <w:rPr>
      <w:rFonts w:ascii="宋体" w:hAnsi="宋体"/>
      <w:color w:val="000000"/>
      <w:sz w:val="24"/>
    </w:rPr>
  </w:style>
  <w:style w:type="paragraph" w:styleId="781">
    <w:name w:val="Title"/>
    <w:basedOn w:val="734"/>
    <w:next w:val="734"/>
    <w:link w:val="803"/>
    <w:uiPriority w:val="10"/>
    <w:qFormat/>
    <w:pPr>
      <w:contextualSpacing/>
      <w:spacing w:before="300" w:after="200"/>
    </w:pPr>
    <w:rPr>
      <w:sz w:val="48"/>
      <w:szCs w:val="48"/>
    </w:rPr>
  </w:style>
  <w:style w:type="paragraph" w:styleId="782">
    <w:name w:val="annotation subject"/>
    <w:basedOn w:val="752"/>
    <w:next w:val="752"/>
    <w:link w:val="965"/>
    <w:uiPriority w:val="99"/>
    <w:unhideWhenUsed/>
    <w:qFormat/>
    <w:rPr>
      <w:b/>
      <w:bCs/>
    </w:rPr>
  </w:style>
  <w:style w:type="paragraph" w:styleId="783">
    <w:name w:val="Body Text First Indent"/>
    <w:basedOn w:val="754"/>
    <w:link w:val="966"/>
    <w:uiPriority w:val="0"/>
    <w:qFormat/>
    <w:pPr>
      <w:ind w:firstLine="420"/>
      <w:spacing w:after="120"/>
    </w:pPr>
    <w:rPr>
      <w:rFonts w:ascii="Times New Roman" w:eastAsia="宋体"/>
      <w:szCs w:val="24"/>
    </w:rPr>
  </w:style>
  <w:style w:type="paragraph" w:styleId="784">
    <w:name w:val="Body Text First Indent 2"/>
    <w:basedOn w:val="756"/>
    <w:next w:val="775"/>
    <w:uiPriority w:val="99"/>
    <w:unhideWhenUsed/>
    <w:qFormat/>
    <w:pPr>
      <w:ind w:firstLine="200"/>
    </w:pPr>
  </w:style>
  <w:style w:type="table" w:styleId="785">
    <w:name w:val="Table Grid"/>
    <w:basedOn w:val="74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6">
    <w:name w:val="Strong"/>
    <w:uiPriority w:val="0"/>
    <w:qFormat/>
    <w:rPr>
      <w:b/>
      <w:bCs/>
    </w:rPr>
  </w:style>
  <w:style w:type="character" w:styleId="787">
    <w:name w:val="endnote reference"/>
    <w:basedOn w:val="744"/>
    <w:uiPriority w:val="99"/>
    <w:semiHidden/>
    <w:unhideWhenUsed/>
    <w:qFormat/>
    <w:rPr>
      <w:vertAlign w:val="superscript"/>
    </w:rPr>
  </w:style>
  <w:style w:type="character" w:styleId="788">
    <w:name w:val="page number"/>
    <w:uiPriority w:val="0"/>
    <w:qFormat/>
  </w:style>
  <w:style w:type="character" w:styleId="789">
    <w:name w:val="FollowedHyperlink"/>
    <w:uiPriority w:val="0"/>
    <w:qFormat/>
    <w:rPr>
      <w:color w:val="800080"/>
      <w:u w:val="single"/>
    </w:rPr>
  </w:style>
  <w:style w:type="character" w:styleId="790">
    <w:name w:val="Emphasis"/>
    <w:basedOn w:val="744"/>
    <w:uiPriority w:val="20"/>
    <w:qFormat/>
    <w:rPr>
      <w:i/>
      <w:iCs/>
    </w:rPr>
  </w:style>
  <w:style w:type="character" w:styleId="791">
    <w:name w:val="Hyperlink"/>
    <w:uiPriority w:val="0"/>
    <w:qFormat/>
    <w:rPr>
      <w:color w:val="0000ff"/>
      <w:u w:val="single"/>
    </w:rPr>
  </w:style>
  <w:style w:type="character" w:styleId="792">
    <w:name w:val="annotation reference"/>
    <w:uiPriority w:val="99"/>
    <w:unhideWhenUsed/>
    <w:qFormat/>
    <w:rPr>
      <w:sz w:val="21"/>
      <w:szCs w:val="21"/>
    </w:rPr>
  </w:style>
  <w:style w:type="character" w:styleId="793">
    <w:name w:val="footnote reference"/>
    <w:basedOn w:val="744"/>
    <w:uiPriority w:val="99"/>
    <w:unhideWhenUsed/>
    <w:qFormat/>
    <w:rPr>
      <w:vertAlign w:val="superscript"/>
    </w:rPr>
  </w:style>
  <w:style w:type="character" w:styleId="794" w:customStyle="1">
    <w:name w:val="Heading 1 Char"/>
    <w:basedOn w:val="744"/>
    <w:uiPriority w:val="9"/>
    <w:qFormat/>
    <w:rPr>
      <w:rFonts w:ascii="Arial" w:hAnsi="Arial" w:eastAsia="Arial" w:cs="Arial"/>
      <w:sz w:val="40"/>
      <w:szCs w:val="40"/>
    </w:rPr>
  </w:style>
  <w:style w:type="character" w:styleId="795" w:customStyle="1">
    <w:name w:val="Heading 2 Char"/>
    <w:basedOn w:val="744"/>
    <w:uiPriority w:val="9"/>
    <w:qFormat/>
    <w:rPr>
      <w:rFonts w:ascii="Arial" w:hAnsi="Arial" w:eastAsia="Arial" w:cs="Arial"/>
      <w:sz w:val="34"/>
    </w:rPr>
  </w:style>
  <w:style w:type="character" w:styleId="796" w:customStyle="1">
    <w:name w:val="Heading 3 Char"/>
    <w:basedOn w:val="744"/>
    <w:uiPriority w:val="9"/>
    <w:qFormat/>
    <w:rPr>
      <w:rFonts w:ascii="Arial" w:hAnsi="Arial" w:eastAsia="Arial" w:cs="Arial"/>
      <w:sz w:val="30"/>
      <w:szCs w:val="30"/>
    </w:rPr>
  </w:style>
  <w:style w:type="character" w:styleId="797" w:customStyle="1">
    <w:name w:val="Heading 4 Char"/>
    <w:basedOn w:val="744"/>
    <w:uiPriority w:val="9"/>
    <w:qFormat/>
    <w:rPr>
      <w:rFonts w:ascii="Arial" w:hAnsi="Arial" w:eastAsia="Arial" w:cs="Arial"/>
      <w:b/>
      <w:bCs/>
      <w:sz w:val="26"/>
      <w:szCs w:val="26"/>
    </w:rPr>
  </w:style>
  <w:style w:type="character" w:styleId="798" w:customStyle="1">
    <w:name w:val="Heading 5 Char"/>
    <w:basedOn w:val="744"/>
    <w:uiPriority w:val="9"/>
    <w:qFormat/>
    <w:rPr>
      <w:rFonts w:ascii="Arial" w:hAnsi="Arial" w:eastAsia="Arial" w:cs="Arial"/>
      <w:b/>
      <w:bCs/>
      <w:sz w:val="24"/>
      <w:szCs w:val="24"/>
    </w:rPr>
  </w:style>
  <w:style w:type="character" w:styleId="799" w:customStyle="1">
    <w:name w:val="Heading 6 Char"/>
    <w:basedOn w:val="744"/>
    <w:uiPriority w:val="9"/>
    <w:qFormat/>
    <w:rPr>
      <w:rFonts w:ascii="Arial" w:hAnsi="Arial" w:eastAsia="Arial" w:cs="Arial"/>
      <w:b/>
      <w:bCs/>
      <w:sz w:val="22"/>
      <w:szCs w:val="22"/>
    </w:rPr>
  </w:style>
  <w:style w:type="character" w:styleId="800" w:customStyle="1">
    <w:name w:val="Heading 7 Char"/>
    <w:basedOn w:val="744"/>
    <w:uiPriority w:val="9"/>
    <w:qFormat/>
    <w:rPr>
      <w:rFonts w:ascii="Arial" w:hAnsi="Arial" w:eastAsia="Arial" w:cs="Arial"/>
      <w:b/>
      <w:bCs/>
      <w:i/>
      <w:iCs/>
      <w:sz w:val="22"/>
      <w:szCs w:val="22"/>
    </w:rPr>
  </w:style>
  <w:style w:type="character" w:styleId="801" w:customStyle="1">
    <w:name w:val="Heading 8 Char"/>
    <w:basedOn w:val="744"/>
    <w:uiPriority w:val="9"/>
    <w:qFormat/>
    <w:rPr>
      <w:rFonts w:ascii="Arial" w:hAnsi="Arial" w:eastAsia="Arial" w:cs="Arial"/>
      <w:i/>
      <w:iCs/>
      <w:sz w:val="22"/>
      <w:szCs w:val="22"/>
    </w:rPr>
  </w:style>
  <w:style w:type="character" w:styleId="802" w:customStyle="1">
    <w:name w:val="Heading 9 Char"/>
    <w:basedOn w:val="744"/>
    <w:uiPriority w:val="9"/>
    <w:qFormat/>
    <w:rPr>
      <w:rFonts w:ascii="Arial" w:hAnsi="Arial" w:eastAsia="Arial" w:cs="Arial"/>
      <w:i/>
      <w:iCs/>
      <w:sz w:val="21"/>
      <w:szCs w:val="21"/>
    </w:rPr>
  </w:style>
  <w:style w:type="character" w:styleId="803" w:customStyle="1">
    <w:name w:val="标题 字符"/>
    <w:basedOn w:val="744"/>
    <w:link w:val="781"/>
    <w:uiPriority w:val="10"/>
    <w:qFormat/>
    <w:rPr>
      <w:sz w:val="48"/>
      <w:szCs w:val="48"/>
    </w:rPr>
  </w:style>
  <w:style w:type="character" w:styleId="804" w:customStyle="1">
    <w:name w:val="副标题 字符"/>
    <w:basedOn w:val="744"/>
    <w:link w:val="771"/>
    <w:uiPriority w:val="11"/>
    <w:qFormat/>
    <w:rPr>
      <w:sz w:val="24"/>
      <w:szCs w:val="24"/>
    </w:rPr>
  </w:style>
  <w:style w:type="paragraph" w:styleId="805">
    <w:name w:val="Quote"/>
    <w:basedOn w:val="734"/>
    <w:next w:val="734"/>
    <w:link w:val="806"/>
    <w:uiPriority w:val="29"/>
    <w:qFormat/>
    <w:pPr>
      <w:ind w:left="720" w:right="720"/>
    </w:pPr>
    <w:rPr>
      <w:i/>
    </w:rPr>
  </w:style>
  <w:style w:type="character" w:styleId="806" w:customStyle="1">
    <w:name w:val="引用 字符"/>
    <w:link w:val="805"/>
    <w:uiPriority w:val="29"/>
    <w:qFormat/>
    <w:rPr>
      <w:i/>
    </w:rPr>
  </w:style>
  <w:style w:type="paragraph" w:styleId="807">
    <w:name w:val="Intense Quote"/>
    <w:basedOn w:val="734"/>
    <w:next w:val="734"/>
    <w:link w:val="8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明显引用 字符"/>
    <w:link w:val="807"/>
    <w:uiPriority w:val="30"/>
    <w:qFormat/>
    <w:rPr>
      <w:i/>
    </w:rPr>
  </w:style>
  <w:style w:type="character" w:styleId="809" w:customStyle="1">
    <w:name w:val="Header Char"/>
    <w:basedOn w:val="744"/>
    <w:uiPriority w:val="99"/>
    <w:qFormat/>
  </w:style>
  <w:style w:type="character" w:styleId="810" w:customStyle="1">
    <w:name w:val="Footer Char"/>
    <w:basedOn w:val="744"/>
    <w:uiPriority w:val="99"/>
    <w:qFormat/>
  </w:style>
  <w:style w:type="character" w:styleId="811" w:customStyle="1">
    <w:name w:val="Caption Char"/>
    <w:uiPriority w:val="99"/>
    <w:qFormat/>
  </w:style>
  <w:style w:type="table" w:styleId="812" w:customStyle="1">
    <w:name w:val="Table Grid Light"/>
    <w:basedOn w:val="7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3" w:customStyle="1">
    <w:name w:val="无格式表格 11"/>
    <w:basedOn w:val="7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21"/>
    <w:basedOn w:val="74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31"/>
    <w:basedOn w:val="7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无格式表格 41"/>
    <w:basedOn w:val="7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无格式表格 51"/>
    <w:basedOn w:val="7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网格表 1 浅色1"/>
    <w:basedOn w:val="74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basedOn w:val="74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basedOn w:val="74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basedOn w:val="74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basedOn w:val="74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basedOn w:val="74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basedOn w:val="74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网格表 21"/>
    <w:basedOn w:val="7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Grid Table 2 - Accent 1"/>
    <w:basedOn w:val="74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basedOn w:val="74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basedOn w:val="74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basedOn w:val="74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basedOn w:val="74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Grid Table 2 - Accent 6"/>
    <w:basedOn w:val="74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网格表 31"/>
    <w:basedOn w:val="7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1"/>
    <w:basedOn w:val="74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basedOn w:val="74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basedOn w:val="74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basedOn w:val="74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basedOn w:val="74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basedOn w:val="74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网格表 41"/>
    <w:basedOn w:val="74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4 - Accent 1"/>
    <w:basedOn w:val="74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1" w:customStyle="1">
    <w:name w:val="Grid Table 4 - Accent 2"/>
    <w:basedOn w:val="74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2" w:customStyle="1">
    <w:name w:val="Grid Table 4 - Accent 3"/>
    <w:basedOn w:val="74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3" w:customStyle="1">
    <w:name w:val="Grid Table 4 - Accent 4"/>
    <w:basedOn w:val="74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4" w:customStyle="1">
    <w:name w:val="Grid Table 4 - Accent 5"/>
    <w:basedOn w:val="74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5" w:customStyle="1">
    <w:name w:val="Grid Table 4 - Accent 6"/>
    <w:basedOn w:val="74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6" w:customStyle="1">
    <w:name w:val="网格表 5 深色1"/>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5 Dark- Accent 1"/>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8" w:customStyle="1">
    <w:name w:val="Grid Table 5 Dark - Accent 2"/>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9" w:customStyle="1">
    <w:name w:val="Grid Table 5 Dark - Accent 3"/>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0" w:customStyle="1">
    <w:name w:val="Grid Table 5 Dark- Accent 4"/>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1" w:customStyle="1">
    <w:name w:val="Grid Table 5 Dark - Accent 5"/>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2" w:customStyle="1">
    <w:name w:val="Grid Table 5 Dark - Accent 6"/>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3" w:customStyle="1">
    <w:name w:val="网格表 6 彩色1"/>
    <w:basedOn w:val="74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4" w:customStyle="1">
    <w:name w:val="Grid Table 6 Colorful - Accent 1"/>
    <w:basedOn w:val="74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5" w:customStyle="1">
    <w:name w:val="Grid Table 6 Colorful - Accent 2"/>
    <w:basedOn w:val="74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6" w:customStyle="1">
    <w:name w:val="Grid Table 6 Colorful - Accent 3"/>
    <w:basedOn w:val="74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7" w:customStyle="1">
    <w:name w:val="Grid Table 6 Colorful - Accent 4"/>
    <w:basedOn w:val="74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8" w:customStyle="1">
    <w:name w:val="Grid Table 6 Colorful - Accent 5"/>
    <w:basedOn w:val="74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Grid Table 6 Colorful - Accent 6"/>
    <w:basedOn w:val="74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网格表 7 彩色1"/>
    <w:basedOn w:val="74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Grid Table 7 Colorful - Accent 1"/>
    <w:basedOn w:val="74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basedOn w:val="74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basedOn w:val="74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basedOn w:val="74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basedOn w:val="74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basedOn w:val="74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7" w:customStyle="1">
    <w:name w:val="清单表 1 浅色1"/>
    <w:basedOn w:val="74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1 Light - Accent 1"/>
    <w:basedOn w:val="74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1 Light - Accent 2"/>
    <w:basedOn w:val="74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0" w:customStyle="1">
    <w:name w:val="List Table 1 Light - Accent 3"/>
    <w:basedOn w:val="74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1" w:customStyle="1">
    <w:name w:val="List Table 1 Light - Accent 4"/>
    <w:basedOn w:val="74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2" w:customStyle="1">
    <w:name w:val="List Table 1 Light - Accent 5"/>
    <w:basedOn w:val="74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List Table 1 Light - Accent 6"/>
    <w:basedOn w:val="74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清单表 21"/>
    <w:basedOn w:val="74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List Table 2 - Accent 1"/>
    <w:basedOn w:val="74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6" w:customStyle="1">
    <w:name w:val="List Table 2 - Accent 2"/>
    <w:basedOn w:val="74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7" w:customStyle="1">
    <w:name w:val="List Table 2 - Accent 3"/>
    <w:basedOn w:val="74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8" w:customStyle="1">
    <w:name w:val="List Table 2 - Accent 4"/>
    <w:basedOn w:val="74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9" w:customStyle="1">
    <w:name w:val="List Table 2 - Accent 5"/>
    <w:basedOn w:val="74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0" w:customStyle="1">
    <w:name w:val="List Table 2 - Accent 6"/>
    <w:basedOn w:val="74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1" w:customStyle="1">
    <w:name w:val="清单表 31"/>
    <w:basedOn w:val="7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3 - Accent 1"/>
    <w:basedOn w:val="74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3 - Accent 2"/>
    <w:basedOn w:val="74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4" w:customStyle="1">
    <w:name w:val="List Table 3 - Accent 3"/>
    <w:basedOn w:val="74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5" w:customStyle="1">
    <w:name w:val="List Table 3 - Accent 4"/>
    <w:basedOn w:val="74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6" w:customStyle="1">
    <w:name w:val="List Table 3 - Accent 5"/>
    <w:basedOn w:val="74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7" w:customStyle="1">
    <w:name w:val="List Table 3 - Accent 6"/>
    <w:basedOn w:val="74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8" w:customStyle="1">
    <w:name w:val="清单表 41"/>
    <w:basedOn w:val="7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 Accent 1"/>
    <w:basedOn w:val="74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4 - Accent 2"/>
    <w:basedOn w:val="74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1" w:customStyle="1">
    <w:name w:val="List Table 4 - Accent 3"/>
    <w:basedOn w:val="74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2" w:customStyle="1">
    <w:name w:val="List Table 4 - Accent 4"/>
    <w:basedOn w:val="74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3" w:customStyle="1">
    <w:name w:val="List Table 4 - Accent 5"/>
    <w:basedOn w:val="74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4" w:customStyle="1">
    <w:name w:val="List Table 4 - Accent 6"/>
    <w:basedOn w:val="74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5" w:customStyle="1">
    <w:name w:val="清单表 5 深色1"/>
    <w:basedOn w:val="74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1"/>
    <w:basedOn w:val="74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2"/>
    <w:basedOn w:val="74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3"/>
    <w:basedOn w:val="74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4"/>
    <w:basedOn w:val="74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5"/>
    <w:basedOn w:val="74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6"/>
    <w:basedOn w:val="74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清单表 6 彩色1"/>
    <w:basedOn w:val="74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3" w:customStyle="1">
    <w:name w:val="List Table 6 Colorful - Accent 1"/>
    <w:basedOn w:val="74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4" w:customStyle="1">
    <w:name w:val="List Table 6 Colorful - Accent 2"/>
    <w:basedOn w:val="74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5" w:customStyle="1">
    <w:name w:val="List Table 6 Colorful - Accent 3"/>
    <w:basedOn w:val="74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6" w:customStyle="1">
    <w:name w:val="List Table 6 Colorful - Accent 4"/>
    <w:basedOn w:val="74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7" w:customStyle="1">
    <w:name w:val="List Table 6 Colorful - Accent 5"/>
    <w:basedOn w:val="74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8" w:customStyle="1">
    <w:name w:val="List Table 6 Colorful - Accent 6"/>
    <w:basedOn w:val="74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9" w:customStyle="1">
    <w:name w:val="清单表 7 彩色1"/>
    <w:basedOn w:val="74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List Table 7 Colorful - Accent 1"/>
    <w:basedOn w:val="74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basedOn w:val="74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basedOn w:val="74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basedOn w:val="74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basedOn w:val="74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basedOn w:val="74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Lined - Accent 2"/>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Lined - Accent 3"/>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Lined - Accent 4"/>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basedOn w:val="74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basedOn w:val="74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Bordered &amp; Lined - Accent 2"/>
    <w:basedOn w:val="74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Bordered &amp; Lined - Accent 3"/>
    <w:basedOn w:val="74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Bordered &amp; Lined - Accent 4"/>
    <w:basedOn w:val="74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basedOn w:val="74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basedOn w:val="74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basedOn w:val="74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basedOn w:val="74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basedOn w:val="74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3" w:customStyle="1">
    <w:name w:val="Bordered - Accent 3"/>
    <w:basedOn w:val="74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4" w:customStyle="1">
    <w:name w:val="Bordered - Accent 4"/>
    <w:basedOn w:val="74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basedOn w:val="74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basedOn w:val="74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脚注文本 字符"/>
    <w:link w:val="773"/>
    <w:uiPriority w:val="99"/>
    <w:qFormat/>
    <w:rPr>
      <w:sz w:val="18"/>
    </w:rPr>
  </w:style>
  <w:style w:type="character" w:styleId="938" w:customStyle="1">
    <w:name w:val="尾注文本 字符"/>
    <w:link w:val="765"/>
    <w:uiPriority w:val="99"/>
    <w:qFormat/>
    <w:rPr>
      <w:sz w:val="20"/>
    </w:rPr>
  </w:style>
  <w:style w:type="paragraph" w:styleId="939" w:customStyle="1">
    <w:name w:val="TOC 标题1"/>
    <w:uiPriority w:val="39"/>
    <w:unhideWhenUsed/>
    <w:qFormat/>
    <w:rPr>
      <w:rFonts w:ascii="Times New Roman" w:hAnsi="Times New Roman" w:eastAsia="宋体" w:cs="Times New Roman"/>
      <w:lang w:val="en-US" w:eastAsia="zh-CN" w:bidi="ar-SA"/>
    </w:rPr>
  </w:style>
  <w:style w:type="paragraph" w:styleId="940" w:customStyle="1">
    <w:name w:val="标题 41"/>
    <w:basedOn w:val="734"/>
    <w:next w:val="734"/>
    <w:uiPriority w:val="0"/>
    <w:qFormat/>
    <w:pPr>
      <w:jc w:val="center"/>
      <w:keepNext/>
      <w:outlineLvl w:val="3"/>
    </w:pPr>
    <w:rPr>
      <w:rFonts w:eastAsia="新宋体"/>
      <w:sz w:val="30"/>
      <w:szCs w:val="21"/>
    </w:rPr>
  </w:style>
  <w:style w:type="paragraph" w:styleId="941" w:customStyle="1">
    <w:name w:val="标题 21"/>
    <w:basedOn w:val="734"/>
    <w:next w:val="734"/>
    <w:uiPriority w:val="9"/>
    <w:unhideWhenUsed/>
    <w:qFormat/>
    <w:pPr>
      <w:keepLines/>
      <w:keepNext/>
      <w:spacing w:before="360" w:after="200"/>
      <w:outlineLvl w:val="1"/>
    </w:pPr>
    <w:rPr>
      <w:rFonts w:ascii="Arial" w:hAnsi="Arial" w:eastAsia="Arial"/>
      <w:sz w:val="34"/>
      <w:szCs w:val="20"/>
      <w:lang w:eastAsia="en-US"/>
    </w:rPr>
  </w:style>
  <w:style w:type="character" w:styleId="942" w:customStyle="1">
    <w:name w:val="标题 1 字符"/>
    <w:link w:val="735"/>
    <w:uiPriority w:val="0"/>
    <w:qFormat/>
    <w:rPr>
      <w:rFonts w:ascii="Times New Roman" w:hAnsi="Times New Roman" w:eastAsia="宋体" w:cs="Times New Roman"/>
      <w:b/>
      <w:bCs/>
      <w:sz w:val="44"/>
      <w:szCs w:val="44"/>
    </w:rPr>
  </w:style>
  <w:style w:type="character" w:styleId="943" w:customStyle="1">
    <w:name w:val="标题 2 字符"/>
    <w:link w:val="736"/>
    <w:uiPriority w:val="0"/>
    <w:qFormat/>
    <w:rPr>
      <w:rFonts w:ascii="Arial" w:hAnsi="Arial" w:eastAsia="黑体" w:cs="Times New Roman"/>
      <w:b/>
      <w:bCs/>
      <w:sz w:val="32"/>
      <w:szCs w:val="32"/>
    </w:rPr>
  </w:style>
  <w:style w:type="character" w:styleId="944" w:customStyle="1">
    <w:name w:val="标题 3 字符"/>
    <w:link w:val="737"/>
    <w:uiPriority w:val="0"/>
    <w:qFormat/>
    <w:rPr>
      <w:rFonts w:ascii="Times New Roman" w:hAnsi="Times New Roman" w:eastAsia="宋体" w:cs="Times New Roman"/>
      <w:b/>
      <w:bCs/>
      <w:sz w:val="32"/>
      <w:szCs w:val="32"/>
    </w:rPr>
  </w:style>
  <w:style w:type="character" w:styleId="945" w:customStyle="1">
    <w:name w:val="标题 4 字符"/>
    <w:link w:val="738"/>
    <w:uiPriority w:val="0"/>
    <w:qFormat/>
    <w:rPr>
      <w:rFonts w:ascii="Times New Roman" w:hAnsi="Times New Roman" w:eastAsia="新宋体" w:cs="Times New Roman"/>
      <w:sz w:val="30"/>
      <w:szCs w:val="21"/>
    </w:rPr>
  </w:style>
  <w:style w:type="character" w:styleId="946" w:customStyle="1">
    <w:name w:val="标题 5 字符"/>
    <w:link w:val="739"/>
    <w:uiPriority w:val="0"/>
    <w:qFormat/>
    <w:rPr>
      <w:rFonts w:ascii="Times New Roman" w:hAnsi="Times New Roman" w:eastAsia="宋体" w:cs="Times New Roman"/>
      <w:b/>
      <w:bCs/>
      <w:sz w:val="28"/>
      <w:szCs w:val="28"/>
    </w:rPr>
  </w:style>
  <w:style w:type="character" w:styleId="947" w:customStyle="1">
    <w:name w:val="标题 6 字符"/>
    <w:link w:val="740"/>
    <w:uiPriority w:val="0"/>
    <w:qFormat/>
    <w:rPr>
      <w:rFonts w:ascii="Times New Roman" w:hAnsi="Times New Roman" w:eastAsia="宋体" w:cs="Times New Roman"/>
      <w:b/>
      <w:sz w:val="44"/>
      <w:szCs w:val="20"/>
    </w:rPr>
  </w:style>
  <w:style w:type="character" w:styleId="948" w:customStyle="1">
    <w:name w:val="正文缩进 字符"/>
    <w:link w:val="746"/>
    <w:uiPriority w:val="0"/>
    <w:qFormat/>
    <w:rPr>
      <w:rFonts w:ascii="Times New Roman" w:hAnsi="Times New Roman" w:eastAsia="宋体" w:cs="Times New Roman"/>
      <w:sz w:val="20"/>
      <w:szCs w:val="20"/>
    </w:rPr>
  </w:style>
  <w:style w:type="character" w:styleId="949" w:customStyle="1">
    <w:name w:val="标题 7 字符"/>
    <w:link w:val="741"/>
    <w:uiPriority w:val="0"/>
    <w:qFormat/>
    <w:rPr>
      <w:rFonts w:ascii="Times New Roman" w:hAnsi="Times New Roman" w:eastAsia="宋体" w:cs="Times New Roman"/>
      <w:b/>
      <w:bCs/>
      <w:sz w:val="24"/>
      <w:szCs w:val="24"/>
    </w:rPr>
  </w:style>
  <w:style w:type="character" w:styleId="950" w:customStyle="1">
    <w:name w:val="标题 8 字符"/>
    <w:link w:val="742"/>
    <w:uiPriority w:val="0"/>
    <w:qFormat/>
    <w:rPr>
      <w:rFonts w:ascii="Arial" w:hAnsi="Arial" w:eastAsia="黑体" w:cs="Times New Roman"/>
      <w:sz w:val="24"/>
      <w:szCs w:val="24"/>
    </w:rPr>
  </w:style>
  <w:style w:type="character" w:styleId="951" w:customStyle="1">
    <w:name w:val="标题 9 字符"/>
    <w:link w:val="743"/>
    <w:uiPriority w:val="0"/>
    <w:qFormat/>
    <w:rPr>
      <w:rFonts w:ascii="Arial" w:hAnsi="Arial" w:eastAsia="黑体" w:cs="Times New Roman"/>
      <w:sz w:val="24"/>
      <w:szCs w:val="21"/>
    </w:rPr>
  </w:style>
  <w:style w:type="character" w:styleId="952" w:customStyle="1">
    <w:name w:val="文档结构图 字符"/>
    <w:link w:val="750"/>
    <w:uiPriority w:val="0"/>
    <w:semiHidden/>
    <w:qFormat/>
    <w:rPr>
      <w:szCs w:val="24"/>
      <w:shd w:val="clear" w:color="auto" w:fill="000080"/>
    </w:rPr>
  </w:style>
  <w:style w:type="character" w:styleId="953" w:customStyle="1">
    <w:name w:val="批注文字 字符"/>
    <w:link w:val="752"/>
    <w:uiPriority w:val="99"/>
    <w:qFormat/>
    <w:rPr>
      <w:sz w:val="21"/>
      <w:szCs w:val="24"/>
    </w:rPr>
  </w:style>
  <w:style w:type="character" w:styleId="954" w:customStyle="1">
    <w:name w:val="正文文本 3 字符"/>
    <w:link w:val="753"/>
    <w:uiPriority w:val="0"/>
    <w:qFormat/>
    <w:rPr>
      <w:rFonts w:ascii="Times New Roman" w:hAnsi="Times New Roman" w:eastAsia="宋体" w:cs="Times New Roman"/>
      <w:sz w:val="16"/>
      <w:szCs w:val="16"/>
    </w:rPr>
  </w:style>
  <w:style w:type="character" w:styleId="955" w:customStyle="1">
    <w:name w:val="正文文本 字符"/>
    <w:link w:val="754"/>
    <w:uiPriority w:val="0"/>
    <w:qFormat/>
    <w:rPr>
      <w:rFonts w:ascii="仿宋_GB2312" w:hAnsi="Times New Roman" w:eastAsia="仿宋_GB2312" w:cs="Times New Roman"/>
      <w:sz w:val="24"/>
      <w:szCs w:val="20"/>
    </w:rPr>
  </w:style>
  <w:style w:type="character" w:styleId="956" w:customStyle="1">
    <w:name w:val="正文文本缩进 字符"/>
    <w:link w:val="756"/>
    <w:uiPriority w:val="0"/>
    <w:qFormat/>
    <w:rPr>
      <w:rFonts w:ascii="仿宋_GB2312" w:hAnsi="Times New Roman" w:eastAsia="仿宋_GB2312" w:cs="Times New Roman"/>
      <w:sz w:val="28"/>
      <w:szCs w:val="20"/>
    </w:rPr>
  </w:style>
  <w:style w:type="character" w:styleId="957" w:customStyle="1">
    <w:name w:val="纯文本 字符"/>
    <w:link w:val="761"/>
    <w:uiPriority w:val="0"/>
    <w:qFormat/>
    <w:rPr>
      <w:rFonts w:ascii="宋体" w:hAnsi="Courier New" w:eastAsia="宋体" w:cs="Courier New"/>
      <w:szCs w:val="21"/>
    </w:rPr>
  </w:style>
  <w:style w:type="character" w:styleId="958" w:customStyle="1">
    <w:name w:val="日期 字符"/>
    <w:link w:val="763"/>
    <w:uiPriority w:val="0"/>
    <w:qFormat/>
    <w:rPr>
      <w:rFonts w:ascii="Times New Roman" w:hAnsi="Times New Roman" w:eastAsia="宋体" w:cs="Times New Roman"/>
      <w:sz w:val="24"/>
      <w:szCs w:val="20"/>
    </w:rPr>
  </w:style>
  <w:style w:type="character" w:styleId="959" w:customStyle="1">
    <w:name w:val="正文文本缩进 2 字符"/>
    <w:link w:val="764"/>
    <w:uiPriority w:val="0"/>
    <w:qFormat/>
    <w:rPr>
      <w:rFonts w:ascii="Times New Roman" w:hAnsi="Times New Roman" w:eastAsia="仿宋_GB2312" w:cs="Times New Roman"/>
      <w:sz w:val="28"/>
      <w:szCs w:val="20"/>
    </w:rPr>
  </w:style>
  <w:style w:type="character" w:styleId="960" w:customStyle="1">
    <w:name w:val="批注框文本 字符"/>
    <w:link w:val="766"/>
    <w:uiPriority w:val="0"/>
    <w:semiHidden/>
    <w:qFormat/>
    <w:rPr>
      <w:sz w:val="18"/>
      <w:szCs w:val="18"/>
    </w:rPr>
  </w:style>
  <w:style w:type="character" w:styleId="961" w:customStyle="1">
    <w:name w:val="页脚 字符"/>
    <w:link w:val="767"/>
    <w:uiPriority w:val="99"/>
    <w:qFormat/>
    <w:rPr>
      <w:rFonts w:ascii="Times New Roman" w:hAnsi="Times New Roman" w:eastAsia="宋体" w:cs="Times New Roman"/>
      <w:sz w:val="18"/>
      <w:szCs w:val="20"/>
    </w:rPr>
  </w:style>
  <w:style w:type="character" w:styleId="962" w:customStyle="1">
    <w:name w:val="页眉 字符"/>
    <w:link w:val="768"/>
    <w:uiPriority w:val="0"/>
    <w:qFormat/>
    <w:rPr>
      <w:rFonts w:ascii="Times New Roman" w:hAnsi="Times New Roman" w:eastAsia="宋体" w:cs="Times New Roman"/>
      <w:sz w:val="18"/>
      <w:szCs w:val="18"/>
    </w:rPr>
  </w:style>
  <w:style w:type="character" w:styleId="963" w:customStyle="1">
    <w:name w:val="正文文本缩进 3 字符"/>
    <w:link w:val="775"/>
    <w:uiPriority w:val="0"/>
    <w:qFormat/>
    <w:rPr>
      <w:rFonts w:ascii="Times New Roman" w:hAnsi="Times New Roman" w:eastAsia="宋体" w:cs="Times New Roman"/>
      <w:sz w:val="16"/>
      <w:szCs w:val="16"/>
    </w:rPr>
  </w:style>
  <w:style w:type="character" w:styleId="964" w:customStyle="1">
    <w:name w:val="正文文本 2 字符"/>
    <w:link w:val="779"/>
    <w:uiPriority w:val="0"/>
    <w:qFormat/>
    <w:rPr>
      <w:rFonts w:ascii="Times New Roman" w:hAnsi="Times New Roman" w:eastAsia="宋体" w:cs="Times New Roman"/>
      <w:b/>
      <w:bCs/>
      <w:sz w:val="18"/>
      <w:szCs w:val="24"/>
    </w:rPr>
  </w:style>
  <w:style w:type="character" w:styleId="965" w:customStyle="1">
    <w:name w:val="批注主题 字符"/>
    <w:link w:val="782"/>
    <w:uiPriority w:val="99"/>
    <w:semiHidden/>
    <w:qFormat/>
    <w:rPr>
      <w:b/>
      <w:bCs/>
      <w:sz w:val="21"/>
      <w:szCs w:val="24"/>
    </w:rPr>
  </w:style>
  <w:style w:type="character" w:styleId="966" w:customStyle="1">
    <w:name w:val="正文首行缩进 字符"/>
    <w:link w:val="783"/>
    <w:uiPriority w:val="0"/>
    <w:qFormat/>
    <w:rPr>
      <w:rFonts w:ascii="Times New Roman" w:hAnsi="Times New Roman" w:eastAsia="宋体" w:cs="Times New Roman"/>
      <w:sz w:val="24"/>
      <w:szCs w:val="24"/>
    </w:rPr>
  </w:style>
  <w:style w:type="paragraph" w:styleId="967">
    <w:name w:val="List Paragraph"/>
    <w:basedOn w:val="734"/>
    <w:link w:val="968"/>
    <w:uiPriority w:val="99"/>
    <w:qFormat/>
    <w:pPr>
      <w:ind w:firstLine="420"/>
    </w:pPr>
    <w:rPr>
      <w:sz w:val="20"/>
      <w:szCs w:val="20"/>
    </w:rPr>
  </w:style>
  <w:style w:type="character" w:styleId="968" w:customStyle="1">
    <w:name w:val="列出段落 字符"/>
    <w:link w:val="967"/>
    <w:uiPriority w:val="99"/>
    <w:qFormat/>
  </w:style>
  <w:style w:type="paragraph" w:styleId="969" w:customStyle="1">
    <w:name w:val="style4"/>
    <w:basedOn w:val="734"/>
    <w:next w:val="970"/>
    <w:uiPriority w:val="0"/>
    <w:qFormat/>
    <w:pPr>
      <w:spacing w:before="280" w:after="280"/>
      <w:widowControl/>
    </w:pPr>
    <w:rPr>
      <w:rFonts w:ascii="宋体"/>
      <w:sz w:val="18"/>
    </w:rPr>
  </w:style>
  <w:style w:type="paragraph" w:styleId="970" w:customStyle="1">
    <w:name w:val="2"/>
    <w:next w:val="734"/>
    <w:uiPriority w:val="0"/>
    <w:qFormat/>
    <w:pPr>
      <w:jc w:val="both"/>
      <w:widowControl w:val="off"/>
    </w:pPr>
    <w:rPr>
      <w:rFonts w:ascii="Times New Roman" w:hAnsi="Times New Roman" w:eastAsia="宋体" w:cs="Times New Roman"/>
      <w:sz w:val="21"/>
      <w:szCs w:val="22"/>
      <w:lang w:val="en-US" w:eastAsia="zh-CN" w:bidi="ar-SA"/>
    </w:rPr>
  </w:style>
  <w:style w:type="paragraph" w:styleId="971" w:customStyle="1">
    <w:name w:val="Default"/>
    <w:basedOn w:val="734"/>
    <w:uiPriority w:val="0"/>
    <w:qFormat/>
    <w:pPr>
      <w:jc w:val="left"/>
    </w:pPr>
    <w:rPr>
      <w:rFonts w:ascii="Arial" w:hAnsi="Arial" w:eastAsia="PMingLiU"/>
      <w:sz w:val="20"/>
      <w:szCs w:val="20"/>
    </w:rPr>
  </w:style>
  <w:style w:type="paragraph" w:styleId="972" w:customStyle="1">
    <w:name w:val="无间隔1"/>
    <w:uiPriority w:val="0"/>
    <w:qFormat/>
    <w:rPr>
      <w:rFonts w:ascii="Times New Roman" w:hAnsi="Times New Roman" w:eastAsia="宋体" w:cs="Calibri"/>
      <w:sz w:val="22"/>
      <w:lang w:val="en-US" w:eastAsia="zh-CN" w:bidi="ar-SA"/>
    </w:rPr>
  </w:style>
  <w:style w:type="paragraph" w:styleId="973" w:customStyle="1">
    <w:name w:val="正文缩进1"/>
    <w:basedOn w:val="734"/>
    <w:uiPriority w:val="0"/>
    <w:qFormat/>
    <w:pPr>
      <w:ind w:firstLine="420"/>
      <w:jc w:val="left"/>
      <w:widowControl/>
    </w:pPr>
  </w:style>
  <w:style w:type="character" w:styleId="974" w:customStyle="1">
    <w:name w:val="文档结构图 Char1"/>
    <w:uiPriority w:val="99"/>
    <w:semiHidden/>
    <w:qFormat/>
    <w:rPr>
      <w:rFonts w:ascii="宋体" w:hAnsi="Times New Roman" w:eastAsia="宋体" w:cs="Times New Roman"/>
      <w:sz w:val="18"/>
      <w:szCs w:val="18"/>
    </w:rPr>
  </w:style>
  <w:style w:type="character" w:styleId="975" w:customStyle="1">
    <w:name w:val="普通正文 Char"/>
    <w:link w:val="976"/>
    <w:uiPriority w:val="0"/>
    <w:qFormat/>
    <w:rPr>
      <w:rFonts w:ascii="Arial" w:hAnsi="Arial"/>
      <w:sz w:val="24"/>
      <w:szCs w:val="24"/>
    </w:rPr>
  </w:style>
  <w:style w:type="paragraph" w:styleId="976" w:customStyle="1">
    <w:name w:val="普通正文"/>
    <w:basedOn w:val="734"/>
    <w:link w:val="975"/>
    <w:uiPriority w:val="0"/>
    <w:qFormat/>
    <w:pPr>
      <w:ind w:left="-2" w:right="120" w:firstLine="480"/>
      <w:jc w:val="center"/>
      <w:spacing w:before="120" w:after="120" w:line="360" w:lineRule="auto"/>
    </w:pPr>
    <w:rPr>
      <w:rFonts w:ascii="Arial" w:hAnsi="Arial"/>
      <w:sz w:val="24"/>
    </w:rPr>
  </w:style>
  <w:style w:type="character" w:styleId="977" w:customStyle="1">
    <w:name w:val="FA正文 Char"/>
    <w:link w:val="978"/>
    <w:uiPriority w:val="0"/>
    <w:qFormat/>
    <w:rPr>
      <w:rFonts w:ascii="宋体" w:hAnsi="宋体" w:eastAsia="宋体" w:cs="Times New Roman"/>
      <w:sz w:val="28"/>
      <w:szCs w:val="28"/>
    </w:rPr>
  </w:style>
  <w:style w:type="paragraph" w:styleId="978" w:customStyle="1">
    <w:name w:val="FA正文"/>
    <w:basedOn w:val="734"/>
    <w:link w:val="977"/>
    <w:uiPriority w:val="0"/>
    <w:qFormat/>
    <w:pPr>
      <w:ind w:firstLine="538"/>
      <w:spacing w:line="440" w:lineRule="atLeast"/>
      <w:tabs>
        <w:tab w:val="left" w:pos="3375" w:leader="none"/>
      </w:tabs>
    </w:pPr>
    <w:rPr>
      <w:rFonts w:ascii="宋体" w:hAnsi="宋体"/>
      <w:sz w:val="28"/>
      <w:szCs w:val="28"/>
    </w:rPr>
  </w:style>
  <w:style w:type="character" w:styleId="979" w:customStyle="1">
    <w:name w:val="正文缩进2格 Char"/>
    <w:link w:val="980"/>
    <w:uiPriority w:val="0"/>
    <w:qFormat/>
    <w:rPr>
      <w:rFonts w:ascii="仿宋_GB2312" w:hAnsi="宋体" w:eastAsia="仿宋_GB2312" w:cs="Times New Roman"/>
      <w:sz w:val="31"/>
      <w:szCs w:val="28"/>
    </w:rPr>
  </w:style>
  <w:style w:type="paragraph" w:styleId="980" w:customStyle="1">
    <w:name w:val="正文缩进2格"/>
    <w:basedOn w:val="734"/>
    <w:link w:val="979"/>
    <w:uiPriority w:val="0"/>
    <w:qFormat/>
    <w:pPr>
      <w:ind w:firstLine="639"/>
      <w:spacing w:line="600" w:lineRule="exact"/>
    </w:pPr>
    <w:rPr>
      <w:rFonts w:ascii="仿宋_GB2312" w:hAnsi="宋体" w:eastAsia="仿宋_GB2312"/>
      <w:sz w:val="31"/>
      <w:szCs w:val="28"/>
    </w:rPr>
  </w:style>
  <w:style w:type="character" w:styleId="981" w:customStyle="1">
    <w:name w:val="cn_text1"/>
    <w:uiPriority w:val="0"/>
    <w:qFormat/>
    <w:rPr>
      <w:rFonts w:hint="default" w:ascii="ˎ̥" w:hAnsi="ˎ̥"/>
      <w:color w:val="003399"/>
      <w:spacing w:val="15"/>
      <w:sz w:val="18"/>
      <w:szCs w:val="18"/>
    </w:rPr>
  </w:style>
  <w:style w:type="character" w:styleId="982" w:customStyle="1">
    <w:name w:val="ssss Char"/>
    <w:uiPriority w:val="0"/>
    <w:qFormat/>
    <w:rPr>
      <w:rFonts w:eastAsia="宋体"/>
      <w:sz w:val="24"/>
      <w:szCs w:val="24"/>
      <w:lang w:val="en-US" w:eastAsia="zh-CN" w:bidi="ar-SA"/>
    </w:rPr>
  </w:style>
  <w:style w:type="character" w:styleId="983" w:customStyle="1">
    <w:name w:val="ssss Char1"/>
    <w:link w:val="984"/>
    <w:uiPriority w:val="0"/>
    <w:qFormat/>
    <w:rPr>
      <w:rFonts w:ascii="Times New Roman" w:hAnsi="Times New Roman" w:eastAsia="宋体" w:cs="Times New Roman"/>
      <w:sz w:val="24"/>
      <w:szCs w:val="24"/>
    </w:rPr>
  </w:style>
  <w:style w:type="paragraph" w:styleId="984" w:customStyle="1">
    <w:name w:val="ssss"/>
    <w:basedOn w:val="734"/>
    <w:link w:val="983"/>
    <w:uiPriority w:val="0"/>
    <w:qFormat/>
    <w:pPr>
      <w:ind w:firstLine="480"/>
      <w:spacing w:line="360" w:lineRule="auto"/>
    </w:pPr>
    <w:rPr>
      <w:sz w:val="24"/>
    </w:rPr>
  </w:style>
  <w:style w:type="character" w:styleId="985" w:customStyle="1">
    <w:name w:val="标题 4 Char1"/>
    <w:uiPriority w:val="0"/>
    <w:qFormat/>
    <w:rPr>
      <w:rFonts w:ascii="Arial" w:hAnsi="Arial" w:eastAsia="黑体"/>
      <w:b/>
      <w:bCs/>
      <w:sz w:val="28"/>
      <w:szCs w:val="28"/>
      <w:lang w:val="en-US" w:eastAsia="zh-CN" w:bidi="ar-SA"/>
    </w:rPr>
  </w:style>
  <w:style w:type="character" w:styleId="986" w:customStyle="1">
    <w:name w:val="列表段落 字符"/>
    <w:uiPriority w:val="34"/>
    <w:qFormat/>
    <w:rPr>
      <w:rFonts w:ascii="Calibri" w:hAnsi="Calibri"/>
      <w:sz w:val="21"/>
      <w:szCs w:val="22"/>
    </w:rPr>
  </w:style>
  <w:style w:type="character" w:styleId="987" w:customStyle="1">
    <w:name w:val="批注框文本 Char1"/>
    <w:uiPriority w:val="99"/>
    <w:semiHidden/>
    <w:qFormat/>
    <w:rPr>
      <w:rFonts w:ascii="Times New Roman" w:hAnsi="Times New Roman" w:eastAsia="宋体" w:cs="Times New Roman"/>
      <w:sz w:val="18"/>
      <w:szCs w:val="18"/>
    </w:rPr>
  </w:style>
  <w:style w:type="character" w:styleId="988" w:customStyle="1">
    <w:name w:val="样式 ssss + 宋体 五号1 Char"/>
    <w:link w:val="989"/>
    <w:uiPriority w:val="0"/>
    <w:qFormat/>
    <w:rPr>
      <w:rFonts w:ascii="宋体" w:hAnsi="宋体" w:eastAsia="宋体" w:cs="Times New Roman"/>
      <w:sz w:val="24"/>
      <w:szCs w:val="24"/>
    </w:rPr>
  </w:style>
  <w:style w:type="paragraph" w:styleId="989" w:customStyle="1">
    <w:name w:val="样式 ssss + 宋体 五号1"/>
    <w:basedOn w:val="984"/>
    <w:link w:val="988"/>
    <w:uiPriority w:val="0"/>
    <w:qFormat/>
    <w:rPr>
      <w:rFonts w:ascii="宋体" w:hAnsi="宋体"/>
    </w:rPr>
  </w:style>
  <w:style w:type="character" w:styleId="990" w:customStyle="1">
    <w:name w:val="point_normal1"/>
    <w:uiPriority w:val="0"/>
    <w:qFormat/>
    <w:rPr>
      <w:rFonts w:hint="default" w:ascii="Arial" w:hAnsi="Arial" w:cs="Arial"/>
      <w:sz w:val="16"/>
      <w:szCs w:val="16"/>
    </w:rPr>
  </w:style>
  <w:style w:type="paragraph" w:styleId="991" w:customStyle="1">
    <w:name w:val="样式 正文文本缩进 3 + 四号"/>
    <w:basedOn w:val="775"/>
    <w:uiPriority w:val="0"/>
    <w:qFormat/>
    <w:pPr>
      <w:ind w:left="0" w:firstLine="437"/>
      <w:spacing w:after="0" w:line="360" w:lineRule="auto"/>
    </w:pPr>
    <w:rPr>
      <w:sz w:val="24"/>
      <w:szCs w:val="21"/>
    </w:rPr>
  </w:style>
  <w:style w:type="paragraph" w:styleId="992" w:customStyle="1">
    <w:name w:val="2cxsplast"/>
    <w:basedOn w:val="734"/>
    <w:uiPriority w:val="0"/>
    <w:qFormat/>
    <w:pPr>
      <w:jc w:val="left"/>
      <w:spacing w:before="100" w:beforeAutospacing="1" w:after="100" w:afterAutospacing="1"/>
      <w:widowControl/>
    </w:pPr>
    <w:rPr>
      <w:rFonts w:ascii="宋体" w:hAnsi="宋体" w:cs="宋体"/>
      <w:sz w:val="24"/>
    </w:rPr>
  </w:style>
  <w:style w:type="paragraph" w:styleId="993" w:customStyle="1">
    <w:name w:val="ec_msonormal"/>
    <w:basedOn w:val="734"/>
    <w:uiPriority w:val="0"/>
    <w:qFormat/>
    <w:pPr>
      <w:jc w:val="left"/>
      <w:spacing w:before="100" w:beforeAutospacing="1" w:after="100" w:afterAutospacing="1"/>
      <w:widowControl/>
    </w:pPr>
    <w:rPr>
      <w:rFonts w:ascii="宋体" w:hAnsi="宋体"/>
      <w:sz w:val="24"/>
    </w:rPr>
  </w:style>
  <w:style w:type="paragraph" w:styleId="994" w:customStyle="1">
    <w:name w:val="Char Char Char Char"/>
    <w:basedOn w:val="734"/>
    <w:uiPriority w:val="0"/>
    <w:qFormat/>
    <w:rPr>
      <w:rFonts w:ascii="Tahoma" w:hAnsi="Tahoma"/>
      <w:sz w:val="24"/>
      <w:szCs w:val="20"/>
    </w:rPr>
  </w:style>
  <w:style w:type="paragraph" w:styleId="995" w:customStyle="1">
    <w:name w:val="Char Char Char Char Char Char Char Char Char Char Char Char Char"/>
    <w:basedOn w:val="734"/>
    <w:uiPriority w:val="0"/>
    <w:qFormat/>
  </w:style>
  <w:style w:type="paragraph" w:styleId="996" w:customStyle="1">
    <w:name w:val="表格正文"/>
    <w:basedOn w:val="734"/>
    <w:uiPriority w:val="0"/>
    <w:qFormat/>
    <w:pPr>
      <w:jc w:val="left"/>
      <w:spacing w:line="360" w:lineRule="auto"/>
    </w:pPr>
    <w:rPr>
      <w:rFonts w:ascii="Calibri" w:hAnsi="Calibri"/>
      <w:color w:val="000000"/>
      <w:szCs w:val="28"/>
    </w:rPr>
  </w:style>
  <w:style w:type="paragraph" w:styleId="997" w:customStyle="1">
    <w:name w:val="正文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998" w:customStyle="1">
    <w:name w:val="Char Char Char Char1"/>
    <w:basedOn w:val="734"/>
    <w:uiPriority w:val="0"/>
    <w:qFormat/>
    <w:rPr>
      <w:rFonts w:ascii="Tahoma" w:hAnsi="Tahoma"/>
      <w:sz w:val="24"/>
      <w:szCs w:val="20"/>
    </w:rPr>
  </w:style>
  <w:style w:type="paragraph" w:styleId="999" w:customStyle="1">
    <w:name w:val="Char Char Char"/>
    <w:basedOn w:val="734"/>
    <w:uiPriority w:val="0"/>
    <w:qFormat/>
    <w:rPr>
      <w:rFonts w:ascii="Tahoma" w:hAnsi="Tahoma"/>
      <w:sz w:val="24"/>
      <w:szCs w:val="20"/>
    </w:rPr>
  </w:style>
  <w:style w:type="paragraph" w:styleId="1000" w:customStyle="1">
    <w:name w:val="标题-----3"/>
    <w:basedOn w:val="737"/>
    <w:uiPriority w:val="0"/>
    <w:qFormat/>
    <w:pPr>
      <w:spacing w:before="0" w:after="0" w:line="240" w:lineRule="auto"/>
      <w:outlineLvl w:val="0"/>
    </w:pPr>
    <w:rPr>
      <w:rFonts w:ascii="宋体" w:hAnsi="宋体"/>
      <w:b w:val="0"/>
      <w:bCs w:val="0"/>
      <w:sz w:val="28"/>
      <w:szCs w:val="28"/>
    </w:rPr>
  </w:style>
  <w:style w:type="paragraph" w:styleId="1001" w:customStyle="1">
    <w:name w:val="样式 ssss + 居中"/>
    <w:basedOn w:val="984"/>
    <w:uiPriority w:val="0"/>
    <w:qFormat/>
    <w:pPr>
      <w:jc w:val="center"/>
    </w:pPr>
    <w:rPr>
      <w:rFonts w:cs="宋体"/>
      <w:szCs w:val="20"/>
    </w:rPr>
  </w:style>
  <w:style w:type="paragraph" w:styleId="1002" w:customStyle="1">
    <w:name w:val="样式 宋体 四号 黑色 左侧:  0.74 厘米 首行缩进:  0.74 厘米 行距: 1.5 倍行距"/>
    <w:basedOn w:val="734"/>
    <w:uiPriority w:val="0"/>
    <w:qFormat/>
    <w:pPr>
      <w:ind w:firstLine="420"/>
      <w:spacing w:line="360" w:lineRule="auto"/>
    </w:pPr>
    <w:rPr>
      <w:rFonts w:ascii="宋体"/>
      <w:color w:val="000000"/>
      <w:sz w:val="24"/>
      <w:szCs w:val="21"/>
    </w:rPr>
  </w:style>
  <w:style w:type="paragraph" w:styleId="1003" w:customStyle="1">
    <w:name w:val="样式 样式 ssss + 宋体 五号 + 首行缩进:  2 字符"/>
    <w:basedOn w:val="1004"/>
    <w:uiPriority w:val="0"/>
    <w:qFormat/>
    <w:pPr>
      <w:ind w:firstLine="480"/>
    </w:pPr>
  </w:style>
  <w:style w:type="paragraph" w:styleId="1004" w:customStyle="1">
    <w:name w:val="样式 ssss + 宋体 五号"/>
    <w:basedOn w:val="984"/>
    <w:uiPriority w:val="0"/>
    <w:qFormat/>
    <w:pPr>
      <w:ind w:firstLine="420"/>
    </w:pPr>
    <w:rPr>
      <w:rFonts w:ascii="宋体" w:hAnsi="宋体" w:cs="宋体"/>
      <w:szCs w:val="20"/>
    </w:rPr>
  </w:style>
  <w:style w:type="paragraph" w:styleId="1005" w:customStyle="1">
    <w:name w:val="msonormalcxsplast"/>
    <w:basedOn w:val="734"/>
    <w:uiPriority w:val="0"/>
    <w:qFormat/>
    <w:pPr>
      <w:jc w:val="left"/>
      <w:spacing w:before="100" w:beforeAutospacing="1" w:after="100" w:afterAutospacing="1"/>
      <w:widowControl/>
    </w:pPr>
    <w:rPr>
      <w:rFonts w:ascii="宋体" w:hAnsi="宋体" w:cs="宋体"/>
      <w:sz w:val="24"/>
    </w:rPr>
  </w:style>
  <w:style w:type="paragraph" w:styleId="1006" w:customStyle="1">
    <w:name w:val="Char"/>
    <w:basedOn w:val="734"/>
    <w:uiPriority w:val="0"/>
    <w:qFormat/>
    <w:rPr>
      <w:rFonts w:ascii="Tahoma" w:hAnsi="Tahoma"/>
      <w:sz w:val="24"/>
      <w:szCs w:val="20"/>
    </w:rPr>
  </w:style>
  <w:style w:type="paragraph" w:styleId="1007" w:customStyle="1">
    <w:name w:val="xl25"/>
    <w:basedOn w:val="734"/>
    <w:uiPriority w:val="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1008" w:customStyle="1">
    <w:name w:val="标题------4"/>
    <w:basedOn w:val="738"/>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09" w:customStyle="1">
    <w:name w:val="msonormalcxspmiddle"/>
    <w:basedOn w:val="734"/>
    <w:uiPriority w:val="0"/>
    <w:qFormat/>
    <w:pPr>
      <w:jc w:val="left"/>
      <w:spacing w:before="100" w:beforeAutospacing="1" w:after="100" w:afterAutospacing="1"/>
      <w:widowControl/>
    </w:pPr>
    <w:rPr>
      <w:rFonts w:ascii="宋体" w:hAnsi="宋体" w:cs="宋体"/>
      <w:sz w:val="24"/>
    </w:rPr>
  </w:style>
  <w:style w:type="paragraph" w:styleId="1010" w:customStyle="1">
    <w:name w:val="Char Char Char Char Char Char Char Char Char Char Char Char Char1"/>
    <w:basedOn w:val="734"/>
    <w:uiPriority w:val="0"/>
    <w:qFormat/>
    <w:rPr>
      <w:sz w:val="24"/>
    </w:rPr>
  </w:style>
  <w:style w:type="paragraph" w:styleId="1011" w:customStyle="1">
    <w:name w:val="表格"/>
    <w:basedOn w:val="734"/>
    <w:uiPriority w:val="0"/>
    <w:qFormat/>
    <w:rPr>
      <w:rFonts w:ascii="Arial" w:hAnsi="Arial"/>
      <w:sz w:val="24"/>
    </w:rPr>
  </w:style>
  <w:style w:type="paragraph" w:styleId="1012" w:customStyle="1">
    <w:name w:val="正文样式1"/>
    <w:basedOn w:val="734"/>
    <w:uiPriority w:val="0"/>
    <w:qFormat/>
    <w:pPr>
      <w:ind w:firstLine="480"/>
      <w:spacing w:before="120" w:after="120" w:line="360" w:lineRule="auto"/>
    </w:pPr>
    <w:rPr>
      <w:sz w:val="24"/>
      <w:szCs w:val="20"/>
    </w:rPr>
  </w:style>
  <w:style w:type="paragraph" w:styleId="1013" w:customStyle="1">
    <w:name w:val="Char Char1 Char Char Char Char Char Char"/>
    <w:basedOn w:val="734"/>
    <w:uiPriority w:val="0"/>
    <w:qFormat/>
    <w:pPr>
      <w:jc w:val="left"/>
      <w:spacing w:after="160" w:line="240" w:lineRule="exact"/>
      <w:widowControl/>
    </w:pPr>
    <w:rPr>
      <w:rFonts w:ascii="Verdana" w:hAnsi="Verdana" w:eastAsia="仿宋_GB2312"/>
      <w:sz w:val="24"/>
      <w:szCs w:val="20"/>
      <w:lang w:eastAsia="en-US"/>
    </w:rPr>
  </w:style>
  <w:style w:type="paragraph" w:styleId="1014" w:customStyle="1">
    <w:name w:val="Char Char Char Char Char Char Char Char Char Char"/>
    <w:basedOn w:val="734"/>
    <w:uiPriority w:val="0"/>
    <w:qFormat/>
    <w:rPr>
      <w:rFonts w:ascii="Tahoma" w:hAnsi="Tahoma"/>
      <w:sz w:val="24"/>
      <w:szCs w:val="20"/>
    </w:rPr>
  </w:style>
  <w:style w:type="paragraph" w:styleId="1015" w:customStyle="1">
    <w:name w:val="Char1"/>
    <w:basedOn w:val="734"/>
    <w:uiPriority w:val="0"/>
    <w:qFormat/>
    <w:pPr>
      <w:tabs>
        <w:tab w:val="left" w:pos="360" w:leader="none"/>
      </w:tabs>
    </w:pPr>
    <w:rPr>
      <w:sz w:val="24"/>
    </w:rPr>
  </w:style>
  <w:style w:type="paragraph" w:styleId="1016" w:customStyle="1">
    <w:name w:val="标题1"/>
    <w:basedOn w:val="734"/>
    <w:next w:val="73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7" w:customStyle="1">
    <w:name w:val="Header2"/>
    <w:basedOn w:val="734"/>
    <w:uiPriority w:val="0"/>
    <w:qFormat/>
    <w:pPr>
      <w:numPr>
        <w:ilvl w:val="0"/>
        <w:numId w:val="1"/>
      </w:numPr>
    </w:pPr>
  </w:style>
  <w:style w:type="paragraph" w:styleId="1018" w:customStyle="1">
    <w:name w:val="Char Char 字元 字元 字元 Char Char Char Char"/>
    <w:basedOn w:val="734"/>
    <w:uiPriority w:val="0"/>
    <w:qFormat/>
    <w:pPr>
      <w:spacing w:line="360" w:lineRule="auto"/>
    </w:pPr>
    <w:rPr>
      <w:sz w:val="24"/>
      <w:szCs w:val="20"/>
    </w:rPr>
  </w:style>
  <w:style w:type="paragraph" w:styleId="1019" w:customStyle="1">
    <w:name w:val="2cxspmiddle"/>
    <w:basedOn w:val="734"/>
    <w:uiPriority w:val="0"/>
    <w:qFormat/>
    <w:pPr>
      <w:jc w:val="left"/>
      <w:spacing w:before="100" w:beforeAutospacing="1" w:after="100" w:afterAutospacing="1"/>
      <w:widowControl/>
    </w:pPr>
    <w:rPr>
      <w:rFonts w:ascii="宋体" w:hAnsi="宋体" w:cs="宋体"/>
      <w:sz w:val="24"/>
    </w:rPr>
  </w:style>
  <w:style w:type="paragraph" w:styleId="1020"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021"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1022" w:customStyle="1">
    <w:name w:val="网格型1"/>
    <w:basedOn w:val="745"/>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23" w:customStyle="1">
    <w:name w:val="列出段落1"/>
    <w:basedOn w:val="734"/>
    <w:uiPriority w:val="34"/>
    <w:qFormat/>
    <w:pPr>
      <w:contextualSpacing/>
      <w:ind w:left="720"/>
      <w:jc w:val="left"/>
      <w:widowControl/>
    </w:pPr>
    <w:rPr>
      <w:sz w:val="24"/>
      <w:lang w:eastAsia="en-US" w:bidi="en-US"/>
    </w:rPr>
  </w:style>
  <w:style w:type="paragraph" w:styleId="1024" w:customStyle="1">
    <w:name w:val="DAS正文"/>
    <w:basedOn w:val="734"/>
    <w:uiPriority w:val="0"/>
    <w:qFormat/>
    <w:pPr>
      <w:ind w:right="181" w:firstLine="480"/>
      <w:spacing w:line="360" w:lineRule="auto"/>
    </w:pPr>
    <w:rPr>
      <w:rFonts w:ascii="Verdana" w:hAnsi="Verdana"/>
      <w:sz w:val="24"/>
      <w:szCs w:val="20"/>
    </w:rPr>
  </w:style>
  <w:style w:type="paragraph" w:styleId="1025" w:customStyle="1">
    <w:name w:val="普通(网站) Char"/>
    <w:basedOn w:val="734"/>
    <w:uiPriority w:val="99"/>
    <w:qFormat/>
    <w:pPr>
      <w:jc w:val="left"/>
      <w:spacing w:before="100" w:beforeAutospacing="1" w:after="100" w:afterAutospacing="1"/>
      <w:widowControl/>
    </w:pPr>
    <w:rPr>
      <w:rFonts w:ascii="宋体" w:hAnsi="宋体" w:cs="宋体"/>
      <w:sz w:val="24"/>
    </w:rPr>
  </w:style>
  <w:style w:type="paragraph" w:styleId="1026">
    <w:name w:val="No Spacing"/>
    <w:uiPriority w:val="1"/>
    <w:qFormat/>
    <w:pPr>
      <w:ind w:firstLine="200"/>
      <w:jc w:val="both"/>
      <w:spacing w:line="360" w:lineRule="auto"/>
      <w:widowControl w:val="off"/>
    </w:pPr>
    <w:rPr>
      <w:rFonts w:ascii="Arial" w:hAnsi="Arial" w:eastAsia="宋体" w:cs="Times New Roman"/>
      <w:sz w:val="24"/>
      <w:szCs w:val="24"/>
      <w:lang w:val="en-US" w:eastAsia="zh-CN" w:bidi="ar-SA"/>
    </w:rPr>
  </w:style>
  <w:style w:type="paragraph" w:styleId="1027" w:customStyle="1">
    <w:name w:val="首行缩进"/>
    <w:basedOn w:val="734"/>
    <w:uiPriority w:val="99"/>
    <w:qFormat/>
    <w:pPr>
      <w:ind w:firstLine="480"/>
    </w:pPr>
    <w:rPr>
      <w:rFonts w:ascii="等线" w:hAnsi="等线" w:eastAsia="等线"/>
      <w:szCs w:val="22"/>
      <w:lang w:val="zh-CN"/>
    </w:rPr>
  </w:style>
  <w:style w:type="paragraph" w:styleId="1028" w:customStyle="1">
    <w:name w:val="p0"/>
    <w:basedOn w:val="734"/>
    <w:uiPriority w:val="0"/>
    <w:qFormat/>
    <w:pPr>
      <w:widowControl/>
    </w:pPr>
    <w:rPr>
      <w:sz w:val="20"/>
      <w:szCs w:val="21"/>
      <w:lang w:val="zh-CN"/>
    </w:rPr>
  </w:style>
  <w:style w:type="paragraph" w:styleId="1029" w:customStyle="1">
    <w:name w:val="Table Text"/>
    <w:basedOn w:val="734"/>
    <w:uiPriority w:val="0"/>
    <w:semiHidden/>
    <w:qFormat/>
    <w:rPr>
      <w:rFonts w:ascii="仿宋" w:hAnsi="仿宋" w:eastAsia="仿宋" w:cs="仿宋"/>
      <w:sz w:val="24"/>
      <w:lang w:eastAsia="en-US"/>
    </w:rPr>
  </w:style>
  <w:style w:type="table" w:styleId="1030" w:customStyle="1">
    <w:name w:val="Table Normal"/>
    <w:uiPriority w:val="0"/>
    <w:unhideWhenUsed/>
    <w:qFormat/>
    <w:tblPr>
      <w:tblCellMar>
        <w:left w:w="0" w:type="dxa"/>
        <w:top w:w="0" w:type="dxa"/>
        <w:right w:w="0" w:type="dxa"/>
        <w:bottom w:w="0" w:type="dxa"/>
      </w:tblCellMar>
    </w:tblPr>
  </w:style>
  <w:style w:type="character" w:styleId="1031" w:customStyle="1">
    <w:name w:val="NormalCharacter"/>
    <w:uiPriority w:val="99"/>
    <w:qFormat/>
  </w:style>
  <w:style w:type="character" w:styleId="1032" w:customStyle="1">
    <w:name w:val="font31"/>
    <w:uiPriority w:val="0"/>
    <w:qFormat/>
    <w:rPr>
      <w:rFonts w:ascii="Times New Roman Regular" w:hAnsi="Times New Roman Regular" w:eastAsia="Times New Roman Regular" w:cs="Times New Roman Regular"/>
      <w:color w:val="000000"/>
      <w:sz w:val="24"/>
      <w:szCs w:val="24"/>
      <w:u w:val="none"/>
    </w:rPr>
  </w:style>
  <w:style w:type="character" w:styleId="1033" w:customStyle="1">
    <w:name w:val="font91"/>
    <w:uiPriority w:val="0"/>
    <w:qFormat/>
    <w:rPr>
      <w:rFonts w:hint="default" w:ascii="Times New Roman" w:hAnsi="Times New Roman" w:cs="Times New Roman"/>
      <w:color w:val="000000"/>
      <w:sz w:val="20"/>
      <w:szCs w:val="20"/>
      <w:u w:val="none"/>
    </w:rPr>
  </w:style>
  <w:style w:type="character" w:styleId="1034" w:customStyle="1">
    <w:name w:val="font11"/>
    <w:uiPriority w:val="0"/>
    <w:qFormat/>
    <w:rPr>
      <w:rFonts w:hint="eastAsia" w:ascii="宋体" w:hAnsi="宋体" w:eastAsia="宋体" w:cs="宋体"/>
      <w:color w:val="000000"/>
      <w:sz w:val="20"/>
      <w:szCs w:val="20"/>
      <w:u w:val="none"/>
    </w:rPr>
  </w:style>
  <w:style w:type="character" w:styleId="1035" w:customStyle="1">
    <w:name w:val="font101"/>
    <w:uiPriority w:val="0"/>
    <w:qFormat/>
    <w:rPr>
      <w:rFonts w:hint="default" w:ascii="Arial" w:hAnsi="Arial" w:cs="Arial"/>
      <w:color w:val="000000"/>
      <w:sz w:val="20"/>
      <w:szCs w:val="20"/>
      <w:u w:val="none"/>
    </w:rPr>
  </w:style>
  <w:style w:type="character" w:styleId="1036" w:customStyle="1">
    <w:name w:val="font291"/>
    <w:uiPriority w:val="0"/>
    <w:qFormat/>
    <w:rPr>
      <w:rFonts w:hint="eastAsia" w:ascii="宋体" w:hAnsi="宋体" w:eastAsia="宋体" w:cs="宋体"/>
      <w:color w:val="000000"/>
      <w:sz w:val="20"/>
      <w:szCs w:val="20"/>
      <w:u w:val="none"/>
    </w:rPr>
  </w:style>
  <w:style w:type="character" w:styleId="1037" w:customStyle="1">
    <w:name w:val="font61"/>
    <w:uiPriority w:val="0"/>
    <w:qFormat/>
    <w:rPr>
      <w:rFonts w:hint="eastAsia" w:ascii="等线" w:hAnsi="等线" w:eastAsia="等线" w:cs="等线"/>
      <w:color w:val="000000"/>
      <w:sz w:val="20"/>
      <w:szCs w:val="20"/>
      <w:u w:val="none"/>
    </w:rPr>
  </w:style>
  <w:style w:type="character" w:styleId="1038" w:customStyle="1">
    <w:name w:val="font71"/>
    <w:uiPriority w:val="0"/>
    <w:qFormat/>
    <w:rPr>
      <w:rFonts w:hint="eastAsia" w:ascii="宋体" w:hAnsi="宋体" w:eastAsia="宋体" w:cs="宋体"/>
      <w:color w:val="000000"/>
      <w:sz w:val="20"/>
      <w:szCs w:val="20"/>
      <w:u w:val="none"/>
    </w:rPr>
  </w:style>
  <w:style w:type="character" w:styleId="1039" w:customStyle="1">
    <w:name w:val="font41"/>
    <w:uiPriority w:val="0"/>
    <w:qFormat/>
    <w:rPr>
      <w:rFonts w:hint="default" w:ascii="Times New Roman Regular" w:hAnsi="Times New Roman Regular" w:eastAsia="Times New Roman Regular" w:cs="Times New Roman Regular"/>
      <w:color w:val="000000"/>
      <w:sz w:val="20"/>
      <w:szCs w:val="20"/>
      <w:u w:val="none"/>
    </w:rPr>
  </w:style>
  <w:style w:type="character" w:styleId="1040" w:customStyle="1">
    <w:name w:val="font301"/>
    <w:uiPriority w:val="0"/>
    <w:qFormat/>
    <w:rPr>
      <w:rFonts w:hint="default" w:ascii="Times New Roman Regular" w:hAnsi="Times New Roman Regular" w:eastAsia="Times New Roman Regular" w:cs="Times New Roman Regular"/>
      <w:color w:val="000000"/>
      <w:sz w:val="20"/>
      <w:szCs w:val="20"/>
      <w:u w:val="none"/>
    </w:rPr>
  </w:style>
  <w:style w:type="character" w:styleId="1041" w:customStyle="1">
    <w:name w:val="font81"/>
    <w:uiPriority w:val="0"/>
    <w:qFormat/>
    <w:rPr>
      <w:rFonts w:hint="eastAsia" w:ascii="宋体" w:hAnsi="宋体" w:eastAsia="宋体" w:cs="宋体"/>
      <w:color w:val="000000"/>
      <w:sz w:val="20"/>
      <w:szCs w:val="20"/>
      <w:u w:val="none"/>
    </w:rPr>
  </w:style>
  <w:style w:type="character" w:styleId="1042" w:customStyle="1">
    <w:name w:val="font112"/>
    <w:uiPriority w:val="0"/>
    <w:qFormat/>
    <w:rPr>
      <w:rFonts w:hint="eastAsia" w:ascii="等线" w:hAnsi="等线" w:eastAsia="等线" w:cs="等线"/>
      <w:color w:val="000000"/>
      <w:sz w:val="20"/>
      <w:szCs w:val="20"/>
      <w:u w:val="none"/>
    </w:rPr>
  </w:style>
  <w:style w:type="character" w:styleId="1043" w:customStyle="1">
    <w:name w:val="font312"/>
    <w:uiPriority w:val="0"/>
    <w:qFormat/>
    <w:rPr>
      <w:rFonts w:hint="default" w:ascii="Arial" w:hAnsi="Arial" w:cs="Arial"/>
      <w:color w:val="000000"/>
      <w:sz w:val="20"/>
      <w:szCs w:val="20"/>
      <w:u w:val="none"/>
    </w:rPr>
  </w:style>
  <w:style w:type="character" w:styleId="1044" w:customStyle="1">
    <w:name w:val="font321"/>
    <w:uiPriority w:val="0"/>
    <w:qFormat/>
    <w:rPr>
      <w:rFonts w:ascii="微软雅黑" w:hAnsi="微软雅黑" w:eastAsia="微软雅黑" w:cs="微软雅黑"/>
      <w:color w:val="000000"/>
      <w:sz w:val="20"/>
      <w:szCs w:val="20"/>
      <w:u w:val="none"/>
    </w:rPr>
  </w:style>
  <w:style w:type="character" w:styleId="1045" w:customStyle="1">
    <w:name w:val="font151"/>
    <w:uiPriority w:val="0"/>
    <w:qFormat/>
    <w:rPr>
      <w:rFonts w:hint="eastAsia" w:ascii="宋体" w:hAnsi="宋体" w:eastAsia="宋体" w:cs="宋体"/>
      <w:color w:val="000000"/>
      <w:sz w:val="22"/>
      <w:szCs w:val="22"/>
      <w:u w:val="none"/>
    </w:rPr>
  </w:style>
  <w:style w:type="character" w:styleId="1046" w:customStyle="1">
    <w:name w:val="font121"/>
    <w:uiPriority w:val="0"/>
    <w:qFormat/>
    <w:rPr>
      <w:rFonts w:hint="eastAsia" w:ascii="宋体" w:hAnsi="宋体" w:eastAsia="宋体" w:cs="宋体"/>
      <w:b/>
      <w:bCs/>
      <w:color w:val="000000"/>
      <w:sz w:val="20"/>
      <w:szCs w:val="20"/>
      <w:u w:val="none"/>
    </w:rPr>
  </w:style>
  <w:style w:type="character" w:styleId="1047" w:customStyle="1">
    <w:name w:val="font21"/>
    <w:uiPriority w:val="0"/>
    <w:qFormat/>
    <w:rPr>
      <w:rFonts w:hint="eastAsia" w:ascii="宋体" w:hAnsi="宋体" w:eastAsia="宋体" w:cs="宋体"/>
      <w:b/>
      <w:bCs/>
      <w:color w:val="000000"/>
      <w:sz w:val="24"/>
      <w:szCs w:val="24"/>
      <w:u w:val="none"/>
    </w:rPr>
  </w:style>
  <w:style w:type="character" w:styleId="1048" w:customStyle="1">
    <w:name w:val="font131"/>
    <w:uiPriority w:val="0"/>
    <w:qFormat/>
    <w:rPr>
      <w:rFonts w:ascii="宋体" w:hAnsi="宋体" w:eastAsia="宋体" w:cs="宋体"/>
      <w:b/>
      <w:bCs/>
      <w:color w:val="000000"/>
      <w:sz w:val="24"/>
      <w:szCs w:val="24"/>
      <w:u w:val="none"/>
    </w:rPr>
  </w:style>
  <w:style w:type="character" w:styleId="1049" w:customStyle="1">
    <w:name w:val="font141"/>
    <w:uiPriority w:val="0"/>
    <w:qFormat/>
    <w:rPr>
      <w:rFonts w:ascii="微软雅黑" w:hAnsi="微软雅黑" w:eastAsia="微软雅黑" w:cs="微软雅黑"/>
      <w:color w:val="000000"/>
      <w:sz w:val="24"/>
      <w:szCs w:val="24"/>
      <w:u w:val="none"/>
    </w:rPr>
  </w:style>
  <w:style w:type="paragraph" w:styleId="1050" w:customStyle="1">
    <w:name w:val="样式1"/>
    <w:basedOn w:val="734"/>
    <w:uiPriority w:val="0"/>
    <w:qFormat/>
    <w:pPr>
      <w:jc w:val="center"/>
    </w:pPr>
    <w:rPr>
      <w:szCs w:val="21"/>
    </w:rPr>
  </w:style>
  <w:style w:type="paragraph" w:styleId="1051" w:customStyle="1">
    <w:name w:val="正文首行缩进1"/>
    <w:basedOn w:val="1052"/>
    <w:uiPriority w:val="0"/>
    <w:qFormat/>
    <w:pPr>
      <w:ind w:firstLine="200"/>
      <w:spacing w:line="360" w:lineRule="auto"/>
    </w:pPr>
    <w:rPr>
      <w:sz w:val="30"/>
      <w:szCs w:val="30"/>
    </w:rPr>
  </w:style>
  <w:style w:type="paragraph" w:styleId="1052" w:customStyle="1">
    <w:name w:val="正文文本11"/>
    <w:basedOn w:val="734"/>
    <w:next w:val="734"/>
    <w:uiPriority w:val="0"/>
    <w:qFormat/>
    <w:rPr>
      <w:rFonts w:ascii="仿宋_GB2312" w:eastAsia="仿宋_GB2312"/>
      <w:sz w:val="24"/>
      <w:lang w:eastAsia="en-US"/>
    </w:rPr>
  </w:style>
  <w:style w:type="paragraph" w:styleId="1053" w:customStyle="1">
    <w:name w:val="正文文本1"/>
    <w:basedOn w:val="734"/>
    <w:next w:val="734"/>
    <w:uiPriority w:val="0"/>
    <w:qFormat/>
    <w:rPr>
      <w:rFonts w:ascii="楷体_GB2312" w:hAnsi="Arial" w:eastAsia="楷体_GB2312"/>
      <w:sz w:val="28"/>
      <w:szCs w:val="28"/>
    </w:rPr>
  </w:style>
  <w:style w:type="paragraph" w:styleId="1054" w:customStyle="1">
    <w:name w:val="正文+首行缩进2字符"/>
    <w:basedOn w:val="734"/>
    <w:uiPriority w:val="0"/>
    <w:qFormat/>
    <w:pPr>
      <w:ind w:firstLine="480"/>
    </w:pPr>
  </w:style>
  <w:style w:type="paragraph" w:styleId="1055" w:customStyle="1">
    <w:name w:val="正文首行缩进 21"/>
    <w:basedOn w:val="756"/>
    <w:uiPriority w:val="99"/>
    <w:unhideWhenUsed/>
    <w:qFormat/>
    <w:pPr>
      <w:ind w:firstLine="200"/>
    </w:pPr>
  </w:style>
  <w:style w:type="paragraph" w:styleId="1056" w:customStyle="1">
    <w:name w:val="正文首行缩进11"/>
    <w:basedOn w:val="1053"/>
    <w:uiPriority w:val="0"/>
    <w:qFormat/>
    <w:pPr>
      <w:ind w:firstLine="200"/>
      <w:spacing w:line="360" w:lineRule="auto"/>
    </w:pPr>
    <w:rPr>
      <w:rFonts w:ascii="仿宋_GB2312" w:eastAsia="仿宋_GB2312"/>
      <w:sz w:val="30"/>
      <w:szCs w:val="30"/>
    </w:rPr>
  </w:style>
  <w:style w:type="paragraph" w:styleId="1057" w:customStyle="1">
    <w:name w:val="普通(网站)1"/>
    <w:basedOn w:val="734"/>
    <w:uiPriority w:val="0"/>
    <w:qFormat/>
    <w:pPr>
      <w:jc w:val="left"/>
      <w:spacing w:before="100" w:beforeAutospacing="1" w:after="100" w:afterAutospacing="1"/>
      <w:widowControl/>
    </w:pPr>
    <w:rPr>
      <w:rFonts w:ascii="宋体" w:hAnsi="宋体"/>
      <w:color w:val="000000"/>
      <w:sz w:val="24"/>
    </w:rPr>
  </w:style>
  <w:style w:type="paragraph" w:styleId="1058" w:customStyle="1">
    <w:name w:val="纯文本2"/>
    <w:basedOn w:val="734"/>
    <w:uiPriority w:val="0"/>
    <w:qFormat/>
    <w:pPr>
      <w:jc w:val="left"/>
    </w:pPr>
    <w:rPr>
      <w:rFonts w:ascii="宋体" w:hAnsi="宋体" w:eastAsia="楷体_GB2312"/>
      <w:sz w:val="26"/>
      <w:szCs w:val="20"/>
      <w:lang w:bidi="zh-CN"/>
    </w:rPr>
  </w:style>
  <w:style w:type="paragraph" w:styleId="1059" w:customStyle="1">
    <w:name w:val="Table Paragraph"/>
    <w:basedOn w:val="734"/>
    <w:uiPriority w:val="0"/>
    <w:qFormat/>
    <w:rPr>
      <w:rFonts w:ascii="Calibri" w:hAnsi="Calibri" w:cs="Calibri"/>
    </w:rPr>
  </w:style>
  <w:style w:type="paragraph" w:styleId="1060" w:customStyle="1">
    <w:name w:val="页眉1"/>
    <w:basedOn w:val="734"/>
    <w:uiPriority w:val="0"/>
    <w:qFormat/>
    <w:pPr>
      <w:jc w:val="center"/>
      <w:tabs>
        <w:tab w:val="center" w:pos="4153" w:leader="none"/>
        <w:tab w:val="right" w:pos="8306" w:leader="none"/>
      </w:tabs>
      <w:pBdr>
        <w:bottom w:val="single" w:color="000000" w:sz="6" w:space="1"/>
      </w:pBdr>
    </w:pPr>
    <w:rPr>
      <w:sz w:val="18"/>
      <w:szCs w:val="18"/>
    </w:rPr>
  </w:style>
  <w:style w:type="paragraph" w:styleId="1061" w:customStyle="1">
    <w:name w:val="页脚1"/>
    <w:basedOn w:val="734"/>
    <w:uiPriority w:val="0"/>
    <w:qFormat/>
    <w:pPr>
      <w:jc w:val="left"/>
      <w:tabs>
        <w:tab w:val="center" w:pos="4153" w:leader="none"/>
        <w:tab w:val="right" w:pos="8306" w:leader="none"/>
      </w:tabs>
    </w:pPr>
    <w:rPr>
      <w:sz w:val="18"/>
      <w:szCs w:val="18"/>
    </w:rPr>
  </w:style>
  <w:style w:type="character" w:styleId="1062" w:customStyle="1">
    <w:name w:val="页码1"/>
    <w:uiPriority w:val="0"/>
    <w:qFormat/>
  </w:style>
  <w:style w:type="paragraph" w:styleId="1063" w:customStyle="1">
    <w:name w:val="索引 41"/>
    <w:basedOn w:val="734"/>
    <w:next w:val="734"/>
    <w:uiPriority w:val="0"/>
    <w:semiHidden/>
    <w:qFormat/>
    <w:pPr>
      <w:ind w:left="1260"/>
    </w:pPr>
    <w:rPr>
      <w:rFonts w:eastAsia="Calibri" w:cs="宋体"/>
      <w:sz w:val="20"/>
      <w:lang w:val="zh-CN"/>
    </w:rPr>
  </w:style>
  <w:style w:type="paragraph" w:styleId="1064" w:customStyle="1">
    <w:name w:val="正文文本缩进 212"/>
    <w:basedOn w:val="734"/>
    <w:uiPriority w:val="0"/>
    <w:qFormat/>
    <w:pPr>
      <w:ind w:left="420"/>
      <w:spacing w:after="120" w:line="480" w:lineRule="auto"/>
    </w:pPr>
  </w:style>
  <w:style w:type="paragraph" w:styleId="1065" w:customStyle="1">
    <w:name w:val="正文首行缩进21"/>
    <w:basedOn w:val="1066"/>
    <w:uiPriority w:val="0"/>
    <w:qFormat/>
    <w:pPr>
      <w:ind w:firstLine="420"/>
      <w:spacing w:after="120"/>
    </w:pPr>
    <w:rPr>
      <w:rFonts w:ascii="Times New Roman" w:eastAsia="宋体"/>
    </w:rPr>
  </w:style>
  <w:style w:type="paragraph" w:styleId="1066" w:customStyle="1">
    <w:name w:val="正文文本121"/>
    <w:basedOn w:val="734"/>
    <w:next w:val="734"/>
    <w:uiPriority w:val="0"/>
    <w:qFormat/>
    <w:rPr>
      <w:rFonts w:ascii="仿宋_GB2312" w:eastAsia="仿宋_GB2312"/>
      <w:sz w:val="24"/>
    </w:rPr>
  </w:style>
  <w:style w:type="numbering" w:styleId="96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jpg"/><Relationship Id="rId18" Type="http://schemas.openxmlformats.org/officeDocument/2006/relationships/image" Target="media/image2.jpg"/><Relationship Id="rId19" Type="http://schemas.openxmlformats.org/officeDocument/2006/relationships/image" Target="media/image3.png"/><Relationship Id="rId20"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王跃军</cp:lastModifiedBy>
  <cp:revision>462</cp:revision>
  <dcterms:created xsi:type="dcterms:W3CDTF">2025-09-25T17:48:00Z</dcterms:created>
  <dcterms:modified xsi:type="dcterms:W3CDTF">2026-06-25T09:10:57Z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E72AFDBBE2214E0BBF507D2D6937E8F3_13</vt:lpwstr>
  </property>
  <property fmtid="{D5CDD505-2E9C-101B-9397-08002B2CF9AE}" pid="4" name="KSOTemplateDocerSaveRecord">
    <vt:lpwstr>eyJoZGlkIjoiMTg3N2UwNmNjMDJkYTRlMWQ4ZDQ4MDZkYWJkNDA4Y2MiLCJ1c2VySWQiOiIzNTQ2OTAxMzkifQ==</vt:lpwstr>
  </property>
</Properties>
</file>