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92C768">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658222DF">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28A90DD0">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1DC5C102">
      <w:pPr>
        <w:wordWrap/>
        <w:topLinePunct w:val="0"/>
        <w:bidi w:val="0"/>
        <w:adjustRightInd w:val="0"/>
        <w:snapToGrid w:val="0"/>
        <w:spacing w:line="360" w:lineRule="auto"/>
        <w:jc w:val="center"/>
        <w:textAlignment w:val="auto"/>
        <w:rPr>
          <w:rFonts w:hint="eastAsia" w:ascii="宋体" w:hAnsi="宋体" w:eastAsia="宋体" w:cs="宋体"/>
          <w:b/>
          <w:sz w:val="84"/>
          <w:szCs w:val="84"/>
          <w:highlight w:val="none"/>
        </w:rPr>
      </w:pPr>
      <w:r>
        <w:rPr>
          <w:rFonts w:hint="eastAsia" w:ascii="宋体" w:hAnsi="宋体" w:eastAsia="宋体" w:cs="宋体"/>
          <w:b/>
          <w:sz w:val="84"/>
          <w:szCs w:val="84"/>
          <w:highlight w:val="none"/>
        </w:rPr>
        <w:t>竞争性磋商文件</w:t>
      </w:r>
    </w:p>
    <w:p w14:paraId="075307F3">
      <w:pPr>
        <w:wordWrap/>
        <w:topLinePunct w:val="0"/>
        <w:bidi w:val="0"/>
        <w:adjustRightInd w:val="0"/>
        <w:snapToGrid w:val="0"/>
        <w:spacing w:line="360" w:lineRule="auto"/>
        <w:ind w:firstLine="643" w:firstLineChars="200"/>
        <w:jc w:val="left"/>
        <w:textAlignment w:val="auto"/>
        <w:rPr>
          <w:rFonts w:hint="eastAsia" w:ascii="宋体" w:hAnsi="宋体" w:eastAsia="宋体" w:cs="宋体"/>
          <w:b/>
          <w:bCs/>
          <w:color w:val="000000"/>
          <w:kern w:val="0"/>
          <w:sz w:val="32"/>
          <w:szCs w:val="24"/>
          <w:highlight w:val="none"/>
        </w:rPr>
      </w:pPr>
    </w:p>
    <w:p w14:paraId="21D63FAA">
      <w:pPr>
        <w:wordWrap/>
        <w:topLinePunct w:val="0"/>
        <w:bidi w:val="0"/>
        <w:adjustRightInd w:val="0"/>
        <w:snapToGrid w:val="0"/>
        <w:spacing w:line="360" w:lineRule="auto"/>
        <w:ind w:firstLine="643" w:firstLineChars="200"/>
        <w:jc w:val="left"/>
        <w:textAlignment w:val="auto"/>
        <w:rPr>
          <w:rFonts w:hint="eastAsia" w:ascii="宋体" w:hAnsi="宋体" w:eastAsia="宋体" w:cs="宋体"/>
          <w:b/>
          <w:bCs/>
          <w:color w:val="000000"/>
          <w:kern w:val="0"/>
          <w:sz w:val="32"/>
          <w:szCs w:val="24"/>
          <w:highlight w:val="none"/>
        </w:rPr>
      </w:pPr>
    </w:p>
    <w:p w14:paraId="6C9340F0">
      <w:pPr>
        <w:wordWrap/>
        <w:topLinePunct w:val="0"/>
        <w:bidi w:val="0"/>
        <w:adjustRightInd w:val="0"/>
        <w:snapToGrid w:val="0"/>
        <w:spacing w:line="360" w:lineRule="auto"/>
        <w:jc w:val="left"/>
        <w:textAlignment w:val="auto"/>
        <w:rPr>
          <w:rFonts w:hint="eastAsia" w:ascii="宋体" w:hAnsi="宋体" w:eastAsia="宋体" w:cs="宋体"/>
          <w:b/>
          <w:bCs/>
          <w:color w:val="000000"/>
          <w:kern w:val="0"/>
          <w:sz w:val="32"/>
          <w:szCs w:val="24"/>
          <w:highlight w:val="none"/>
        </w:rPr>
      </w:pPr>
    </w:p>
    <w:p w14:paraId="01310C38">
      <w:pPr>
        <w:wordWrap/>
        <w:topLinePunct w:val="0"/>
        <w:bidi w:val="0"/>
        <w:adjustRightInd w:val="0"/>
        <w:snapToGrid w:val="0"/>
        <w:spacing w:line="360" w:lineRule="auto"/>
        <w:ind w:firstLine="643" w:firstLineChars="200"/>
        <w:jc w:val="left"/>
        <w:textAlignment w:val="auto"/>
        <w:rPr>
          <w:rFonts w:hint="eastAsia" w:ascii="宋体" w:hAnsi="宋体" w:eastAsia="宋体" w:cs="宋体"/>
          <w:b/>
          <w:bCs/>
          <w:color w:val="000000"/>
          <w:kern w:val="0"/>
          <w:sz w:val="32"/>
          <w:szCs w:val="24"/>
          <w:highlight w:val="none"/>
        </w:rPr>
      </w:pPr>
    </w:p>
    <w:p w14:paraId="2F64FFD0">
      <w:pPr>
        <w:wordWrap/>
        <w:topLinePunct w:val="0"/>
        <w:bidi w:val="0"/>
        <w:adjustRightInd w:val="0"/>
        <w:snapToGrid w:val="0"/>
        <w:spacing w:line="360" w:lineRule="auto"/>
        <w:ind w:firstLine="643" w:firstLineChars="200"/>
        <w:jc w:val="left"/>
        <w:textAlignment w:val="auto"/>
        <w:rPr>
          <w:rFonts w:hint="eastAsia" w:ascii="宋体" w:hAnsi="宋体" w:eastAsia="宋体" w:cs="宋体"/>
          <w:b/>
          <w:bCs/>
          <w:color w:val="000000"/>
          <w:kern w:val="0"/>
          <w:sz w:val="32"/>
          <w:szCs w:val="24"/>
          <w:highlight w:val="none"/>
        </w:rPr>
      </w:pPr>
    </w:p>
    <w:p w14:paraId="5D5A4459">
      <w:pPr>
        <w:wordWrap/>
        <w:topLinePunct w:val="0"/>
        <w:bidi w:val="0"/>
        <w:adjustRightInd w:val="0"/>
        <w:snapToGrid w:val="0"/>
        <w:spacing w:line="360" w:lineRule="auto"/>
        <w:ind w:firstLine="643" w:firstLineChars="200"/>
        <w:textAlignment w:val="auto"/>
        <w:rPr>
          <w:rFonts w:hint="eastAsia" w:ascii="宋体" w:hAnsi="宋体" w:eastAsia="宋体" w:cs="宋体"/>
          <w:b/>
          <w:color w:val="000000"/>
          <w:kern w:val="0"/>
          <w:sz w:val="44"/>
          <w:szCs w:val="21"/>
          <w:highlight w:val="none"/>
          <w:lang w:eastAsia="zh-CN"/>
        </w:rPr>
      </w:pPr>
      <w:r>
        <w:rPr>
          <w:rFonts w:hint="eastAsia" w:ascii="宋体" w:hAnsi="宋体" w:eastAsia="宋体" w:cs="宋体"/>
          <w:b/>
          <w:bCs/>
          <w:color w:val="000000"/>
          <w:kern w:val="0"/>
          <w:sz w:val="32"/>
          <w:szCs w:val="24"/>
          <w:highlight w:val="none"/>
        </w:rPr>
        <w:t>项目名称：</w:t>
      </w:r>
      <w:r>
        <w:rPr>
          <w:rFonts w:hint="eastAsia" w:ascii="宋体" w:hAnsi="宋体" w:eastAsia="宋体" w:cs="宋体"/>
          <w:b/>
          <w:bCs/>
          <w:color w:val="000000"/>
          <w:kern w:val="0"/>
          <w:sz w:val="32"/>
          <w:szCs w:val="24"/>
          <w:highlight w:val="none"/>
          <w:lang w:eastAsia="zh-CN"/>
        </w:rPr>
        <w:t>徐圩新区空气环境自动监测站运维服务</w:t>
      </w:r>
    </w:p>
    <w:p w14:paraId="1B51111A">
      <w:pPr>
        <w:wordWrap/>
        <w:topLinePunct w:val="0"/>
        <w:bidi w:val="0"/>
        <w:adjustRightInd w:val="0"/>
        <w:snapToGrid w:val="0"/>
        <w:spacing w:line="360" w:lineRule="auto"/>
        <w:ind w:firstLine="643" w:firstLineChars="200"/>
        <w:textAlignment w:val="auto"/>
        <w:rPr>
          <w:rFonts w:hint="eastAsia" w:ascii="宋体" w:hAnsi="宋体" w:eastAsia="宋体" w:cs="宋体"/>
          <w:b/>
          <w:color w:val="000000"/>
          <w:kern w:val="0"/>
          <w:sz w:val="44"/>
          <w:szCs w:val="21"/>
          <w:highlight w:val="none"/>
        </w:rPr>
      </w:pPr>
      <w:r>
        <w:rPr>
          <w:rFonts w:hint="eastAsia" w:ascii="宋体" w:hAnsi="宋体" w:eastAsia="宋体" w:cs="宋体"/>
          <w:b/>
          <w:bCs/>
          <w:kern w:val="0"/>
          <w:sz w:val="32"/>
          <w:szCs w:val="24"/>
          <w:highlight w:val="none"/>
        </w:rPr>
        <w:t>项目编号：JSZC-320700-SQYX-C2026-0003</w:t>
      </w:r>
    </w:p>
    <w:p w14:paraId="449EAE4C">
      <w:pPr>
        <w:wordWrap/>
        <w:topLinePunct w:val="0"/>
        <w:bidi w:val="0"/>
        <w:adjustRightInd w:val="0"/>
        <w:snapToGrid w:val="0"/>
        <w:spacing w:line="360" w:lineRule="auto"/>
        <w:ind w:firstLine="883" w:firstLineChars="200"/>
        <w:jc w:val="center"/>
        <w:textAlignment w:val="auto"/>
        <w:rPr>
          <w:rFonts w:hint="eastAsia" w:ascii="宋体" w:hAnsi="宋体" w:eastAsia="宋体" w:cs="宋体"/>
          <w:b/>
          <w:color w:val="000000"/>
          <w:kern w:val="0"/>
          <w:sz w:val="44"/>
          <w:szCs w:val="21"/>
          <w:highlight w:val="none"/>
        </w:rPr>
      </w:pPr>
    </w:p>
    <w:p w14:paraId="44B07DEA">
      <w:pPr>
        <w:wordWrap/>
        <w:topLinePunct w:val="0"/>
        <w:bidi w:val="0"/>
        <w:adjustRightInd w:val="0"/>
        <w:snapToGrid w:val="0"/>
        <w:spacing w:line="360" w:lineRule="auto"/>
        <w:ind w:firstLine="883" w:firstLineChars="200"/>
        <w:jc w:val="center"/>
        <w:textAlignment w:val="auto"/>
        <w:rPr>
          <w:rFonts w:hint="eastAsia" w:ascii="宋体" w:hAnsi="宋体" w:eastAsia="宋体" w:cs="宋体"/>
          <w:b/>
          <w:color w:val="000000"/>
          <w:kern w:val="0"/>
          <w:sz w:val="44"/>
          <w:szCs w:val="21"/>
          <w:highlight w:val="none"/>
        </w:rPr>
      </w:pPr>
    </w:p>
    <w:p w14:paraId="33DCAE5C">
      <w:pPr>
        <w:wordWrap/>
        <w:topLinePunct w:val="0"/>
        <w:bidi w:val="0"/>
        <w:adjustRightInd w:val="0"/>
        <w:snapToGrid w:val="0"/>
        <w:spacing w:line="360" w:lineRule="auto"/>
        <w:ind w:firstLine="883" w:firstLineChars="200"/>
        <w:jc w:val="center"/>
        <w:textAlignment w:val="auto"/>
        <w:rPr>
          <w:rFonts w:hint="eastAsia" w:ascii="宋体" w:hAnsi="宋体" w:eastAsia="宋体" w:cs="宋体"/>
          <w:b/>
          <w:color w:val="000000"/>
          <w:kern w:val="0"/>
          <w:sz w:val="44"/>
          <w:szCs w:val="21"/>
          <w:highlight w:val="none"/>
        </w:rPr>
      </w:pPr>
    </w:p>
    <w:p w14:paraId="6B6A0ABF">
      <w:pPr>
        <w:wordWrap/>
        <w:topLinePunct w:val="0"/>
        <w:bidi w:val="0"/>
        <w:adjustRightInd w:val="0"/>
        <w:snapToGrid w:val="0"/>
        <w:spacing w:line="360" w:lineRule="auto"/>
        <w:ind w:firstLine="883" w:firstLineChars="200"/>
        <w:jc w:val="center"/>
        <w:textAlignment w:val="auto"/>
        <w:rPr>
          <w:rFonts w:hint="eastAsia" w:ascii="宋体" w:hAnsi="宋体" w:eastAsia="宋体" w:cs="宋体"/>
          <w:b/>
          <w:color w:val="000000"/>
          <w:kern w:val="0"/>
          <w:sz w:val="44"/>
          <w:szCs w:val="21"/>
          <w:highlight w:val="none"/>
        </w:rPr>
      </w:pPr>
    </w:p>
    <w:p w14:paraId="3486EE52">
      <w:pPr>
        <w:wordWrap/>
        <w:topLinePunct w:val="0"/>
        <w:bidi w:val="0"/>
        <w:adjustRightInd w:val="0"/>
        <w:snapToGrid w:val="0"/>
        <w:spacing w:before="120" w:after="120" w:line="360" w:lineRule="auto"/>
        <w:ind w:firstLine="643" w:firstLineChars="200"/>
        <w:jc w:val="left"/>
        <w:textAlignment w:val="auto"/>
        <w:rPr>
          <w:rFonts w:hint="eastAsia" w:ascii="宋体" w:hAnsi="宋体" w:eastAsia="宋体" w:cs="宋体"/>
          <w:b/>
          <w:bCs/>
          <w:color w:val="000000"/>
          <w:kern w:val="0"/>
          <w:sz w:val="32"/>
          <w:szCs w:val="24"/>
          <w:highlight w:val="none"/>
        </w:rPr>
      </w:pPr>
      <w:r>
        <w:rPr>
          <w:rFonts w:hint="eastAsia" w:ascii="宋体" w:hAnsi="宋体" w:eastAsia="宋体" w:cs="宋体"/>
          <w:b/>
          <w:bCs/>
          <w:color w:val="000000"/>
          <w:kern w:val="0"/>
          <w:sz w:val="32"/>
          <w:szCs w:val="24"/>
          <w:highlight w:val="none"/>
        </w:rPr>
        <w:t>采  购  人：国家东中西区域合作示范区</w:t>
      </w:r>
    </w:p>
    <w:p w14:paraId="037DC7F0">
      <w:pPr>
        <w:wordWrap/>
        <w:topLinePunct w:val="0"/>
        <w:bidi w:val="0"/>
        <w:adjustRightInd w:val="0"/>
        <w:snapToGrid w:val="0"/>
        <w:spacing w:before="120" w:after="120" w:line="360" w:lineRule="auto"/>
        <w:ind w:firstLine="2570" w:firstLineChars="800"/>
        <w:jc w:val="left"/>
        <w:textAlignment w:val="auto"/>
        <w:rPr>
          <w:rFonts w:hint="eastAsia" w:ascii="宋体" w:hAnsi="宋体" w:eastAsia="宋体" w:cs="宋体"/>
          <w:b/>
          <w:bCs/>
          <w:color w:val="000000"/>
          <w:kern w:val="0"/>
          <w:sz w:val="32"/>
          <w:szCs w:val="24"/>
          <w:highlight w:val="none"/>
        </w:rPr>
      </w:pPr>
      <w:r>
        <w:rPr>
          <w:rFonts w:hint="eastAsia" w:ascii="宋体" w:hAnsi="宋体" w:eastAsia="宋体" w:cs="宋体"/>
          <w:b/>
          <w:bCs/>
          <w:color w:val="000000"/>
          <w:kern w:val="0"/>
          <w:sz w:val="32"/>
          <w:szCs w:val="24"/>
          <w:highlight w:val="none"/>
        </w:rPr>
        <w:t>（连云港徐圩新区）经济发展局</w:t>
      </w:r>
    </w:p>
    <w:p w14:paraId="098D4D92">
      <w:pPr>
        <w:wordWrap/>
        <w:topLinePunct w:val="0"/>
        <w:bidi w:val="0"/>
        <w:adjustRightInd w:val="0"/>
        <w:snapToGrid w:val="0"/>
        <w:spacing w:before="120" w:after="120" w:line="360" w:lineRule="auto"/>
        <w:ind w:firstLine="643" w:firstLineChars="200"/>
        <w:jc w:val="left"/>
        <w:textAlignment w:val="auto"/>
        <w:rPr>
          <w:highlight w:val="none"/>
        </w:rPr>
      </w:pPr>
      <w:r>
        <w:rPr>
          <w:rFonts w:hint="eastAsia" w:ascii="宋体" w:hAnsi="宋体" w:eastAsia="宋体" w:cs="宋体"/>
          <w:b/>
          <w:bCs/>
          <w:color w:val="000000"/>
          <w:kern w:val="0"/>
          <w:sz w:val="32"/>
          <w:szCs w:val="24"/>
          <w:highlight w:val="none"/>
        </w:rPr>
        <w:t>采购代理机构：中阜势起科技（江苏）有限公司</w:t>
      </w:r>
    </w:p>
    <w:p w14:paraId="6C2E034A">
      <w:pPr>
        <w:widowControl/>
        <w:wordWrap/>
        <w:topLinePunct w:val="0"/>
        <w:bidi w:val="0"/>
        <w:adjustRightInd w:val="0"/>
        <w:snapToGrid w:val="0"/>
        <w:spacing w:line="360" w:lineRule="auto"/>
        <w:ind w:firstLine="643" w:firstLineChars="200"/>
        <w:jc w:val="center"/>
        <w:textAlignment w:val="auto"/>
        <w:rPr>
          <w:rFonts w:hint="eastAsia" w:ascii="宋体" w:hAnsi="宋体" w:eastAsia="宋体" w:cs="宋体"/>
          <w:highlight w:val="none"/>
        </w:rPr>
      </w:pPr>
      <w:r>
        <w:rPr>
          <w:rFonts w:hint="eastAsia" w:ascii="宋体" w:hAnsi="宋体" w:eastAsia="宋体" w:cs="宋体"/>
          <w:b/>
          <w:bCs/>
          <w:color w:val="000000"/>
          <w:kern w:val="0"/>
          <w:sz w:val="32"/>
          <w:szCs w:val="24"/>
          <w:highlight w:val="none"/>
        </w:rPr>
        <w:t>202</w:t>
      </w:r>
      <w:r>
        <w:rPr>
          <w:rFonts w:hint="eastAsia" w:ascii="宋体" w:hAnsi="宋体" w:eastAsia="宋体" w:cs="宋体"/>
          <w:b/>
          <w:bCs/>
          <w:color w:val="000000"/>
          <w:kern w:val="0"/>
          <w:sz w:val="32"/>
          <w:szCs w:val="24"/>
          <w:highlight w:val="none"/>
          <w:lang w:val="en-US" w:eastAsia="zh-CN"/>
        </w:rPr>
        <w:t>6</w:t>
      </w:r>
      <w:r>
        <w:rPr>
          <w:rFonts w:hint="eastAsia" w:ascii="宋体" w:hAnsi="宋体" w:eastAsia="宋体" w:cs="宋体"/>
          <w:b/>
          <w:bCs/>
          <w:color w:val="000000"/>
          <w:kern w:val="0"/>
          <w:sz w:val="32"/>
          <w:szCs w:val="24"/>
          <w:highlight w:val="none"/>
        </w:rPr>
        <w:t>年</w:t>
      </w:r>
      <w:r>
        <w:rPr>
          <w:rFonts w:hint="eastAsia" w:ascii="宋体" w:hAnsi="宋体" w:eastAsia="宋体" w:cs="宋体"/>
          <w:b/>
          <w:bCs/>
          <w:color w:val="000000"/>
          <w:kern w:val="0"/>
          <w:sz w:val="32"/>
          <w:szCs w:val="24"/>
          <w:highlight w:val="none"/>
          <w:lang w:val="en-US" w:eastAsia="zh-CN"/>
        </w:rPr>
        <w:t>7</w:t>
      </w:r>
      <w:r>
        <w:rPr>
          <w:rFonts w:hint="eastAsia" w:ascii="宋体" w:hAnsi="宋体" w:eastAsia="宋体" w:cs="宋体"/>
          <w:b/>
          <w:bCs/>
          <w:color w:val="000000"/>
          <w:kern w:val="0"/>
          <w:sz w:val="32"/>
          <w:szCs w:val="24"/>
          <w:highlight w:val="none"/>
        </w:rPr>
        <w:t>月</w:t>
      </w:r>
      <w:r>
        <w:rPr>
          <w:rFonts w:hint="eastAsia" w:ascii="宋体" w:hAnsi="宋体" w:eastAsia="宋体" w:cs="宋体"/>
          <w:highlight w:val="none"/>
        </w:rPr>
        <w:br w:type="page"/>
      </w:r>
    </w:p>
    <w:p w14:paraId="51A10A3A">
      <w:pPr>
        <w:pStyle w:val="14"/>
        <w:tabs>
          <w:tab w:val="right" w:leader="dot" w:pos="8306"/>
          <w:tab w:val="clear" w:pos="8296"/>
        </w:tabs>
        <w:rPr>
          <w:rFonts w:hint="eastAsia" w:ascii="宋体" w:hAnsi="宋体" w:eastAsia="宋体" w:cs="宋体"/>
          <w:b w:val="0"/>
          <w:bCs w:val="0"/>
          <w:sz w:val="36"/>
          <w:szCs w:val="36"/>
          <w:highlight w:val="none"/>
          <w:lang w:val="en-US" w:eastAsia="zh-CN"/>
        </w:rPr>
      </w:pPr>
      <w:r>
        <w:rPr>
          <w:rFonts w:hint="eastAsia" w:ascii="宋体" w:hAnsi="宋体" w:eastAsia="宋体" w:cs="宋体"/>
          <w:b w:val="0"/>
          <w:bCs w:val="0"/>
          <w:sz w:val="36"/>
          <w:szCs w:val="36"/>
          <w:highlight w:val="none"/>
          <w:lang w:val="en-US" w:eastAsia="zh-CN"/>
        </w:rPr>
        <w:t>目  录</w:t>
      </w:r>
    </w:p>
    <w:p w14:paraId="3AD638EA">
      <w:pPr>
        <w:pStyle w:val="14"/>
        <w:tabs>
          <w:tab w:val="right" w:leader="dot" w:pos="8306"/>
          <w:tab w:val="clear" w:pos="8296"/>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TOC \o "1-1" \h \u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_Toc24405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第一章  磋商邀请</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_Toc24405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1</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p>
    <w:p w14:paraId="16312879">
      <w:pPr>
        <w:pStyle w:val="14"/>
        <w:tabs>
          <w:tab w:val="right" w:leader="dot" w:pos="8306"/>
          <w:tab w:val="clear" w:pos="8296"/>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_Toc14729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第二章  供应商须知</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_Toc14729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5</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p>
    <w:p w14:paraId="3E12A6B1">
      <w:pPr>
        <w:pStyle w:val="14"/>
        <w:tabs>
          <w:tab w:val="right" w:leader="dot" w:pos="8306"/>
          <w:tab w:val="clear" w:pos="8296"/>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_Toc25012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第三章  合同文本</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_Toc25012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22</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p>
    <w:p w14:paraId="41FC76F0">
      <w:pPr>
        <w:pStyle w:val="14"/>
        <w:tabs>
          <w:tab w:val="right" w:leader="dot" w:pos="8306"/>
          <w:tab w:val="clear" w:pos="8296"/>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_Toc22419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第四章  采购需求</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_Toc22419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28</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p>
    <w:p w14:paraId="2880A3C5">
      <w:pPr>
        <w:pStyle w:val="14"/>
        <w:tabs>
          <w:tab w:val="right" w:leader="dot" w:pos="8306"/>
          <w:tab w:val="clear" w:pos="8296"/>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_Toc12994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第五章  评审方法与评审标准</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_Toc12994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37</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p>
    <w:p w14:paraId="51486DCE">
      <w:pPr>
        <w:pStyle w:val="14"/>
        <w:tabs>
          <w:tab w:val="right" w:leader="dot" w:pos="8306"/>
          <w:tab w:val="clear" w:pos="8296"/>
        </w:tabs>
        <w:rPr>
          <w:rFonts w:hint="eastAsia" w:ascii="宋体" w:hAnsi="宋体" w:eastAsia="宋体" w:cs="宋体"/>
          <w:b w:val="0"/>
          <w:bCs w:val="0"/>
          <w:sz w:val="28"/>
          <w:szCs w:val="28"/>
          <w:highlight w:val="none"/>
        </w:rPr>
      </w:pP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HYPERLINK \l _Toc4866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第六章  响应文件格式</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rPr>
        <w:fldChar w:fldCharType="begin"/>
      </w:r>
      <w:r>
        <w:rPr>
          <w:rFonts w:hint="eastAsia" w:ascii="宋体" w:hAnsi="宋体" w:eastAsia="宋体" w:cs="宋体"/>
          <w:b w:val="0"/>
          <w:bCs w:val="0"/>
          <w:sz w:val="28"/>
          <w:szCs w:val="28"/>
          <w:highlight w:val="none"/>
        </w:rPr>
        <w:instrText xml:space="preserve"> PAGEREF _Toc4866 \h </w:instrText>
      </w:r>
      <w:r>
        <w:rPr>
          <w:rFonts w:hint="eastAsia" w:ascii="宋体" w:hAnsi="宋体" w:eastAsia="宋体" w:cs="宋体"/>
          <w:b w:val="0"/>
          <w:bCs w:val="0"/>
          <w:sz w:val="28"/>
          <w:szCs w:val="28"/>
          <w:highlight w:val="none"/>
        </w:rPr>
        <w:fldChar w:fldCharType="separate"/>
      </w:r>
      <w:r>
        <w:rPr>
          <w:rFonts w:hint="eastAsia" w:ascii="宋体" w:hAnsi="宋体" w:eastAsia="宋体" w:cs="宋体"/>
          <w:b w:val="0"/>
          <w:bCs w:val="0"/>
          <w:sz w:val="28"/>
          <w:szCs w:val="28"/>
          <w:highlight w:val="none"/>
        </w:rPr>
        <w:t>40</w:t>
      </w:r>
      <w:r>
        <w:rPr>
          <w:rFonts w:hint="eastAsia" w:ascii="宋体" w:hAnsi="宋体" w:eastAsia="宋体" w:cs="宋体"/>
          <w:b w:val="0"/>
          <w:bCs w:val="0"/>
          <w:sz w:val="28"/>
          <w:szCs w:val="28"/>
          <w:highlight w:val="none"/>
        </w:rPr>
        <w:fldChar w:fldCharType="end"/>
      </w:r>
      <w:r>
        <w:rPr>
          <w:rFonts w:hint="eastAsia" w:ascii="宋体" w:hAnsi="宋体" w:eastAsia="宋体" w:cs="宋体"/>
          <w:b w:val="0"/>
          <w:bCs w:val="0"/>
          <w:sz w:val="28"/>
          <w:szCs w:val="28"/>
          <w:highlight w:val="none"/>
        </w:rPr>
        <w:fldChar w:fldCharType="end"/>
      </w:r>
    </w:p>
    <w:p w14:paraId="4AFA2930">
      <w:pPr>
        <w:widowControl/>
        <w:wordWrap/>
        <w:topLinePunct w:val="0"/>
        <w:bidi w:val="0"/>
        <w:adjustRightInd w:val="0"/>
        <w:snapToGrid w:val="0"/>
        <w:spacing w:line="360" w:lineRule="auto"/>
        <w:ind w:firstLine="560" w:firstLineChars="200"/>
        <w:jc w:val="left"/>
        <w:textAlignment w:val="auto"/>
        <w:rPr>
          <w:rFonts w:hint="eastAsia" w:ascii="宋体" w:hAnsi="宋体" w:eastAsia="宋体" w:cs="宋体"/>
          <w:highlight w:val="none"/>
        </w:rPr>
      </w:pPr>
      <w:r>
        <w:rPr>
          <w:rFonts w:hint="eastAsia" w:ascii="宋体" w:hAnsi="宋体" w:eastAsia="宋体" w:cs="宋体"/>
          <w:b w:val="0"/>
          <w:bCs w:val="0"/>
          <w:sz w:val="28"/>
          <w:szCs w:val="28"/>
          <w:highlight w:val="none"/>
        </w:rPr>
        <w:fldChar w:fldCharType="end"/>
      </w:r>
      <w:r>
        <w:rPr>
          <w:rFonts w:hint="eastAsia" w:ascii="宋体" w:hAnsi="宋体" w:eastAsia="宋体" w:cs="宋体"/>
          <w:highlight w:val="none"/>
        </w:rPr>
        <w:br w:type="page"/>
      </w:r>
    </w:p>
    <w:p w14:paraId="3A36F765">
      <w:pPr>
        <w:pStyle w:val="2"/>
        <w:wordWrap/>
        <w:topLinePunct w:val="0"/>
        <w:bidi w:val="0"/>
        <w:adjustRightInd w:val="0"/>
        <w:snapToGrid w:val="0"/>
        <w:spacing w:before="156" w:beforeLines="50" w:after="156" w:afterLines="50" w:line="360" w:lineRule="auto"/>
        <w:ind w:firstLine="880" w:firstLineChars="200"/>
        <w:jc w:val="center"/>
        <w:textAlignment w:val="auto"/>
        <w:rPr>
          <w:rFonts w:hint="eastAsia" w:ascii="宋体" w:hAnsi="宋体" w:eastAsia="宋体" w:cs="宋体"/>
          <w:b w:val="0"/>
          <w:highlight w:val="none"/>
        </w:rPr>
        <w:sectPr>
          <w:footerReference r:id="rId3" w:type="default"/>
          <w:pgSz w:w="11906" w:h="16838"/>
          <w:pgMar w:top="1440" w:right="1800" w:bottom="1440" w:left="1800" w:header="851" w:footer="992" w:gutter="0"/>
          <w:cols w:space="425" w:num="1"/>
          <w:docGrid w:type="lines" w:linePitch="312" w:charSpace="0"/>
        </w:sectPr>
      </w:pPr>
    </w:p>
    <w:p w14:paraId="667A24B2">
      <w:pPr>
        <w:pStyle w:val="2"/>
        <w:wordWrap/>
        <w:topLinePunct w:val="0"/>
        <w:bidi w:val="0"/>
        <w:adjustRightInd w:val="0"/>
        <w:snapToGrid w:val="0"/>
        <w:spacing w:before="156" w:beforeLines="50" w:after="156" w:afterLines="50" w:line="360" w:lineRule="auto"/>
        <w:ind w:firstLine="883" w:firstLineChars="200"/>
        <w:jc w:val="center"/>
        <w:textAlignment w:val="auto"/>
        <w:rPr>
          <w:rFonts w:hint="eastAsia" w:ascii="宋体" w:hAnsi="宋体" w:eastAsia="宋体" w:cs="宋体"/>
          <w:b/>
          <w:bCs w:val="0"/>
          <w:highlight w:val="none"/>
        </w:rPr>
      </w:pPr>
      <w:bookmarkStart w:id="0" w:name="_Toc24405"/>
      <w:bookmarkStart w:id="1" w:name="_Toc161932691"/>
      <w:r>
        <w:rPr>
          <w:rFonts w:hint="eastAsia" w:ascii="宋体" w:hAnsi="宋体" w:eastAsia="宋体" w:cs="宋体"/>
          <w:b/>
          <w:bCs w:val="0"/>
          <w:highlight w:val="none"/>
        </w:rPr>
        <w:t>第一章  磋商邀请</w:t>
      </w:r>
      <w:bookmarkEnd w:id="0"/>
      <w:bookmarkEnd w:id="1"/>
    </w:p>
    <w:p w14:paraId="64BFEDE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受</w:t>
      </w:r>
      <w:r>
        <w:rPr>
          <w:rFonts w:hint="eastAsia" w:ascii="宋体" w:hAnsi="宋体" w:eastAsia="宋体" w:cs="宋体"/>
          <w:sz w:val="24"/>
          <w:szCs w:val="24"/>
          <w:highlight w:val="none"/>
          <w:u w:val="single"/>
        </w:rPr>
        <w:t>国家东中西区域合作示范区（连云港徐圩新区）经济发展局</w:t>
      </w:r>
      <w:r>
        <w:rPr>
          <w:rFonts w:hint="eastAsia" w:ascii="宋体" w:hAnsi="宋体" w:eastAsia="宋体" w:cs="宋体"/>
          <w:sz w:val="24"/>
          <w:szCs w:val="24"/>
          <w:highlight w:val="none"/>
        </w:rPr>
        <w:t>的委托，</w:t>
      </w:r>
      <w:r>
        <w:rPr>
          <w:rFonts w:hint="eastAsia" w:ascii="宋体" w:hAnsi="宋体" w:eastAsia="宋体" w:cs="宋体"/>
          <w:sz w:val="24"/>
          <w:szCs w:val="24"/>
          <w:highlight w:val="none"/>
          <w:u w:val="single"/>
        </w:rPr>
        <w:t>中阜势起科技（江苏）有限公司</w:t>
      </w:r>
      <w:r>
        <w:rPr>
          <w:rFonts w:hint="eastAsia" w:ascii="宋体" w:hAnsi="宋体" w:eastAsia="宋体" w:cs="宋体"/>
          <w:sz w:val="24"/>
          <w:szCs w:val="24"/>
          <w:highlight w:val="none"/>
        </w:rPr>
        <w:t>就</w:t>
      </w:r>
      <w:r>
        <w:rPr>
          <w:rFonts w:hint="eastAsia" w:ascii="宋体" w:hAnsi="宋体" w:eastAsia="宋体" w:cs="宋体"/>
          <w:sz w:val="24"/>
          <w:szCs w:val="24"/>
          <w:highlight w:val="none"/>
          <w:u w:val="single"/>
          <w:lang w:eastAsia="zh-CN"/>
        </w:rPr>
        <w:t>徐圩新区空气环境自动监测站运维服务</w:t>
      </w:r>
      <w:r>
        <w:rPr>
          <w:rFonts w:hint="eastAsia" w:ascii="宋体" w:hAnsi="宋体" w:eastAsia="宋体" w:cs="宋体"/>
          <w:sz w:val="24"/>
          <w:szCs w:val="24"/>
          <w:highlight w:val="none"/>
        </w:rPr>
        <w:t>项目（项目编号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JSZC-320700-SQYX-C2026-0003</w:t>
      </w:r>
      <w:r>
        <w:rPr>
          <w:rFonts w:hint="eastAsia" w:ascii="宋体" w:hAnsi="宋体" w:eastAsia="宋体" w:cs="宋体"/>
          <w:sz w:val="24"/>
          <w:szCs w:val="24"/>
          <w:highlight w:val="none"/>
        </w:rPr>
        <w:t>）进行竞争性磋商采购，欢迎符合条件的供应商参加磋商。</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93BD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7C4502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项目概况</w:t>
            </w:r>
          </w:p>
          <w:p w14:paraId="012AEB3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eastAsia="zh-CN"/>
              </w:rPr>
              <w:t>徐圩新区空气环境自动监测站运维服务</w:t>
            </w:r>
            <w:r>
              <w:rPr>
                <w:rFonts w:hint="eastAsia" w:ascii="宋体" w:hAnsi="宋体" w:eastAsia="宋体" w:cs="宋体"/>
                <w:sz w:val="24"/>
                <w:szCs w:val="24"/>
                <w:highlight w:val="none"/>
              </w:rPr>
              <w:t>采购项目的潜在供应商应在江苏政府采购网自行免费下载采购文件，并于</w:t>
            </w:r>
            <w:r>
              <w:rPr>
                <w:rFonts w:hint="eastAsia" w:ascii="宋体" w:hAnsi="宋体" w:eastAsia="宋体" w:cs="宋体"/>
                <w:i w:val="0"/>
                <w:iCs w:val="0"/>
                <w:sz w:val="24"/>
                <w:szCs w:val="24"/>
                <w:highlight w:val="none"/>
                <w:u w:val="single"/>
                <w:lang w:val="en-US" w:eastAsia="zh-CN"/>
              </w:rPr>
              <w:t>2026</w:t>
            </w:r>
            <w:r>
              <w:rPr>
                <w:rFonts w:hint="eastAsia" w:ascii="宋体" w:hAnsi="宋体" w:eastAsia="宋体" w:cs="宋体"/>
                <w:i w:val="0"/>
                <w:iCs w:val="0"/>
                <w:sz w:val="24"/>
                <w:szCs w:val="24"/>
                <w:highlight w:val="none"/>
                <w:u w:val="single"/>
              </w:rPr>
              <w:t>年</w:t>
            </w:r>
            <w:r>
              <w:rPr>
                <w:rFonts w:hint="eastAsia" w:ascii="宋体" w:hAnsi="宋体" w:eastAsia="宋体" w:cs="宋体"/>
                <w:i w:val="0"/>
                <w:iCs w:val="0"/>
                <w:sz w:val="24"/>
                <w:szCs w:val="24"/>
                <w:highlight w:val="none"/>
                <w:u w:val="single"/>
                <w:lang w:val="en-US" w:eastAsia="zh-CN"/>
              </w:rPr>
              <w:t>7</w:t>
            </w:r>
            <w:r>
              <w:rPr>
                <w:rFonts w:hint="eastAsia" w:ascii="宋体" w:hAnsi="宋体" w:eastAsia="宋体" w:cs="宋体"/>
                <w:i w:val="0"/>
                <w:iCs w:val="0"/>
                <w:sz w:val="24"/>
                <w:szCs w:val="24"/>
                <w:highlight w:val="none"/>
                <w:u w:val="single"/>
              </w:rPr>
              <w:t>月</w:t>
            </w:r>
            <w:r>
              <w:rPr>
                <w:rFonts w:hint="eastAsia" w:ascii="宋体" w:hAnsi="宋体" w:eastAsia="宋体" w:cs="宋体"/>
                <w:i w:val="0"/>
                <w:iCs w:val="0"/>
                <w:sz w:val="24"/>
                <w:szCs w:val="24"/>
                <w:highlight w:val="none"/>
                <w:u w:val="single"/>
                <w:lang w:val="en-US" w:eastAsia="zh-CN"/>
              </w:rPr>
              <w:t>24</w:t>
            </w:r>
            <w:r>
              <w:rPr>
                <w:rFonts w:hint="eastAsia" w:ascii="宋体" w:hAnsi="宋体" w:eastAsia="宋体" w:cs="宋体"/>
                <w:i w:val="0"/>
                <w:iCs w:val="0"/>
                <w:sz w:val="24"/>
                <w:szCs w:val="24"/>
                <w:highlight w:val="none"/>
                <w:u w:val="single"/>
              </w:rPr>
              <w:t>日</w:t>
            </w:r>
            <w:r>
              <w:rPr>
                <w:rFonts w:hint="eastAsia" w:ascii="宋体" w:hAnsi="宋体" w:eastAsia="宋体" w:cs="宋体"/>
                <w:i w:val="0"/>
                <w:iCs w:val="0"/>
                <w:sz w:val="24"/>
                <w:szCs w:val="24"/>
                <w:highlight w:val="none"/>
                <w:u w:val="single"/>
                <w:lang w:val="en-US" w:eastAsia="zh-CN"/>
              </w:rPr>
              <w:t>09</w:t>
            </w:r>
            <w:r>
              <w:rPr>
                <w:rFonts w:hint="eastAsia" w:ascii="宋体" w:hAnsi="宋体" w:eastAsia="宋体" w:cs="宋体"/>
                <w:i w:val="0"/>
                <w:iCs w:val="0"/>
                <w:sz w:val="24"/>
                <w:szCs w:val="24"/>
                <w:highlight w:val="none"/>
                <w:u w:val="single"/>
                <w:lang w:eastAsia="zh-CN"/>
              </w:rPr>
              <w:t>：</w:t>
            </w:r>
            <w:r>
              <w:rPr>
                <w:rFonts w:hint="eastAsia" w:ascii="宋体" w:hAnsi="宋体" w:eastAsia="宋体" w:cs="宋体"/>
                <w:i w:val="0"/>
                <w:iCs w:val="0"/>
                <w:sz w:val="24"/>
                <w:szCs w:val="24"/>
                <w:highlight w:val="none"/>
                <w:u w:val="single"/>
                <w:lang w:val="en-US" w:eastAsia="zh-CN"/>
              </w:rPr>
              <w:t>00</w:t>
            </w:r>
            <w:r>
              <w:rPr>
                <w:rFonts w:hint="eastAsia" w:ascii="宋体" w:hAnsi="宋体" w:eastAsia="宋体" w:cs="宋体"/>
                <w:i w:val="0"/>
                <w:iCs w:val="0"/>
                <w:sz w:val="24"/>
                <w:szCs w:val="24"/>
                <w:highlight w:val="none"/>
                <w:u w:val="single"/>
                <w:lang w:eastAsia="zh-CN"/>
              </w:rPr>
              <w:t>：</w:t>
            </w:r>
            <w:r>
              <w:rPr>
                <w:rFonts w:hint="eastAsia" w:ascii="宋体" w:hAnsi="宋体" w:eastAsia="宋体" w:cs="宋体"/>
                <w:i w:val="0"/>
                <w:iCs w:val="0"/>
                <w:sz w:val="24"/>
                <w:szCs w:val="24"/>
                <w:highlight w:val="none"/>
                <w:u w:val="single"/>
                <w:lang w:val="en-US" w:eastAsia="zh-CN"/>
              </w:rPr>
              <w:t>00</w:t>
            </w:r>
            <w:r>
              <w:rPr>
                <w:rFonts w:hint="eastAsia" w:ascii="宋体" w:hAnsi="宋体" w:eastAsia="宋体" w:cs="宋体"/>
                <w:sz w:val="24"/>
                <w:szCs w:val="24"/>
                <w:highlight w:val="none"/>
              </w:rPr>
              <w:t>（北京时间）前提交（上传）响应文件。</w:t>
            </w:r>
          </w:p>
        </w:tc>
      </w:tr>
    </w:tbl>
    <w:p w14:paraId="44218B40">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一、项目基本情况</w:t>
      </w:r>
    </w:p>
    <w:p w14:paraId="4BE0AFF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项目编号：JSZC-320700-SQYX-C2026-0003</w:t>
      </w:r>
      <w:r>
        <w:rPr>
          <w:rFonts w:hint="eastAsia" w:ascii="宋体" w:hAnsi="宋体" w:eastAsia="宋体" w:cs="宋体"/>
          <w:sz w:val="24"/>
          <w:szCs w:val="24"/>
          <w:highlight w:val="none"/>
          <w:lang w:val="en-US" w:eastAsia="zh-CN"/>
        </w:rPr>
        <w:t xml:space="preserve"> </w:t>
      </w:r>
    </w:p>
    <w:p w14:paraId="4ABC698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徐圩新区空气环境自动监测站运维服务</w:t>
      </w:r>
    </w:p>
    <w:p w14:paraId="3ECBBF2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预算金额：人民币</w:t>
      </w:r>
      <w:r>
        <w:rPr>
          <w:rFonts w:hint="eastAsia" w:ascii="宋体" w:hAnsi="宋体" w:eastAsia="宋体" w:cs="宋体"/>
          <w:sz w:val="24"/>
          <w:szCs w:val="24"/>
          <w:highlight w:val="none"/>
          <w:lang w:val="en-US" w:eastAsia="zh-CN"/>
        </w:rPr>
        <w:t>105</w:t>
      </w:r>
      <w:r>
        <w:rPr>
          <w:rFonts w:hint="eastAsia" w:ascii="宋体" w:hAnsi="宋体" w:eastAsia="宋体" w:cs="宋体"/>
          <w:sz w:val="24"/>
          <w:szCs w:val="24"/>
          <w:highlight w:val="none"/>
        </w:rPr>
        <w:t>万元，报价超出预算金额的按无效响应处理。</w:t>
      </w:r>
    </w:p>
    <w:p w14:paraId="5FDAAD8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采购方式：竞争性磋商</w:t>
      </w:r>
    </w:p>
    <w:p w14:paraId="06345C5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采购需求：负责7座环境空气自动监测标准站的日常运行维护工作，严格按照相关技术规范开展巡检、校准、质控与设备保养，确保各监测站点长期稳定、连续可靠运行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实时监控空气质量监测数据，及时处置异常情况与设备故障，保障监测数据准确有效、规范上传，为环境空气质量管理与决策提供坚实的数据支撑</w:t>
      </w:r>
      <w:r>
        <w:rPr>
          <w:rFonts w:hint="eastAsia" w:ascii="宋体" w:hAnsi="宋体" w:eastAsia="宋体" w:cs="宋体"/>
          <w:sz w:val="24"/>
          <w:szCs w:val="24"/>
          <w:highlight w:val="none"/>
          <w:lang w:eastAsia="zh-CN"/>
        </w:rPr>
        <w:t>。</w:t>
      </w:r>
      <w:r>
        <w:rPr>
          <w:rStyle w:val="32"/>
          <w:rFonts w:hint="eastAsia" w:ascii="宋体" w:hAnsi="宋体" w:eastAsia="宋体" w:cs="宋体"/>
          <w:b/>
          <w:bCs/>
          <w:sz w:val="24"/>
          <w:szCs w:val="28"/>
          <w:highlight w:val="none"/>
        </w:rPr>
        <w:t>具体详见采购文件第四</w:t>
      </w:r>
      <w:r>
        <w:rPr>
          <w:rStyle w:val="32"/>
          <w:rFonts w:hint="eastAsia" w:ascii="宋体" w:hAnsi="宋体" w:eastAsia="宋体" w:cs="宋体"/>
          <w:b/>
          <w:bCs/>
          <w:sz w:val="24"/>
          <w:szCs w:val="28"/>
          <w:highlight w:val="none"/>
          <w:lang w:val="en-US" w:eastAsia="zh-CN"/>
        </w:rPr>
        <w:t>章</w:t>
      </w:r>
      <w:r>
        <w:rPr>
          <w:rStyle w:val="32"/>
          <w:rFonts w:hint="eastAsia" w:ascii="宋体" w:hAnsi="宋体" w:eastAsia="宋体" w:cs="宋体"/>
          <w:b/>
          <w:bCs/>
          <w:sz w:val="24"/>
          <w:szCs w:val="28"/>
          <w:highlight w:val="none"/>
        </w:rPr>
        <w:t>“</w:t>
      </w:r>
      <w:r>
        <w:rPr>
          <w:rStyle w:val="32"/>
          <w:rFonts w:hint="eastAsia" w:ascii="宋体" w:hAnsi="宋体" w:eastAsia="宋体" w:cs="宋体"/>
          <w:b/>
          <w:bCs/>
          <w:sz w:val="24"/>
          <w:szCs w:val="28"/>
          <w:highlight w:val="none"/>
          <w:lang w:val="en-US" w:eastAsia="zh-CN"/>
        </w:rPr>
        <w:t>采购</w:t>
      </w:r>
      <w:r>
        <w:rPr>
          <w:rStyle w:val="32"/>
          <w:rFonts w:hint="eastAsia" w:ascii="宋体" w:hAnsi="宋体" w:eastAsia="宋体" w:cs="宋体"/>
          <w:b/>
          <w:bCs/>
          <w:sz w:val="24"/>
          <w:szCs w:val="28"/>
          <w:highlight w:val="none"/>
        </w:rPr>
        <w:t>需求”</w:t>
      </w:r>
      <w:r>
        <w:rPr>
          <w:rFonts w:hint="eastAsia" w:ascii="宋体" w:hAnsi="宋体" w:eastAsia="宋体" w:cs="宋体"/>
          <w:sz w:val="24"/>
          <w:highlight w:val="none"/>
        </w:rPr>
        <w:t>。</w:t>
      </w:r>
    </w:p>
    <w:p w14:paraId="14703B63">
      <w:pPr>
        <w:wordWrap/>
        <w:topLinePunct w:val="0"/>
        <w:bidi w:val="0"/>
        <w:adjustRightInd w:val="0"/>
        <w:snapToGrid w:val="0"/>
        <w:spacing w:line="360" w:lineRule="auto"/>
        <w:ind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对本项目资格要求、采购需求、评审方法与评审标准等部分的询问、质疑请与采购人联系，由采购人负责答复。</w:t>
      </w:r>
    </w:p>
    <w:p w14:paraId="1906EE4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合同履行期限：自合同签订起一年</w:t>
      </w:r>
      <w:r>
        <w:rPr>
          <w:rFonts w:hint="eastAsia" w:ascii="宋体" w:hAnsi="宋体" w:eastAsia="宋体" w:cs="宋体"/>
          <w:sz w:val="24"/>
          <w:szCs w:val="24"/>
          <w:highlight w:val="none"/>
          <w:lang w:eastAsia="zh-CN"/>
        </w:rPr>
        <w:t>。</w:t>
      </w:r>
    </w:p>
    <w:p w14:paraId="4461878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本项目（是/否）接受联合体投标：不接受联合体。</w:t>
      </w:r>
    </w:p>
    <w:p w14:paraId="1C906EFB">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二、申请人的资格要求</w:t>
      </w:r>
    </w:p>
    <w:p w14:paraId="3579356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（一）满足《中华人民共和国政府采购法》第二十二条规定，并提供下列材料：</w:t>
      </w:r>
    </w:p>
    <w:p w14:paraId="56A96DF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1.法人或者其他组织的营业执照等证明文件，自然人的身份证明；</w:t>
      </w:r>
    </w:p>
    <w:p w14:paraId="756E826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2.上一年度的财务状况报告；（成立不满一年无需提供）</w:t>
      </w:r>
      <w:r>
        <w:rPr>
          <w:rFonts w:hint="eastAsia" w:ascii="宋体" w:hAnsi="宋体" w:eastAsia="宋体" w:cs="宋体"/>
          <w:sz w:val="24"/>
          <w:szCs w:val="24"/>
          <w:highlight w:val="none"/>
          <w:lang w:eastAsia="zh-CN"/>
        </w:rPr>
        <w:t>；</w:t>
      </w:r>
    </w:p>
    <w:p w14:paraId="313D730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lang w:eastAsia="zh-CN"/>
        </w:rPr>
        <w:t>；</w:t>
      </w:r>
    </w:p>
    <w:p w14:paraId="3B7BD3B6">
      <w:pPr>
        <w:wordWrap/>
        <w:topLinePunct w:val="0"/>
        <w:bidi w:val="0"/>
        <w:adjustRightInd w:val="0"/>
        <w:snapToGrid w:val="0"/>
        <w:spacing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（根据连财购〔2023〕4号文件精神，2、3项可以提供《财务状况报告及税收、社会保障资金缴纳情况承诺函》，详见响应文件格式）</w:t>
      </w:r>
    </w:p>
    <w:p w14:paraId="62FE2F0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4.具备履行合同所必需的设备和专业技术能力的声明及证明材料；</w:t>
      </w:r>
    </w:p>
    <w:p w14:paraId="7577826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5.参加政府采购活动前3年内在经营活动中没有重大违法记录的书面声明；</w:t>
      </w:r>
    </w:p>
    <w:p w14:paraId="2CD3ED0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6.法律、行政法规规定的其他条件；</w:t>
      </w:r>
    </w:p>
    <w:p w14:paraId="01F10F9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p>
    <w:p w14:paraId="65AD2F0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（二）落实政府采购政策需满足的资格要求：根据财政部、工业和信息化部关于印发《政府采购促进中小企业发展管理办法》的通知</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财库(2020)46号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等相关文件要求，本项目专门面向中型企业、小型企业、微型企业、残疾人福利性单位、监狱企业进行采购。</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符合要求的供应商须提供《中小微企业声明函》或《残疾人福利性单位声明函》或属于监狱企业的证明文件，否则</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无效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。格式详见</w:t>
      </w:r>
      <w:r>
        <w:rPr>
          <w:rFonts w:hint="eastAsia" w:ascii="宋体" w:hAnsi="宋体" w:eastAsia="宋体" w:cs="宋体"/>
          <w:sz w:val="24"/>
          <w:szCs w:val="24"/>
          <w:highlight w:val="none"/>
          <w:lang w:val="en-US" w:eastAsia="zh-CN"/>
        </w:rPr>
        <w:t>磋商文件</w:t>
      </w:r>
      <w:r>
        <w:rPr>
          <w:rFonts w:hint="eastAsia" w:ascii="宋体" w:hAnsi="宋体" w:eastAsia="宋体" w:cs="宋体"/>
          <w:sz w:val="24"/>
          <w:szCs w:val="24"/>
          <w:highlight w:val="none"/>
        </w:rPr>
        <w:t>第六章响应文件格式。</w:t>
      </w:r>
    </w:p>
    <w:p w14:paraId="1747572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（三）本项目的特定资格要求：无。</w:t>
      </w:r>
    </w:p>
    <w:p w14:paraId="472B1CB1">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三、获取采购文件</w:t>
      </w:r>
    </w:p>
    <w:p w14:paraId="440CFD8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时间：202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日 至 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20</w:t>
      </w:r>
      <w:r>
        <w:rPr>
          <w:rFonts w:hint="eastAsia" w:ascii="宋体" w:hAnsi="宋体" w:eastAsia="宋体" w:cs="宋体"/>
          <w:sz w:val="24"/>
          <w:szCs w:val="24"/>
          <w:highlight w:val="none"/>
        </w:rPr>
        <w:t>日，每天上午0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00-12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00，12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00-23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59（北京时间，法定节假日除外）</w:t>
      </w:r>
    </w:p>
    <w:p w14:paraId="334BF63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地点：江苏政府采购网</w:t>
      </w:r>
    </w:p>
    <w:p w14:paraId="7C1A326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方式：供应商办理江苏省政府采购交易系统CA数字证书，登录“苏采云”政府采购交易系统，自行下载。</w:t>
      </w:r>
    </w:p>
    <w:p w14:paraId="01D3DCF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售价：0.00元</w:t>
      </w:r>
    </w:p>
    <w:p w14:paraId="4A4656BA">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四、提交响应文件截止时间、开启时间和地点</w:t>
      </w:r>
    </w:p>
    <w:p w14:paraId="77B0645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提交响应文件截止时间：202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24</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09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（北京时间）</w:t>
      </w:r>
    </w:p>
    <w:p w14:paraId="37BC5AB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开启时间：提交响应文件截止时间</w:t>
      </w:r>
    </w:p>
    <w:p w14:paraId="1F002E68">
      <w:pPr>
        <w:wordWrap/>
        <w:topLinePunct w:val="0"/>
        <w:bidi w:val="0"/>
        <w:adjustRightInd w:val="0"/>
        <w:snapToGrid w:val="0"/>
        <w:spacing w:line="360"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sz w:val="24"/>
          <w:szCs w:val="24"/>
          <w:highlight w:val="none"/>
        </w:rPr>
        <w:t>开启地点：“苏采云”政府采购交易系统网上开标大厅</w:t>
      </w:r>
    </w:p>
    <w:p w14:paraId="79B6723E">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五、公告期限</w:t>
      </w:r>
    </w:p>
    <w:p w14:paraId="1A1FAD2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自本公告发布之日起3个工作日。</w:t>
      </w:r>
    </w:p>
    <w:p w14:paraId="187703BF">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六、其他补充事宜</w:t>
      </w:r>
    </w:p>
    <w:p w14:paraId="0A34E0E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1.本次磋商采购不收取磋商保证金。</w:t>
      </w:r>
    </w:p>
    <w:p w14:paraId="55A0CCE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color w:val="auto"/>
          <w:sz w:val="24"/>
          <w:szCs w:val="24"/>
          <w:highlight w:val="none"/>
        </w:rPr>
        <w:t>本磋商文件中标注★为实质性要求和条件</w:t>
      </w:r>
      <w:r>
        <w:rPr>
          <w:rFonts w:hint="eastAsia" w:ascii="宋体" w:hAnsi="宋体" w:eastAsia="宋体" w:cs="宋体"/>
          <w:sz w:val="24"/>
          <w:szCs w:val="24"/>
          <w:highlight w:val="none"/>
        </w:rPr>
        <w:t>，由采购人根据实际情况设置，供应商须逐条明确作出满足实质性要求和条件的响应，否则将按无效响应处理。</w:t>
      </w:r>
    </w:p>
    <w:p w14:paraId="1A412D4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w:t>
      </w:r>
      <w:r>
        <w:rPr>
          <w:rFonts w:hint="eastAsia" w:ascii="宋体" w:hAnsi="宋体" w:eastAsia="宋体" w:cs="宋体"/>
          <w:kern w:val="0"/>
          <w:sz w:val="24"/>
          <w:szCs w:val="24"/>
          <w:highlight w:val="none"/>
        </w:rPr>
        <w:t>或者</w:t>
      </w:r>
      <w:r>
        <w:rPr>
          <w:rFonts w:hint="eastAsia" w:ascii="宋体" w:hAnsi="宋体" w:eastAsia="宋体" w:cs="宋体"/>
          <w:sz w:val="24"/>
          <w:szCs w:val="24"/>
          <w:highlight w:val="none"/>
        </w:rPr>
        <w:t>提交失误，由此造成的一切损失由供应商自行承担。</w:t>
      </w:r>
    </w:p>
    <w:p w14:paraId="5D1AB33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2D47211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http</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//www.ccgp-jiangsu.gov.cn/jiangsu/zlxz/ee/ee3a4bc5a3454aa2b0d9312230633ce9.html</w:t>
      </w:r>
    </w:p>
    <w:p w14:paraId="74E5E23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p>
    <w:p w14:paraId="432A3D6C">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七、对本次采购提出询问，请按以下方式联系</w:t>
      </w:r>
    </w:p>
    <w:p w14:paraId="1F33160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1.采购人信息</w:t>
      </w:r>
    </w:p>
    <w:p w14:paraId="305456F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    称：</w:t>
      </w:r>
      <w:r>
        <w:rPr>
          <w:rFonts w:hint="eastAsia" w:ascii="宋体" w:hAnsi="宋体" w:eastAsia="宋体" w:cs="宋体"/>
          <w:sz w:val="24"/>
          <w:highlight w:val="none"/>
        </w:rPr>
        <w:t>国家东中西区域合作示范区（连云港徐圩新区）经济发展局</w:t>
      </w:r>
    </w:p>
    <w:p w14:paraId="005136C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sz w:val="24"/>
          <w:highlight w:val="none"/>
        </w:rPr>
        <w:t>江苏省连云港市徐圩新区徐圩大道66号产业服务中心</w:t>
      </w:r>
    </w:p>
    <w:p w14:paraId="348EBDB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r>
        <w:rPr>
          <w:rFonts w:hint="eastAsia" w:ascii="宋体" w:hAnsi="宋体" w:eastAsia="宋体" w:cs="宋体"/>
          <w:sz w:val="24"/>
          <w:highlight w:val="none"/>
        </w:rPr>
        <w:t>唐工</w:t>
      </w:r>
    </w:p>
    <w:p w14:paraId="43FC5FE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highlight w:val="none"/>
        </w:rPr>
        <w:t>17702550096</w:t>
      </w:r>
    </w:p>
    <w:p w14:paraId="1F60DC6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2.采购代理机构信息</w:t>
      </w:r>
    </w:p>
    <w:p w14:paraId="37344A9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none"/>
        </w:rPr>
        <w:t>中阜势起科技（江苏）有限公司</w:t>
      </w:r>
    </w:p>
    <w:p w14:paraId="44B211E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none"/>
          <w:lang w:val="zh-CN" w:eastAsia="zh-CN"/>
        </w:rPr>
        <w:t>连云港市海州区科苑路壹品国际写字楼88-B号811-815号</w:t>
      </w:r>
    </w:p>
    <w:p w14:paraId="0FB4739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 系 人：</w:t>
      </w:r>
      <w:r>
        <w:rPr>
          <w:rFonts w:hint="eastAsia" w:ascii="宋体" w:hAnsi="宋体" w:eastAsia="宋体" w:cs="宋体"/>
          <w:sz w:val="24"/>
          <w:szCs w:val="24"/>
          <w:highlight w:val="none"/>
          <w:lang w:val="en-US" w:eastAsia="zh-CN"/>
        </w:rPr>
        <w:t>张工</w:t>
      </w:r>
    </w:p>
    <w:p w14:paraId="66B1162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lang w:val="en-US" w:eastAsia="zh-CN"/>
        </w:rPr>
        <w:t>0518-81889106</w:t>
      </w:r>
    </w:p>
    <w:p w14:paraId="26AA8D6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3.项目联系方式</w:t>
      </w:r>
    </w:p>
    <w:p w14:paraId="67AA5A2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w:t>
      </w:r>
      <w:r>
        <w:rPr>
          <w:rFonts w:hint="eastAsia" w:ascii="宋体" w:hAnsi="宋体" w:eastAsia="宋体" w:cs="宋体"/>
          <w:sz w:val="24"/>
          <w:highlight w:val="none"/>
        </w:rPr>
        <w:t>唐工</w:t>
      </w:r>
    </w:p>
    <w:p w14:paraId="613EDCB6">
      <w:pPr>
        <w:wordWrap/>
        <w:topLinePunct w:val="0"/>
        <w:bidi w:val="0"/>
        <w:adjustRightInd w:val="0"/>
        <w:snapToGrid w:val="0"/>
        <w:spacing w:line="360" w:lineRule="auto"/>
        <w:ind w:firstLine="480" w:firstLineChars="200"/>
        <w:jc w:val="left"/>
        <w:textAlignment w:val="auto"/>
        <w:rPr>
          <w:rFonts w:hint="eastAsia" w:ascii="宋体" w:hAnsi="宋体" w:eastAsia="宋体" w:cs="宋体"/>
          <w:bCs/>
          <w:kern w:val="44"/>
          <w:sz w:val="44"/>
          <w:szCs w:val="44"/>
          <w:highlight w:val="none"/>
        </w:rPr>
      </w:pPr>
      <w:r>
        <w:rPr>
          <w:rFonts w:hint="eastAsia" w:ascii="宋体" w:hAnsi="宋体" w:eastAsia="宋体" w:cs="宋体"/>
          <w:sz w:val="24"/>
          <w:szCs w:val="24"/>
          <w:highlight w:val="none"/>
        </w:rPr>
        <w:t>电      话：</w:t>
      </w:r>
      <w:r>
        <w:rPr>
          <w:rFonts w:hint="eastAsia" w:ascii="宋体" w:hAnsi="宋体" w:eastAsia="宋体" w:cs="宋体"/>
          <w:sz w:val="24"/>
          <w:highlight w:val="none"/>
        </w:rPr>
        <w:t>17702550096</w:t>
      </w:r>
    </w:p>
    <w:p w14:paraId="7CC5CF4D">
      <w:pPr>
        <w:widowControl/>
        <w:wordWrap/>
        <w:topLinePunct w:val="0"/>
        <w:bidi w:val="0"/>
        <w:adjustRightInd w:val="0"/>
        <w:snapToGrid w:val="0"/>
        <w:spacing w:line="360" w:lineRule="auto"/>
        <w:ind w:firstLine="422" w:firstLineChars="200"/>
        <w:jc w:val="left"/>
        <w:textAlignment w:val="auto"/>
        <w:rPr>
          <w:rFonts w:hint="eastAsia" w:ascii="宋体" w:hAnsi="宋体" w:eastAsia="宋体" w:cs="宋体"/>
          <w:bCs/>
          <w:kern w:val="44"/>
          <w:sz w:val="44"/>
          <w:szCs w:val="44"/>
          <w:highlight w:val="none"/>
        </w:rPr>
      </w:pPr>
      <w:bookmarkStart w:id="2" w:name="_Toc161932692"/>
      <w:r>
        <w:rPr>
          <w:rFonts w:hint="eastAsia" w:ascii="宋体" w:hAnsi="宋体" w:eastAsia="宋体" w:cs="宋体"/>
          <w:b/>
          <w:highlight w:val="none"/>
        </w:rPr>
        <w:br w:type="page"/>
      </w:r>
    </w:p>
    <w:p w14:paraId="59EECBAE">
      <w:pPr>
        <w:pStyle w:val="2"/>
        <w:wordWrap/>
        <w:topLinePunct w:val="0"/>
        <w:bidi w:val="0"/>
        <w:adjustRightInd w:val="0"/>
        <w:snapToGrid w:val="0"/>
        <w:spacing w:before="156" w:beforeLines="50" w:after="156" w:afterLines="50" w:line="360" w:lineRule="auto"/>
        <w:ind w:firstLine="883" w:firstLineChars="200"/>
        <w:jc w:val="center"/>
        <w:textAlignment w:val="auto"/>
        <w:rPr>
          <w:rFonts w:hint="eastAsia" w:ascii="宋体" w:hAnsi="宋体" w:eastAsia="宋体" w:cs="宋体"/>
          <w:b/>
          <w:bCs w:val="0"/>
          <w:highlight w:val="none"/>
        </w:rPr>
      </w:pPr>
      <w:bookmarkStart w:id="3" w:name="_Toc14729"/>
      <w:r>
        <w:rPr>
          <w:rFonts w:hint="eastAsia" w:ascii="宋体" w:hAnsi="宋体" w:eastAsia="宋体" w:cs="宋体"/>
          <w:b/>
          <w:bCs w:val="0"/>
          <w:highlight w:val="none"/>
        </w:rPr>
        <w:t>第二章  供应商须知</w:t>
      </w:r>
      <w:bookmarkEnd w:id="2"/>
      <w:bookmarkEnd w:id="3"/>
    </w:p>
    <w:p w14:paraId="68183B5C">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一、总则</w:t>
      </w:r>
    </w:p>
    <w:p w14:paraId="30865B0A">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采购方式</w:t>
      </w:r>
    </w:p>
    <w:p w14:paraId="78DD88D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 本次政府采购活动采取竞争性磋商（以下简称磋商）方式，本磋商文件仅适用于磋商公告中所述项目。</w:t>
      </w:r>
    </w:p>
    <w:p w14:paraId="445476F7">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合格的供应商</w:t>
      </w:r>
    </w:p>
    <w:p w14:paraId="3429EF4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满足磋商公告中申请人的资格要求的规定。</w:t>
      </w:r>
    </w:p>
    <w:p w14:paraId="1B19E25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3D211B6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 满足本磋商文件全部实质性要求和条件的规定。</w:t>
      </w:r>
    </w:p>
    <w:p w14:paraId="307347C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 符合上述条件的供应商应承担参与磋商采购及履约过</w:t>
      </w:r>
      <w:r>
        <w:rPr>
          <w:rFonts w:hint="eastAsia" w:ascii="宋体" w:hAnsi="宋体" w:eastAsia="宋体" w:cs="宋体"/>
          <w:sz w:val="24"/>
          <w:szCs w:val="24"/>
          <w:highlight w:val="none"/>
          <w:lang w:eastAsia="zh-CN"/>
        </w:rPr>
        <w:t>程中</w:t>
      </w:r>
      <w:r>
        <w:rPr>
          <w:rFonts w:hint="eastAsia" w:ascii="宋体" w:hAnsi="宋体" w:eastAsia="宋体" w:cs="宋体"/>
          <w:sz w:val="24"/>
          <w:szCs w:val="24"/>
          <w:highlight w:val="none"/>
        </w:rPr>
        <w:t>应承担的全部责任与义务。</w:t>
      </w:r>
    </w:p>
    <w:p w14:paraId="091A3F8E">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适用法律</w:t>
      </w:r>
    </w:p>
    <w:p w14:paraId="6710BD5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 本次磋商采购及由此产生的合同受中华人民共和国有关的法律法规制约和保护。</w:t>
      </w:r>
    </w:p>
    <w:p w14:paraId="09B1882D">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磋商费用</w:t>
      </w:r>
    </w:p>
    <w:p w14:paraId="04992AA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w:t>
      </w:r>
      <w:bookmarkStart w:id="4" w:name="OLE_LINK1"/>
      <w:r>
        <w:rPr>
          <w:rFonts w:hint="eastAsia" w:ascii="宋体" w:hAnsi="宋体" w:eastAsia="宋体" w:cs="宋体"/>
          <w:sz w:val="24"/>
          <w:szCs w:val="24"/>
          <w:highlight w:val="none"/>
        </w:rPr>
        <w:t>供应商</w:t>
      </w:r>
      <w:bookmarkEnd w:id="4"/>
      <w:r>
        <w:rPr>
          <w:rFonts w:hint="eastAsia" w:ascii="宋体" w:hAnsi="宋体" w:eastAsia="宋体" w:cs="宋体"/>
          <w:sz w:val="24"/>
          <w:szCs w:val="24"/>
          <w:highlight w:val="none"/>
        </w:rPr>
        <w:t>应自行承担所有与参与磋商采购活动有关的费用，无论磋商采购过程中的做法和结果如何，采购人和中阜势起科技（江苏）有限公司（以下</w:t>
      </w:r>
      <w:r>
        <w:rPr>
          <w:rFonts w:hint="eastAsia" w:ascii="宋体" w:hAnsi="宋体" w:eastAsia="宋体" w:cs="宋体"/>
          <w:sz w:val="24"/>
          <w:szCs w:val="24"/>
          <w:highlight w:val="none"/>
          <w:lang w:val="en-US" w:eastAsia="zh-CN"/>
        </w:rPr>
        <w:t>简称代理机构</w:t>
      </w:r>
      <w:r>
        <w:rPr>
          <w:rFonts w:hint="eastAsia" w:ascii="宋体" w:hAnsi="宋体" w:eastAsia="宋体" w:cs="宋体"/>
          <w:sz w:val="24"/>
          <w:szCs w:val="24"/>
          <w:highlight w:val="none"/>
        </w:rPr>
        <w:t>）在任何情况下均无义务和责任承担这些费用。</w:t>
      </w:r>
    </w:p>
    <w:p w14:paraId="6AA7765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 本次磋商采购，采购代理费按苏招协[2022]002号规定的收费标准</w:t>
      </w:r>
      <w:r>
        <w:rPr>
          <w:rFonts w:hint="eastAsia" w:ascii="宋体" w:hAnsi="宋体" w:eastAsia="宋体" w:cs="宋体"/>
          <w:sz w:val="24"/>
          <w:szCs w:val="24"/>
          <w:highlight w:val="none"/>
          <w:lang w:val="en-US" w:eastAsia="zh-CN"/>
        </w:rPr>
        <w:t>70</w:t>
      </w:r>
      <w:r>
        <w:rPr>
          <w:rFonts w:hint="eastAsia" w:ascii="宋体" w:hAnsi="宋体" w:eastAsia="宋体" w:cs="宋体"/>
          <w:sz w:val="24"/>
          <w:szCs w:val="24"/>
          <w:highlight w:val="none"/>
        </w:rPr>
        <w:t>%计取，由</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供应商支付，供应商在报价时应综合考虑以上相关费用，但不得单列。相关费用必须在</w:t>
      </w:r>
      <w:r>
        <w:rPr>
          <w:rFonts w:hint="eastAsia" w:ascii="宋体" w:hAnsi="宋体" w:eastAsia="宋体" w:cs="宋体"/>
          <w:sz w:val="24"/>
          <w:szCs w:val="24"/>
          <w:highlight w:val="none"/>
          <w:lang w:val="en-US" w:eastAsia="zh-CN"/>
        </w:rPr>
        <w:t>成交结果</w:t>
      </w:r>
      <w:r>
        <w:rPr>
          <w:rFonts w:hint="eastAsia" w:ascii="宋体" w:hAnsi="宋体" w:eastAsia="宋体" w:cs="宋体"/>
          <w:sz w:val="24"/>
          <w:szCs w:val="24"/>
          <w:highlight w:val="none"/>
        </w:rPr>
        <w:t>公示后</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通知书发出前由</w:t>
      </w:r>
      <w:r>
        <w:rPr>
          <w:rFonts w:hint="eastAsia" w:ascii="宋体" w:hAnsi="宋体" w:eastAsia="宋体" w:cs="宋体"/>
          <w:sz w:val="24"/>
          <w:szCs w:val="24"/>
          <w:highlight w:val="none"/>
          <w:lang w:val="en-US" w:eastAsia="zh-CN"/>
        </w:rPr>
        <w:t>成交供应商</w:t>
      </w:r>
      <w:r>
        <w:rPr>
          <w:rFonts w:hint="eastAsia" w:ascii="宋体" w:hAnsi="宋体" w:eastAsia="宋体" w:cs="宋体"/>
          <w:sz w:val="24"/>
          <w:szCs w:val="24"/>
          <w:highlight w:val="none"/>
        </w:rPr>
        <w:t>一次性付清。</w:t>
      </w:r>
    </w:p>
    <w:p w14:paraId="2A29C5EE">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5</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磋商文件的约束力</w:t>
      </w:r>
    </w:p>
    <w:p w14:paraId="2049148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 供应商一旦参与本项目采购活动，即被认为接受了本磋商文件的规定和约束。</w:t>
      </w:r>
    </w:p>
    <w:p w14:paraId="387AFDF6">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二、磋商文件</w:t>
      </w:r>
    </w:p>
    <w:p w14:paraId="52F83C15">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6</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磋商文件的构成</w:t>
      </w:r>
    </w:p>
    <w:p w14:paraId="41F265C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 磋商文件由以下部分构成：</w:t>
      </w:r>
    </w:p>
    <w:p w14:paraId="34DEF96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（1）磋商邀请</w:t>
      </w:r>
    </w:p>
    <w:p w14:paraId="4CBACC5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（2）供应商须知</w:t>
      </w:r>
    </w:p>
    <w:p w14:paraId="31AA369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（3）合同文本</w:t>
      </w:r>
    </w:p>
    <w:p w14:paraId="0B01D06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（4）采购需求</w:t>
      </w:r>
    </w:p>
    <w:p w14:paraId="13C69EA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（5）评审方法与评审标准</w:t>
      </w:r>
    </w:p>
    <w:p w14:paraId="64D1BB7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（6）响应文件格式</w:t>
      </w:r>
    </w:p>
    <w:p w14:paraId="7C33D6C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请仔细检查磋商文件是否齐全，如有缺漏请立即与</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联系解决。</w:t>
      </w:r>
    </w:p>
    <w:p w14:paraId="6FF393FB">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7</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磋商文件的澄清</w:t>
      </w:r>
    </w:p>
    <w:p w14:paraId="7CB5D0A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 任何要求对磋商文件进行澄清的供应商，应在提交响应文件截止时间五日前按磋商公告中的通讯地址，以书面形式通知采购人或者</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w:t>
      </w:r>
    </w:p>
    <w:p w14:paraId="58C8314C">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8</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磋商文件的修改</w:t>
      </w:r>
    </w:p>
    <w:p w14:paraId="7363EC2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8.1 在响应文件提交截止时间前，采购人和</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可以对磋商文件进行修改。</w:t>
      </w:r>
    </w:p>
    <w:p w14:paraId="1972B51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8.2 采购人和</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有权按照法定的要求推迟提交响应文件截止时间和开启时间。</w:t>
      </w:r>
    </w:p>
    <w:p w14:paraId="4B00FED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8.3 磋商文件的修改将在江苏政府采购网公布，补充文件将作为磋商文件的组成部分，并对供应商具有约束力。</w:t>
      </w:r>
    </w:p>
    <w:p w14:paraId="5F9383A5">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三、响应文件编制</w:t>
      </w:r>
    </w:p>
    <w:p w14:paraId="082AC0B7">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9</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响应文件编写注意事项</w:t>
      </w:r>
    </w:p>
    <w:p w14:paraId="206E4FC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p>
    <w:p w14:paraId="1B4BD8F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p>
    <w:p w14:paraId="080E1762">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10</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响应文件的语言及度量衡单位</w:t>
      </w:r>
    </w:p>
    <w:p w14:paraId="261F5E6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 除专用术语外，供应商提交的响应文件以及供应商与采购人和</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20E8F59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10.2 除技术性能另有规定外，响应文件所使用的度量衡单位，均须采用国家法定计量单位。</w:t>
      </w:r>
    </w:p>
    <w:p w14:paraId="30DD9366">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响应文件的构成</w:t>
      </w:r>
    </w:p>
    <w:p w14:paraId="34F9FD3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 供应商编写的响应文件应包括资格证明文件、符合性证明文件、分项报价表、技术要求响应及偏离表、商务要求响应及偏离表、其他证明文件、磋商响应函等部分。</w:t>
      </w:r>
    </w:p>
    <w:p w14:paraId="3AA968B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11.2 如响应文件制作工具中格式和内容与江苏政府采购网发布的磋商文件不一致，请以江苏政府采购网发布的磋商文件为准。</w:t>
      </w:r>
    </w:p>
    <w:p w14:paraId="3BC055C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11.3 特别提醒供应商，混乱的编排导致响应文件被误读或竞争性磋商小组（以下简称磋商小组）查找不到有效文件是供应商的风险。</w:t>
      </w:r>
    </w:p>
    <w:p w14:paraId="70320E9B">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证明供应商及响应标的符合磋商文件规定的文件</w:t>
      </w:r>
    </w:p>
    <w:p w14:paraId="1593993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 供应商应按照磋商文件要求提交证明文件，证明其及响应标的符合磋商文件规定。</w:t>
      </w:r>
    </w:p>
    <w:p w14:paraId="142E1A6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 磋商文件对证明文件无明确形式要求的，证明文件可以以文字资料、图纸和数据等形式提交。</w:t>
      </w:r>
    </w:p>
    <w:p w14:paraId="617B338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12.3 供应商委托代理时应当提交授权委托书，请按磋商文件第六章给定格式及要求填写并附法定代表人（单位负责人）与委托代理人身份证明。</w:t>
      </w:r>
    </w:p>
    <w:p w14:paraId="018EFBF0">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highlight w:val="none"/>
        </w:rPr>
      </w:pPr>
      <w:r>
        <w:rPr>
          <w:rFonts w:hint="eastAsia" w:ascii="宋体" w:hAnsi="宋体" w:eastAsia="宋体" w:cs="宋体"/>
          <w:sz w:val="28"/>
          <w:szCs w:val="28"/>
          <w:highlight w:val="none"/>
        </w:rPr>
        <w:t>13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分项报价表</w:t>
      </w:r>
    </w:p>
    <w:p w14:paraId="1DA10F1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 供应商应根据响应报价要求在分项报价表中列明各项单价、总价等，未全部列示的作无效响应处理。</w:t>
      </w:r>
    </w:p>
    <w:p w14:paraId="4FD7517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 响应文件中的单价和总价无特殊规定的采用人民币报价，以元为单位标注。磋商文件中另有规定的按规定执行。</w:t>
      </w:r>
    </w:p>
    <w:p w14:paraId="02D1F975">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14</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技术要求响应及偏离表、商务要求响应及偏离表</w:t>
      </w:r>
    </w:p>
    <w:p w14:paraId="2F14BCA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p>
    <w:p w14:paraId="4D08D70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14.2 供应商可在响应文件中提供认为需要的其他技术文件或说明。</w:t>
      </w:r>
    </w:p>
    <w:p w14:paraId="6C836B66">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15</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服务承诺、培训计划、人员安排及其他</w:t>
      </w:r>
    </w:p>
    <w:p w14:paraId="0445CC2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15.1 供应商应根据磋商文件要求提供有关售后服务的管理制度，售后服务机构的分布情况，售后服务人员的数量、素质、技术水平及售后服务的反应能力等。</w:t>
      </w:r>
    </w:p>
    <w:p w14:paraId="0380B81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15.2 供应商应根据磋商文件要求提供培训计划、人员安排等。</w:t>
      </w:r>
    </w:p>
    <w:p w14:paraId="621B2F3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15.3 供应商应根据磋商文件要求提供响应标的的主要组成部分、功能设计、实现思路及关键技术等。</w:t>
      </w:r>
    </w:p>
    <w:p w14:paraId="6B2304E5">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16</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磋商响应函</w:t>
      </w:r>
    </w:p>
    <w:p w14:paraId="0AAD6D0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16.1 供应商应按照磋商文件提供的格式完整、正确填写磋商响应函。</w:t>
      </w:r>
    </w:p>
    <w:p w14:paraId="11FD64AC">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17</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磋商有效期</w:t>
      </w:r>
    </w:p>
    <w:p w14:paraId="419C4BA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17.1 磋商有效期为磋商文件规定的开启之日后六十（60）天。磋商有效期比规定短的将被视为未实质性响应磋商文件而予以拒绝。</w:t>
      </w:r>
    </w:p>
    <w:p w14:paraId="5C1023B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17.2 在特殊情况下，</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于原磋商有效期满之前，可向供应商提出延长磋商有效期的要求。这种要求与答复均应采用书面形式。供应商可以拒绝</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的这一要求而放弃磋商响应，同意延长磋商有效期的供应商既不能要求也不允许修改其响应文件。受磋商有效期约束的所有权利与义务均延长至新的有效期。</w:t>
      </w:r>
    </w:p>
    <w:p w14:paraId="2143FF61">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四、响应文件提交</w:t>
      </w:r>
    </w:p>
    <w:p w14:paraId="0EDBD01C">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18</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电子响应文件的提交</w:t>
      </w:r>
    </w:p>
    <w:p w14:paraId="5E11FD8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18.1 供应商应当按照《操作手册》规定，在响应文件提交截止时间前制作并提交（上传）电子响应文件。</w:t>
      </w:r>
    </w:p>
    <w:p w14:paraId="3547F308">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19</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提交响应文件截止时间</w:t>
      </w:r>
    </w:p>
    <w:p w14:paraId="36A5DDE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19.1 供应商提交（上传）电子响应文件的时间不得迟于磋商公告中规定的截止时间。</w:t>
      </w:r>
    </w:p>
    <w:p w14:paraId="79E3387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供应商应充分考虑计算机硬件、软件及网络环境等风险因素，如因供应商自身原因造成电子响应文件提交（上传）不成功的按照本磋商文件第二章第29.1条规定作无效响应处理。</w:t>
      </w:r>
    </w:p>
    <w:p w14:paraId="6EAB9D9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19.2 采购人和</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可以按照规定，通过修改磋商文件酌情延长响应文件提交截止时间，在此情况下，供应商的所有权利和义务以及供应商受制的截止时间均应以延长后新的截止时间为准。</w:t>
      </w:r>
    </w:p>
    <w:p w14:paraId="6345AC31">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20</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响应文件的拒收</w:t>
      </w:r>
    </w:p>
    <w:p w14:paraId="701B25A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拒绝接收在磋商文件规定的截止时间后提交（上传）的任何响应文件。</w:t>
      </w:r>
    </w:p>
    <w:p w14:paraId="5E48FAEF">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响应文件的撤回和修改</w:t>
      </w:r>
    </w:p>
    <w:p w14:paraId="74BA1D0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21.1 供应商可在提交（上传）响应文件截止时间前，撤回其电子响应文件，具体操作方法见《操作手册》。供应商撤回电子响应文件的，则认为其不再参与本项目采购活动。</w:t>
      </w:r>
    </w:p>
    <w:p w14:paraId="38C3AA8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21.2 供应商可在提交（上传）响应文件截止时间前，对其电子响应文件进行修改，具体操作方法见《操作手册》。在提交（上传）响应文件截止时间之后，供应商不得对其电子响应文件做任何修改。</w:t>
      </w:r>
    </w:p>
    <w:p w14:paraId="2D06233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21.3 在提交（上传）响应文件截止时间至磋商文件规定的磋商有效期满之间的这段时间内，供应商不得撤回其电子响应文件。</w:t>
      </w:r>
    </w:p>
    <w:p w14:paraId="3DCFE477">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五、响应文件开启（解密）与评审</w:t>
      </w:r>
    </w:p>
    <w:p w14:paraId="0475F161">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响应文件开启（解密）</w:t>
      </w:r>
    </w:p>
    <w:p w14:paraId="5A10F59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 </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将在磋商公告中规定的时间和地点组织响应文件开启。供应商应当按时参加，并在“苏采云”系统规定的时间内对其电子响应文件进行解密。</w:t>
      </w:r>
    </w:p>
    <w:p w14:paraId="45F4B15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22.2 供应商在开启（解密）过程中涉及到的响应文件解密、开启结果确认等工作，应当按照《操作手册》规定执行。</w:t>
      </w:r>
    </w:p>
    <w:p w14:paraId="1CF1C64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 供应商未参加开启（解密）的，视同认可开启（解密）结果。</w:t>
      </w:r>
    </w:p>
    <w:p w14:paraId="5DB2440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 供应商在开启（解密）、澄清、磋商、最后报价、评审全过程中应保持通讯畅通，及时登录“苏采云”系统查阅、答复相关信息，并安排专人与</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及磋商小组联系。</w:t>
      </w:r>
    </w:p>
    <w:p w14:paraId="357D5850">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磋商小组</w:t>
      </w:r>
    </w:p>
    <w:p w14:paraId="5CF51BD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23.1 响应文件开启（解密）后，</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将组织磋商小组进行评审。</w:t>
      </w:r>
    </w:p>
    <w:p w14:paraId="1A2251B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23.2 磋商小组由采购人代表和有关技术、经济等方面的评审专家组成，且人员构成符合政府采购有关规定。</w:t>
      </w:r>
    </w:p>
    <w:p w14:paraId="78ACE66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23.3 磋商小组按照磋商文件规定的评审程序、评审方法和评审标准进行独立评审并确定成交候选人。</w:t>
      </w:r>
    </w:p>
    <w:p w14:paraId="4ACB4F56">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24</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评审过程的保密与公正</w:t>
      </w:r>
    </w:p>
    <w:p w14:paraId="194AAF3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24.1 凡是与审查、澄清、评价和比较有关的资料以及成交建议等，采购人、评审专家、</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均不得向供应商或与评审无关的其他人员透露。</w:t>
      </w:r>
    </w:p>
    <w:p w14:paraId="244DDF7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24.2 在评审过程中，供应商不得以任何行为影响评审过程，否则其响应文件将被作为无效响应文件。</w:t>
      </w:r>
    </w:p>
    <w:p w14:paraId="0602078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 </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和磋商小组不向未成交的供应商解释未成交原因，也不公布评审过程中的相关细节。</w:t>
      </w:r>
    </w:p>
    <w:p w14:paraId="43EF9AB8">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25</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响应文件的澄清</w:t>
      </w:r>
    </w:p>
    <w:p w14:paraId="4675280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25.1 评审期间，磋商小组对响应文件中含义不明确、同类问题表述不一致或者有明显文字和计算错误的内容，有权要求供应商作出必要的澄清、说明或者补正。</w:t>
      </w:r>
    </w:p>
    <w:p w14:paraId="6224248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0A09E0B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磋商小组并非对每个供应商都提出澄清、说明或者补正要求。</w:t>
      </w:r>
    </w:p>
    <w:p w14:paraId="3096DC9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4A37C3A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25.3 接到磋商小组澄清、说明或者补正要求的供应商如未按要求响应，其风险由供应商自行承担。</w:t>
      </w:r>
    </w:p>
    <w:p w14:paraId="1D00D8AF">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26</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对响应文件的审查</w:t>
      </w:r>
    </w:p>
    <w:p w14:paraId="2082F9C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26.1 响应文件审查分为资格审查和符合性审查。</w:t>
      </w:r>
    </w:p>
    <w:p w14:paraId="4CDEE41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（1）资格审查：磋商小组依据法律法规和磋商文件的规定，对响应文件中的资格证明文件进行审查，以确定供应商是否具备参加磋商采购的资格。</w:t>
      </w:r>
    </w:p>
    <w:p w14:paraId="0217CB6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磋商小组在进行资格审查的同时，将在信用中国网站（www.creditchina.gov.cn）、中国政府采购网（www.ccgp.gov.cn）查询供应商的信用记录，以确定供应商是否具备参加磋商资格，查询结果留存并归档。</w:t>
      </w:r>
    </w:p>
    <w:p w14:paraId="10380E6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接受联合体的项目，两个以上的自然人、法人或者其他组织组成一个联合体，以一个供应商的身份共同参与政府采购活动的，联合体成员中任何一方存在不良信用记录的，视同联合体存在不良信用记录。</w:t>
      </w:r>
    </w:p>
    <w:p w14:paraId="0389DA5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（2）符合性审查：磋商小组依据磋商文件的规定，从响应文件的有效性、完整性和对磋商文件的响应程度进行审查，以确定其是否对磋商文件的全部实质性要求作出响应。</w:t>
      </w:r>
    </w:p>
    <w:p w14:paraId="3D2F6D2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未通过资格审查或符合性审查的供应商，将通过“苏采云”</w:t>
      </w:r>
      <w:r>
        <w:rPr>
          <w:rFonts w:hint="eastAsia" w:ascii="宋体" w:hAnsi="宋体" w:eastAsia="宋体" w:cs="宋体"/>
          <w:sz w:val="24"/>
          <w:szCs w:val="24"/>
          <w:highlight w:val="none"/>
          <w:lang w:eastAsia="zh-CN"/>
        </w:rPr>
        <w:t>系统</w:t>
      </w:r>
      <w:r>
        <w:rPr>
          <w:rFonts w:hint="eastAsia" w:ascii="宋体" w:hAnsi="宋体" w:eastAsia="宋体" w:cs="宋体"/>
          <w:sz w:val="24"/>
          <w:szCs w:val="24"/>
          <w:highlight w:val="none"/>
        </w:rPr>
        <w:t>告知其未通过的原因，评审结束后，将不再告知。</w:t>
      </w:r>
    </w:p>
    <w:p w14:paraId="0D3FA48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26.2 在磋商之前，磋商小组将首先审查每份响应文件是否实质性响应了磋商文件的要求。实质性响应的文件应当是与磋商文件要求的全部条款、条件和规格相符，没有重大偏离或保留。</w:t>
      </w:r>
    </w:p>
    <w:p w14:paraId="2F3B947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所谓重大偏离或保留是指与磋商文件规定的实质性要求存在负偏离，或者在实质上与磋商文件不一致，而且限制了合同中买方和</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p>
    <w:p w14:paraId="438A85A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26.3</w:t>
      </w:r>
      <w:r>
        <w:rPr>
          <w:rFonts w:hint="eastAsia" w:ascii="宋体" w:hAnsi="宋体" w:eastAsia="宋体" w:cs="宋体"/>
          <w:sz w:val="24"/>
          <w:szCs w:val="24"/>
          <w:highlight w:val="none"/>
        </w:rPr>
        <w:t>政府采购异常低价审查：</w:t>
      </w:r>
    </w:p>
    <w:p w14:paraId="4BE7745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（一）政府采购评审中出现下列情形之一的，评审委员会应当启动异常低价投标（响应）审查程序：</w:t>
      </w:r>
    </w:p>
    <w:p w14:paraId="7E4D135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投标（响应）报价低于全部通过符合性审查供应商投标（响应）报价平均值50％的，即投标（响应）报价＜全部通过符合性审查供应商投标（响应）报价平均值×50％；</w:t>
      </w:r>
    </w:p>
    <w:p w14:paraId="33BA91B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投标（响应）报价低于通过符合性审查的次低报价供应商投标（响应）报价50％的，即投标（响应）报价＜通过符合性审查的次低报价供应商投标（响应）报价×50％；</w:t>
      </w:r>
    </w:p>
    <w:p w14:paraId="3B12F53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投标（响应）报价低于采购项目最高限价45％的，即投标（响应）报价＜采购项目最高限价×45％；</w:t>
      </w:r>
    </w:p>
    <w:p w14:paraId="7163EF9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4.</w:t>
      </w:r>
      <w:r>
        <w:rPr>
          <w:rFonts w:hint="eastAsia" w:ascii="宋体" w:hAnsi="宋体" w:eastAsia="宋体" w:cs="宋体"/>
          <w:sz w:val="24"/>
          <w:szCs w:val="24"/>
          <w:highlight w:val="none"/>
        </w:rPr>
        <w:t>评审委员会基于专业判断，认为供应商报价过低，有可能影响产品质量或者不能诚信履约的其他情形。</w:t>
      </w:r>
    </w:p>
    <w:p w14:paraId="70DB819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p>
    <w:p w14:paraId="17316E30">
      <w:pPr>
        <w:wordWrap/>
        <w:topLinePunct w:val="0"/>
        <w:bidi w:val="0"/>
        <w:adjustRightInd w:val="0"/>
        <w:snapToGrid w:val="0"/>
        <w:spacing w:line="360" w:lineRule="auto"/>
        <w:ind w:firstLine="480" w:firstLineChars="200"/>
        <w:jc w:val="left"/>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450F0C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26.</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 xml:space="preserve"> 如果响应文件实质上没有响应磋商文件的要求，磋商小组将予以拒绝，供应商不得通过修改或撤销不符合要求的偏离或保留而使其成为实质性响应。</w:t>
      </w:r>
    </w:p>
    <w:p w14:paraId="7E6407E3">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27</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磋商程序</w:t>
      </w:r>
    </w:p>
    <w:p w14:paraId="60C19E2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27.1 对于通过资格审查和符合性审查的供应商，磋商小组将集中与单一供应商分别进行磋商。</w:t>
      </w:r>
    </w:p>
    <w:p w14:paraId="22C0B6D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p>
    <w:p w14:paraId="1994430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已提交响应文件的供应商，在提交最后报价之前，可以根据磋商情况退出磋商采购，应在“苏采云”系统中提交“退出磋商函”，并加盖CA电子公章。</w:t>
      </w:r>
    </w:p>
    <w:p w14:paraId="7D3D806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p>
    <w:p w14:paraId="3230681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sz w:val="24"/>
          <w:szCs w:val="24"/>
          <w:highlight w:val="none"/>
          <w:lang w:eastAsia="zh-CN"/>
        </w:rPr>
        <w:t>，并</w:t>
      </w:r>
      <w:r>
        <w:rPr>
          <w:rFonts w:hint="eastAsia" w:ascii="宋体" w:hAnsi="宋体" w:eastAsia="宋体" w:cs="宋体"/>
          <w:sz w:val="24"/>
          <w:szCs w:val="24"/>
          <w:highlight w:val="none"/>
        </w:rPr>
        <w:t>在“苏采云”系统中向其发出“最后报价要求函”及最后报价格式表，要求其在规定的时间内提交最后报价。</w:t>
      </w:r>
    </w:p>
    <w:p w14:paraId="2A7B2CF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最后报价是供应商响应文件的有效组成部分。符合《</w:t>
      </w:r>
      <w:bookmarkStart w:id="5" w:name="OLE_LINK3"/>
      <w:r>
        <w:rPr>
          <w:rFonts w:hint="eastAsia" w:ascii="宋体" w:hAnsi="宋体" w:eastAsia="宋体" w:cs="宋体"/>
          <w:sz w:val="24"/>
          <w:szCs w:val="24"/>
          <w:highlight w:val="none"/>
        </w:rPr>
        <w:t>政府采购竞争性磋商采购方</w:t>
      </w:r>
      <w:r>
        <w:rPr>
          <w:rFonts w:hint="eastAsia" w:ascii="宋体" w:hAnsi="宋体" w:eastAsia="宋体" w:cs="宋体"/>
          <w:sz w:val="24"/>
          <w:szCs w:val="24"/>
          <w:highlight w:val="none"/>
          <w:lang w:eastAsia="zh-CN"/>
        </w:rPr>
        <w:t>式管</w:t>
      </w:r>
      <w:r>
        <w:rPr>
          <w:rFonts w:hint="eastAsia" w:ascii="宋体" w:hAnsi="宋体" w:eastAsia="宋体" w:cs="宋体"/>
          <w:sz w:val="24"/>
          <w:szCs w:val="24"/>
          <w:highlight w:val="none"/>
        </w:rPr>
        <w:t>理暂行办法</w:t>
      </w:r>
      <w:bookmarkEnd w:id="5"/>
      <w:r>
        <w:rPr>
          <w:rFonts w:hint="eastAsia" w:ascii="宋体" w:hAnsi="宋体" w:eastAsia="宋体" w:cs="宋体"/>
          <w:sz w:val="24"/>
          <w:szCs w:val="24"/>
          <w:highlight w:val="none"/>
        </w:rPr>
        <w:t>》第三条第四项及《财政部关于竞争性磋商采购方式管理暂行办法有关问题的补充通知》（财库〔2015〕124号）规定情形的，提交最后报价的供应商可以为2家。最后报价格式表须加盖CA电子公章，否则视为未实质性响应。</w:t>
      </w:r>
    </w:p>
    <w:p w14:paraId="55DEE68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供应商未在磋商小组规定的时间内在“苏采云”系统中提交最后报价的视为放弃磋商，其响应文件按无效响应处理。</w:t>
      </w:r>
    </w:p>
    <w:p w14:paraId="2B1F08A7">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28</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评审方法与评审标准</w:t>
      </w:r>
    </w:p>
    <w:p w14:paraId="0574415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28.1 评审方法。详见本磋商文件第五章。</w:t>
      </w:r>
    </w:p>
    <w:p w14:paraId="32CD0F8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28.2 评审标准。详见本磋商文件第五章。</w:t>
      </w:r>
    </w:p>
    <w:p w14:paraId="44389975">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29</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未实质性响应磋商文件的情形和采购活动终止</w:t>
      </w:r>
    </w:p>
    <w:p w14:paraId="676C2FC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29.1 未实质性响应磋商文件的情形：</w:t>
      </w:r>
    </w:p>
    <w:p w14:paraId="038A15D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（1）供应商未按照磋商文件要求提交（上传）电子响应文件的。</w:t>
      </w:r>
    </w:p>
    <w:p w14:paraId="0B58D89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（2）供应商在“苏采云”系统规定的时间内未成功解密电子响应文件的。</w:t>
      </w:r>
    </w:p>
    <w:p w14:paraId="1A8130B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（3）供应商不具备磋商文件中规定的资格要求的。</w:t>
      </w:r>
    </w:p>
    <w:p w14:paraId="429BF1C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110BC91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（5）不符合磋商文件规定的实质性要求和条件的。（本磋商文件中斜体且有下划线部分为实质性要求和条件）</w:t>
      </w:r>
    </w:p>
    <w:p w14:paraId="23A294C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79618C1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（7）供应商未通过符合性审查的。</w:t>
      </w:r>
    </w:p>
    <w:p w14:paraId="0938CC4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（8）供应商未按照要求对磋商或者最后报价作出响应的。</w:t>
      </w:r>
    </w:p>
    <w:p w14:paraId="3EE0520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（9）供应商提交两个（含两个）以上不同的最后报价的。</w:t>
      </w:r>
    </w:p>
    <w:p w14:paraId="1A94774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（10）供应商的最后报价超过了采购预算或者最高限价的。</w:t>
      </w:r>
    </w:p>
    <w:p w14:paraId="1AF87B2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p>
    <w:p w14:paraId="5757E78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（12）响应文件含有采购人不能接受的附加条件的。</w:t>
      </w:r>
    </w:p>
    <w:p w14:paraId="61B26D8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（13）响应文件未按照磋商文件要求加盖公章（CA电子公章）的。</w:t>
      </w:r>
    </w:p>
    <w:p w14:paraId="56DF884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（14）其他法律、法规及本磋商文件规定的属于未实质性响应磋商文件的情形。</w:t>
      </w:r>
    </w:p>
    <w:p w14:paraId="2566BBF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29.2 有下列情形之一的，视为供应商串通，响应无效：</w:t>
      </w:r>
    </w:p>
    <w:p w14:paraId="28E83EC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（1）不同供应商的响应文件由同一单位或者个人编制。</w:t>
      </w:r>
    </w:p>
    <w:p w14:paraId="1DB9946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（2）不同供应商委托同一单位或者个人办理磋商事宜。</w:t>
      </w:r>
    </w:p>
    <w:p w14:paraId="49F5A8C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（3）不同供应商的响应文件载明的项目管理成员或者联系人员为同一人。</w:t>
      </w:r>
    </w:p>
    <w:p w14:paraId="1E04257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（4）不同供应商的响应文件异常一致或者最后报价呈规律性差异。</w:t>
      </w:r>
    </w:p>
    <w:p w14:paraId="3AD3EA1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（5）不同供应商的响应文件相互混装。</w:t>
      </w:r>
    </w:p>
    <w:p w14:paraId="63FABE1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29.3 采购活动终止的情形：</w:t>
      </w:r>
    </w:p>
    <w:p w14:paraId="5E098C4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（1）因“苏采云”系统故障原因造成开启（解密）不成功的，或者至磋商文件规定的截止时间成功解密电子响应文件的供应商不足三家的。</w:t>
      </w:r>
    </w:p>
    <w:p w14:paraId="7074657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（2）磋商小组认定磋商文件存在歧义、重大缺陷导致评审工作无法进行，或者磋商文件内容违反国家有关强制性规定的。</w:t>
      </w:r>
    </w:p>
    <w:p w14:paraId="7C33CD4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（3）除本磋商文件第二章第27.2条第三款规定的情形外，符合专业条件的供应商或者对磋商文件作实质响应的供应商不足三家的。</w:t>
      </w:r>
    </w:p>
    <w:p w14:paraId="7A5AF85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（4）出现影响采购公正的违法、违规行为的。</w:t>
      </w:r>
    </w:p>
    <w:p w14:paraId="03FB548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（5）因重大变故，采购任务取消的。</w:t>
      </w:r>
    </w:p>
    <w:p w14:paraId="4E67C5F1">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六、成交</w:t>
      </w:r>
    </w:p>
    <w:p w14:paraId="1CB58839">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30</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确定成交单位</w:t>
      </w:r>
    </w:p>
    <w:p w14:paraId="15E7F8B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p>
    <w:p w14:paraId="5868CF1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F91358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30.2 采购人从评审报告提出的成交候选供应商中，按照排序由高到低的原则确定成交供应商。采购人确定成交供应商后，</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将在江苏政府采购网发布成交结果公告，公告期限为1个工作日。</w:t>
      </w:r>
    </w:p>
    <w:p w14:paraId="76FD486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30.3 若有充分证据证明，成交供应商存在下列情形之一的，一经查实，将被取消成交资格：</w:t>
      </w:r>
    </w:p>
    <w:p w14:paraId="21262EB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（1）提供虚假材料谋取中标、成交的。</w:t>
      </w:r>
    </w:p>
    <w:p w14:paraId="164411C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（2）采取不正当手段诋毁、排挤其他供应商的。</w:t>
      </w:r>
    </w:p>
    <w:p w14:paraId="4566839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（3）与采购人、其他供应商或者</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恶意串通的。</w:t>
      </w:r>
    </w:p>
    <w:p w14:paraId="0EFA322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（4）向采购人、</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行贿或者提供其他不正当利益的。</w:t>
      </w:r>
    </w:p>
    <w:p w14:paraId="269B5AB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（5）属于本磋商文件规定的无效情形，但在评审过程中又未被磋商小组发现的。</w:t>
      </w:r>
    </w:p>
    <w:p w14:paraId="1867629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（6）成交后无正当理由拒不与采购人签订政府采购合同或者未按照磋商文件确定的事项签订政府采购合同的。</w:t>
      </w:r>
    </w:p>
    <w:p w14:paraId="47182E5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（7）将政府采购合同转包的。</w:t>
      </w:r>
    </w:p>
    <w:p w14:paraId="5D4D4388">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成交通知书</w:t>
      </w:r>
    </w:p>
    <w:p w14:paraId="6978EC3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31.1 成交结果确定后，</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p>
    <w:p w14:paraId="2EB98F2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31.2 成交通知书将作为政府采购合同的一个组成部分。对采购人和成交供应商均具有法律效力。成交通知书发出后，采购人改变成交结果的，或者成交供应商放弃成交项目的，应当依法承担法律责任。</w:t>
      </w:r>
    </w:p>
    <w:p w14:paraId="3FAEDC3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31.3 成交供应商应在成交后七个工作日内，向</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提供</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份与电子响应文件一致的纸质打印胶装响应文件，封面、骑缝需加盖公章。</w:t>
      </w:r>
    </w:p>
    <w:p w14:paraId="0458E3BE">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七、授予合同</w:t>
      </w:r>
    </w:p>
    <w:p w14:paraId="565E7B8B">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签订合同</w:t>
      </w:r>
    </w:p>
    <w:p w14:paraId="76F199F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32.1 成交供应商应当在成交通知书发出之日起三十日内，按照磋商文件和成交供应商响应文件的规定，与采购人签订政府采购合同。</w:t>
      </w:r>
    </w:p>
    <w:p w14:paraId="1D9BB0B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32.2 磋商文件、成交供应商的响应文件及磋商采购过程中有关澄清、承诺、磋商响应等文件均应作为合同附件。</w:t>
      </w:r>
    </w:p>
    <w:p w14:paraId="6E90710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32.3 签订合同后，成交供应商不得将合同标的转包。未经采购人同意，成交供应商也不得采用分包的形式履行合同，否则采购人有权终止合同。转包或分包造成采购人损失的，成交供应商应承担相应赔偿责任。</w:t>
      </w:r>
    </w:p>
    <w:p w14:paraId="502D87E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32.4采购人应当在合同签订后2</w:t>
      </w:r>
      <w:r>
        <w:rPr>
          <w:rFonts w:hint="eastAsia" w:ascii="宋体" w:hAnsi="宋体" w:eastAsia="宋体" w:cs="宋体"/>
          <w:sz w:val="24"/>
          <w:szCs w:val="24"/>
          <w:highlight w:val="none"/>
          <w:lang w:val="en-US" w:eastAsia="zh-CN"/>
        </w:rPr>
        <w:t>个工作</w:t>
      </w:r>
      <w:r>
        <w:rPr>
          <w:rFonts w:hint="eastAsia" w:ascii="宋体" w:hAnsi="宋体" w:eastAsia="宋体" w:cs="宋体"/>
          <w:sz w:val="24"/>
          <w:szCs w:val="24"/>
          <w:highlight w:val="none"/>
        </w:rPr>
        <w:t>日内上传合同至苏采云公示。</w:t>
      </w:r>
    </w:p>
    <w:p w14:paraId="0C4ACD5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32.5履约保证金</w:t>
      </w:r>
    </w:p>
    <w:p w14:paraId="707E947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p>
    <w:p w14:paraId="523107E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32.5.2 成交供应商违约的，采购人将按照合同约定扣除其全部或部分履约保证金。如成交供应商违约给采购人造成的损失超过履约保证金的，应当依法赔偿超过部分的损失。</w:t>
      </w:r>
    </w:p>
    <w:p w14:paraId="4CB0528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32.5.3 履约保证金自合同生效之日起至合同约定的成交供应商主要义务履行完毕止，采购人应当按合同约定及时退还履约保证金。</w:t>
      </w:r>
    </w:p>
    <w:p w14:paraId="4B17D70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32.5.4 逾期退还履约保证金的采购人承担违约责任，按照中国人民银行同期贷款基准利率向成交供应商支付超期资金占用费。</w:t>
      </w:r>
    </w:p>
    <w:p w14:paraId="3919D7B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32.5.5 本项目履约保证金要求详见</w:t>
      </w:r>
      <w:r>
        <w:rPr>
          <w:rFonts w:hint="eastAsia" w:ascii="宋体" w:hAnsi="宋体" w:eastAsia="宋体" w:cs="宋体"/>
          <w:sz w:val="24"/>
          <w:szCs w:val="24"/>
          <w:highlight w:val="none"/>
          <w:lang w:eastAsia="zh-CN"/>
        </w:rPr>
        <w:t>磋商文件</w:t>
      </w:r>
      <w:r>
        <w:rPr>
          <w:rFonts w:hint="eastAsia" w:ascii="宋体" w:hAnsi="宋体" w:eastAsia="宋体" w:cs="宋体"/>
          <w:sz w:val="24"/>
          <w:szCs w:val="24"/>
          <w:highlight w:val="none"/>
        </w:rPr>
        <w:t>第四章 采购需求。</w:t>
      </w:r>
    </w:p>
    <w:p w14:paraId="53C8178E">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合同标的的追加</w:t>
      </w:r>
    </w:p>
    <w:p w14:paraId="23189C0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4596977B">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34</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政府采购履约资金扶持政策</w:t>
      </w:r>
    </w:p>
    <w:p w14:paraId="3FAF0E0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34.1 成交供应商可凭政府采购合同办理融资贷款，详情请见江苏政府采购网“政采贷”专栏。</w:t>
      </w:r>
    </w:p>
    <w:p w14:paraId="1FE282E4">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八、询问与质疑</w:t>
      </w:r>
    </w:p>
    <w:p w14:paraId="7DF1D6D5">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35</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询问</w:t>
      </w:r>
    </w:p>
    <w:p w14:paraId="00B5FD4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35.1 供应商对政府采购活动事项有疑问的，可以提出询问，采购人或者</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应当在3个工作日内对供应商依法提出的询问作出答复，但答复的内容不得涉及商业秘密。供应商提出的询问超出采购人对</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委托授权范围的，</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应当告知其向采购人提出。</w:t>
      </w:r>
    </w:p>
    <w:p w14:paraId="7BF3B780">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36</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质疑提出</w:t>
      </w:r>
    </w:p>
    <w:p w14:paraId="2365092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36.1 提出质疑的供应商应当是参与所质疑项目采购活动的供应商。</w:t>
      </w:r>
    </w:p>
    <w:p w14:paraId="7CCC2D8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36.2 供应商认为采购文件、采购过程、采购结果使自己的权益受到损害的，可以在知道或者应知其权益受到损害之日（获取采购文件之日、成交结果公告发布之日）起七个工作日内以书面形式向采购人、</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提出质疑。</w:t>
      </w:r>
    </w:p>
    <w:p w14:paraId="33A8082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将只对供应商第一次质疑作出答复。</w:t>
      </w:r>
    </w:p>
    <w:p w14:paraId="5FE7246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未按照采购公告要求获取采购文件的供应商，视为未参与该项目采购活动，不具备对该采购文件提出质疑的法定权利。</w:t>
      </w:r>
    </w:p>
    <w:p w14:paraId="37DF80E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。采购人、</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不具有法定调查、认定权限。</w:t>
      </w:r>
    </w:p>
    <w:p w14:paraId="5BFAA54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36.4 质疑函的接收方式为供应商书面原件提交。联系部门、联系电话和通讯地址详见磋商文件第一章。质疑实行实名制，不得进行虚假、恶意质疑。</w:t>
      </w:r>
    </w:p>
    <w:p w14:paraId="2E084AE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36.5 质疑函应当使用范本，详见磋商文件第六章。供应商提出质疑应当提交质疑函和必要的证明材料，应当包括下列内容：</w:t>
      </w:r>
    </w:p>
    <w:p w14:paraId="2D6704A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（1）供应商的姓名或者名称、地址、邮编、联系人及联系电话；</w:t>
      </w:r>
    </w:p>
    <w:p w14:paraId="6896496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（2）质疑项目的名称、编号；</w:t>
      </w:r>
    </w:p>
    <w:p w14:paraId="66514D7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（3）具体、明确的质疑事项和与质疑事项相关的请求；</w:t>
      </w:r>
    </w:p>
    <w:p w14:paraId="228032C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（4）事实依据；</w:t>
      </w:r>
    </w:p>
    <w:p w14:paraId="5D9F633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（5）必要的法律依据；</w:t>
      </w:r>
    </w:p>
    <w:p w14:paraId="3176B58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（6）提出质疑的日期；</w:t>
      </w:r>
    </w:p>
    <w:p w14:paraId="3086191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（7）必要的证明材料；</w:t>
      </w:r>
    </w:p>
    <w:p w14:paraId="49D3B82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（8）营业执照复印件及授权委托书原件、法定代表人（单位负责人）身份证复印件、委托代理人身份证复印件。</w:t>
      </w:r>
    </w:p>
    <w:p w14:paraId="789416A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供应商为自然人的，应当由本人签字；供应商为法人或者其他组织的，应当由法定代表人、主要负责人，或者其委托代理人签字或者盖章，并加盖单位公章。</w:t>
      </w:r>
    </w:p>
    <w:p w14:paraId="5A1A3109">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8"/>
          <w:szCs w:val="28"/>
          <w:highlight w:val="none"/>
        </w:rPr>
        <w:t>37</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质疑函的受理和答复</w:t>
      </w:r>
    </w:p>
    <w:p w14:paraId="16F00D9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不负责搜集必要的证明材料等工作。</w:t>
      </w:r>
    </w:p>
    <w:p w14:paraId="41ECFE5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37.2 对符合法定要求的质疑，采购人、</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1A4E0F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37.3 对不符合质疑要求的，采购人、</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有权要求其补充必要的证明材料，质疑供应商未在法定时间内补充必要的证明材料的，视同放弃质疑。</w:t>
      </w:r>
    </w:p>
    <w:p w14:paraId="51226D3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37.4 以下情形的质疑依法不予受理：</w:t>
      </w:r>
    </w:p>
    <w:p w14:paraId="37D70DD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（1）内容不符合《政府采购质疑和投诉办法》第十二条规定的质疑。</w:t>
      </w:r>
    </w:p>
    <w:p w14:paraId="09881BD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（2）超出政府采购法定期限的质疑。</w:t>
      </w:r>
    </w:p>
    <w:p w14:paraId="15B5C9D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（3）以传真、电子邮件等方式提交的非原件形式的质疑。</w:t>
      </w:r>
    </w:p>
    <w:p w14:paraId="418E09C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（4）未参与采购活动或在采购活动中自身权益未受到损害的供应商提出的质疑。</w:t>
      </w:r>
    </w:p>
    <w:p w14:paraId="1D3E4AF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（5）供应商组成联合体，联合体中任何一方或多方未按要求签字（盖章）、加盖公章的质疑。</w:t>
      </w:r>
    </w:p>
    <w:p w14:paraId="456CCD1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37.5 采购人、</w:t>
      </w:r>
      <w:r>
        <w:rPr>
          <w:rFonts w:hint="eastAsia" w:ascii="宋体" w:hAnsi="宋体" w:eastAsia="宋体" w:cs="宋体"/>
          <w:sz w:val="24"/>
          <w:szCs w:val="24"/>
          <w:highlight w:val="none"/>
          <w:lang w:eastAsia="zh-CN"/>
        </w:rPr>
        <w:t>代理机构</w:t>
      </w:r>
      <w:r>
        <w:rPr>
          <w:rFonts w:hint="eastAsia" w:ascii="宋体" w:hAnsi="宋体" w:eastAsia="宋体" w:cs="宋体"/>
          <w:sz w:val="24"/>
          <w:szCs w:val="24"/>
          <w:highlight w:val="none"/>
        </w:rPr>
        <w:t>依法受理的质疑，将按照政府采购有关规定，在法定期限内作出答复。</w:t>
      </w:r>
    </w:p>
    <w:p w14:paraId="0D95E3F4">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38</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质疑处理</w:t>
      </w:r>
    </w:p>
    <w:p w14:paraId="6929B0E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38.1 质疑供应商未按照法定程序进行质疑投诉的，视为一般失信行为。</w:t>
      </w:r>
    </w:p>
    <w:p w14:paraId="471A561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38.2 质疑供应商不配合或者采取不正当手段干扰政府采购质疑、投诉处理工作的，视为一般失信行为。</w:t>
      </w:r>
    </w:p>
    <w:p w14:paraId="26124B0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38.3 质疑供应商投诉受理期间，就同一事项多头举报，干扰财政部门投诉处理的，视为一般失信行为。</w:t>
      </w:r>
    </w:p>
    <w:p w14:paraId="036333D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38.4 质疑供应商在全国范围12个月内三次以上质疑查无实据的，视为一般失信行为。</w:t>
      </w:r>
    </w:p>
    <w:p w14:paraId="2B09B1C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38.5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4A2D22C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38.6 质疑供应商在全国范围12个月内三次以上投诉查无实据的，视为严重失信行为。</w:t>
      </w:r>
    </w:p>
    <w:p w14:paraId="035A368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38.7 未尽事宜，依照有关法律、法规执行。</w:t>
      </w:r>
    </w:p>
    <w:p w14:paraId="2FA7CC59">
      <w:pPr>
        <w:pStyle w:val="3"/>
        <w:wordWrap/>
        <w:topLinePunct w:val="0"/>
        <w:bidi w:val="0"/>
        <w:adjustRightInd w:val="0"/>
        <w:snapToGrid w:val="0"/>
        <w:spacing w:before="0" w:after="0" w:line="360" w:lineRule="auto"/>
        <w:ind w:firstLine="643" w:firstLineChars="200"/>
        <w:textAlignment w:val="auto"/>
        <w:rPr>
          <w:rFonts w:hint="eastAsia" w:ascii="宋体" w:hAnsi="宋体" w:eastAsia="宋体" w:cs="宋体"/>
          <w:b/>
          <w:bCs w:val="0"/>
          <w:highlight w:val="none"/>
        </w:rPr>
      </w:pPr>
      <w:r>
        <w:rPr>
          <w:rFonts w:hint="eastAsia" w:ascii="宋体" w:hAnsi="宋体" w:eastAsia="宋体" w:cs="宋体"/>
          <w:b/>
          <w:bCs w:val="0"/>
          <w:highlight w:val="none"/>
        </w:rPr>
        <w:t>九、政府采购政策功能</w:t>
      </w:r>
    </w:p>
    <w:p w14:paraId="12B93677">
      <w:pPr>
        <w:pStyle w:val="4"/>
        <w:wordWrap/>
        <w:topLinePunct w:val="0"/>
        <w:bidi w:val="0"/>
        <w:adjustRightInd w:val="0"/>
        <w:snapToGrid w:val="0"/>
        <w:spacing w:before="0" w:after="0" w:line="360" w:lineRule="auto"/>
        <w:ind w:firstLine="562" w:firstLineChars="20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39</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促进中小企业发展</w:t>
      </w:r>
    </w:p>
    <w:p w14:paraId="0797152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39.1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2EA565A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39.2 参加本项目政府采购活动的供应商应当提供的材料： </w:t>
      </w:r>
    </w:p>
    <w:p w14:paraId="04EC46A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（1）供应商为中型企业、小型企业、微型企业的，提供《中小企业声明函》（第六章 响应文件格式）。</w:t>
      </w:r>
    </w:p>
    <w:p w14:paraId="1053F2F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（2）符合《关于促进残疾人就业政府采购政策的通知》（财库〔2017〕141号）规定的条件并提供《残疾人福利性单位声明函》（第六章 响应文件格式）的残疾人福利性单位视同小型、微型企业。</w:t>
      </w:r>
    </w:p>
    <w:p w14:paraId="45F0D20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符合《关于政府采购支持监狱企业发展有关问题的通知》（财库〔2014〕68号）规定的监狱企业并提供省级以上监狱管理局、戒毒管理局（含新疆生产建设兵团）出具的属于监狱企业证明文件的，视同小型、微型企业。</w:t>
      </w:r>
    </w:p>
    <w:p w14:paraId="65EBA30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39.3 享受扶持政策获得政府采购合同的，小微型企业不得将合同分包给大中型企业，中型企业不得将合同分包给大型企业。</w:t>
      </w:r>
    </w:p>
    <w:p w14:paraId="0DB50089">
      <w:pPr>
        <w:pStyle w:val="4"/>
        <w:adjustRightInd w:val="0"/>
        <w:snapToGrid w:val="0"/>
        <w:spacing w:before="0" w:after="0" w:line="360" w:lineRule="auto"/>
        <w:ind w:firstLine="562"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40.采购本国产品的支持政策</w:t>
      </w:r>
    </w:p>
    <w:p w14:paraId="4581F185">
      <w:pPr>
        <w:keepNext/>
        <w:keepLines/>
        <w:pageBreakBefore w:val="0"/>
        <w:widowControl w:val="0"/>
        <w:kinsoku/>
        <w:wordWrap/>
        <w:overflowPunct/>
        <w:topLinePunct w:val="0"/>
        <w:autoSpaceDE/>
        <w:autoSpaceDN/>
        <w:bidi w:val="0"/>
        <w:adjustRightInd w:val="0"/>
        <w:snapToGrid w:val="0"/>
        <w:spacing w:before="0" w:after="0" w:line="360" w:lineRule="auto"/>
        <w:ind w:firstLine="480" w:firstLineChars="200"/>
        <w:jc w:val="left"/>
        <w:textAlignment w:val="auto"/>
        <w:outlineLvl w:val="9"/>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根据《国务院办公厅关于在政府采购中实施本国产品标准及相关政策的通知》（国办发〔2025〕34号），本项目不涉及货物，不执行本国产品价格评审优惠。</w:t>
      </w:r>
    </w:p>
    <w:p w14:paraId="3DDBEBCF">
      <w:pPr>
        <w:pStyle w:val="4"/>
        <w:adjustRightInd w:val="0"/>
        <w:snapToGrid w:val="0"/>
        <w:spacing w:before="0" w:after="0" w:line="360" w:lineRule="auto"/>
        <w:ind w:firstLine="562"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41.</w:t>
      </w:r>
      <w:r>
        <w:rPr>
          <w:rFonts w:hint="eastAsia" w:ascii="宋体" w:hAnsi="宋体" w:eastAsia="宋体" w:cs="宋体"/>
          <w:sz w:val="28"/>
          <w:szCs w:val="28"/>
          <w:highlight w:val="none"/>
        </w:rPr>
        <w:t>支持绿色发展</w:t>
      </w:r>
    </w:p>
    <w:p w14:paraId="38F2477B">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.1 本项目执行《关于印发环境标志产品政府采购品目清单的通知》（财库〔2019〕18号）、《关于印</w:t>
      </w:r>
      <w:bookmarkStart w:id="33" w:name="_GoBack"/>
      <w:bookmarkEnd w:id="33"/>
      <w:r>
        <w:rPr>
          <w:rFonts w:hint="eastAsia" w:ascii="宋体" w:hAnsi="宋体" w:eastAsia="宋体" w:cs="宋体"/>
          <w:sz w:val="24"/>
          <w:szCs w:val="24"/>
          <w:highlight w:val="none"/>
        </w:rPr>
        <w:t>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41AD0703">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25F2C2F3">
      <w:pPr>
        <w:adjustRightInd w:val="0"/>
        <w:snapToGrid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.3落实挥发性有机化合物（VOCs）治理要求，政府采购项目中涉及涂料、胶黏剂、油墨、清洗剂等挥发性有机物产品的，属于强制性标准的，供应商须执行国家和我省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p>
    <w:p w14:paraId="6D2DBB57">
      <w:pPr>
        <w:pStyle w:val="4"/>
        <w:adjustRightInd w:val="0"/>
        <w:snapToGrid w:val="0"/>
        <w:spacing w:before="0" w:after="0" w:line="360" w:lineRule="auto"/>
        <w:ind w:firstLine="562" w:firstLineChars="20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.政府采购需求标准</w:t>
      </w:r>
    </w:p>
    <w:p w14:paraId="277FA05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sz w:val="24"/>
          <w:szCs w:val="24"/>
          <w:highlight w:val="none"/>
        </w:rPr>
        <w:br w:type="page"/>
      </w:r>
    </w:p>
    <w:p w14:paraId="4DC2059D">
      <w:pPr>
        <w:pStyle w:val="2"/>
        <w:wordWrap/>
        <w:topLinePunct w:val="0"/>
        <w:bidi w:val="0"/>
        <w:adjustRightInd w:val="0"/>
        <w:snapToGrid w:val="0"/>
        <w:spacing w:before="156" w:beforeLines="50" w:after="156" w:afterLines="50" w:line="360" w:lineRule="auto"/>
        <w:ind w:firstLine="883" w:firstLineChars="200"/>
        <w:jc w:val="center"/>
        <w:textAlignment w:val="auto"/>
        <w:rPr>
          <w:rFonts w:hint="eastAsia" w:ascii="宋体" w:hAnsi="宋体" w:eastAsia="宋体" w:cs="宋体"/>
          <w:b/>
          <w:bCs w:val="0"/>
          <w:highlight w:val="none"/>
        </w:rPr>
      </w:pPr>
      <w:bookmarkStart w:id="6" w:name="_Toc161932693"/>
      <w:bookmarkStart w:id="7" w:name="_Toc25012"/>
      <w:r>
        <w:rPr>
          <w:rFonts w:hint="eastAsia" w:ascii="宋体" w:hAnsi="宋体" w:eastAsia="宋体" w:cs="宋体"/>
          <w:b/>
          <w:bCs w:val="0"/>
          <w:highlight w:val="none"/>
        </w:rPr>
        <w:t>第三章  合同文本</w:t>
      </w:r>
      <w:bookmarkEnd w:id="6"/>
      <w:bookmarkEnd w:id="7"/>
    </w:p>
    <w:p w14:paraId="5624DFE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p>
    <w:p w14:paraId="189F3C3A">
      <w:pPr>
        <w:spacing w:line="1000" w:lineRule="exact"/>
        <w:jc w:val="center"/>
        <w:rPr>
          <w:rFonts w:hint="eastAsia" w:ascii="宋体" w:hAnsi="宋体" w:eastAsia="宋体" w:cs="宋体"/>
          <w:b/>
          <w:bCs/>
          <w:spacing w:val="11"/>
          <w:sz w:val="40"/>
          <w:szCs w:val="40"/>
          <w:highlight w:val="none"/>
        </w:rPr>
      </w:pPr>
      <w:r>
        <w:rPr>
          <w:rFonts w:hint="eastAsia" w:ascii="宋体" w:hAnsi="宋体" w:eastAsia="宋体" w:cs="宋体"/>
          <w:b/>
          <w:bCs/>
          <w:spacing w:val="11"/>
          <w:sz w:val="40"/>
          <w:szCs w:val="40"/>
          <w:highlight w:val="none"/>
          <w:lang w:eastAsia="zh-CN"/>
        </w:rPr>
        <w:t>徐圩新区空气环境自动监测站运维服务</w:t>
      </w:r>
      <w:r>
        <w:rPr>
          <w:rFonts w:hint="eastAsia" w:ascii="宋体" w:hAnsi="宋体" w:eastAsia="宋体" w:cs="宋体"/>
          <w:b/>
          <w:bCs/>
          <w:spacing w:val="11"/>
          <w:sz w:val="40"/>
          <w:szCs w:val="40"/>
          <w:highlight w:val="none"/>
        </w:rPr>
        <w:t>合同</w:t>
      </w:r>
    </w:p>
    <w:p w14:paraId="35471D63">
      <w:pPr>
        <w:rPr>
          <w:rFonts w:hint="eastAsia" w:ascii="宋体" w:hAnsi="宋体" w:eastAsia="宋体" w:cs="宋体"/>
          <w:sz w:val="24"/>
          <w:szCs w:val="24"/>
          <w:highlight w:val="none"/>
        </w:rPr>
      </w:pPr>
    </w:p>
    <w:p w14:paraId="5507CC78">
      <w:pPr>
        <w:rPr>
          <w:rFonts w:hint="eastAsia" w:ascii="宋体" w:hAnsi="宋体" w:eastAsia="宋体" w:cs="宋体"/>
          <w:sz w:val="24"/>
          <w:szCs w:val="24"/>
          <w:highlight w:val="none"/>
        </w:rPr>
      </w:pPr>
    </w:p>
    <w:p w14:paraId="3A27A0E8">
      <w:pPr>
        <w:pStyle w:val="8"/>
        <w:rPr>
          <w:rFonts w:hint="eastAsia" w:eastAsia="宋体" w:cs="宋体"/>
          <w:highlight w:val="none"/>
        </w:rPr>
      </w:pPr>
    </w:p>
    <w:p w14:paraId="098A83E6">
      <w:pPr>
        <w:pStyle w:val="34"/>
        <w:jc w:val="both"/>
        <w:rPr>
          <w:rFonts w:hint="eastAsia" w:ascii="宋体" w:hAnsi="宋体" w:eastAsia="宋体" w:cs="宋体"/>
          <w:b/>
          <w:bCs/>
          <w:color w:val="000000"/>
          <w:sz w:val="32"/>
          <w:szCs w:val="20"/>
          <w:highlight w:val="none"/>
        </w:rPr>
      </w:pPr>
    </w:p>
    <w:p w14:paraId="152FAED9">
      <w:pPr>
        <w:pStyle w:val="34"/>
        <w:jc w:val="both"/>
        <w:rPr>
          <w:rFonts w:hint="eastAsia" w:ascii="宋体" w:hAnsi="宋体" w:eastAsia="宋体" w:cs="宋体"/>
          <w:b/>
          <w:bCs/>
          <w:color w:val="000000"/>
          <w:sz w:val="32"/>
          <w:szCs w:val="20"/>
          <w:highlight w:val="none"/>
        </w:rPr>
      </w:pPr>
    </w:p>
    <w:p w14:paraId="5636E54D">
      <w:pPr>
        <w:pStyle w:val="34"/>
        <w:jc w:val="both"/>
        <w:rPr>
          <w:rFonts w:hint="eastAsia" w:ascii="宋体" w:hAnsi="宋体" w:eastAsia="宋体" w:cs="宋体"/>
          <w:b/>
          <w:bCs/>
          <w:color w:val="000000"/>
          <w:sz w:val="32"/>
          <w:szCs w:val="20"/>
          <w:highlight w:val="none"/>
        </w:rPr>
      </w:pPr>
    </w:p>
    <w:p w14:paraId="3EC9D3B0">
      <w:pPr>
        <w:pStyle w:val="34"/>
        <w:jc w:val="both"/>
        <w:rPr>
          <w:rFonts w:hint="eastAsia" w:ascii="宋体" w:hAnsi="宋体" w:eastAsia="宋体" w:cs="宋体"/>
          <w:b/>
          <w:bCs/>
          <w:color w:val="000000"/>
          <w:sz w:val="32"/>
          <w:szCs w:val="20"/>
          <w:highlight w:val="none"/>
        </w:rPr>
      </w:pPr>
    </w:p>
    <w:p w14:paraId="595B2C6E">
      <w:pPr>
        <w:pStyle w:val="34"/>
        <w:ind w:firstLine="0"/>
        <w:jc w:val="both"/>
        <w:rPr>
          <w:rFonts w:hint="eastAsia" w:ascii="宋体" w:hAnsi="宋体" w:eastAsia="宋体" w:cs="宋体"/>
          <w:b/>
          <w:bCs/>
          <w:color w:val="000000"/>
          <w:sz w:val="32"/>
          <w:szCs w:val="20"/>
          <w:highlight w:val="none"/>
        </w:rPr>
      </w:pPr>
    </w:p>
    <w:p w14:paraId="1ACD6E30">
      <w:pPr>
        <w:pStyle w:val="34"/>
        <w:jc w:val="both"/>
        <w:rPr>
          <w:rFonts w:hint="eastAsia" w:ascii="宋体" w:hAnsi="宋体" w:eastAsia="宋体" w:cs="宋体"/>
          <w:b/>
          <w:bCs/>
          <w:color w:val="000000"/>
          <w:sz w:val="32"/>
          <w:szCs w:val="20"/>
          <w:highlight w:val="none"/>
        </w:rPr>
      </w:pPr>
    </w:p>
    <w:p w14:paraId="32BC35B5">
      <w:pPr>
        <w:pStyle w:val="34"/>
        <w:jc w:val="both"/>
        <w:rPr>
          <w:rFonts w:hint="eastAsia" w:ascii="宋体" w:hAnsi="宋体" w:eastAsia="宋体" w:cs="宋体"/>
          <w:b/>
          <w:bCs/>
          <w:color w:val="000000"/>
          <w:sz w:val="32"/>
          <w:szCs w:val="20"/>
          <w:highlight w:val="none"/>
        </w:rPr>
      </w:pPr>
    </w:p>
    <w:p w14:paraId="18DBD971">
      <w:pPr>
        <w:pStyle w:val="34"/>
        <w:jc w:val="both"/>
        <w:rPr>
          <w:rFonts w:hint="eastAsia" w:ascii="宋体" w:hAnsi="宋体" w:eastAsia="宋体" w:cs="宋体"/>
          <w:b/>
          <w:bCs/>
          <w:color w:val="000000"/>
          <w:sz w:val="32"/>
          <w:szCs w:val="20"/>
          <w:highlight w:val="none"/>
        </w:rPr>
      </w:pPr>
    </w:p>
    <w:p w14:paraId="18A32145">
      <w:pPr>
        <w:pStyle w:val="34"/>
        <w:jc w:val="both"/>
        <w:rPr>
          <w:rFonts w:hint="eastAsia" w:ascii="宋体" w:hAnsi="宋体" w:eastAsia="宋体" w:cs="宋体"/>
          <w:b/>
          <w:bCs/>
          <w:color w:val="000000"/>
          <w:sz w:val="32"/>
          <w:szCs w:val="20"/>
          <w:highlight w:val="none"/>
        </w:rPr>
      </w:pPr>
    </w:p>
    <w:p w14:paraId="1131F755">
      <w:pPr>
        <w:spacing w:line="800" w:lineRule="exact"/>
        <w:rPr>
          <w:rFonts w:hint="eastAsia" w:ascii="宋体" w:hAnsi="宋体" w:eastAsia="宋体" w:cs="宋体"/>
          <w:b/>
          <w:bCs/>
          <w:color w:val="000000"/>
          <w:spacing w:val="-20"/>
          <w:sz w:val="32"/>
          <w:szCs w:val="20"/>
          <w:highlight w:val="none"/>
        </w:rPr>
      </w:pPr>
      <w:r>
        <w:rPr>
          <w:rFonts w:hint="eastAsia" w:ascii="宋体" w:hAnsi="宋体" w:eastAsia="宋体" w:cs="宋体"/>
          <w:b/>
          <w:bCs/>
          <w:color w:val="000000"/>
          <w:sz w:val="32"/>
          <w:szCs w:val="20"/>
          <w:highlight w:val="none"/>
        </w:rPr>
        <w:t>甲方：</w:t>
      </w:r>
      <w:r>
        <w:rPr>
          <w:rFonts w:hint="eastAsia" w:ascii="宋体" w:hAnsi="宋体" w:eastAsia="宋体" w:cs="宋体"/>
          <w:b/>
          <w:bCs/>
          <w:color w:val="000000"/>
          <w:spacing w:val="-20"/>
          <w:sz w:val="32"/>
          <w:szCs w:val="20"/>
          <w:highlight w:val="none"/>
        </w:rPr>
        <w:t xml:space="preserve"> </w:t>
      </w:r>
    </w:p>
    <w:p w14:paraId="5921E7A8">
      <w:pPr>
        <w:spacing w:line="800" w:lineRule="exact"/>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t>乙方：</w:t>
      </w:r>
      <w:r>
        <w:rPr>
          <w:rFonts w:hint="eastAsia" w:ascii="宋体" w:hAnsi="宋体" w:eastAsia="宋体" w:cs="宋体"/>
          <w:b/>
          <w:bCs/>
          <w:color w:val="000000"/>
          <w:spacing w:val="-6"/>
          <w:sz w:val="32"/>
          <w:szCs w:val="20"/>
          <w:highlight w:val="none"/>
        </w:rPr>
        <w:t xml:space="preserve"> </w:t>
      </w:r>
    </w:p>
    <w:p w14:paraId="4A8BAA5C">
      <w:pPr>
        <w:spacing w:line="800" w:lineRule="exact"/>
        <w:jc w:val="center"/>
        <w:rPr>
          <w:rFonts w:hint="eastAsia" w:ascii="宋体" w:hAnsi="宋体" w:eastAsia="宋体" w:cs="宋体"/>
          <w:b/>
          <w:bCs/>
          <w:color w:val="000000"/>
          <w:sz w:val="32"/>
          <w:szCs w:val="20"/>
          <w:highlight w:val="none"/>
        </w:rPr>
      </w:pPr>
      <w:r>
        <w:rPr>
          <w:rFonts w:hint="eastAsia" w:ascii="宋体" w:hAnsi="宋体" w:eastAsia="宋体" w:cs="宋体"/>
          <w:b/>
          <w:bCs/>
          <w:color w:val="000000"/>
          <w:sz w:val="32"/>
          <w:szCs w:val="20"/>
          <w:highlight w:val="none"/>
        </w:rPr>
        <w:t>年  月  日</w:t>
      </w:r>
    </w:p>
    <w:p w14:paraId="087E7F03">
      <w:pPr>
        <w:spacing w:line="560" w:lineRule="exact"/>
        <w:jc w:val="center"/>
        <w:rPr>
          <w:rFonts w:hint="eastAsia" w:ascii="宋体" w:hAnsi="宋体" w:eastAsia="宋体" w:cs="宋体"/>
          <w:b/>
          <w:sz w:val="32"/>
          <w:szCs w:val="32"/>
          <w:highlight w:val="none"/>
        </w:rPr>
      </w:pPr>
    </w:p>
    <w:p w14:paraId="7F4158F3">
      <w:pPr>
        <w:wordWrap/>
        <w:topLinePunct w:val="0"/>
        <w:bidi w:val="0"/>
        <w:adjustRightInd w:val="0"/>
        <w:snapToGrid w:val="0"/>
        <w:spacing w:line="360" w:lineRule="auto"/>
        <w:ind w:firstLine="640" w:firstLineChars="200"/>
        <w:jc w:val="center"/>
        <w:textAlignment w:val="auto"/>
        <w:rPr>
          <w:rFonts w:hint="eastAsia" w:ascii="宋体" w:hAnsi="宋体" w:eastAsia="宋体" w:cs="宋体"/>
          <w:sz w:val="32"/>
          <w:szCs w:val="24"/>
          <w:highlight w:val="none"/>
        </w:rPr>
        <w:sectPr>
          <w:footerReference r:id="rId4" w:type="default"/>
          <w:pgSz w:w="11906" w:h="16838"/>
          <w:pgMar w:top="1440" w:right="1800" w:bottom="1440" w:left="1800" w:header="851" w:footer="992" w:gutter="0"/>
          <w:pgNumType w:fmt="decimal" w:start="1"/>
          <w:cols w:space="425" w:num="1"/>
          <w:docGrid w:type="lines" w:linePitch="312" w:charSpace="0"/>
        </w:sectPr>
      </w:pPr>
    </w:p>
    <w:p w14:paraId="1FFEE19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（备注：以下为成交后签订本项目合同的通用条款，成交供应商不得提出实质性的修改，签订合同时请删除本条备注。）</w:t>
      </w:r>
    </w:p>
    <w:p w14:paraId="6FEEF7F0">
      <w:pPr>
        <w:wordWrap/>
        <w:topLinePunct w:val="0"/>
        <w:bidi w:val="0"/>
        <w:adjustRightInd w:val="0"/>
        <w:snapToGrid w:val="0"/>
        <w:spacing w:line="360" w:lineRule="auto"/>
        <w:ind w:firstLine="640" w:firstLineChars="200"/>
        <w:jc w:val="center"/>
        <w:textAlignment w:val="auto"/>
        <w:rPr>
          <w:rFonts w:hint="eastAsia" w:ascii="宋体" w:hAnsi="宋体" w:eastAsia="宋体" w:cs="宋体"/>
          <w:sz w:val="32"/>
          <w:szCs w:val="24"/>
          <w:highlight w:val="none"/>
        </w:rPr>
      </w:pPr>
      <w:r>
        <w:rPr>
          <w:rFonts w:hint="eastAsia" w:ascii="宋体" w:hAnsi="宋体" w:eastAsia="宋体" w:cs="宋体"/>
          <w:sz w:val="32"/>
          <w:szCs w:val="24"/>
          <w:highlight w:val="none"/>
        </w:rPr>
        <w:t>连云港市政府采购合同</w:t>
      </w:r>
    </w:p>
    <w:p w14:paraId="4E89253A">
      <w:pPr>
        <w:wordWrap/>
        <w:topLinePunct w:val="0"/>
        <w:bidi w:val="0"/>
        <w:adjustRightInd w:val="0"/>
        <w:snapToGrid w:val="0"/>
        <w:spacing w:line="360" w:lineRule="auto"/>
        <w:ind w:firstLine="560" w:firstLineChars="200"/>
        <w:jc w:val="center"/>
        <w:textAlignment w:val="auto"/>
        <w:rPr>
          <w:rFonts w:hint="eastAsia" w:ascii="宋体" w:hAnsi="宋体" w:eastAsia="宋体" w:cs="宋体"/>
          <w:sz w:val="28"/>
          <w:szCs w:val="24"/>
          <w:highlight w:val="none"/>
        </w:rPr>
      </w:pPr>
      <w:r>
        <w:rPr>
          <w:rFonts w:hint="eastAsia" w:ascii="宋体" w:hAnsi="宋体" w:eastAsia="宋体" w:cs="宋体"/>
          <w:sz w:val="28"/>
          <w:szCs w:val="24"/>
          <w:highlight w:val="none"/>
        </w:rPr>
        <w:t>（合同编号：***）</w:t>
      </w:r>
    </w:p>
    <w:p w14:paraId="67A8ADE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甲方：（买方）_________</w:t>
      </w:r>
    </w:p>
    <w:p w14:paraId="0D41BCF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乙方：（卖方）_________</w:t>
      </w:r>
    </w:p>
    <w:p w14:paraId="26F1C2A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甲、乙双方根据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项目（项目编号：</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）竞争性磋商采购的结果，签订本合同。</w:t>
      </w:r>
    </w:p>
    <w:p w14:paraId="70D3265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一、合同内容</w:t>
      </w:r>
    </w:p>
    <w:p w14:paraId="4DDB011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 服务内容：</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w:t>
      </w:r>
    </w:p>
    <w:p w14:paraId="52378E7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 服务要求：</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w:t>
      </w:r>
    </w:p>
    <w:p w14:paraId="61E9115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 服务标准：</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w:t>
      </w:r>
    </w:p>
    <w:p w14:paraId="198D695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 补充条款：</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w:t>
      </w:r>
    </w:p>
    <w:p w14:paraId="3A4B4C7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二、合同金额</w:t>
      </w:r>
    </w:p>
    <w:p w14:paraId="4702089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 本合同金额为人民币（大写）：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元（¥</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w:t>
      </w:r>
    </w:p>
    <w:p w14:paraId="177023D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 本合同价款包含所有乙方提供合同约定产品和服务的报酬及乙方提供合同约定产品和服务所支出的必要费用，甲方在上述合同价款之外不再向乙方支付其他任何费用。</w:t>
      </w:r>
    </w:p>
    <w:p w14:paraId="25446B1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三、技术资料</w:t>
      </w:r>
    </w:p>
    <w:p w14:paraId="67D1748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 乙方应按磋商文件规定的时间向甲方提供有关技术资料。</w:t>
      </w:r>
    </w:p>
    <w:p w14:paraId="7C9A521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6538B1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四、知识产权</w:t>
      </w:r>
    </w:p>
    <w:p w14:paraId="50A8401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4.1 乙方应保证甲方在使用、接受本合同产品和服务或其任何一部分时不受第三方提出侵犯其专利权、版权、商标权和工业设计权等知识产权的起诉。一旦出现侵权，由乙方负全部责任。</w:t>
      </w:r>
    </w:p>
    <w:p w14:paraId="7A51B3F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五、产权担保</w:t>
      </w:r>
    </w:p>
    <w:p w14:paraId="7111639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 乙方保证所交付标的的所有权完全属于乙方且无任何抵押、查封等产权瑕疵。</w:t>
      </w:r>
    </w:p>
    <w:p w14:paraId="705E078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六、履约保证金</w:t>
      </w:r>
    </w:p>
    <w:p w14:paraId="584B58E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 本合同不收取履约保证金。</w:t>
      </w:r>
    </w:p>
    <w:p w14:paraId="78777C5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七、合同转包或分包</w:t>
      </w:r>
    </w:p>
    <w:p w14:paraId="4D953BE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7.1 本合同范围内产品或服务，应由乙方直接供应，不得转让他人供应或部分分包给他人供应。</w:t>
      </w:r>
    </w:p>
    <w:p w14:paraId="24CF759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7.2 如有转让和未经甲方同意的分包行为，甲方有权终止合同。</w:t>
      </w:r>
    </w:p>
    <w:p w14:paraId="46067FF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八、服务时间</w:t>
      </w:r>
    </w:p>
    <w:p w14:paraId="2F2BE70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8.1 服务时间：</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w:t>
      </w:r>
    </w:p>
    <w:p w14:paraId="3E6202F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九、合同内容的交付</w:t>
      </w:r>
    </w:p>
    <w:p w14:paraId="0FDD71C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9.1 交 付 期：_________。</w:t>
      </w:r>
    </w:p>
    <w:p w14:paraId="09DF692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9.2 交付方式：_________。</w:t>
      </w:r>
    </w:p>
    <w:p w14:paraId="17D53FC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9.3 交付地点：_________。</w:t>
      </w:r>
    </w:p>
    <w:p w14:paraId="0DEB445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40C6661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9.5 乙方在合同标的交付甲方48小时前通知甲方准备接收。合同标的在规定的交付期限内由乙方送达甲方指定的地点视为交付，乙方同时需通知甲方已送达。</w:t>
      </w:r>
    </w:p>
    <w:p w14:paraId="269DEE8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十、合同款支付</w:t>
      </w:r>
    </w:p>
    <w:p w14:paraId="1D811F3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10.1 付款方式：</w:t>
      </w:r>
    </w:p>
    <w:p w14:paraId="061AF4BB">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（1）本项目无预付款，按季度支付运维费用。乙方应在每季度考核结束后</w:t>
      </w:r>
      <w:r>
        <w:rPr>
          <w:rFonts w:hint="eastAsia" w:ascii="宋体" w:hAnsi="宋体" w:eastAsia="宋体" w:cs="宋体"/>
          <w:sz w:val="24"/>
          <w:szCs w:val="24"/>
          <w:highlight w:val="none"/>
          <w:u w:val="none"/>
          <w:lang w:val="en-US" w:eastAsia="zh-CN"/>
        </w:rPr>
        <w:t>10</w:t>
      </w:r>
      <w:r>
        <w:rPr>
          <w:rFonts w:hint="eastAsia" w:ascii="宋体" w:hAnsi="宋体" w:eastAsia="宋体" w:cs="宋体"/>
          <w:sz w:val="24"/>
          <w:szCs w:val="24"/>
          <w:highlight w:val="none"/>
          <w:u w:val="none"/>
          <w:lang w:eastAsia="zh-CN"/>
        </w:rPr>
        <w:t>个工作日内，向甲方出具等额合法有效的发票；未按时提供合格发票导致付款逾期的，责任由乙方承担。</w:t>
      </w:r>
    </w:p>
    <w:p w14:paraId="00907360">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（2）运维费用付款要求：</w:t>
      </w:r>
    </w:p>
    <w:p w14:paraId="472C2DC3">
      <w:pPr>
        <w:adjustRightInd w:val="0"/>
        <w:snapToGrid w:val="0"/>
        <w:spacing w:line="360" w:lineRule="auto"/>
        <w:ind w:firstLine="480" w:firstLineChars="200"/>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本项目运维费用按季度均分结算，单季度基准费用为合同总金额的25%。</w:t>
      </w:r>
      <w:r>
        <w:rPr>
          <w:rFonts w:hint="eastAsia" w:ascii="宋体" w:hAnsi="宋体" w:eastAsia="宋体" w:cs="宋体"/>
          <w:sz w:val="24"/>
          <w:szCs w:val="24"/>
          <w:highlight w:val="none"/>
          <w:u w:val="none"/>
          <w:lang w:val="en-US" w:eastAsia="zh-CN"/>
        </w:rPr>
        <w:t>甲方</w:t>
      </w:r>
      <w:r>
        <w:rPr>
          <w:rFonts w:hint="eastAsia" w:ascii="宋体" w:hAnsi="宋体" w:eastAsia="宋体" w:cs="宋体"/>
          <w:sz w:val="24"/>
          <w:szCs w:val="24"/>
          <w:highlight w:val="none"/>
          <w:u w:val="none"/>
          <w:lang w:eastAsia="zh-CN"/>
        </w:rPr>
        <w:t>依据</w:t>
      </w:r>
      <w:r>
        <w:rPr>
          <w:rFonts w:hint="eastAsia" w:ascii="宋体" w:hAnsi="宋体" w:eastAsia="宋体" w:cs="宋体"/>
          <w:sz w:val="24"/>
          <w:szCs w:val="24"/>
          <w:highlight w:val="none"/>
          <w:u w:val="none"/>
          <w:lang w:val="en-US" w:eastAsia="zh-CN"/>
        </w:rPr>
        <w:t>乙方</w:t>
      </w:r>
      <w:r>
        <w:rPr>
          <w:rFonts w:hint="eastAsia" w:ascii="宋体" w:hAnsi="宋体" w:eastAsia="宋体" w:cs="宋体"/>
          <w:sz w:val="24"/>
          <w:szCs w:val="24"/>
          <w:highlight w:val="none"/>
          <w:u w:val="none"/>
          <w:lang w:eastAsia="zh-CN"/>
        </w:rPr>
        <w:t>季度考核得分，按以下标准结算当季度运维费用：</w:t>
      </w:r>
    </w:p>
    <w:p w14:paraId="0FD23396">
      <w:pPr>
        <w:adjustRightInd w:val="0"/>
        <w:snapToGrid w:val="0"/>
        <w:spacing w:line="360" w:lineRule="auto"/>
        <w:ind w:firstLine="480" w:firstLineChars="200"/>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（1）考核得分达到90分及以上的，支付该季度全额运维费用，为合同金额的25%；</w:t>
      </w:r>
    </w:p>
    <w:p w14:paraId="3929BF24">
      <w:pPr>
        <w:adjustRightInd w:val="0"/>
        <w:snapToGrid w:val="0"/>
        <w:spacing w:line="360" w:lineRule="auto"/>
        <w:ind w:firstLine="480" w:firstLineChars="200"/>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（2）考核得分为80分（含）-90分（不含），按得分比例结算，季度运维费用=合同金额的25%*当期考核得分/100；</w:t>
      </w:r>
    </w:p>
    <w:p w14:paraId="3E5455A4">
      <w:pPr>
        <w:adjustRightInd w:val="0"/>
        <w:snapToGrid w:val="0"/>
        <w:spacing w:line="360" w:lineRule="auto"/>
        <w:ind w:firstLine="480" w:firstLineChars="200"/>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（3）考核得分低于80分，当期履约不达标，不支付该季度运维费用。</w:t>
      </w:r>
    </w:p>
    <w:p w14:paraId="12598E1F">
      <w:pPr>
        <w:adjustRightInd w:val="0"/>
        <w:snapToGrid w:val="0"/>
        <w:spacing w:line="360" w:lineRule="auto"/>
        <w:ind w:firstLine="480" w:firstLineChars="200"/>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备注：</w:t>
      </w:r>
    </w:p>
    <w:p w14:paraId="4AE96148">
      <w:pPr>
        <w:adjustRightInd w:val="0"/>
        <w:snapToGrid w:val="0"/>
        <w:spacing w:line="360" w:lineRule="auto"/>
        <w:ind w:firstLine="480" w:firstLineChars="200"/>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1.</w:t>
      </w:r>
      <w:r>
        <w:rPr>
          <w:rFonts w:hint="eastAsia" w:ascii="宋体" w:hAnsi="宋体" w:eastAsia="宋体" w:cs="宋体"/>
          <w:sz w:val="24"/>
          <w:szCs w:val="24"/>
          <w:highlight w:val="none"/>
          <w:u w:val="none"/>
          <w:lang w:val="en-US" w:eastAsia="zh-CN"/>
        </w:rPr>
        <w:t>乙方</w:t>
      </w:r>
      <w:r>
        <w:rPr>
          <w:rFonts w:hint="eastAsia" w:ascii="宋体" w:hAnsi="宋体" w:eastAsia="宋体" w:cs="宋体"/>
          <w:sz w:val="24"/>
          <w:szCs w:val="24"/>
          <w:highlight w:val="none"/>
          <w:u w:val="none"/>
          <w:lang w:eastAsia="zh-CN"/>
        </w:rPr>
        <w:t>未按时、按要求提交季度运维报告的，</w:t>
      </w:r>
      <w:r>
        <w:rPr>
          <w:rFonts w:hint="eastAsia" w:ascii="宋体" w:hAnsi="宋体" w:eastAsia="宋体" w:cs="宋体"/>
          <w:sz w:val="24"/>
          <w:szCs w:val="24"/>
          <w:highlight w:val="none"/>
          <w:u w:val="none"/>
          <w:lang w:val="en-US" w:eastAsia="zh-CN"/>
        </w:rPr>
        <w:t>甲方</w:t>
      </w:r>
      <w:r>
        <w:rPr>
          <w:rFonts w:hint="eastAsia" w:ascii="宋体" w:hAnsi="宋体" w:eastAsia="宋体" w:cs="宋体"/>
          <w:sz w:val="24"/>
          <w:szCs w:val="24"/>
          <w:highlight w:val="none"/>
          <w:u w:val="none"/>
          <w:lang w:eastAsia="zh-CN"/>
        </w:rPr>
        <w:t>可暂缓当期考核及费用结算，相关责任由</w:t>
      </w:r>
      <w:r>
        <w:rPr>
          <w:rFonts w:hint="eastAsia" w:ascii="宋体" w:hAnsi="宋体" w:eastAsia="宋体" w:cs="宋体"/>
          <w:sz w:val="24"/>
          <w:szCs w:val="24"/>
          <w:highlight w:val="none"/>
          <w:u w:val="none"/>
          <w:lang w:val="en-US" w:eastAsia="zh-CN"/>
        </w:rPr>
        <w:t>乙方</w:t>
      </w:r>
      <w:r>
        <w:rPr>
          <w:rFonts w:hint="eastAsia" w:ascii="宋体" w:hAnsi="宋体" w:eastAsia="宋体" w:cs="宋体"/>
          <w:sz w:val="24"/>
          <w:szCs w:val="24"/>
          <w:highlight w:val="none"/>
          <w:u w:val="none"/>
          <w:lang w:eastAsia="zh-CN"/>
        </w:rPr>
        <w:t>承担。</w:t>
      </w:r>
    </w:p>
    <w:p w14:paraId="2098D2EA">
      <w:pPr>
        <w:adjustRightInd w:val="0"/>
        <w:snapToGrid w:val="0"/>
        <w:spacing w:line="360" w:lineRule="auto"/>
        <w:ind w:firstLine="480" w:firstLineChars="200"/>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2.本考核及结算标准为项目固定结算依据，未经</w:t>
      </w:r>
      <w:r>
        <w:rPr>
          <w:rFonts w:hint="eastAsia" w:ascii="宋体" w:hAnsi="宋体" w:eastAsia="宋体" w:cs="宋体"/>
          <w:sz w:val="24"/>
          <w:szCs w:val="24"/>
          <w:highlight w:val="none"/>
          <w:u w:val="none"/>
          <w:lang w:val="en-US" w:eastAsia="zh-CN"/>
        </w:rPr>
        <w:t>甲方</w:t>
      </w:r>
      <w:r>
        <w:rPr>
          <w:rFonts w:hint="eastAsia" w:ascii="宋体" w:hAnsi="宋体" w:eastAsia="宋体" w:cs="宋体"/>
          <w:sz w:val="24"/>
          <w:szCs w:val="24"/>
          <w:highlight w:val="none"/>
          <w:u w:val="none"/>
          <w:lang w:eastAsia="zh-CN"/>
        </w:rPr>
        <w:t>书面同意，不得擅自变更。</w:t>
      </w:r>
    </w:p>
    <w:p w14:paraId="4890F54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十一、税费</w:t>
      </w:r>
    </w:p>
    <w:p w14:paraId="3D54CC2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 本合同执行中相关的一切税费均由乙方负担。</w:t>
      </w:r>
    </w:p>
    <w:p w14:paraId="584269E1">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十二、质量保证及售后服务</w:t>
      </w:r>
    </w:p>
    <w:p w14:paraId="486B581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12.1 乙方应按磋商文件规定和响应文件承诺的性能、技术要求、质量标准向甲方提供产品或服务。</w:t>
      </w:r>
    </w:p>
    <w:p w14:paraId="40A89F3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12.2 乙方提供的产品或服务在服务期内因其本身出现质量问题，</w:t>
      </w:r>
      <w:r>
        <w:rPr>
          <w:rFonts w:hint="eastAsia" w:ascii="宋体" w:hAnsi="宋体" w:eastAsia="宋体" w:cs="宋体"/>
          <w:sz w:val="24"/>
          <w:szCs w:val="24"/>
          <w:highlight w:val="none"/>
          <w:lang w:val="en-US" w:eastAsia="zh-CN"/>
        </w:rPr>
        <w:t>甲方</w:t>
      </w:r>
      <w:r>
        <w:rPr>
          <w:rFonts w:hint="eastAsia" w:ascii="宋体" w:hAnsi="宋体" w:eastAsia="宋体" w:cs="宋体"/>
          <w:sz w:val="24"/>
          <w:szCs w:val="24"/>
          <w:highlight w:val="none"/>
        </w:rPr>
        <w:t>可</w:t>
      </w:r>
      <w:r>
        <w:rPr>
          <w:rFonts w:hint="eastAsia" w:ascii="宋体" w:hAnsi="宋体" w:eastAsia="宋体" w:cs="宋体"/>
          <w:sz w:val="24"/>
          <w:szCs w:val="24"/>
          <w:highlight w:val="none"/>
          <w:lang w:val="en-US" w:eastAsia="zh-CN"/>
        </w:rPr>
        <w:t>选择</w:t>
      </w:r>
      <w:r>
        <w:rPr>
          <w:rFonts w:hint="eastAsia" w:ascii="宋体" w:hAnsi="宋体" w:eastAsia="宋体" w:cs="宋体"/>
          <w:sz w:val="24"/>
          <w:szCs w:val="24"/>
          <w:highlight w:val="none"/>
        </w:rPr>
        <w:t>以下办法处理：</w:t>
      </w:r>
    </w:p>
    <w:p w14:paraId="3D339D9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（1）更换：由乙方承担所产生的全部费用。</w:t>
      </w:r>
    </w:p>
    <w:p w14:paraId="2249BE9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（2）合同终止处理：合同终止，乙方退还甲方支付的合同款，同时承担由此产生的全部费用，甲方不承担任何产生费用。</w:t>
      </w:r>
    </w:p>
    <w:p w14:paraId="7EE9499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12.3 如在使用过程中发生质量问题，乙方在接到甲方通知后</w:t>
      </w:r>
      <w:r>
        <w:rPr>
          <w:rFonts w:hint="eastAsia" w:ascii="宋体" w:hAnsi="宋体" w:eastAsia="宋体" w:cs="宋体"/>
          <w:color w:val="000000"/>
          <w:sz w:val="24"/>
          <w:highlight w:val="none"/>
          <w:u w:val="single"/>
        </w:rPr>
        <w:t xml:space="preserve">    </w:t>
      </w:r>
      <w:r>
        <w:rPr>
          <w:rFonts w:hint="eastAsia" w:ascii="宋体" w:hAnsi="宋体" w:eastAsia="宋体" w:cs="宋体"/>
          <w:sz w:val="24"/>
          <w:szCs w:val="24"/>
          <w:highlight w:val="none"/>
        </w:rPr>
        <w:t>小时内到达甲方现场。</w:t>
      </w:r>
    </w:p>
    <w:p w14:paraId="5733764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12.4 在服务期内，乙方应对产品或服务出现的质量及安全问题负责处理解决并承担一切费用。</w:t>
      </w:r>
    </w:p>
    <w:p w14:paraId="30D0DF5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十三、项目验收</w:t>
      </w:r>
    </w:p>
    <w:p w14:paraId="5A46024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 甲方依法组织履约验收工作。</w:t>
      </w:r>
    </w:p>
    <w:p w14:paraId="5C482AC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536166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 对于实际使用人和甲方分离的项目，甲方邀请实际使用人参与验收。</w:t>
      </w:r>
    </w:p>
    <w:p w14:paraId="68208EC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13.4 如有必要，甲方邀请参加本项目的其他供应商或第三方专业机构及专家参与验收，相关意见将作为验收书的参考资料。</w:t>
      </w:r>
    </w:p>
    <w:p w14:paraId="25695AD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F6D3ED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highlight w:val="none"/>
        </w:rPr>
        <w:t>中华人民共和国民法典</w:t>
      </w:r>
      <w:r>
        <w:rPr>
          <w:rFonts w:hint="eastAsia" w:ascii="宋体" w:hAnsi="宋体" w:eastAsia="宋体" w:cs="宋体"/>
          <w:sz w:val="24"/>
          <w:szCs w:val="24"/>
          <w:highlight w:val="none"/>
        </w:rPr>
        <w:t>》。乙方在履约过程中有政府采购法律法规规定的违法违规情形的，甲方将及时报告本级财政部门。</w:t>
      </w:r>
    </w:p>
    <w:p w14:paraId="430E485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十四、违约责任</w:t>
      </w:r>
    </w:p>
    <w:p w14:paraId="18C2614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 甲方无正当理由拒收的，甲方向乙方偿付拒收标的总额</w:t>
      </w:r>
      <w:r>
        <w:rPr>
          <w:rFonts w:hint="eastAsia" w:ascii="宋体" w:hAnsi="宋体" w:eastAsia="宋体" w:cs="宋体"/>
          <w:sz w:val="24"/>
          <w:szCs w:val="24"/>
          <w:highlight w:val="none"/>
          <w:u w:val="single"/>
        </w:rPr>
        <w:t xml:space="preserve"> 百分之五 </w:t>
      </w:r>
      <w:r>
        <w:rPr>
          <w:rFonts w:hint="eastAsia" w:ascii="宋体" w:hAnsi="宋体" w:eastAsia="宋体" w:cs="宋体"/>
          <w:sz w:val="24"/>
          <w:szCs w:val="24"/>
          <w:highlight w:val="none"/>
        </w:rPr>
        <w:t>的违约金。</w:t>
      </w:r>
    </w:p>
    <w:p w14:paraId="79A24B1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14.2 甲方无故逾期验收和办理合同款支付手续的，甲方应按逾期付款总额每日</w:t>
      </w:r>
      <w:r>
        <w:rPr>
          <w:rFonts w:hint="eastAsia" w:ascii="宋体" w:hAnsi="宋体" w:eastAsia="宋体" w:cs="宋体"/>
          <w:sz w:val="24"/>
          <w:szCs w:val="24"/>
          <w:highlight w:val="none"/>
          <w:u w:val="single"/>
        </w:rPr>
        <w:t xml:space="preserve"> 万分之五 </w:t>
      </w:r>
      <w:r>
        <w:rPr>
          <w:rFonts w:hint="eastAsia" w:ascii="宋体" w:hAnsi="宋体" w:eastAsia="宋体" w:cs="宋体"/>
          <w:sz w:val="24"/>
          <w:szCs w:val="24"/>
          <w:highlight w:val="none"/>
        </w:rPr>
        <w:t>向乙方支付违约金，</w:t>
      </w:r>
      <w:r>
        <w:rPr>
          <w:rFonts w:hint="eastAsia" w:ascii="宋体" w:hAnsi="宋体" w:eastAsia="宋体" w:cs="宋体"/>
          <w:color w:val="000000"/>
          <w:sz w:val="24"/>
          <w:szCs w:val="24"/>
          <w:highlight w:val="none"/>
        </w:rPr>
        <w:t>最高限额为本合同总额的</w:t>
      </w:r>
      <w:r>
        <w:rPr>
          <w:rFonts w:hint="eastAsia" w:ascii="宋体" w:hAnsi="宋体" w:eastAsia="宋体" w:cs="宋体"/>
          <w:sz w:val="24"/>
          <w:szCs w:val="24"/>
          <w:highlight w:val="none"/>
          <w:u w:val="single"/>
        </w:rPr>
        <w:t xml:space="preserve"> 百分之五 </w:t>
      </w:r>
      <w:r>
        <w:rPr>
          <w:rFonts w:hint="eastAsia" w:ascii="宋体" w:hAnsi="宋体" w:eastAsia="宋体" w:cs="宋体"/>
          <w:sz w:val="24"/>
          <w:szCs w:val="24"/>
          <w:highlight w:val="none"/>
        </w:rPr>
        <w:t>。</w:t>
      </w:r>
    </w:p>
    <w:p w14:paraId="7858AC3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14.3 乙方逾期交付合同标的的，乙方应按逾期交付总额每日</w:t>
      </w:r>
      <w:r>
        <w:rPr>
          <w:rFonts w:hint="eastAsia" w:ascii="宋体" w:hAnsi="宋体" w:eastAsia="宋体" w:cs="宋体"/>
          <w:sz w:val="24"/>
          <w:szCs w:val="24"/>
          <w:highlight w:val="none"/>
          <w:u w:val="single"/>
        </w:rPr>
        <w:t xml:space="preserve"> 万分之五 </w:t>
      </w:r>
      <w:r>
        <w:rPr>
          <w:rFonts w:hint="eastAsia" w:ascii="宋体" w:hAnsi="宋体" w:eastAsia="宋体" w:cs="宋体"/>
          <w:sz w:val="24"/>
          <w:szCs w:val="24"/>
          <w:highlight w:val="none"/>
        </w:rPr>
        <w:t>向甲方支付违约金，由甲方从待付合同款中扣除，</w:t>
      </w:r>
      <w:r>
        <w:rPr>
          <w:rFonts w:hint="eastAsia" w:ascii="宋体" w:hAnsi="宋体" w:eastAsia="宋体" w:cs="宋体"/>
          <w:color w:val="000000"/>
          <w:sz w:val="24"/>
          <w:szCs w:val="24"/>
          <w:highlight w:val="none"/>
        </w:rPr>
        <w:t>最高限额为本合同总额的</w:t>
      </w:r>
      <w:r>
        <w:rPr>
          <w:rFonts w:hint="eastAsia" w:ascii="宋体" w:hAnsi="宋体" w:eastAsia="宋体" w:cs="宋体"/>
          <w:sz w:val="24"/>
          <w:szCs w:val="24"/>
          <w:highlight w:val="none"/>
          <w:u w:val="single"/>
        </w:rPr>
        <w:t xml:space="preserve"> 百分之五 </w:t>
      </w:r>
      <w:r>
        <w:rPr>
          <w:rFonts w:hint="eastAsia" w:ascii="宋体" w:hAnsi="宋体" w:eastAsia="宋体" w:cs="宋体"/>
          <w:sz w:val="24"/>
          <w:szCs w:val="24"/>
          <w:highlight w:val="none"/>
        </w:rPr>
        <w:t>。逾期超过约定日期</w:t>
      </w:r>
      <w:r>
        <w:rPr>
          <w:rFonts w:hint="eastAsia" w:ascii="宋体" w:hAnsi="宋体" w:eastAsia="宋体" w:cs="宋体"/>
          <w:sz w:val="24"/>
          <w:szCs w:val="24"/>
          <w:highlight w:val="none"/>
          <w:u w:val="single"/>
        </w:rPr>
        <w:t xml:space="preserve"> 10个工作日 </w:t>
      </w:r>
      <w:r>
        <w:rPr>
          <w:rFonts w:hint="eastAsia" w:ascii="宋体" w:hAnsi="宋体" w:eastAsia="宋体" w:cs="宋体"/>
          <w:sz w:val="24"/>
          <w:szCs w:val="24"/>
          <w:highlight w:val="none"/>
        </w:rPr>
        <w:t>不能交付的，甲方可解除本合同。乙方因逾期交付或因其他违约行为导致甲方解除合同的，乙方应向甲方支付合同总额</w:t>
      </w:r>
      <w:r>
        <w:rPr>
          <w:rFonts w:hint="eastAsia" w:ascii="宋体" w:hAnsi="宋体" w:eastAsia="宋体" w:cs="宋体"/>
          <w:sz w:val="24"/>
          <w:szCs w:val="24"/>
          <w:highlight w:val="none"/>
          <w:u w:val="single"/>
        </w:rPr>
        <w:t xml:space="preserve">百分之五 </w:t>
      </w:r>
      <w:r>
        <w:rPr>
          <w:rFonts w:hint="eastAsia" w:ascii="宋体" w:hAnsi="宋体" w:eastAsia="宋体" w:cs="宋体"/>
          <w:sz w:val="24"/>
          <w:szCs w:val="24"/>
          <w:highlight w:val="none"/>
        </w:rPr>
        <w:t xml:space="preserve">的违约金，如造成甲方损失超过违约金的，超出部分由乙方继续承担赔偿责任。 </w:t>
      </w:r>
    </w:p>
    <w:p w14:paraId="7BA35A5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p>
    <w:p w14:paraId="421F811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十五、不可抗力事件处理</w:t>
      </w:r>
    </w:p>
    <w:p w14:paraId="542ED59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15.1 在合同有效期内，任何一方因不可抗力事件导致不能履行合同的，则合同履行期可延长，其延长期与不可抗力影响期相同。</w:t>
      </w:r>
    </w:p>
    <w:p w14:paraId="7DD672A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15.2 不可抗力事件发生后，应立即通知对方，并寄送有关权威机构出具的证明。</w:t>
      </w:r>
    </w:p>
    <w:p w14:paraId="11BECAA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15.3 不可抗力事件延续120天以上，双方应通过友好协商，确定是否继续履行合同。</w:t>
      </w:r>
    </w:p>
    <w:p w14:paraId="238C546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十六、解决争议的方法</w:t>
      </w:r>
    </w:p>
    <w:p w14:paraId="37A70E7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16.1 甲乙双方因合同签订、履行而发生的一切争议，应通过友好协商解决。如协商不成，按下列第</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u w:val="single"/>
          <w:lang w:val="en-US" w:eastAsia="zh-CN"/>
        </w:rPr>
        <w:t>2</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种方式解决：</w:t>
      </w:r>
    </w:p>
    <w:p w14:paraId="4122042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（1）向连云港仲裁委员会申请仲裁。</w:t>
      </w:r>
    </w:p>
    <w:p w14:paraId="0E898D0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（2）向合同签订地法院起诉，合同签订地在此约定为连云港市</w:t>
      </w:r>
      <w:r>
        <w:rPr>
          <w:rFonts w:hint="eastAsia" w:ascii="宋体" w:hAnsi="宋体" w:eastAsia="宋体" w:cs="宋体"/>
          <w:sz w:val="24"/>
          <w:szCs w:val="24"/>
          <w:highlight w:val="none"/>
          <w:lang w:val="en-US" w:eastAsia="zh-CN"/>
        </w:rPr>
        <w:t>徐圩新区</w:t>
      </w:r>
      <w:r>
        <w:rPr>
          <w:rFonts w:hint="eastAsia" w:ascii="宋体" w:hAnsi="宋体" w:eastAsia="宋体" w:cs="宋体"/>
          <w:sz w:val="24"/>
          <w:szCs w:val="24"/>
          <w:highlight w:val="none"/>
        </w:rPr>
        <w:t>。</w:t>
      </w:r>
    </w:p>
    <w:p w14:paraId="3C1901D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十七、合同生效及其他</w:t>
      </w:r>
    </w:p>
    <w:p w14:paraId="03F954A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17.1 合同经双方法定代表人或授权代表签字并加盖单位公章后生效。</w:t>
      </w:r>
    </w:p>
    <w:p w14:paraId="6D74111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17.2 本合同未尽事宜，遵照</w:t>
      </w:r>
      <w:r>
        <w:rPr>
          <w:rFonts w:hint="eastAsia" w:ascii="宋体" w:hAnsi="宋体" w:eastAsia="宋体" w:cs="宋体"/>
          <w:color w:val="000000"/>
          <w:sz w:val="24"/>
          <w:highlight w:val="none"/>
        </w:rPr>
        <w:t>《中华人民共和国民法典》</w:t>
      </w:r>
      <w:r>
        <w:rPr>
          <w:rFonts w:hint="eastAsia" w:ascii="宋体" w:hAnsi="宋体" w:eastAsia="宋体" w:cs="宋体"/>
          <w:sz w:val="24"/>
          <w:szCs w:val="24"/>
          <w:highlight w:val="none"/>
        </w:rPr>
        <w:t>、《</w:t>
      </w:r>
      <w:r>
        <w:rPr>
          <w:rFonts w:hint="eastAsia" w:ascii="宋体" w:hAnsi="宋体" w:eastAsia="宋体" w:cs="宋体"/>
          <w:color w:val="000000"/>
          <w:sz w:val="24"/>
          <w:highlight w:val="none"/>
        </w:rPr>
        <w:t>中华人民共和国</w:t>
      </w:r>
      <w:r>
        <w:rPr>
          <w:rFonts w:hint="eastAsia" w:ascii="宋体" w:hAnsi="宋体" w:eastAsia="宋体" w:cs="宋体"/>
          <w:sz w:val="24"/>
          <w:szCs w:val="24"/>
          <w:highlight w:val="none"/>
        </w:rPr>
        <w:t>政府采购法》有关条文执行。</w:t>
      </w:r>
    </w:p>
    <w:p w14:paraId="63753C9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17.3 本合同正本一式</w:t>
      </w:r>
      <w:r>
        <w:rPr>
          <w:rFonts w:hint="eastAsia" w:ascii="宋体" w:hAnsi="宋体" w:eastAsia="宋体" w:cs="宋体"/>
          <w:sz w:val="24"/>
          <w:szCs w:val="24"/>
          <w:highlight w:val="none"/>
          <w:lang w:val="en-US" w:eastAsia="zh-CN"/>
        </w:rPr>
        <w:t>陆</w:t>
      </w:r>
      <w:r>
        <w:rPr>
          <w:rFonts w:hint="eastAsia" w:ascii="宋体" w:hAnsi="宋体" w:eastAsia="宋体" w:cs="宋体"/>
          <w:sz w:val="24"/>
          <w:szCs w:val="24"/>
          <w:highlight w:val="none"/>
        </w:rPr>
        <w:t>份，具有同等法律效力，甲方执</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份、乙方执</w:t>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份，</w:t>
      </w:r>
      <w:r>
        <w:rPr>
          <w:rFonts w:hint="eastAsia" w:ascii="宋体" w:hAnsi="宋体" w:eastAsia="宋体" w:cs="宋体"/>
          <w:sz w:val="24"/>
          <w:szCs w:val="24"/>
          <w:highlight w:val="none"/>
          <w:lang w:val="en-US" w:eastAsia="zh-CN"/>
        </w:rPr>
        <w:t>见证方执一份</w:t>
      </w:r>
      <w:r>
        <w:rPr>
          <w:rFonts w:hint="eastAsia" w:ascii="宋体" w:hAnsi="宋体" w:eastAsia="宋体" w:cs="宋体"/>
          <w:sz w:val="24"/>
          <w:szCs w:val="24"/>
          <w:highlight w:val="none"/>
        </w:rPr>
        <w:t>。</w:t>
      </w:r>
    </w:p>
    <w:p w14:paraId="0A36955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p>
    <w:p w14:paraId="06BA4D8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                        乙方： </w:t>
      </w:r>
    </w:p>
    <w:p w14:paraId="28840FF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 </w:t>
      </w:r>
    </w:p>
    <w:p w14:paraId="21863FB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法定代表人或授权代表：        法定代表人或授权代表：</w:t>
      </w:r>
    </w:p>
    <w:p w14:paraId="5CDF10D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联系电话：     </w:t>
      </w:r>
    </w:p>
    <w:p w14:paraId="030B4F9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5105B816">
      <w:pPr>
        <w:wordWrap/>
        <w:topLinePunct w:val="0"/>
        <w:bidi w:val="0"/>
        <w:adjustRightInd w:val="0"/>
        <w:snapToGrid w:val="0"/>
        <w:spacing w:line="360" w:lineRule="auto"/>
        <w:ind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见证方：</w:t>
      </w:r>
    </w:p>
    <w:p w14:paraId="6C9D9D3F">
      <w:pPr>
        <w:wordWrap/>
        <w:topLinePunct w:val="0"/>
        <w:bidi w:val="0"/>
        <w:adjustRightInd w:val="0"/>
        <w:snapToGrid w:val="0"/>
        <w:spacing w:line="360" w:lineRule="auto"/>
        <w:ind w:firstLine="480" w:firstLineChars="200"/>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签订日期：       年    月    日</w:t>
      </w:r>
    </w:p>
    <w:p w14:paraId="133E0921">
      <w:pPr>
        <w:widowControl/>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323C5880">
      <w:pPr>
        <w:pStyle w:val="2"/>
        <w:wordWrap/>
        <w:topLinePunct w:val="0"/>
        <w:bidi w:val="0"/>
        <w:adjustRightInd w:val="0"/>
        <w:snapToGrid w:val="0"/>
        <w:spacing w:before="156" w:beforeLines="50" w:after="156" w:afterLines="50" w:line="360" w:lineRule="auto"/>
        <w:ind w:firstLine="883" w:firstLineChars="200"/>
        <w:jc w:val="center"/>
        <w:textAlignment w:val="auto"/>
        <w:rPr>
          <w:rFonts w:hint="eastAsia" w:ascii="宋体" w:hAnsi="宋体" w:eastAsia="宋体" w:cs="宋体"/>
          <w:b/>
          <w:bCs w:val="0"/>
          <w:highlight w:val="none"/>
        </w:rPr>
      </w:pPr>
      <w:bookmarkStart w:id="8" w:name="_Toc22419"/>
      <w:bookmarkStart w:id="9" w:name="_Toc161932694"/>
      <w:r>
        <w:rPr>
          <w:rFonts w:hint="eastAsia" w:ascii="宋体" w:hAnsi="宋体" w:eastAsia="宋体" w:cs="宋体"/>
          <w:b/>
          <w:bCs w:val="0"/>
          <w:highlight w:val="none"/>
        </w:rPr>
        <w:t>第四章  采购需求</w:t>
      </w:r>
      <w:bookmarkEnd w:id="8"/>
      <w:bookmarkEnd w:id="9"/>
    </w:p>
    <w:p w14:paraId="094BD2F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说明：本项目属性为</w:t>
      </w:r>
      <w:r>
        <w:rPr>
          <w:rFonts w:hint="eastAsia" w:ascii="宋体" w:hAnsi="宋体" w:eastAsia="宋体" w:cs="宋体"/>
          <w:b/>
          <w:sz w:val="24"/>
          <w:szCs w:val="24"/>
          <w:highlight w:val="none"/>
        </w:rPr>
        <w:t>服务</w:t>
      </w:r>
      <w:r>
        <w:rPr>
          <w:rFonts w:hint="eastAsia" w:ascii="宋体" w:hAnsi="宋体" w:eastAsia="宋体" w:cs="宋体"/>
          <w:sz w:val="24"/>
          <w:szCs w:val="24"/>
          <w:highlight w:val="none"/>
        </w:rPr>
        <w:t>，采购标的对应的中小企业划分标准所属行业为：</w:t>
      </w:r>
      <w:r>
        <w:rPr>
          <w:rFonts w:hint="eastAsia" w:ascii="宋体" w:hAnsi="宋体" w:eastAsia="宋体" w:cs="宋体"/>
          <w:sz w:val="24"/>
          <w:szCs w:val="24"/>
          <w:highlight w:val="none"/>
          <w:u w:val="single"/>
        </w:rPr>
        <w:t>其他未列明行业</w:t>
      </w:r>
      <w:r>
        <w:rPr>
          <w:rFonts w:hint="eastAsia" w:ascii="宋体" w:hAnsi="宋体" w:eastAsia="宋体" w:cs="宋体"/>
          <w:sz w:val="24"/>
          <w:szCs w:val="24"/>
          <w:highlight w:val="none"/>
        </w:rPr>
        <w:t>。</w:t>
      </w:r>
    </w:p>
    <w:p w14:paraId="6D5E187F">
      <w:pPr>
        <w:wordWrap/>
        <w:topLinePunct w:val="0"/>
        <w:bidi w:val="0"/>
        <w:adjustRightInd w:val="0"/>
        <w:snapToGrid w:val="0"/>
        <w:spacing w:line="360" w:lineRule="auto"/>
        <w:ind w:firstLine="482"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注：本项目标的所属行业为其他未列明行业。从业人员300人以下的为中小微型企业。其中，从业人员100人及以上的为中型企业；从业人员10人及以上的为小型企业；从业人员10人以下的为微型企业。</w:t>
      </w:r>
    </w:p>
    <w:p w14:paraId="00D79199">
      <w:pPr>
        <w:wordWrap/>
        <w:topLinePunct w:val="0"/>
        <w:bidi w:val="0"/>
        <w:adjustRightInd w:val="0"/>
        <w:snapToGrid w:val="0"/>
        <w:spacing w:line="360" w:lineRule="auto"/>
        <w:ind w:firstLine="482"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本项目需求中</w:t>
      </w:r>
      <w:r>
        <w:rPr>
          <w:rFonts w:hint="eastAsia" w:ascii="宋体" w:hAnsi="宋体" w:eastAsia="宋体" w:cs="宋体"/>
          <w:b/>
          <w:bCs/>
          <w:color w:val="auto"/>
          <w:kern w:val="0"/>
          <w:sz w:val="24"/>
          <w:szCs w:val="24"/>
          <w:highlight w:val="none"/>
          <w:lang w:val="en-US" w:eastAsia="zh-CN"/>
        </w:rPr>
        <w:t>标注</w:t>
      </w:r>
      <w:r>
        <w:rPr>
          <w:rFonts w:hint="eastAsia" w:ascii="宋体" w:hAnsi="宋体" w:eastAsia="宋体" w:cs="宋体"/>
          <w:b/>
          <w:bCs/>
          <w:color w:val="auto"/>
          <w:kern w:val="0"/>
          <w:sz w:val="24"/>
          <w:szCs w:val="24"/>
          <w:highlight w:val="none"/>
        </w:rPr>
        <w:t>★为实质性要求和条件</w:t>
      </w:r>
      <w:r>
        <w:rPr>
          <w:rFonts w:hint="eastAsia" w:ascii="宋体" w:hAnsi="宋体" w:eastAsia="宋体" w:cs="宋体"/>
          <w:b/>
          <w:bCs/>
          <w:kern w:val="0"/>
          <w:sz w:val="24"/>
          <w:szCs w:val="24"/>
          <w:highlight w:val="none"/>
        </w:rPr>
        <w:t>（由采购人根据实际情况设置），</w:t>
      </w:r>
      <w:r>
        <w:rPr>
          <w:rFonts w:hint="eastAsia" w:ascii="宋体" w:hAnsi="宋体" w:eastAsia="宋体" w:cs="宋体"/>
          <w:b/>
          <w:bCs/>
          <w:color w:val="FF0000"/>
          <w:kern w:val="0"/>
          <w:sz w:val="24"/>
          <w:szCs w:val="24"/>
          <w:highlight w:val="none"/>
        </w:rPr>
        <w:t>供应商必须逐条明确作出满足实质性要求和条件的响应，否则响应无效。</w:t>
      </w:r>
    </w:p>
    <w:p w14:paraId="7583C870">
      <w:pPr>
        <w:wordWrap/>
        <w:topLinePunct w:val="0"/>
        <w:bidi w:val="0"/>
        <w:adjustRightInd w:val="0"/>
        <w:snapToGrid w:val="0"/>
        <w:spacing w:line="360" w:lineRule="auto"/>
        <w:ind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一、项目概况</w:t>
      </w:r>
    </w:p>
    <w:p w14:paraId="7FF8F0F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rPr>
        <w:t>根据国家生态环境部、江苏省政府及相关部门发布的《环境空气质量监测点位布设技术规范HJ664-2013》、《关于加强挥发性有机物监测工作的通知》（环办监测函〔2020〕335号）、《省生态环境厅关于印发全省挥发性有机物强化监测方案的通知》（苏环办〔2020〕230号）、《全省省级及以上工业园区（集中区）监测监控能力》（苏环办〔2021〕144号）、江苏省工业园区限值限量环境质量自动监测站运行管理技术规范（苏环办〔2021〕142号）等标准规范文件精神和要求，</w:t>
      </w:r>
      <w:r>
        <w:rPr>
          <w:rFonts w:hint="eastAsia" w:ascii="宋体" w:hAnsi="宋体" w:eastAsia="宋体" w:cs="宋体"/>
          <w:kern w:val="0"/>
          <w:sz w:val="24"/>
          <w:szCs w:val="28"/>
          <w:highlight w:val="none"/>
        </w:rPr>
        <w:t>本项目计划完成</w:t>
      </w:r>
      <w:r>
        <w:rPr>
          <w:rFonts w:hint="eastAsia" w:ascii="宋体" w:hAnsi="宋体" w:eastAsia="宋体" w:cs="宋体"/>
          <w:kern w:val="0"/>
          <w:sz w:val="24"/>
          <w:szCs w:val="24"/>
          <w:highlight w:val="none"/>
        </w:rPr>
        <w:t>对徐圩新区</w:t>
      </w:r>
      <w:r>
        <w:rPr>
          <w:rFonts w:hint="eastAsia" w:ascii="宋体" w:hAnsi="宋体" w:eastAsia="宋体" w:cs="宋体"/>
          <w:kern w:val="0"/>
          <w:sz w:val="24"/>
          <w:szCs w:val="24"/>
          <w:highlight w:val="none"/>
          <w:lang w:val="en-US" w:eastAsia="zh-CN"/>
        </w:rPr>
        <w:t>7</w:t>
      </w:r>
      <w:r>
        <w:rPr>
          <w:rFonts w:hint="eastAsia" w:ascii="宋体" w:hAnsi="宋体" w:eastAsia="宋体" w:cs="宋体"/>
          <w:kern w:val="0"/>
          <w:sz w:val="24"/>
          <w:szCs w:val="24"/>
          <w:highlight w:val="none"/>
        </w:rPr>
        <w:t>座</w:t>
      </w:r>
      <w:r>
        <w:rPr>
          <w:rFonts w:hint="eastAsia" w:ascii="宋体" w:hAnsi="宋体" w:eastAsia="宋体" w:cs="宋体"/>
          <w:kern w:val="0"/>
          <w:sz w:val="24"/>
          <w:szCs w:val="24"/>
          <w:highlight w:val="none"/>
          <w:lang w:eastAsia="zh-CN"/>
        </w:rPr>
        <w:t>环境空气自动监测标准站</w:t>
      </w:r>
      <w:r>
        <w:rPr>
          <w:rFonts w:hint="eastAsia" w:ascii="宋体" w:hAnsi="宋体" w:eastAsia="宋体" w:cs="宋体"/>
          <w:kern w:val="0"/>
          <w:sz w:val="24"/>
          <w:szCs w:val="24"/>
          <w:highlight w:val="none"/>
        </w:rPr>
        <w:t>仪器设备进行运行维护，包括气象五参数、SO2 、NO2 、PM2.5 、PM10 、CO 、O3等仪器设备的日常运行维护</w:t>
      </w:r>
      <w:r>
        <w:rPr>
          <w:rFonts w:hint="eastAsia" w:ascii="宋体" w:hAnsi="宋体" w:eastAsia="宋体" w:cs="宋体"/>
          <w:kern w:val="0"/>
          <w:sz w:val="24"/>
          <w:szCs w:val="24"/>
          <w:highlight w:val="none"/>
          <w:lang w:val="en-US" w:eastAsia="zh-CN"/>
        </w:rPr>
        <w:t>以</w:t>
      </w:r>
      <w:r>
        <w:rPr>
          <w:rFonts w:hint="eastAsia" w:ascii="宋体" w:hAnsi="宋体" w:eastAsia="宋体" w:cs="宋体"/>
          <w:color w:val="auto"/>
          <w:kern w:val="0"/>
          <w:sz w:val="24"/>
          <w:szCs w:val="24"/>
          <w:highlight w:val="none"/>
          <w:lang w:val="en-US" w:eastAsia="zh-CN"/>
        </w:rPr>
        <w:t>及</w:t>
      </w:r>
      <w:r>
        <w:rPr>
          <w:rFonts w:hint="eastAsia" w:ascii="宋体" w:hAnsi="宋体" w:eastAsia="宋体" w:cs="宋体"/>
          <w:color w:val="auto"/>
          <w:sz w:val="24"/>
          <w:szCs w:val="24"/>
          <w:highlight w:val="none"/>
          <w:lang w:val="en-US" w:eastAsia="zh-CN"/>
        </w:rPr>
        <w:t>1座已停运的环境空气自动监测标准站</w:t>
      </w:r>
      <w:r>
        <w:rPr>
          <w:rFonts w:hint="eastAsia" w:ascii="宋体" w:hAnsi="宋体" w:eastAsia="宋体" w:cs="宋体"/>
          <w:sz w:val="24"/>
          <w:szCs w:val="24"/>
          <w:highlight w:val="none"/>
          <w:lang w:val="en-US" w:eastAsia="zh-CN"/>
        </w:rPr>
        <w:t>的日常看管等内容</w:t>
      </w: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val="en-US" w:eastAsia="zh-CN"/>
        </w:rPr>
        <w:t>具体站点信息见设备清单。</w:t>
      </w:r>
    </w:p>
    <w:p w14:paraId="1F36F325">
      <w:pPr>
        <w:wordWrap/>
        <w:topLinePunct w:val="0"/>
        <w:bidi w:val="0"/>
        <w:adjustRightInd w:val="0"/>
        <w:snapToGrid w:val="0"/>
        <w:spacing w:line="360" w:lineRule="auto"/>
        <w:ind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二、服务技术要求</w:t>
      </w:r>
    </w:p>
    <w:p w14:paraId="1F00F03B">
      <w:pPr>
        <w:wordWrap/>
        <w:topLinePunct w:val="0"/>
        <w:bidi w:val="0"/>
        <w:adjustRightInd w:val="0"/>
        <w:snapToGrid w:val="0"/>
        <w:spacing w:line="360" w:lineRule="auto"/>
        <w:ind w:firstLine="482"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1</w:t>
      </w:r>
      <w:r>
        <w:rPr>
          <w:rFonts w:hint="eastAsia" w:ascii="宋体" w:hAnsi="宋体" w:eastAsia="宋体" w:cs="宋体"/>
          <w:b/>
          <w:bCs/>
          <w:kern w:val="0"/>
          <w:sz w:val="24"/>
          <w:szCs w:val="24"/>
          <w:highlight w:val="none"/>
          <w:lang w:val="en-US" w:eastAsia="zh-CN"/>
        </w:rPr>
        <w:t>.</w:t>
      </w:r>
      <w:r>
        <w:rPr>
          <w:rFonts w:hint="eastAsia" w:ascii="宋体" w:hAnsi="宋体" w:eastAsia="宋体" w:cs="宋体"/>
          <w:b/>
          <w:bCs/>
          <w:kern w:val="0"/>
          <w:sz w:val="24"/>
          <w:szCs w:val="24"/>
          <w:highlight w:val="none"/>
        </w:rPr>
        <w:t>设备清单</w:t>
      </w:r>
    </w:p>
    <w:tbl>
      <w:tblPr>
        <w:tblStyle w:val="15"/>
        <w:tblW w:w="5244" w:type="pct"/>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4"/>
        <w:gridCol w:w="2441"/>
        <w:gridCol w:w="3119"/>
        <w:gridCol w:w="1334"/>
      </w:tblGrid>
      <w:tr w14:paraId="32794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3" w:type="pct"/>
            <w:shd w:val="clear" w:color="auto" w:fill="auto"/>
            <w:noWrap w:val="0"/>
            <w:vAlign w:val="center"/>
          </w:tcPr>
          <w:p w14:paraId="13147704">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站点名称</w:t>
            </w:r>
          </w:p>
        </w:tc>
        <w:tc>
          <w:tcPr>
            <w:tcW w:w="1365" w:type="pct"/>
            <w:shd w:val="clear" w:color="auto" w:fill="auto"/>
            <w:noWrap w:val="0"/>
            <w:vAlign w:val="center"/>
          </w:tcPr>
          <w:p w14:paraId="04296C38">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监测因子</w:t>
            </w:r>
          </w:p>
        </w:tc>
        <w:tc>
          <w:tcPr>
            <w:tcW w:w="1744" w:type="pct"/>
            <w:noWrap w:val="0"/>
            <w:vAlign w:val="center"/>
          </w:tcPr>
          <w:p w14:paraId="20D40633">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设备型号</w:t>
            </w:r>
          </w:p>
        </w:tc>
        <w:tc>
          <w:tcPr>
            <w:tcW w:w="746" w:type="pct"/>
            <w:noWrap w:val="0"/>
            <w:vAlign w:val="center"/>
          </w:tcPr>
          <w:p w14:paraId="5E1CE2AE">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备注</w:t>
            </w:r>
          </w:p>
        </w:tc>
      </w:tr>
      <w:tr w14:paraId="3B42B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3" w:type="pct"/>
            <w:shd w:val="clear" w:color="auto" w:fill="auto"/>
            <w:noWrap/>
            <w:vAlign w:val="center"/>
          </w:tcPr>
          <w:p w14:paraId="2F1E141B">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石化基地东边界</w:t>
            </w:r>
          </w:p>
        </w:tc>
        <w:tc>
          <w:tcPr>
            <w:tcW w:w="1365" w:type="pct"/>
            <w:shd w:val="clear" w:color="auto" w:fill="auto"/>
            <w:noWrap w:val="0"/>
            <w:vAlign w:val="center"/>
          </w:tcPr>
          <w:p w14:paraId="67882BFF">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气象五参数、 SO2 、NO2 、PM2.5 、PM10 、CO 、O3</w:t>
            </w:r>
          </w:p>
        </w:tc>
        <w:tc>
          <w:tcPr>
            <w:tcW w:w="1744" w:type="pct"/>
            <w:noWrap w:val="0"/>
            <w:vAlign w:val="center"/>
          </w:tcPr>
          <w:p w14:paraId="3401F44C">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氮氧化物  赛默飞  42i</w:t>
            </w:r>
          </w:p>
          <w:p w14:paraId="5F024ED7">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二氧化硫  赛默飞  43i</w:t>
            </w:r>
          </w:p>
          <w:p w14:paraId="61781707">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一氧化碳  赛默飞  48i</w:t>
            </w:r>
          </w:p>
          <w:p w14:paraId="5007941D">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臭氧      赛默飞  49i</w:t>
            </w:r>
          </w:p>
          <w:p w14:paraId="1E80C3FD">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5014i</w:t>
            </w:r>
          </w:p>
          <w:p w14:paraId="271B2860">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5030i</w:t>
            </w:r>
          </w:p>
        </w:tc>
        <w:tc>
          <w:tcPr>
            <w:tcW w:w="746" w:type="pct"/>
            <w:noWrap w:val="0"/>
            <w:vAlign w:val="center"/>
          </w:tcPr>
          <w:p w14:paraId="0C31E8C4">
            <w:pPr>
              <w:bidi w:val="0"/>
              <w:jc w:val="left"/>
              <w:rPr>
                <w:rFonts w:hint="eastAsia" w:ascii="宋体" w:hAnsi="宋体" w:eastAsia="宋体" w:cs="宋体"/>
                <w:sz w:val="24"/>
                <w:szCs w:val="24"/>
                <w:highlight w:val="none"/>
              </w:rPr>
            </w:pPr>
          </w:p>
        </w:tc>
      </w:tr>
      <w:tr w14:paraId="481E2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3" w:type="pct"/>
            <w:shd w:val="clear" w:color="auto" w:fill="auto"/>
            <w:noWrap/>
            <w:vAlign w:val="center"/>
          </w:tcPr>
          <w:p w14:paraId="6D8B6F75">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石化基地西边界</w:t>
            </w:r>
          </w:p>
        </w:tc>
        <w:tc>
          <w:tcPr>
            <w:tcW w:w="1365" w:type="pct"/>
            <w:shd w:val="clear" w:color="auto" w:fill="auto"/>
            <w:noWrap w:val="0"/>
            <w:vAlign w:val="center"/>
          </w:tcPr>
          <w:p w14:paraId="2AE65DD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气象五参数、 SO2 、NO2 、PM2.5 、PM10 、CO 、O3</w:t>
            </w:r>
          </w:p>
        </w:tc>
        <w:tc>
          <w:tcPr>
            <w:tcW w:w="1744" w:type="pct"/>
            <w:noWrap w:val="0"/>
            <w:vAlign w:val="center"/>
          </w:tcPr>
          <w:p w14:paraId="4A22346E">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氮氧化物  赛默飞  42i</w:t>
            </w:r>
          </w:p>
          <w:p w14:paraId="0698420C">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二氧化硫  赛默飞  43i</w:t>
            </w:r>
          </w:p>
          <w:p w14:paraId="2330526E">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一氧化碳  赛默飞  48i</w:t>
            </w:r>
          </w:p>
          <w:p w14:paraId="16D9123A">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臭氧      赛默飞  49i</w:t>
            </w:r>
          </w:p>
          <w:p w14:paraId="521C03F7">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5014i</w:t>
            </w:r>
          </w:p>
          <w:p w14:paraId="5752C276">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5030i</w:t>
            </w:r>
          </w:p>
        </w:tc>
        <w:tc>
          <w:tcPr>
            <w:tcW w:w="746" w:type="pct"/>
            <w:noWrap w:val="0"/>
            <w:vAlign w:val="center"/>
          </w:tcPr>
          <w:p w14:paraId="7FD2720F">
            <w:pPr>
              <w:bidi w:val="0"/>
              <w:jc w:val="left"/>
              <w:rPr>
                <w:rFonts w:hint="eastAsia" w:ascii="宋体" w:hAnsi="宋体" w:eastAsia="宋体" w:cs="宋体"/>
                <w:sz w:val="24"/>
                <w:szCs w:val="24"/>
                <w:highlight w:val="none"/>
              </w:rPr>
            </w:pPr>
          </w:p>
        </w:tc>
      </w:tr>
      <w:tr w14:paraId="5CF62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3" w:type="pct"/>
            <w:shd w:val="clear" w:color="auto" w:fill="auto"/>
            <w:noWrap/>
            <w:vAlign w:val="center"/>
          </w:tcPr>
          <w:p w14:paraId="57C1548D">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香河湖站</w:t>
            </w:r>
          </w:p>
        </w:tc>
        <w:tc>
          <w:tcPr>
            <w:tcW w:w="1365" w:type="pct"/>
            <w:shd w:val="clear" w:color="auto" w:fill="auto"/>
            <w:noWrap w:val="0"/>
            <w:vAlign w:val="center"/>
          </w:tcPr>
          <w:p w14:paraId="1F08A612">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气象五参数、 SO2 、NO2 、PM2.5 、PM10 、CO 、O3 </w:t>
            </w:r>
          </w:p>
        </w:tc>
        <w:tc>
          <w:tcPr>
            <w:tcW w:w="1744" w:type="pct"/>
            <w:noWrap w:val="0"/>
            <w:vAlign w:val="center"/>
          </w:tcPr>
          <w:p w14:paraId="5A0CB557">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氮氧化物  赛默飞  42i</w:t>
            </w:r>
          </w:p>
          <w:p w14:paraId="44BFDE9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二氧化硫  赛默飞  43i</w:t>
            </w:r>
          </w:p>
          <w:p w14:paraId="1756D8C5">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一氧化碳  赛默飞  48i</w:t>
            </w:r>
          </w:p>
          <w:p w14:paraId="1F487B35">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臭氧      赛默飞  49i</w:t>
            </w:r>
          </w:p>
          <w:p w14:paraId="3301AA60">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5014i</w:t>
            </w:r>
          </w:p>
          <w:p w14:paraId="43B2D43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5030i</w:t>
            </w:r>
          </w:p>
        </w:tc>
        <w:tc>
          <w:tcPr>
            <w:tcW w:w="746" w:type="pct"/>
            <w:noWrap w:val="0"/>
            <w:vAlign w:val="center"/>
          </w:tcPr>
          <w:p w14:paraId="0547CA33">
            <w:pPr>
              <w:bidi w:val="0"/>
              <w:jc w:val="left"/>
              <w:rPr>
                <w:rFonts w:hint="eastAsia" w:ascii="宋体" w:hAnsi="宋体" w:eastAsia="宋体" w:cs="宋体"/>
                <w:sz w:val="24"/>
                <w:szCs w:val="24"/>
                <w:highlight w:val="none"/>
              </w:rPr>
            </w:pPr>
          </w:p>
        </w:tc>
      </w:tr>
      <w:tr w14:paraId="145A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3" w:type="pct"/>
            <w:shd w:val="clear" w:color="auto" w:fill="auto"/>
            <w:noWrap w:val="0"/>
            <w:vAlign w:val="center"/>
          </w:tcPr>
          <w:p w14:paraId="2FFC3C04">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张圩社区站</w:t>
            </w:r>
          </w:p>
        </w:tc>
        <w:tc>
          <w:tcPr>
            <w:tcW w:w="1365" w:type="pct"/>
            <w:shd w:val="clear" w:color="auto" w:fill="auto"/>
            <w:noWrap w:val="0"/>
            <w:vAlign w:val="center"/>
          </w:tcPr>
          <w:p w14:paraId="01D1D7DA">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气象五参数、 SO2 、NO2 、PM2.5 、PM10 、CO 、O3</w:t>
            </w:r>
          </w:p>
        </w:tc>
        <w:tc>
          <w:tcPr>
            <w:tcW w:w="1744" w:type="pct"/>
            <w:noWrap w:val="0"/>
            <w:vAlign w:val="center"/>
          </w:tcPr>
          <w:p w14:paraId="6ECC7EC4">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氮氧化物  赛默飞  42i</w:t>
            </w:r>
          </w:p>
          <w:p w14:paraId="44038740">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二氧化硫  赛默飞  43i</w:t>
            </w:r>
          </w:p>
          <w:p w14:paraId="37F3723A">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一氧化碳  赛默飞  48i</w:t>
            </w:r>
          </w:p>
          <w:p w14:paraId="3FD199AC">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臭氧      赛默飞  49i</w:t>
            </w:r>
          </w:p>
          <w:p w14:paraId="3158575E">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5014i</w:t>
            </w:r>
          </w:p>
          <w:p w14:paraId="620C4457">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5030i</w:t>
            </w:r>
          </w:p>
        </w:tc>
        <w:tc>
          <w:tcPr>
            <w:tcW w:w="746" w:type="pct"/>
            <w:noWrap w:val="0"/>
            <w:vAlign w:val="center"/>
          </w:tcPr>
          <w:p w14:paraId="37C977F9">
            <w:pPr>
              <w:bidi w:val="0"/>
              <w:jc w:val="left"/>
              <w:rPr>
                <w:rFonts w:hint="eastAsia" w:ascii="宋体" w:hAnsi="宋体" w:eastAsia="宋体" w:cs="宋体"/>
                <w:sz w:val="24"/>
                <w:szCs w:val="24"/>
                <w:highlight w:val="none"/>
              </w:rPr>
            </w:pPr>
          </w:p>
        </w:tc>
      </w:tr>
      <w:tr w14:paraId="1EFA5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3" w:type="pct"/>
            <w:shd w:val="clear" w:color="auto" w:fill="auto"/>
            <w:noWrap/>
            <w:vAlign w:val="center"/>
          </w:tcPr>
          <w:p w14:paraId="1BDA3B01">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珠江钢管站</w:t>
            </w:r>
          </w:p>
        </w:tc>
        <w:tc>
          <w:tcPr>
            <w:tcW w:w="1365" w:type="pct"/>
            <w:shd w:val="clear" w:color="auto" w:fill="auto"/>
            <w:noWrap w:val="0"/>
            <w:vAlign w:val="center"/>
          </w:tcPr>
          <w:p w14:paraId="0A9219C6">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气象五参数、 PM2.5 、PM10</w:t>
            </w:r>
          </w:p>
        </w:tc>
        <w:tc>
          <w:tcPr>
            <w:tcW w:w="1744" w:type="pct"/>
            <w:noWrap w:val="0"/>
            <w:vAlign w:val="center"/>
          </w:tcPr>
          <w:p w14:paraId="33D08529">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氮氧化物  赛默飞  42i</w:t>
            </w:r>
          </w:p>
          <w:p w14:paraId="20E2D438">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二氧化硫  赛默飞  43i</w:t>
            </w:r>
          </w:p>
          <w:p w14:paraId="782A99B6">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一氧化碳  赛默飞  48i</w:t>
            </w:r>
          </w:p>
          <w:p w14:paraId="6384071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臭氧      赛默飞  49i</w:t>
            </w:r>
          </w:p>
          <w:p w14:paraId="069237AB">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5014i</w:t>
            </w:r>
          </w:p>
          <w:p w14:paraId="4359DFB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5030i</w:t>
            </w:r>
          </w:p>
        </w:tc>
        <w:tc>
          <w:tcPr>
            <w:tcW w:w="746" w:type="pct"/>
            <w:noWrap w:val="0"/>
            <w:vAlign w:val="center"/>
          </w:tcPr>
          <w:p w14:paraId="0544DE0B">
            <w:pPr>
              <w:bidi w:val="0"/>
              <w:jc w:val="left"/>
              <w:rPr>
                <w:rFonts w:hint="eastAsia" w:ascii="宋体" w:hAnsi="宋体" w:eastAsia="宋体" w:cs="宋体"/>
                <w:sz w:val="24"/>
                <w:szCs w:val="24"/>
                <w:highlight w:val="none"/>
              </w:rPr>
            </w:pPr>
          </w:p>
        </w:tc>
      </w:tr>
      <w:tr w14:paraId="48862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3" w:type="pct"/>
            <w:shd w:val="clear" w:color="auto" w:fill="auto"/>
            <w:noWrap w:val="0"/>
            <w:vAlign w:val="center"/>
          </w:tcPr>
          <w:p w14:paraId="26B33146">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精细化工园区站</w:t>
            </w:r>
          </w:p>
        </w:tc>
        <w:tc>
          <w:tcPr>
            <w:tcW w:w="1365" w:type="pct"/>
            <w:shd w:val="clear" w:color="auto" w:fill="auto"/>
            <w:noWrap w:val="0"/>
            <w:vAlign w:val="center"/>
          </w:tcPr>
          <w:p w14:paraId="6466CD9A">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气象五参数、SO2 、NO2 、PM2.5 、PM10 、CO 、O3</w:t>
            </w:r>
          </w:p>
        </w:tc>
        <w:tc>
          <w:tcPr>
            <w:tcW w:w="1744" w:type="pct"/>
            <w:noWrap w:val="0"/>
            <w:vAlign w:val="center"/>
          </w:tcPr>
          <w:p w14:paraId="4AE4FE51">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氮氧化物  赛默飞  42i</w:t>
            </w:r>
          </w:p>
          <w:p w14:paraId="4BF2818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二氧化硫  赛默飞  43i</w:t>
            </w:r>
          </w:p>
          <w:p w14:paraId="131CE199">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一氧化碳  赛默飞  48i</w:t>
            </w:r>
          </w:p>
          <w:p w14:paraId="2AA62FF1">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臭氧      赛默飞  49i</w:t>
            </w:r>
          </w:p>
          <w:p w14:paraId="68F5F00D">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5014i</w:t>
            </w:r>
          </w:p>
          <w:p w14:paraId="3249ACED">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5030i</w:t>
            </w:r>
          </w:p>
        </w:tc>
        <w:tc>
          <w:tcPr>
            <w:tcW w:w="746" w:type="pct"/>
            <w:noWrap w:val="0"/>
            <w:vAlign w:val="center"/>
          </w:tcPr>
          <w:p w14:paraId="0690D060">
            <w:pPr>
              <w:bidi w:val="0"/>
              <w:jc w:val="left"/>
              <w:rPr>
                <w:rFonts w:hint="eastAsia" w:ascii="宋体" w:hAnsi="宋体" w:eastAsia="宋体" w:cs="宋体"/>
                <w:sz w:val="24"/>
                <w:szCs w:val="24"/>
                <w:highlight w:val="none"/>
              </w:rPr>
            </w:pPr>
          </w:p>
        </w:tc>
      </w:tr>
      <w:tr w14:paraId="4E690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3" w:type="pct"/>
            <w:shd w:val="clear" w:color="auto" w:fill="auto"/>
            <w:noWrap w:val="0"/>
            <w:vAlign w:val="center"/>
          </w:tcPr>
          <w:p w14:paraId="546B91DE">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徐圩港区站</w:t>
            </w:r>
          </w:p>
        </w:tc>
        <w:tc>
          <w:tcPr>
            <w:tcW w:w="1365" w:type="pct"/>
            <w:shd w:val="clear" w:color="auto" w:fill="auto"/>
            <w:noWrap w:val="0"/>
            <w:vAlign w:val="center"/>
          </w:tcPr>
          <w:p w14:paraId="13D72C0B">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气象五参数、SO2 、NO2 、PM2.5 、PM10 、CO 、O3</w:t>
            </w:r>
          </w:p>
        </w:tc>
        <w:tc>
          <w:tcPr>
            <w:tcW w:w="1744" w:type="pct"/>
            <w:noWrap w:val="0"/>
            <w:vAlign w:val="center"/>
          </w:tcPr>
          <w:p w14:paraId="316FC80D">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氮氧化物  赛默飞  42i</w:t>
            </w:r>
          </w:p>
          <w:p w14:paraId="1E0F2A04">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二氧化硫  赛默飞  43i</w:t>
            </w:r>
          </w:p>
          <w:p w14:paraId="1634EA62">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一氧化碳  赛默飞  48i</w:t>
            </w:r>
          </w:p>
          <w:p w14:paraId="63544C35">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臭氧      赛默飞  49i</w:t>
            </w:r>
          </w:p>
          <w:p w14:paraId="3A45A8D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5014i</w:t>
            </w:r>
          </w:p>
          <w:p w14:paraId="3F32C28D">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5030i</w:t>
            </w:r>
          </w:p>
        </w:tc>
        <w:tc>
          <w:tcPr>
            <w:tcW w:w="746" w:type="pct"/>
            <w:noWrap w:val="0"/>
            <w:vAlign w:val="center"/>
          </w:tcPr>
          <w:p w14:paraId="2F8F116B">
            <w:pPr>
              <w:bidi w:val="0"/>
              <w:jc w:val="left"/>
              <w:rPr>
                <w:rFonts w:hint="eastAsia" w:ascii="宋体" w:hAnsi="宋体" w:eastAsia="宋体" w:cs="宋体"/>
                <w:sz w:val="24"/>
                <w:szCs w:val="24"/>
                <w:highlight w:val="none"/>
              </w:rPr>
            </w:pPr>
          </w:p>
        </w:tc>
      </w:tr>
      <w:tr w14:paraId="30D71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43" w:type="pct"/>
            <w:shd w:val="clear" w:color="auto" w:fill="auto"/>
            <w:noWrap w:val="0"/>
            <w:vAlign w:val="center"/>
          </w:tcPr>
          <w:p w14:paraId="6A99040C">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云湖站</w:t>
            </w:r>
          </w:p>
        </w:tc>
        <w:tc>
          <w:tcPr>
            <w:tcW w:w="1365" w:type="pct"/>
            <w:shd w:val="clear" w:color="auto" w:fill="auto"/>
            <w:noWrap w:val="0"/>
            <w:vAlign w:val="center"/>
          </w:tcPr>
          <w:p w14:paraId="7F45FDCD">
            <w:pPr>
              <w:bidi w:val="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气象五参数、SO2 、NO2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xml:space="preserve"> PM2.5 、PM10 、CO 、O3 </w:t>
            </w:r>
          </w:p>
        </w:tc>
        <w:tc>
          <w:tcPr>
            <w:tcW w:w="1744" w:type="pct"/>
            <w:noWrap w:val="0"/>
            <w:vAlign w:val="top"/>
          </w:tcPr>
          <w:p w14:paraId="23627627">
            <w:pPr>
              <w:bidi w:val="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氮氧化物  赛默飞  42i</w:t>
            </w:r>
          </w:p>
          <w:p w14:paraId="70E2A86B">
            <w:pPr>
              <w:bidi w:val="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二氧化硫  赛默飞  43i</w:t>
            </w:r>
          </w:p>
          <w:p w14:paraId="7EA0D78E">
            <w:pPr>
              <w:bidi w:val="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一氧化碳  赛默飞  48i</w:t>
            </w:r>
          </w:p>
          <w:p w14:paraId="5C680338">
            <w:pPr>
              <w:bidi w:val="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臭氧      赛默飞  49i</w:t>
            </w:r>
          </w:p>
          <w:p w14:paraId="314A333F">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颗粒物    赛默飞  5014i</w:t>
            </w:r>
          </w:p>
          <w:p w14:paraId="1490222A">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颗粒物    赛默飞  5030i</w:t>
            </w:r>
          </w:p>
        </w:tc>
        <w:tc>
          <w:tcPr>
            <w:tcW w:w="746" w:type="pct"/>
            <w:noWrap w:val="0"/>
            <w:vAlign w:val="center"/>
          </w:tcPr>
          <w:p w14:paraId="392EB1F2">
            <w:pPr>
              <w:bidi w:val="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已停运，需进行日常看管，每月进行检查</w:t>
            </w:r>
          </w:p>
        </w:tc>
      </w:tr>
    </w:tbl>
    <w:p w14:paraId="4F7BC942">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ind w:firstLine="482"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lang w:val="en-US" w:eastAsia="zh-CN" w:bidi="ar-SA"/>
        </w:rPr>
        <w:t>2.</w:t>
      </w:r>
      <w:r>
        <w:rPr>
          <w:rFonts w:hint="eastAsia" w:ascii="宋体" w:hAnsi="宋体" w:eastAsia="宋体" w:cs="宋体"/>
          <w:b/>
          <w:bCs/>
          <w:kern w:val="0"/>
          <w:sz w:val="24"/>
          <w:szCs w:val="24"/>
          <w:highlight w:val="none"/>
        </w:rPr>
        <w:t>运维服务需求</w:t>
      </w:r>
    </w:p>
    <w:p w14:paraId="18A27CF2">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360" w:lineRule="auto"/>
        <w:jc w:val="center"/>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运营维护服务工作要求一览表</w:t>
      </w:r>
    </w:p>
    <w:tbl>
      <w:tblPr>
        <w:tblStyle w:val="1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5"/>
        <w:gridCol w:w="1560"/>
        <w:gridCol w:w="6054"/>
      </w:tblGrid>
      <w:tr w14:paraId="6C32A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1" w:type="pct"/>
            <w:shd w:val="clear" w:color="auto" w:fill="auto"/>
            <w:noWrap w:val="0"/>
            <w:vAlign w:val="center"/>
          </w:tcPr>
          <w:p w14:paraId="6B3DD4CA">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915" w:type="pct"/>
            <w:shd w:val="clear" w:color="auto" w:fill="auto"/>
            <w:noWrap w:val="0"/>
            <w:vAlign w:val="center"/>
          </w:tcPr>
          <w:p w14:paraId="094A798D">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服务项目</w:t>
            </w:r>
          </w:p>
        </w:tc>
        <w:tc>
          <w:tcPr>
            <w:tcW w:w="3552" w:type="pct"/>
            <w:noWrap w:val="0"/>
            <w:vAlign w:val="center"/>
          </w:tcPr>
          <w:p w14:paraId="0E360218">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服务内容</w:t>
            </w:r>
          </w:p>
        </w:tc>
      </w:tr>
      <w:tr w14:paraId="55183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1" w:type="pct"/>
            <w:shd w:val="clear" w:color="auto" w:fill="auto"/>
            <w:noWrap/>
            <w:vAlign w:val="center"/>
          </w:tcPr>
          <w:p w14:paraId="24E2FAAD">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15" w:type="pct"/>
            <w:shd w:val="clear" w:color="auto" w:fill="auto"/>
            <w:noWrap w:val="0"/>
            <w:vAlign w:val="center"/>
          </w:tcPr>
          <w:p w14:paraId="71E1F6D1">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系统运行管理</w:t>
            </w:r>
          </w:p>
        </w:tc>
        <w:tc>
          <w:tcPr>
            <w:tcW w:w="3552" w:type="pct"/>
            <w:noWrap w:val="0"/>
            <w:vAlign w:val="center"/>
          </w:tcPr>
          <w:p w14:paraId="6EC8CDD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必须保障监测子站及仪器设备的安全；</w:t>
            </w:r>
          </w:p>
          <w:p w14:paraId="7B42EA5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每周对自动站至少巡检一次，检查系统气路，监测仪器、 数据采集存储和传输系统、校准系统和其他辅助设备等运行是 否正常，做好记录，若发现问题，及时查明原因并按应急管理中的实现要求处理。确认。</w:t>
            </w:r>
          </w:p>
          <w:p w14:paraId="51073CAE">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检查采样总管系统、支路管线结合部和排气管路，查看是否</w:t>
            </w:r>
            <w:r>
              <w:rPr>
                <w:rFonts w:hint="eastAsia" w:ascii="宋体" w:hAnsi="宋体" w:eastAsia="宋体" w:cs="宋体"/>
                <w:sz w:val="24"/>
                <w:szCs w:val="24"/>
                <w:highlight w:val="none"/>
                <w:lang w:val="en-US" w:eastAsia="zh-CN"/>
              </w:rPr>
              <w:t>有</w:t>
            </w:r>
            <w:r>
              <w:rPr>
                <w:rFonts w:hint="eastAsia" w:ascii="宋体" w:hAnsi="宋体" w:eastAsia="宋体" w:cs="宋体"/>
                <w:sz w:val="24"/>
                <w:szCs w:val="24"/>
                <w:highlight w:val="none"/>
              </w:rPr>
              <w:t>漏气或堵塞现象。</w:t>
            </w:r>
          </w:p>
          <w:p w14:paraId="7B5D4621">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定期清洗气体采样总管，每半年至少清洗一次，采样总管与支管内不能有明显积尘。</w:t>
            </w:r>
          </w:p>
          <w:p w14:paraId="29AA986C">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颗粒物采样头至少每月清洗 1 次，滤网无明显积尘，滤水瓶无积水。</w:t>
            </w:r>
          </w:p>
          <w:p w14:paraId="6B0CBC2C">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校准系统所需的氧化剂和净化剂每半年更换一次。</w:t>
            </w:r>
          </w:p>
          <w:p w14:paraId="3CB1AA2F">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检查标准气体钢瓶是否安全固定、阀门是否漏气、标准气体的有效期限和消耗情况等。</w:t>
            </w:r>
          </w:p>
          <w:p w14:paraId="0174EB4F">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根据实际情况及时排空空气压缩机储气瓶中的积水。</w:t>
            </w:r>
          </w:p>
          <w:p w14:paraId="0EEBE55A">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定期清洗气象五参数设备，每季度至少清洗一次。</w:t>
            </w:r>
          </w:p>
          <w:p w14:paraId="633A1CEA">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认真、及时做好各类记录，以周计划、月总结的形式报园区管委会</w:t>
            </w:r>
            <w:r>
              <w:rPr>
                <w:rFonts w:hint="eastAsia" w:ascii="宋体" w:hAnsi="宋体" w:eastAsia="宋体" w:cs="宋体"/>
                <w:sz w:val="24"/>
                <w:szCs w:val="24"/>
                <w:highlight w:val="none"/>
                <w:lang w:eastAsia="zh-CN"/>
              </w:rPr>
              <w:t>，以</w:t>
            </w:r>
            <w:r>
              <w:rPr>
                <w:rFonts w:hint="eastAsia" w:ascii="宋体" w:hAnsi="宋体" w:eastAsia="宋体" w:cs="宋体"/>
                <w:sz w:val="24"/>
                <w:szCs w:val="24"/>
                <w:highlight w:val="none"/>
              </w:rPr>
              <w:t>书面报告作为运行维护考核依据之一，包括：</w:t>
            </w:r>
          </w:p>
          <w:p w14:paraId="46828BEB">
            <w:pPr>
              <w:bidi w:val="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rPr>
              <w:t>每日远程监控</w:t>
            </w:r>
            <w:r>
              <w:rPr>
                <w:rFonts w:hint="eastAsia" w:ascii="宋体" w:hAnsi="宋体" w:eastAsia="宋体" w:cs="宋体"/>
                <w:sz w:val="24"/>
                <w:szCs w:val="24"/>
                <w:highlight w:val="none"/>
                <w:lang w:eastAsia="zh-CN"/>
              </w:rPr>
              <w:t>记录表</w:t>
            </w:r>
          </w:p>
          <w:p w14:paraId="66BE6C99">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rPr>
              <w:t>每周工作计划表</w:t>
            </w:r>
          </w:p>
          <w:p w14:paraId="32F0B2B5">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③</w:t>
            </w:r>
            <w:r>
              <w:rPr>
                <w:rFonts w:hint="eastAsia" w:ascii="宋体" w:hAnsi="宋体" w:eastAsia="宋体" w:cs="宋体"/>
                <w:sz w:val="24"/>
                <w:szCs w:val="24"/>
                <w:highlight w:val="none"/>
              </w:rPr>
              <w:t>仪器设备维护记录表</w:t>
            </w:r>
          </w:p>
          <w:p w14:paraId="25EF65D1">
            <w:pPr>
              <w:bidi w:val="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④</w:t>
            </w:r>
            <w:r>
              <w:rPr>
                <w:rFonts w:hint="eastAsia" w:ascii="宋体" w:hAnsi="宋体" w:eastAsia="宋体" w:cs="宋体"/>
                <w:sz w:val="24"/>
                <w:szCs w:val="24"/>
                <w:highlight w:val="none"/>
              </w:rPr>
              <w:t>备件耗材更换</w:t>
            </w:r>
            <w:r>
              <w:rPr>
                <w:rFonts w:hint="eastAsia" w:ascii="宋体" w:hAnsi="宋体" w:eastAsia="宋体" w:cs="宋体"/>
                <w:sz w:val="24"/>
                <w:szCs w:val="24"/>
                <w:highlight w:val="none"/>
                <w:lang w:eastAsia="zh-CN"/>
              </w:rPr>
              <w:t>记录表</w:t>
            </w:r>
          </w:p>
          <w:p w14:paraId="664C33B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⑤</w:t>
            </w:r>
            <w:r>
              <w:rPr>
                <w:rFonts w:hint="eastAsia" w:ascii="宋体" w:hAnsi="宋体" w:eastAsia="宋体" w:cs="宋体"/>
                <w:sz w:val="24"/>
                <w:szCs w:val="24"/>
                <w:highlight w:val="none"/>
              </w:rPr>
              <w:t>故障处理申报表</w:t>
            </w:r>
          </w:p>
          <w:p w14:paraId="55C8B8AD">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⑥</w:t>
            </w:r>
            <w:r>
              <w:rPr>
                <w:rFonts w:hint="eastAsia" w:ascii="宋体" w:hAnsi="宋体" w:eastAsia="宋体" w:cs="宋体"/>
                <w:sz w:val="24"/>
                <w:szCs w:val="24"/>
                <w:highlight w:val="none"/>
              </w:rPr>
              <w:t>质控检查结果记录表</w:t>
            </w:r>
          </w:p>
          <w:p w14:paraId="52299B51">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月度自动监测数据统计表</w:t>
            </w:r>
          </w:p>
        </w:tc>
      </w:tr>
      <w:tr w14:paraId="40E52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1" w:type="pct"/>
            <w:shd w:val="clear" w:color="auto" w:fill="auto"/>
            <w:noWrap/>
            <w:vAlign w:val="center"/>
          </w:tcPr>
          <w:p w14:paraId="3D6931B2">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15" w:type="pct"/>
            <w:shd w:val="clear" w:color="auto" w:fill="auto"/>
            <w:noWrap w:val="0"/>
            <w:vAlign w:val="center"/>
          </w:tcPr>
          <w:p w14:paraId="5F956288">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质量控制</w:t>
            </w:r>
          </w:p>
        </w:tc>
        <w:tc>
          <w:tcPr>
            <w:tcW w:w="3552" w:type="pct"/>
            <w:noWrap w:val="0"/>
            <w:vAlign w:val="center"/>
          </w:tcPr>
          <w:p w14:paraId="72F6DDFE">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气体分析仪</w:t>
            </w:r>
          </w:p>
          <w:p w14:paraId="67AC79C8">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rPr>
              <w:t>每周一次零点、标点检查或校准，并做好记录。</w:t>
            </w:r>
          </w:p>
          <w:p w14:paraId="03E9470E">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rPr>
              <w:t>每季度一次精密度检查并做好记录。</w:t>
            </w:r>
          </w:p>
          <w:p w14:paraId="7073582F">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③</w:t>
            </w:r>
            <w:r>
              <w:rPr>
                <w:rFonts w:hint="eastAsia" w:ascii="宋体" w:hAnsi="宋体" w:eastAsia="宋体" w:cs="宋体"/>
                <w:sz w:val="24"/>
                <w:szCs w:val="24"/>
                <w:highlight w:val="none"/>
              </w:rPr>
              <w:t>每半年一次流量检查、使用可追溯标准流量计。</w:t>
            </w:r>
          </w:p>
          <w:p w14:paraId="70A73FD3">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④</w:t>
            </w:r>
            <w:r>
              <w:rPr>
                <w:rFonts w:hint="eastAsia" w:ascii="宋体" w:hAnsi="宋体" w:eastAsia="宋体" w:cs="宋体"/>
                <w:sz w:val="24"/>
                <w:szCs w:val="24"/>
                <w:highlight w:val="none"/>
              </w:rPr>
              <w:t>氮氧化物分析仪的钼炉转化率每年至少检查一次。</w:t>
            </w:r>
          </w:p>
          <w:p w14:paraId="6BAFF955">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⑤</w:t>
            </w:r>
            <w:r>
              <w:rPr>
                <w:rFonts w:hint="eastAsia" w:ascii="宋体" w:hAnsi="宋体" w:eastAsia="宋体" w:cs="宋体"/>
                <w:sz w:val="24"/>
                <w:szCs w:val="24"/>
                <w:highlight w:val="none"/>
              </w:rPr>
              <w:t>每半年一次子站 O3 溯源与标准传递，并做好记录。</w:t>
            </w:r>
          </w:p>
          <w:p w14:paraId="2486A869">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⑥</w:t>
            </w:r>
            <w:r>
              <w:rPr>
                <w:rFonts w:hint="eastAsia" w:ascii="宋体" w:hAnsi="宋体" w:eastAsia="宋体" w:cs="宋体"/>
                <w:sz w:val="24"/>
                <w:szCs w:val="24"/>
                <w:highlight w:val="none"/>
              </w:rPr>
              <w:t>每半年一次多点线性校准并做好记录。</w:t>
            </w:r>
          </w:p>
          <w:p w14:paraId="1A45A2D7">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⑦</w:t>
            </w:r>
            <w:r>
              <w:rPr>
                <w:rFonts w:hint="eastAsia" w:ascii="宋体" w:hAnsi="宋体" w:eastAsia="宋体" w:cs="宋体"/>
                <w:sz w:val="24"/>
                <w:szCs w:val="24"/>
                <w:highlight w:val="none"/>
              </w:rPr>
              <w:t>仪器维修更换重要部件（如光电部件和光学部件等）后要进行多点线性校准。</w:t>
            </w:r>
          </w:p>
          <w:p w14:paraId="549E66C6">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颗粒物分析仪</w:t>
            </w:r>
          </w:p>
          <w:p w14:paraId="7E8E1C60">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①</w:t>
            </w:r>
            <w:r>
              <w:rPr>
                <w:rFonts w:hint="eastAsia" w:ascii="宋体" w:hAnsi="宋体" w:eastAsia="宋体" w:cs="宋体"/>
                <w:sz w:val="24"/>
                <w:szCs w:val="24"/>
                <w:highlight w:val="none"/>
              </w:rPr>
              <w:t>光浊度计/β射线法每半年一次流量校准，每季度一次浊度 计零点校准，每年一次标准膜质量校准，每年一次环境温度/压力校准并做好记录。</w:t>
            </w:r>
          </w:p>
          <w:p w14:paraId="2501E9BB">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w:t>
            </w:r>
            <w:r>
              <w:rPr>
                <w:rFonts w:hint="eastAsia" w:ascii="宋体" w:hAnsi="宋体" w:eastAsia="宋体" w:cs="宋体"/>
                <w:sz w:val="24"/>
                <w:szCs w:val="24"/>
                <w:highlight w:val="none"/>
              </w:rPr>
              <w:t>校准设备</w:t>
            </w:r>
          </w:p>
          <w:p w14:paraId="3C839FF1">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每年进行一次标气和零气的质量流量计校准并做好记录。</w:t>
            </w:r>
          </w:p>
        </w:tc>
      </w:tr>
      <w:tr w14:paraId="1AAD2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1" w:type="pct"/>
            <w:shd w:val="clear" w:color="auto" w:fill="auto"/>
            <w:noWrap/>
            <w:vAlign w:val="center"/>
          </w:tcPr>
          <w:p w14:paraId="1EFA7CBB">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15" w:type="pct"/>
            <w:shd w:val="clear" w:color="auto" w:fill="auto"/>
            <w:noWrap w:val="0"/>
            <w:vAlign w:val="center"/>
          </w:tcPr>
          <w:p w14:paraId="5E3D73C8">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应急管理</w:t>
            </w:r>
          </w:p>
        </w:tc>
        <w:tc>
          <w:tcPr>
            <w:tcW w:w="3552" w:type="pct"/>
            <w:noWrap w:val="0"/>
            <w:vAlign w:val="center"/>
          </w:tcPr>
          <w:p w14:paraId="5D5FB7E1">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出现监测数据异常、仪器故障或通讯故障，正常工作日应在 3 小时内、节假日应在 6 小时内到达子站处理故障并将信息反馈给园区管委会。如不能在 24 小时内排除故障，应更换备机，故障设备运回维修点并负责维修仪器。故障设备应及时修复，并做好相应的仪器质控工作和维修记录。如因自身技术能力不足无法修复仪器，需委托仪器生产厂商服务的，运维单位须负责相关费用。</w:t>
            </w:r>
          </w:p>
        </w:tc>
      </w:tr>
      <w:tr w14:paraId="62A3C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1" w:type="pct"/>
            <w:shd w:val="clear" w:color="auto" w:fill="auto"/>
            <w:noWrap w:val="0"/>
            <w:vAlign w:val="center"/>
          </w:tcPr>
          <w:p w14:paraId="2FBE2F00">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915" w:type="pct"/>
            <w:shd w:val="clear" w:color="auto" w:fill="auto"/>
            <w:noWrap w:val="0"/>
            <w:vAlign w:val="center"/>
          </w:tcPr>
          <w:p w14:paraId="666C9148">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维修管理</w:t>
            </w:r>
          </w:p>
        </w:tc>
        <w:tc>
          <w:tcPr>
            <w:tcW w:w="3552" w:type="pct"/>
            <w:noWrap w:val="0"/>
            <w:vAlign w:val="center"/>
          </w:tcPr>
          <w:p w14:paraId="0FA5E868">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运维期间，仪器故障由运维单位负责修复，如因自身技术能力不足无法修复仪器，需委托仪器生产厂商服务的，运维单位须负责相关维修费用（配件费用除外）。在维修过程中，未经业主同意，不能随意从其他设备拆卸零件。维修过程中发现问题应及时汇报。</w:t>
            </w:r>
          </w:p>
        </w:tc>
      </w:tr>
      <w:tr w14:paraId="53F26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1" w:type="pct"/>
            <w:shd w:val="clear" w:color="auto" w:fill="auto"/>
            <w:noWrap w:val="0"/>
            <w:vAlign w:val="center"/>
          </w:tcPr>
          <w:p w14:paraId="5C19FF99">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915" w:type="pct"/>
            <w:shd w:val="clear" w:color="auto" w:fill="auto"/>
            <w:noWrap w:val="0"/>
            <w:vAlign w:val="center"/>
          </w:tcPr>
          <w:p w14:paraId="4F792BCA">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数据要求</w:t>
            </w:r>
          </w:p>
        </w:tc>
        <w:tc>
          <w:tcPr>
            <w:tcW w:w="3552" w:type="pct"/>
            <w:noWrap w:val="0"/>
            <w:vAlign w:val="center"/>
          </w:tcPr>
          <w:p w14:paraId="36B306BB">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有效监测天数：常规六参数（SO2、NO2、PM10、PM2.5、O3、CO</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的单元子参数有效监测天数必须≥28天（2月份≥26 天）。</w:t>
            </w:r>
          </w:p>
          <w:p w14:paraId="4461D43E">
            <w:pPr>
              <w:bidi w:val="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有效数据捕获率：常规六参数（SO2、NO2、PM10、PM2.5、O3、CO</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单台有效数据捕获率应达到 96%以上。</w:t>
            </w:r>
          </w:p>
        </w:tc>
      </w:tr>
    </w:tbl>
    <w:p w14:paraId="013FBD80">
      <w:pPr>
        <w:wordWrap/>
        <w:topLinePunct w:val="0"/>
        <w:bidi w:val="0"/>
        <w:adjustRightInd w:val="0"/>
        <w:snapToGrid w:val="0"/>
        <w:spacing w:line="360" w:lineRule="auto"/>
        <w:ind w:firstLine="482" w:firstLineChars="200"/>
        <w:textAlignment w:val="auto"/>
        <w:rPr>
          <w:rFonts w:hint="eastAsia" w:ascii="宋体" w:hAnsi="宋体" w:eastAsia="宋体" w:cs="宋体"/>
          <w:b/>
          <w:bCs/>
          <w:kern w:val="0"/>
          <w:sz w:val="24"/>
          <w:szCs w:val="24"/>
          <w:highlight w:val="none"/>
        </w:rPr>
      </w:pPr>
      <w:bookmarkStart w:id="10" w:name="_Toc420511656"/>
      <w:r>
        <w:rPr>
          <w:rFonts w:hint="eastAsia" w:ascii="宋体" w:hAnsi="宋体" w:eastAsia="宋体" w:cs="宋体"/>
          <w:b/>
          <w:bCs/>
          <w:kern w:val="0"/>
          <w:sz w:val="24"/>
          <w:szCs w:val="24"/>
          <w:highlight w:val="none"/>
          <w:lang w:val="en-US" w:eastAsia="zh-CN"/>
        </w:rPr>
        <w:t>3.</w:t>
      </w:r>
      <w:r>
        <w:rPr>
          <w:rFonts w:hint="eastAsia" w:ascii="宋体" w:hAnsi="宋体" w:eastAsia="宋体" w:cs="宋体"/>
          <w:b/>
          <w:bCs/>
          <w:kern w:val="0"/>
          <w:sz w:val="24"/>
          <w:szCs w:val="24"/>
          <w:highlight w:val="none"/>
        </w:rPr>
        <w:t>监督考核要求</w:t>
      </w:r>
      <w:bookmarkEnd w:id="10"/>
    </w:p>
    <w:p w14:paraId="4611CB8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lang w:val="en-US" w:eastAsia="zh-CN"/>
        </w:rPr>
        <w:t>3.</w:t>
      </w:r>
      <w:r>
        <w:rPr>
          <w:rFonts w:hint="eastAsia" w:ascii="宋体" w:hAnsi="宋体" w:eastAsia="宋体" w:cs="宋体"/>
          <w:b/>
          <w:bCs/>
          <w:kern w:val="0"/>
          <w:sz w:val="24"/>
          <w:szCs w:val="24"/>
          <w:highlight w:val="none"/>
        </w:rPr>
        <w:t>1监督管理</w:t>
      </w:r>
    </w:p>
    <w:p w14:paraId="1B873D5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数据必须真实有效，供应商近五年内，在同类服务项目中必须没有数据弄虚作假行为（</w:t>
      </w:r>
      <w:r>
        <w:rPr>
          <w:rFonts w:hint="eastAsia" w:ascii="宋体" w:hAnsi="宋体" w:eastAsia="宋体" w:cs="宋体"/>
          <w:b/>
          <w:bCs/>
          <w:kern w:val="0"/>
          <w:sz w:val="24"/>
          <w:szCs w:val="24"/>
          <w:highlight w:val="none"/>
        </w:rPr>
        <w:t>请供应商根据本单位实际情况咨询并承诺</w:t>
      </w:r>
      <w:r>
        <w:rPr>
          <w:rFonts w:hint="eastAsia" w:ascii="宋体" w:hAnsi="宋体" w:eastAsia="宋体" w:cs="宋体"/>
          <w:b/>
          <w:bCs/>
          <w:kern w:val="0"/>
          <w:sz w:val="24"/>
          <w:szCs w:val="24"/>
          <w:highlight w:val="none"/>
          <w:lang w:val="en-US" w:eastAsia="zh-CN"/>
        </w:rPr>
        <w:t>并加盖单位公章</w:t>
      </w:r>
      <w:r>
        <w:rPr>
          <w:rFonts w:hint="eastAsia" w:ascii="宋体" w:hAnsi="宋体" w:eastAsia="宋体" w:cs="宋体"/>
          <w:b/>
          <w:bCs/>
          <w:kern w:val="0"/>
          <w:sz w:val="24"/>
          <w:szCs w:val="24"/>
          <w:highlight w:val="none"/>
        </w:rPr>
        <w:t>，若有不实，按提供虚假资料上报监管单位处理，并承担相关法律责任</w:t>
      </w:r>
      <w:r>
        <w:rPr>
          <w:rFonts w:hint="eastAsia" w:ascii="宋体" w:hAnsi="宋体" w:eastAsia="宋体" w:cs="宋体"/>
          <w:b/>
          <w:bCs/>
          <w:kern w:val="0"/>
          <w:sz w:val="24"/>
          <w:szCs w:val="24"/>
          <w:highlight w:val="none"/>
          <w:lang w:eastAsia="zh-CN"/>
        </w:rPr>
        <w:t>；</w:t>
      </w:r>
      <w:r>
        <w:rPr>
          <w:rFonts w:hint="eastAsia" w:ascii="宋体" w:hAnsi="宋体" w:eastAsia="宋体" w:cs="宋体"/>
          <w:b/>
          <w:bCs/>
          <w:kern w:val="0"/>
          <w:sz w:val="24"/>
          <w:szCs w:val="24"/>
          <w:highlight w:val="none"/>
          <w:lang w:val="en-US" w:eastAsia="zh-CN"/>
        </w:rPr>
        <w:t>如不提供，按无效响应处理</w:t>
      </w:r>
      <w:r>
        <w:rPr>
          <w:rFonts w:hint="eastAsia" w:ascii="宋体" w:hAnsi="宋体" w:eastAsia="宋体" w:cs="宋体"/>
          <w:kern w:val="0"/>
          <w:sz w:val="24"/>
          <w:szCs w:val="24"/>
          <w:highlight w:val="none"/>
        </w:rPr>
        <w:t>）</w:t>
      </w:r>
    </w:p>
    <w:p w14:paraId="177F3F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供应商应承担监测数据的保密责任（签订保密协议），不得利用本项目的数据、档案或有关资料对外开展技术交流、业务联系、数据交换等。</w:t>
      </w:r>
    </w:p>
    <w:p w14:paraId="74102B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运维期间出现调整数据、修改参数、改动设备、质控结果与平台采集结果不一致、弄虚作假等违规行为的，一经查实</w:t>
      </w:r>
      <w:r>
        <w:rPr>
          <w:rFonts w:hint="eastAsia" w:ascii="宋体" w:hAnsi="宋体" w:eastAsia="宋体" w:cs="宋体"/>
          <w:kern w:val="0"/>
          <w:sz w:val="24"/>
          <w:szCs w:val="24"/>
          <w:highlight w:val="none"/>
          <w:lang w:eastAsia="zh-CN"/>
        </w:rPr>
        <w:t>采购人</w:t>
      </w:r>
      <w:r>
        <w:rPr>
          <w:rFonts w:hint="eastAsia" w:ascii="宋体" w:hAnsi="宋体" w:eastAsia="宋体" w:cs="宋体"/>
          <w:kern w:val="0"/>
          <w:sz w:val="24"/>
          <w:szCs w:val="24"/>
          <w:highlight w:val="none"/>
        </w:rPr>
        <w:t>有权终止运维合同。</w:t>
      </w:r>
    </w:p>
    <w:p w14:paraId="1676C2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lang w:eastAsia="zh-CN"/>
        </w:rPr>
        <w:t>）采购人</w:t>
      </w:r>
      <w:r>
        <w:rPr>
          <w:rFonts w:hint="eastAsia" w:ascii="宋体" w:hAnsi="宋体" w:eastAsia="宋体" w:cs="宋体"/>
          <w:kern w:val="0"/>
          <w:sz w:val="24"/>
          <w:szCs w:val="24"/>
          <w:highlight w:val="none"/>
        </w:rPr>
        <w:t>定期组织开展运维管理和质控考核，对达不到运维要求或违规操作的，可以扣减相应的运维经费，并有权终止运维合同。</w:t>
      </w:r>
    </w:p>
    <w:p w14:paraId="6EB3A8A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lang w:val="en-US" w:eastAsia="zh-CN"/>
        </w:rPr>
        <w:t>3.2</w:t>
      </w:r>
      <w:r>
        <w:rPr>
          <w:rFonts w:hint="eastAsia" w:ascii="宋体" w:hAnsi="宋体" w:eastAsia="宋体" w:cs="宋体"/>
          <w:b/>
          <w:bCs/>
          <w:kern w:val="0"/>
          <w:sz w:val="24"/>
          <w:szCs w:val="24"/>
          <w:highlight w:val="none"/>
        </w:rPr>
        <w:t>考核办法</w:t>
      </w:r>
    </w:p>
    <w:p w14:paraId="502C0B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（1）本项目实行季度百分制绩效考核，按季度开展，由采购人对运维供应商当期履约及服务质量情况进行考核评分，满分100分。</w:t>
      </w:r>
    </w:p>
    <w:p w14:paraId="17495E2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（2）每季度考核前，运维供应商须提交各站点当期运维服务报告，经采购人审核通过后，由采购人开展现场查验及综合评分工作。</w:t>
      </w:r>
    </w:p>
    <w:p w14:paraId="68BF29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en-US" w:eastAsia="zh-CN"/>
        </w:rPr>
        <w:t>（3）季度考核由采购人或其上级主管单位组织核查，具体检查内容详见下表，最终得分按以下公式计算：最终考核得分=（全部核查站点实际得分的简单算术平均值÷100）×100。</w:t>
      </w:r>
    </w:p>
    <w:p w14:paraId="67061A0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center"/>
        <w:textAlignment w:val="auto"/>
        <w:rPr>
          <w:rFonts w:hint="eastAsia" w:ascii="宋体" w:hAnsi="宋体" w:eastAsia="宋体" w:cs="宋体"/>
          <w:kern w:val="0"/>
          <w:sz w:val="24"/>
          <w:szCs w:val="28"/>
          <w:highlight w:val="none"/>
        </w:rPr>
      </w:pPr>
      <w:r>
        <w:rPr>
          <w:rFonts w:hint="eastAsia" w:ascii="宋体" w:hAnsi="宋体" w:eastAsia="宋体" w:cs="宋体"/>
          <w:b/>
          <w:bCs/>
          <w:kern w:val="0"/>
          <w:sz w:val="24"/>
          <w:szCs w:val="28"/>
          <w:highlight w:val="none"/>
        </w:rPr>
        <w:t>环境自动监测系统运行管理检查综合评议表</w:t>
      </w:r>
    </w:p>
    <w:p w14:paraId="79A7BE5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考核站位：         </w:t>
      </w:r>
      <w:r>
        <w:rPr>
          <w:rFonts w:hint="eastAsia" w:ascii="宋体" w:hAnsi="宋体" w:eastAsia="宋体" w:cs="宋体"/>
          <w:kern w:val="0"/>
          <w:sz w:val="24"/>
          <w:szCs w:val="24"/>
          <w:highlight w:val="none"/>
          <w:lang w:val="en-US" w:eastAsia="zh-CN"/>
        </w:rPr>
        <w:t xml:space="preserve">  </w:t>
      </w:r>
      <w:r>
        <w:rPr>
          <w:rFonts w:hint="eastAsia" w:ascii="宋体" w:hAnsi="宋体" w:eastAsia="宋体" w:cs="宋体"/>
          <w:kern w:val="0"/>
          <w:sz w:val="24"/>
          <w:szCs w:val="24"/>
          <w:highlight w:val="none"/>
        </w:rPr>
        <w:t xml:space="preserve">            日期：    </w:t>
      </w:r>
      <w:r>
        <w:rPr>
          <w:rFonts w:hint="eastAsia" w:ascii="宋体" w:hAnsi="宋体" w:eastAsia="宋体" w:cs="宋体"/>
          <w:kern w:val="0"/>
          <w:sz w:val="24"/>
          <w:szCs w:val="24"/>
          <w:highlight w:val="none"/>
          <w:lang w:val="en-US" w:eastAsia="zh-CN"/>
        </w:rPr>
        <w:t xml:space="preserve">   </w:t>
      </w:r>
      <w:r>
        <w:rPr>
          <w:rFonts w:hint="eastAsia" w:ascii="宋体" w:hAnsi="宋体" w:eastAsia="宋体" w:cs="宋体"/>
          <w:kern w:val="0"/>
          <w:sz w:val="24"/>
          <w:szCs w:val="24"/>
          <w:highlight w:val="none"/>
        </w:rPr>
        <w:t xml:space="preserve">              总分： </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7"/>
        <w:gridCol w:w="2976"/>
        <w:gridCol w:w="769"/>
        <w:gridCol w:w="733"/>
        <w:gridCol w:w="2604"/>
      </w:tblGrid>
      <w:tr w14:paraId="42949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pct"/>
            <w:shd w:val="clear" w:color="auto" w:fill="D7D7D7"/>
            <w:noWrap w:val="0"/>
            <w:vAlign w:val="center"/>
          </w:tcPr>
          <w:p w14:paraId="7F3F8637">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检查内容</w:t>
            </w:r>
          </w:p>
        </w:tc>
        <w:tc>
          <w:tcPr>
            <w:tcW w:w="1746" w:type="pct"/>
            <w:shd w:val="clear" w:color="auto" w:fill="D7D7D7"/>
            <w:noWrap w:val="0"/>
            <w:vAlign w:val="center"/>
          </w:tcPr>
          <w:p w14:paraId="4111CEBB">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评分标准</w:t>
            </w:r>
          </w:p>
        </w:tc>
        <w:tc>
          <w:tcPr>
            <w:tcW w:w="451" w:type="pct"/>
            <w:shd w:val="clear" w:color="auto" w:fill="D7D7D7"/>
            <w:noWrap w:val="0"/>
            <w:vAlign w:val="center"/>
          </w:tcPr>
          <w:p w14:paraId="39514843">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分值</w:t>
            </w:r>
          </w:p>
        </w:tc>
        <w:tc>
          <w:tcPr>
            <w:tcW w:w="430" w:type="pct"/>
            <w:shd w:val="clear" w:color="auto" w:fill="D7D7D7"/>
            <w:noWrap w:val="0"/>
            <w:vAlign w:val="center"/>
          </w:tcPr>
          <w:p w14:paraId="1D10339B">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得分</w:t>
            </w:r>
          </w:p>
        </w:tc>
        <w:tc>
          <w:tcPr>
            <w:tcW w:w="1526" w:type="pct"/>
            <w:shd w:val="clear" w:color="auto" w:fill="D7D7D7"/>
            <w:noWrap w:val="0"/>
            <w:vAlign w:val="center"/>
          </w:tcPr>
          <w:p w14:paraId="46E13F53">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详细说明</w:t>
            </w:r>
          </w:p>
        </w:tc>
      </w:tr>
      <w:tr w14:paraId="1930C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pct"/>
            <w:noWrap w:val="0"/>
            <w:vAlign w:val="center"/>
          </w:tcPr>
          <w:p w14:paraId="550BBF1A">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运行环境</w:t>
            </w:r>
          </w:p>
        </w:tc>
        <w:tc>
          <w:tcPr>
            <w:tcW w:w="1746" w:type="pct"/>
            <w:noWrap w:val="0"/>
            <w:vAlign w:val="center"/>
          </w:tcPr>
          <w:p w14:paraId="442AEA62">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室内整洁、干燥（湿度低于80%），照明、空调运行正常（25-30℃），保障仪器适合工作环境。</w:t>
            </w:r>
          </w:p>
        </w:tc>
        <w:tc>
          <w:tcPr>
            <w:tcW w:w="451" w:type="pct"/>
            <w:noWrap w:val="0"/>
            <w:vAlign w:val="center"/>
          </w:tcPr>
          <w:p w14:paraId="0E16EF8C">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430" w:type="pct"/>
            <w:noWrap w:val="0"/>
            <w:vAlign w:val="center"/>
          </w:tcPr>
          <w:p w14:paraId="55867D6C">
            <w:pPr>
              <w:bidi w:val="0"/>
              <w:jc w:val="center"/>
              <w:rPr>
                <w:rFonts w:hint="eastAsia" w:ascii="宋体" w:hAnsi="宋体" w:eastAsia="宋体" w:cs="宋体"/>
                <w:sz w:val="24"/>
                <w:szCs w:val="24"/>
                <w:highlight w:val="none"/>
              </w:rPr>
            </w:pPr>
          </w:p>
        </w:tc>
        <w:tc>
          <w:tcPr>
            <w:tcW w:w="1526" w:type="pct"/>
            <w:noWrap w:val="0"/>
            <w:vAlign w:val="center"/>
          </w:tcPr>
          <w:p w14:paraId="0CCC272A">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室内整洁，干燥和温度分别打分。</w:t>
            </w:r>
          </w:p>
        </w:tc>
      </w:tr>
      <w:tr w14:paraId="5AE18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pct"/>
            <w:noWrap w:val="0"/>
            <w:vAlign w:val="center"/>
          </w:tcPr>
          <w:p w14:paraId="4BFAFA19">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日常质控</w:t>
            </w:r>
          </w:p>
        </w:tc>
        <w:tc>
          <w:tcPr>
            <w:tcW w:w="1746" w:type="pct"/>
            <w:noWrap w:val="0"/>
            <w:vAlign w:val="center"/>
          </w:tcPr>
          <w:p w14:paraId="70835C2D">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巡检记录：监测仪器必须按要求定期进行内外标的检查，及时更换仪器滤膜、干燥剂；仪器标识清楚。采样口有无异物，采样管路干净通畅；采样总管有无加热（30-50℃）；观察站点周围污染源、道路变化情况，如有异常及时上报。</w:t>
            </w:r>
          </w:p>
        </w:tc>
        <w:tc>
          <w:tcPr>
            <w:tcW w:w="451" w:type="pct"/>
            <w:noWrap w:val="0"/>
            <w:vAlign w:val="center"/>
          </w:tcPr>
          <w:p w14:paraId="11A687CE">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430" w:type="pct"/>
            <w:noWrap w:val="0"/>
            <w:vAlign w:val="center"/>
          </w:tcPr>
          <w:p w14:paraId="4DBF9347">
            <w:pPr>
              <w:bidi w:val="0"/>
              <w:jc w:val="center"/>
              <w:rPr>
                <w:rFonts w:hint="eastAsia" w:ascii="宋体" w:hAnsi="宋体" w:eastAsia="宋体" w:cs="宋体"/>
                <w:sz w:val="24"/>
                <w:szCs w:val="24"/>
                <w:highlight w:val="none"/>
              </w:rPr>
            </w:pPr>
          </w:p>
        </w:tc>
        <w:tc>
          <w:tcPr>
            <w:tcW w:w="1526" w:type="pct"/>
            <w:noWrap w:val="0"/>
            <w:vAlign w:val="center"/>
          </w:tcPr>
          <w:p w14:paraId="1F65EFBD">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内标/外部检查/每日；</w:t>
            </w:r>
          </w:p>
          <w:p w14:paraId="25B81E11">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定期维护/每月；</w:t>
            </w:r>
          </w:p>
          <w:p w14:paraId="15108825">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季度维护/每季度；</w:t>
            </w:r>
          </w:p>
          <w:p w14:paraId="5547DBFC">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年度维护/每半年。</w:t>
            </w:r>
          </w:p>
        </w:tc>
      </w:tr>
      <w:tr w14:paraId="3A275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pct"/>
            <w:noWrap w:val="0"/>
            <w:vAlign w:val="center"/>
          </w:tcPr>
          <w:p w14:paraId="3E142D3B">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持证上岗</w:t>
            </w:r>
          </w:p>
        </w:tc>
        <w:tc>
          <w:tcPr>
            <w:tcW w:w="1746" w:type="pct"/>
            <w:noWrap w:val="0"/>
            <w:vAlign w:val="center"/>
          </w:tcPr>
          <w:p w14:paraId="51F012A9">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站点管理人员每三年参加一次全省空气自动站技术培训，合格持有上岗证。酌情打分。</w:t>
            </w:r>
          </w:p>
        </w:tc>
        <w:tc>
          <w:tcPr>
            <w:tcW w:w="451" w:type="pct"/>
            <w:noWrap w:val="0"/>
            <w:vAlign w:val="center"/>
          </w:tcPr>
          <w:p w14:paraId="6278DB55">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430" w:type="pct"/>
            <w:noWrap w:val="0"/>
            <w:vAlign w:val="center"/>
          </w:tcPr>
          <w:p w14:paraId="66FE0DCD">
            <w:pPr>
              <w:bidi w:val="0"/>
              <w:jc w:val="center"/>
              <w:rPr>
                <w:rFonts w:hint="eastAsia" w:ascii="宋体" w:hAnsi="宋体" w:eastAsia="宋体" w:cs="宋体"/>
                <w:sz w:val="24"/>
                <w:szCs w:val="24"/>
                <w:highlight w:val="none"/>
              </w:rPr>
            </w:pPr>
          </w:p>
        </w:tc>
        <w:tc>
          <w:tcPr>
            <w:tcW w:w="1526" w:type="pct"/>
            <w:noWrap w:val="0"/>
            <w:vAlign w:val="center"/>
          </w:tcPr>
          <w:p w14:paraId="388DBA54">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没有扣5分，扣光为止。</w:t>
            </w:r>
          </w:p>
        </w:tc>
      </w:tr>
      <w:tr w14:paraId="3C368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pct"/>
            <w:noWrap w:val="0"/>
            <w:vAlign w:val="center"/>
          </w:tcPr>
          <w:p w14:paraId="1E070C9B">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档案记录</w:t>
            </w:r>
          </w:p>
          <w:p w14:paraId="4931441F">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和管理</w:t>
            </w:r>
          </w:p>
        </w:tc>
        <w:tc>
          <w:tcPr>
            <w:tcW w:w="1746" w:type="pct"/>
            <w:noWrap w:val="0"/>
            <w:vAlign w:val="center"/>
          </w:tcPr>
          <w:p w14:paraId="5A3C3987">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校准设备每年计量认证、仪器校准、标气使用、管路清洁维护、突发情况等信息记录在档。</w:t>
            </w:r>
          </w:p>
          <w:p w14:paraId="6566AD10">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要求及时上报维护核查报告、仪器维修记录。</w:t>
            </w:r>
          </w:p>
        </w:tc>
        <w:tc>
          <w:tcPr>
            <w:tcW w:w="451" w:type="pct"/>
            <w:noWrap w:val="0"/>
            <w:vAlign w:val="center"/>
          </w:tcPr>
          <w:p w14:paraId="6AF2075D">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430" w:type="pct"/>
            <w:noWrap w:val="0"/>
            <w:vAlign w:val="center"/>
          </w:tcPr>
          <w:p w14:paraId="13047859">
            <w:pPr>
              <w:bidi w:val="0"/>
              <w:jc w:val="center"/>
              <w:rPr>
                <w:rFonts w:hint="eastAsia" w:ascii="宋体" w:hAnsi="宋体" w:eastAsia="宋体" w:cs="宋体"/>
                <w:sz w:val="24"/>
                <w:szCs w:val="24"/>
                <w:highlight w:val="none"/>
              </w:rPr>
            </w:pPr>
          </w:p>
        </w:tc>
        <w:tc>
          <w:tcPr>
            <w:tcW w:w="1526" w:type="pct"/>
            <w:noWrap w:val="0"/>
            <w:vAlign w:val="center"/>
          </w:tcPr>
          <w:p w14:paraId="42BBF815">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缺少任一记录扣2分，直到扣完为止。</w:t>
            </w:r>
          </w:p>
        </w:tc>
      </w:tr>
      <w:tr w14:paraId="51FDE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pct"/>
            <w:noWrap w:val="0"/>
            <w:vAlign w:val="center"/>
          </w:tcPr>
          <w:p w14:paraId="6A35DDF3">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巡检和考核</w:t>
            </w:r>
          </w:p>
        </w:tc>
        <w:tc>
          <w:tcPr>
            <w:tcW w:w="1746" w:type="pct"/>
            <w:noWrap w:val="0"/>
            <w:vAlign w:val="center"/>
          </w:tcPr>
          <w:p w14:paraId="7072C642">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要求接到通知后一个小时内</w:t>
            </w:r>
            <w:r>
              <w:rPr>
                <w:rFonts w:hint="eastAsia" w:ascii="宋体" w:hAnsi="宋体" w:eastAsia="宋体" w:cs="宋体"/>
                <w:sz w:val="24"/>
                <w:szCs w:val="24"/>
                <w:highlight w:val="none"/>
                <w:lang w:val="en-US" w:eastAsia="zh-CN"/>
              </w:rPr>
              <w:t>到</w:t>
            </w:r>
            <w:r>
              <w:rPr>
                <w:rFonts w:hint="eastAsia" w:ascii="宋体" w:hAnsi="宋体" w:eastAsia="宋体" w:cs="宋体"/>
                <w:sz w:val="24"/>
                <w:szCs w:val="24"/>
                <w:highlight w:val="none"/>
              </w:rPr>
              <w:t>达检测点位配合巡检工作</w:t>
            </w:r>
            <w:r>
              <w:rPr>
                <w:rFonts w:hint="eastAsia" w:ascii="宋体" w:hAnsi="宋体" w:eastAsia="宋体" w:cs="宋体"/>
                <w:sz w:val="24"/>
                <w:szCs w:val="24"/>
                <w:highlight w:val="none"/>
                <w:lang w:val="en-US" w:eastAsia="zh-CN"/>
              </w:rPr>
              <w:t>并接受考核</w:t>
            </w:r>
            <w:r>
              <w:rPr>
                <w:rFonts w:hint="eastAsia" w:ascii="宋体" w:hAnsi="宋体" w:eastAsia="宋体" w:cs="宋体"/>
                <w:sz w:val="24"/>
                <w:szCs w:val="24"/>
                <w:highlight w:val="none"/>
              </w:rPr>
              <w:t>。</w:t>
            </w:r>
          </w:p>
        </w:tc>
        <w:tc>
          <w:tcPr>
            <w:tcW w:w="451" w:type="pct"/>
            <w:noWrap w:val="0"/>
            <w:vAlign w:val="center"/>
          </w:tcPr>
          <w:p w14:paraId="07A9CE51">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430" w:type="pct"/>
            <w:noWrap w:val="0"/>
            <w:vAlign w:val="center"/>
          </w:tcPr>
          <w:p w14:paraId="5DA37C4C">
            <w:pPr>
              <w:bidi w:val="0"/>
              <w:jc w:val="center"/>
              <w:rPr>
                <w:rFonts w:hint="eastAsia" w:ascii="宋体" w:hAnsi="宋体" w:eastAsia="宋体" w:cs="宋体"/>
                <w:sz w:val="24"/>
                <w:szCs w:val="24"/>
                <w:highlight w:val="none"/>
              </w:rPr>
            </w:pPr>
          </w:p>
        </w:tc>
        <w:tc>
          <w:tcPr>
            <w:tcW w:w="1526" w:type="pct"/>
            <w:noWrap w:val="0"/>
            <w:vAlign w:val="center"/>
          </w:tcPr>
          <w:p w14:paraId="1C18042D">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根据国家标准现场考核。</w:t>
            </w:r>
          </w:p>
        </w:tc>
      </w:tr>
      <w:tr w14:paraId="4F82D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pct"/>
            <w:noWrap w:val="0"/>
            <w:vAlign w:val="center"/>
          </w:tcPr>
          <w:p w14:paraId="27D526F7">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数采仪</w:t>
            </w:r>
          </w:p>
          <w:p w14:paraId="6293D66A">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状况</w:t>
            </w:r>
          </w:p>
        </w:tc>
        <w:tc>
          <w:tcPr>
            <w:tcW w:w="1746" w:type="pct"/>
            <w:noWrap w:val="0"/>
            <w:vAlign w:val="center"/>
          </w:tcPr>
          <w:p w14:paraId="048993BD">
            <w:pPr>
              <w:bidi w:val="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数采仪工作正常，显示数据与仪器数据一致</w:t>
            </w:r>
            <w:r>
              <w:rPr>
                <w:rFonts w:hint="eastAsia" w:ascii="宋体" w:hAnsi="宋体" w:eastAsia="宋体" w:cs="宋体"/>
                <w:sz w:val="24"/>
                <w:szCs w:val="24"/>
                <w:highlight w:val="none"/>
                <w:lang w:eastAsia="zh-CN"/>
              </w:rPr>
              <w:t>。</w:t>
            </w:r>
          </w:p>
        </w:tc>
        <w:tc>
          <w:tcPr>
            <w:tcW w:w="451" w:type="pct"/>
            <w:noWrap w:val="0"/>
            <w:vAlign w:val="center"/>
          </w:tcPr>
          <w:p w14:paraId="6D0C859F">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430" w:type="pct"/>
            <w:noWrap w:val="0"/>
            <w:vAlign w:val="center"/>
          </w:tcPr>
          <w:p w14:paraId="40CFFC94">
            <w:pPr>
              <w:bidi w:val="0"/>
              <w:jc w:val="center"/>
              <w:rPr>
                <w:rFonts w:hint="eastAsia" w:ascii="宋体" w:hAnsi="宋体" w:eastAsia="宋体" w:cs="宋体"/>
                <w:sz w:val="24"/>
                <w:szCs w:val="24"/>
                <w:highlight w:val="none"/>
              </w:rPr>
            </w:pPr>
          </w:p>
        </w:tc>
        <w:tc>
          <w:tcPr>
            <w:tcW w:w="1526" w:type="pct"/>
            <w:noWrap w:val="0"/>
            <w:vAlign w:val="center"/>
          </w:tcPr>
          <w:p w14:paraId="3D92483D">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仪器显示与数据平台不一致，一个指标扣5</w:t>
            </w:r>
            <w:r>
              <w:rPr>
                <w:rFonts w:hint="eastAsia" w:ascii="宋体" w:hAnsi="宋体" w:eastAsia="宋体" w:cs="宋体"/>
                <w:sz w:val="24"/>
                <w:szCs w:val="24"/>
                <w:highlight w:val="none"/>
                <w:lang w:eastAsia="zh-CN"/>
              </w:rPr>
              <w:t>分</w:t>
            </w:r>
            <w:r>
              <w:rPr>
                <w:rFonts w:hint="eastAsia" w:ascii="宋体" w:hAnsi="宋体" w:eastAsia="宋体" w:cs="宋体"/>
                <w:sz w:val="24"/>
                <w:szCs w:val="24"/>
                <w:highlight w:val="none"/>
              </w:rPr>
              <w:t>，扣完为止。</w:t>
            </w:r>
          </w:p>
        </w:tc>
      </w:tr>
      <w:tr w14:paraId="4ABE7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pct"/>
            <w:noWrap w:val="0"/>
            <w:vAlign w:val="center"/>
          </w:tcPr>
          <w:p w14:paraId="7D0C36AD">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系统保障</w:t>
            </w:r>
          </w:p>
        </w:tc>
        <w:tc>
          <w:tcPr>
            <w:tcW w:w="1746" w:type="pct"/>
            <w:noWrap w:val="0"/>
            <w:vAlign w:val="center"/>
          </w:tcPr>
          <w:p w14:paraId="1469830B">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运维车辆和人员的配置管理是否合理；应急响应速度及应急事件及故障处理方案是否符合规范要求；数据传输网络是否正常。</w:t>
            </w:r>
          </w:p>
        </w:tc>
        <w:tc>
          <w:tcPr>
            <w:tcW w:w="451" w:type="pct"/>
            <w:noWrap w:val="0"/>
            <w:vAlign w:val="center"/>
          </w:tcPr>
          <w:p w14:paraId="238DB256">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18</w:t>
            </w:r>
          </w:p>
        </w:tc>
        <w:tc>
          <w:tcPr>
            <w:tcW w:w="430" w:type="pct"/>
            <w:noWrap w:val="0"/>
            <w:vAlign w:val="center"/>
          </w:tcPr>
          <w:p w14:paraId="62686511">
            <w:pPr>
              <w:bidi w:val="0"/>
              <w:jc w:val="center"/>
              <w:rPr>
                <w:rFonts w:hint="eastAsia" w:ascii="宋体" w:hAnsi="宋体" w:eastAsia="宋体" w:cs="宋体"/>
                <w:sz w:val="24"/>
                <w:szCs w:val="24"/>
                <w:highlight w:val="none"/>
              </w:rPr>
            </w:pPr>
          </w:p>
        </w:tc>
        <w:tc>
          <w:tcPr>
            <w:tcW w:w="1526" w:type="pct"/>
            <w:noWrap w:val="0"/>
            <w:vAlign w:val="center"/>
          </w:tcPr>
          <w:p w14:paraId="3ECCC6DE">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运维车辆和人员的配置管理不符合规范扣5分；应急事件及故障处理方案未达到要求扣6分；应急响应速度未达到要求扣5分；数据传输故障处理措施未达到要求扣2分。</w:t>
            </w:r>
          </w:p>
        </w:tc>
      </w:tr>
      <w:tr w14:paraId="52890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pct"/>
            <w:noWrap w:val="0"/>
            <w:vAlign w:val="center"/>
          </w:tcPr>
          <w:p w14:paraId="0B36C0E6">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仪器运行</w:t>
            </w:r>
          </w:p>
          <w:p w14:paraId="45015EFE">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有效率</w:t>
            </w:r>
          </w:p>
        </w:tc>
        <w:tc>
          <w:tcPr>
            <w:tcW w:w="1746" w:type="pct"/>
            <w:noWrap w:val="0"/>
            <w:vAlign w:val="center"/>
          </w:tcPr>
          <w:p w14:paraId="6F47810D">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仪器运行有效率和上报率。</w:t>
            </w:r>
          </w:p>
        </w:tc>
        <w:tc>
          <w:tcPr>
            <w:tcW w:w="451" w:type="pct"/>
            <w:noWrap w:val="0"/>
            <w:vAlign w:val="center"/>
          </w:tcPr>
          <w:p w14:paraId="71A7F47E">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w:t>
            </w:r>
          </w:p>
        </w:tc>
        <w:tc>
          <w:tcPr>
            <w:tcW w:w="430" w:type="pct"/>
            <w:noWrap w:val="0"/>
            <w:vAlign w:val="center"/>
          </w:tcPr>
          <w:p w14:paraId="7B645EE0">
            <w:pPr>
              <w:bidi w:val="0"/>
              <w:jc w:val="center"/>
              <w:rPr>
                <w:rFonts w:hint="eastAsia" w:ascii="宋体" w:hAnsi="宋体" w:eastAsia="宋体" w:cs="宋体"/>
                <w:sz w:val="24"/>
                <w:szCs w:val="24"/>
                <w:highlight w:val="none"/>
              </w:rPr>
            </w:pPr>
          </w:p>
        </w:tc>
        <w:tc>
          <w:tcPr>
            <w:tcW w:w="1526" w:type="pct"/>
            <w:noWrap w:val="0"/>
            <w:vAlign w:val="center"/>
          </w:tcPr>
          <w:p w14:paraId="684C9742">
            <w:pPr>
              <w:bidi w:val="0"/>
              <w:rPr>
                <w:rFonts w:hint="eastAsia" w:ascii="宋体" w:hAnsi="宋体" w:eastAsia="宋体" w:cs="宋体"/>
                <w:sz w:val="24"/>
                <w:szCs w:val="24"/>
                <w:highlight w:val="none"/>
              </w:rPr>
            </w:pPr>
            <w:r>
              <w:rPr>
                <w:rFonts w:hint="eastAsia" w:ascii="宋体" w:hAnsi="宋体" w:eastAsia="宋体" w:cs="宋体"/>
                <w:sz w:val="24"/>
                <w:szCs w:val="24"/>
                <w:highlight w:val="none"/>
              </w:rPr>
              <w:t>在线率不低于90%，数据有效率不低于80%，未达到要求扣10分，扣光为止。</w:t>
            </w:r>
          </w:p>
        </w:tc>
      </w:tr>
      <w:tr w14:paraId="2A1D4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pct"/>
            <w:noWrap w:val="0"/>
            <w:vAlign w:val="center"/>
          </w:tcPr>
          <w:p w14:paraId="219622F9">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总分</w:t>
            </w:r>
          </w:p>
        </w:tc>
        <w:tc>
          <w:tcPr>
            <w:tcW w:w="4155" w:type="pct"/>
            <w:gridSpan w:val="4"/>
            <w:noWrap w:val="0"/>
            <w:vAlign w:val="center"/>
          </w:tcPr>
          <w:p w14:paraId="6091C900">
            <w:pPr>
              <w:bidi w:val="0"/>
              <w:rPr>
                <w:rFonts w:hint="eastAsia" w:ascii="宋体" w:hAnsi="宋体" w:eastAsia="宋体" w:cs="宋体"/>
                <w:sz w:val="24"/>
                <w:szCs w:val="24"/>
                <w:highlight w:val="none"/>
              </w:rPr>
            </w:pPr>
          </w:p>
        </w:tc>
      </w:tr>
    </w:tbl>
    <w:p w14:paraId="482EFD02">
      <w:pPr>
        <w:keepNext w:val="0"/>
        <w:keepLines w:val="0"/>
        <w:pageBreakBefore w:val="0"/>
        <w:widowControl w:val="0"/>
        <w:kinsoku/>
        <w:wordWrap/>
        <w:overflowPunct/>
        <w:topLinePunct w:val="0"/>
        <w:autoSpaceDE/>
        <w:autoSpaceDN/>
        <w:bidi w:val="0"/>
        <w:adjustRightInd w:val="0"/>
        <w:snapToGrid w:val="0"/>
        <w:spacing w:after="163" w:line="240" w:lineRule="auto"/>
        <w:ind w:firstLine="0" w:firstLineChars="0"/>
        <w:jc w:val="left"/>
        <w:textAlignment w:val="auto"/>
        <w:rPr>
          <w:rFonts w:hint="eastAsia" w:ascii="宋体" w:hAnsi="宋体" w:eastAsia="宋体" w:cs="宋体"/>
          <w:b/>
          <w:bCs/>
          <w:color w:val="000000"/>
          <w:kern w:val="0"/>
          <w:sz w:val="24"/>
          <w:szCs w:val="28"/>
          <w:highlight w:val="none"/>
        </w:rPr>
      </w:pPr>
      <w:r>
        <w:rPr>
          <w:rFonts w:hint="eastAsia" w:ascii="宋体" w:hAnsi="宋体" w:eastAsia="宋体" w:cs="宋体"/>
          <w:b/>
          <w:bCs/>
          <w:kern w:val="0"/>
          <w:sz w:val="24"/>
          <w:szCs w:val="28"/>
          <w:highlight w:val="none"/>
        </w:rPr>
        <w:t xml:space="preserve">考核人：                      审核人：            </w:t>
      </w:r>
      <w:r>
        <w:rPr>
          <w:rFonts w:hint="eastAsia" w:ascii="宋体" w:hAnsi="宋体" w:eastAsia="宋体" w:cs="宋体"/>
          <w:b/>
          <w:bCs/>
          <w:kern w:val="0"/>
          <w:sz w:val="24"/>
          <w:szCs w:val="28"/>
          <w:highlight w:val="none"/>
          <w:lang w:val="en-US" w:eastAsia="zh-CN"/>
        </w:rPr>
        <w:t xml:space="preserve"> </w:t>
      </w:r>
      <w:r>
        <w:rPr>
          <w:rFonts w:hint="eastAsia" w:ascii="宋体" w:hAnsi="宋体" w:eastAsia="宋体" w:cs="宋体"/>
          <w:b/>
          <w:bCs/>
          <w:kern w:val="0"/>
          <w:sz w:val="24"/>
          <w:szCs w:val="28"/>
          <w:highlight w:val="none"/>
        </w:rPr>
        <w:t xml:space="preserve">        日 期：</w:t>
      </w:r>
    </w:p>
    <w:p w14:paraId="02E068D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lang w:val="en-US" w:eastAsia="zh-CN"/>
        </w:rPr>
        <w:t>3.3</w:t>
      </w:r>
      <w:r>
        <w:rPr>
          <w:rFonts w:hint="eastAsia" w:ascii="宋体" w:hAnsi="宋体" w:eastAsia="宋体" w:cs="宋体"/>
          <w:b/>
          <w:kern w:val="0"/>
          <w:sz w:val="24"/>
          <w:szCs w:val="24"/>
          <w:highlight w:val="none"/>
        </w:rPr>
        <w:t>运维费核算方法</w:t>
      </w:r>
    </w:p>
    <w:p w14:paraId="26A67C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eastAsia="zh-CN"/>
        </w:rPr>
        <w:t>本项目运维费用按季度均分结算，单季度基准费用为合同总金额的25%。采购</w:t>
      </w:r>
      <w:r>
        <w:rPr>
          <w:rFonts w:hint="eastAsia" w:ascii="宋体" w:hAnsi="宋体" w:eastAsia="宋体" w:cs="宋体"/>
          <w:kern w:val="0"/>
          <w:sz w:val="24"/>
          <w:szCs w:val="24"/>
          <w:highlight w:val="none"/>
          <w:lang w:val="en-US" w:eastAsia="zh-CN"/>
        </w:rPr>
        <w:t>人</w:t>
      </w:r>
      <w:r>
        <w:rPr>
          <w:rFonts w:hint="eastAsia" w:ascii="宋体" w:hAnsi="宋体" w:eastAsia="宋体" w:cs="宋体"/>
          <w:kern w:val="0"/>
          <w:sz w:val="24"/>
          <w:szCs w:val="24"/>
          <w:highlight w:val="none"/>
          <w:lang w:eastAsia="zh-CN"/>
        </w:rPr>
        <w:t>依据</w:t>
      </w:r>
      <w:r>
        <w:rPr>
          <w:rFonts w:hint="eastAsia" w:ascii="宋体" w:hAnsi="宋体" w:eastAsia="宋体" w:cs="宋体"/>
          <w:kern w:val="0"/>
          <w:sz w:val="24"/>
          <w:szCs w:val="24"/>
          <w:highlight w:val="none"/>
          <w:lang w:val="en-US" w:eastAsia="zh-CN"/>
        </w:rPr>
        <w:t>运维</w:t>
      </w:r>
      <w:r>
        <w:rPr>
          <w:rFonts w:hint="eastAsia" w:ascii="宋体" w:hAnsi="宋体" w:eastAsia="宋体" w:cs="宋体"/>
          <w:kern w:val="0"/>
          <w:sz w:val="24"/>
          <w:szCs w:val="24"/>
          <w:highlight w:val="none"/>
          <w:lang w:eastAsia="zh-CN"/>
        </w:rPr>
        <w:t>供应商季度考核得分，按以下标准结算当季度运维费用：</w:t>
      </w:r>
    </w:p>
    <w:p w14:paraId="07A148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1</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考核得分达到90分及以上的，支付该季度全额运维费用，为</w:t>
      </w:r>
      <w:r>
        <w:rPr>
          <w:rFonts w:hint="eastAsia" w:ascii="宋体" w:hAnsi="宋体" w:eastAsia="宋体" w:cs="宋体"/>
          <w:kern w:val="0"/>
          <w:sz w:val="24"/>
          <w:szCs w:val="24"/>
          <w:highlight w:val="none"/>
          <w:lang w:eastAsia="zh-CN"/>
        </w:rPr>
        <w:t>合同金额的25%</w:t>
      </w:r>
      <w:r>
        <w:rPr>
          <w:rFonts w:hint="eastAsia" w:ascii="宋体" w:hAnsi="宋体" w:eastAsia="宋体" w:cs="宋体"/>
          <w:kern w:val="0"/>
          <w:sz w:val="24"/>
          <w:szCs w:val="24"/>
          <w:highlight w:val="none"/>
        </w:rPr>
        <w:t>；</w:t>
      </w:r>
    </w:p>
    <w:p w14:paraId="66CB0D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2</w:t>
      </w: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rPr>
        <w:t>考核得分为80分（含）-90分（不含），按得分比例结算，季度运维费用=</w:t>
      </w:r>
      <w:r>
        <w:rPr>
          <w:rFonts w:hint="eastAsia" w:ascii="宋体" w:hAnsi="宋体" w:eastAsia="宋体" w:cs="宋体"/>
          <w:kern w:val="0"/>
          <w:sz w:val="24"/>
          <w:szCs w:val="24"/>
          <w:highlight w:val="none"/>
          <w:lang w:eastAsia="zh-CN"/>
        </w:rPr>
        <w:t>合同金额的25%</w:t>
      </w:r>
      <w:r>
        <w:rPr>
          <w:rFonts w:hint="eastAsia" w:ascii="宋体" w:hAnsi="宋体" w:eastAsia="宋体" w:cs="宋体"/>
          <w:kern w:val="0"/>
          <w:sz w:val="24"/>
          <w:szCs w:val="24"/>
          <w:highlight w:val="none"/>
        </w:rPr>
        <w:t>*当期考核得分/100；</w:t>
      </w:r>
    </w:p>
    <w:p w14:paraId="18E088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eastAsia="zh-CN"/>
        </w:rPr>
        <w:t>（</w:t>
      </w: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lang w:eastAsia="zh-CN"/>
        </w:rPr>
        <w:t>）考核得分低于80分，当期履约不达标，不支付该季度运维费用</w:t>
      </w:r>
      <w:r>
        <w:rPr>
          <w:rFonts w:hint="eastAsia" w:ascii="宋体" w:hAnsi="宋体" w:eastAsia="宋体" w:cs="宋体"/>
          <w:kern w:val="0"/>
          <w:sz w:val="24"/>
          <w:szCs w:val="24"/>
          <w:highlight w:val="none"/>
        </w:rPr>
        <w:t>。</w:t>
      </w:r>
    </w:p>
    <w:p w14:paraId="628499E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备注：</w:t>
      </w:r>
    </w:p>
    <w:p w14:paraId="286A9FC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1.运维供应商未按时、按要求提交季度运维报告的，采购人可暂缓当期考核及费用结算，相关责任由运维供应商承担。</w:t>
      </w:r>
    </w:p>
    <w:p w14:paraId="7F60DA8E">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lang w:val="en-US" w:eastAsia="zh-CN"/>
        </w:rPr>
        <w:t>2.本考核及结算标准为项目固定结算依据，未经采购人书面同意，不得擅自变更。</w:t>
      </w:r>
    </w:p>
    <w:p w14:paraId="570D5055">
      <w:pPr>
        <w:wordWrap/>
        <w:topLinePunct w:val="0"/>
        <w:bidi w:val="0"/>
        <w:adjustRightInd w:val="0"/>
        <w:snapToGrid w:val="0"/>
        <w:spacing w:line="360" w:lineRule="auto"/>
        <w:ind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三、人员配备要求</w:t>
      </w:r>
    </w:p>
    <w:p w14:paraId="4F3072EF">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运维单位需安排至少1名项目负责人，至少 3 名运维人员在运维期内常驻运营维护地点内，同时配备专车用于日常巡检，应保证配备的专用巡检车辆数量不少于 2 辆。</w:t>
      </w:r>
    </w:p>
    <w:p w14:paraId="5AA2A7BB">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运维单位需要配备必要的质量控制设备、标准气体；需配备流量计、标准气压计、标准温湿度计、便携式颗粒物自动监测仪各 1 套。</w:t>
      </w:r>
    </w:p>
    <w:p w14:paraId="730FA726">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运维单位须配置 SO2、NO2、CO、PM10、PM2.5、O3 等指标自动监测仪器各1套用作备机。</w:t>
      </w:r>
    </w:p>
    <w:p w14:paraId="106D14D9">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kern w:val="0"/>
          <w:sz w:val="24"/>
          <w:szCs w:val="24"/>
          <w:highlight w:val="none"/>
        </w:rPr>
        <w:t>★</w:t>
      </w:r>
      <w:r>
        <w:rPr>
          <w:rFonts w:hint="eastAsia" w:ascii="宋体" w:hAnsi="宋体" w:eastAsia="宋体" w:cs="宋体"/>
          <w:sz w:val="24"/>
          <w:highlight w:val="none"/>
        </w:rPr>
        <w:t>4</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运维单位须承诺成交后1个月（30日历日）内配齐本技术要求中所涉及的仪器设备的耗材和备件。耗材按照</w:t>
      </w:r>
      <w:r>
        <w:rPr>
          <w:rFonts w:hint="eastAsia" w:ascii="宋体" w:hAnsi="宋体" w:eastAsia="宋体" w:cs="宋体"/>
          <w:sz w:val="24"/>
          <w:highlight w:val="none"/>
          <w:lang w:val="en-US" w:eastAsia="zh-CN"/>
        </w:rPr>
        <w:t>1年</w:t>
      </w:r>
      <w:r>
        <w:rPr>
          <w:rFonts w:hint="eastAsia" w:ascii="宋体" w:hAnsi="宋体" w:eastAsia="宋体" w:cs="宋体"/>
          <w:sz w:val="24"/>
          <w:highlight w:val="none"/>
        </w:rPr>
        <w:t>的消耗量配置，备件按照1年使用量配置。必须使用原厂生产的备品备件和耗材，严禁使用劣质备品备件和耗材</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费用由成交供应商承担</w:t>
      </w:r>
      <w:r>
        <w:rPr>
          <w:rFonts w:hint="eastAsia" w:ascii="宋体" w:hAnsi="宋体" w:eastAsia="宋体" w:cs="宋体"/>
          <w:sz w:val="24"/>
          <w:highlight w:val="none"/>
        </w:rPr>
        <w:t>。</w:t>
      </w:r>
      <w:r>
        <w:rPr>
          <w:rFonts w:hint="eastAsia" w:ascii="宋体" w:hAnsi="宋体" w:eastAsia="宋体" w:cs="宋体"/>
          <w:b/>
          <w:bCs/>
          <w:sz w:val="24"/>
          <w:highlight w:val="none"/>
          <w:lang w:eastAsia="zh-CN"/>
        </w:rPr>
        <w:t>（</w:t>
      </w:r>
      <w:r>
        <w:rPr>
          <w:rFonts w:hint="eastAsia" w:ascii="宋体" w:hAnsi="宋体" w:eastAsia="宋体" w:cs="宋体"/>
          <w:b/>
          <w:bCs/>
          <w:sz w:val="24"/>
          <w:highlight w:val="none"/>
          <w:lang w:val="en-US" w:eastAsia="zh-CN"/>
        </w:rPr>
        <w:t>供应商需提供承诺书并加盖单位公章，否则按无效响应处理</w:t>
      </w:r>
      <w:r>
        <w:rPr>
          <w:rFonts w:hint="eastAsia" w:ascii="宋体" w:hAnsi="宋体" w:eastAsia="宋体" w:cs="宋体"/>
          <w:b/>
          <w:bCs/>
          <w:sz w:val="24"/>
          <w:highlight w:val="none"/>
          <w:lang w:eastAsia="zh-CN"/>
        </w:rPr>
        <w:t>）</w:t>
      </w:r>
    </w:p>
    <w:p w14:paraId="3E5C2B3E">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5</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运维单位应至少配备 1 套专用仪器维护维修工具。</w:t>
      </w:r>
    </w:p>
    <w:p w14:paraId="2E3D4434">
      <w:pPr>
        <w:wordWrap/>
        <w:topLinePunct w:val="0"/>
        <w:bidi w:val="0"/>
        <w:adjustRightInd w:val="0"/>
        <w:snapToGrid w:val="0"/>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6</w:t>
      </w:r>
      <w:r>
        <w:rPr>
          <w:rFonts w:hint="eastAsia" w:ascii="宋体" w:hAnsi="宋体" w:eastAsia="宋体" w:cs="宋体"/>
          <w:b/>
          <w:bCs/>
          <w:sz w:val="24"/>
          <w:highlight w:val="none"/>
          <w:lang w:val="en-US" w:eastAsia="zh-CN"/>
        </w:rPr>
        <w:t>.</w:t>
      </w:r>
      <w:r>
        <w:rPr>
          <w:rFonts w:hint="eastAsia" w:ascii="宋体" w:hAnsi="宋体" w:eastAsia="宋体" w:cs="宋体"/>
          <w:b/>
          <w:bCs/>
          <w:sz w:val="24"/>
          <w:highlight w:val="none"/>
        </w:rPr>
        <w:t>在项目运维及管理期间，运维单位应严格按照</w:t>
      </w:r>
      <w:r>
        <w:rPr>
          <w:rFonts w:hint="eastAsia" w:ascii="宋体" w:hAnsi="宋体" w:eastAsia="宋体" w:cs="宋体"/>
          <w:b/>
          <w:bCs/>
          <w:sz w:val="24"/>
          <w:highlight w:val="none"/>
          <w:lang w:eastAsia="zh-CN"/>
        </w:rPr>
        <w:t>采购人</w:t>
      </w:r>
      <w:r>
        <w:rPr>
          <w:rFonts w:hint="eastAsia" w:ascii="宋体" w:hAnsi="宋体" w:eastAsia="宋体" w:cs="宋体"/>
          <w:b/>
          <w:bCs/>
          <w:sz w:val="24"/>
          <w:highlight w:val="none"/>
        </w:rPr>
        <w:t>制订的操作规范和规章制度，对所管理的系统及仪器设备进行规范操作和精心维护及必要维修，保证系统及仪器设备的正常运行，达到</w:t>
      </w:r>
      <w:r>
        <w:rPr>
          <w:rFonts w:hint="eastAsia" w:ascii="宋体" w:hAnsi="宋体" w:eastAsia="宋体" w:cs="宋体"/>
          <w:b/>
          <w:bCs/>
          <w:sz w:val="24"/>
          <w:highlight w:val="none"/>
          <w:lang w:eastAsia="zh-CN"/>
        </w:rPr>
        <w:t>采购人</w:t>
      </w:r>
      <w:r>
        <w:rPr>
          <w:rFonts w:hint="eastAsia" w:ascii="宋体" w:hAnsi="宋体" w:eastAsia="宋体" w:cs="宋体"/>
          <w:b/>
          <w:bCs/>
          <w:sz w:val="24"/>
          <w:highlight w:val="none"/>
        </w:rPr>
        <w:t>提出的系统及仪器设备考核指标要求。成交运维商必须接受</w:t>
      </w:r>
      <w:r>
        <w:rPr>
          <w:rFonts w:hint="eastAsia" w:ascii="宋体" w:hAnsi="宋体" w:eastAsia="宋体" w:cs="宋体"/>
          <w:b/>
          <w:bCs/>
          <w:sz w:val="24"/>
          <w:highlight w:val="none"/>
          <w:lang w:eastAsia="zh-CN"/>
        </w:rPr>
        <w:t>采购人</w:t>
      </w:r>
      <w:r>
        <w:rPr>
          <w:rFonts w:hint="eastAsia" w:ascii="宋体" w:hAnsi="宋体" w:eastAsia="宋体" w:cs="宋体"/>
          <w:b/>
          <w:bCs/>
          <w:sz w:val="24"/>
          <w:highlight w:val="none"/>
        </w:rPr>
        <w:t>和第三方质控质保核查单位的定期、不定期检查和考核。</w:t>
      </w:r>
    </w:p>
    <w:p w14:paraId="065D8A15">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7.在项目运维及管理期间发生的仪器设备的耗材及备件、网络费、电费等均由成交供应商承担。</w:t>
      </w:r>
    </w:p>
    <w:p w14:paraId="75048BE0">
      <w:pPr>
        <w:wordWrap/>
        <w:topLinePunct w:val="0"/>
        <w:bidi w:val="0"/>
        <w:adjustRightInd w:val="0"/>
        <w:snapToGrid w:val="0"/>
        <w:spacing w:line="360" w:lineRule="auto"/>
        <w:ind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★四、服务期限</w:t>
      </w:r>
    </w:p>
    <w:p w14:paraId="00C2F13C">
      <w:pPr>
        <w:wordWrap/>
        <w:topLinePunct w:val="0"/>
        <w:bidi w:val="0"/>
        <w:adjustRightInd w:val="0"/>
        <w:snapToGrid w:val="0"/>
        <w:spacing w:line="360" w:lineRule="auto"/>
        <w:ind w:firstLine="480" w:firstLineChars="200"/>
        <w:textAlignment w:val="auto"/>
        <w:rPr>
          <w:rFonts w:hint="eastAsia" w:ascii="宋体" w:hAnsi="宋体" w:eastAsia="宋体" w:cs="宋体"/>
          <w:bCs/>
          <w:iCs/>
          <w:kern w:val="0"/>
          <w:sz w:val="24"/>
          <w:szCs w:val="24"/>
          <w:highlight w:val="none"/>
          <w:u w:val="none"/>
        </w:rPr>
      </w:pPr>
      <w:r>
        <w:rPr>
          <w:rFonts w:hint="eastAsia" w:ascii="宋体" w:hAnsi="宋体" w:eastAsia="宋体" w:cs="宋体"/>
          <w:bCs/>
          <w:iCs/>
          <w:kern w:val="0"/>
          <w:sz w:val="24"/>
          <w:szCs w:val="24"/>
          <w:highlight w:val="none"/>
          <w:u w:val="none"/>
        </w:rPr>
        <w:t>自合同签订起一年。</w:t>
      </w:r>
    </w:p>
    <w:p w14:paraId="42067095">
      <w:pPr>
        <w:wordWrap/>
        <w:topLinePunct w:val="0"/>
        <w:bidi w:val="0"/>
        <w:adjustRightInd w:val="0"/>
        <w:snapToGrid w:val="0"/>
        <w:spacing w:line="360" w:lineRule="auto"/>
        <w:ind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五、服务标准</w:t>
      </w:r>
    </w:p>
    <w:p w14:paraId="61EA3B5C">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sz w:val="24"/>
          <w:highlight w:val="none"/>
        </w:rPr>
        <w:t>参考服务标准及规范应当符合以下要求</w:t>
      </w:r>
      <w:r>
        <w:rPr>
          <w:rFonts w:hint="eastAsia" w:ascii="宋体" w:hAnsi="宋体" w:eastAsia="宋体" w:cs="宋体"/>
          <w:sz w:val="24"/>
          <w:highlight w:val="none"/>
          <w:lang w:eastAsia="zh-CN"/>
        </w:rPr>
        <w:t>：</w:t>
      </w:r>
    </w:p>
    <w:p w14:paraId="1707CC57">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lang w:eastAsia="zh-CN"/>
        </w:rPr>
      </w:pPr>
      <w:r>
        <w:rPr>
          <w:rFonts w:hint="eastAsia" w:ascii="宋体" w:hAnsi="宋体" w:eastAsia="宋体" w:cs="宋体"/>
          <w:color w:val="auto"/>
          <w:sz w:val="24"/>
          <w:highlight w:val="none"/>
        </w:rPr>
        <w:t>《环境空气质量监测规范（试行）》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《环境空气挥发性有机物气相色谱连续监测系统技术要求</w:t>
      </w:r>
      <w:r>
        <w:rPr>
          <w:rFonts w:hint="eastAsia" w:ascii="宋体" w:hAnsi="宋体" w:eastAsia="宋体" w:cs="宋体"/>
          <w:color w:val="auto"/>
          <w:sz w:val="24"/>
          <w:highlight w:val="none"/>
          <w:lang w:val="en-US" w:eastAsia="zh-CN"/>
        </w:rPr>
        <w:t>及</w:t>
      </w:r>
      <w:r>
        <w:rPr>
          <w:rFonts w:hint="eastAsia" w:ascii="宋体" w:hAnsi="宋体" w:eastAsia="宋体" w:cs="宋体"/>
          <w:color w:val="auto"/>
          <w:sz w:val="24"/>
          <w:highlight w:val="none"/>
        </w:rPr>
        <w:t>检测方法》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HJ1010-2018</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《国家环境空气监测网环境空气挥发性有机物连续自动监测质量控制技术规定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试行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环境空气气态污染物</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SO2、 NO2、O3、CO</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连续自动监测系统运行和质控技术规范》</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HJ818-2018</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、《环境空气颗粒物</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PM10和 PM2.5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连续自动监测系统运行和质控技术规范》</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HJ817-2018</w:t>
      </w:r>
      <w:r>
        <w:rPr>
          <w:rFonts w:hint="eastAsia" w:ascii="宋体" w:hAnsi="宋体" w:eastAsia="宋体" w:cs="宋体"/>
          <w:color w:val="auto"/>
          <w:sz w:val="24"/>
          <w:highlight w:val="none"/>
          <w:lang w:eastAsia="zh-CN"/>
        </w:rPr>
        <w:t>）</w:t>
      </w:r>
      <w:r>
        <w:rPr>
          <w:rFonts w:hint="eastAsia" w:ascii="宋体" w:hAnsi="宋体" w:eastAsia="宋体" w:cs="宋体"/>
          <w:sz w:val="24"/>
          <w:highlight w:val="none"/>
          <w:lang w:eastAsia="zh-CN"/>
        </w:rPr>
        <w:t>、</w:t>
      </w:r>
      <w:r>
        <w:rPr>
          <w:rFonts w:hint="eastAsia" w:ascii="宋体" w:hAnsi="宋体" w:eastAsia="宋体" w:cs="宋体"/>
          <w:b w:val="0"/>
          <w:bCs w:val="0"/>
          <w:color w:val="auto"/>
          <w:sz w:val="24"/>
          <w:highlight w:val="none"/>
          <w:lang w:eastAsia="zh-CN"/>
        </w:rPr>
        <w:t>《环境空气气态污染物（SO₂、NO₂、O₃、CO）连续自动监测系统安装验收技术规范》（HJ 193-2013）、《环境空气颗粒物（PM</w:t>
      </w:r>
      <w:r>
        <w:rPr>
          <w:rFonts w:hint="eastAsia" w:ascii="宋体" w:hAnsi="宋体" w:eastAsia="宋体" w:cs="宋体"/>
          <w:b w:val="0"/>
          <w:bCs w:val="0"/>
          <w:color w:val="auto"/>
          <w:sz w:val="24"/>
          <w:highlight w:val="none"/>
          <w:lang w:val="en-US" w:eastAsia="zh-CN"/>
        </w:rPr>
        <w:t>10</w:t>
      </w:r>
      <w:r>
        <w:rPr>
          <w:rFonts w:hint="eastAsia" w:ascii="宋体" w:hAnsi="宋体" w:eastAsia="宋体" w:cs="宋体"/>
          <w:b w:val="0"/>
          <w:bCs w:val="0"/>
          <w:color w:val="auto"/>
          <w:sz w:val="24"/>
          <w:highlight w:val="none"/>
          <w:lang w:eastAsia="zh-CN"/>
        </w:rPr>
        <w:t>和 PM</w:t>
      </w:r>
      <w:r>
        <w:rPr>
          <w:rFonts w:hint="eastAsia" w:ascii="宋体" w:hAnsi="宋体" w:eastAsia="宋体" w:cs="宋体"/>
          <w:b w:val="0"/>
          <w:bCs w:val="0"/>
          <w:color w:val="auto"/>
          <w:sz w:val="24"/>
          <w:highlight w:val="none"/>
          <w:lang w:val="en-US" w:eastAsia="zh-CN"/>
        </w:rPr>
        <w:t>2.5</w:t>
      </w:r>
      <w:r>
        <w:rPr>
          <w:rFonts w:hint="eastAsia" w:ascii="宋体" w:hAnsi="宋体" w:eastAsia="宋体" w:cs="宋体"/>
          <w:b w:val="0"/>
          <w:bCs w:val="0"/>
          <w:color w:val="auto"/>
          <w:sz w:val="24"/>
          <w:highlight w:val="none"/>
          <w:lang w:eastAsia="zh-CN"/>
        </w:rPr>
        <w:t>）连续自动监测系统安装验收技术规范》（HJ 655-2013）等。</w:t>
      </w:r>
    </w:p>
    <w:p w14:paraId="2798ADCB">
      <w:pPr>
        <w:wordWrap/>
        <w:topLinePunct w:val="0"/>
        <w:bidi w:val="0"/>
        <w:adjustRightInd w:val="0"/>
        <w:snapToGrid w:val="0"/>
        <w:spacing w:line="360" w:lineRule="auto"/>
        <w:ind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六、培训要求</w:t>
      </w:r>
    </w:p>
    <w:p w14:paraId="2E9BE5EC">
      <w:pPr>
        <w:wordWrap/>
        <w:topLinePunct w:val="0"/>
        <w:bidi w:val="0"/>
        <w:adjustRightInd w:val="0"/>
        <w:snapToGrid w:val="0"/>
        <w:spacing w:line="360" w:lineRule="auto"/>
        <w:ind w:firstLine="480" w:firstLineChars="200"/>
        <w:textAlignment w:val="auto"/>
        <w:rPr>
          <w:rFonts w:hint="eastAsia" w:ascii="宋体" w:hAnsi="宋体" w:eastAsia="宋体" w:cs="宋体"/>
          <w:b/>
          <w:kern w:val="0"/>
          <w:sz w:val="24"/>
          <w:szCs w:val="24"/>
          <w:highlight w:val="none"/>
        </w:rPr>
      </w:pPr>
      <w:r>
        <w:rPr>
          <w:rFonts w:hint="eastAsia" w:ascii="宋体" w:hAnsi="宋体" w:eastAsia="宋体" w:cs="宋体"/>
          <w:kern w:val="0"/>
          <w:sz w:val="24"/>
          <w:szCs w:val="24"/>
          <w:highlight w:val="none"/>
        </w:rPr>
        <w:t>供应商应针对本次服务项目制定详细的人员教育培训方案，建立业务培训制度，明确培训的方式、内容、时间、频次和记录等要求。</w:t>
      </w:r>
    </w:p>
    <w:p w14:paraId="68D3A6BA">
      <w:pPr>
        <w:wordWrap/>
        <w:topLinePunct w:val="0"/>
        <w:bidi w:val="0"/>
        <w:adjustRightInd w:val="0"/>
        <w:snapToGrid w:val="0"/>
        <w:spacing w:line="360" w:lineRule="auto"/>
        <w:ind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七、履约验收</w:t>
      </w:r>
    </w:p>
    <w:p w14:paraId="49A85D65">
      <w:pPr>
        <w:wordWrap/>
        <w:topLinePunct w:val="0"/>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验收主体：采购人； </w:t>
      </w:r>
    </w:p>
    <w:p w14:paraId="39DEA13E">
      <w:pPr>
        <w:wordWrap/>
        <w:topLinePunct w:val="0"/>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验收程序：由采购人组织成交人开展验收工作，验收完</w:t>
      </w:r>
      <w:r>
        <w:rPr>
          <w:rFonts w:hint="eastAsia" w:ascii="宋体" w:hAnsi="宋体" w:eastAsia="宋体" w:cs="宋体"/>
          <w:kern w:val="0"/>
          <w:sz w:val="24"/>
          <w:szCs w:val="24"/>
          <w:highlight w:val="none"/>
          <w:lang w:eastAsia="zh-CN"/>
        </w:rPr>
        <w:t>成后</w:t>
      </w:r>
      <w:r>
        <w:rPr>
          <w:rFonts w:hint="eastAsia" w:ascii="宋体" w:hAnsi="宋体" w:eastAsia="宋体" w:cs="宋体"/>
          <w:kern w:val="0"/>
          <w:sz w:val="24"/>
          <w:szCs w:val="24"/>
          <w:highlight w:val="none"/>
        </w:rPr>
        <w:t xml:space="preserve">共同签署项目验收单； </w:t>
      </w:r>
    </w:p>
    <w:p w14:paraId="26A6865E">
      <w:pPr>
        <w:wordWrap/>
        <w:topLinePunct w:val="0"/>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 xml:space="preserve">验收内容：采购文件中的全部内容； </w:t>
      </w:r>
    </w:p>
    <w:p w14:paraId="30C64875">
      <w:pPr>
        <w:wordWrap/>
        <w:topLinePunct w:val="0"/>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验收标准：规划设计需符合国家、省、市相关规范与要求。设计方案科学、合理，满足可持续性发展的要求，并充分考虑甲方意见，达到合格。</w:t>
      </w:r>
    </w:p>
    <w:p w14:paraId="47491904">
      <w:pPr>
        <w:wordWrap/>
        <w:topLinePunct w:val="0"/>
        <w:bidi w:val="0"/>
        <w:adjustRightInd w:val="0"/>
        <w:snapToGrid w:val="0"/>
        <w:spacing w:line="360" w:lineRule="auto"/>
        <w:ind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八、付款方式与履约保证金</w:t>
      </w:r>
    </w:p>
    <w:p w14:paraId="4DCB92E3">
      <w:pPr>
        <w:wordWrap/>
        <w:topLinePunct w:val="0"/>
        <w:bidi w:val="0"/>
        <w:adjustRightInd w:val="0"/>
        <w:snapToGrid w:val="0"/>
        <w:spacing w:line="360" w:lineRule="auto"/>
        <w:ind w:firstLine="482" w:firstLineChars="200"/>
        <w:textAlignment w:val="auto"/>
        <w:rPr>
          <w:rFonts w:hint="eastAsia" w:ascii="宋体" w:hAnsi="宋体" w:eastAsia="宋体" w:cs="宋体"/>
          <w:iCs/>
          <w:kern w:val="0"/>
          <w:sz w:val="24"/>
          <w:szCs w:val="24"/>
          <w:highlight w:val="none"/>
          <w:u w:val="single"/>
        </w:rPr>
      </w:pPr>
      <w:r>
        <w:rPr>
          <w:rFonts w:hint="eastAsia" w:ascii="宋体" w:hAnsi="宋体" w:eastAsia="宋体" w:cs="宋体"/>
          <w:b/>
          <w:bCs/>
          <w:kern w:val="0"/>
          <w:sz w:val="24"/>
          <w:szCs w:val="24"/>
          <w:highlight w:val="none"/>
        </w:rPr>
        <w:t>★</w:t>
      </w:r>
      <w:r>
        <w:rPr>
          <w:rFonts w:hint="eastAsia" w:ascii="宋体" w:hAnsi="宋体" w:eastAsia="宋体" w:cs="宋体"/>
          <w:iCs/>
          <w:kern w:val="0"/>
          <w:sz w:val="24"/>
          <w:szCs w:val="24"/>
          <w:highlight w:val="none"/>
          <w:u w:val="none"/>
        </w:rPr>
        <w:t>1</w:t>
      </w:r>
      <w:r>
        <w:rPr>
          <w:rFonts w:hint="eastAsia" w:ascii="宋体" w:hAnsi="宋体" w:eastAsia="宋体" w:cs="宋体"/>
          <w:iCs/>
          <w:kern w:val="0"/>
          <w:sz w:val="24"/>
          <w:szCs w:val="24"/>
          <w:highlight w:val="none"/>
          <w:u w:val="none"/>
          <w:lang w:val="en-US" w:eastAsia="zh-CN"/>
        </w:rPr>
        <w:t>.</w:t>
      </w:r>
      <w:r>
        <w:rPr>
          <w:rFonts w:hint="eastAsia" w:ascii="宋体" w:hAnsi="宋体" w:eastAsia="宋体" w:cs="宋体"/>
          <w:iCs/>
          <w:kern w:val="0"/>
          <w:sz w:val="24"/>
          <w:szCs w:val="24"/>
          <w:highlight w:val="none"/>
          <w:u w:val="none"/>
        </w:rPr>
        <w:t>付款方式</w:t>
      </w:r>
    </w:p>
    <w:p w14:paraId="7DF49DB7">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lang w:eastAsia="zh-CN"/>
        </w:rPr>
      </w:pPr>
      <w:bookmarkStart w:id="11" w:name="OLE_LINK10"/>
      <w:r>
        <w:rPr>
          <w:rFonts w:hint="eastAsia" w:ascii="宋体" w:hAnsi="宋体" w:eastAsia="宋体" w:cs="宋体"/>
          <w:sz w:val="24"/>
          <w:szCs w:val="24"/>
          <w:highlight w:val="none"/>
          <w:u w:val="none"/>
          <w:lang w:eastAsia="zh-CN"/>
        </w:rPr>
        <w:t>（1）本项目无预付款，按季度支付运维费用。运维供应商应在每季度考核结束后10个工作日内，向采购人出具等额合法有效的发票；未按时提供合格发票导致付款逾期的，责任由运维供应商承担。</w:t>
      </w:r>
    </w:p>
    <w:p w14:paraId="6F7CBF6E">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（2）运维费用付款要求：</w:t>
      </w:r>
    </w:p>
    <w:p w14:paraId="605518ED">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本项目运维费用按季度均分结算，单季度基准费用为合同总金额的25%。采购人依据运维供应商季度考核得分，按以下标准结算当季度运维费用：</w:t>
      </w:r>
    </w:p>
    <w:p w14:paraId="7C925EA0">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1）考核得分达到90分及以上的，支付该季度全额运维费用，为合同金额的25%；</w:t>
      </w:r>
    </w:p>
    <w:p w14:paraId="3B4A2A10">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2）考核得分为80分（含）-90分（不含），按得分比例结算，季度运维费用=合同金额的25%*当期考核得分/100；</w:t>
      </w:r>
    </w:p>
    <w:p w14:paraId="01629F91">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3）考核得分低于80分，当期履约不达标，不支付该季度运维费用。</w:t>
      </w:r>
    </w:p>
    <w:p w14:paraId="7A88F4AC">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备注：</w:t>
      </w:r>
    </w:p>
    <w:p w14:paraId="16F9E228">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1.运维供应商未按时、按要求提交季度运维报告的，采购人可暂缓当期考核及费用结算，相关责任由运维供应商承担。</w:t>
      </w:r>
    </w:p>
    <w:p w14:paraId="5E881E68">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lang w:eastAsia="zh-CN"/>
        </w:rPr>
        <w:t>2.本考核及结算标准为项目固定结算依据，未经采购人书面同意，不得擅自变更。</w:t>
      </w:r>
    </w:p>
    <w:bookmarkEnd w:id="11"/>
    <w:p w14:paraId="50079151">
      <w:pPr>
        <w:wordWrap/>
        <w:topLinePunct w:val="0"/>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highlight w:val="none"/>
        </w:rPr>
        <w:t>履约保证金</w:t>
      </w:r>
    </w:p>
    <w:p w14:paraId="75D09592">
      <w:pPr>
        <w:wordWrap/>
        <w:topLinePunct w:val="0"/>
        <w:bidi w:val="0"/>
        <w:adjustRightInd w:val="0"/>
        <w:snapToGrid w:val="0"/>
        <w:spacing w:line="360" w:lineRule="auto"/>
        <w:ind w:firstLine="480" w:firstLineChars="20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本项目不收取履约保证金。</w:t>
      </w:r>
    </w:p>
    <w:p w14:paraId="3A47446A">
      <w:pPr>
        <w:wordWrap/>
        <w:topLinePunct w:val="0"/>
        <w:bidi w:val="0"/>
        <w:adjustRightInd w:val="0"/>
        <w:snapToGrid w:val="0"/>
        <w:spacing w:line="360" w:lineRule="auto"/>
        <w:ind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lang w:val="en-US" w:eastAsia="zh-CN"/>
        </w:rPr>
        <w:t>九</w:t>
      </w:r>
      <w:r>
        <w:rPr>
          <w:rFonts w:hint="eastAsia" w:ascii="宋体" w:hAnsi="宋体" w:eastAsia="宋体" w:cs="宋体"/>
          <w:b/>
          <w:sz w:val="28"/>
          <w:szCs w:val="28"/>
          <w:highlight w:val="none"/>
        </w:rPr>
        <w:t>、报价要求</w:t>
      </w:r>
    </w:p>
    <w:p w14:paraId="10578AC8">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本项目采取总价包干，响应</w:t>
      </w:r>
      <w:r>
        <w:rPr>
          <w:rFonts w:hint="eastAsia" w:ascii="宋体" w:hAnsi="宋体" w:eastAsia="宋体" w:cs="宋体"/>
          <w:sz w:val="24"/>
          <w:highlight w:val="none"/>
        </w:rPr>
        <w:t>报价包含</w:t>
      </w:r>
      <w:r>
        <w:rPr>
          <w:rFonts w:hint="eastAsia" w:ascii="宋体" w:hAnsi="宋体" w:eastAsia="宋体" w:cs="宋体"/>
          <w:sz w:val="24"/>
          <w:highlight w:val="none"/>
          <w:lang w:val="en-US" w:eastAsia="zh-CN"/>
        </w:rPr>
        <w:t>与</w:t>
      </w:r>
      <w:r>
        <w:rPr>
          <w:rFonts w:hint="eastAsia" w:ascii="宋体" w:hAnsi="宋体" w:eastAsia="宋体" w:cs="宋体"/>
          <w:sz w:val="24"/>
          <w:highlight w:val="none"/>
        </w:rPr>
        <w:t xml:space="preserve">本项目有关的所有费用，包括维修费、税费、人工费、零配件费、交通费、仪器设备的耗材及备件、网络费、电费等与本合同标的相关的所有费用，除本合同另有约定外采购人无需再向成交人支付任何其他费用。 </w:t>
      </w:r>
    </w:p>
    <w:p w14:paraId="225CC1D3">
      <w:pPr>
        <w:wordWrap/>
        <w:topLinePunct w:val="0"/>
        <w:bidi w:val="0"/>
        <w:adjustRightInd w:val="0"/>
        <w:snapToGrid w:val="0"/>
        <w:spacing w:line="360" w:lineRule="auto"/>
        <w:ind w:firstLine="562" w:firstLineChars="2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rPr>
        <w:t>十、其他</w:t>
      </w:r>
    </w:p>
    <w:p w14:paraId="1890795A">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本项目报价不得超过预算价（最高限价）。</w:t>
      </w:r>
    </w:p>
    <w:p w14:paraId="1FEFC7B9">
      <w:pPr>
        <w:wordWrap/>
        <w:topLinePunct w:val="0"/>
        <w:bidi w:val="0"/>
        <w:adjustRightInd w:val="0"/>
        <w:snapToGrid w:val="0"/>
        <w:spacing w:line="360" w:lineRule="auto"/>
        <w:ind w:firstLine="480" w:firstLineChars="200"/>
        <w:textAlignment w:val="auto"/>
        <w:rPr>
          <w:rFonts w:hint="eastAsia" w:ascii="宋体" w:hAnsi="宋体" w:eastAsia="宋体" w:cs="宋体"/>
          <w:b/>
          <w:bCs/>
          <w:sz w:val="24"/>
          <w:highlight w:val="none"/>
        </w:rPr>
      </w:pPr>
      <w:r>
        <w:rPr>
          <w:rFonts w:hint="eastAsia" w:ascii="宋体" w:hAnsi="宋体" w:eastAsia="宋体" w:cs="宋体"/>
          <w:sz w:val="24"/>
          <w:highlight w:val="none"/>
        </w:rPr>
        <w:t>特别提醒供应商：应根据国家收费标准并结合市场实际进行报价</w:t>
      </w:r>
      <w:r>
        <w:rPr>
          <w:rFonts w:hint="eastAsia" w:ascii="宋体" w:hAnsi="宋体" w:eastAsia="宋体" w:cs="宋体"/>
          <w:sz w:val="24"/>
          <w:highlight w:val="none"/>
          <w:lang w:eastAsia="zh-CN"/>
        </w:rPr>
        <w:t>。</w:t>
      </w:r>
    </w:p>
    <w:p w14:paraId="1978E6C3">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highlight w:val="none"/>
        </w:rPr>
        <w:t>工作中涉及的敏感资料、电子数据等相关信息，成交供应商应严格执行保密的相关规定，不得以任何方式向任何第三人披露、泄露或许可第三人使用，否则追究其相应法律责任。</w:t>
      </w:r>
    </w:p>
    <w:p w14:paraId="5A1A224C">
      <w:pPr>
        <w:widowControl/>
        <w:wordWrap/>
        <w:topLinePunct w:val="0"/>
        <w:bidi w:val="0"/>
        <w:adjustRightInd w:val="0"/>
        <w:snapToGrid w:val="0"/>
        <w:spacing w:line="360" w:lineRule="auto"/>
        <w:ind w:firstLine="422" w:firstLineChars="200"/>
        <w:jc w:val="left"/>
        <w:textAlignment w:val="auto"/>
        <w:rPr>
          <w:rFonts w:hint="eastAsia" w:ascii="宋体" w:hAnsi="宋体" w:eastAsia="宋体" w:cs="宋体"/>
          <w:bCs/>
          <w:kern w:val="44"/>
          <w:sz w:val="44"/>
          <w:szCs w:val="44"/>
          <w:highlight w:val="none"/>
        </w:rPr>
      </w:pPr>
      <w:r>
        <w:rPr>
          <w:rFonts w:hint="eastAsia" w:ascii="宋体" w:hAnsi="宋体" w:eastAsia="宋体" w:cs="宋体"/>
          <w:b/>
          <w:highlight w:val="none"/>
        </w:rPr>
        <w:br w:type="page"/>
      </w:r>
    </w:p>
    <w:p w14:paraId="7F2CB809">
      <w:pPr>
        <w:pStyle w:val="2"/>
        <w:wordWrap/>
        <w:topLinePunct w:val="0"/>
        <w:bidi w:val="0"/>
        <w:adjustRightInd w:val="0"/>
        <w:snapToGrid w:val="0"/>
        <w:spacing w:before="156" w:beforeLines="50" w:after="156" w:afterLines="50" w:line="360" w:lineRule="auto"/>
        <w:ind w:firstLine="883" w:firstLineChars="200"/>
        <w:jc w:val="center"/>
        <w:textAlignment w:val="auto"/>
        <w:rPr>
          <w:rFonts w:hint="eastAsia" w:ascii="宋体" w:hAnsi="宋体" w:eastAsia="宋体" w:cs="宋体"/>
          <w:b/>
          <w:bCs w:val="0"/>
          <w:highlight w:val="none"/>
        </w:rPr>
      </w:pPr>
      <w:bookmarkStart w:id="12" w:name="_Toc161932695"/>
      <w:bookmarkStart w:id="13" w:name="_Toc12994"/>
      <w:r>
        <w:rPr>
          <w:rFonts w:hint="eastAsia" w:ascii="宋体" w:hAnsi="宋体" w:eastAsia="宋体" w:cs="宋体"/>
          <w:b/>
          <w:bCs w:val="0"/>
          <w:highlight w:val="none"/>
        </w:rPr>
        <w:t>第五章  评审方法与评审标准</w:t>
      </w:r>
      <w:bookmarkEnd w:id="12"/>
      <w:bookmarkEnd w:id="13"/>
    </w:p>
    <w:p w14:paraId="1C9F540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一、评审方法</w:t>
      </w:r>
    </w:p>
    <w:p w14:paraId="15F81CA0">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经磋商确定最终采购需求和提交最后报价的供应商后，由磋商小组采用综合评分法对提交最后报价的供应商的响应文件和最后报价进行综合评分。</w:t>
      </w:r>
    </w:p>
    <w:p w14:paraId="5ECBDDC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综合评分法，是指响应文件满足磋商文件全部实质性要求且按评审因素的量化指标评审得分最高的供应商为成交候选供应商的评审方法。</w:t>
      </w:r>
    </w:p>
    <w:p w14:paraId="77E6200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p w14:paraId="6F086E2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（1）评审时，磋商小组以磋商文件为评审依据，磋商小组各成员独立对每个供应商的响应文件进行评价，并汇总每个供应商的得分。项目评审过程中，不得去掉最后报价中的最高报价和最低报价。</w:t>
      </w:r>
    </w:p>
    <w:p w14:paraId="0BCC3BB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（2）本项目评分总分为100分，按四舍五入取至小数点后两位。</w:t>
      </w:r>
    </w:p>
    <w:p w14:paraId="24CB37A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（3）总得分=价格分+技术分+商务分。</w:t>
      </w:r>
    </w:p>
    <w:p w14:paraId="44FF8579">
      <w:pPr>
        <w:wordWrap/>
        <w:topLinePunct w:val="0"/>
        <w:bidi w:val="0"/>
        <w:adjustRightInd w:val="0"/>
        <w:snapToGrid w:val="0"/>
        <w:spacing w:line="360" w:lineRule="auto"/>
        <w:ind w:firstLine="640" w:firstLineChars="200"/>
        <w:jc w:val="center"/>
        <w:textAlignment w:val="auto"/>
        <w:rPr>
          <w:rFonts w:hint="eastAsia" w:ascii="宋体" w:hAnsi="宋体" w:eastAsia="宋体" w:cs="宋体"/>
          <w:sz w:val="32"/>
          <w:szCs w:val="24"/>
          <w:highlight w:val="none"/>
        </w:rPr>
      </w:pPr>
      <w:r>
        <w:rPr>
          <w:rFonts w:hint="eastAsia" w:ascii="宋体" w:hAnsi="宋体" w:eastAsia="宋体" w:cs="宋体"/>
          <w:sz w:val="32"/>
          <w:szCs w:val="24"/>
          <w:highlight w:val="none"/>
        </w:rPr>
        <w:t>综合评分法</w:t>
      </w:r>
    </w:p>
    <w:p w14:paraId="77D6EB7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（1）价格分（10分）</w:t>
      </w:r>
    </w:p>
    <w:p w14:paraId="3118BC3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采用低价优先法计算，即满足磋商文件要求且最后报价最低的供应商的价格为磋商基准价，其价格分为满分。其他供应商的价格分统一按照下列公式计算：</w:t>
      </w:r>
    </w:p>
    <w:p w14:paraId="38BF8E9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磋商报价得分=（磋商基准价／最后磋商报价）×10分</w:t>
      </w:r>
    </w:p>
    <w:p w14:paraId="5245A8E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（2）技术分（</w:t>
      </w:r>
      <w:r>
        <w:rPr>
          <w:rFonts w:hint="eastAsia" w:ascii="宋体" w:hAnsi="宋体" w:eastAsia="宋体" w:cs="宋体"/>
          <w:sz w:val="24"/>
          <w:szCs w:val="24"/>
          <w:highlight w:val="none"/>
          <w:lang w:val="en-US" w:eastAsia="zh-CN"/>
        </w:rPr>
        <w:t>4</w:t>
      </w:r>
      <w:r>
        <w:rPr>
          <w:rFonts w:hint="default"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tbl>
      <w:tblPr>
        <w:tblStyle w:val="15"/>
        <w:tblW w:w="9285" w:type="dxa"/>
        <w:tblInd w:w="-3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02"/>
        <w:gridCol w:w="7783"/>
      </w:tblGrid>
      <w:tr w14:paraId="0D69F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1502" w:type="dxa"/>
            <w:vAlign w:val="center"/>
          </w:tcPr>
          <w:p w14:paraId="7BEA639B">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评审因素</w:t>
            </w:r>
          </w:p>
        </w:tc>
        <w:tc>
          <w:tcPr>
            <w:tcW w:w="7783" w:type="dxa"/>
            <w:vAlign w:val="center"/>
          </w:tcPr>
          <w:p w14:paraId="27A23DA5">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评审标准</w:t>
            </w:r>
          </w:p>
        </w:tc>
      </w:tr>
      <w:tr w14:paraId="0942D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1502" w:type="dxa"/>
            <w:vAlign w:val="center"/>
          </w:tcPr>
          <w:p w14:paraId="4A31C216">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项目了解情况</w:t>
            </w:r>
          </w:p>
          <w:p w14:paraId="46692810">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8</w:t>
            </w:r>
            <w:r>
              <w:rPr>
                <w:rFonts w:hint="eastAsia" w:ascii="宋体" w:hAnsi="宋体" w:eastAsia="宋体" w:cs="宋体"/>
                <w:sz w:val="24"/>
                <w:szCs w:val="24"/>
                <w:highlight w:val="none"/>
                <w:lang w:val="en-US" w:eastAsia="zh-CN"/>
              </w:rPr>
              <w:t>分）</w:t>
            </w:r>
          </w:p>
        </w:tc>
        <w:tc>
          <w:tcPr>
            <w:tcW w:w="7783" w:type="dxa"/>
            <w:vAlign w:val="center"/>
          </w:tcPr>
          <w:p w14:paraId="69BB1F3D">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供应商自主现场踏勘，提供拟运维点位内主要设备型号和备品备件清单，并明确拟运维点位具体地理位置及站点周边环境。</w:t>
            </w:r>
          </w:p>
          <w:p w14:paraId="075EBC14">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1.内容全面、能完全响应项目需求的，得</w:t>
            </w:r>
            <w:r>
              <w:rPr>
                <w:rFonts w:hint="default" w:ascii="宋体" w:hAnsi="宋体" w:eastAsia="宋体" w:cs="宋体"/>
                <w:sz w:val="24"/>
                <w:szCs w:val="24"/>
                <w:highlight w:val="none"/>
                <w:lang w:val="en-US" w:eastAsia="zh-CN"/>
              </w:rPr>
              <w:t>8</w:t>
            </w:r>
            <w:r>
              <w:rPr>
                <w:rFonts w:hint="eastAsia" w:ascii="宋体" w:hAnsi="宋体" w:eastAsia="宋体" w:cs="宋体"/>
                <w:sz w:val="24"/>
                <w:szCs w:val="24"/>
                <w:highlight w:val="none"/>
                <w:lang w:val="en-US" w:eastAsia="zh-CN"/>
              </w:rPr>
              <w:t>分；</w:t>
            </w:r>
          </w:p>
          <w:p w14:paraId="5768B561">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2.内容较好、对项目需求响应度较高的，得5分；</w:t>
            </w:r>
          </w:p>
          <w:p w14:paraId="491424AE">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3.内容一般、基本响应项目需求的，得2分；</w:t>
            </w:r>
          </w:p>
          <w:p w14:paraId="5ED69073">
            <w:pPr>
              <w:bidi w:val="0"/>
              <w:jc w:val="left"/>
              <w:rPr>
                <w:rFonts w:hint="eastAsia" w:ascii="宋体" w:hAnsi="宋体" w:eastAsia="宋体" w:cs="宋体"/>
                <w:b/>
                <w:bCs/>
                <w:sz w:val="24"/>
                <w:szCs w:val="24"/>
                <w:highlight w:val="none"/>
                <w:lang w:val="en-US" w:eastAsia="zh-CN"/>
              </w:rPr>
            </w:pPr>
            <w:bookmarkStart w:id="14" w:name="OLE_LINK2"/>
            <w:r>
              <w:rPr>
                <w:rFonts w:hint="eastAsia" w:ascii="宋体" w:hAnsi="宋体" w:eastAsia="宋体" w:cs="宋体"/>
                <w:b/>
                <w:bCs/>
                <w:sz w:val="24"/>
                <w:szCs w:val="24"/>
                <w:highlight w:val="none"/>
                <w:lang w:val="en-US" w:eastAsia="zh-CN"/>
              </w:rPr>
              <w:t>4.未见阐述不得分。</w:t>
            </w:r>
          </w:p>
          <w:bookmarkEnd w:id="14"/>
          <w:p w14:paraId="2B9B31F3">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注：主要设备指监测仪器、质控设备、气象仪器。</w:t>
            </w:r>
          </w:p>
        </w:tc>
      </w:tr>
      <w:tr w14:paraId="67CF9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trPr>
        <w:tc>
          <w:tcPr>
            <w:tcW w:w="1502" w:type="dxa"/>
            <w:vAlign w:val="center"/>
          </w:tcPr>
          <w:p w14:paraId="53B141BA">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运维措施</w:t>
            </w:r>
          </w:p>
          <w:p w14:paraId="4F42AF71">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r>
              <w:rPr>
                <w:rFonts w:hint="default" w:ascii="宋体" w:hAnsi="宋体" w:eastAsia="宋体" w:cs="宋体"/>
                <w:sz w:val="24"/>
                <w:szCs w:val="24"/>
                <w:highlight w:val="none"/>
                <w:lang w:val="en-US" w:eastAsia="zh-CN"/>
              </w:rPr>
              <w:t>8</w:t>
            </w:r>
            <w:r>
              <w:rPr>
                <w:rFonts w:hint="eastAsia" w:ascii="宋体" w:hAnsi="宋体" w:eastAsia="宋体" w:cs="宋体"/>
                <w:sz w:val="24"/>
                <w:szCs w:val="24"/>
                <w:highlight w:val="none"/>
                <w:lang w:val="en-US" w:eastAsia="zh-CN"/>
              </w:rPr>
              <w:t>分）</w:t>
            </w:r>
          </w:p>
        </w:tc>
        <w:tc>
          <w:tcPr>
            <w:tcW w:w="7783" w:type="dxa"/>
            <w:vAlign w:val="center"/>
          </w:tcPr>
          <w:p w14:paraId="41A70160">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供应商提供的运维措施应系统全面，反映本项目运维工作，包括制定规章制度、具体日常维护、定期巡检和故障维修等措施的情况：</w:t>
            </w:r>
          </w:p>
          <w:p w14:paraId="137433E7">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1.内容全面、科学合理、能完全响应项目需求的，得</w:t>
            </w:r>
            <w:r>
              <w:rPr>
                <w:rFonts w:hint="default" w:ascii="宋体" w:hAnsi="宋体" w:eastAsia="宋体" w:cs="宋体"/>
                <w:sz w:val="24"/>
                <w:szCs w:val="24"/>
                <w:highlight w:val="none"/>
                <w:lang w:val="en-US" w:eastAsia="zh-CN"/>
              </w:rPr>
              <w:t>8</w:t>
            </w:r>
            <w:r>
              <w:rPr>
                <w:rFonts w:hint="eastAsia" w:ascii="宋体" w:hAnsi="宋体" w:eastAsia="宋体" w:cs="宋体"/>
                <w:sz w:val="24"/>
                <w:szCs w:val="24"/>
                <w:highlight w:val="none"/>
                <w:lang w:val="en-US" w:eastAsia="zh-CN"/>
              </w:rPr>
              <w:t>分；</w:t>
            </w:r>
          </w:p>
          <w:p w14:paraId="77A4F133">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2.内容较好、较合理、对项目需求响应度较高的，得5分；</w:t>
            </w:r>
          </w:p>
          <w:p w14:paraId="54CFCA84">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3.内容一般、合理性一般、基本响应项目需求的，得2分；</w:t>
            </w:r>
          </w:p>
          <w:p w14:paraId="0D69FC6A">
            <w:pPr>
              <w:bidi w:val="0"/>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4.未见阐述不得分。</w:t>
            </w:r>
          </w:p>
        </w:tc>
      </w:tr>
      <w:tr w14:paraId="28257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6" w:hRule="atLeast"/>
        </w:trPr>
        <w:tc>
          <w:tcPr>
            <w:tcW w:w="1502" w:type="dxa"/>
            <w:vAlign w:val="center"/>
          </w:tcPr>
          <w:p w14:paraId="3ECC3EF6">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数据审核方案</w:t>
            </w:r>
          </w:p>
          <w:p w14:paraId="4B3FD059">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（5分）</w:t>
            </w:r>
          </w:p>
        </w:tc>
        <w:tc>
          <w:tcPr>
            <w:tcW w:w="7783" w:type="dxa"/>
            <w:vAlign w:val="center"/>
          </w:tcPr>
          <w:p w14:paraId="4F3D6395">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供应商提供的数据审核方案与项目的适用性。</w:t>
            </w:r>
          </w:p>
          <w:p w14:paraId="37B24A7F">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1.内容全面、切实可行、能完全响应项目需求的，得5分；</w:t>
            </w:r>
          </w:p>
          <w:p w14:paraId="0B0BD422">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2.内容较好、可行性较高、对项目需求响应度较高的，得3分；</w:t>
            </w:r>
          </w:p>
          <w:p w14:paraId="35C3E519">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3.内容一般、可行性一般、基本响应项目需求的，得1分；</w:t>
            </w:r>
          </w:p>
          <w:p w14:paraId="3337A1FA">
            <w:pPr>
              <w:bidi w:val="0"/>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4.未见阐述不得分。</w:t>
            </w:r>
          </w:p>
        </w:tc>
      </w:tr>
      <w:tr w14:paraId="2BE78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1502" w:type="dxa"/>
            <w:vAlign w:val="center"/>
          </w:tcPr>
          <w:p w14:paraId="507B9A8D">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预防措施</w:t>
            </w:r>
          </w:p>
          <w:p w14:paraId="5FC5570E">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（5分）</w:t>
            </w:r>
          </w:p>
        </w:tc>
        <w:tc>
          <w:tcPr>
            <w:tcW w:w="7783" w:type="dxa"/>
            <w:vAlign w:val="center"/>
          </w:tcPr>
          <w:p w14:paraId="413D8381">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供应商提供针对本项目运维工作的预防措施。</w:t>
            </w:r>
          </w:p>
          <w:p w14:paraId="0448B526">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1.内容全面、科学合理、能完全响应项目需求的，得5分；</w:t>
            </w:r>
          </w:p>
          <w:p w14:paraId="0550C0BB">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2.内容较好、较合理、对项目需求响应度较高的，得3分；</w:t>
            </w:r>
          </w:p>
          <w:p w14:paraId="4126BE0F">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3.内容一般、基本响应项目需求的，得1分；</w:t>
            </w:r>
          </w:p>
          <w:p w14:paraId="4820F200">
            <w:pPr>
              <w:bidi w:val="0"/>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4.未见阐述不得分。</w:t>
            </w:r>
          </w:p>
        </w:tc>
      </w:tr>
      <w:tr w14:paraId="02D2A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1502" w:type="dxa"/>
            <w:vAlign w:val="center"/>
          </w:tcPr>
          <w:p w14:paraId="0B905DD4">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应急方案</w:t>
            </w:r>
          </w:p>
          <w:p w14:paraId="3B2F73F7">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（5分）</w:t>
            </w:r>
          </w:p>
        </w:tc>
        <w:tc>
          <w:tcPr>
            <w:tcW w:w="7783" w:type="dxa"/>
            <w:vAlign w:val="center"/>
          </w:tcPr>
          <w:p w14:paraId="0985C8F2">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供应商针对本项目提供应急方案。</w:t>
            </w:r>
          </w:p>
          <w:p w14:paraId="198514BC">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1.内容全面、科学合理、能完全响应项目需求的，得5分；</w:t>
            </w:r>
          </w:p>
          <w:p w14:paraId="36E6BD98">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2.内容较好、较合理、对项目需求响应度较高的，得3分；</w:t>
            </w:r>
          </w:p>
          <w:p w14:paraId="0D0019DE">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3.内容一般、合理性一般、基本响应项目需求的，得1分；</w:t>
            </w:r>
          </w:p>
          <w:p w14:paraId="3052DE50">
            <w:pPr>
              <w:bidi w:val="0"/>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4.未见阐述不得分。</w:t>
            </w:r>
          </w:p>
        </w:tc>
      </w:tr>
      <w:tr w14:paraId="27C8B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1502" w:type="dxa"/>
            <w:vAlign w:val="center"/>
          </w:tcPr>
          <w:p w14:paraId="12C0967D">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质量保证和质量控制体系</w:t>
            </w:r>
          </w:p>
          <w:p w14:paraId="61BAAE4B">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（4分）</w:t>
            </w:r>
          </w:p>
        </w:tc>
        <w:tc>
          <w:tcPr>
            <w:tcW w:w="7783" w:type="dxa"/>
            <w:vAlign w:val="center"/>
          </w:tcPr>
          <w:p w14:paraId="1136C988">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供应商应建立完善的质量保证和质量控制体系，制定相应质控措施。</w:t>
            </w:r>
          </w:p>
          <w:p w14:paraId="39196046">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1.内容全面、科学合理、能完全响应项目需求的，得4分；</w:t>
            </w:r>
          </w:p>
          <w:p w14:paraId="2273303A">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2.内容较好、较合理、对项目需求响应度较高的，得2.5分；</w:t>
            </w:r>
          </w:p>
          <w:p w14:paraId="634CB36E">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3.内容一般、合理性一般、基本响应项目需求的，得1分；</w:t>
            </w:r>
          </w:p>
          <w:p w14:paraId="68AEE05B">
            <w:pPr>
              <w:bidi w:val="0"/>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4.未见阐述不得分。</w:t>
            </w:r>
          </w:p>
        </w:tc>
      </w:tr>
      <w:tr w14:paraId="1CBCAB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1502" w:type="dxa"/>
            <w:vAlign w:val="center"/>
          </w:tcPr>
          <w:p w14:paraId="7F3E7B0B">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标准化操作规程</w:t>
            </w:r>
          </w:p>
          <w:p w14:paraId="28132861">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（4分）</w:t>
            </w:r>
          </w:p>
        </w:tc>
        <w:tc>
          <w:tcPr>
            <w:tcW w:w="7783" w:type="dxa"/>
            <w:vAlign w:val="center"/>
          </w:tcPr>
          <w:p w14:paraId="2648F3CB">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供应商依据本磋商文件要求的各种运维工作，提供针对拟运维点位内主要设备的监测设备标准化操作规程。</w:t>
            </w:r>
          </w:p>
          <w:p w14:paraId="7DD6BDE4">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1.内容全面、可操作性强、能完全响应项目需求的，得4分；</w:t>
            </w:r>
          </w:p>
          <w:p w14:paraId="2D2A3028">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2.内容较好、可操作性较好、对项目需求响应度较高的，得2.5分；</w:t>
            </w:r>
          </w:p>
          <w:p w14:paraId="5096B3BA">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3.内容一般、可操作性一般、基本响应项目需求的，得1分；</w:t>
            </w:r>
          </w:p>
          <w:p w14:paraId="3EA3F2A0">
            <w:pPr>
              <w:bidi w:val="0"/>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4.未见阐述不得分。</w:t>
            </w:r>
          </w:p>
          <w:p w14:paraId="1049FA7A">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注：主要设备指监测仪器、质控设备、气象仪器。</w:t>
            </w:r>
          </w:p>
        </w:tc>
      </w:tr>
      <w:tr w14:paraId="4F299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1502" w:type="dxa"/>
            <w:vAlign w:val="center"/>
          </w:tcPr>
          <w:p w14:paraId="605B70D1">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标准物质或样品的管理方案</w:t>
            </w:r>
          </w:p>
          <w:p w14:paraId="4D3009A8">
            <w:pPr>
              <w:bidi w:val="0"/>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（4分）</w:t>
            </w:r>
          </w:p>
        </w:tc>
        <w:tc>
          <w:tcPr>
            <w:tcW w:w="7783" w:type="dxa"/>
            <w:vAlign w:val="center"/>
          </w:tcPr>
          <w:p w14:paraId="2BCFF22E">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供应商提供标准物质或样品的管理、验收和期间核查等方案。</w:t>
            </w:r>
          </w:p>
          <w:p w14:paraId="5D081E51">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1.内容全面，科学合理、能完全满足本项目采购需求的，得4分；</w:t>
            </w:r>
          </w:p>
          <w:p w14:paraId="5CF00212">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2.内容较好、较合理、对项目需求响应度较高的，得2.5分；</w:t>
            </w:r>
          </w:p>
          <w:p w14:paraId="1C52975D">
            <w:pPr>
              <w:bidi w:val="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3.内容一般、合理性一般、基本符合本项目采购需求的，得1分；</w:t>
            </w:r>
          </w:p>
          <w:p w14:paraId="6DE77D1C">
            <w:pPr>
              <w:bidi w:val="0"/>
              <w:jc w:val="left"/>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4.未见阐述不得分。</w:t>
            </w:r>
          </w:p>
        </w:tc>
      </w:tr>
    </w:tbl>
    <w:p w14:paraId="444A5DB1">
      <w:pPr>
        <w:bidi w:val="0"/>
        <w:rPr>
          <w:rFonts w:hint="eastAsia"/>
          <w:sz w:val="24"/>
          <w:szCs w:val="24"/>
          <w:highlight w:val="none"/>
        </w:rPr>
      </w:pPr>
      <w:r>
        <w:rPr>
          <w:rFonts w:hint="eastAsia"/>
          <w:sz w:val="24"/>
          <w:szCs w:val="24"/>
          <w:highlight w:val="none"/>
        </w:rPr>
        <w:t>（3）商务分（</w:t>
      </w:r>
      <w:r>
        <w:rPr>
          <w:rFonts w:hint="eastAsia"/>
          <w:sz w:val="24"/>
          <w:szCs w:val="24"/>
          <w:highlight w:val="none"/>
          <w:lang w:val="en-US" w:eastAsia="zh-CN"/>
        </w:rPr>
        <w:t>4</w:t>
      </w:r>
      <w:r>
        <w:rPr>
          <w:rFonts w:hint="default"/>
          <w:sz w:val="24"/>
          <w:szCs w:val="24"/>
          <w:highlight w:val="none"/>
          <w:lang w:val="en-US" w:eastAsia="zh-CN"/>
        </w:rPr>
        <w:t>7</w:t>
      </w:r>
      <w:r>
        <w:rPr>
          <w:rFonts w:hint="eastAsia"/>
          <w:sz w:val="24"/>
          <w:szCs w:val="24"/>
          <w:highlight w:val="none"/>
        </w:rPr>
        <w:t>分）</w:t>
      </w:r>
    </w:p>
    <w:tbl>
      <w:tblPr>
        <w:tblStyle w:val="15"/>
        <w:tblW w:w="9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52"/>
        <w:gridCol w:w="7929"/>
      </w:tblGrid>
      <w:tr w14:paraId="4031E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52" w:type="dxa"/>
            <w:vAlign w:val="center"/>
          </w:tcPr>
          <w:p w14:paraId="3BB4997D">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评审因素</w:t>
            </w:r>
          </w:p>
        </w:tc>
        <w:tc>
          <w:tcPr>
            <w:tcW w:w="7929" w:type="dxa"/>
            <w:vAlign w:val="center"/>
          </w:tcPr>
          <w:p w14:paraId="521EF28F">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评审标准</w:t>
            </w:r>
          </w:p>
        </w:tc>
      </w:tr>
      <w:tr w14:paraId="5A615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52" w:type="dxa"/>
            <w:vAlign w:val="center"/>
          </w:tcPr>
          <w:p w14:paraId="7DB994D9">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企业业绩</w:t>
            </w:r>
          </w:p>
          <w:p w14:paraId="75535DB5">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（10分）</w:t>
            </w:r>
          </w:p>
        </w:tc>
        <w:tc>
          <w:tcPr>
            <w:tcW w:w="7929" w:type="dxa"/>
            <w:vAlign w:val="center"/>
          </w:tcPr>
          <w:p w14:paraId="235BCB05">
            <w:pPr>
              <w:bidi w:val="0"/>
              <w:jc w:val="left"/>
              <w:rPr>
                <w:rFonts w:hint="eastAsia" w:asciiTheme="minorEastAsia" w:hAnsiTheme="minorEastAsia" w:eastAsiaTheme="minorEastAsia" w:cstheme="minorEastAsia"/>
                <w:sz w:val="24"/>
                <w:szCs w:val="24"/>
                <w:highlight w:val="none"/>
              </w:rPr>
            </w:pPr>
            <w:bookmarkStart w:id="15" w:name="OLE_LINK7"/>
            <w:r>
              <w:rPr>
                <w:rFonts w:hint="eastAsia" w:asciiTheme="minorEastAsia" w:hAnsiTheme="minorEastAsia" w:eastAsiaTheme="minorEastAsia" w:cstheme="minorEastAsia"/>
                <w:sz w:val="24"/>
                <w:szCs w:val="24"/>
                <w:highlight w:val="none"/>
              </w:rPr>
              <w:t>供应商自202</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年1月1日以来（以合同签订时间为准）承担过类似环境空气类运维项目的，每有1个得2分，最高得10分。</w:t>
            </w:r>
          </w:p>
          <w:bookmarkEnd w:id="15"/>
          <w:p w14:paraId="5BBAE86B">
            <w:pPr>
              <w:bidi w:val="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注：时间以合同签订时间为准，须提供中标通知书（或成交通知书）及合同</w:t>
            </w:r>
            <w:r>
              <w:rPr>
                <w:rFonts w:hint="eastAsia" w:asciiTheme="minorEastAsia" w:hAnsiTheme="minorEastAsia" w:eastAsiaTheme="minorEastAsia" w:cstheme="minorEastAsia"/>
                <w:b/>
                <w:bCs/>
                <w:sz w:val="24"/>
                <w:szCs w:val="24"/>
                <w:highlight w:val="none"/>
                <w:lang w:eastAsia="zh-CN"/>
              </w:rPr>
              <w:t>扫描件</w:t>
            </w:r>
            <w:r>
              <w:rPr>
                <w:rFonts w:hint="eastAsia" w:asciiTheme="minorEastAsia" w:hAnsiTheme="minorEastAsia" w:eastAsiaTheme="minorEastAsia" w:cstheme="minorEastAsia"/>
                <w:b/>
                <w:bCs/>
                <w:sz w:val="24"/>
                <w:szCs w:val="24"/>
                <w:highlight w:val="none"/>
                <w:lang w:val="en-US" w:eastAsia="zh-CN"/>
              </w:rPr>
              <w:t>并加盖</w:t>
            </w:r>
            <w:r>
              <w:rPr>
                <w:rFonts w:hint="eastAsia" w:asciiTheme="minorEastAsia" w:hAnsiTheme="minorEastAsia" w:eastAsiaTheme="minorEastAsia" w:cstheme="minorEastAsia"/>
                <w:b/>
                <w:bCs/>
                <w:sz w:val="24"/>
                <w:szCs w:val="24"/>
                <w:highlight w:val="none"/>
              </w:rPr>
              <w:t>单位公章，</w:t>
            </w:r>
            <w:r>
              <w:rPr>
                <w:rFonts w:hint="eastAsia" w:asciiTheme="minorEastAsia" w:hAnsiTheme="minorEastAsia" w:eastAsiaTheme="minorEastAsia" w:cstheme="minorEastAsia"/>
                <w:b/>
                <w:bCs/>
                <w:sz w:val="24"/>
                <w:szCs w:val="24"/>
                <w:highlight w:val="none"/>
                <w:lang w:val="en-US" w:eastAsia="zh-CN"/>
              </w:rPr>
              <w:t>合同需体现</w:t>
            </w:r>
            <w:r>
              <w:rPr>
                <w:rFonts w:hint="eastAsia" w:asciiTheme="minorEastAsia" w:hAnsiTheme="minorEastAsia" w:eastAsiaTheme="minorEastAsia" w:cstheme="minorEastAsia"/>
                <w:b/>
                <w:bCs/>
                <w:sz w:val="24"/>
                <w:szCs w:val="24"/>
                <w:highlight w:val="none"/>
              </w:rPr>
              <w:t>供应商名称、项目内容等主要信息，未按要求提供的不得分。</w:t>
            </w:r>
          </w:p>
        </w:tc>
      </w:tr>
      <w:tr w14:paraId="4282A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52" w:type="dxa"/>
            <w:vAlign w:val="center"/>
          </w:tcPr>
          <w:p w14:paraId="092BCAEA">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拟派项目负责人</w:t>
            </w:r>
          </w:p>
          <w:p w14:paraId="5B01FE03">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分）</w:t>
            </w:r>
          </w:p>
        </w:tc>
        <w:tc>
          <w:tcPr>
            <w:tcW w:w="7929" w:type="dxa"/>
            <w:vAlign w:val="center"/>
          </w:tcPr>
          <w:p w14:paraId="3BEB5C94">
            <w:pPr>
              <w:bidi w:val="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拟派项目负责人具有环境空气自动监测</w:t>
            </w:r>
            <w:r>
              <w:rPr>
                <w:rFonts w:hint="eastAsia" w:asciiTheme="minorEastAsia" w:hAnsiTheme="minorEastAsia" w:eastAsiaTheme="minorEastAsia" w:cstheme="minorEastAsia"/>
                <w:sz w:val="24"/>
                <w:szCs w:val="24"/>
                <w:highlight w:val="none"/>
                <w:lang w:val="en-US" w:eastAsia="zh-CN"/>
              </w:rPr>
              <w:t>运维</w:t>
            </w:r>
            <w:r>
              <w:rPr>
                <w:rFonts w:hint="eastAsia" w:asciiTheme="minorEastAsia" w:hAnsiTheme="minorEastAsia" w:eastAsiaTheme="minorEastAsia" w:cstheme="minorEastAsia"/>
                <w:sz w:val="24"/>
                <w:szCs w:val="24"/>
                <w:highlight w:val="none"/>
              </w:rPr>
              <w:t>培训合格证</w:t>
            </w:r>
            <w:r>
              <w:rPr>
                <w:rFonts w:hint="eastAsia" w:asciiTheme="minorEastAsia" w:hAnsiTheme="minorEastAsia" w:eastAsiaTheme="minorEastAsia" w:cstheme="minorEastAsia"/>
                <w:sz w:val="24"/>
                <w:szCs w:val="24"/>
                <w:highlight w:val="none"/>
                <w:lang w:eastAsia="zh-CN"/>
              </w:rPr>
              <w:t>的</w:t>
            </w:r>
            <w:r>
              <w:rPr>
                <w:rFonts w:hint="eastAsia" w:asciiTheme="minorEastAsia" w:hAnsiTheme="minorEastAsia" w:eastAsiaTheme="minorEastAsia" w:cstheme="minorEastAsia"/>
                <w:sz w:val="24"/>
                <w:szCs w:val="24"/>
                <w:highlight w:val="none"/>
              </w:rPr>
              <w:t>，得2分。</w:t>
            </w:r>
          </w:p>
          <w:p w14:paraId="06F47F04">
            <w:pPr>
              <w:bidi w:val="0"/>
              <w:jc w:val="left"/>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拟派项目负责人具有环境类高级及以上技术职称的</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得4分；具有</w:t>
            </w:r>
            <w:r>
              <w:rPr>
                <w:rFonts w:hint="eastAsia" w:asciiTheme="minorEastAsia" w:hAnsiTheme="minorEastAsia" w:eastAsiaTheme="minorEastAsia" w:cstheme="minorEastAsia"/>
                <w:sz w:val="24"/>
                <w:szCs w:val="24"/>
                <w:highlight w:val="none"/>
                <w:lang w:val="en-US" w:eastAsia="zh-CN"/>
              </w:rPr>
              <w:t>环境类</w:t>
            </w:r>
            <w:r>
              <w:rPr>
                <w:rFonts w:hint="eastAsia" w:asciiTheme="minorEastAsia" w:hAnsiTheme="minorEastAsia" w:eastAsiaTheme="minorEastAsia" w:cstheme="minorEastAsia"/>
                <w:sz w:val="24"/>
                <w:szCs w:val="24"/>
                <w:highlight w:val="none"/>
              </w:rPr>
              <w:t>中级职称的</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得2分。</w:t>
            </w:r>
          </w:p>
          <w:p w14:paraId="2AA2B4E9">
            <w:pPr>
              <w:bidi w:val="0"/>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注：</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1</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rPr>
              <w:t>须提供</w:t>
            </w:r>
            <w:r>
              <w:rPr>
                <w:rFonts w:hint="eastAsia" w:asciiTheme="minorEastAsia" w:hAnsiTheme="minorEastAsia" w:eastAsiaTheme="minorEastAsia" w:cstheme="minorEastAsia"/>
                <w:b/>
                <w:bCs/>
                <w:sz w:val="24"/>
                <w:szCs w:val="24"/>
                <w:highlight w:val="none"/>
                <w:lang w:val="en-US" w:eastAsia="zh-CN"/>
              </w:rPr>
              <w:t>项目负责人相关</w:t>
            </w:r>
            <w:r>
              <w:rPr>
                <w:rFonts w:hint="eastAsia" w:asciiTheme="minorEastAsia" w:hAnsiTheme="minorEastAsia" w:eastAsiaTheme="minorEastAsia" w:cstheme="minorEastAsia"/>
                <w:b/>
                <w:bCs/>
                <w:sz w:val="24"/>
                <w:szCs w:val="24"/>
                <w:highlight w:val="none"/>
              </w:rPr>
              <w:t>证书</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供应商</w:t>
            </w:r>
            <w:r>
              <w:rPr>
                <w:rFonts w:hint="eastAsia" w:asciiTheme="minorEastAsia" w:hAnsiTheme="minorEastAsia" w:eastAsiaTheme="minorEastAsia" w:cstheme="minorEastAsia"/>
                <w:b/>
                <w:bCs/>
                <w:sz w:val="24"/>
                <w:szCs w:val="24"/>
                <w:highlight w:val="none"/>
              </w:rPr>
              <w:t>为其缴纳的社保证明（</w:t>
            </w:r>
            <w:r>
              <w:rPr>
                <w:rFonts w:hint="eastAsia" w:asciiTheme="minorEastAsia" w:hAnsiTheme="minorEastAsia" w:eastAsiaTheme="minorEastAsia" w:cstheme="minorEastAsia"/>
                <w:b/>
                <w:bCs/>
                <w:sz w:val="24"/>
                <w:szCs w:val="24"/>
                <w:highlight w:val="none"/>
                <w:lang w:val="en-US" w:eastAsia="zh-CN"/>
              </w:rPr>
              <w:t>2025</w:t>
            </w:r>
            <w:r>
              <w:rPr>
                <w:rFonts w:hint="eastAsia" w:asciiTheme="minorEastAsia" w:hAnsiTheme="minorEastAsia" w:eastAsiaTheme="minorEastAsia" w:cstheme="minorEastAsia"/>
                <w:b/>
                <w:bCs/>
                <w:sz w:val="24"/>
                <w:szCs w:val="24"/>
                <w:highlight w:val="none"/>
                <w:lang w:eastAsia="zh-CN"/>
              </w:rPr>
              <w:t>年11月至今任意1个月</w:t>
            </w:r>
            <w:r>
              <w:rPr>
                <w:rFonts w:hint="eastAsia" w:asciiTheme="minorEastAsia" w:hAnsiTheme="minorEastAsia" w:eastAsiaTheme="minorEastAsia" w:cstheme="minorEastAsia"/>
                <w:b/>
                <w:bCs/>
                <w:sz w:val="24"/>
                <w:szCs w:val="24"/>
                <w:highlight w:val="none"/>
              </w:rPr>
              <w:t>）</w:t>
            </w:r>
            <w:r>
              <w:rPr>
                <w:rFonts w:hint="eastAsia" w:asciiTheme="minorEastAsia" w:hAnsiTheme="minorEastAsia" w:eastAsiaTheme="minorEastAsia" w:cstheme="minorEastAsia"/>
                <w:b/>
                <w:bCs/>
                <w:sz w:val="24"/>
                <w:szCs w:val="24"/>
                <w:highlight w:val="none"/>
                <w:lang w:eastAsia="zh-CN"/>
              </w:rPr>
              <w:t>扫描件</w:t>
            </w:r>
            <w:r>
              <w:rPr>
                <w:rFonts w:hint="eastAsia" w:asciiTheme="minorEastAsia" w:hAnsiTheme="minorEastAsia" w:eastAsiaTheme="minorEastAsia" w:cstheme="minorEastAsia"/>
                <w:b/>
                <w:bCs/>
                <w:sz w:val="24"/>
                <w:szCs w:val="24"/>
                <w:highlight w:val="none"/>
                <w:lang w:val="en-US" w:eastAsia="zh-CN"/>
              </w:rPr>
              <w:t>并加盖</w:t>
            </w:r>
            <w:r>
              <w:rPr>
                <w:rFonts w:hint="eastAsia" w:asciiTheme="minorEastAsia" w:hAnsiTheme="minorEastAsia" w:eastAsiaTheme="minorEastAsia" w:cstheme="minorEastAsia"/>
                <w:b/>
                <w:bCs/>
                <w:sz w:val="24"/>
                <w:szCs w:val="24"/>
                <w:highlight w:val="none"/>
              </w:rPr>
              <w:t>单位公章；</w:t>
            </w:r>
          </w:p>
          <w:p w14:paraId="7E7C7A14">
            <w:pPr>
              <w:bidi w:val="0"/>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2</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培训证书</w:t>
            </w:r>
            <w:r>
              <w:rPr>
                <w:rFonts w:hint="eastAsia" w:asciiTheme="minorEastAsia" w:hAnsiTheme="minorEastAsia" w:eastAsiaTheme="minorEastAsia" w:cstheme="minorEastAsia"/>
                <w:b/>
                <w:bCs/>
                <w:sz w:val="24"/>
                <w:szCs w:val="24"/>
                <w:highlight w:val="none"/>
              </w:rPr>
              <w:t>以省级及以上生态环境部门相关机构或环保行业机构提供的培训合格证明为准；</w:t>
            </w:r>
          </w:p>
          <w:p w14:paraId="6679FBFE">
            <w:pPr>
              <w:bidi w:val="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（3）</w:t>
            </w:r>
            <w:r>
              <w:rPr>
                <w:rFonts w:hint="eastAsia" w:asciiTheme="minorEastAsia" w:hAnsiTheme="minorEastAsia" w:eastAsiaTheme="minorEastAsia" w:cstheme="minorEastAsia"/>
                <w:b/>
                <w:bCs/>
                <w:sz w:val="24"/>
                <w:szCs w:val="24"/>
                <w:highlight w:val="none"/>
              </w:rPr>
              <w:t>未按要求提供的不得分。</w:t>
            </w:r>
          </w:p>
        </w:tc>
      </w:tr>
      <w:tr w14:paraId="00CBD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52" w:type="dxa"/>
            <w:vAlign w:val="center"/>
          </w:tcPr>
          <w:p w14:paraId="6B336BEB">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w:t>
            </w:r>
            <w:r>
              <w:rPr>
                <w:rFonts w:hint="eastAsia" w:asciiTheme="minorEastAsia" w:hAnsiTheme="minorEastAsia" w:eastAsiaTheme="minorEastAsia" w:cstheme="minorEastAsia"/>
                <w:sz w:val="24"/>
                <w:szCs w:val="24"/>
                <w:highlight w:val="none"/>
                <w:lang w:eastAsia="zh-CN"/>
              </w:rPr>
              <w:t>项目</w:t>
            </w:r>
            <w:r>
              <w:rPr>
                <w:rFonts w:hint="eastAsia" w:asciiTheme="minorEastAsia" w:hAnsiTheme="minorEastAsia" w:eastAsiaTheme="minorEastAsia" w:cstheme="minorEastAsia"/>
                <w:sz w:val="24"/>
                <w:szCs w:val="24"/>
                <w:highlight w:val="none"/>
              </w:rPr>
              <w:t>拟派运维人员（项目负责人除外）</w:t>
            </w:r>
          </w:p>
          <w:p w14:paraId="2AC2C813">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23</w:t>
            </w:r>
            <w:r>
              <w:rPr>
                <w:rFonts w:hint="eastAsia" w:asciiTheme="minorEastAsia" w:hAnsiTheme="minorEastAsia" w:eastAsiaTheme="minorEastAsia" w:cstheme="minorEastAsia"/>
                <w:sz w:val="24"/>
                <w:szCs w:val="24"/>
                <w:highlight w:val="none"/>
              </w:rPr>
              <w:t>分）</w:t>
            </w:r>
          </w:p>
        </w:tc>
        <w:tc>
          <w:tcPr>
            <w:tcW w:w="7929" w:type="dxa"/>
            <w:vAlign w:val="center"/>
          </w:tcPr>
          <w:p w14:paraId="3098AFA9">
            <w:pPr>
              <w:bidi w:val="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拟派的</w:t>
            </w:r>
            <w:r>
              <w:rPr>
                <w:rFonts w:hint="eastAsia" w:asciiTheme="minorEastAsia" w:hAnsiTheme="minorEastAsia" w:eastAsiaTheme="minorEastAsia" w:cstheme="minorEastAsia"/>
                <w:sz w:val="24"/>
                <w:szCs w:val="24"/>
                <w:highlight w:val="none"/>
                <w:lang w:val="en-US" w:eastAsia="zh-CN"/>
              </w:rPr>
              <w:t>运维人员</w:t>
            </w:r>
            <w:r>
              <w:rPr>
                <w:rFonts w:hint="eastAsia" w:asciiTheme="minorEastAsia" w:hAnsiTheme="minorEastAsia" w:eastAsiaTheme="minorEastAsia" w:cstheme="minorEastAsia"/>
                <w:sz w:val="24"/>
                <w:szCs w:val="24"/>
                <w:highlight w:val="none"/>
              </w:rPr>
              <w:t>具有环境空气自动监测</w:t>
            </w:r>
            <w:r>
              <w:rPr>
                <w:rFonts w:hint="eastAsia" w:asciiTheme="minorEastAsia" w:hAnsiTheme="minorEastAsia" w:eastAsiaTheme="minorEastAsia" w:cstheme="minorEastAsia"/>
                <w:sz w:val="24"/>
                <w:szCs w:val="24"/>
                <w:highlight w:val="none"/>
                <w:lang w:val="en-US" w:eastAsia="zh-CN"/>
              </w:rPr>
              <w:t>运维</w:t>
            </w:r>
            <w:r>
              <w:rPr>
                <w:rFonts w:hint="eastAsia" w:asciiTheme="minorEastAsia" w:hAnsiTheme="minorEastAsia" w:eastAsiaTheme="minorEastAsia" w:cstheme="minorEastAsia"/>
                <w:sz w:val="24"/>
                <w:szCs w:val="24"/>
                <w:highlight w:val="none"/>
              </w:rPr>
              <w:t>培训合格证</w:t>
            </w:r>
            <w:r>
              <w:rPr>
                <w:rFonts w:hint="eastAsia" w:asciiTheme="minorEastAsia" w:hAnsiTheme="minorEastAsia" w:eastAsiaTheme="minorEastAsia" w:cstheme="minorEastAsia"/>
                <w:sz w:val="24"/>
                <w:szCs w:val="24"/>
                <w:highlight w:val="none"/>
                <w:lang w:eastAsia="zh-CN"/>
              </w:rPr>
              <w:t>的</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rPr>
              <w:t>每有1人得2分，最高得8分。</w:t>
            </w:r>
          </w:p>
          <w:p w14:paraId="03C48476">
            <w:pPr>
              <w:bidi w:val="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拟派的</w:t>
            </w:r>
            <w:r>
              <w:rPr>
                <w:rFonts w:hint="eastAsia" w:asciiTheme="minorEastAsia" w:hAnsiTheme="minorEastAsia" w:eastAsiaTheme="minorEastAsia" w:cstheme="minorEastAsia"/>
                <w:sz w:val="24"/>
                <w:szCs w:val="24"/>
                <w:highlight w:val="none"/>
                <w:lang w:val="en-US" w:eastAsia="zh-CN"/>
              </w:rPr>
              <w:t>运维人员</w:t>
            </w:r>
            <w:r>
              <w:rPr>
                <w:rFonts w:hint="eastAsia" w:asciiTheme="minorEastAsia" w:hAnsiTheme="minorEastAsia" w:eastAsiaTheme="minorEastAsia" w:cstheme="minorEastAsia"/>
                <w:sz w:val="24"/>
                <w:szCs w:val="24"/>
                <w:highlight w:val="none"/>
              </w:rPr>
              <w:t>具备环境类</w:t>
            </w:r>
            <w:r>
              <w:rPr>
                <w:rFonts w:hint="eastAsia" w:asciiTheme="minorEastAsia" w:hAnsiTheme="minorEastAsia" w:eastAsiaTheme="minorEastAsia" w:cstheme="minorEastAsia"/>
                <w:sz w:val="24"/>
                <w:szCs w:val="24"/>
                <w:highlight w:val="none"/>
                <w:lang w:val="en-US" w:eastAsia="zh-CN"/>
              </w:rPr>
              <w:t>高级</w:t>
            </w:r>
            <w:r>
              <w:rPr>
                <w:rFonts w:hint="eastAsia" w:asciiTheme="minorEastAsia" w:hAnsiTheme="minorEastAsia" w:eastAsiaTheme="minorEastAsia" w:cstheme="minorEastAsia"/>
                <w:sz w:val="24"/>
                <w:szCs w:val="24"/>
                <w:highlight w:val="none"/>
              </w:rPr>
              <w:t>及以上技术职称的，每有1人得2分</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最高得</w:t>
            </w: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分。</w:t>
            </w:r>
          </w:p>
          <w:p w14:paraId="5F869F48">
            <w:pPr>
              <w:bidi w:val="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拟派的</w:t>
            </w:r>
            <w:r>
              <w:rPr>
                <w:rFonts w:hint="eastAsia" w:asciiTheme="minorEastAsia" w:hAnsiTheme="minorEastAsia" w:eastAsiaTheme="minorEastAsia" w:cstheme="minorEastAsia"/>
                <w:sz w:val="24"/>
                <w:szCs w:val="24"/>
                <w:highlight w:val="none"/>
                <w:lang w:val="en-US" w:eastAsia="zh-CN"/>
              </w:rPr>
              <w:t>运维人员</w:t>
            </w:r>
            <w:r>
              <w:rPr>
                <w:rFonts w:hint="eastAsia" w:asciiTheme="minorEastAsia" w:hAnsiTheme="minorEastAsia" w:eastAsiaTheme="minorEastAsia" w:cstheme="minorEastAsia"/>
                <w:sz w:val="24"/>
                <w:szCs w:val="24"/>
                <w:highlight w:val="none"/>
              </w:rPr>
              <w:t>取得低压电工作业特种作业操作证的</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每有1人得</w:t>
            </w:r>
            <w:r>
              <w:rPr>
                <w:rFonts w:hint="eastAsia" w:asciiTheme="minorEastAsia" w:hAnsiTheme="minorEastAsia" w:eastAsiaTheme="minorEastAsia" w:cstheme="minorEastAsia"/>
                <w:sz w:val="24"/>
                <w:szCs w:val="24"/>
                <w:highlight w:val="none"/>
                <w:lang w:val="en-US" w:eastAsia="zh-CN"/>
              </w:rPr>
              <w:t>2分</w:t>
            </w:r>
            <w:r>
              <w:rPr>
                <w:rFonts w:hint="eastAsia" w:asciiTheme="minorEastAsia" w:hAnsiTheme="minorEastAsia" w:eastAsiaTheme="minorEastAsia" w:cstheme="minorEastAsia"/>
                <w:sz w:val="24"/>
                <w:szCs w:val="24"/>
                <w:highlight w:val="none"/>
              </w:rPr>
              <w:t>，最高得</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分。</w:t>
            </w:r>
          </w:p>
          <w:p w14:paraId="3A750CEA">
            <w:pPr>
              <w:bidi w:val="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4.拟派的运维人员具备注册</w:t>
            </w:r>
            <w:bookmarkStart w:id="16" w:name="OLE_LINK8"/>
            <w:r>
              <w:rPr>
                <w:rFonts w:hint="eastAsia" w:asciiTheme="minorEastAsia" w:hAnsiTheme="minorEastAsia" w:eastAsiaTheme="minorEastAsia" w:cstheme="minorEastAsia"/>
                <w:sz w:val="24"/>
                <w:szCs w:val="24"/>
                <w:highlight w:val="none"/>
                <w:lang w:val="en-US" w:eastAsia="zh-CN"/>
              </w:rPr>
              <w:t>环保工程师</w:t>
            </w:r>
            <w:bookmarkEnd w:id="16"/>
            <w:r>
              <w:rPr>
                <w:rFonts w:hint="eastAsia" w:asciiTheme="minorEastAsia" w:hAnsiTheme="minorEastAsia" w:eastAsiaTheme="minorEastAsia" w:cstheme="minorEastAsia"/>
                <w:sz w:val="24"/>
                <w:szCs w:val="24"/>
                <w:highlight w:val="none"/>
                <w:lang w:val="en-US" w:eastAsia="zh-CN"/>
              </w:rPr>
              <w:t>职业资格证书的得3分，最高得3分。</w:t>
            </w:r>
          </w:p>
          <w:p w14:paraId="025B148C">
            <w:pPr>
              <w:bidi w:val="0"/>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注：</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1</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rPr>
              <w:t>须提供</w:t>
            </w:r>
            <w:r>
              <w:rPr>
                <w:rFonts w:hint="eastAsia" w:asciiTheme="minorEastAsia" w:hAnsiTheme="minorEastAsia" w:eastAsiaTheme="minorEastAsia" w:cstheme="minorEastAsia"/>
                <w:b/>
                <w:bCs/>
                <w:sz w:val="24"/>
                <w:szCs w:val="24"/>
                <w:highlight w:val="none"/>
                <w:lang w:val="en-US" w:eastAsia="zh-CN"/>
              </w:rPr>
              <w:t>运维人员相关</w:t>
            </w:r>
            <w:r>
              <w:rPr>
                <w:rFonts w:hint="eastAsia" w:asciiTheme="minorEastAsia" w:hAnsiTheme="minorEastAsia" w:eastAsiaTheme="minorEastAsia" w:cstheme="minorEastAsia"/>
                <w:b/>
                <w:bCs/>
                <w:sz w:val="24"/>
                <w:szCs w:val="24"/>
                <w:highlight w:val="none"/>
              </w:rPr>
              <w:t>证书</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rPr>
              <w:t>供应商为其缴纳的社保证明（</w:t>
            </w:r>
            <w:r>
              <w:rPr>
                <w:rFonts w:hint="eastAsia" w:asciiTheme="minorEastAsia" w:hAnsiTheme="minorEastAsia" w:eastAsiaTheme="minorEastAsia" w:cstheme="minorEastAsia"/>
                <w:b/>
                <w:bCs/>
                <w:sz w:val="24"/>
                <w:szCs w:val="24"/>
                <w:highlight w:val="none"/>
                <w:lang w:eastAsia="zh-CN"/>
              </w:rPr>
              <w:t>20</w:t>
            </w:r>
            <w:r>
              <w:rPr>
                <w:rFonts w:hint="eastAsia" w:asciiTheme="minorEastAsia" w:hAnsiTheme="minorEastAsia" w:eastAsiaTheme="minorEastAsia" w:cstheme="minorEastAsia"/>
                <w:b/>
                <w:bCs/>
                <w:sz w:val="24"/>
                <w:szCs w:val="24"/>
                <w:highlight w:val="none"/>
                <w:lang w:val="en-US" w:eastAsia="zh-CN"/>
              </w:rPr>
              <w:t>25</w:t>
            </w:r>
            <w:r>
              <w:rPr>
                <w:rFonts w:hint="eastAsia" w:asciiTheme="minorEastAsia" w:hAnsiTheme="minorEastAsia" w:eastAsiaTheme="minorEastAsia" w:cstheme="minorEastAsia"/>
                <w:b/>
                <w:bCs/>
                <w:sz w:val="24"/>
                <w:szCs w:val="24"/>
                <w:highlight w:val="none"/>
                <w:lang w:eastAsia="zh-CN"/>
              </w:rPr>
              <w:t>年11月至今任意1个月</w:t>
            </w:r>
            <w:r>
              <w:rPr>
                <w:rFonts w:hint="eastAsia" w:asciiTheme="minorEastAsia" w:hAnsiTheme="minorEastAsia" w:eastAsiaTheme="minorEastAsia" w:cstheme="minorEastAsia"/>
                <w:b/>
                <w:bCs/>
                <w:sz w:val="24"/>
                <w:szCs w:val="24"/>
                <w:highlight w:val="none"/>
              </w:rPr>
              <w:t>）</w:t>
            </w:r>
            <w:r>
              <w:rPr>
                <w:rFonts w:hint="eastAsia" w:asciiTheme="minorEastAsia" w:hAnsiTheme="minorEastAsia" w:eastAsiaTheme="minorEastAsia" w:cstheme="minorEastAsia"/>
                <w:b/>
                <w:bCs/>
                <w:sz w:val="24"/>
                <w:szCs w:val="24"/>
                <w:highlight w:val="none"/>
                <w:lang w:eastAsia="zh-CN"/>
              </w:rPr>
              <w:t>扫描件</w:t>
            </w:r>
            <w:r>
              <w:rPr>
                <w:rFonts w:hint="eastAsia" w:asciiTheme="minorEastAsia" w:hAnsiTheme="minorEastAsia" w:eastAsiaTheme="minorEastAsia" w:cstheme="minorEastAsia"/>
                <w:b/>
                <w:bCs/>
                <w:sz w:val="24"/>
                <w:szCs w:val="24"/>
                <w:highlight w:val="none"/>
                <w:lang w:val="en-US" w:eastAsia="zh-CN"/>
              </w:rPr>
              <w:t>并加盖单位公章</w:t>
            </w:r>
            <w:r>
              <w:rPr>
                <w:rFonts w:hint="eastAsia" w:asciiTheme="minorEastAsia" w:hAnsiTheme="minorEastAsia" w:eastAsiaTheme="minorEastAsia" w:cstheme="minorEastAsia"/>
                <w:b/>
                <w:bCs/>
                <w:sz w:val="24"/>
                <w:szCs w:val="24"/>
                <w:highlight w:val="none"/>
              </w:rPr>
              <w:t>；</w:t>
            </w:r>
          </w:p>
          <w:p w14:paraId="5B29B913">
            <w:pPr>
              <w:bidi w:val="0"/>
              <w:jc w:val="lef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（2）</w:t>
            </w:r>
            <w:r>
              <w:rPr>
                <w:rFonts w:hint="eastAsia" w:asciiTheme="minorEastAsia" w:hAnsiTheme="minorEastAsia" w:eastAsiaTheme="minorEastAsia" w:cstheme="minorEastAsia"/>
                <w:b/>
                <w:bCs/>
                <w:color w:val="auto"/>
                <w:sz w:val="24"/>
                <w:szCs w:val="24"/>
                <w:highlight w:val="none"/>
                <w:lang w:val="en-US" w:eastAsia="zh-CN"/>
              </w:rPr>
              <w:t>培训证书</w:t>
            </w:r>
            <w:r>
              <w:rPr>
                <w:rFonts w:hint="eastAsia" w:asciiTheme="minorEastAsia" w:hAnsiTheme="minorEastAsia" w:eastAsiaTheme="minorEastAsia" w:cstheme="minorEastAsia"/>
                <w:b/>
                <w:bCs/>
                <w:sz w:val="24"/>
                <w:szCs w:val="24"/>
                <w:highlight w:val="none"/>
              </w:rPr>
              <w:t>以省级及以上生态环境部门相关机构或环保行业机构提供的培训合格证明为准；</w:t>
            </w:r>
          </w:p>
          <w:p w14:paraId="443271AF">
            <w:pPr>
              <w:bidi w:val="0"/>
              <w:jc w:val="lef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（3）</w:t>
            </w:r>
            <w:r>
              <w:rPr>
                <w:rFonts w:hint="eastAsia" w:asciiTheme="minorEastAsia" w:hAnsiTheme="minorEastAsia" w:eastAsiaTheme="minorEastAsia" w:cstheme="minorEastAsia"/>
                <w:b/>
                <w:bCs/>
                <w:sz w:val="24"/>
                <w:szCs w:val="24"/>
                <w:highlight w:val="none"/>
              </w:rPr>
              <w:t>低压电工作业特种作业操作证</w:t>
            </w:r>
            <w:r>
              <w:rPr>
                <w:rFonts w:hint="eastAsia" w:asciiTheme="minorEastAsia" w:hAnsiTheme="minorEastAsia" w:eastAsiaTheme="minorEastAsia" w:cstheme="minorEastAsia"/>
                <w:b/>
                <w:bCs/>
                <w:sz w:val="24"/>
                <w:szCs w:val="24"/>
                <w:highlight w:val="none"/>
                <w:lang w:val="en-US" w:eastAsia="zh-CN"/>
              </w:rPr>
              <w:t>以应急管理部门颁发的为准；</w:t>
            </w:r>
          </w:p>
          <w:p w14:paraId="188C71E7">
            <w:pPr>
              <w:bidi w:val="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（4）未按要求提供不得分</w:t>
            </w:r>
            <w:r>
              <w:rPr>
                <w:rFonts w:hint="eastAsia" w:asciiTheme="minorEastAsia" w:hAnsiTheme="minorEastAsia" w:eastAsiaTheme="minorEastAsia" w:cstheme="minorEastAsia"/>
                <w:b/>
                <w:bCs/>
                <w:sz w:val="24"/>
                <w:szCs w:val="24"/>
                <w:highlight w:val="none"/>
              </w:rPr>
              <w:t>。</w:t>
            </w:r>
          </w:p>
        </w:tc>
      </w:tr>
      <w:tr w14:paraId="025B82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52" w:type="dxa"/>
            <w:vAlign w:val="center"/>
          </w:tcPr>
          <w:p w14:paraId="4922CFA3">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分析处理能力</w:t>
            </w:r>
          </w:p>
          <w:p w14:paraId="4C374509">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分）</w:t>
            </w:r>
          </w:p>
        </w:tc>
        <w:tc>
          <w:tcPr>
            <w:tcW w:w="7929" w:type="dxa"/>
            <w:vAlign w:val="center"/>
          </w:tcPr>
          <w:p w14:paraId="4F426710">
            <w:pPr>
              <w:bidi w:val="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供应商</w:t>
            </w:r>
            <w:r>
              <w:rPr>
                <w:rFonts w:hint="eastAsia" w:asciiTheme="minorEastAsia" w:hAnsiTheme="minorEastAsia" w:eastAsiaTheme="minorEastAsia" w:cstheme="minorEastAsia"/>
                <w:sz w:val="24"/>
                <w:szCs w:val="24"/>
                <w:highlight w:val="none"/>
              </w:rPr>
              <w:t>为本项目拟派的</w:t>
            </w:r>
            <w:r>
              <w:rPr>
                <w:rFonts w:hint="eastAsia" w:asciiTheme="minorEastAsia" w:hAnsiTheme="minorEastAsia" w:eastAsiaTheme="minorEastAsia" w:cstheme="minorEastAsia"/>
                <w:sz w:val="24"/>
                <w:szCs w:val="24"/>
                <w:highlight w:val="none"/>
                <w:lang w:val="en-US" w:eastAsia="zh-CN"/>
              </w:rPr>
              <w:t>运维人员</w:t>
            </w:r>
            <w:r>
              <w:rPr>
                <w:rFonts w:hint="eastAsia" w:asciiTheme="minorEastAsia" w:hAnsiTheme="minorEastAsia" w:eastAsiaTheme="minorEastAsia" w:cstheme="minorEastAsia"/>
                <w:sz w:val="24"/>
                <w:szCs w:val="24"/>
                <w:highlight w:val="none"/>
              </w:rPr>
              <w:t>具备主要设备制造商的培训合格证书（培训内容至少含SO2、NO</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、CO、PM10、PM2.5、O3等6项指标自动监测仪器）每有一人得</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分，最高得</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分。</w:t>
            </w:r>
          </w:p>
          <w:p w14:paraId="216FBF94">
            <w:pPr>
              <w:bidi w:val="0"/>
              <w:jc w:val="left"/>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注：</w:t>
            </w:r>
            <w:r>
              <w:rPr>
                <w:rFonts w:hint="eastAsia" w:asciiTheme="minorEastAsia" w:hAnsiTheme="minorEastAsia" w:eastAsiaTheme="minorEastAsia" w:cstheme="minorEastAsia"/>
                <w:b/>
                <w:bCs/>
                <w:sz w:val="24"/>
                <w:szCs w:val="24"/>
                <w:highlight w:val="none"/>
                <w:lang w:val="en-US" w:eastAsia="zh-CN"/>
              </w:rPr>
              <w:t>（1）</w:t>
            </w:r>
            <w:r>
              <w:rPr>
                <w:rFonts w:hint="eastAsia" w:asciiTheme="minorEastAsia" w:hAnsiTheme="minorEastAsia" w:eastAsiaTheme="minorEastAsia" w:cstheme="minorEastAsia"/>
                <w:b/>
                <w:bCs/>
                <w:sz w:val="24"/>
                <w:szCs w:val="24"/>
                <w:highlight w:val="none"/>
              </w:rPr>
              <w:t>本项目主要设备制造商是指在拟运维站点中该品牌</w:t>
            </w:r>
            <w:r>
              <w:rPr>
                <w:rFonts w:hint="eastAsia" w:asciiTheme="minorEastAsia" w:hAnsiTheme="minorEastAsia" w:eastAsiaTheme="minorEastAsia" w:cstheme="minorEastAsia"/>
                <w:b/>
                <w:bCs/>
                <w:sz w:val="24"/>
                <w:szCs w:val="24"/>
                <w:highlight w:val="none"/>
                <w:lang w:val="en-US" w:eastAsia="zh-CN"/>
              </w:rPr>
              <w:t>仪器</w:t>
            </w:r>
            <w:r>
              <w:rPr>
                <w:rFonts w:hint="eastAsia" w:asciiTheme="minorEastAsia" w:hAnsiTheme="minorEastAsia" w:eastAsiaTheme="minorEastAsia" w:cstheme="minorEastAsia"/>
                <w:b/>
                <w:bCs/>
                <w:sz w:val="24"/>
                <w:szCs w:val="24"/>
                <w:highlight w:val="none"/>
              </w:rPr>
              <w:t>数量占比不小于</w:t>
            </w:r>
            <w:r>
              <w:rPr>
                <w:rFonts w:hint="eastAsia" w:asciiTheme="minorEastAsia" w:hAnsiTheme="minorEastAsia" w:eastAsiaTheme="minorEastAsia" w:cstheme="minorEastAsia"/>
                <w:b/>
                <w:bCs/>
                <w:sz w:val="24"/>
                <w:szCs w:val="24"/>
                <w:highlight w:val="none"/>
                <w:lang w:val="en-US" w:eastAsia="zh-CN"/>
              </w:rPr>
              <w:t>8</w:t>
            </w:r>
            <w:r>
              <w:rPr>
                <w:rFonts w:hint="eastAsia" w:asciiTheme="minorEastAsia" w:hAnsiTheme="minorEastAsia" w:eastAsiaTheme="minorEastAsia" w:cstheme="minorEastAsia"/>
                <w:b/>
                <w:bCs/>
                <w:sz w:val="24"/>
                <w:szCs w:val="24"/>
                <w:highlight w:val="none"/>
              </w:rPr>
              <w:t>0%</w:t>
            </w:r>
            <w:r>
              <w:rPr>
                <w:rFonts w:hint="eastAsia" w:asciiTheme="minorEastAsia" w:hAnsiTheme="minorEastAsia" w:eastAsiaTheme="minorEastAsia" w:cstheme="minorEastAsia"/>
                <w:b/>
                <w:bCs/>
                <w:sz w:val="24"/>
                <w:szCs w:val="24"/>
                <w:highlight w:val="none"/>
                <w:lang w:eastAsia="zh-CN"/>
              </w:rPr>
              <w:t>；</w:t>
            </w:r>
          </w:p>
          <w:p w14:paraId="00254421">
            <w:pPr>
              <w:bidi w:val="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（2）</w:t>
            </w:r>
            <w:r>
              <w:rPr>
                <w:rFonts w:hint="eastAsia" w:asciiTheme="minorEastAsia" w:hAnsiTheme="minorEastAsia" w:eastAsiaTheme="minorEastAsia" w:cstheme="minorEastAsia"/>
                <w:b/>
                <w:bCs/>
                <w:sz w:val="24"/>
                <w:szCs w:val="24"/>
                <w:highlight w:val="none"/>
              </w:rPr>
              <w:t>须提供</w:t>
            </w:r>
            <w:r>
              <w:rPr>
                <w:rFonts w:hint="eastAsia" w:asciiTheme="minorEastAsia" w:hAnsiTheme="minorEastAsia" w:eastAsiaTheme="minorEastAsia" w:cstheme="minorEastAsia"/>
                <w:b/>
                <w:bCs/>
                <w:sz w:val="24"/>
                <w:szCs w:val="24"/>
                <w:highlight w:val="none"/>
                <w:lang w:val="en-US" w:eastAsia="zh-CN"/>
              </w:rPr>
              <w:t>运维人员相关证书、</w:t>
            </w:r>
            <w:r>
              <w:rPr>
                <w:rFonts w:hint="eastAsia" w:asciiTheme="minorEastAsia" w:hAnsiTheme="minorEastAsia" w:eastAsiaTheme="minorEastAsia" w:cstheme="minorEastAsia"/>
                <w:b/>
                <w:bCs/>
                <w:sz w:val="24"/>
                <w:szCs w:val="24"/>
                <w:highlight w:val="none"/>
              </w:rPr>
              <w:t>供应商为其缴纳的社保证明（</w:t>
            </w:r>
            <w:r>
              <w:rPr>
                <w:rFonts w:hint="eastAsia" w:asciiTheme="minorEastAsia" w:hAnsiTheme="minorEastAsia" w:eastAsiaTheme="minorEastAsia" w:cstheme="minorEastAsia"/>
                <w:b/>
                <w:bCs/>
                <w:sz w:val="24"/>
                <w:szCs w:val="24"/>
                <w:highlight w:val="none"/>
                <w:lang w:eastAsia="zh-CN"/>
              </w:rPr>
              <w:t>202</w:t>
            </w:r>
            <w:r>
              <w:rPr>
                <w:rFonts w:hint="eastAsia" w:asciiTheme="minorEastAsia" w:hAnsiTheme="minorEastAsia" w:eastAsiaTheme="minorEastAsia" w:cstheme="minorEastAsia"/>
                <w:b/>
                <w:bCs/>
                <w:sz w:val="24"/>
                <w:szCs w:val="24"/>
                <w:highlight w:val="none"/>
                <w:lang w:val="en-US" w:eastAsia="zh-CN"/>
              </w:rPr>
              <w:t>5</w:t>
            </w:r>
            <w:r>
              <w:rPr>
                <w:rFonts w:hint="eastAsia" w:asciiTheme="minorEastAsia" w:hAnsiTheme="minorEastAsia" w:eastAsiaTheme="minorEastAsia" w:cstheme="minorEastAsia"/>
                <w:b/>
                <w:bCs/>
                <w:sz w:val="24"/>
                <w:szCs w:val="24"/>
                <w:highlight w:val="none"/>
                <w:lang w:eastAsia="zh-CN"/>
              </w:rPr>
              <w:t>年11月至今任意1个月</w:t>
            </w:r>
            <w:r>
              <w:rPr>
                <w:rFonts w:hint="eastAsia" w:asciiTheme="minorEastAsia" w:hAnsiTheme="minorEastAsia" w:eastAsiaTheme="minorEastAsia" w:cstheme="minorEastAsia"/>
                <w:b/>
                <w:bCs/>
                <w:sz w:val="24"/>
                <w:szCs w:val="24"/>
                <w:highlight w:val="none"/>
              </w:rPr>
              <w:t>）扫描件并加盖单位公章，未按要求提供不得分。</w:t>
            </w:r>
          </w:p>
        </w:tc>
      </w:tr>
      <w:tr w14:paraId="2628F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352" w:type="dxa"/>
            <w:vAlign w:val="center"/>
          </w:tcPr>
          <w:p w14:paraId="63CA33EC">
            <w:pPr>
              <w:bidi w:val="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运维车辆保障</w:t>
            </w:r>
          </w:p>
          <w:p w14:paraId="00DD50B5">
            <w:pPr>
              <w:bidi w:val="0"/>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（4分）</w:t>
            </w:r>
          </w:p>
        </w:tc>
        <w:tc>
          <w:tcPr>
            <w:tcW w:w="7929" w:type="dxa"/>
            <w:vAlign w:val="center"/>
          </w:tcPr>
          <w:p w14:paraId="4BA349C9">
            <w:pPr>
              <w:bidi w:val="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供应商为本项目至少配备2辆运维车辆，每增加1辆得1分，最高得4分。</w:t>
            </w:r>
          </w:p>
          <w:p w14:paraId="5D7B814F">
            <w:pPr>
              <w:bidi w:val="0"/>
              <w:jc w:val="lef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注：</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1</w:t>
            </w:r>
            <w:r>
              <w:rPr>
                <w:rFonts w:hint="eastAsia" w:asciiTheme="minorEastAsia" w:hAnsiTheme="minorEastAsia" w:eastAsiaTheme="minorEastAsia" w:cstheme="minorEastAsia"/>
                <w:b/>
                <w:bCs/>
                <w:sz w:val="24"/>
                <w:szCs w:val="24"/>
                <w:highlight w:val="none"/>
                <w:lang w:eastAsia="zh-CN"/>
              </w:rPr>
              <w:t>）</w:t>
            </w:r>
            <w:r>
              <w:rPr>
                <w:rFonts w:hint="eastAsia" w:asciiTheme="minorEastAsia" w:hAnsiTheme="minorEastAsia" w:eastAsiaTheme="minorEastAsia" w:cstheme="minorEastAsia"/>
                <w:b/>
                <w:bCs/>
                <w:sz w:val="24"/>
                <w:szCs w:val="24"/>
                <w:highlight w:val="none"/>
                <w:lang w:val="en-US" w:eastAsia="zh-CN"/>
              </w:rPr>
              <w:t>若是自有车辆提供购买发票、车辆行驶证扫描件及车辆照片加盖单位公章；</w:t>
            </w:r>
          </w:p>
          <w:p w14:paraId="2FD54D8A">
            <w:pPr>
              <w:bidi w:val="0"/>
              <w:jc w:val="left"/>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（2）若是租用车辆提供车辆行驶证扫描件、车辆照片及租赁合同扫描件加盖单位公章。</w:t>
            </w:r>
          </w:p>
          <w:p w14:paraId="47C49F1F">
            <w:pPr>
              <w:bidi w:val="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（3）未按要求提供不得分。</w:t>
            </w:r>
          </w:p>
        </w:tc>
      </w:tr>
    </w:tbl>
    <w:p w14:paraId="6672BEC8">
      <w:pPr>
        <w:pStyle w:val="33"/>
        <w:keepNext w:val="0"/>
        <w:keepLines w:val="0"/>
        <w:pageBreakBefore w:val="0"/>
        <w:widowControl/>
        <w:tabs>
          <w:tab w:val="left" w:pos="720"/>
        </w:tabs>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color w:val="000000"/>
          <w:kern w:val="0"/>
          <w:sz w:val="24"/>
          <w:szCs w:val="24"/>
          <w:highlight w:val="none"/>
        </w:rPr>
      </w:pPr>
      <w:r>
        <w:rPr>
          <w:rFonts w:hint="eastAsia" w:ascii="宋体" w:hAnsi="宋体" w:eastAsia="宋体" w:cs="宋体"/>
          <w:b/>
          <w:bCs/>
          <w:color w:val="000000"/>
          <w:kern w:val="0"/>
          <w:sz w:val="24"/>
          <w:szCs w:val="24"/>
          <w:highlight w:val="none"/>
        </w:rPr>
        <w:t>五、成交标准：</w:t>
      </w:r>
    </w:p>
    <w:p w14:paraId="6A55524C">
      <w:pPr>
        <w:pStyle w:val="33"/>
        <w:tabs>
          <w:tab w:val="left" w:pos="720"/>
        </w:tabs>
        <w:wordWrap/>
        <w:topLinePunct w:val="0"/>
        <w:bidi w:val="0"/>
        <w:adjustRightInd w:val="0"/>
        <w:snapToGrid w:val="0"/>
        <w:spacing w:line="360" w:lineRule="auto"/>
        <w:ind w:firstLine="480" w:firstLineChars="200"/>
        <w:textAlignment w:val="auto"/>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1EC7447F">
      <w:pPr>
        <w:widowControl/>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p>
    <w:p w14:paraId="665AF38A">
      <w:pPr>
        <w:pStyle w:val="2"/>
        <w:keepNext/>
        <w:keepLines/>
        <w:pageBreakBefore/>
        <w:widowControl w:val="0"/>
        <w:kinsoku/>
        <w:wordWrap/>
        <w:overflowPunct/>
        <w:topLinePunct w:val="0"/>
        <w:autoSpaceDE/>
        <w:autoSpaceDN/>
        <w:bidi w:val="0"/>
        <w:adjustRightInd w:val="0"/>
        <w:snapToGrid w:val="0"/>
        <w:spacing w:before="156" w:beforeLines="50" w:after="156" w:afterLines="50" w:line="360" w:lineRule="auto"/>
        <w:jc w:val="center"/>
        <w:textAlignment w:val="auto"/>
        <w:rPr>
          <w:rFonts w:hint="eastAsia" w:ascii="宋体" w:hAnsi="宋体" w:eastAsia="宋体" w:cs="宋体"/>
          <w:b/>
          <w:bCs w:val="0"/>
          <w:highlight w:val="none"/>
        </w:rPr>
      </w:pPr>
      <w:bookmarkStart w:id="17" w:name="_Toc161932696"/>
      <w:bookmarkStart w:id="18" w:name="_Toc4866"/>
      <w:r>
        <w:rPr>
          <w:rFonts w:hint="eastAsia" w:ascii="宋体" w:hAnsi="宋体" w:eastAsia="宋体" w:cs="宋体"/>
          <w:b/>
          <w:bCs w:val="0"/>
          <w:highlight w:val="none"/>
        </w:rPr>
        <w:t>第六章  响应文件格式</w:t>
      </w:r>
      <w:bookmarkEnd w:id="17"/>
      <w:bookmarkEnd w:id="18"/>
    </w:p>
    <w:p w14:paraId="56C9F2F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p>
    <w:p w14:paraId="6F2C2106">
      <w:pPr>
        <w:wordWrap/>
        <w:topLinePunct w:val="0"/>
        <w:bidi w:val="0"/>
        <w:adjustRightInd w:val="0"/>
        <w:snapToGrid w:val="0"/>
        <w:spacing w:line="360" w:lineRule="auto"/>
        <w:ind w:firstLine="1446" w:firstLineChars="200"/>
        <w:jc w:val="center"/>
        <w:textAlignment w:val="auto"/>
        <w:rPr>
          <w:rFonts w:hint="eastAsia" w:ascii="宋体" w:hAnsi="宋体" w:eastAsia="宋体" w:cs="宋体"/>
          <w:b/>
          <w:color w:val="000000"/>
          <w:kern w:val="0"/>
          <w:sz w:val="72"/>
          <w:szCs w:val="21"/>
          <w:highlight w:val="none"/>
        </w:rPr>
      </w:pPr>
    </w:p>
    <w:p w14:paraId="55A59E90">
      <w:pPr>
        <w:wordWrap/>
        <w:topLinePunct w:val="0"/>
        <w:bidi w:val="0"/>
        <w:adjustRightInd w:val="0"/>
        <w:snapToGrid w:val="0"/>
        <w:spacing w:line="360" w:lineRule="auto"/>
        <w:ind w:firstLine="1446" w:firstLineChars="200"/>
        <w:jc w:val="both"/>
        <w:textAlignment w:val="auto"/>
        <w:rPr>
          <w:rFonts w:hint="eastAsia" w:ascii="宋体" w:hAnsi="宋体" w:eastAsia="宋体" w:cs="宋体"/>
          <w:b/>
          <w:color w:val="000000"/>
          <w:kern w:val="0"/>
          <w:sz w:val="72"/>
          <w:szCs w:val="21"/>
          <w:highlight w:val="none"/>
        </w:rPr>
      </w:pPr>
      <w:r>
        <w:rPr>
          <w:rFonts w:hint="eastAsia" w:ascii="宋体" w:hAnsi="宋体" w:eastAsia="宋体" w:cs="宋体"/>
          <w:b/>
          <w:color w:val="000000"/>
          <w:kern w:val="0"/>
          <w:sz w:val="72"/>
          <w:szCs w:val="21"/>
          <w:highlight w:val="none"/>
        </w:rPr>
        <w:t>响  应  文  件</w:t>
      </w:r>
    </w:p>
    <w:p w14:paraId="77F2ACCF">
      <w:pPr>
        <w:wordWrap/>
        <w:topLinePunct w:val="0"/>
        <w:bidi w:val="0"/>
        <w:adjustRightInd w:val="0"/>
        <w:snapToGrid w:val="0"/>
        <w:spacing w:line="360" w:lineRule="auto"/>
        <w:ind w:firstLine="1446" w:firstLineChars="200"/>
        <w:jc w:val="center"/>
        <w:textAlignment w:val="auto"/>
        <w:rPr>
          <w:rFonts w:hint="eastAsia" w:ascii="宋体" w:hAnsi="宋体" w:eastAsia="宋体" w:cs="宋体"/>
          <w:b/>
          <w:color w:val="000000"/>
          <w:kern w:val="0"/>
          <w:sz w:val="72"/>
          <w:szCs w:val="21"/>
          <w:highlight w:val="none"/>
        </w:rPr>
      </w:pPr>
    </w:p>
    <w:p w14:paraId="265CE855">
      <w:pPr>
        <w:wordWrap/>
        <w:topLinePunct w:val="0"/>
        <w:bidi w:val="0"/>
        <w:adjustRightInd w:val="0"/>
        <w:snapToGrid w:val="0"/>
        <w:spacing w:line="360" w:lineRule="auto"/>
        <w:ind w:firstLine="1446" w:firstLineChars="200"/>
        <w:jc w:val="center"/>
        <w:textAlignment w:val="auto"/>
        <w:rPr>
          <w:rFonts w:hint="eastAsia" w:ascii="宋体" w:hAnsi="宋体" w:eastAsia="宋体" w:cs="宋体"/>
          <w:b/>
          <w:color w:val="000000"/>
          <w:kern w:val="0"/>
          <w:sz w:val="72"/>
          <w:szCs w:val="21"/>
          <w:highlight w:val="none"/>
        </w:rPr>
      </w:pPr>
    </w:p>
    <w:p w14:paraId="206E0477">
      <w:pPr>
        <w:wordWrap/>
        <w:topLinePunct w:val="0"/>
        <w:bidi w:val="0"/>
        <w:adjustRightInd w:val="0"/>
        <w:snapToGrid w:val="0"/>
        <w:spacing w:line="360" w:lineRule="auto"/>
        <w:ind w:firstLine="723" w:firstLineChars="200"/>
        <w:jc w:val="center"/>
        <w:textAlignment w:val="auto"/>
        <w:rPr>
          <w:rFonts w:hint="eastAsia" w:ascii="宋体" w:hAnsi="宋体" w:eastAsia="宋体" w:cs="宋体"/>
          <w:b/>
          <w:color w:val="000000"/>
          <w:kern w:val="0"/>
          <w:sz w:val="36"/>
          <w:szCs w:val="21"/>
          <w:highlight w:val="none"/>
        </w:rPr>
      </w:pPr>
    </w:p>
    <w:p w14:paraId="6587244A">
      <w:pPr>
        <w:wordWrap/>
        <w:topLinePunct w:val="0"/>
        <w:bidi w:val="0"/>
        <w:adjustRightInd w:val="0"/>
        <w:snapToGrid w:val="0"/>
        <w:spacing w:line="360" w:lineRule="auto"/>
        <w:ind w:firstLine="723" w:firstLineChars="200"/>
        <w:jc w:val="center"/>
        <w:textAlignment w:val="auto"/>
        <w:rPr>
          <w:rFonts w:hint="eastAsia" w:ascii="宋体" w:hAnsi="宋体" w:eastAsia="宋体" w:cs="宋体"/>
          <w:b/>
          <w:color w:val="000000"/>
          <w:kern w:val="0"/>
          <w:sz w:val="36"/>
          <w:szCs w:val="21"/>
          <w:highlight w:val="none"/>
        </w:rPr>
      </w:pPr>
    </w:p>
    <w:p w14:paraId="5917B186">
      <w:pPr>
        <w:wordWrap/>
        <w:topLinePunct w:val="0"/>
        <w:bidi w:val="0"/>
        <w:adjustRightInd w:val="0"/>
        <w:snapToGrid w:val="0"/>
        <w:spacing w:line="360" w:lineRule="auto"/>
        <w:ind w:firstLine="723" w:firstLineChars="200"/>
        <w:jc w:val="center"/>
        <w:textAlignment w:val="auto"/>
        <w:rPr>
          <w:rFonts w:hint="eastAsia" w:ascii="宋体" w:hAnsi="宋体" w:eastAsia="宋体" w:cs="宋体"/>
          <w:b/>
          <w:color w:val="000000"/>
          <w:kern w:val="0"/>
          <w:sz w:val="36"/>
          <w:szCs w:val="21"/>
          <w:highlight w:val="none"/>
        </w:rPr>
      </w:pPr>
    </w:p>
    <w:p w14:paraId="1BFFCD9D">
      <w:pPr>
        <w:wordWrap/>
        <w:topLinePunct w:val="0"/>
        <w:bidi w:val="0"/>
        <w:adjustRightInd w:val="0"/>
        <w:snapToGrid w:val="0"/>
        <w:spacing w:line="360" w:lineRule="auto"/>
        <w:ind w:firstLine="723" w:firstLineChars="200"/>
        <w:textAlignment w:val="auto"/>
        <w:rPr>
          <w:rFonts w:hint="eastAsia" w:ascii="宋体" w:hAnsi="宋体" w:eastAsia="宋体" w:cs="宋体"/>
          <w:b/>
          <w:color w:val="000000"/>
          <w:kern w:val="0"/>
          <w:sz w:val="36"/>
          <w:szCs w:val="21"/>
          <w:highlight w:val="none"/>
        </w:rPr>
      </w:pPr>
      <w:r>
        <w:rPr>
          <w:rFonts w:hint="eastAsia" w:ascii="宋体" w:hAnsi="宋体" w:eastAsia="宋体" w:cs="宋体"/>
          <w:b/>
          <w:color w:val="000000"/>
          <w:kern w:val="0"/>
          <w:sz w:val="36"/>
          <w:szCs w:val="21"/>
          <w:highlight w:val="none"/>
        </w:rPr>
        <w:t>项 目 名 称：</w:t>
      </w:r>
      <w:r>
        <w:rPr>
          <w:rFonts w:hint="eastAsia" w:ascii="宋体" w:hAnsi="宋体" w:eastAsia="宋体" w:cs="宋体"/>
          <w:b/>
          <w:color w:val="000000"/>
          <w:kern w:val="0"/>
          <w:sz w:val="36"/>
          <w:szCs w:val="21"/>
          <w:highlight w:val="none"/>
          <w:u w:val="single"/>
        </w:rPr>
        <w:t xml:space="preserve">                   </w:t>
      </w:r>
    </w:p>
    <w:p w14:paraId="2FD75E68">
      <w:pPr>
        <w:wordWrap/>
        <w:topLinePunct w:val="0"/>
        <w:bidi w:val="0"/>
        <w:adjustRightInd w:val="0"/>
        <w:snapToGrid w:val="0"/>
        <w:spacing w:line="360" w:lineRule="auto"/>
        <w:ind w:firstLine="723" w:firstLineChars="200"/>
        <w:textAlignment w:val="auto"/>
        <w:rPr>
          <w:rFonts w:hint="eastAsia" w:ascii="宋体" w:hAnsi="宋体" w:eastAsia="宋体" w:cs="宋体"/>
          <w:b/>
          <w:color w:val="000000"/>
          <w:kern w:val="0"/>
          <w:sz w:val="36"/>
          <w:szCs w:val="21"/>
          <w:highlight w:val="none"/>
          <w:u w:val="single"/>
        </w:rPr>
      </w:pPr>
      <w:r>
        <w:rPr>
          <w:rFonts w:hint="eastAsia" w:ascii="宋体" w:hAnsi="宋体" w:eastAsia="宋体" w:cs="宋体"/>
          <w:b/>
          <w:color w:val="000000"/>
          <w:kern w:val="0"/>
          <w:sz w:val="36"/>
          <w:szCs w:val="21"/>
          <w:highlight w:val="none"/>
        </w:rPr>
        <w:t>项 目 编 号：</w:t>
      </w:r>
      <w:r>
        <w:rPr>
          <w:rFonts w:hint="eastAsia" w:ascii="宋体" w:hAnsi="宋体" w:eastAsia="宋体" w:cs="宋体"/>
          <w:b/>
          <w:color w:val="000000"/>
          <w:kern w:val="0"/>
          <w:sz w:val="36"/>
          <w:szCs w:val="21"/>
          <w:highlight w:val="none"/>
          <w:u w:val="single"/>
        </w:rPr>
        <w:t xml:space="preserve">                   </w:t>
      </w:r>
    </w:p>
    <w:p w14:paraId="68F8291A">
      <w:pPr>
        <w:wordWrap/>
        <w:topLinePunct w:val="0"/>
        <w:bidi w:val="0"/>
        <w:adjustRightInd w:val="0"/>
        <w:snapToGrid w:val="0"/>
        <w:spacing w:line="360" w:lineRule="auto"/>
        <w:ind w:firstLine="723" w:firstLineChars="200"/>
        <w:textAlignment w:val="auto"/>
        <w:rPr>
          <w:rFonts w:hint="eastAsia" w:ascii="宋体" w:hAnsi="宋体" w:eastAsia="宋体" w:cs="宋体"/>
          <w:b/>
          <w:color w:val="000000"/>
          <w:kern w:val="0"/>
          <w:sz w:val="36"/>
          <w:szCs w:val="21"/>
          <w:highlight w:val="none"/>
          <w:u w:val="single"/>
        </w:rPr>
      </w:pPr>
      <w:r>
        <w:rPr>
          <w:rFonts w:hint="eastAsia" w:ascii="宋体" w:hAnsi="宋体" w:eastAsia="宋体" w:cs="宋体"/>
          <w:b/>
          <w:color w:val="000000"/>
          <w:kern w:val="0"/>
          <w:sz w:val="36"/>
          <w:szCs w:val="21"/>
          <w:highlight w:val="none"/>
        </w:rPr>
        <w:t>供应商名称 ：</w:t>
      </w:r>
      <w:r>
        <w:rPr>
          <w:rFonts w:hint="eastAsia" w:ascii="宋体" w:hAnsi="宋体" w:eastAsia="宋体" w:cs="宋体"/>
          <w:b/>
          <w:color w:val="000000"/>
          <w:kern w:val="0"/>
          <w:sz w:val="36"/>
          <w:szCs w:val="21"/>
          <w:highlight w:val="none"/>
          <w:u w:val="single"/>
        </w:rPr>
        <w:t>（加盖CA电子公章）</w:t>
      </w:r>
    </w:p>
    <w:p w14:paraId="44415CF9">
      <w:pPr>
        <w:wordWrap/>
        <w:topLinePunct w:val="0"/>
        <w:bidi w:val="0"/>
        <w:adjustRightInd w:val="0"/>
        <w:snapToGrid w:val="0"/>
        <w:spacing w:line="360" w:lineRule="auto"/>
        <w:ind w:firstLine="723" w:firstLineChars="200"/>
        <w:textAlignment w:val="auto"/>
        <w:rPr>
          <w:rFonts w:hint="eastAsia" w:ascii="宋体" w:hAnsi="宋体" w:eastAsia="宋体" w:cs="宋体"/>
          <w:b/>
          <w:color w:val="000000"/>
          <w:kern w:val="0"/>
          <w:sz w:val="36"/>
          <w:szCs w:val="21"/>
          <w:highlight w:val="none"/>
          <w:u w:val="single"/>
        </w:rPr>
      </w:pPr>
      <w:r>
        <w:rPr>
          <w:rFonts w:hint="eastAsia" w:ascii="宋体" w:hAnsi="宋体" w:eastAsia="宋体" w:cs="宋体"/>
          <w:b/>
          <w:color w:val="000000"/>
          <w:kern w:val="0"/>
          <w:sz w:val="36"/>
          <w:szCs w:val="21"/>
          <w:highlight w:val="none"/>
        </w:rPr>
        <w:t>日      期 ：</w:t>
      </w:r>
      <w:r>
        <w:rPr>
          <w:rFonts w:hint="eastAsia" w:ascii="宋体" w:hAnsi="宋体" w:eastAsia="宋体" w:cs="宋体"/>
          <w:b/>
          <w:color w:val="000000"/>
          <w:kern w:val="0"/>
          <w:sz w:val="36"/>
          <w:szCs w:val="21"/>
          <w:highlight w:val="none"/>
          <w:u w:val="single"/>
        </w:rPr>
        <w:t xml:space="preserve">                   </w:t>
      </w:r>
    </w:p>
    <w:p w14:paraId="2CF5DCC8">
      <w:pPr>
        <w:keepNext/>
        <w:keepLines/>
        <w:wordWrap/>
        <w:topLinePunct w:val="0"/>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6"/>
          <w:szCs w:val="36"/>
          <w:highlight w:val="none"/>
          <w:u w:val="single"/>
        </w:rPr>
      </w:pPr>
      <w:r>
        <w:rPr>
          <w:rFonts w:hint="eastAsia" w:ascii="宋体" w:hAnsi="宋体" w:eastAsia="宋体" w:cs="宋体"/>
          <w:i/>
          <w:kern w:val="0"/>
          <w:sz w:val="32"/>
          <w:szCs w:val="32"/>
          <w:highlight w:val="none"/>
          <w:u w:val="single"/>
        </w:rPr>
        <w:t>一、法人或者其他组织的营业执照等证明文件，自然人的身份证明</w:t>
      </w:r>
    </w:p>
    <w:p w14:paraId="0540FA18">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69009163">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3D80AE8F">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二、上一年度的财务状况报告</w:t>
      </w:r>
      <w:r>
        <w:rPr>
          <w:rFonts w:hint="eastAsia" w:ascii="宋体" w:hAnsi="宋体" w:eastAsia="宋体" w:cs="宋体"/>
          <w:i/>
          <w:kern w:val="0"/>
          <w:sz w:val="32"/>
          <w:szCs w:val="32"/>
          <w:highlight w:val="none"/>
          <w:u w:val="single"/>
          <w:lang w:eastAsia="zh-CN"/>
        </w:rPr>
        <w:t>（</w:t>
      </w:r>
      <w:r>
        <w:rPr>
          <w:rFonts w:hint="eastAsia" w:ascii="宋体" w:hAnsi="宋体" w:eastAsia="宋体" w:cs="宋体"/>
          <w:i/>
          <w:kern w:val="0"/>
          <w:sz w:val="32"/>
          <w:szCs w:val="32"/>
          <w:highlight w:val="none"/>
          <w:u w:val="single"/>
        </w:rPr>
        <w:t>成立不满一年无需提供）</w:t>
      </w:r>
    </w:p>
    <w:p w14:paraId="713D8653">
      <w:pPr>
        <w:wordWrap/>
        <w:topLinePunct w:val="0"/>
        <w:bidi w:val="0"/>
        <w:adjustRightInd w:val="0"/>
        <w:snapToGrid w:val="0"/>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sz w:val="24"/>
          <w:szCs w:val="24"/>
          <w:highlight w:val="none"/>
        </w:rPr>
        <w:t>根据连财购〔2023〕4号文件精神，可以提供《财务状况报告及税收、社会保障资金缴纳情况承诺函》。</w:t>
      </w:r>
    </w:p>
    <w:p w14:paraId="720E7A1C">
      <w:pPr>
        <w:wordWrap/>
        <w:topLinePunct w:val="0"/>
        <w:bidi w:val="0"/>
        <w:adjustRightInd w:val="0"/>
        <w:snapToGrid w:val="0"/>
        <w:spacing w:line="360" w:lineRule="auto"/>
        <w:ind w:firstLine="720" w:firstLineChars="200"/>
        <w:jc w:val="center"/>
        <w:textAlignment w:val="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财务状况报告及税收、社会保障资金缴纳情况承诺函</w:t>
      </w:r>
    </w:p>
    <w:p w14:paraId="007E7A88">
      <w:pPr>
        <w:wordWrap/>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000000"/>
          <w:szCs w:val="24"/>
          <w:highlight w:val="none"/>
        </w:rPr>
      </w:pPr>
    </w:p>
    <w:p w14:paraId="677B467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i/>
          <w:sz w:val="24"/>
          <w:szCs w:val="24"/>
          <w:highlight w:val="none"/>
          <w:u w:val="single"/>
        </w:rPr>
        <w:t>采购人名称</w:t>
      </w:r>
    </w:p>
    <w:p w14:paraId="28C0599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我方</w:t>
      </w:r>
      <w:r>
        <w:rPr>
          <w:rFonts w:hint="eastAsia" w:ascii="宋体" w:hAnsi="宋体" w:eastAsia="宋体" w:cs="宋体"/>
          <w:i/>
          <w:sz w:val="24"/>
          <w:szCs w:val="24"/>
          <w:highlight w:val="none"/>
          <w:u w:val="single"/>
        </w:rPr>
        <w:t>供应商名称</w:t>
      </w:r>
      <w:r>
        <w:rPr>
          <w:rFonts w:hint="eastAsia" w:ascii="宋体" w:hAnsi="宋体" w:eastAsia="宋体" w:cs="宋体"/>
          <w:sz w:val="24"/>
          <w:szCs w:val="24"/>
          <w:highlight w:val="none"/>
        </w:rPr>
        <w:t>参加</w:t>
      </w:r>
      <w:r>
        <w:rPr>
          <w:rFonts w:hint="eastAsia" w:ascii="宋体" w:hAnsi="宋体" w:eastAsia="宋体" w:cs="宋体"/>
          <w:i/>
          <w:sz w:val="24"/>
          <w:szCs w:val="24"/>
          <w:highlight w:val="none"/>
          <w:u w:val="single"/>
        </w:rPr>
        <w:t>项目名称</w:t>
      </w:r>
      <w:r>
        <w:rPr>
          <w:rFonts w:hint="eastAsia" w:ascii="宋体" w:hAnsi="宋体" w:eastAsia="宋体" w:cs="宋体"/>
          <w:sz w:val="24"/>
          <w:szCs w:val="24"/>
          <w:highlight w:val="none"/>
        </w:rPr>
        <w:t>（项目编号：</w:t>
      </w:r>
      <w:r>
        <w:rPr>
          <w:rFonts w:hint="eastAsia" w:ascii="宋体" w:hAnsi="宋体" w:eastAsia="宋体" w:cs="宋体"/>
          <w:i/>
          <w:sz w:val="24"/>
          <w:szCs w:val="24"/>
          <w:highlight w:val="none"/>
          <w:u w:val="single"/>
        </w:rPr>
        <w:t>项目编号</w:t>
      </w:r>
      <w:r>
        <w:rPr>
          <w:rFonts w:hint="eastAsia" w:ascii="宋体" w:hAnsi="宋体" w:eastAsia="宋体" w:cs="宋体"/>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0E5CFE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（1）具有良好的商业信誉和健全的财务会计制度（财务状况报告）；</w:t>
      </w:r>
    </w:p>
    <w:p w14:paraId="402F5A8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（2）有依法缴纳税收和社会保障资金的良好记录。</w:t>
      </w:r>
    </w:p>
    <w:p w14:paraId="1E4C43B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14242D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特此承诺</w:t>
      </w:r>
    </w:p>
    <w:p w14:paraId="12C1295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p>
    <w:p w14:paraId="15906D84">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供应商（公章）：</w:t>
      </w:r>
    </w:p>
    <w:p w14:paraId="1902A83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法定代表人（单位负责人）或委托代理人（</w:t>
      </w:r>
      <w:r>
        <w:rPr>
          <w:rFonts w:hint="eastAsia" w:ascii="宋体" w:hAnsi="宋体" w:eastAsia="宋体" w:cs="宋体"/>
          <w:sz w:val="24"/>
          <w:szCs w:val="24"/>
          <w:highlight w:val="none"/>
          <w:lang w:eastAsia="zh-CN"/>
        </w:rPr>
        <w:t>签字或盖章</w:t>
      </w:r>
      <w:r>
        <w:rPr>
          <w:rFonts w:hint="eastAsia" w:ascii="宋体" w:hAnsi="宋体" w:eastAsia="宋体" w:cs="宋体"/>
          <w:sz w:val="24"/>
          <w:szCs w:val="24"/>
          <w:highlight w:val="none"/>
        </w:rPr>
        <w:t>）：</w:t>
      </w:r>
    </w:p>
    <w:p w14:paraId="5F231C3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298CD572">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4BFAB0D9">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三、依法缴纳税收和社会保障资金的相关材料</w:t>
      </w:r>
    </w:p>
    <w:p w14:paraId="12A20093">
      <w:pPr>
        <w:wordWrap/>
        <w:topLinePunct w:val="0"/>
        <w:bidi w:val="0"/>
        <w:adjustRightInd w:val="0"/>
        <w:snapToGrid w:val="0"/>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sz w:val="24"/>
          <w:szCs w:val="24"/>
          <w:highlight w:val="none"/>
        </w:rPr>
        <w:t>提供提交响应文件截止时间前一年内至少一个月依法缴纳税收及缴纳社会保障资金的证明材料，供应商依法享受缓缴、免缴税收、社会保障资金的提供证明材料，也可根据连财购〔2023〕4号文件精神，提供《财务状况报告及税收、社会保障资金缴纳情况承诺函》。</w:t>
      </w:r>
    </w:p>
    <w:p w14:paraId="35B32010">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66FB4AC7">
      <w:pPr>
        <w:wordWrap/>
        <w:topLinePunct w:val="0"/>
        <w:bidi w:val="0"/>
        <w:adjustRightInd w:val="0"/>
        <w:snapToGrid w:val="0"/>
        <w:spacing w:line="360" w:lineRule="auto"/>
        <w:ind w:firstLine="720" w:firstLineChars="200"/>
        <w:jc w:val="center"/>
        <w:textAlignment w:val="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财务状况报告及税收、社会保障资金缴纳情况承诺函</w:t>
      </w:r>
    </w:p>
    <w:p w14:paraId="1B77EBA5">
      <w:pPr>
        <w:wordWrap/>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000000"/>
          <w:szCs w:val="24"/>
          <w:highlight w:val="none"/>
        </w:rPr>
      </w:pPr>
    </w:p>
    <w:p w14:paraId="5645D34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i/>
          <w:sz w:val="24"/>
          <w:szCs w:val="24"/>
          <w:highlight w:val="none"/>
          <w:u w:val="single"/>
        </w:rPr>
        <w:t>采购人名称</w:t>
      </w:r>
    </w:p>
    <w:p w14:paraId="0253B1C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我方</w:t>
      </w:r>
      <w:r>
        <w:rPr>
          <w:rFonts w:hint="eastAsia" w:ascii="宋体" w:hAnsi="宋体" w:eastAsia="宋体" w:cs="宋体"/>
          <w:i/>
          <w:sz w:val="24"/>
          <w:szCs w:val="24"/>
          <w:highlight w:val="none"/>
          <w:u w:val="single"/>
        </w:rPr>
        <w:t>供应商名称</w:t>
      </w:r>
      <w:r>
        <w:rPr>
          <w:rFonts w:hint="eastAsia" w:ascii="宋体" w:hAnsi="宋体" w:eastAsia="宋体" w:cs="宋体"/>
          <w:sz w:val="24"/>
          <w:szCs w:val="24"/>
          <w:highlight w:val="none"/>
        </w:rPr>
        <w:t>参加</w:t>
      </w:r>
      <w:r>
        <w:rPr>
          <w:rFonts w:hint="eastAsia" w:ascii="宋体" w:hAnsi="宋体" w:eastAsia="宋体" w:cs="宋体"/>
          <w:i/>
          <w:sz w:val="24"/>
          <w:szCs w:val="24"/>
          <w:highlight w:val="none"/>
          <w:u w:val="single"/>
        </w:rPr>
        <w:t>项目名称</w:t>
      </w:r>
      <w:r>
        <w:rPr>
          <w:rFonts w:hint="eastAsia" w:ascii="宋体" w:hAnsi="宋体" w:eastAsia="宋体" w:cs="宋体"/>
          <w:sz w:val="24"/>
          <w:szCs w:val="24"/>
          <w:highlight w:val="none"/>
        </w:rPr>
        <w:t>（项目编号：</w:t>
      </w:r>
      <w:r>
        <w:rPr>
          <w:rFonts w:hint="eastAsia" w:ascii="宋体" w:hAnsi="宋体" w:eastAsia="宋体" w:cs="宋体"/>
          <w:i/>
          <w:sz w:val="24"/>
          <w:szCs w:val="24"/>
          <w:highlight w:val="none"/>
          <w:u w:val="single"/>
        </w:rPr>
        <w:t>项目编号</w:t>
      </w:r>
      <w:r>
        <w:rPr>
          <w:rFonts w:hint="eastAsia" w:ascii="宋体" w:hAnsi="宋体" w:eastAsia="宋体" w:cs="宋体"/>
          <w:sz w:val="24"/>
          <w:szCs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A706B3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（1）具有良好的商业信誉和健全的财务会计制度（财务状况报告）；</w:t>
      </w:r>
    </w:p>
    <w:p w14:paraId="2B10804B">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（2）有依法缴纳税收和社会保障资金的良好记录。</w:t>
      </w:r>
    </w:p>
    <w:p w14:paraId="7BCFD1C6">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27F97C2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特此承诺</w:t>
      </w:r>
    </w:p>
    <w:p w14:paraId="3EA49D8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p>
    <w:p w14:paraId="6B6B01A9">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供应商（公章）：</w:t>
      </w:r>
    </w:p>
    <w:p w14:paraId="184587A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法定代表人（单位负责人）或委托代理人（</w:t>
      </w:r>
      <w:r>
        <w:rPr>
          <w:rFonts w:hint="eastAsia" w:ascii="宋体" w:hAnsi="宋体" w:eastAsia="宋体" w:cs="宋体"/>
          <w:sz w:val="24"/>
          <w:szCs w:val="24"/>
          <w:highlight w:val="none"/>
          <w:lang w:eastAsia="zh-CN"/>
        </w:rPr>
        <w:t>签字或盖章</w:t>
      </w:r>
      <w:r>
        <w:rPr>
          <w:rFonts w:hint="eastAsia" w:ascii="宋体" w:hAnsi="宋体" w:eastAsia="宋体" w:cs="宋体"/>
          <w:sz w:val="24"/>
          <w:szCs w:val="24"/>
          <w:highlight w:val="none"/>
        </w:rPr>
        <w:t>）：</w:t>
      </w:r>
    </w:p>
    <w:p w14:paraId="1554E1D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78B1A91A">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6056B90D">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2779DAB7">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四、具备履行合同所必需的设备和专业技术能力的声明及证明材料</w:t>
      </w:r>
    </w:p>
    <w:p w14:paraId="71DE99CE">
      <w:pPr>
        <w:wordWrap/>
        <w:topLinePunct w:val="0"/>
        <w:bidi w:val="0"/>
        <w:adjustRightInd w:val="0"/>
        <w:snapToGrid w:val="0"/>
        <w:spacing w:line="360" w:lineRule="auto"/>
        <w:ind w:firstLine="720" w:firstLineChars="200"/>
        <w:jc w:val="center"/>
        <w:textAlignment w:val="auto"/>
        <w:rPr>
          <w:rFonts w:hint="eastAsia" w:ascii="宋体" w:hAnsi="宋体" w:eastAsia="宋体" w:cs="宋体"/>
          <w:sz w:val="24"/>
          <w:szCs w:val="24"/>
          <w:highlight w:val="none"/>
        </w:rPr>
      </w:pPr>
      <w:r>
        <w:rPr>
          <w:rFonts w:hint="eastAsia" w:ascii="宋体" w:hAnsi="宋体" w:eastAsia="宋体" w:cs="宋体"/>
          <w:bCs/>
          <w:sz w:val="36"/>
          <w:szCs w:val="28"/>
          <w:highlight w:val="none"/>
        </w:rPr>
        <w:t>具备履行合同所必需的设备和专业技术能力的声明及证明材料</w:t>
      </w:r>
    </w:p>
    <w:p w14:paraId="1C38B8CA">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我单位郑重声明：我单位具备履行本项采购合同所必需的设备和专业技术能力，为履行本项采购合同我公司具备如下主要设备和主要专业技术能力：</w:t>
      </w:r>
    </w:p>
    <w:p w14:paraId="63771036">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主要设备有：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。（须附证明材料）</w:t>
      </w:r>
    </w:p>
    <w:p w14:paraId="3D82ADA8">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p>
    <w:p w14:paraId="5B066D11">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。（须附证明材料）</w:t>
      </w:r>
    </w:p>
    <w:p w14:paraId="63F08DE8">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p>
    <w:p w14:paraId="0B97D948">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p>
    <w:p w14:paraId="40D7D224">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val="en-US" w:eastAsia="zh-CN"/>
        </w:rPr>
        <w:t>公</w:t>
      </w:r>
      <w:r>
        <w:rPr>
          <w:rFonts w:hint="eastAsia" w:ascii="宋体" w:hAnsi="宋体" w:eastAsia="宋体" w:cs="宋体"/>
          <w:sz w:val="24"/>
          <w:szCs w:val="24"/>
          <w:highlight w:val="none"/>
        </w:rPr>
        <w:t>章）：</w:t>
      </w:r>
    </w:p>
    <w:p w14:paraId="62666F07">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法定代表人（单位负责人）或委托代理人（签字或盖章）：</w:t>
      </w:r>
    </w:p>
    <w:p w14:paraId="7FB5F081">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51080C4C">
      <w:pPr>
        <w:wordWrap/>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000000"/>
          <w:szCs w:val="24"/>
          <w:highlight w:val="none"/>
        </w:rPr>
      </w:pPr>
    </w:p>
    <w:p w14:paraId="7A57E734">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附主要设备和主要专业技术能力的证明材料如下：</w:t>
      </w:r>
    </w:p>
    <w:p w14:paraId="4F985D6E">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rPr>
      </w:pPr>
    </w:p>
    <w:p w14:paraId="3DC0BA2D">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rPr>
      </w:pPr>
    </w:p>
    <w:p w14:paraId="369210CB">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五、参加政府采购活动前3年内在经营活动中没有重大违法记录的书面声明</w:t>
      </w:r>
    </w:p>
    <w:p w14:paraId="5A89FAD8">
      <w:pPr>
        <w:wordWrap/>
        <w:topLinePunct w:val="0"/>
        <w:bidi w:val="0"/>
        <w:adjustRightInd w:val="0"/>
        <w:snapToGrid w:val="0"/>
        <w:spacing w:line="360" w:lineRule="auto"/>
        <w:ind w:firstLine="720" w:firstLineChars="200"/>
        <w:jc w:val="center"/>
        <w:textAlignment w:val="auto"/>
        <w:rPr>
          <w:rFonts w:hint="eastAsia" w:ascii="宋体" w:hAnsi="宋体" w:eastAsia="宋体" w:cs="宋体"/>
          <w:b/>
          <w:bCs/>
          <w:color w:val="000000"/>
          <w:kern w:val="0"/>
          <w:sz w:val="44"/>
          <w:szCs w:val="44"/>
          <w:highlight w:val="none"/>
        </w:rPr>
      </w:pPr>
      <w:r>
        <w:rPr>
          <w:rFonts w:hint="eastAsia" w:ascii="宋体" w:hAnsi="宋体" w:eastAsia="宋体" w:cs="宋体"/>
          <w:bCs/>
          <w:sz w:val="36"/>
          <w:szCs w:val="28"/>
          <w:highlight w:val="none"/>
        </w:rPr>
        <w:t>声  明</w:t>
      </w:r>
    </w:p>
    <w:p w14:paraId="6A5449C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我单位郑重声明：参加本次政府采购活动前 3 年内，我单位在经营活动中没有因违法经营受到刑事处罚或者责令停产停业、吊销许可证或者执照、较大数额罚款等行政处罚。</w:t>
      </w:r>
    </w:p>
    <w:p w14:paraId="5A3EA11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p>
    <w:p w14:paraId="7A0C588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val="en-US" w:eastAsia="zh-CN"/>
        </w:rPr>
        <w:t>公章</w:t>
      </w:r>
      <w:r>
        <w:rPr>
          <w:rFonts w:hint="eastAsia" w:ascii="宋体" w:hAnsi="宋体" w:eastAsia="宋体" w:cs="宋体"/>
          <w:sz w:val="24"/>
          <w:szCs w:val="24"/>
          <w:highlight w:val="none"/>
        </w:rPr>
        <w:t>）：</w:t>
      </w:r>
    </w:p>
    <w:p w14:paraId="7ED3042C">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法定代表人（单位负责人）或委托代理人（签字或盖章）：</w:t>
      </w:r>
    </w:p>
    <w:p w14:paraId="011D86A5">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0E253FF4">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393D4582">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4746CC72">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六、法律、行政法规规定的其他条件的证明文件</w:t>
      </w:r>
    </w:p>
    <w:p w14:paraId="782A39A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（如有，请按要求提供）</w:t>
      </w:r>
    </w:p>
    <w:p w14:paraId="3A8DED64">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5568A5CF">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2E41E5B9">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七 、落实政府采购政策需满足的资格要求的证明文件</w:t>
      </w:r>
    </w:p>
    <w:p w14:paraId="60E689A3">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（如有，请按要求提供）</w:t>
      </w:r>
    </w:p>
    <w:p w14:paraId="2607FCB0">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067EDA59">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288F5A14">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八、特定资格要求的证明文件</w:t>
      </w:r>
    </w:p>
    <w:p w14:paraId="4E8B231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（如有，请按要求提供）</w:t>
      </w:r>
    </w:p>
    <w:p w14:paraId="7F42DCA5">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44AA25E2">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九、授权委托书与法定代表人（单位负责人）身份证明</w:t>
      </w:r>
    </w:p>
    <w:p w14:paraId="0F59671B">
      <w:pPr>
        <w:wordWrap/>
        <w:topLinePunct w:val="0"/>
        <w:bidi w:val="0"/>
        <w:adjustRightInd w:val="0"/>
        <w:snapToGrid w:val="0"/>
        <w:spacing w:line="360" w:lineRule="auto"/>
        <w:ind w:firstLine="723" w:firstLineChars="200"/>
        <w:jc w:val="center"/>
        <w:textAlignment w:val="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授权委托书</w:t>
      </w:r>
    </w:p>
    <w:p w14:paraId="635AD1C6">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采购单位</w:t>
      </w:r>
    </w:p>
    <w:p w14:paraId="2E0E163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本人</w:t>
      </w:r>
      <w:r>
        <w:rPr>
          <w:rFonts w:hint="eastAsia" w:ascii="宋体" w:hAnsi="宋体" w:eastAsia="宋体" w:cs="宋体"/>
          <w:sz w:val="24"/>
          <w:szCs w:val="24"/>
          <w:highlight w:val="none"/>
          <w:u w:val="single"/>
        </w:rPr>
        <w:t xml:space="preserve"> （姓名） </w:t>
      </w:r>
      <w:r>
        <w:rPr>
          <w:rFonts w:hint="eastAsia" w:ascii="宋体" w:hAnsi="宋体" w:eastAsia="宋体" w:cs="宋体"/>
          <w:sz w:val="24"/>
          <w:szCs w:val="24"/>
          <w:highlight w:val="none"/>
        </w:rPr>
        <w:t>系</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的法定代表人（单位负责人），现委托</w:t>
      </w:r>
      <w:r>
        <w:rPr>
          <w:rFonts w:hint="eastAsia" w:ascii="宋体" w:hAnsi="宋体" w:eastAsia="宋体" w:cs="宋体"/>
          <w:sz w:val="24"/>
          <w:szCs w:val="24"/>
          <w:highlight w:val="none"/>
          <w:u w:val="single"/>
        </w:rPr>
        <w:t xml:space="preserve"> （姓名） </w:t>
      </w:r>
      <w:r>
        <w:rPr>
          <w:rFonts w:hint="eastAsia" w:ascii="宋体" w:hAnsi="宋体" w:eastAsia="宋体" w:cs="宋体"/>
          <w:sz w:val="24"/>
          <w:szCs w:val="24"/>
          <w:highlight w:val="none"/>
        </w:rPr>
        <w:t>为我方代理人。代理人根据授权，以我方名义签署、澄清确认、提交、撤回、修改</w:t>
      </w:r>
      <w:r>
        <w:rPr>
          <w:rFonts w:hint="eastAsia" w:ascii="宋体" w:hAnsi="宋体" w:eastAsia="宋体" w:cs="宋体"/>
          <w:sz w:val="24"/>
          <w:szCs w:val="24"/>
          <w:highlight w:val="none"/>
          <w:u w:val="single"/>
        </w:rPr>
        <w:t xml:space="preserve"> （项目名称） </w:t>
      </w:r>
      <w:r>
        <w:rPr>
          <w:rFonts w:hint="eastAsia" w:ascii="宋体" w:hAnsi="宋体" w:eastAsia="宋体" w:cs="宋体"/>
          <w:sz w:val="24"/>
          <w:szCs w:val="24"/>
          <w:highlight w:val="none"/>
        </w:rPr>
        <w:t>项目（项目编号：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）响应文件和处理有关事宜，其法律后果由我方承担。</w:t>
      </w:r>
    </w:p>
    <w:p w14:paraId="45495C67">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委托期限：自本授权委托书签署之日起至响应有效期届满之日止。</w:t>
      </w:r>
    </w:p>
    <w:p w14:paraId="19380552">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代理人无转委托权。</w:t>
      </w:r>
      <w:r>
        <w:rPr>
          <w:rFonts w:hint="eastAsia" w:ascii="宋体" w:hAnsi="宋体" w:eastAsia="宋体" w:cs="宋体"/>
          <w:sz w:val="24"/>
          <w:szCs w:val="24"/>
          <w:highlight w:val="none"/>
        </w:rPr>
        <w:cr/>
      </w:r>
    </w:p>
    <w:p w14:paraId="5A84B96F">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供应商名称（加盖公章）：</w:t>
      </w:r>
      <w:r>
        <w:rPr>
          <w:rFonts w:hint="eastAsia" w:ascii="宋体" w:hAnsi="宋体" w:eastAsia="宋体" w:cs="宋体"/>
          <w:sz w:val="24"/>
          <w:szCs w:val="24"/>
          <w:highlight w:val="none"/>
          <w:u w:val="single"/>
        </w:rPr>
        <w:t xml:space="preserve">             </w:t>
      </w:r>
    </w:p>
    <w:p w14:paraId="27D109D8">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法定代表人（单位负责人）（签字、签章或印鉴）：</w:t>
      </w:r>
      <w:r>
        <w:rPr>
          <w:rFonts w:hint="eastAsia" w:ascii="宋体" w:hAnsi="宋体" w:eastAsia="宋体" w:cs="宋体"/>
          <w:sz w:val="24"/>
          <w:szCs w:val="24"/>
          <w:highlight w:val="none"/>
          <w:u w:val="single"/>
        </w:rPr>
        <w:t xml:space="preserve">             </w:t>
      </w:r>
    </w:p>
    <w:p w14:paraId="49AE0F93">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委托代理人（签字/签章）：</w:t>
      </w:r>
      <w:r>
        <w:rPr>
          <w:rFonts w:hint="eastAsia" w:ascii="宋体" w:hAnsi="宋体" w:eastAsia="宋体" w:cs="宋体"/>
          <w:sz w:val="24"/>
          <w:szCs w:val="24"/>
          <w:highlight w:val="none"/>
          <w:u w:val="single"/>
        </w:rPr>
        <w:t xml:space="preserve">             </w:t>
      </w:r>
    </w:p>
    <w:p w14:paraId="4FDD4309">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0"/>
          <w:highlight w:val="none"/>
        </w:rPr>
      </w:pPr>
      <w:r>
        <w:rPr>
          <w:rFonts w:hint="eastAsia" w:ascii="宋体" w:hAnsi="宋体" w:eastAsia="宋体" w:cs="宋体"/>
          <w:sz w:val="24"/>
          <w:szCs w:val="24"/>
          <w:highlight w:val="none"/>
        </w:rPr>
        <w:t>日期：    年     月     日</w:t>
      </w:r>
    </w:p>
    <w:p w14:paraId="21A4F299">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法定代表人（单位负责人）有效期内的身份证</w:t>
      </w:r>
      <w:r>
        <w:rPr>
          <w:rFonts w:hint="eastAsia" w:ascii="宋体" w:hAnsi="宋体" w:eastAsia="宋体" w:cs="宋体"/>
          <w:b/>
          <w:color w:val="000000"/>
          <w:sz w:val="24"/>
          <w:szCs w:val="20"/>
          <w:highlight w:val="none"/>
        </w:rPr>
        <w:t>正反面</w:t>
      </w:r>
      <w:r>
        <w:rPr>
          <w:rFonts w:hint="eastAsia" w:ascii="宋体" w:hAnsi="宋体" w:eastAsia="宋体" w:cs="宋体"/>
          <w:color w:val="000000"/>
          <w:sz w:val="24"/>
          <w:szCs w:val="20"/>
          <w:highlight w:val="none"/>
        </w:rPr>
        <w:t>电子件：</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16566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BE6EF6D">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4779510C">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6716AC9E">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tc>
        <w:tc>
          <w:tcPr>
            <w:tcW w:w="4536" w:type="dxa"/>
          </w:tcPr>
          <w:p w14:paraId="1039E1AF">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2FAFFA18">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7E07429A">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tc>
      </w:tr>
    </w:tbl>
    <w:p w14:paraId="0F95B41E">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委托代理人有效期内的身份证</w:t>
      </w:r>
      <w:r>
        <w:rPr>
          <w:rFonts w:hint="eastAsia" w:ascii="宋体" w:hAnsi="宋体" w:eastAsia="宋体" w:cs="宋体"/>
          <w:b/>
          <w:color w:val="000000"/>
          <w:sz w:val="24"/>
          <w:szCs w:val="20"/>
          <w:highlight w:val="none"/>
        </w:rPr>
        <w:t>正反面</w:t>
      </w:r>
      <w:r>
        <w:rPr>
          <w:rFonts w:hint="eastAsia" w:ascii="宋体" w:hAnsi="宋体" w:eastAsia="宋体" w:cs="宋体"/>
          <w:color w:val="000000"/>
          <w:sz w:val="24"/>
          <w:szCs w:val="20"/>
          <w:highlight w:val="none"/>
        </w:rPr>
        <w:t>电子件：</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D60C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AC3A900">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79A4CD2E">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12F3D952">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tc>
        <w:tc>
          <w:tcPr>
            <w:tcW w:w="4536" w:type="dxa"/>
          </w:tcPr>
          <w:p w14:paraId="6BC3ECAD">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4C9F54CE">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703ED97D">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tc>
      </w:tr>
    </w:tbl>
    <w:p w14:paraId="3C3ECE87">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填报说明：</w:t>
      </w:r>
    </w:p>
    <w:p w14:paraId="0FBB8053">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若供应商为事业单位或其他组织或分支机构（仅当磋商文件注明允许分支机构参与磋商的），则法定代表人（单位负责人）处的签署人可为单位负责人。</w:t>
      </w:r>
    </w:p>
    <w:p w14:paraId="3267AE8E">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若响应文件中全部签字之处均为法定代表人（单位负责人）本人签署，则可不提供本《授权委托书》，但须提供《法定代表人（单位负责人）身份证明》。</w:t>
      </w:r>
    </w:p>
    <w:p w14:paraId="7B77C22A">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供应商为自然人的情形，可不提供本《授权委托书》。</w:t>
      </w:r>
    </w:p>
    <w:p w14:paraId="56F86609">
      <w:pPr>
        <w:keepNext w:val="0"/>
        <w:keepLines w:val="0"/>
        <w:pageBreakBefore/>
        <w:widowControl w:val="0"/>
        <w:kinsoku/>
        <w:wordWrap/>
        <w:overflowPunct/>
        <w:topLinePunct w:val="0"/>
        <w:autoSpaceDE/>
        <w:autoSpaceDN/>
        <w:bidi w:val="0"/>
        <w:adjustRightInd w:val="0"/>
        <w:snapToGrid w:val="0"/>
        <w:spacing w:line="360" w:lineRule="auto"/>
        <w:ind w:firstLine="723" w:firstLineChars="200"/>
        <w:jc w:val="center"/>
        <w:textAlignment w:val="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法定代表人（单位负责人）身份证明</w:t>
      </w:r>
    </w:p>
    <w:p w14:paraId="750D6181">
      <w:pPr>
        <w:kinsoku w:val="0"/>
        <w:wordWrap/>
        <w:overflowPunct w:val="0"/>
        <w:topLinePunct w:val="0"/>
        <w:bidi w:val="0"/>
        <w:adjustRightInd w:val="0"/>
        <w:snapToGrid w:val="0"/>
        <w:spacing w:line="360" w:lineRule="auto"/>
        <w:ind w:firstLine="400" w:firstLineChars="200"/>
        <w:textAlignment w:val="auto"/>
        <w:rPr>
          <w:rFonts w:hint="eastAsia" w:ascii="宋体" w:hAnsi="宋体" w:eastAsia="宋体" w:cs="宋体"/>
          <w:sz w:val="20"/>
          <w:szCs w:val="20"/>
          <w:highlight w:val="none"/>
        </w:rPr>
      </w:pPr>
    </w:p>
    <w:p w14:paraId="7CE8032F">
      <w:pPr>
        <w:tabs>
          <w:tab w:val="left" w:pos="5580"/>
        </w:tabs>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致：</w:t>
      </w:r>
      <w:r>
        <w:rPr>
          <w:rFonts w:hint="eastAsia" w:ascii="宋体" w:hAnsi="宋体" w:eastAsia="宋体" w:cs="宋体"/>
          <w:sz w:val="24"/>
          <w:szCs w:val="24"/>
          <w:highlight w:val="none"/>
          <w:u w:val="single"/>
        </w:rPr>
        <w:t xml:space="preserve"> 采购单位 </w:t>
      </w:r>
    </w:p>
    <w:p w14:paraId="54A1C259">
      <w:pPr>
        <w:tabs>
          <w:tab w:val="left" w:pos="567"/>
          <w:tab w:val="left" w:pos="2412"/>
          <w:tab w:val="left" w:pos="3883"/>
          <w:tab w:val="left" w:pos="5352"/>
          <w:tab w:val="left" w:pos="6821"/>
        </w:tabs>
        <w:kinsoku w:val="0"/>
        <w:wordWrap/>
        <w:overflowPunct w:val="0"/>
        <w:topLinePunct w:val="0"/>
        <w:bidi w:val="0"/>
        <w:adjustRightInd w:val="0"/>
        <w:snapToGrid w:val="0"/>
        <w:spacing w:before="12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兹证明，</w:t>
      </w:r>
    </w:p>
    <w:p w14:paraId="326F302A">
      <w:pPr>
        <w:tabs>
          <w:tab w:val="left" w:pos="567"/>
          <w:tab w:val="left" w:pos="1690"/>
          <w:tab w:val="left" w:pos="3400"/>
          <w:tab w:val="left" w:pos="5110"/>
          <w:tab w:val="left" w:pos="6821"/>
        </w:tabs>
        <w:kinsoku w:val="0"/>
        <w:wordWrap/>
        <w:overflowPunct w:val="0"/>
        <w:topLinePunct w:val="0"/>
        <w:bidi w:val="0"/>
        <w:adjustRightInd w:val="0"/>
        <w:snapToGrid w:val="0"/>
        <w:spacing w:before="12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职务：</w:t>
      </w:r>
      <w:r>
        <w:rPr>
          <w:rFonts w:hint="eastAsia" w:ascii="宋体" w:hAnsi="宋体" w:eastAsia="宋体" w:cs="宋体"/>
          <w:sz w:val="24"/>
          <w:szCs w:val="24"/>
          <w:highlight w:val="none"/>
          <w:u w:val="single"/>
        </w:rPr>
        <w:t xml:space="preserve">        </w:t>
      </w:r>
    </w:p>
    <w:p w14:paraId="427C7F66">
      <w:pPr>
        <w:tabs>
          <w:tab w:val="left" w:pos="567"/>
          <w:tab w:val="left" w:pos="2412"/>
          <w:tab w:val="left" w:pos="3883"/>
          <w:tab w:val="left" w:pos="5352"/>
          <w:tab w:val="left" w:pos="6821"/>
        </w:tabs>
        <w:kinsoku w:val="0"/>
        <w:wordWrap/>
        <w:overflowPunct w:val="0"/>
        <w:topLinePunct w:val="0"/>
        <w:bidi w:val="0"/>
        <w:adjustRightInd w:val="0"/>
        <w:snapToGrid w:val="0"/>
        <w:spacing w:before="120" w:line="360" w:lineRule="auto"/>
        <w:ind w:firstLine="480" w:firstLineChars="200"/>
        <w:textAlignment w:val="auto"/>
        <w:rPr>
          <w:rFonts w:hint="eastAsia" w:ascii="宋体" w:hAnsi="宋体" w:eastAsia="宋体" w:cs="宋体"/>
          <w:sz w:val="24"/>
          <w:szCs w:val="24"/>
          <w:highlight w:val="none"/>
        </w:rPr>
      </w:pPr>
    </w:p>
    <w:p w14:paraId="55B2AF9F">
      <w:pPr>
        <w:tabs>
          <w:tab w:val="left" w:pos="2250"/>
          <w:tab w:val="left" w:pos="2412"/>
          <w:tab w:val="left" w:pos="3883"/>
          <w:tab w:val="left" w:pos="5352"/>
          <w:tab w:val="left" w:pos="6821"/>
        </w:tabs>
        <w:kinsoku w:val="0"/>
        <w:wordWrap/>
        <w:overflowPunct w:val="0"/>
        <w:topLinePunct w:val="0"/>
        <w:bidi w:val="0"/>
        <w:adjustRightInd w:val="0"/>
        <w:snapToGrid w:val="0"/>
        <w:spacing w:before="120"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系</w:t>
      </w:r>
      <w:r>
        <w:rPr>
          <w:rFonts w:hint="eastAsia" w:ascii="宋体" w:hAnsi="宋体" w:eastAsia="宋体" w:cs="宋体"/>
          <w:sz w:val="24"/>
          <w:szCs w:val="24"/>
          <w:highlight w:val="none"/>
          <w:u w:val="single"/>
        </w:rPr>
        <w:t xml:space="preserve"> （供应商名称） </w:t>
      </w:r>
      <w:r>
        <w:rPr>
          <w:rFonts w:hint="eastAsia" w:ascii="宋体" w:hAnsi="宋体" w:eastAsia="宋体" w:cs="宋体"/>
          <w:sz w:val="24"/>
          <w:szCs w:val="24"/>
          <w:highlight w:val="none"/>
        </w:rPr>
        <w:t>的法定代表人（单位负责人）。</w:t>
      </w:r>
    </w:p>
    <w:p w14:paraId="36C3CB62">
      <w:pPr>
        <w:tabs>
          <w:tab w:val="left" w:pos="567"/>
          <w:tab w:val="left" w:pos="2412"/>
          <w:tab w:val="left" w:pos="3883"/>
          <w:tab w:val="left" w:pos="5352"/>
          <w:tab w:val="left" w:pos="6821"/>
        </w:tabs>
        <w:kinsoku w:val="0"/>
        <w:wordWrap/>
        <w:overflowPunct w:val="0"/>
        <w:topLinePunct w:val="0"/>
        <w:bidi w:val="0"/>
        <w:adjustRightInd w:val="0"/>
        <w:snapToGrid w:val="0"/>
        <w:spacing w:before="120" w:line="360" w:lineRule="auto"/>
        <w:ind w:firstLine="480" w:firstLineChars="200"/>
        <w:textAlignment w:val="auto"/>
        <w:rPr>
          <w:rFonts w:hint="eastAsia" w:ascii="宋体" w:hAnsi="宋体" w:eastAsia="宋体" w:cs="宋体"/>
          <w:sz w:val="24"/>
          <w:szCs w:val="24"/>
          <w:highlight w:val="none"/>
        </w:rPr>
      </w:pPr>
    </w:p>
    <w:p w14:paraId="2D1D141B">
      <w:pPr>
        <w:tabs>
          <w:tab w:val="left" w:pos="567"/>
          <w:tab w:val="left" w:pos="2412"/>
          <w:tab w:val="left" w:pos="3883"/>
          <w:tab w:val="left" w:pos="5352"/>
          <w:tab w:val="left" w:pos="6821"/>
        </w:tabs>
        <w:kinsoku w:val="0"/>
        <w:wordWrap/>
        <w:overflowPunct w:val="0"/>
        <w:topLinePunct w:val="0"/>
        <w:bidi w:val="0"/>
        <w:adjustRightInd w:val="0"/>
        <w:snapToGrid w:val="0"/>
        <w:spacing w:before="120" w:line="360" w:lineRule="auto"/>
        <w:ind w:firstLine="480" w:firstLineChars="200"/>
        <w:textAlignment w:val="auto"/>
        <w:rPr>
          <w:rFonts w:hint="eastAsia" w:ascii="宋体" w:hAnsi="宋体" w:eastAsia="宋体" w:cs="宋体"/>
          <w:sz w:val="24"/>
          <w:szCs w:val="24"/>
          <w:highlight w:val="none"/>
        </w:rPr>
      </w:pPr>
    </w:p>
    <w:p w14:paraId="4462FE5A">
      <w:pPr>
        <w:tabs>
          <w:tab w:val="left" w:pos="567"/>
        </w:tabs>
        <w:kinsoku w:val="0"/>
        <w:wordWrap/>
        <w:overflowPunct w:val="0"/>
        <w:topLinePunct w:val="0"/>
        <w:bidi w:val="0"/>
        <w:adjustRightInd w:val="0"/>
        <w:snapToGrid w:val="0"/>
        <w:spacing w:before="120" w:line="360" w:lineRule="auto"/>
        <w:ind w:right="-46" w:firstLine="468" w:firstLineChars="200"/>
        <w:textAlignment w:val="auto"/>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法</w:t>
      </w:r>
      <w:r>
        <w:rPr>
          <w:rFonts w:hint="eastAsia" w:ascii="宋体" w:hAnsi="宋体" w:eastAsia="宋体" w:cs="宋体"/>
          <w:sz w:val="24"/>
          <w:szCs w:val="24"/>
          <w:highlight w:val="none"/>
        </w:rPr>
        <w:t>定</w:t>
      </w:r>
      <w:r>
        <w:rPr>
          <w:rFonts w:hint="eastAsia" w:ascii="宋体" w:hAnsi="宋体" w:eastAsia="宋体" w:cs="宋体"/>
          <w:spacing w:val="-3"/>
          <w:sz w:val="24"/>
          <w:szCs w:val="24"/>
          <w:highlight w:val="none"/>
        </w:rPr>
        <w:t>代</w:t>
      </w:r>
      <w:r>
        <w:rPr>
          <w:rFonts w:hint="eastAsia" w:ascii="宋体" w:hAnsi="宋体" w:eastAsia="宋体" w:cs="宋体"/>
          <w:sz w:val="24"/>
          <w:szCs w:val="24"/>
          <w:highlight w:val="none"/>
        </w:rPr>
        <w:t>表</w:t>
      </w:r>
      <w:r>
        <w:rPr>
          <w:rFonts w:hint="eastAsia" w:ascii="宋体" w:hAnsi="宋体" w:eastAsia="宋体" w:cs="宋体"/>
          <w:spacing w:val="-3"/>
          <w:sz w:val="24"/>
          <w:szCs w:val="24"/>
          <w:highlight w:val="none"/>
        </w:rPr>
        <w:t>人</w:t>
      </w:r>
      <w:r>
        <w:rPr>
          <w:rFonts w:hint="eastAsia" w:ascii="宋体" w:hAnsi="宋体" w:eastAsia="宋体" w:cs="宋体"/>
          <w:sz w:val="24"/>
          <w:szCs w:val="24"/>
          <w:highlight w:val="none"/>
        </w:rPr>
        <w:t>（</w:t>
      </w:r>
      <w:r>
        <w:rPr>
          <w:rFonts w:hint="eastAsia" w:ascii="宋体" w:hAnsi="宋体" w:eastAsia="宋体" w:cs="宋体"/>
          <w:spacing w:val="-3"/>
          <w:sz w:val="24"/>
          <w:szCs w:val="24"/>
          <w:highlight w:val="none"/>
        </w:rPr>
        <w:t>单</w:t>
      </w:r>
      <w:r>
        <w:rPr>
          <w:rFonts w:hint="eastAsia" w:ascii="宋体" w:hAnsi="宋体" w:eastAsia="宋体" w:cs="宋体"/>
          <w:sz w:val="24"/>
          <w:szCs w:val="24"/>
          <w:highlight w:val="none"/>
        </w:rPr>
        <w:t>位</w:t>
      </w:r>
      <w:r>
        <w:rPr>
          <w:rFonts w:hint="eastAsia" w:ascii="宋体" w:hAnsi="宋体" w:eastAsia="宋体" w:cs="宋体"/>
          <w:spacing w:val="-3"/>
          <w:sz w:val="24"/>
          <w:szCs w:val="24"/>
          <w:highlight w:val="none"/>
        </w:rPr>
        <w:t>负</w:t>
      </w:r>
      <w:r>
        <w:rPr>
          <w:rFonts w:hint="eastAsia" w:ascii="宋体" w:hAnsi="宋体" w:eastAsia="宋体" w:cs="宋体"/>
          <w:sz w:val="24"/>
          <w:szCs w:val="24"/>
          <w:highlight w:val="none"/>
        </w:rPr>
        <w:t>责人</w:t>
      </w:r>
      <w:r>
        <w:rPr>
          <w:rFonts w:hint="eastAsia" w:ascii="宋体" w:hAnsi="宋体" w:eastAsia="宋体" w:cs="宋体"/>
          <w:spacing w:val="-3"/>
          <w:sz w:val="24"/>
          <w:szCs w:val="24"/>
          <w:highlight w:val="none"/>
        </w:rPr>
        <w:t>）有效期内的身份证正反面电子件：</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D161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AA62EFF">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3CDDEDFD">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52B9B9B7">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tc>
        <w:tc>
          <w:tcPr>
            <w:tcW w:w="4536" w:type="dxa"/>
          </w:tcPr>
          <w:p w14:paraId="5F9D5FFF">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459B99DD">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p w14:paraId="30499F6F">
            <w:pPr>
              <w:tabs>
                <w:tab w:val="left" w:pos="5580"/>
              </w:tabs>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0"/>
                <w:highlight w:val="none"/>
              </w:rPr>
            </w:pPr>
          </w:p>
        </w:tc>
      </w:tr>
    </w:tbl>
    <w:p w14:paraId="514E1221">
      <w:pPr>
        <w:tabs>
          <w:tab w:val="left" w:pos="567"/>
        </w:tabs>
        <w:kinsoku w:val="0"/>
        <w:wordWrap/>
        <w:overflowPunct w:val="0"/>
        <w:topLinePunct w:val="0"/>
        <w:bidi w:val="0"/>
        <w:adjustRightInd w:val="0"/>
        <w:snapToGrid w:val="0"/>
        <w:spacing w:before="120" w:line="360" w:lineRule="auto"/>
        <w:ind w:right="4305" w:firstLine="468" w:firstLineChars="200"/>
        <w:textAlignment w:val="auto"/>
        <w:rPr>
          <w:rFonts w:hint="eastAsia" w:ascii="宋体" w:hAnsi="宋体" w:eastAsia="宋体" w:cs="宋体"/>
          <w:spacing w:val="-3"/>
          <w:sz w:val="24"/>
          <w:szCs w:val="24"/>
          <w:highlight w:val="none"/>
        </w:rPr>
      </w:pPr>
    </w:p>
    <w:p w14:paraId="0F5425D2">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供应商名称（加盖公章）</w:t>
      </w:r>
      <w:r>
        <w:rPr>
          <w:rFonts w:hint="eastAsia" w:ascii="宋体" w:hAnsi="宋体" w:eastAsia="宋体" w:cs="宋体"/>
          <w:color w:val="000000"/>
          <w:sz w:val="24"/>
          <w:szCs w:val="24"/>
          <w:highlight w:val="none"/>
          <w:lang w:val="zh-CN"/>
        </w:rPr>
        <w:t>：</w:t>
      </w:r>
      <w:r>
        <w:rPr>
          <w:rFonts w:hint="eastAsia" w:ascii="宋体" w:hAnsi="宋体" w:eastAsia="宋体" w:cs="宋体"/>
          <w:sz w:val="24"/>
          <w:szCs w:val="24"/>
          <w:highlight w:val="none"/>
          <w:u w:val="single"/>
        </w:rPr>
        <w:t xml:space="preserve">             </w:t>
      </w:r>
    </w:p>
    <w:p w14:paraId="6708A87B">
      <w:pPr>
        <w:wordWrap/>
        <w:topLinePunct w:val="0"/>
        <w:bidi w:val="0"/>
        <w:adjustRightInd w:val="0"/>
        <w:snapToGrid w:val="0"/>
        <w:spacing w:line="360" w:lineRule="auto"/>
        <w:ind w:firstLine="468" w:firstLineChars="200"/>
        <w:textAlignment w:val="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法定代表人（</w:t>
      </w:r>
      <w:r>
        <w:rPr>
          <w:rFonts w:hint="eastAsia" w:ascii="宋体" w:hAnsi="宋体" w:eastAsia="宋体" w:cs="宋体"/>
          <w:sz w:val="24"/>
          <w:szCs w:val="24"/>
          <w:highlight w:val="none"/>
        </w:rPr>
        <w:t>单位负责人</w:t>
      </w:r>
      <w:r>
        <w:rPr>
          <w:rFonts w:hint="eastAsia" w:ascii="宋体" w:hAnsi="宋体" w:eastAsia="宋体" w:cs="宋体"/>
          <w:spacing w:val="-3"/>
          <w:sz w:val="24"/>
          <w:szCs w:val="24"/>
          <w:highlight w:val="none"/>
        </w:rPr>
        <w:t>）（签字、签章或印鉴）：</w:t>
      </w:r>
      <w:r>
        <w:rPr>
          <w:rFonts w:hint="eastAsia" w:ascii="宋体" w:hAnsi="宋体" w:eastAsia="宋体" w:cs="宋体"/>
          <w:sz w:val="24"/>
          <w:szCs w:val="24"/>
          <w:highlight w:val="none"/>
          <w:u w:val="single"/>
        </w:rPr>
        <w:t xml:space="preserve">             </w:t>
      </w:r>
    </w:p>
    <w:p w14:paraId="71C3ECCE">
      <w:pPr>
        <w:wordWrap/>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p>
    <w:p w14:paraId="296533DA">
      <w:pPr>
        <w:wordWrap/>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735C5F42">
      <w:pPr>
        <w:wordWrap/>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p>
    <w:p w14:paraId="08564043">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128419A5">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十、磋商响应函</w:t>
      </w:r>
    </w:p>
    <w:p w14:paraId="77AB0C94">
      <w:pPr>
        <w:tabs>
          <w:tab w:val="left" w:pos="360"/>
        </w:tabs>
        <w:wordWrap/>
        <w:topLinePunct w:val="0"/>
        <w:bidi w:val="0"/>
        <w:adjustRightInd w:val="0"/>
        <w:snapToGrid w:val="0"/>
        <w:spacing w:line="360" w:lineRule="auto"/>
        <w:ind w:firstLine="720" w:firstLineChars="20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bCs/>
          <w:sz w:val="36"/>
          <w:szCs w:val="28"/>
          <w:highlight w:val="none"/>
        </w:rPr>
        <w:t>磋商响应函</w:t>
      </w:r>
    </w:p>
    <w:p w14:paraId="6E7C99B4">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致：国家东中西区域合作示范区（连云港徐圩新区）经济发展局</w:t>
      </w:r>
    </w:p>
    <w:p w14:paraId="23505A89">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根据贵方的JSZC-_________________号磋商文件，正式授权下述签字人_________________</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姓名</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代表我方______________（供应商的名称），全权处理本次项目磋商采购的有关事宜。</w:t>
      </w:r>
    </w:p>
    <w:p w14:paraId="08159C69">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据此函，__________签字人兹宣布同意如下：</w:t>
      </w:r>
    </w:p>
    <w:p w14:paraId="208720DF">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1.按磋商文件规定的各项要求，向买方提供所需服务（包含与服务相关的货物、工程）。</w:t>
      </w:r>
    </w:p>
    <w:p w14:paraId="333879F9">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2.我们完全理解贵方不一定将合同授予最低报价的供应商。</w:t>
      </w:r>
    </w:p>
    <w:p w14:paraId="322BF264">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3.我们已详细审核全部磋商文件及其有效补充文件，我们知道必须放弃提出含糊不清或误解问题的权利。</w:t>
      </w:r>
    </w:p>
    <w:p w14:paraId="7DAF140E">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4.我们同意从规定的开启日期起遵循本响应文件，并在规定的磋商有效期期满之前均具有约束力。</w:t>
      </w:r>
    </w:p>
    <w:p w14:paraId="0674683F">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5.同意向贵方提供贵方可能另外要求的与磋商采购有关的任何证据或资料，并保证我方已提供和将要提供的文件是真实的、准确的。</w:t>
      </w:r>
    </w:p>
    <w:p w14:paraId="27E32BC6">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6.一旦我方成交</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我方将根据磋商文件的规定，严格履行合同的责任和义务</w:t>
      </w:r>
      <w:r>
        <w:rPr>
          <w:rFonts w:hint="eastAsia" w:ascii="宋体" w:hAnsi="宋体" w:eastAsia="宋体" w:cs="宋体"/>
          <w:color w:val="000000"/>
          <w:kern w:val="0"/>
          <w:sz w:val="24"/>
          <w:szCs w:val="21"/>
          <w:highlight w:val="none"/>
          <w:lang w:eastAsia="zh-CN"/>
        </w:rPr>
        <w:t>，</w:t>
      </w:r>
      <w:r>
        <w:rPr>
          <w:rFonts w:hint="eastAsia" w:ascii="宋体" w:hAnsi="宋体" w:eastAsia="宋体" w:cs="宋体"/>
          <w:color w:val="000000"/>
          <w:kern w:val="0"/>
          <w:sz w:val="24"/>
          <w:szCs w:val="21"/>
          <w:highlight w:val="none"/>
        </w:rPr>
        <w:t>并保证在磋商文件规定的时</w:t>
      </w:r>
      <w:r>
        <w:rPr>
          <w:rFonts w:hint="eastAsia" w:ascii="宋体" w:hAnsi="宋体" w:eastAsia="宋体" w:cs="宋体"/>
          <w:color w:val="000000"/>
          <w:kern w:val="0"/>
          <w:sz w:val="24"/>
          <w:szCs w:val="21"/>
          <w:highlight w:val="none"/>
          <w:lang w:eastAsia="zh-CN"/>
        </w:rPr>
        <w:t>间内</w:t>
      </w:r>
      <w:r>
        <w:rPr>
          <w:rFonts w:hint="eastAsia" w:ascii="宋体" w:hAnsi="宋体" w:eastAsia="宋体" w:cs="宋体"/>
          <w:color w:val="000000"/>
          <w:kern w:val="0"/>
          <w:sz w:val="24"/>
          <w:szCs w:val="21"/>
          <w:highlight w:val="none"/>
        </w:rPr>
        <w:t>完成项目，交付买方验收、使用。</w:t>
      </w:r>
    </w:p>
    <w:p w14:paraId="4A35373C">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7.与本磋商有关的正式通讯地址为：</w:t>
      </w:r>
    </w:p>
    <w:p w14:paraId="502E7A86">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地        址：</w:t>
      </w:r>
    </w:p>
    <w:p w14:paraId="36ADCE5B">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邮        编：</w:t>
      </w:r>
    </w:p>
    <w:p w14:paraId="37AA4DE8">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电        话：</w:t>
      </w:r>
    </w:p>
    <w:p w14:paraId="386615E4">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传        真：</w:t>
      </w:r>
    </w:p>
    <w:p w14:paraId="4A19D6ED">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供应商开户行：</w:t>
      </w:r>
    </w:p>
    <w:p w14:paraId="7550E785">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 xml:space="preserve">账        号： </w:t>
      </w:r>
    </w:p>
    <w:p w14:paraId="32A89DC4">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36F65959">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57DA3D75">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供应商（盖章）：</w:t>
      </w:r>
    </w:p>
    <w:p w14:paraId="5EC61A1F">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r>
        <w:rPr>
          <w:rFonts w:hint="eastAsia" w:ascii="宋体" w:hAnsi="宋体" w:eastAsia="宋体" w:cs="宋体"/>
          <w:sz w:val="24"/>
          <w:szCs w:val="24"/>
          <w:highlight w:val="none"/>
        </w:rPr>
        <w:t>（单位负责人）</w:t>
      </w:r>
      <w:r>
        <w:rPr>
          <w:rFonts w:hint="eastAsia" w:ascii="宋体" w:hAnsi="宋体" w:eastAsia="宋体" w:cs="宋体"/>
          <w:color w:val="000000"/>
          <w:sz w:val="24"/>
          <w:szCs w:val="24"/>
          <w:highlight w:val="none"/>
        </w:rPr>
        <w:t>或委托代理人（签字或盖章）：</w:t>
      </w:r>
    </w:p>
    <w:p w14:paraId="38ED17B4">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    年     月     日</w:t>
      </w:r>
    </w:p>
    <w:p w14:paraId="5FC23421">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76491829">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1CE05998">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十一、中小企业声明函（服务）</w:t>
      </w:r>
    </w:p>
    <w:p w14:paraId="5C925775">
      <w:pPr>
        <w:tabs>
          <w:tab w:val="left" w:pos="360"/>
        </w:tabs>
        <w:wordWrap/>
        <w:topLinePunct w:val="0"/>
        <w:bidi w:val="0"/>
        <w:adjustRightInd w:val="0"/>
        <w:snapToGrid w:val="0"/>
        <w:spacing w:line="360" w:lineRule="auto"/>
        <w:ind w:firstLine="720" w:firstLineChars="200"/>
        <w:jc w:val="center"/>
        <w:textAlignment w:val="auto"/>
        <w:rPr>
          <w:rFonts w:hint="eastAsia" w:ascii="宋体" w:hAnsi="宋体" w:eastAsia="宋体" w:cs="宋体"/>
          <w:color w:val="000000"/>
          <w:kern w:val="0"/>
          <w:sz w:val="24"/>
          <w:szCs w:val="24"/>
          <w:highlight w:val="none"/>
        </w:rPr>
      </w:pPr>
      <w:r>
        <w:rPr>
          <w:rFonts w:hint="eastAsia" w:ascii="宋体" w:hAnsi="宋体" w:eastAsia="宋体" w:cs="宋体"/>
          <w:bCs/>
          <w:sz w:val="36"/>
          <w:szCs w:val="28"/>
          <w:highlight w:val="none"/>
        </w:rPr>
        <w:t>中小企业声明函</w:t>
      </w:r>
    </w:p>
    <w:p w14:paraId="351BA269">
      <w:pPr>
        <w:wordWrap/>
        <w:topLinePunct w:val="0"/>
        <w:bidi w:val="0"/>
        <w:adjustRightInd w:val="0"/>
        <w:snapToGrid w:val="0"/>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color w:val="000000"/>
          <w:kern w:val="0"/>
          <w:sz w:val="24"/>
          <w:szCs w:val="24"/>
          <w:highlight w:val="none"/>
        </w:rPr>
        <w:t>本公司（联合体）郑重声明，根据《政府采购促进中小企业发展管理办法》</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财库〔2020〕46号</w:t>
      </w:r>
      <w:r>
        <w:rPr>
          <w:rFonts w:hint="eastAsia" w:ascii="宋体" w:hAnsi="宋体" w:eastAsia="宋体" w:cs="宋体"/>
          <w:color w:val="000000"/>
          <w:kern w:val="0"/>
          <w:sz w:val="24"/>
          <w:szCs w:val="24"/>
          <w:highlight w:val="none"/>
          <w:lang w:eastAsia="zh-CN"/>
        </w:rPr>
        <w:t>）</w:t>
      </w:r>
      <w:r>
        <w:rPr>
          <w:rFonts w:hint="eastAsia" w:ascii="宋体" w:hAnsi="宋体" w:eastAsia="宋体" w:cs="宋体"/>
          <w:color w:val="000000"/>
          <w:kern w:val="0"/>
          <w:sz w:val="24"/>
          <w:szCs w:val="24"/>
          <w:highlight w:val="none"/>
        </w:rPr>
        <w:t>的规定，本公司（联合体）参加</w:t>
      </w:r>
      <w:r>
        <w:rPr>
          <w:rFonts w:hint="eastAsia" w:ascii="宋体" w:hAnsi="宋体" w:eastAsia="宋体" w:cs="宋体"/>
          <w:color w:val="000000"/>
          <w:kern w:val="0"/>
          <w:sz w:val="24"/>
          <w:szCs w:val="24"/>
          <w:highlight w:val="none"/>
          <w:u w:val="single"/>
        </w:rPr>
        <w:t>（单位名称）</w:t>
      </w:r>
      <w:r>
        <w:rPr>
          <w:rFonts w:hint="eastAsia" w:ascii="宋体" w:hAnsi="宋体" w:eastAsia="宋体" w:cs="宋体"/>
          <w:color w:val="000000"/>
          <w:kern w:val="0"/>
          <w:sz w:val="24"/>
          <w:szCs w:val="24"/>
          <w:highlight w:val="none"/>
        </w:rPr>
        <w:t>的</w:t>
      </w:r>
      <w:r>
        <w:rPr>
          <w:rFonts w:hint="eastAsia" w:ascii="宋体" w:hAnsi="宋体" w:eastAsia="宋体" w:cs="宋体"/>
          <w:color w:val="000000"/>
          <w:kern w:val="0"/>
          <w:sz w:val="24"/>
          <w:szCs w:val="24"/>
          <w:highlight w:val="none"/>
          <w:u w:val="single"/>
        </w:rPr>
        <w:t>（项目名称）</w:t>
      </w:r>
      <w:r>
        <w:rPr>
          <w:rFonts w:hint="eastAsia" w:ascii="宋体" w:hAnsi="宋体" w:eastAsia="宋体" w:cs="宋体"/>
          <w:color w:val="000000"/>
          <w:kern w:val="0"/>
          <w:sz w:val="24"/>
          <w:szCs w:val="24"/>
          <w:highlight w:val="none"/>
        </w:rPr>
        <w:t>（项目编号：</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，分包号：</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）采购活动，提供的</w:t>
      </w:r>
      <w:r>
        <w:rPr>
          <w:rFonts w:hint="eastAsia" w:ascii="宋体" w:hAnsi="宋体" w:eastAsia="宋体" w:cs="宋体"/>
          <w:sz w:val="24"/>
          <w:highlight w:val="none"/>
        </w:rPr>
        <w:t>服务全部由符合政策要求的中小企业承接。</w:t>
      </w:r>
    </w:p>
    <w:p w14:paraId="1A121985">
      <w:pPr>
        <w:wordWrap/>
        <w:topLinePunct w:val="0"/>
        <w:bidi w:val="0"/>
        <w:adjustRightInd w:val="0"/>
        <w:snapToGrid w:val="0"/>
        <w:spacing w:line="360" w:lineRule="auto"/>
        <w:ind w:firstLine="480" w:firstLineChars="200"/>
        <w:textAlignment w:val="auto"/>
        <w:rPr>
          <w:rFonts w:hint="eastAsia" w:ascii="宋体" w:hAnsi="宋体" w:eastAsia="宋体" w:cs="宋体"/>
          <w:i/>
          <w:color w:val="000000"/>
          <w:kern w:val="0"/>
          <w:sz w:val="24"/>
          <w:szCs w:val="24"/>
          <w:highlight w:val="none"/>
          <w:u w:val="single"/>
        </w:rPr>
      </w:pPr>
      <w:r>
        <w:rPr>
          <w:rFonts w:hint="eastAsia" w:ascii="宋体" w:hAnsi="宋体" w:eastAsia="宋体" w:cs="宋体"/>
          <w:color w:val="000000"/>
          <w:kern w:val="0"/>
          <w:sz w:val="24"/>
          <w:szCs w:val="24"/>
          <w:highlight w:val="none"/>
          <w:u w:val="single"/>
        </w:rPr>
        <w:t>（标的名称）</w:t>
      </w:r>
      <w:r>
        <w:rPr>
          <w:rFonts w:hint="eastAsia" w:ascii="宋体" w:hAnsi="宋体" w:eastAsia="宋体" w:cs="宋体"/>
          <w:color w:val="000000"/>
          <w:kern w:val="0"/>
          <w:sz w:val="24"/>
          <w:szCs w:val="24"/>
          <w:highlight w:val="none"/>
        </w:rPr>
        <w:t>，属于</w:t>
      </w:r>
      <w:r>
        <w:rPr>
          <w:rFonts w:hint="eastAsia" w:ascii="宋体" w:hAnsi="宋体" w:eastAsia="宋体" w:cs="宋体"/>
          <w:color w:val="000000"/>
          <w:kern w:val="0"/>
          <w:sz w:val="24"/>
          <w:szCs w:val="24"/>
          <w:highlight w:val="none"/>
          <w:u w:val="single"/>
        </w:rPr>
        <w:t>（采购文件中明确的所属行业）</w:t>
      </w:r>
      <w:r>
        <w:rPr>
          <w:rFonts w:hint="eastAsia" w:ascii="宋体" w:hAnsi="宋体" w:eastAsia="宋体" w:cs="宋体"/>
          <w:color w:val="000000"/>
          <w:kern w:val="0"/>
          <w:sz w:val="24"/>
          <w:szCs w:val="24"/>
          <w:highlight w:val="none"/>
        </w:rPr>
        <w:t>行业；承接企业为</w:t>
      </w:r>
      <w:r>
        <w:rPr>
          <w:rFonts w:hint="eastAsia" w:ascii="宋体" w:hAnsi="宋体" w:eastAsia="宋体" w:cs="宋体"/>
          <w:color w:val="000000"/>
          <w:kern w:val="0"/>
          <w:sz w:val="24"/>
          <w:szCs w:val="24"/>
          <w:highlight w:val="none"/>
          <w:u w:val="single"/>
        </w:rPr>
        <w:t>（企业名称）</w:t>
      </w:r>
      <w:r>
        <w:rPr>
          <w:rFonts w:hint="eastAsia" w:ascii="宋体" w:hAnsi="宋体" w:eastAsia="宋体" w:cs="宋体"/>
          <w:color w:val="000000"/>
          <w:kern w:val="0"/>
          <w:sz w:val="24"/>
          <w:szCs w:val="24"/>
          <w:highlight w:val="none"/>
        </w:rPr>
        <w:t>，从业人员</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人，营业收入为</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万元，资产总额为</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万元，属于</w:t>
      </w:r>
      <w:r>
        <w:rPr>
          <w:rFonts w:hint="eastAsia" w:ascii="宋体" w:hAnsi="宋体" w:eastAsia="宋体" w:cs="宋体"/>
          <w:color w:val="000000"/>
          <w:kern w:val="0"/>
          <w:sz w:val="24"/>
          <w:szCs w:val="24"/>
          <w:highlight w:val="none"/>
          <w:u w:val="single"/>
        </w:rPr>
        <w:t>（中型企业、小型企业、微型企业）</w:t>
      </w:r>
      <w:r>
        <w:rPr>
          <w:rFonts w:hint="eastAsia" w:ascii="宋体" w:hAnsi="宋体" w:eastAsia="宋体" w:cs="宋体"/>
          <w:color w:val="000000"/>
          <w:kern w:val="0"/>
          <w:sz w:val="24"/>
          <w:szCs w:val="24"/>
          <w:highlight w:val="none"/>
        </w:rPr>
        <w:t>。</w:t>
      </w:r>
    </w:p>
    <w:p w14:paraId="254501B1">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以上企业，不属于大企业的分支机构，不存在控股股东为大企业的情形，也不存在与大企业的负责人为同一人的情形。</w:t>
      </w:r>
    </w:p>
    <w:p w14:paraId="235FFC42">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本企业对上述声明内容的真实性负责。如有虚假，将依法承担相应责任。</w:t>
      </w:r>
    </w:p>
    <w:p w14:paraId="7E5927EB">
      <w:pPr>
        <w:wordWrap/>
        <w:topLinePunct w:val="0"/>
        <w:bidi w:val="0"/>
        <w:adjustRightInd w:val="0"/>
        <w:snapToGrid w:val="0"/>
        <w:spacing w:line="360" w:lineRule="auto"/>
        <w:ind w:right="1620" w:firstLine="480" w:firstLineChars="200"/>
        <w:textAlignment w:val="auto"/>
        <w:rPr>
          <w:rFonts w:hint="eastAsia" w:ascii="宋体" w:hAnsi="宋体" w:eastAsia="宋体" w:cs="宋体"/>
          <w:color w:val="000000"/>
          <w:kern w:val="0"/>
          <w:sz w:val="24"/>
          <w:szCs w:val="24"/>
          <w:highlight w:val="none"/>
        </w:rPr>
      </w:pPr>
    </w:p>
    <w:p w14:paraId="5E7CD07B">
      <w:pPr>
        <w:wordWrap/>
        <w:topLinePunct w:val="0"/>
        <w:bidi w:val="0"/>
        <w:adjustRightInd w:val="0"/>
        <w:snapToGrid w:val="0"/>
        <w:spacing w:line="360" w:lineRule="auto"/>
        <w:ind w:right="1620"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企业名称（</w:t>
      </w:r>
      <w:r>
        <w:rPr>
          <w:rFonts w:hint="eastAsia" w:ascii="宋体" w:hAnsi="宋体" w:eastAsia="宋体" w:cs="宋体"/>
          <w:color w:val="000000"/>
          <w:kern w:val="0"/>
          <w:sz w:val="24"/>
          <w:szCs w:val="24"/>
          <w:highlight w:val="none"/>
          <w:lang w:val="en-US" w:eastAsia="zh-CN"/>
        </w:rPr>
        <w:t>公</w:t>
      </w:r>
      <w:r>
        <w:rPr>
          <w:rFonts w:hint="eastAsia" w:ascii="宋体" w:hAnsi="宋体" w:eastAsia="宋体" w:cs="宋体"/>
          <w:color w:val="000000"/>
          <w:kern w:val="0"/>
          <w:sz w:val="24"/>
          <w:szCs w:val="24"/>
          <w:highlight w:val="none"/>
        </w:rPr>
        <w:t>章）：</w:t>
      </w:r>
    </w:p>
    <w:p w14:paraId="0BDAF901">
      <w:pPr>
        <w:wordWrap/>
        <w:topLinePunct w:val="0"/>
        <w:bidi w:val="0"/>
        <w:adjustRightInd w:val="0"/>
        <w:snapToGrid w:val="0"/>
        <w:spacing w:line="360" w:lineRule="auto"/>
        <w:ind w:right="1140"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日   期：</w:t>
      </w:r>
    </w:p>
    <w:p w14:paraId="7B387355">
      <w:pPr>
        <w:wordWrap/>
        <w:topLinePunct w:val="0"/>
        <w:bidi w:val="0"/>
        <w:adjustRightInd w:val="0"/>
        <w:snapToGrid w:val="0"/>
        <w:spacing w:line="360" w:lineRule="auto"/>
        <w:ind w:right="480" w:firstLine="480" w:firstLineChars="200"/>
        <w:jc w:val="left"/>
        <w:textAlignment w:val="auto"/>
        <w:rPr>
          <w:rFonts w:hint="eastAsia" w:ascii="宋体" w:hAnsi="宋体" w:eastAsia="宋体" w:cs="宋体"/>
          <w:sz w:val="24"/>
          <w:szCs w:val="24"/>
          <w:highlight w:val="none"/>
        </w:rPr>
      </w:pPr>
    </w:p>
    <w:p w14:paraId="4F31E0C7">
      <w:pPr>
        <w:wordWrap/>
        <w:topLinePunct w:val="0"/>
        <w:bidi w:val="0"/>
        <w:adjustRightInd w:val="0"/>
        <w:snapToGrid w:val="0"/>
        <w:spacing w:line="360" w:lineRule="auto"/>
        <w:ind w:right="480" w:firstLine="480" w:firstLineChars="200"/>
        <w:jc w:val="left"/>
        <w:textAlignment w:val="auto"/>
        <w:rPr>
          <w:rFonts w:hint="eastAsia" w:ascii="宋体" w:hAnsi="宋体" w:eastAsia="宋体" w:cs="宋体"/>
          <w:sz w:val="24"/>
          <w:szCs w:val="24"/>
          <w:highlight w:val="none"/>
        </w:rPr>
      </w:pPr>
    </w:p>
    <w:p w14:paraId="50D1E669">
      <w:pPr>
        <w:wordWrap/>
        <w:topLinePunct w:val="0"/>
        <w:bidi w:val="0"/>
        <w:adjustRightInd w:val="0"/>
        <w:snapToGrid w:val="0"/>
        <w:spacing w:line="360" w:lineRule="auto"/>
        <w:ind w:right="48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填报说明：</w:t>
      </w:r>
    </w:p>
    <w:p w14:paraId="2175A06F">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1.</w:t>
      </w:r>
      <w:r>
        <w:rPr>
          <w:rFonts w:hint="eastAsia" w:ascii="宋体" w:hAnsi="宋体" w:eastAsia="宋体" w:cs="宋体"/>
          <w:sz w:val="24"/>
          <w:szCs w:val="24"/>
          <w:highlight w:val="none"/>
        </w:rPr>
        <w:t>从业人员、营业收入、资产总额填报上一年度数据，无上一年度数据的新成立企业可不填报。</w:t>
      </w:r>
    </w:p>
    <w:p w14:paraId="2C1D078E">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2.</w:t>
      </w:r>
      <w:r>
        <w:rPr>
          <w:rFonts w:hint="eastAsia" w:ascii="宋体" w:hAnsi="宋体" w:eastAsia="宋体" w:cs="宋体"/>
          <w:sz w:val="24"/>
          <w:szCs w:val="24"/>
          <w:highlight w:val="none"/>
        </w:rPr>
        <w:t>请供应商如实填写，</w:t>
      </w:r>
      <w:r>
        <w:rPr>
          <w:rFonts w:hint="eastAsia" w:ascii="宋体" w:hAnsi="宋体" w:eastAsia="宋体" w:cs="宋体"/>
          <w:sz w:val="24"/>
          <w:highlight w:val="none"/>
        </w:rPr>
        <w:t>所填内容将作为评审的依据</w:t>
      </w:r>
      <w:r>
        <w:rPr>
          <w:rFonts w:hint="eastAsia" w:ascii="宋体" w:hAnsi="宋体" w:eastAsia="宋体" w:cs="宋体"/>
          <w:sz w:val="24"/>
          <w:szCs w:val="24"/>
          <w:highlight w:val="none"/>
        </w:rPr>
        <w:t>，如填写不完整或不一致或填写有误，将不享受扶持政策。</w:t>
      </w:r>
    </w:p>
    <w:p w14:paraId="5930330D">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3.</w:t>
      </w:r>
      <w:r>
        <w:rPr>
          <w:rFonts w:hint="eastAsia" w:ascii="宋体" w:hAnsi="宋体" w:eastAsia="宋体" w:cs="宋体"/>
          <w:sz w:val="24"/>
          <w:szCs w:val="24"/>
          <w:highlight w:val="none"/>
        </w:rPr>
        <w:t>成交供应商的《中小企业声明函》随成交结果公开，接受社会监督。</w:t>
      </w:r>
    </w:p>
    <w:p w14:paraId="0A61079E">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4D3525E5">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5A66D585">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十二、残疾人福利性单位声明函</w:t>
      </w:r>
    </w:p>
    <w:p w14:paraId="4892D808">
      <w:pPr>
        <w:tabs>
          <w:tab w:val="left" w:pos="360"/>
        </w:tabs>
        <w:wordWrap/>
        <w:topLinePunct w:val="0"/>
        <w:bidi w:val="0"/>
        <w:adjustRightInd w:val="0"/>
        <w:snapToGrid w:val="0"/>
        <w:spacing w:line="360" w:lineRule="auto"/>
        <w:ind w:firstLine="720" w:firstLineChars="200"/>
        <w:jc w:val="center"/>
        <w:textAlignment w:val="auto"/>
        <w:rPr>
          <w:rFonts w:hint="eastAsia" w:ascii="宋体" w:hAnsi="宋体" w:eastAsia="宋体" w:cs="宋体"/>
          <w:color w:val="000000"/>
          <w:kern w:val="0"/>
          <w:sz w:val="24"/>
          <w:szCs w:val="21"/>
          <w:highlight w:val="none"/>
        </w:rPr>
      </w:pPr>
      <w:r>
        <w:rPr>
          <w:rFonts w:hint="eastAsia" w:ascii="宋体" w:hAnsi="宋体" w:eastAsia="宋体" w:cs="宋体"/>
          <w:bCs/>
          <w:sz w:val="36"/>
          <w:szCs w:val="28"/>
          <w:highlight w:val="none"/>
        </w:rPr>
        <w:t>残疾人福利性单位声明函</w:t>
      </w:r>
    </w:p>
    <w:p w14:paraId="3EB2F67A">
      <w:pPr>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本单位郑重声明，根据《财政部 民政部 中国残疾人联合会关于促进残疾人就业政府采购政策的通知》（财库</w:t>
      </w:r>
      <w:r>
        <w:rPr>
          <w:rFonts w:hint="eastAsia" w:ascii="宋体" w:hAnsi="宋体" w:eastAsia="宋体" w:cs="宋体"/>
          <w:color w:val="000000"/>
          <w:kern w:val="0"/>
          <w:sz w:val="24"/>
          <w:szCs w:val="24"/>
          <w:highlight w:val="none"/>
        </w:rPr>
        <w:t>〔2017〕</w:t>
      </w:r>
      <w:r>
        <w:rPr>
          <w:rFonts w:hint="eastAsia" w:ascii="宋体" w:hAnsi="宋体" w:eastAsia="宋体" w:cs="宋体"/>
          <w:color w:val="000000"/>
          <w:kern w:val="0"/>
          <w:sz w:val="24"/>
          <w:szCs w:val="21"/>
          <w:highlight w:val="none"/>
        </w:rPr>
        <w:t>141号）的规定，本单位为符合条件的残疾人福利性单位，且本单位参加</w:t>
      </w:r>
      <w:r>
        <w:rPr>
          <w:rFonts w:hint="eastAsia" w:ascii="宋体" w:hAnsi="宋体" w:eastAsia="宋体" w:cs="宋体"/>
          <w:color w:val="000000"/>
          <w:kern w:val="0"/>
          <w:sz w:val="24"/>
          <w:szCs w:val="21"/>
          <w:highlight w:val="none"/>
          <w:u w:val="single"/>
        </w:rPr>
        <w:t xml:space="preserve">           </w:t>
      </w:r>
      <w:r>
        <w:rPr>
          <w:rFonts w:hint="eastAsia" w:ascii="宋体" w:hAnsi="宋体" w:eastAsia="宋体" w:cs="宋体"/>
          <w:color w:val="000000"/>
          <w:kern w:val="0"/>
          <w:sz w:val="24"/>
          <w:szCs w:val="21"/>
          <w:highlight w:val="none"/>
        </w:rPr>
        <w:t>单位的</w:t>
      </w:r>
      <w:r>
        <w:rPr>
          <w:rFonts w:hint="eastAsia" w:ascii="宋体" w:hAnsi="宋体" w:eastAsia="宋体" w:cs="宋体"/>
          <w:color w:val="000000"/>
          <w:kern w:val="0"/>
          <w:sz w:val="24"/>
          <w:szCs w:val="21"/>
          <w:highlight w:val="none"/>
          <w:u w:val="single"/>
        </w:rPr>
        <w:t xml:space="preserve">           </w:t>
      </w:r>
      <w:r>
        <w:rPr>
          <w:rFonts w:hint="eastAsia" w:ascii="宋体" w:hAnsi="宋体" w:eastAsia="宋体" w:cs="宋体"/>
          <w:color w:val="000000"/>
          <w:kern w:val="0"/>
          <w:sz w:val="24"/>
          <w:szCs w:val="21"/>
          <w:highlight w:val="none"/>
        </w:rPr>
        <w:t>项目（</w:t>
      </w:r>
      <w:r>
        <w:rPr>
          <w:rFonts w:hint="eastAsia" w:ascii="宋体" w:hAnsi="宋体" w:eastAsia="宋体" w:cs="宋体"/>
          <w:color w:val="000000"/>
          <w:kern w:val="0"/>
          <w:sz w:val="24"/>
          <w:szCs w:val="24"/>
          <w:highlight w:val="none"/>
        </w:rPr>
        <w:t>项目编号：</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，分包号：</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1"/>
          <w:highlight w:val="none"/>
        </w:rPr>
        <w:t>）采购活动由本单位提供全部服务。</w:t>
      </w:r>
    </w:p>
    <w:p w14:paraId="09187B61">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本单位对上述声明的真实性负责。如有虚假，将依法承担相应责任。</w:t>
      </w:r>
    </w:p>
    <w:p w14:paraId="16BCA058">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p>
    <w:p w14:paraId="76D8F6B8">
      <w:pPr>
        <w:wordWrap/>
        <w:topLinePunct w:val="0"/>
        <w:bidi w:val="0"/>
        <w:adjustRightInd w:val="0"/>
        <w:snapToGrid w:val="0"/>
        <w:spacing w:line="360" w:lineRule="auto"/>
        <w:ind w:right="1620"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单位名称（</w:t>
      </w:r>
      <w:r>
        <w:rPr>
          <w:rFonts w:hint="eastAsia" w:ascii="宋体" w:hAnsi="宋体" w:eastAsia="宋体" w:cs="宋体"/>
          <w:color w:val="000000"/>
          <w:kern w:val="0"/>
          <w:sz w:val="24"/>
          <w:szCs w:val="24"/>
          <w:highlight w:val="none"/>
          <w:lang w:val="en-US" w:eastAsia="zh-CN"/>
        </w:rPr>
        <w:t>公</w:t>
      </w:r>
      <w:r>
        <w:rPr>
          <w:rFonts w:hint="eastAsia" w:ascii="宋体" w:hAnsi="宋体" w:eastAsia="宋体" w:cs="宋体"/>
          <w:color w:val="000000"/>
          <w:kern w:val="0"/>
          <w:sz w:val="24"/>
          <w:szCs w:val="24"/>
          <w:highlight w:val="none"/>
        </w:rPr>
        <w:t>章）：</w:t>
      </w:r>
    </w:p>
    <w:p w14:paraId="5287DDD0">
      <w:pPr>
        <w:wordWrap/>
        <w:topLinePunct w:val="0"/>
        <w:bidi w:val="0"/>
        <w:adjustRightInd w:val="0"/>
        <w:snapToGrid w:val="0"/>
        <w:spacing w:line="360" w:lineRule="auto"/>
        <w:ind w:right="1140"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日   期：</w:t>
      </w:r>
    </w:p>
    <w:p w14:paraId="166D4637">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2E69CB79">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45F9D908">
      <w:pPr>
        <w:wordWrap/>
        <w:topLinePunct w:val="0"/>
        <w:bidi w:val="0"/>
        <w:adjustRightInd w:val="0"/>
        <w:snapToGrid w:val="0"/>
        <w:spacing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填报说明：</w:t>
      </w:r>
    </w:p>
    <w:p w14:paraId="2021E665">
      <w:pPr>
        <w:wordWrap/>
        <w:topLinePunct w:val="0"/>
        <w:bidi w:val="0"/>
        <w:adjustRightInd w:val="0"/>
        <w:snapToGrid w:val="0"/>
        <w:spacing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1.</w:t>
      </w:r>
      <w:r>
        <w:rPr>
          <w:rFonts w:hint="eastAsia" w:ascii="宋体" w:hAnsi="宋体" w:eastAsia="宋体" w:cs="宋体"/>
          <w:sz w:val="24"/>
          <w:szCs w:val="24"/>
          <w:highlight w:val="none"/>
        </w:rPr>
        <w:t>请供应商如实填写，</w:t>
      </w:r>
      <w:r>
        <w:rPr>
          <w:rFonts w:hint="eastAsia" w:ascii="宋体" w:hAnsi="宋体" w:eastAsia="宋体" w:cs="宋体"/>
          <w:bCs/>
          <w:sz w:val="24"/>
          <w:highlight w:val="none"/>
        </w:rPr>
        <w:t>所填内容将作为评审的依据</w:t>
      </w:r>
      <w:r>
        <w:rPr>
          <w:rFonts w:hint="eastAsia" w:ascii="宋体" w:hAnsi="宋体" w:eastAsia="宋体" w:cs="宋体"/>
          <w:sz w:val="24"/>
          <w:szCs w:val="24"/>
          <w:highlight w:val="none"/>
        </w:rPr>
        <w:t>，如填写不完整或不一致或填写有误，将不享受扶持政策。</w:t>
      </w:r>
    </w:p>
    <w:p w14:paraId="43E7C1F8">
      <w:pPr>
        <w:wordWrap/>
        <w:topLinePunct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bCs/>
          <w:sz w:val="24"/>
          <w:szCs w:val="24"/>
          <w:highlight w:val="none"/>
          <w:lang w:eastAsia="zh-CN"/>
        </w:rPr>
        <w:t>2.</w:t>
      </w:r>
      <w:r>
        <w:rPr>
          <w:rFonts w:hint="eastAsia" w:ascii="宋体" w:hAnsi="宋体" w:eastAsia="宋体" w:cs="宋体"/>
          <w:bCs/>
          <w:sz w:val="24"/>
          <w:szCs w:val="24"/>
          <w:highlight w:val="none"/>
        </w:rPr>
        <w:t>成交供应商的《残疾人福利性单位声明函》随成交结果公开</w:t>
      </w:r>
      <w:r>
        <w:rPr>
          <w:rFonts w:hint="eastAsia" w:ascii="宋体" w:hAnsi="宋体" w:eastAsia="宋体" w:cs="宋体"/>
          <w:sz w:val="24"/>
          <w:szCs w:val="24"/>
          <w:highlight w:val="none"/>
        </w:rPr>
        <w:t>，接受社会监督</w:t>
      </w:r>
      <w:r>
        <w:rPr>
          <w:rFonts w:hint="eastAsia" w:ascii="宋体" w:hAnsi="宋体" w:eastAsia="宋体" w:cs="宋体"/>
          <w:bCs/>
          <w:sz w:val="24"/>
          <w:szCs w:val="24"/>
          <w:highlight w:val="none"/>
        </w:rPr>
        <w:t>。</w:t>
      </w:r>
    </w:p>
    <w:p w14:paraId="240AAF04">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64E6E48C">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237A9C1C">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59BDF04E">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十三、联合体协议（参考格式）</w:t>
      </w:r>
    </w:p>
    <w:p w14:paraId="03FE84F1">
      <w:pPr>
        <w:tabs>
          <w:tab w:val="left" w:pos="360"/>
        </w:tabs>
        <w:wordWrap/>
        <w:topLinePunct w:val="0"/>
        <w:bidi w:val="0"/>
        <w:adjustRightInd w:val="0"/>
        <w:snapToGrid w:val="0"/>
        <w:spacing w:line="360" w:lineRule="auto"/>
        <w:ind w:firstLine="720" w:firstLineChars="200"/>
        <w:jc w:val="center"/>
        <w:textAlignment w:val="auto"/>
        <w:rPr>
          <w:rFonts w:hint="eastAsia" w:ascii="宋体" w:hAnsi="宋体" w:eastAsia="宋体" w:cs="宋体"/>
          <w:color w:val="000000"/>
          <w:kern w:val="0"/>
          <w:sz w:val="24"/>
          <w:szCs w:val="21"/>
          <w:highlight w:val="none"/>
          <w:u w:val="single"/>
        </w:rPr>
      </w:pPr>
      <w:r>
        <w:rPr>
          <w:rFonts w:hint="eastAsia" w:ascii="宋体" w:hAnsi="宋体" w:eastAsia="宋体" w:cs="宋体"/>
          <w:bCs/>
          <w:sz w:val="36"/>
          <w:szCs w:val="28"/>
          <w:highlight w:val="none"/>
        </w:rPr>
        <w:t>联合体协议</w:t>
      </w:r>
    </w:p>
    <w:p w14:paraId="24C2FF0D">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u w:val="single"/>
        </w:rPr>
        <w:t>（联合体中各供应商全称）</w:t>
      </w:r>
      <w:r>
        <w:rPr>
          <w:rFonts w:hint="eastAsia" w:ascii="宋体" w:hAnsi="宋体" w:eastAsia="宋体" w:cs="宋体"/>
          <w:color w:val="000000"/>
          <w:kern w:val="0"/>
          <w:sz w:val="24"/>
          <w:szCs w:val="21"/>
          <w:highlight w:val="none"/>
        </w:rPr>
        <w:t>在此达成以下协议：</w:t>
      </w:r>
    </w:p>
    <w:p w14:paraId="0485D73C">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lang w:eastAsia="zh-CN"/>
        </w:rPr>
        <w:t>1.</w:t>
      </w:r>
      <w:r>
        <w:rPr>
          <w:rFonts w:hint="eastAsia" w:ascii="宋体" w:hAnsi="宋体" w:eastAsia="宋体" w:cs="宋体"/>
          <w:color w:val="000000"/>
          <w:kern w:val="0"/>
          <w:sz w:val="24"/>
          <w:szCs w:val="21"/>
          <w:highlight w:val="none"/>
        </w:rPr>
        <w:t>我们</w:t>
      </w:r>
      <w:r>
        <w:rPr>
          <w:rFonts w:hint="eastAsia" w:ascii="宋体" w:hAnsi="宋体" w:eastAsia="宋体" w:cs="宋体"/>
          <w:color w:val="000000"/>
          <w:kern w:val="0"/>
          <w:sz w:val="24"/>
          <w:szCs w:val="21"/>
          <w:highlight w:val="none"/>
          <w:u w:val="single"/>
        </w:rPr>
        <w:t xml:space="preserve"> （供应商1），（供应商2） ，……</w:t>
      </w:r>
      <w:r>
        <w:rPr>
          <w:rFonts w:hint="eastAsia" w:ascii="宋体" w:hAnsi="宋体" w:eastAsia="宋体" w:cs="宋体"/>
          <w:color w:val="000000"/>
          <w:kern w:val="0"/>
          <w:sz w:val="24"/>
          <w:szCs w:val="21"/>
          <w:highlight w:val="none"/>
        </w:rPr>
        <w:t>自愿组成联</w:t>
      </w:r>
      <w:r>
        <w:rPr>
          <w:rFonts w:hint="eastAsia" w:ascii="宋体" w:hAnsi="宋体" w:eastAsia="宋体" w:cs="宋体"/>
          <w:color w:val="auto"/>
          <w:kern w:val="0"/>
          <w:sz w:val="24"/>
          <w:szCs w:val="21"/>
          <w:highlight w:val="none"/>
        </w:rPr>
        <w:t>合体，参加</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1"/>
          <w:highlight w:val="none"/>
        </w:rPr>
        <w:t>组织的</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000000"/>
          <w:kern w:val="0"/>
          <w:sz w:val="24"/>
          <w:szCs w:val="24"/>
          <w:highlight w:val="none"/>
          <w:u w:val="single"/>
        </w:rPr>
        <w:t>项目名称）</w:t>
      </w:r>
      <w:r>
        <w:rPr>
          <w:rFonts w:hint="eastAsia" w:ascii="宋体" w:hAnsi="宋体" w:eastAsia="宋体" w:cs="宋体"/>
          <w:color w:val="000000"/>
          <w:kern w:val="0"/>
          <w:sz w:val="24"/>
          <w:szCs w:val="24"/>
          <w:highlight w:val="none"/>
        </w:rPr>
        <w:t>（项目编号：</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，分包号：</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w:t>
      </w:r>
      <w:r>
        <w:rPr>
          <w:rFonts w:hint="eastAsia" w:ascii="宋体" w:hAnsi="宋体" w:eastAsia="宋体" w:cs="宋体"/>
          <w:color w:val="000000"/>
          <w:kern w:val="0"/>
          <w:sz w:val="24"/>
          <w:szCs w:val="21"/>
          <w:highlight w:val="none"/>
        </w:rPr>
        <w:t>的政府采购活动，我联合体指定</w:t>
      </w:r>
      <w:r>
        <w:rPr>
          <w:rFonts w:hint="eastAsia" w:ascii="宋体" w:hAnsi="宋体" w:eastAsia="宋体" w:cs="宋体"/>
          <w:color w:val="000000"/>
          <w:kern w:val="0"/>
          <w:sz w:val="24"/>
          <w:szCs w:val="21"/>
          <w:highlight w:val="none"/>
          <w:u w:val="single"/>
        </w:rPr>
        <w:t>（供应商*）</w:t>
      </w:r>
      <w:r>
        <w:rPr>
          <w:rFonts w:hint="eastAsia" w:ascii="宋体" w:hAnsi="宋体" w:eastAsia="宋体" w:cs="宋体"/>
          <w:color w:val="000000"/>
          <w:kern w:val="0"/>
          <w:sz w:val="24"/>
          <w:szCs w:val="21"/>
          <w:highlight w:val="none"/>
        </w:rPr>
        <w:t>为牵头单位（牵头单位必须为联合体成员）。</w:t>
      </w:r>
    </w:p>
    <w:p w14:paraId="38CA12BD">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lang w:eastAsia="zh-CN"/>
        </w:rPr>
        <w:t>2.</w:t>
      </w:r>
      <w:r>
        <w:rPr>
          <w:rFonts w:hint="eastAsia" w:ascii="宋体" w:hAnsi="宋体" w:eastAsia="宋体" w:cs="宋体"/>
          <w:color w:val="000000"/>
          <w:kern w:val="0"/>
          <w:sz w:val="24"/>
          <w:szCs w:val="21"/>
          <w:highlight w:val="none"/>
        </w:rPr>
        <w:t>若我们联合中标、成交，</w:t>
      </w:r>
      <w:r>
        <w:rPr>
          <w:rFonts w:hint="eastAsia" w:ascii="宋体" w:hAnsi="宋体" w:eastAsia="宋体" w:cs="宋体"/>
          <w:color w:val="000000"/>
          <w:kern w:val="0"/>
          <w:sz w:val="24"/>
          <w:szCs w:val="21"/>
          <w:highlight w:val="none"/>
          <w:u w:val="single"/>
        </w:rPr>
        <w:t>（供应商单位1全称）</w:t>
      </w:r>
      <w:r>
        <w:rPr>
          <w:rFonts w:hint="eastAsia" w:ascii="宋体" w:hAnsi="宋体" w:eastAsia="宋体" w:cs="宋体"/>
          <w:color w:val="000000"/>
          <w:kern w:val="0"/>
          <w:sz w:val="24"/>
          <w:szCs w:val="21"/>
          <w:highlight w:val="none"/>
        </w:rPr>
        <w:t>实施项目中</w:t>
      </w:r>
      <w:r>
        <w:rPr>
          <w:rFonts w:hint="eastAsia" w:ascii="宋体" w:hAnsi="宋体" w:eastAsia="宋体" w:cs="宋体"/>
          <w:color w:val="000000"/>
          <w:kern w:val="0"/>
          <w:sz w:val="24"/>
          <w:szCs w:val="21"/>
          <w:highlight w:val="none"/>
          <w:u w:val="single"/>
        </w:rPr>
        <w:t>（工作内容）</w:t>
      </w:r>
      <w:r>
        <w:rPr>
          <w:rFonts w:hint="eastAsia" w:ascii="宋体" w:hAnsi="宋体" w:eastAsia="宋体" w:cs="宋体"/>
          <w:color w:val="000000"/>
          <w:kern w:val="0"/>
          <w:sz w:val="24"/>
          <w:szCs w:val="21"/>
          <w:highlight w:val="none"/>
        </w:rPr>
        <w:t>部分工作，并承担相应的责任。</w:t>
      </w:r>
      <w:r>
        <w:rPr>
          <w:rFonts w:hint="eastAsia" w:ascii="宋体" w:hAnsi="宋体" w:eastAsia="宋体" w:cs="宋体"/>
          <w:color w:val="000000"/>
          <w:kern w:val="0"/>
          <w:sz w:val="24"/>
          <w:szCs w:val="21"/>
          <w:highlight w:val="none"/>
          <w:u w:val="single"/>
        </w:rPr>
        <w:t>（供应商单位2全称）</w:t>
      </w:r>
      <w:r>
        <w:rPr>
          <w:rFonts w:hint="eastAsia" w:ascii="宋体" w:hAnsi="宋体" w:eastAsia="宋体" w:cs="宋体"/>
          <w:color w:val="000000"/>
          <w:kern w:val="0"/>
          <w:sz w:val="24"/>
          <w:szCs w:val="21"/>
          <w:highlight w:val="none"/>
        </w:rPr>
        <w:t>实施项目中</w:t>
      </w:r>
      <w:r>
        <w:rPr>
          <w:rFonts w:hint="eastAsia" w:ascii="宋体" w:hAnsi="宋体" w:eastAsia="宋体" w:cs="宋体"/>
          <w:color w:val="000000"/>
          <w:kern w:val="0"/>
          <w:sz w:val="24"/>
          <w:szCs w:val="21"/>
          <w:highlight w:val="none"/>
          <w:u w:val="single"/>
        </w:rPr>
        <w:t>（工作内容）</w:t>
      </w:r>
      <w:r>
        <w:rPr>
          <w:rFonts w:hint="eastAsia" w:ascii="宋体" w:hAnsi="宋体" w:eastAsia="宋体" w:cs="宋体"/>
          <w:color w:val="000000"/>
          <w:kern w:val="0"/>
          <w:sz w:val="24"/>
          <w:szCs w:val="21"/>
          <w:highlight w:val="none"/>
        </w:rPr>
        <w:t>部分工作，并承担相应的责任……。（注：联合体中各供应商都应明示所承担的工作和相应的责任）。</w:t>
      </w:r>
    </w:p>
    <w:p w14:paraId="4585F8F6">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lang w:eastAsia="zh-CN"/>
        </w:rPr>
        <w:t>3.</w:t>
      </w:r>
      <w:r>
        <w:rPr>
          <w:rFonts w:hint="eastAsia" w:ascii="宋体" w:hAnsi="宋体" w:eastAsia="宋体" w:cs="宋体"/>
          <w:color w:val="000000"/>
          <w:kern w:val="0"/>
          <w:sz w:val="24"/>
          <w:szCs w:val="21"/>
          <w:highlight w:val="none"/>
        </w:rPr>
        <w:t>其中</w:t>
      </w:r>
      <w:r>
        <w:rPr>
          <w:rFonts w:hint="eastAsia" w:ascii="宋体" w:hAnsi="宋体" w:eastAsia="宋体" w:cs="宋体"/>
          <w:color w:val="000000"/>
          <w:kern w:val="0"/>
          <w:sz w:val="24"/>
          <w:szCs w:val="21"/>
          <w:highlight w:val="none"/>
          <w:u w:val="single"/>
        </w:rPr>
        <w:t xml:space="preserve">      </w:t>
      </w:r>
      <w:r>
        <w:rPr>
          <w:rFonts w:hint="eastAsia" w:ascii="宋体" w:hAnsi="宋体" w:eastAsia="宋体" w:cs="宋体"/>
          <w:color w:val="000000"/>
          <w:kern w:val="0"/>
          <w:sz w:val="24"/>
          <w:szCs w:val="21"/>
          <w:highlight w:val="none"/>
        </w:rPr>
        <w:t>（小型、微型企业/残疾人福利性单位/监狱企业全称）为</w:t>
      </w:r>
      <w:r>
        <w:rPr>
          <w:rFonts w:hint="eastAsia" w:ascii="宋体" w:hAnsi="宋体" w:eastAsia="宋体" w:cs="宋体"/>
          <w:color w:val="000000"/>
          <w:kern w:val="0"/>
          <w:sz w:val="24"/>
          <w:szCs w:val="21"/>
          <w:highlight w:val="none"/>
          <w:u w:val="single"/>
        </w:rPr>
        <w:t xml:space="preserve">    </w:t>
      </w:r>
      <w:r>
        <w:rPr>
          <w:rFonts w:hint="eastAsia" w:ascii="宋体" w:hAnsi="宋体" w:eastAsia="宋体" w:cs="宋体"/>
          <w:color w:val="000000"/>
          <w:kern w:val="0"/>
          <w:sz w:val="24"/>
          <w:szCs w:val="21"/>
          <w:highlight w:val="none"/>
        </w:rPr>
        <w:t>（小型、微型企业/残疾人福利性单位/监狱企业）企业，且我们约定该公司/单位所承担的合同金额将占本项目合同总金额的</w:t>
      </w:r>
      <w:r>
        <w:rPr>
          <w:rFonts w:hint="eastAsia" w:ascii="宋体" w:hAnsi="宋体" w:eastAsia="宋体" w:cs="宋体"/>
          <w:color w:val="000000"/>
          <w:kern w:val="0"/>
          <w:sz w:val="24"/>
          <w:szCs w:val="21"/>
          <w:highlight w:val="none"/>
          <w:u w:val="single"/>
        </w:rPr>
        <w:t xml:space="preserve">    </w:t>
      </w:r>
      <w:r>
        <w:rPr>
          <w:rFonts w:hint="eastAsia" w:ascii="宋体" w:hAnsi="宋体" w:eastAsia="宋体" w:cs="宋体"/>
          <w:color w:val="000000"/>
          <w:kern w:val="0"/>
          <w:sz w:val="24"/>
          <w:szCs w:val="21"/>
          <w:highlight w:val="none"/>
        </w:rPr>
        <w:t>%。（可选）</w:t>
      </w:r>
    </w:p>
    <w:p w14:paraId="60BEEB2B">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p>
    <w:p w14:paraId="02699A6A">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 xml:space="preserve">                                          </w:t>
      </w:r>
    </w:p>
    <w:p w14:paraId="35B52DAA">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 xml:space="preserve">供应商1全称（公章）：     </w:t>
      </w:r>
    </w:p>
    <w:p w14:paraId="4D17AE23">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 xml:space="preserve">法定代表人（单位负责人）或委托代理人（签字或盖章）：  </w:t>
      </w:r>
    </w:p>
    <w:p w14:paraId="6CD4D589">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日期：     年   月   日</w:t>
      </w:r>
    </w:p>
    <w:p w14:paraId="174DC355">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p>
    <w:p w14:paraId="07740507">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 xml:space="preserve">供应商2全称（公章）：     </w:t>
      </w:r>
    </w:p>
    <w:p w14:paraId="1227329E">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 xml:space="preserve">法定代表人（单位负责人）或委托代理人（签字或盖章）：  </w:t>
      </w:r>
    </w:p>
    <w:p w14:paraId="4D455DBA">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1"/>
          <w:highlight w:val="none"/>
        </w:rPr>
      </w:pPr>
      <w:r>
        <w:rPr>
          <w:rFonts w:hint="eastAsia" w:ascii="宋体" w:hAnsi="宋体" w:eastAsia="宋体" w:cs="宋体"/>
          <w:color w:val="000000"/>
          <w:kern w:val="0"/>
          <w:sz w:val="24"/>
          <w:szCs w:val="21"/>
          <w:highlight w:val="none"/>
        </w:rPr>
        <w:t>日期：     年   月   日</w:t>
      </w:r>
    </w:p>
    <w:p w14:paraId="1B393C2D">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p>
    <w:p w14:paraId="24E22E97">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3F84384C">
      <w:pPr>
        <w:wordWrap/>
        <w:topLinePunct w:val="0"/>
        <w:bidi w:val="0"/>
        <w:adjustRightInd w:val="0"/>
        <w:snapToGrid w:val="0"/>
        <w:spacing w:line="360" w:lineRule="auto"/>
        <w:ind w:firstLine="480" w:firstLineChars="200"/>
        <w:textAlignment w:val="auto"/>
        <w:rPr>
          <w:rFonts w:hint="eastAsia" w:ascii="宋体" w:hAnsi="宋体" w:eastAsia="宋体" w:cs="宋体"/>
          <w:sz w:val="24"/>
          <w:szCs w:val="24"/>
          <w:highlight w:val="none"/>
        </w:rPr>
      </w:pPr>
    </w:p>
    <w:p w14:paraId="01610340">
      <w:pPr>
        <w:wordWrap/>
        <w:topLinePunct w:val="0"/>
        <w:bidi w:val="0"/>
        <w:adjustRightInd w:val="0"/>
        <w:snapToGrid w:val="0"/>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color w:val="000000"/>
          <w:kern w:val="0"/>
          <w:sz w:val="24"/>
          <w:szCs w:val="21"/>
          <w:highlight w:val="none"/>
        </w:rPr>
        <w:t>备注：本磋商文件中要求加盖公章的内容，仅需加盖牵头单位的公章。</w:t>
      </w:r>
    </w:p>
    <w:p w14:paraId="65445243">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sectPr>
          <w:pgSz w:w="11906" w:h="16838"/>
          <w:pgMar w:top="1440" w:right="1800" w:bottom="1440" w:left="1800" w:header="851" w:footer="992" w:gutter="0"/>
          <w:pgNumType w:fmt="decimal"/>
          <w:cols w:space="425" w:num="1"/>
          <w:docGrid w:type="lines" w:linePitch="312" w:charSpace="0"/>
        </w:sectPr>
      </w:pPr>
    </w:p>
    <w:p w14:paraId="21BAB494">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lang w:val="en-US" w:eastAsia="zh-CN"/>
        </w:rPr>
        <w:t>十四</w:t>
      </w:r>
      <w:r>
        <w:rPr>
          <w:rFonts w:hint="eastAsia" w:ascii="宋体" w:hAnsi="宋体" w:eastAsia="宋体" w:cs="宋体"/>
          <w:i/>
          <w:kern w:val="0"/>
          <w:sz w:val="32"/>
          <w:szCs w:val="32"/>
          <w:highlight w:val="none"/>
          <w:u w:val="single"/>
        </w:rPr>
        <w:t>、分项报价表</w:t>
      </w:r>
    </w:p>
    <w:p w14:paraId="452975BB">
      <w:pPr>
        <w:tabs>
          <w:tab w:val="left" w:pos="360"/>
        </w:tabs>
        <w:wordWrap/>
        <w:topLinePunct w:val="0"/>
        <w:bidi w:val="0"/>
        <w:adjustRightInd w:val="0"/>
        <w:snapToGrid w:val="0"/>
        <w:spacing w:line="360" w:lineRule="auto"/>
        <w:ind w:firstLine="720" w:firstLineChars="200"/>
        <w:jc w:val="center"/>
        <w:textAlignment w:val="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分项报价表</w:t>
      </w:r>
    </w:p>
    <w:p w14:paraId="06E231C1">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p>
    <w:p w14:paraId="3477A756">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p>
    <w:p w14:paraId="2D26ADFB">
      <w:pPr>
        <w:wordWrap/>
        <w:topLinePunct w:val="0"/>
        <w:bidi w:val="0"/>
        <w:adjustRightInd w:val="0"/>
        <w:snapToGrid w:val="0"/>
        <w:spacing w:line="360" w:lineRule="auto"/>
        <w:ind w:firstLine="480" w:firstLineChars="200"/>
        <w:jc w:val="righ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单位：元</w:t>
      </w:r>
    </w:p>
    <w:tbl>
      <w:tblPr>
        <w:tblStyle w:val="15"/>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29E36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trPr>
        <w:tc>
          <w:tcPr>
            <w:tcW w:w="896" w:type="dxa"/>
            <w:vAlign w:val="center"/>
          </w:tcPr>
          <w:p w14:paraId="29C2D751">
            <w:pPr>
              <w:bidi w:val="0"/>
              <w:jc w:val="center"/>
              <w:rPr>
                <w:rFonts w:hint="eastAsia"/>
                <w:sz w:val="24"/>
                <w:szCs w:val="24"/>
                <w:highlight w:val="none"/>
              </w:rPr>
            </w:pPr>
            <w:r>
              <w:rPr>
                <w:rFonts w:hint="eastAsia"/>
                <w:sz w:val="24"/>
                <w:szCs w:val="24"/>
                <w:highlight w:val="none"/>
              </w:rPr>
              <w:t>序号</w:t>
            </w:r>
          </w:p>
        </w:tc>
        <w:tc>
          <w:tcPr>
            <w:tcW w:w="1756" w:type="dxa"/>
            <w:vAlign w:val="center"/>
          </w:tcPr>
          <w:p w14:paraId="4133D5D7">
            <w:pPr>
              <w:bidi w:val="0"/>
              <w:jc w:val="center"/>
              <w:rPr>
                <w:rFonts w:hint="eastAsia"/>
                <w:sz w:val="24"/>
                <w:szCs w:val="24"/>
                <w:highlight w:val="none"/>
              </w:rPr>
            </w:pPr>
            <w:r>
              <w:rPr>
                <w:rFonts w:hint="eastAsia"/>
                <w:sz w:val="24"/>
                <w:szCs w:val="24"/>
                <w:highlight w:val="none"/>
              </w:rPr>
              <w:t>产品、服务（标的）名称</w:t>
            </w:r>
          </w:p>
        </w:tc>
        <w:tc>
          <w:tcPr>
            <w:tcW w:w="1417" w:type="dxa"/>
            <w:vAlign w:val="center"/>
          </w:tcPr>
          <w:p w14:paraId="0F9D7848">
            <w:pPr>
              <w:bidi w:val="0"/>
              <w:jc w:val="center"/>
              <w:rPr>
                <w:rFonts w:hint="eastAsia"/>
                <w:sz w:val="24"/>
                <w:szCs w:val="24"/>
                <w:highlight w:val="none"/>
              </w:rPr>
            </w:pPr>
            <w:r>
              <w:rPr>
                <w:rFonts w:hint="eastAsia"/>
                <w:sz w:val="24"/>
                <w:szCs w:val="24"/>
                <w:highlight w:val="none"/>
              </w:rPr>
              <w:t>分项单位</w:t>
            </w:r>
          </w:p>
        </w:tc>
        <w:tc>
          <w:tcPr>
            <w:tcW w:w="993" w:type="dxa"/>
            <w:vAlign w:val="center"/>
          </w:tcPr>
          <w:p w14:paraId="0A4B10C3">
            <w:pPr>
              <w:bidi w:val="0"/>
              <w:jc w:val="center"/>
              <w:rPr>
                <w:rFonts w:hint="eastAsia"/>
                <w:sz w:val="24"/>
                <w:szCs w:val="24"/>
                <w:highlight w:val="none"/>
              </w:rPr>
            </w:pPr>
            <w:r>
              <w:rPr>
                <w:rFonts w:hint="eastAsia"/>
                <w:sz w:val="24"/>
                <w:szCs w:val="24"/>
                <w:highlight w:val="none"/>
              </w:rPr>
              <w:t>数量</w:t>
            </w:r>
          </w:p>
        </w:tc>
        <w:tc>
          <w:tcPr>
            <w:tcW w:w="1093" w:type="dxa"/>
            <w:vAlign w:val="center"/>
          </w:tcPr>
          <w:p w14:paraId="4CA59B5E">
            <w:pPr>
              <w:bidi w:val="0"/>
              <w:jc w:val="center"/>
              <w:rPr>
                <w:rFonts w:hint="eastAsia"/>
                <w:sz w:val="24"/>
                <w:szCs w:val="24"/>
                <w:highlight w:val="none"/>
              </w:rPr>
            </w:pPr>
            <w:r>
              <w:rPr>
                <w:rFonts w:hint="eastAsia"/>
                <w:sz w:val="24"/>
                <w:szCs w:val="24"/>
                <w:highlight w:val="none"/>
              </w:rPr>
              <w:t>单价</w:t>
            </w:r>
          </w:p>
        </w:tc>
        <w:tc>
          <w:tcPr>
            <w:tcW w:w="2350" w:type="dxa"/>
            <w:vAlign w:val="center"/>
          </w:tcPr>
          <w:p w14:paraId="3BB7BECD">
            <w:pPr>
              <w:bidi w:val="0"/>
              <w:jc w:val="center"/>
              <w:rPr>
                <w:rFonts w:hint="eastAsia"/>
                <w:sz w:val="24"/>
                <w:szCs w:val="24"/>
                <w:highlight w:val="none"/>
              </w:rPr>
            </w:pPr>
            <w:r>
              <w:rPr>
                <w:rFonts w:hint="eastAsia"/>
                <w:sz w:val="24"/>
                <w:szCs w:val="24"/>
                <w:highlight w:val="none"/>
              </w:rPr>
              <w:t>单项</w:t>
            </w:r>
          </w:p>
          <w:p w14:paraId="76FC6846">
            <w:pPr>
              <w:bidi w:val="0"/>
              <w:jc w:val="center"/>
              <w:rPr>
                <w:rFonts w:hint="eastAsia"/>
                <w:sz w:val="24"/>
                <w:szCs w:val="24"/>
                <w:highlight w:val="none"/>
              </w:rPr>
            </w:pPr>
            <w:r>
              <w:rPr>
                <w:rFonts w:hint="eastAsia"/>
                <w:sz w:val="24"/>
                <w:szCs w:val="24"/>
                <w:highlight w:val="none"/>
              </w:rPr>
              <w:t>合计价</w:t>
            </w:r>
          </w:p>
        </w:tc>
      </w:tr>
      <w:tr w14:paraId="57179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trPr>
        <w:tc>
          <w:tcPr>
            <w:tcW w:w="896" w:type="dxa"/>
            <w:vAlign w:val="center"/>
          </w:tcPr>
          <w:p w14:paraId="11DD4829">
            <w:pPr>
              <w:bidi w:val="0"/>
              <w:jc w:val="center"/>
              <w:rPr>
                <w:rFonts w:hint="eastAsia"/>
                <w:sz w:val="24"/>
                <w:szCs w:val="24"/>
                <w:highlight w:val="none"/>
              </w:rPr>
            </w:pPr>
          </w:p>
        </w:tc>
        <w:tc>
          <w:tcPr>
            <w:tcW w:w="1756" w:type="dxa"/>
            <w:vAlign w:val="center"/>
          </w:tcPr>
          <w:p w14:paraId="636A47D5">
            <w:pPr>
              <w:bidi w:val="0"/>
              <w:jc w:val="center"/>
              <w:rPr>
                <w:rFonts w:hint="eastAsia"/>
                <w:sz w:val="24"/>
                <w:szCs w:val="24"/>
                <w:highlight w:val="none"/>
              </w:rPr>
            </w:pPr>
          </w:p>
        </w:tc>
        <w:tc>
          <w:tcPr>
            <w:tcW w:w="1417" w:type="dxa"/>
            <w:vAlign w:val="center"/>
          </w:tcPr>
          <w:p w14:paraId="3CC066B7">
            <w:pPr>
              <w:bidi w:val="0"/>
              <w:jc w:val="center"/>
              <w:rPr>
                <w:rFonts w:hint="eastAsia"/>
                <w:sz w:val="24"/>
                <w:szCs w:val="24"/>
                <w:highlight w:val="none"/>
              </w:rPr>
            </w:pPr>
          </w:p>
        </w:tc>
        <w:tc>
          <w:tcPr>
            <w:tcW w:w="993" w:type="dxa"/>
            <w:vAlign w:val="center"/>
          </w:tcPr>
          <w:p w14:paraId="4C0523AB">
            <w:pPr>
              <w:bidi w:val="0"/>
              <w:jc w:val="center"/>
              <w:rPr>
                <w:rFonts w:hint="eastAsia"/>
                <w:sz w:val="24"/>
                <w:szCs w:val="24"/>
                <w:highlight w:val="none"/>
              </w:rPr>
            </w:pPr>
          </w:p>
        </w:tc>
        <w:tc>
          <w:tcPr>
            <w:tcW w:w="1093" w:type="dxa"/>
            <w:vAlign w:val="center"/>
          </w:tcPr>
          <w:p w14:paraId="52FA6409">
            <w:pPr>
              <w:bidi w:val="0"/>
              <w:jc w:val="center"/>
              <w:rPr>
                <w:rFonts w:hint="eastAsia"/>
                <w:sz w:val="24"/>
                <w:szCs w:val="24"/>
                <w:highlight w:val="none"/>
              </w:rPr>
            </w:pPr>
          </w:p>
        </w:tc>
        <w:tc>
          <w:tcPr>
            <w:tcW w:w="2350" w:type="dxa"/>
            <w:vAlign w:val="center"/>
          </w:tcPr>
          <w:p w14:paraId="56818461">
            <w:pPr>
              <w:bidi w:val="0"/>
              <w:jc w:val="center"/>
              <w:rPr>
                <w:rFonts w:hint="eastAsia"/>
                <w:sz w:val="24"/>
                <w:szCs w:val="24"/>
                <w:highlight w:val="none"/>
              </w:rPr>
            </w:pPr>
          </w:p>
        </w:tc>
      </w:tr>
      <w:tr w14:paraId="3457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trPr>
        <w:tc>
          <w:tcPr>
            <w:tcW w:w="896" w:type="dxa"/>
            <w:vAlign w:val="center"/>
          </w:tcPr>
          <w:p w14:paraId="2B0DFBB0">
            <w:pPr>
              <w:bidi w:val="0"/>
              <w:jc w:val="center"/>
              <w:rPr>
                <w:rFonts w:hint="eastAsia"/>
                <w:sz w:val="24"/>
                <w:szCs w:val="24"/>
                <w:highlight w:val="none"/>
              </w:rPr>
            </w:pPr>
          </w:p>
        </w:tc>
        <w:tc>
          <w:tcPr>
            <w:tcW w:w="1756" w:type="dxa"/>
            <w:vAlign w:val="center"/>
          </w:tcPr>
          <w:p w14:paraId="02956BA0">
            <w:pPr>
              <w:bidi w:val="0"/>
              <w:jc w:val="center"/>
              <w:rPr>
                <w:rFonts w:hint="eastAsia"/>
                <w:sz w:val="24"/>
                <w:szCs w:val="24"/>
                <w:highlight w:val="none"/>
              </w:rPr>
            </w:pPr>
          </w:p>
        </w:tc>
        <w:tc>
          <w:tcPr>
            <w:tcW w:w="1417" w:type="dxa"/>
            <w:vAlign w:val="center"/>
          </w:tcPr>
          <w:p w14:paraId="2A20F656">
            <w:pPr>
              <w:bidi w:val="0"/>
              <w:jc w:val="center"/>
              <w:rPr>
                <w:rFonts w:hint="eastAsia"/>
                <w:sz w:val="24"/>
                <w:szCs w:val="24"/>
                <w:highlight w:val="none"/>
              </w:rPr>
            </w:pPr>
          </w:p>
        </w:tc>
        <w:tc>
          <w:tcPr>
            <w:tcW w:w="993" w:type="dxa"/>
            <w:vAlign w:val="center"/>
          </w:tcPr>
          <w:p w14:paraId="3C597C72">
            <w:pPr>
              <w:bidi w:val="0"/>
              <w:jc w:val="center"/>
              <w:rPr>
                <w:rFonts w:hint="eastAsia"/>
                <w:sz w:val="24"/>
                <w:szCs w:val="24"/>
                <w:highlight w:val="none"/>
              </w:rPr>
            </w:pPr>
          </w:p>
        </w:tc>
        <w:tc>
          <w:tcPr>
            <w:tcW w:w="1093" w:type="dxa"/>
            <w:vAlign w:val="center"/>
          </w:tcPr>
          <w:p w14:paraId="7FEBED58">
            <w:pPr>
              <w:bidi w:val="0"/>
              <w:jc w:val="center"/>
              <w:rPr>
                <w:rFonts w:hint="eastAsia"/>
                <w:sz w:val="24"/>
                <w:szCs w:val="24"/>
                <w:highlight w:val="none"/>
              </w:rPr>
            </w:pPr>
          </w:p>
        </w:tc>
        <w:tc>
          <w:tcPr>
            <w:tcW w:w="2350" w:type="dxa"/>
            <w:vAlign w:val="center"/>
          </w:tcPr>
          <w:p w14:paraId="6E04CEAA">
            <w:pPr>
              <w:bidi w:val="0"/>
              <w:jc w:val="center"/>
              <w:rPr>
                <w:rFonts w:hint="eastAsia"/>
                <w:sz w:val="24"/>
                <w:szCs w:val="24"/>
                <w:highlight w:val="none"/>
              </w:rPr>
            </w:pPr>
          </w:p>
        </w:tc>
      </w:tr>
      <w:tr w14:paraId="511C6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trPr>
        <w:tc>
          <w:tcPr>
            <w:tcW w:w="896" w:type="dxa"/>
            <w:vAlign w:val="center"/>
          </w:tcPr>
          <w:p w14:paraId="50A1DE54">
            <w:pPr>
              <w:bidi w:val="0"/>
              <w:jc w:val="center"/>
              <w:rPr>
                <w:rFonts w:hint="eastAsia"/>
                <w:sz w:val="24"/>
                <w:szCs w:val="24"/>
                <w:highlight w:val="none"/>
              </w:rPr>
            </w:pPr>
          </w:p>
        </w:tc>
        <w:tc>
          <w:tcPr>
            <w:tcW w:w="1756" w:type="dxa"/>
            <w:vAlign w:val="center"/>
          </w:tcPr>
          <w:p w14:paraId="4DBB5379">
            <w:pPr>
              <w:bidi w:val="0"/>
              <w:jc w:val="center"/>
              <w:rPr>
                <w:rFonts w:hint="eastAsia"/>
                <w:sz w:val="24"/>
                <w:szCs w:val="24"/>
                <w:highlight w:val="none"/>
              </w:rPr>
            </w:pPr>
          </w:p>
        </w:tc>
        <w:tc>
          <w:tcPr>
            <w:tcW w:w="1417" w:type="dxa"/>
            <w:vAlign w:val="center"/>
          </w:tcPr>
          <w:p w14:paraId="1BB474D2">
            <w:pPr>
              <w:bidi w:val="0"/>
              <w:jc w:val="center"/>
              <w:rPr>
                <w:rFonts w:hint="eastAsia"/>
                <w:sz w:val="24"/>
                <w:szCs w:val="24"/>
                <w:highlight w:val="none"/>
              </w:rPr>
            </w:pPr>
          </w:p>
        </w:tc>
        <w:tc>
          <w:tcPr>
            <w:tcW w:w="993" w:type="dxa"/>
            <w:vAlign w:val="center"/>
          </w:tcPr>
          <w:p w14:paraId="5148D793">
            <w:pPr>
              <w:bidi w:val="0"/>
              <w:jc w:val="center"/>
              <w:rPr>
                <w:rFonts w:hint="eastAsia"/>
                <w:sz w:val="24"/>
                <w:szCs w:val="24"/>
                <w:highlight w:val="none"/>
              </w:rPr>
            </w:pPr>
          </w:p>
        </w:tc>
        <w:tc>
          <w:tcPr>
            <w:tcW w:w="1093" w:type="dxa"/>
            <w:vAlign w:val="center"/>
          </w:tcPr>
          <w:p w14:paraId="7E7DDCCB">
            <w:pPr>
              <w:bidi w:val="0"/>
              <w:jc w:val="center"/>
              <w:rPr>
                <w:rFonts w:hint="eastAsia"/>
                <w:sz w:val="24"/>
                <w:szCs w:val="24"/>
                <w:highlight w:val="none"/>
              </w:rPr>
            </w:pPr>
          </w:p>
        </w:tc>
        <w:tc>
          <w:tcPr>
            <w:tcW w:w="2350" w:type="dxa"/>
            <w:vAlign w:val="center"/>
          </w:tcPr>
          <w:p w14:paraId="74FADD68">
            <w:pPr>
              <w:bidi w:val="0"/>
              <w:jc w:val="center"/>
              <w:rPr>
                <w:rFonts w:hint="eastAsia"/>
                <w:sz w:val="24"/>
                <w:szCs w:val="24"/>
                <w:highlight w:val="none"/>
              </w:rPr>
            </w:pPr>
          </w:p>
        </w:tc>
      </w:tr>
      <w:tr w14:paraId="0056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trPr>
        <w:tc>
          <w:tcPr>
            <w:tcW w:w="6155" w:type="dxa"/>
            <w:gridSpan w:val="5"/>
            <w:vAlign w:val="center"/>
          </w:tcPr>
          <w:p w14:paraId="5EDD76F9">
            <w:pPr>
              <w:bidi w:val="0"/>
              <w:jc w:val="center"/>
              <w:rPr>
                <w:rFonts w:hint="eastAsia"/>
                <w:sz w:val="24"/>
                <w:szCs w:val="24"/>
                <w:highlight w:val="none"/>
              </w:rPr>
            </w:pPr>
            <w:r>
              <w:rPr>
                <w:rFonts w:hint="eastAsia"/>
                <w:sz w:val="24"/>
                <w:szCs w:val="24"/>
                <w:highlight w:val="none"/>
              </w:rPr>
              <w:t>总计（元）</w:t>
            </w:r>
          </w:p>
        </w:tc>
        <w:tc>
          <w:tcPr>
            <w:tcW w:w="2350" w:type="dxa"/>
            <w:vAlign w:val="center"/>
          </w:tcPr>
          <w:p w14:paraId="1DBB8B68">
            <w:pPr>
              <w:bidi w:val="0"/>
              <w:jc w:val="center"/>
              <w:rPr>
                <w:rFonts w:hint="eastAsia"/>
                <w:sz w:val="24"/>
                <w:szCs w:val="24"/>
                <w:highlight w:val="none"/>
              </w:rPr>
            </w:pPr>
          </w:p>
        </w:tc>
      </w:tr>
    </w:tbl>
    <w:p w14:paraId="10020BB0">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p>
    <w:p w14:paraId="47BB2236">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w:t>
      </w:r>
      <w:r>
        <w:rPr>
          <w:rFonts w:hint="eastAsia" w:ascii="宋体" w:hAnsi="宋体" w:eastAsia="宋体" w:cs="宋体"/>
          <w:color w:val="000000"/>
          <w:sz w:val="24"/>
          <w:szCs w:val="24"/>
          <w:highlight w:val="none"/>
          <w:lang w:val="en-US" w:eastAsia="zh-CN"/>
        </w:rPr>
        <w:t>公章</w:t>
      </w:r>
      <w:r>
        <w:rPr>
          <w:rFonts w:hint="eastAsia" w:ascii="宋体" w:hAnsi="宋体" w:eastAsia="宋体" w:cs="宋体"/>
          <w:color w:val="000000"/>
          <w:sz w:val="24"/>
          <w:szCs w:val="24"/>
          <w:highlight w:val="none"/>
        </w:rPr>
        <w:t>）：</w:t>
      </w:r>
    </w:p>
    <w:p w14:paraId="64193B8B">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法定代表人（单位负责人）或委托代理人（签字或盖章）：</w:t>
      </w:r>
    </w:p>
    <w:p w14:paraId="6C30A629">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    年     月     日</w:t>
      </w:r>
    </w:p>
    <w:p w14:paraId="755A1A9D">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p>
    <w:p w14:paraId="3392422C">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4029CD6B">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十</w:t>
      </w:r>
      <w:r>
        <w:rPr>
          <w:rFonts w:hint="default" w:ascii="宋体" w:hAnsi="宋体" w:eastAsia="宋体" w:cs="宋体"/>
          <w:i/>
          <w:kern w:val="0"/>
          <w:sz w:val="32"/>
          <w:szCs w:val="32"/>
          <w:highlight w:val="none"/>
          <w:u w:val="single"/>
          <w:lang w:val="en-US" w:eastAsia="zh-CN"/>
        </w:rPr>
        <w:t>五</w:t>
      </w:r>
      <w:r>
        <w:rPr>
          <w:rFonts w:hint="eastAsia" w:ascii="宋体" w:hAnsi="宋体" w:eastAsia="宋体" w:cs="宋体"/>
          <w:i/>
          <w:kern w:val="0"/>
          <w:sz w:val="32"/>
          <w:szCs w:val="32"/>
          <w:highlight w:val="none"/>
          <w:u w:val="single"/>
        </w:rPr>
        <w:t>、技术要求响应及偏离表</w:t>
      </w:r>
    </w:p>
    <w:p w14:paraId="46E85D75">
      <w:pPr>
        <w:tabs>
          <w:tab w:val="left" w:pos="360"/>
        </w:tabs>
        <w:wordWrap/>
        <w:topLinePunct w:val="0"/>
        <w:bidi w:val="0"/>
        <w:adjustRightInd w:val="0"/>
        <w:snapToGrid w:val="0"/>
        <w:spacing w:line="360" w:lineRule="auto"/>
        <w:ind w:firstLine="720" w:firstLineChars="200"/>
        <w:jc w:val="center"/>
        <w:textAlignment w:val="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技术要求响应及偏离表</w:t>
      </w:r>
    </w:p>
    <w:p w14:paraId="53466D61">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p>
    <w:p w14:paraId="686D77BA">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kern w:val="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bCs/>
          <w:color w:val="000000"/>
          <w:sz w:val="24"/>
          <w:szCs w:val="24"/>
          <w:highlight w:val="none"/>
        </w:rPr>
        <w:t xml:space="preserve"> </w:t>
      </w:r>
    </w:p>
    <w:tbl>
      <w:tblPr>
        <w:tblStyle w:val="1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1F911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vAlign w:val="center"/>
          </w:tcPr>
          <w:p w14:paraId="4578CA44">
            <w:pPr>
              <w:bidi w:val="0"/>
              <w:jc w:val="center"/>
              <w:rPr>
                <w:rFonts w:hint="eastAsia"/>
                <w:sz w:val="24"/>
                <w:szCs w:val="24"/>
                <w:highlight w:val="none"/>
              </w:rPr>
            </w:pPr>
            <w:r>
              <w:rPr>
                <w:rFonts w:hint="eastAsia"/>
                <w:sz w:val="24"/>
                <w:szCs w:val="24"/>
                <w:highlight w:val="none"/>
              </w:rPr>
              <w:t>序号</w:t>
            </w:r>
          </w:p>
        </w:tc>
        <w:tc>
          <w:tcPr>
            <w:tcW w:w="3273" w:type="dxa"/>
            <w:vAlign w:val="center"/>
          </w:tcPr>
          <w:p w14:paraId="0FD7F88C">
            <w:pPr>
              <w:bidi w:val="0"/>
              <w:jc w:val="center"/>
              <w:rPr>
                <w:rFonts w:hint="eastAsia"/>
                <w:sz w:val="24"/>
                <w:szCs w:val="24"/>
                <w:highlight w:val="none"/>
              </w:rPr>
            </w:pPr>
            <w:r>
              <w:rPr>
                <w:rFonts w:hint="eastAsia"/>
                <w:sz w:val="24"/>
                <w:szCs w:val="24"/>
                <w:highlight w:val="none"/>
              </w:rPr>
              <w:t>磋商文件要求</w:t>
            </w:r>
          </w:p>
        </w:tc>
        <w:tc>
          <w:tcPr>
            <w:tcW w:w="3024" w:type="dxa"/>
            <w:vAlign w:val="center"/>
          </w:tcPr>
          <w:p w14:paraId="224107CC">
            <w:pPr>
              <w:bidi w:val="0"/>
              <w:jc w:val="center"/>
              <w:rPr>
                <w:rFonts w:hint="eastAsia"/>
                <w:sz w:val="24"/>
                <w:szCs w:val="24"/>
                <w:highlight w:val="none"/>
              </w:rPr>
            </w:pPr>
            <w:r>
              <w:rPr>
                <w:rFonts w:hint="eastAsia"/>
                <w:sz w:val="24"/>
                <w:szCs w:val="24"/>
                <w:highlight w:val="none"/>
              </w:rPr>
              <w:t>响应情况</w:t>
            </w:r>
          </w:p>
        </w:tc>
        <w:tc>
          <w:tcPr>
            <w:tcW w:w="1399" w:type="dxa"/>
            <w:vAlign w:val="center"/>
          </w:tcPr>
          <w:p w14:paraId="51DF5F04">
            <w:pPr>
              <w:bidi w:val="0"/>
              <w:jc w:val="center"/>
              <w:rPr>
                <w:rFonts w:hint="eastAsia"/>
                <w:sz w:val="24"/>
                <w:szCs w:val="24"/>
                <w:highlight w:val="none"/>
              </w:rPr>
            </w:pPr>
            <w:r>
              <w:rPr>
                <w:rFonts w:hint="eastAsia"/>
                <w:sz w:val="24"/>
                <w:szCs w:val="24"/>
                <w:highlight w:val="none"/>
              </w:rPr>
              <w:t>超出、符合或偏离</w:t>
            </w:r>
          </w:p>
        </w:tc>
      </w:tr>
      <w:tr w14:paraId="5652C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5A8FE867">
            <w:pPr>
              <w:bidi w:val="0"/>
              <w:jc w:val="center"/>
              <w:rPr>
                <w:rFonts w:hint="eastAsia"/>
                <w:sz w:val="24"/>
                <w:szCs w:val="24"/>
                <w:highlight w:val="none"/>
              </w:rPr>
            </w:pPr>
            <w:r>
              <w:rPr>
                <w:rFonts w:hint="eastAsia"/>
                <w:sz w:val="24"/>
                <w:szCs w:val="24"/>
                <w:highlight w:val="none"/>
              </w:rPr>
              <w:t>1</w:t>
            </w:r>
          </w:p>
        </w:tc>
        <w:tc>
          <w:tcPr>
            <w:tcW w:w="3273" w:type="dxa"/>
            <w:vAlign w:val="center"/>
          </w:tcPr>
          <w:p w14:paraId="5937285A">
            <w:pPr>
              <w:bidi w:val="0"/>
              <w:jc w:val="center"/>
              <w:rPr>
                <w:rFonts w:hint="eastAsia"/>
                <w:sz w:val="24"/>
                <w:szCs w:val="24"/>
                <w:highlight w:val="none"/>
              </w:rPr>
            </w:pPr>
          </w:p>
        </w:tc>
        <w:tc>
          <w:tcPr>
            <w:tcW w:w="3024" w:type="dxa"/>
            <w:vAlign w:val="center"/>
          </w:tcPr>
          <w:p w14:paraId="1AEE7B3A">
            <w:pPr>
              <w:bidi w:val="0"/>
              <w:jc w:val="center"/>
              <w:rPr>
                <w:rFonts w:hint="eastAsia"/>
                <w:sz w:val="24"/>
                <w:szCs w:val="24"/>
                <w:highlight w:val="none"/>
              </w:rPr>
            </w:pPr>
          </w:p>
        </w:tc>
        <w:tc>
          <w:tcPr>
            <w:tcW w:w="1399" w:type="dxa"/>
            <w:vAlign w:val="center"/>
          </w:tcPr>
          <w:p w14:paraId="036BA1D2">
            <w:pPr>
              <w:bidi w:val="0"/>
              <w:jc w:val="center"/>
              <w:rPr>
                <w:rFonts w:hint="eastAsia"/>
                <w:sz w:val="24"/>
                <w:szCs w:val="24"/>
                <w:highlight w:val="none"/>
              </w:rPr>
            </w:pPr>
          </w:p>
        </w:tc>
      </w:tr>
      <w:tr w14:paraId="574DB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39316845">
            <w:pPr>
              <w:bidi w:val="0"/>
              <w:jc w:val="center"/>
              <w:rPr>
                <w:rFonts w:hint="eastAsia"/>
                <w:sz w:val="24"/>
                <w:szCs w:val="24"/>
                <w:highlight w:val="none"/>
              </w:rPr>
            </w:pPr>
            <w:r>
              <w:rPr>
                <w:rFonts w:hint="eastAsia"/>
                <w:sz w:val="24"/>
                <w:szCs w:val="24"/>
                <w:highlight w:val="none"/>
              </w:rPr>
              <w:t>2</w:t>
            </w:r>
          </w:p>
        </w:tc>
        <w:tc>
          <w:tcPr>
            <w:tcW w:w="3273" w:type="dxa"/>
            <w:vAlign w:val="center"/>
          </w:tcPr>
          <w:p w14:paraId="04BC3052">
            <w:pPr>
              <w:bidi w:val="0"/>
              <w:jc w:val="center"/>
              <w:rPr>
                <w:rFonts w:hint="eastAsia"/>
                <w:sz w:val="24"/>
                <w:szCs w:val="24"/>
                <w:highlight w:val="none"/>
              </w:rPr>
            </w:pPr>
          </w:p>
        </w:tc>
        <w:tc>
          <w:tcPr>
            <w:tcW w:w="3024" w:type="dxa"/>
            <w:vAlign w:val="center"/>
          </w:tcPr>
          <w:p w14:paraId="0F8DCF96">
            <w:pPr>
              <w:bidi w:val="0"/>
              <w:jc w:val="center"/>
              <w:rPr>
                <w:rFonts w:hint="eastAsia"/>
                <w:sz w:val="24"/>
                <w:szCs w:val="24"/>
                <w:highlight w:val="none"/>
              </w:rPr>
            </w:pPr>
          </w:p>
        </w:tc>
        <w:tc>
          <w:tcPr>
            <w:tcW w:w="1399" w:type="dxa"/>
            <w:vAlign w:val="center"/>
          </w:tcPr>
          <w:p w14:paraId="43109E10">
            <w:pPr>
              <w:bidi w:val="0"/>
              <w:jc w:val="center"/>
              <w:rPr>
                <w:rFonts w:hint="eastAsia"/>
                <w:sz w:val="24"/>
                <w:szCs w:val="24"/>
                <w:highlight w:val="none"/>
              </w:rPr>
            </w:pPr>
          </w:p>
        </w:tc>
      </w:tr>
      <w:tr w14:paraId="5A717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5ACCA697">
            <w:pPr>
              <w:bidi w:val="0"/>
              <w:jc w:val="center"/>
              <w:rPr>
                <w:rFonts w:hint="eastAsia"/>
                <w:sz w:val="24"/>
                <w:szCs w:val="24"/>
                <w:highlight w:val="none"/>
              </w:rPr>
            </w:pPr>
            <w:r>
              <w:rPr>
                <w:rFonts w:hint="eastAsia"/>
                <w:sz w:val="24"/>
                <w:szCs w:val="24"/>
                <w:highlight w:val="none"/>
              </w:rPr>
              <w:t>3</w:t>
            </w:r>
          </w:p>
        </w:tc>
        <w:tc>
          <w:tcPr>
            <w:tcW w:w="3273" w:type="dxa"/>
            <w:vAlign w:val="center"/>
          </w:tcPr>
          <w:p w14:paraId="0A251336">
            <w:pPr>
              <w:bidi w:val="0"/>
              <w:jc w:val="center"/>
              <w:rPr>
                <w:rFonts w:hint="eastAsia"/>
                <w:sz w:val="24"/>
                <w:szCs w:val="24"/>
                <w:highlight w:val="none"/>
              </w:rPr>
            </w:pPr>
          </w:p>
        </w:tc>
        <w:tc>
          <w:tcPr>
            <w:tcW w:w="3024" w:type="dxa"/>
            <w:vAlign w:val="center"/>
          </w:tcPr>
          <w:p w14:paraId="62A3405C">
            <w:pPr>
              <w:bidi w:val="0"/>
              <w:jc w:val="center"/>
              <w:rPr>
                <w:rFonts w:hint="eastAsia"/>
                <w:sz w:val="24"/>
                <w:szCs w:val="24"/>
                <w:highlight w:val="none"/>
              </w:rPr>
            </w:pPr>
          </w:p>
        </w:tc>
        <w:tc>
          <w:tcPr>
            <w:tcW w:w="1399" w:type="dxa"/>
            <w:vAlign w:val="center"/>
          </w:tcPr>
          <w:p w14:paraId="126DE657">
            <w:pPr>
              <w:bidi w:val="0"/>
              <w:jc w:val="center"/>
              <w:rPr>
                <w:rFonts w:hint="eastAsia"/>
                <w:sz w:val="24"/>
                <w:szCs w:val="24"/>
                <w:highlight w:val="none"/>
              </w:rPr>
            </w:pPr>
          </w:p>
        </w:tc>
      </w:tr>
      <w:tr w14:paraId="0AE906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vAlign w:val="center"/>
          </w:tcPr>
          <w:p w14:paraId="1585A657">
            <w:pPr>
              <w:bidi w:val="0"/>
              <w:jc w:val="center"/>
              <w:rPr>
                <w:rFonts w:hint="eastAsia"/>
                <w:sz w:val="24"/>
                <w:szCs w:val="24"/>
                <w:highlight w:val="none"/>
              </w:rPr>
            </w:pPr>
            <w:r>
              <w:rPr>
                <w:rFonts w:hint="eastAsia"/>
                <w:sz w:val="24"/>
                <w:szCs w:val="24"/>
                <w:highlight w:val="none"/>
              </w:rPr>
              <w:t>…</w:t>
            </w:r>
          </w:p>
        </w:tc>
        <w:tc>
          <w:tcPr>
            <w:tcW w:w="3273" w:type="dxa"/>
            <w:vAlign w:val="center"/>
          </w:tcPr>
          <w:p w14:paraId="43DEFC3C">
            <w:pPr>
              <w:bidi w:val="0"/>
              <w:jc w:val="center"/>
              <w:rPr>
                <w:rFonts w:hint="eastAsia"/>
                <w:sz w:val="24"/>
                <w:szCs w:val="24"/>
                <w:highlight w:val="none"/>
              </w:rPr>
            </w:pPr>
          </w:p>
        </w:tc>
        <w:tc>
          <w:tcPr>
            <w:tcW w:w="3024" w:type="dxa"/>
            <w:vAlign w:val="center"/>
          </w:tcPr>
          <w:p w14:paraId="31B62232">
            <w:pPr>
              <w:bidi w:val="0"/>
              <w:jc w:val="center"/>
              <w:rPr>
                <w:rFonts w:hint="eastAsia"/>
                <w:sz w:val="24"/>
                <w:szCs w:val="24"/>
                <w:highlight w:val="none"/>
              </w:rPr>
            </w:pPr>
          </w:p>
        </w:tc>
        <w:tc>
          <w:tcPr>
            <w:tcW w:w="1399" w:type="dxa"/>
            <w:vAlign w:val="center"/>
          </w:tcPr>
          <w:p w14:paraId="0E88FD85">
            <w:pPr>
              <w:bidi w:val="0"/>
              <w:jc w:val="center"/>
              <w:rPr>
                <w:rFonts w:hint="eastAsia"/>
                <w:sz w:val="24"/>
                <w:szCs w:val="24"/>
                <w:highlight w:val="none"/>
              </w:rPr>
            </w:pPr>
          </w:p>
        </w:tc>
      </w:tr>
    </w:tbl>
    <w:p w14:paraId="2FEDEA1F">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p>
    <w:p w14:paraId="32711A4A">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p>
    <w:p w14:paraId="41C251B1">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w:t>
      </w:r>
      <w:r>
        <w:rPr>
          <w:rFonts w:hint="eastAsia" w:ascii="宋体" w:hAnsi="宋体" w:eastAsia="宋体" w:cs="宋体"/>
          <w:color w:val="000000"/>
          <w:sz w:val="24"/>
          <w:szCs w:val="24"/>
          <w:highlight w:val="none"/>
          <w:lang w:val="en-US" w:eastAsia="zh-CN"/>
        </w:rPr>
        <w:t>公章</w:t>
      </w:r>
      <w:r>
        <w:rPr>
          <w:rFonts w:hint="eastAsia" w:ascii="宋体" w:hAnsi="宋体" w:eastAsia="宋体" w:cs="宋体"/>
          <w:color w:val="000000"/>
          <w:sz w:val="24"/>
          <w:szCs w:val="24"/>
          <w:highlight w:val="none"/>
        </w:rPr>
        <w:t>）：</w:t>
      </w:r>
    </w:p>
    <w:p w14:paraId="0B354A41">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r>
        <w:rPr>
          <w:rFonts w:hint="eastAsia" w:ascii="宋体" w:hAnsi="宋体" w:eastAsia="宋体" w:cs="宋体"/>
          <w:sz w:val="24"/>
          <w:szCs w:val="24"/>
          <w:highlight w:val="none"/>
        </w:rPr>
        <w:t>（单位负责人）</w:t>
      </w:r>
      <w:r>
        <w:rPr>
          <w:rFonts w:hint="eastAsia" w:ascii="宋体" w:hAnsi="宋体" w:eastAsia="宋体" w:cs="宋体"/>
          <w:color w:val="000000"/>
          <w:sz w:val="24"/>
          <w:szCs w:val="24"/>
          <w:highlight w:val="none"/>
        </w:rPr>
        <w:t>或委托代理人（签字或盖章）：</w:t>
      </w:r>
    </w:p>
    <w:p w14:paraId="69FF5603">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    年     月     日</w:t>
      </w:r>
    </w:p>
    <w:p w14:paraId="717CD6A2">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03D2CC23">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7FDF359E">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bookmarkStart w:id="19" w:name="_Hlt26955054"/>
      <w:bookmarkEnd w:id="19"/>
      <w:r>
        <w:rPr>
          <w:rFonts w:hint="eastAsia" w:ascii="宋体" w:hAnsi="宋体" w:eastAsia="宋体" w:cs="宋体"/>
          <w:i/>
          <w:kern w:val="0"/>
          <w:sz w:val="32"/>
          <w:szCs w:val="32"/>
          <w:highlight w:val="none"/>
          <w:u w:val="single"/>
        </w:rPr>
        <w:t>十</w:t>
      </w:r>
      <w:r>
        <w:rPr>
          <w:rFonts w:hint="default" w:ascii="宋体" w:hAnsi="宋体" w:eastAsia="宋体" w:cs="宋体"/>
          <w:i/>
          <w:kern w:val="0"/>
          <w:sz w:val="32"/>
          <w:szCs w:val="32"/>
          <w:highlight w:val="none"/>
          <w:u w:val="single"/>
          <w:lang w:val="en-US" w:eastAsia="zh-CN"/>
        </w:rPr>
        <w:t>六</w:t>
      </w:r>
      <w:r>
        <w:rPr>
          <w:rFonts w:hint="eastAsia" w:ascii="宋体" w:hAnsi="宋体" w:eastAsia="宋体" w:cs="宋体"/>
          <w:i/>
          <w:kern w:val="0"/>
          <w:sz w:val="32"/>
          <w:szCs w:val="32"/>
          <w:highlight w:val="none"/>
          <w:u w:val="single"/>
        </w:rPr>
        <w:t>、商务要求响应及偏离表</w:t>
      </w:r>
    </w:p>
    <w:p w14:paraId="7DE01AD7">
      <w:pPr>
        <w:tabs>
          <w:tab w:val="left" w:pos="360"/>
        </w:tabs>
        <w:wordWrap/>
        <w:topLinePunct w:val="0"/>
        <w:bidi w:val="0"/>
        <w:adjustRightInd w:val="0"/>
        <w:snapToGrid w:val="0"/>
        <w:spacing w:line="360" w:lineRule="auto"/>
        <w:ind w:firstLine="720" w:firstLineChars="200"/>
        <w:jc w:val="center"/>
        <w:textAlignment w:val="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商务要求响应及偏离表</w:t>
      </w:r>
    </w:p>
    <w:p w14:paraId="26CBF96A">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p>
    <w:p w14:paraId="43909A39">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bCs/>
          <w:color w:val="000000"/>
          <w:sz w:val="24"/>
          <w:szCs w:val="24"/>
          <w:highlight w:val="none"/>
        </w:rPr>
        <w:t xml:space="preserve"> </w:t>
      </w:r>
    </w:p>
    <w:tbl>
      <w:tblPr>
        <w:tblStyle w:val="15"/>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78ECF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7894B51E">
            <w:pPr>
              <w:bidi w:val="0"/>
              <w:jc w:val="center"/>
              <w:rPr>
                <w:rFonts w:hint="eastAsia"/>
                <w:sz w:val="24"/>
                <w:szCs w:val="24"/>
                <w:highlight w:val="none"/>
              </w:rPr>
            </w:pPr>
            <w:bookmarkStart w:id="20" w:name="_Hlt26955064"/>
            <w:bookmarkEnd w:id="20"/>
            <w:bookmarkStart w:id="21" w:name="_Hlt26671372"/>
            <w:bookmarkEnd w:id="21"/>
            <w:bookmarkStart w:id="22" w:name="_Hlt26609391"/>
            <w:bookmarkEnd w:id="22"/>
            <w:bookmarkStart w:id="23" w:name="_Hlt26671343"/>
            <w:bookmarkEnd w:id="23"/>
            <w:bookmarkStart w:id="24" w:name="_Hlt24879081"/>
            <w:bookmarkEnd w:id="24"/>
            <w:bookmarkStart w:id="25" w:name="_Hlt26782999"/>
            <w:bookmarkEnd w:id="25"/>
            <w:bookmarkStart w:id="26" w:name="_Hlt26955056"/>
            <w:bookmarkEnd w:id="26"/>
            <w:bookmarkStart w:id="27" w:name="_Hlt26580838"/>
            <w:bookmarkEnd w:id="27"/>
            <w:r>
              <w:rPr>
                <w:rFonts w:hint="eastAsia"/>
                <w:sz w:val="24"/>
                <w:szCs w:val="24"/>
                <w:highlight w:val="none"/>
              </w:rPr>
              <w:t>序号</w:t>
            </w:r>
          </w:p>
        </w:tc>
        <w:tc>
          <w:tcPr>
            <w:tcW w:w="3263" w:type="dxa"/>
            <w:vAlign w:val="center"/>
          </w:tcPr>
          <w:p w14:paraId="01316C21">
            <w:pPr>
              <w:bidi w:val="0"/>
              <w:jc w:val="center"/>
              <w:rPr>
                <w:rFonts w:hint="eastAsia"/>
                <w:sz w:val="24"/>
                <w:szCs w:val="24"/>
                <w:highlight w:val="none"/>
              </w:rPr>
            </w:pPr>
            <w:r>
              <w:rPr>
                <w:rFonts w:hint="eastAsia"/>
                <w:sz w:val="24"/>
                <w:szCs w:val="24"/>
                <w:highlight w:val="none"/>
              </w:rPr>
              <w:t>磋商文件要求</w:t>
            </w:r>
          </w:p>
        </w:tc>
        <w:tc>
          <w:tcPr>
            <w:tcW w:w="3034" w:type="dxa"/>
            <w:vAlign w:val="center"/>
          </w:tcPr>
          <w:p w14:paraId="588CF9B8">
            <w:pPr>
              <w:bidi w:val="0"/>
              <w:jc w:val="center"/>
              <w:rPr>
                <w:rFonts w:hint="eastAsia"/>
                <w:sz w:val="24"/>
                <w:szCs w:val="24"/>
                <w:highlight w:val="none"/>
              </w:rPr>
            </w:pPr>
            <w:r>
              <w:rPr>
                <w:rFonts w:hint="eastAsia"/>
                <w:sz w:val="24"/>
                <w:szCs w:val="24"/>
                <w:highlight w:val="none"/>
              </w:rPr>
              <w:t>响应情况</w:t>
            </w:r>
          </w:p>
        </w:tc>
        <w:tc>
          <w:tcPr>
            <w:tcW w:w="1391" w:type="dxa"/>
            <w:vAlign w:val="center"/>
          </w:tcPr>
          <w:p w14:paraId="2A3A0E38">
            <w:pPr>
              <w:bidi w:val="0"/>
              <w:jc w:val="center"/>
              <w:rPr>
                <w:rFonts w:hint="eastAsia"/>
                <w:sz w:val="24"/>
                <w:szCs w:val="24"/>
                <w:highlight w:val="none"/>
              </w:rPr>
            </w:pPr>
            <w:r>
              <w:rPr>
                <w:rFonts w:hint="eastAsia"/>
                <w:sz w:val="24"/>
                <w:szCs w:val="24"/>
                <w:highlight w:val="none"/>
              </w:rPr>
              <w:t>超出、符合或偏离</w:t>
            </w:r>
          </w:p>
        </w:tc>
      </w:tr>
      <w:tr w14:paraId="263F8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61D4B2C">
            <w:pPr>
              <w:bidi w:val="0"/>
              <w:jc w:val="center"/>
              <w:rPr>
                <w:rFonts w:hint="eastAsia"/>
                <w:sz w:val="24"/>
                <w:szCs w:val="24"/>
                <w:highlight w:val="none"/>
              </w:rPr>
            </w:pPr>
            <w:r>
              <w:rPr>
                <w:rFonts w:hint="eastAsia"/>
                <w:sz w:val="24"/>
                <w:szCs w:val="24"/>
                <w:highlight w:val="none"/>
              </w:rPr>
              <w:t>1</w:t>
            </w:r>
          </w:p>
        </w:tc>
        <w:tc>
          <w:tcPr>
            <w:tcW w:w="3263" w:type="dxa"/>
            <w:vAlign w:val="center"/>
          </w:tcPr>
          <w:p w14:paraId="3D32404A">
            <w:pPr>
              <w:bidi w:val="0"/>
              <w:jc w:val="center"/>
              <w:rPr>
                <w:rFonts w:hint="eastAsia"/>
                <w:sz w:val="24"/>
                <w:szCs w:val="24"/>
                <w:highlight w:val="none"/>
              </w:rPr>
            </w:pPr>
          </w:p>
        </w:tc>
        <w:tc>
          <w:tcPr>
            <w:tcW w:w="3034" w:type="dxa"/>
            <w:vAlign w:val="center"/>
          </w:tcPr>
          <w:p w14:paraId="4CC3D901">
            <w:pPr>
              <w:bidi w:val="0"/>
              <w:jc w:val="center"/>
              <w:rPr>
                <w:rFonts w:hint="eastAsia"/>
                <w:sz w:val="24"/>
                <w:szCs w:val="24"/>
                <w:highlight w:val="none"/>
              </w:rPr>
            </w:pPr>
          </w:p>
        </w:tc>
        <w:tc>
          <w:tcPr>
            <w:tcW w:w="1391" w:type="dxa"/>
            <w:vAlign w:val="center"/>
          </w:tcPr>
          <w:p w14:paraId="50D856EA">
            <w:pPr>
              <w:bidi w:val="0"/>
              <w:jc w:val="center"/>
              <w:rPr>
                <w:rFonts w:hint="eastAsia"/>
                <w:sz w:val="24"/>
                <w:szCs w:val="24"/>
                <w:highlight w:val="none"/>
              </w:rPr>
            </w:pPr>
          </w:p>
        </w:tc>
      </w:tr>
      <w:tr w14:paraId="4A7A1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0AF3A112">
            <w:pPr>
              <w:bidi w:val="0"/>
              <w:jc w:val="center"/>
              <w:rPr>
                <w:rFonts w:hint="eastAsia"/>
                <w:sz w:val="24"/>
                <w:szCs w:val="24"/>
                <w:highlight w:val="none"/>
              </w:rPr>
            </w:pPr>
            <w:r>
              <w:rPr>
                <w:rFonts w:hint="eastAsia"/>
                <w:sz w:val="24"/>
                <w:szCs w:val="24"/>
                <w:highlight w:val="none"/>
              </w:rPr>
              <w:t>2</w:t>
            </w:r>
          </w:p>
        </w:tc>
        <w:tc>
          <w:tcPr>
            <w:tcW w:w="3263" w:type="dxa"/>
            <w:vAlign w:val="center"/>
          </w:tcPr>
          <w:p w14:paraId="1D31E2F2">
            <w:pPr>
              <w:bidi w:val="0"/>
              <w:jc w:val="center"/>
              <w:rPr>
                <w:rFonts w:hint="eastAsia"/>
                <w:sz w:val="24"/>
                <w:szCs w:val="24"/>
                <w:highlight w:val="none"/>
              </w:rPr>
            </w:pPr>
          </w:p>
        </w:tc>
        <w:tc>
          <w:tcPr>
            <w:tcW w:w="3034" w:type="dxa"/>
            <w:vAlign w:val="center"/>
          </w:tcPr>
          <w:p w14:paraId="6612B78A">
            <w:pPr>
              <w:bidi w:val="0"/>
              <w:jc w:val="center"/>
              <w:rPr>
                <w:rFonts w:hint="eastAsia"/>
                <w:sz w:val="24"/>
                <w:szCs w:val="24"/>
                <w:highlight w:val="none"/>
              </w:rPr>
            </w:pPr>
          </w:p>
        </w:tc>
        <w:tc>
          <w:tcPr>
            <w:tcW w:w="1391" w:type="dxa"/>
            <w:vAlign w:val="center"/>
          </w:tcPr>
          <w:p w14:paraId="2F6CFC1C">
            <w:pPr>
              <w:bidi w:val="0"/>
              <w:jc w:val="center"/>
              <w:rPr>
                <w:rFonts w:hint="eastAsia"/>
                <w:sz w:val="24"/>
                <w:szCs w:val="24"/>
                <w:highlight w:val="none"/>
              </w:rPr>
            </w:pPr>
          </w:p>
        </w:tc>
      </w:tr>
      <w:tr w14:paraId="6BCBF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0D256027">
            <w:pPr>
              <w:bidi w:val="0"/>
              <w:jc w:val="center"/>
              <w:rPr>
                <w:rFonts w:hint="eastAsia"/>
                <w:sz w:val="24"/>
                <w:szCs w:val="24"/>
                <w:highlight w:val="none"/>
              </w:rPr>
            </w:pPr>
            <w:r>
              <w:rPr>
                <w:rFonts w:hint="eastAsia"/>
                <w:sz w:val="24"/>
                <w:szCs w:val="24"/>
                <w:highlight w:val="none"/>
              </w:rPr>
              <w:t>3</w:t>
            </w:r>
          </w:p>
        </w:tc>
        <w:tc>
          <w:tcPr>
            <w:tcW w:w="3263" w:type="dxa"/>
            <w:vAlign w:val="center"/>
          </w:tcPr>
          <w:p w14:paraId="51237FD3">
            <w:pPr>
              <w:bidi w:val="0"/>
              <w:jc w:val="center"/>
              <w:rPr>
                <w:rFonts w:hint="eastAsia"/>
                <w:sz w:val="24"/>
                <w:szCs w:val="24"/>
                <w:highlight w:val="none"/>
              </w:rPr>
            </w:pPr>
          </w:p>
        </w:tc>
        <w:tc>
          <w:tcPr>
            <w:tcW w:w="3034" w:type="dxa"/>
            <w:vAlign w:val="center"/>
          </w:tcPr>
          <w:p w14:paraId="45B8F0BC">
            <w:pPr>
              <w:bidi w:val="0"/>
              <w:jc w:val="center"/>
              <w:rPr>
                <w:rFonts w:hint="eastAsia"/>
                <w:sz w:val="24"/>
                <w:szCs w:val="24"/>
                <w:highlight w:val="none"/>
              </w:rPr>
            </w:pPr>
          </w:p>
        </w:tc>
        <w:tc>
          <w:tcPr>
            <w:tcW w:w="1391" w:type="dxa"/>
            <w:vAlign w:val="center"/>
          </w:tcPr>
          <w:p w14:paraId="31F2DE97">
            <w:pPr>
              <w:bidi w:val="0"/>
              <w:jc w:val="center"/>
              <w:rPr>
                <w:rFonts w:hint="eastAsia"/>
                <w:sz w:val="24"/>
                <w:szCs w:val="24"/>
                <w:highlight w:val="none"/>
              </w:rPr>
            </w:pPr>
          </w:p>
        </w:tc>
      </w:tr>
      <w:tr w14:paraId="1B0F9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3B31575F">
            <w:pPr>
              <w:bidi w:val="0"/>
              <w:jc w:val="center"/>
              <w:rPr>
                <w:rFonts w:hint="eastAsia"/>
                <w:sz w:val="24"/>
                <w:szCs w:val="24"/>
                <w:highlight w:val="none"/>
              </w:rPr>
            </w:pPr>
            <w:r>
              <w:rPr>
                <w:rFonts w:hint="eastAsia"/>
                <w:sz w:val="24"/>
                <w:szCs w:val="24"/>
                <w:highlight w:val="none"/>
              </w:rPr>
              <w:t>…</w:t>
            </w:r>
          </w:p>
        </w:tc>
        <w:tc>
          <w:tcPr>
            <w:tcW w:w="3263" w:type="dxa"/>
            <w:vAlign w:val="center"/>
          </w:tcPr>
          <w:p w14:paraId="49D59621">
            <w:pPr>
              <w:bidi w:val="0"/>
              <w:jc w:val="center"/>
              <w:rPr>
                <w:rFonts w:hint="eastAsia"/>
                <w:sz w:val="24"/>
                <w:szCs w:val="24"/>
                <w:highlight w:val="none"/>
              </w:rPr>
            </w:pPr>
          </w:p>
        </w:tc>
        <w:tc>
          <w:tcPr>
            <w:tcW w:w="3034" w:type="dxa"/>
            <w:vAlign w:val="center"/>
          </w:tcPr>
          <w:p w14:paraId="69F83F23">
            <w:pPr>
              <w:bidi w:val="0"/>
              <w:jc w:val="center"/>
              <w:rPr>
                <w:rFonts w:hint="eastAsia"/>
                <w:sz w:val="24"/>
                <w:szCs w:val="24"/>
                <w:highlight w:val="none"/>
              </w:rPr>
            </w:pPr>
          </w:p>
        </w:tc>
        <w:tc>
          <w:tcPr>
            <w:tcW w:w="1391" w:type="dxa"/>
            <w:vAlign w:val="center"/>
          </w:tcPr>
          <w:p w14:paraId="6926100A">
            <w:pPr>
              <w:bidi w:val="0"/>
              <w:jc w:val="center"/>
              <w:rPr>
                <w:rFonts w:hint="eastAsia"/>
                <w:sz w:val="24"/>
                <w:szCs w:val="24"/>
                <w:highlight w:val="none"/>
              </w:rPr>
            </w:pPr>
          </w:p>
        </w:tc>
      </w:tr>
    </w:tbl>
    <w:p w14:paraId="69C1F552">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p>
    <w:p w14:paraId="712122CD">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p>
    <w:p w14:paraId="45B01782">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w:t>
      </w:r>
      <w:r>
        <w:rPr>
          <w:rFonts w:hint="eastAsia" w:ascii="宋体" w:hAnsi="宋体" w:eastAsia="宋体" w:cs="宋体"/>
          <w:color w:val="000000"/>
          <w:sz w:val="24"/>
          <w:szCs w:val="24"/>
          <w:highlight w:val="none"/>
          <w:lang w:val="en-US" w:eastAsia="zh-CN"/>
        </w:rPr>
        <w:t>公章</w:t>
      </w:r>
      <w:r>
        <w:rPr>
          <w:rFonts w:hint="eastAsia" w:ascii="宋体" w:hAnsi="宋体" w:eastAsia="宋体" w:cs="宋体"/>
          <w:color w:val="000000"/>
          <w:sz w:val="24"/>
          <w:szCs w:val="24"/>
          <w:highlight w:val="none"/>
        </w:rPr>
        <w:t>）：</w:t>
      </w:r>
    </w:p>
    <w:p w14:paraId="11FCB254">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r>
        <w:rPr>
          <w:rFonts w:hint="eastAsia" w:ascii="宋体" w:hAnsi="宋体" w:eastAsia="宋体" w:cs="宋体"/>
          <w:sz w:val="24"/>
          <w:szCs w:val="24"/>
          <w:highlight w:val="none"/>
        </w:rPr>
        <w:t>（单位负责人）</w:t>
      </w:r>
      <w:r>
        <w:rPr>
          <w:rFonts w:hint="eastAsia" w:ascii="宋体" w:hAnsi="宋体" w:eastAsia="宋体" w:cs="宋体"/>
          <w:color w:val="000000"/>
          <w:sz w:val="24"/>
          <w:szCs w:val="24"/>
          <w:highlight w:val="none"/>
        </w:rPr>
        <w:t>或委托代理人（签字或盖章）：</w:t>
      </w:r>
    </w:p>
    <w:p w14:paraId="304A9063">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    年     月     日</w:t>
      </w:r>
    </w:p>
    <w:p w14:paraId="5562ACB2">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p>
    <w:p w14:paraId="29B62EF7">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1A5480B8">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十</w:t>
      </w:r>
      <w:r>
        <w:rPr>
          <w:rFonts w:hint="default" w:ascii="宋体" w:hAnsi="宋体" w:eastAsia="宋体" w:cs="宋体"/>
          <w:i/>
          <w:kern w:val="0"/>
          <w:sz w:val="32"/>
          <w:szCs w:val="32"/>
          <w:highlight w:val="none"/>
          <w:u w:val="single"/>
          <w:lang w:val="en-US" w:eastAsia="zh-CN"/>
        </w:rPr>
        <w:t>七</w:t>
      </w:r>
      <w:r>
        <w:rPr>
          <w:rFonts w:hint="eastAsia" w:ascii="宋体" w:hAnsi="宋体" w:eastAsia="宋体" w:cs="宋体"/>
          <w:i/>
          <w:kern w:val="0"/>
          <w:sz w:val="32"/>
          <w:szCs w:val="32"/>
          <w:highlight w:val="none"/>
          <w:u w:val="single"/>
        </w:rPr>
        <w:t>、类似项目业绩一览表</w:t>
      </w:r>
    </w:p>
    <w:p w14:paraId="07B3B11D">
      <w:pPr>
        <w:tabs>
          <w:tab w:val="left" w:pos="360"/>
        </w:tabs>
        <w:wordWrap/>
        <w:topLinePunct w:val="0"/>
        <w:bidi w:val="0"/>
        <w:adjustRightInd w:val="0"/>
        <w:snapToGrid w:val="0"/>
        <w:spacing w:line="360" w:lineRule="auto"/>
        <w:ind w:firstLine="720" w:firstLineChars="200"/>
        <w:jc w:val="center"/>
        <w:textAlignment w:val="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类似项目业绩一览表</w:t>
      </w:r>
    </w:p>
    <w:p w14:paraId="4615A9B4">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p>
    <w:p w14:paraId="43B29F7E">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color w:val="000000"/>
          <w:sz w:val="24"/>
          <w:szCs w:val="24"/>
          <w:highlight w:val="none"/>
        </w:rPr>
        <w:t>项目编号：</w:t>
      </w:r>
    </w:p>
    <w:tbl>
      <w:tblPr>
        <w:tblStyle w:val="15"/>
        <w:tblW w:w="8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2686"/>
        <w:gridCol w:w="1850"/>
        <w:gridCol w:w="1985"/>
        <w:gridCol w:w="1309"/>
      </w:tblGrid>
      <w:tr w14:paraId="42209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2" w:hRule="atLeast"/>
          <w:jc w:val="center"/>
        </w:trPr>
        <w:tc>
          <w:tcPr>
            <w:tcW w:w="785" w:type="dxa"/>
            <w:vAlign w:val="center"/>
          </w:tcPr>
          <w:p w14:paraId="3A9FA3B6">
            <w:pPr>
              <w:bidi w:val="0"/>
              <w:jc w:val="center"/>
              <w:rPr>
                <w:rFonts w:hint="eastAsia"/>
                <w:sz w:val="24"/>
                <w:szCs w:val="24"/>
                <w:highlight w:val="none"/>
              </w:rPr>
            </w:pPr>
            <w:r>
              <w:rPr>
                <w:rFonts w:hint="eastAsia"/>
                <w:sz w:val="24"/>
                <w:szCs w:val="24"/>
                <w:highlight w:val="none"/>
              </w:rPr>
              <w:t>序号</w:t>
            </w:r>
          </w:p>
        </w:tc>
        <w:tc>
          <w:tcPr>
            <w:tcW w:w="2686" w:type="dxa"/>
            <w:vAlign w:val="center"/>
          </w:tcPr>
          <w:p w14:paraId="1F5CBE9A">
            <w:pPr>
              <w:bidi w:val="0"/>
              <w:jc w:val="center"/>
              <w:rPr>
                <w:rFonts w:hint="eastAsia"/>
                <w:sz w:val="24"/>
                <w:szCs w:val="24"/>
                <w:highlight w:val="none"/>
              </w:rPr>
            </w:pPr>
            <w:r>
              <w:rPr>
                <w:rFonts w:hint="eastAsia"/>
                <w:sz w:val="24"/>
                <w:szCs w:val="24"/>
                <w:highlight w:val="none"/>
              </w:rPr>
              <w:t>项目名称</w:t>
            </w:r>
          </w:p>
        </w:tc>
        <w:tc>
          <w:tcPr>
            <w:tcW w:w="1850" w:type="dxa"/>
            <w:vAlign w:val="center"/>
          </w:tcPr>
          <w:p w14:paraId="76723528">
            <w:pPr>
              <w:bidi w:val="0"/>
              <w:jc w:val="center"/>
              <w:rPr>
                <w:rFonts w:hint="eastAsia"/>
                <w:sz w:val="24"/>
                <w:szCs w:val="24"/>
                <w:highlight w:val="none"/>
              </w:rPr>
            </w:pPr>
            <w:r>
              <w:rPr>
                <w:rFonts w:hint="eastAsia"/>
                <w:sz w:val="24"/>
                <w:szCs w:val="24"/>
                <w:highlight w:val="none"/>
              </w:rPr>
              <w:t>签订时间</w:t>
            </w:r>
          </w:p>
        </w:tc>
        <w:tc>
          <w:tcPr>
            <w:tcW w:w="1985" w:type="dxa"/>
            <w:vAlign w:val="center"/>
          </w:tcPr>
          <w:p w14:paraId="70FA3E13">
            <w:pPr>
              <w:bidi w:val="0"/>
              <w:jc w:val="center"/>
              <w:rPr>
                <w:rFonts w:hint="eastAsia"/>
                <w:sz w:val="24"/>
                <w:szCs w:val="24"/>
                <w:highlight w:val="none"/>
              </w:rPr>
            </w:pPr>
            <w:r>
              <w:rPr>
                <w:rFonts w:hint="eastAsia"/>
                <w:sz w:val="24"/>
                <w:szCs w:val="24"/>
                <w:highlight w:val="none"/>
              </w:rPr>
              <w:t>采购单位</w:t>
            </w:r>
          </w:p>
        </w:tc>
        <w:tc>
          <w:tcPr>
            <w:tcW w:w="1309" w:type="dxa"/>
            <w:vAlign w:val="center"/>
          </w:tcPr>
          <w:p w14:paraId="77F39BFC">
            <w:pPr>
              <w:bidi w:val="0"/>
              <w:jc w:val="center"/>
              <w:rPr>
                <w:rFonts w:hint="eastAsia"/>
                <w:sz w:val="24"/>
                <w:szCs w:val="24"/>
                <w:highlight w:val="none"/>
              </w:rPr>
            </w:pPr>
            <w:r>
              <w:rPr>
                <w:rFonts w:hint="eastAsia"/>
                <w:sz w:val="24"/>
                <w:szCs w:val="24"/>
                <w:highlight w:val="none"/>
              </w:rPr>
              <w:t>主要标的</w:t>
            </w:r>
          </w:p>
        </w:tc>
      </w:tr>
      <w:tr w14:paraId="5CC5B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1FED7804">
            <w:pPr>
              <w:bidi w:val="0"/>
              <w:jc w:val="center"/>
              <w:rPr>
                <w:rFonts w:hint="eastAsia"/>
                <w:sz w:val="24"/>
                <w:szCs w:val="24"/>
                <w:highlight w:val="none"/>
              </w:rPr>
            </w:pPr>
          </w:p>
        </w:tc>
        <w:tc>
          <w:tcPr>
            <w:tcW w:w="2686" w:type="dxa"/>
            <w:vAlign w:val="center"/>
          </w:tcPr>
          <w:p w14:paraId="014D6A09">
            <w:pPr>
              <w:bidi w:val="0"/>
              <w:jc w:val="center"/>
              <w:rPr>
                <w:rFonts w:hint="eastAsia"/>
                <w:sz w:val="24"/>
                <w:szCs w:val="24"/>
                <w:highlight w:val="none"/>
              </w:rPr>
            </w:pPr>
          </w:p>
        </w:tc>
        <w:tc>
          <w:tcPr>
            <w:tcW w:w="1850" w:type="dxa"/>
            <w:vAlign w:val="center"/>
          </w:tcPr>
          <w:p w14:paraId="513D94F6">
            <w:pPr>
              <w:bidi w:val="0"/>
              <w:jc w:val="center"/>
              <w:rPr>
                <w:rFonts w:hint="eastAsia"/>
                <w:sz w:val="24"/>
                <w:szCs w:val="24"/>
                <w:highlight w:val="none"/>
              </w:rPr>
            </w:pPr>
          </w:p>
        </w:tc>
        <w:tc>
          <w:tcPr>
            <w:tcW w:w="1985" w:type="dxa"/>
            <w:vAlign w:val="center"/>
          </w:tcPr>
          <w:p w14:paraId="188906D6">
            <w:pPr>
              <w:bidi w:val="0"/>
              <w:jc w:val="center"/>
              <w:rPr>
                <w:rFonts w:hint="eastAsia"/>
                <w:sz w:val="24"/>
                <w:szCs w:val="24"/>
                <w:highlight w:val="none"/>
              </w:rPr>
            </w:pPr>
          </w:p>
        </w:tc>
        <w:tc>
          <w:tcPr>
            <w:tcW w:w="1309" w:type="dxa"/>
            <w:vAlign w:val="center"/>
          </w:tcPr>
          <w:p w14:paraId="22E4B791">
            <w:pPr>
              <w:bidi w:val="0"/>
              <w:jc w:val="center"/>
              <w:rPr>
                <w:rFonts w:hint="eastAsia"/>
                <w:sz w:val="24"/>
                <w:szCs w:val="24"/>
                <w:highlight w:val="none"/>
              </w:rPr>
            </w:pPr>
          </w:p>
        </w:tc>
      </w:tr>
      <w:tr w14:paraId="66577E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42C6FD77">
            <w:pPr>
              <w:bidi w:val="0"/>
              <w:jc w:val="center"/>
              <w:rPr>
                <w:rFonts w:hint="eastAsia"/>
                <w:sz w:val="24"/>
                <w:szCs w:val="24"/>
                <w:highlight w:val="none"/>
              </w:rPr>
            </w:pPr>
          </w:p>
        </w:tc>
        <w:tc>
          <w:tcPr>
            <w:tcW w:w="2686" w:type="dxa"/>
            <w:vAlign w:val="center"/>
          </w:tcPr>
          <w:p w14:paraId="262BD61B">
            <w:pPr>
              <w:bidi w:val="0"/>
              <w:jc w:val="center"/>
              <w:rPr>
                <w:rFonts w:hint="eastAsia"/>
                <w:sz w:val="24"/>
                <w:szCs w:val="24"/>
                <w:highlight w:val="none"/>
              </w:rPr>
            </w:pPr>
          </w:p>
        </w:tc>
        <w:tc>
          <w:tcPr>
            <w:tcW w:w="1850" w:type="dxa"/>
            <w:vAlign w:val="center"/>
          </w:tcPr>
          <w:p w14:paraId="4AC86BD4">
            <w:pPr>
              <w:bidi w:val="0"/>
              <w:jc w:val="center"/>
              <w:rPr>
                <w:rFonts w:hint="eastAsia"/>
                <w:sz w:val="24"/>
                <w:szCs w:val="24"/>
                <w:highlight w:val="none"/>
              </w:rPr>
            </w:pPr>
          </w:p>
        </w:tc>
        <w:tc>
          <w:tcPr>
            <w:tcW w:w="1985" w:type="dxa"/>
            <w:vAlign w:val="center"/>
          </w:tcPr>
          <w:p w14:paraId="2E50E0CA">
            <w:pPr>
              <w:bidi w:val="0"/>
              <w:jc w:val="center"/>
              <w:rPr>
                <w:rFonts w:hint="eastAsia"/>
                <w:sz w:val="24"/>
                <w:szCs w:val="24"/>
                <w:highlight w:val="none"/>
              </w:rPr>
            </w:pPr>
          </w:p>
        </w:tc>
        <w:tc>
          <w:tcPr>
            <w:tcW w:w="1309" w:type="dxa"/>
            <w:vAlign w:val="center"/>
          </w:tcPr>
          <w:p w14:paraId="3E981371">
            <w:pPr>
              <w:bidi w:val="0"/>
              <w:jc w:val="center"/>
              <w:rPr>
                <w:rFonts w:hint="eastAsia"/>
                <w:sz w:val="24"/>
                <w:szCs w:val="24"/>
                <w:highlight w:val="none"/>
              </w:rPr>
            </w:pPr>
          </w:p>
        </w:tc>
      </w:tr>
      <w:tr w14:paraId="2E283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63549109">
            <w:pPr>
              <w:bidi w:val="0"/>
              <w:jc w:val="center"/>
              <w:rPr>
                <w:rFonts w:hint="eastAsia"/>
                <w:sz w:val="24"/>
                <w:szCs w:val="24"/>
                <w:highlight w:val="none"/>
              </w:rPr>
            </w:pPr>
          </w:p>
        </w:tc>
        <w:tc>
          <w:tcPr>
            <w:tcW w:w="2686" w:type="dxa"/>
            <w:vAlign w:val="center"/>
          </w:tcPr>
          <w:p w14:paraId="447F74F2">
            <w:pPr>
              <w:bidi w:val="0"/>
              <w:jc w:val="center"/>
              <w:rPr>
                <w:rFonts w:hint="eastAsia"/>
                <w:sz w:val="24"/>
                <w:szCs w:val="24"/>
                <w:highlight w:val="none"/>
              </w:rPr>
            </w:pPr>
          </w:p>
        </w:tc>
        <w:tc>
          <w:tcPr>
            <w:tcW w:w="1850" w:type="dxa"/>
            <w:vAlign w:val="center"/>
          </w:tcPr>
          <w:p w14:paraId="570A6DDB">
            <w:pPr>
              <w:bidi w:val="0"/>
              <w:jc w:val="center"/>
              <w:rPr>
                <w:rFonts w:hint="eastAsia"/>
                <w:sz w:val="24"/>
                <w:szCs w:val="24"/>
                <w:highlight w:val="none"/>
              </w:rPr>
            </w:pPr>
          </w:p>
        </w:tc>
        <w:tc>
          <w:tcPr>
            <w:tcW w:w="1985" w:type="dxa"/>
            <w:vAlign w:val="center"/>
          </w:tcPr>
          <w:p w14:paraId="2A68515A">
            <w:pPr>
              <w:bidi w:val="0"/>
              <w:jc w:val="center"/>
              <w:rPr>
                <w:rFonts w:hint="eastAsia"/>
                <w:sz w:val="24"/>
                <w:szCs w:val="24"/>
                <w:highlight w:val="none"/>
              </w:rPr>
            </w:pPr>
          </w:p>
        </w:tc>
        <w:tc>
          <w:tcPr>
            <w:tcW w:w="1309" w:type="dxa"/>
            <w:vAlign w:val="center"/>
          </w:tcPr>
          <w:p w14:paraId="67923502">
            <w:pPr>
              <w:bidi w:val="0"/>
              <w:jc w:val="center"/>
              <w:rPr>
                <w:rFonts w:hint="eastAsia"/>
                <w:sz w:val="24"/>
                <w:szCs w:val="24"/>
                <w:highlight w:val="none"/>
              </w:rPr>
            </w:pPr>
          </w:p>
        </w:tc>
      </w:tr>
    </w:tbl>
    <w:p w14:paraId="6093ABC5">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p>
    <w:p w14:paraId="45938977">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p>
    <w:p w14:paraId="6E968B28">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w:t>
      </w:r>
      <w:bookmarkStart w:id="28" w:name="OLE_LINK5"/>
      <w:r>
        <w:rPr>
          <w:rFonts w:hint="eastAsia" w:ascii="宋体" w:hAnsi="宋体" w:eastAsia="宋体" w:cs="宋体"/>
          <w:color w:val="000000"/>
          <w:sz w:val="24"/>
          <w:szCs w:val="24"/>
          <w:highlight w:val="none"/>
          <w:lang w:val="en-US" w:eastAsia="zh-CN"/>
        </w:rPr>
        <w:t>公章</w:t>
      </w:r>
      <w:bookmarkEnd w:id="28"/>
      <w:r>
        <w:rPr>
          <w:rFonts w:hint="eastAsia" w:ascii="宋体" w:hAnsi="宋体" w:eastAsia="宋体" w:cs="宋体"/>
          <w:color w:val="000000"/>
          <w:sz w:val="24"/>
          <w:szCs w:val="24"/>
          <w:highlight w:val="none"/>
        </w:rPr>
        <w:t>）：</w:t>
      </w:r>
    </w:p>
    <w:p w14:paraId="3E6C865C">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r>
        <w:rPr>
          <w:rFonts w:hint="eastAsia" w:ascii="宋体" w:hAnsi="宋体" w:eastAsia="宋体" w:cs="宋体"/>
          <w:sz w:val="24"/>
          <w:szCs w:val="24"/>
          <w:highlight w:val="none"/>
        </w:rPr>
        <w:t>（单位负责人）</w:t>
      </w:r>
      <w:r>
        <w:rPr>
          <w:rFonts w:hint="eastAsia" w:ascii="宋体" w:hAnsi="宋体" w:eastAsia="宋体" w:cs="宋体"/>
          <w:color w:val="000000"/>
          <w:sz w:val="24"/>
          <w:szCs w:val="24"/>
          <w:highlight w:val="none"/>
        </w:rPr>
        <w:t>或委托代理人（签字或盖章）：</w:t>
      </w:r>
    </w:p>
    <w:p w14:paraId="153F0FCA">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    年     月     日</w:t>
      </w:r>
    </w:p>
    <w:p w14:paraId="3385A568">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0D655EA0">
      <w:pPr>
        <w:wordWrap/>
        <w:topLinePunct w:val="0"/>
        <w:bidi w:val="0"/>
        <w:adjustRightInd w:val="0"/>
        <w:snapToGrid w:val="0"/>
        <w:spacing w:line="360" w:lineRule="auto"/>
        <w:ind w:firstLine="420" w:firstLineChars="200"/>
        <w:textAlignment w:val="auto"/>
        <w:rPr>
          <w:rFonts w:hint="eastAsia" w:ascii="宋体" w:hAnsi="宋体" w:eastAsia="宋体" w:cs="宋体"/>
          <w:highlight w:val="none"/>
        </w:rPr>
      </w:pPr>
    </w:p>
    <w:p w14:paraId="670C627F">
      <w:pPr>
        <w:keepNext/>
        <w:keepLines/>
        <w:pageBreakBefore/>
        <w:widowControl w:val="0"/>
        <w:kinsoku/>
        <w:wordWrap/>
        <w:overflowPunct/>
        <w:topLinePunct w:val="0"/>
        <w:autoSpaceDE/>
        <w:autoSpaceDN/>
        <w:bidi w:val="0"/>
        <w:adjustRightInd w:val="0"/>
        <w:snapToGrid w:val="0"/>
        <w:spacing w:before="360" w:after="200" w:line="360" w:lineRule="auto"/>
        <w:ind w:firstLine="640" w:firstLineChars="200"/>
        <w:jc w:val="left"/>
        <w:textAlignment w:val="auto"/>
        <w:outlineLvl w:val="1"/>
        <w:rPr>
          <w:rFonts w:hint="eastAsia" w:ascii="宋体" w:hAnsi="宋体" w:eastAsia="宋体" w:cs="宋体"/>
          <w:i/>
          <w:kern w:val="0"/>
          <w:sz w:val="32"/>
          <w:szCs w:val="32"/>
          <w:highlight w:val="none"/>
          <w:u w:val="single"/>
        </w:rPr>
      </w:pPr>
      <w:r>
        <w:rPr>
          <w:rFonts w:hint="eastAsia" w:ascii="宋体" w:hAnsi="宋体" w:eastAsia="宋体" w:cs="宋体"/>
          <w:i/>
          <w:kern w:val="0"/>
          <w:sz w:val="32"/>
          <w:szCs w:val="32"/>
          <w:highlight w:val="none"/>
          <w:u w:val="single"/>
        </w:rPr>
        <w:t>十</w:t>
      </w:r>
      <w:r>
        <w:rPr>
          <w:rFonts w:hint="default" w:ascii="宋体" w:hAnsi="宋体" w:eastAsia="宋体" w:cs="宋体"/>
          <w:i/>
          <w:kern w:val="0"/>
          <w:sz w:val="32"/>
          <w:szCs w:val="32"/>
          <w:highlight w:val="none"/>
          <w:u w:val="single"/>
          <w:lang w:val="en-US" w:eastAsia="zh-CN"/>
        </w:rPr>
        <w:t>八</w:t>
      </w:r>
      <w:r>
        <w:rPr>
          <w:rFonts w:hint="eastAsia" w:ascii="宋体" w:hAnsi="宋体" w:eastAsia="宋体" w:cs="宋体"/>
          <w:i/>
          <w:kern w:val="0"/>
          <w:sz w:val="32"/>
          <w:szCs w:val="32"/>
          <w:highlight w:val="none"/>
          <w:u w:val="single"/>
        </w:rPr>
        <w:t>、项目团队人员一览表</w:t>
      </w:r>
    </w:p>
    <w:p w14:paraId="7F503B33">
      <w:pPr>
        <w:tabs>
          <w:tab w:val="left" w:pos="360"/>
        </w:tabs>
        <w:wordWrap/>
        <w:topLinePunct w:val="0"/>
        <w:bidi w:val="0"/>
        <w:adjustRightInd w:val="0"/>
        <w:snapToGrid w:val="0"/>
        <w:spacing w:line="360" w:lineRule="auto"/>
        <w:ind w:firstLine="720" w:firstLineChars="200"/>
        <w:jc w:val="center"/>
        <w:textAlignment w:val="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t>项目团队人员一览表</w:t>
      </w:r>
    </w:p>
    <w:p w14:paraId="449A67CE">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p>
    <w:p w14:paraId="5ED04A2E">
      <w:pPr>
        <w:wordWrap/>
        <w:topLinePunct w:val="0"/>
        <w:autoSpaceDE w:val="0"/>
        <w:autoSpaceDN w:val="0"/>
        <w:bidi w:val="0"/>
        <w:adjustRightInd w:val="0"/>
        <w:snapToGrid w:val="0"/>
        <w:spacing w:line="360" w:lineRule="auto"/>
        <w:ind w:firstLine="480" w:firstLineChars="200"/>
        <w:jc w:val="left"/>
        <w:textAlignment w:val="auto"/>
        <w:rPr>
          <w:rFonts w:hint="eastAsia" w:ascii="宋体" w:hAnsi="宋体" w:eastAsia="宋体" w:cs="宋体"/>
          <w:highlight w:val="none"/>
        </w:rPr>
      </w:pPr>
      <w:r>
        <w:rPr>
          <w:rFonts w:hint="eastAsia" w:ascii="宋体" w:hAnsi="宋体" w:eastAsia="宋体" w:cs="宋体"/>
          <w:color w:val="000000"/>
          <w:sz w:val="24"/>
          <w:szCs w:val="24"/>
          <w:highlight w:val="none"/>
        </w:rPr>
        <w:t>项目编号：</w:t>
      </w:r>
    </w:p>
    <w:tbl>
      <w:tblPr>
        <w:tblStyle w:val="15"/>
        <w:tblW w:w="7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5"/>
        <w:gridCol w:w="1844"/>
        <w:gridCol w:w="2514"/>
        <w:gridCol w:w="1873"/>
      </w:tblGrid>
      <w:tr w14:paraId="2B2D4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695" w:type="dxa"/>
            <w:vAlign w:val="center"/>
          </w:tcPr>
          <w:p w14:paraId="4EB96518">
            <w:pPr>
              <w:bidi w:val="0"/>
              <w:jc w:val="center"/>
              <w:rPr>
                <w:rFonts w:hint="eastAsia"/>
                <w:sz w:val="24"/>
                <w:szCs w:val="24"/>
                <w:highlight w:val="none"/>
              </w:rPr>
            </w:pPr>
            <w:r>
              <w:rPr>
                <w:rFonts w:hint="eastAsia"/>
                <w:sz w:val="24"/>
                <w:szCs w:val="24"/>
                <w:highlight w:val="none"/>
              </w:rPr>
              <w:t>姓名</w:t>
            </w:r>
          </w:p>
        </w:tc>
        <w:tc>
          <w:tcPr>
            <w:tcW w:w="1844" w:type="dxa"/>
            <w:vAlign w:val="center"/>
          </w:tcPr>
          <w:p w14:paraId="5BBCF533">
            <w:pPr>
              <w:bidi w:val="0"/>
              <w:jc w:val="center"/>
              <w:rPr>
                <w:rFonts w:hint="eastAsia"/>
                <w:sz w:val="24"/>
                <w:szCs w:val="24"/>
                <w:highlight w:val="none"/>
              </w:rPr>
            </w:pPr>
            <w:r>
              <w:rPr>
                <w:rFonts w:hint="eastAsia"/>
                <w:sz w:val="24"/>
                <w:szCs w:val="24"/>
                <w:highlight w:val="none"/>
              </w:rPr>
              <w:t>本项目拟担任职务</w:t>
            </w:r>
          </w:p>
        </w:tc>
        <w:tc>
          <w:tcPr>
            <w:tcW w:w="2514" w:type="dxa"/>
            <w:vAlign w:val="center"/>
          </w:tcPr>
          <w:p w14:paraId="48D26D6F">
            <w:pPr>
              <w:bidi w:val="0"/>
              <w:jc w:val="center"/>
              <w:rPr>
                <w:rFonts w:hint="eastAsia"/>
                <w:sz w:val="24"/>
                <w:szCs w:val="24"/>
                <w:highlight w:val="none"/>
              </w:rPr>
            </w:pPr>
            <w:r>
              <w:rPr>
                <w:rFonts w:hint="eastAsia"/>
                <w:sz w:val="24"/>
                <w:szCs w:val="24"/>
                <w:highlight w:val="none"/>
              </w:rPr>
              <w:t>技术职称、专业资质</w:t>
            </w:r>
          </w:p>
        </w:tc>
        <w:tc>
          <w:tcPr>
            <w:tcW w:w="1873" w:type="dxa"/>
            <w:vAlign w:val="center"/>
          </w:tcPr>
          <w:p w14:paraId="04734A97">
            <w:pPr>
              <w:bidi w:val="0"/>
              <w:jc w:val="center"/>
              <w:rPr>
                <w:rFonts w:hint="eastAsia"/>
                <w:sz w:val="24"/>
                <w:szCs w:val="24"/>
                <w:highlight w:val="none"/>
              </w:rPr>
            </w:pPr>
            <w:r>
              <w:rPr>
                <w:rFonts w:hint="eastAsia"/>
                <w:sz w:val="24"/>
                <w:szCs w:val="24"/>
                <w:highlight w:val="none"/>
              </w:rPr>
              <w:t>主要资历及担任过的职务</w:t>
            </w:r>
          </w:p>
        </w:tc>
      </w:tr>
      <w:tr w14:paraId="703E75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695" w:type="dxa"/>
            <w:vAlign w:val="center"/>
          </w:tcPr>
          <w:p w14:paraId="6832A306">
            <w:pPr>
              <w:bidi w:val="0"/>
              <w:jc w:val="center"/>
              <w:rPr>
                <w:rFonts w:hint="eastAsia"/>
                <w:sz w:val="24"/>
                <w:szCs w:val="24"/>
                <w:highlight w:val="none"/>
              </w:rPr>
            </w:pPr>
          </w:p>
        </w:tc>
        <w:tc>
          <w:tcPr>
            <w:tcW w:w="1844" w:type="dxa"/>
            <w:vAlign w:val="center"/>
          </w:tcPr>
          <w:p w14:paraId="495AE801">
            <w:pPr>
              <w:bidi w:val="0"/>
              <w:jc w:val="center"/>
              <w:rPr>
                <w:rFonts w:hint="eastAsia"/>
                <w:sz w:val="24"/>
                <w:szCs w:val="24"/>
                <w:highlight w:val="none"/>
              </w:rPr>
            </w:pPr>
          </w:p>
        </w:tc>
        <w:tc>
          <w:tcPr>
            <w:tcW w:w="2514" w:type="dxa"/>
            <w:vAlign w:val="center"/>
          </w:tcPr>
          <w:p w14:paraId="169B437C">
            <w:pPr>
              <w:bidi w:val="0"/>
              <w:jc w:val="center"/>
              <w:rPr>
                <w:rFonts w:hint="eastAsia"/>
                <w:sz w:val="24"/>
                <w:szCs w:val="24"/>
                <w:highlight w:val="none"/>
              </w:rPr>
            </w:pPr>
          </w:p>
        </w:tc>
        <w:tc>
          <w:tcPr>
            <w:tcW w:w="1873" w:type="dxa"/>
            <w:vAlign w:val="center"/>
          </w:tcPr>
          <w:p w14:paraId="7D727F61">
            <w:pPr>
              <w:bidi w:val="0"/>
              <w:jc w:val="center"/>
              <w:rPr>
                <w:rFonts w:hint="eastAsia"/>
                <w:sz w:val="24"/>
                <w:szCs w:val="24"/>
                <w:highlight w:val="none"/>
              </w:rPr>
            </w:pPr>
          </w:p>
        </w:tc>
      </w:tr>
      <w:tr w14:paraId="2E1E1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695" w:type="dxa"/>
            <w:vAlign w:val="center"/>
          </w:tcPr>
          <w:p w14:paraId="6D866C6F">
            <w:pPr>
              <w:bidi w:val="0"/>
              <w:jc w:val="center"/>
              <w:rPr>
                <w:rFonts w:hint="eastAsia"/>
                <w:sz w:val="24"/>
                <w:szCs w:val="24"/>
                <w:highlight w:val="none"/>
              </w:rPr>
            </w:pPr>
          </w:p>
        </w:tc>
        <w:tc>
          <w:tcPr>
            <w:tcW w:w="1844" w:type="dxa"/>
            <w:vAlign w:val="center"/>
          </w:tcPr>
          <w:p w14:paraId="2E015187">
            <w:pPr>
              <w:bidi w:val="0"/>
              <w:jc w:val="center"/>
              <w:rPr>
                <w:rFonts w:hint="eastAsia"/>
                <w:sz w:val="24"/>
                <w:szCs w:val="24"/>
                <w:highlight w:val="none"/>
              </w:rPr>
            </w:pPr>
          </w:p>
        </w:tc>
        <w:tc>
          <w:tcPr>
            <w:tcW w:w="2514" w:type="dxa"/>
            <w:vAlign w:val="center"/>
          </w:tcPr>
          <w:p w14:paraId="7858704D">
            <w:pPr>
              <w:bidi w:val="0"/>
              <w:jc w:val="center"/>
              <w:rPr>
                <w:rFonts w:hint="eastAsia"/>
                <w:sz w:val="24"/>
                <w:szCs w:val="24"/>
                <w:highlight w:val="none"/>
              </w:rPr>
            </w:pPr>
          </w:p>
        </w:tc>
        <w:tc>
          <w:tcPr>
            <w:tcW w:w="1873" w:type="dxa"/>
            <w:vAlign w:val="center"/>
          </w:tcPr>
          <w:p w14:paraId="240EFCC4">
            <w:pPr>
              <w:bidi w:val="0"/>
              <w:jc w:val="center"/>
              <w:rPr>
                <w:rFonts w:hint="eastAsia"/>
                <w:sz w:val="24"/>
                <w:szCs w:val="24"/>
                <w:highlight w:val="none"/>
              </w:rPr>
            </w:pPr>
          </w:p>
        </w:tc>
      </w:tr>
      <w:tr w14:paraId="145FB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1695" w:type="dxa"/>
            <w:vAlign w:val="center"/>
          </w:tcPr>
          <w:p w14:paraId="1948C2FF">
            <w:pPr>
              <w:bidi w:val="0"/>
              <w:jc w:val="center"/>
              <w:rPr>
                <w:rFonts w:hint="eastAsia"/>
                <w:sz w:val="24"/>
                <w:szCs w:val="24"/>
                <w:highlight w:val="none"/>
              </w:rPr>
            </w:pPr>
          </w:p>
        </w:tc>
        <w:tc>
          <w:tcPr>
            <w:tcW w:w="1844" w:type="dxa"/>
            <w:vAlign w:val="center"/>
          </w:tcPr>
          <w:p w14:paraId="4A235ADA">
            <w:pPr>
              <w:bidi w:val="0"/>
              <w:jc w:val="center"/>
              <w:rPr>
                <w:rFonts w:hint="eastAsia"/>
                <w:sz w:val="24"/>
                <w:szCs w:val="24"/>
                <w:highlight w:val="none"/>
              </w:rPr>
            </w:pPr>
          </w:p>
        </w:tc>
        <w:tc>
          <w:tcPr>
            <w:tcW w:w="2514" w:type="dxa"/>
            <w:vAlign w:val="center"/>
          </w:tcPr>
          <w:p w14:paraId="5B4C62A7">
            <w:pPr>
              <w:bidi w:val="0"/>
              <w:jc w:val="center"/>
              <w:rPr>
                <w:rFonts w:hint="eastAsia"/>
                <w:sz w:val="24"/>
                <w:szCs w:val="24"/>
                <w:highlight w:val="none"/>
              </w:rPr>
            </w:pPr>
          </w:p>
        </w:tc>
        <w:tc>
          <w:tcPr>
            <w:tcW w:w="1873" w:type="dxa"/>
            <w:vAlign w:val="center"/>
          </w:tcPr>
          <w:p w14:paraId="7C25DBEE">
            <w:pPr>
              <w:bidi w:val="0"/>
              <w:jc w:val="center"/>
              <w:rPr>
                <w:rFonts w:hint="eastAsia"/>
                <w:sz w:val="24"/>
                <w:szCs w:val="24"/>
                <w:highlight w:val="none"/>
              </w:rPr>
            </w:pPr>
          </w:p>
        </w:tc>
      </w:tr>
    </w:tbl>
    <w:p w14:paraId="41BB763C">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p>
    <w:p w14:paraId="2D3EEAE8">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w:t>
      </w:r>
      <w:r>
        <w:rPr>
          <w:rFonts w:hint="eastAsia" w:ascii="宋体" w:hAnsi="宋体" w:eastAsia="宋体" w:cs="宋体"/>
          <w:color w:val="000000"/>
          <w:sz w:val="24"/>
          <w:szCs w:val="24"/>
          <w:highlight w:val="none"/>
          <w:lang w:val="en-US" w:eastAsia="zh-CN"/>
        </w:rPr>
        <w:t>公章</w:t>
      </w:r>
      <w:r>
        <w:rPr>
          <w:rFonts w:hint="eastAsia" w:ascii="宋体" w:hAnsi="宋体" w:eastAsia="宋体" w:cs="宋体"/>
          <w:color w:val="000000"/>
          <w:sz w:val="24"/>
          <w:szCs w:val="24"/>
          <w:highlight w:val="none"/>
        </w:rPr>
        <w:t>）：</w:t>
      </w:r>
    </w:p>
    <w:p w14:paraId="207D7E64">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w:t>
      </w:r>
      <w:r>
        <w:rPr>
          <w:rFonts w:hint="eastAsia" w:ascii="宋体" w:hAnsi="宋体" w:eastAsia="宋体" w:cs="宋体"/>
          <w:sz w:val="24"/>
          <w:szCs w:val="24"/>
          <w:highlight w:val="none"/>
        </w:rPr>
        <w:t>（单位负责人）</w:t>
      </w:r>
      <w:r>
        <w:rPr>
          <w:rFonts w:hint="eastAsia" w:ascii="宋体" w:hAnsi="宋体" w:eastAsia="宋体" w:cs="宋体"/>
          <w:color w:val="000000"/>
          <w:sz w:val="24"/>
          <w:szCs w:val="24"/>
          <w:highlight w:val="none"/>
        </w:rPr>
        <w:t>或委托代理人（签字或盖章）：</w:t>
      </w:r>
    </w:p>
    <w:p w14:paraId="038B449B">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    年     月     日</w:t>
      </w:r>
    </w:p>
    <w:p w14:paraId="0A6C55A7">
      <w:pPr>
        <w:widowControl/>
        <w:wordWrap/>
        <w:topLinePunct w:val="0"/>
        <w:bidi w:val="0"/>
        <w:adjustRightInd w:val="0"/>
        <w:snapToGrid w:val="0"/>
        <w:spacing w:line="360" w:lineRule="auto"/>
        <w:ind w:firstLine="800" w:firstLineChars="200"/>
        <w:jc w:val="left"/>
        <w:textAlignment w:val="auto"/>
        <w:rPr>
          <w:rFonts w:hint="eastAsia" w:ascii="宋体" w:hAnsi="宋体" w:eastAsia="宋体" w:cs="宋体"/>
          <w:bCs/>
          <w:color w:val="000000"/>
          <w:kern w:val="0"/>
          <w:sz w:val="40"/>
          <w:szCs w:val="32"/>
          <w:highlight w:val="none"/>
        </w:rPr>
      </w:pPr>
      <w:bookmarkStart w:id="29" w:name="_Hlt26671374"/>
      <w:bookmarkEnd w:id="29"/>
      <w:bookmarkStart w:id="30" w:name="_格式2__法定代表人授权书"/>
      <w:bookmarkEnd w:id="30"/>
      <w:bookmarkStart w:id="31" w:name="_Hlt26609389"/>
      <w:bookmarkEnd w:id="31"/>
      <w:bookmarkStart w:id="32" w:name="_Hlt26955066"/>
      <w:bookmarkEnd w:id="32"/>
      <w:r>
        <w:rPr>
          <w:rFonts w:hint="eastAsia" w:ascii="宋体" w:hAnsi="宋体" w:eastAsia="宋体" w:cs="宋体"/>
          <w:bCs/>
          <w:color w:val="000000"/>
          <w:kern w:val="0"/>
          <w:sz w:val="40"/>
          <w:szCs w:val="32"/>
          <w:highlight w:val="none"/>
        </w:rPr>
        <w:br w:type="page"/>
      </w:r>
    </w:p>
    <w:p w14:paraId="7986908E">
      <w:pPr>
        <w:wordWrap/>
        <w:topLinePunct w:val="0"/>
        <w:bidi w:val="0"/>
        <w:adjustRightInd w:val="0"/>
        <w:snapToGrid w:val="0"/>
        <w:spacing w:line="360" w:lineRule="auto"/>
        <w:ind w:firstLine="800" w:firstLineChars="200"/>
        <w:jc w:val="center"/>
        <w:textAlignment w:val="auto"/>
        <w:rPr>
          <w:rFonts w:hint="eastAsia" w:ascii="宋体" w:hAnsi="宋体" w:eastAsia="宋体" w:cs="宋体"/>
          <w:bCs/>
          <w:color w:val="000000"/>
          <w:kern w:val="0"/>
          <w:sz w:val="40"/>
          <w:szCs w:val="32"/>
          <w:highlight w:val="none"/>
        </w:rPr>
      </w:pPr>
      <w:r>
        <w:rPr>
          <w:rFonts w:hint="eastAsia" w:ascii="宋体" w:hAnsi="宋体" w:eastAsia="宋体" w:cs="宋体"/>
          <w:bCs/>
          <w:color w:val="000000"/>
          <w:kern w:val="0"/>
          <w:sz w:val="40"/>
          <w:szCs w:val="32"/>
          <w:highlight w:val="none"/>
        </w:rPr>
        <w:t>质疑函范本</w:t>
      </w:r>
    </w:p>
    <w:p w14:paraId="577B348E">
      <w:pPr>
        <w:wordWrap/>
        <w:topLinePunct w:val="0"/>
        <w:bidi w:val="0"/>
        <w:adjustRightInd w:val="0"/>
        <w:snapToGrid w:val="0"/>
        <w:spacing w:line="360" w:lineRule="auto"/>
        <w:ind w:firstLine="480" w:firstLineChars="200"/>
        <w:textAlignment w:val="auto"/>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致：</w:t>
      </w:r>
      <w:r>
        <w:rPr>
          <w:rFonts w:hint="eastAsia" w:ascii="宋体" w:hAnsi="宋体" w:eastAsia="宋体" w:cs="宋体"/>
          <w:color w:val="000000"/>
          <w:kern w:val="0"/>
          <w:sz w:val="24"/>
          <w:szCs w:val="24"/>
          <w:highlight w:val="none"/>
          <w:u w:val="single"/>
        </w:rPr>
        <w:t xml:space="preserve">                                                                 </w:t>
      </w:r>
    </w:p>
    <w:p w14:paraId="004D810A">
      <w:pPr>
        <w:wordWrap/>
        <w:topLinePunct w:val="0"/>
        <w:bidi w:val="0"/>
        <w:adjustRightInd w:val="0"/>
        <w:snapToGrid w:val="0"/>
        <w:spacing w:line="360" w:lineRule="auto"/>
        <w:ind w:firstLine="480" w:firstLineChars="200"/>
        <w:textAlignment w:val="auto"/>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一、质疑供应商基本信息</w:t>
      </w:r>
    </w:p>
    <w:p w14:paraId="72741560">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质疑供应商：</w:t>
      </w:r>
      <w:r>
        <w:rPr>
          <w:rFonts w:hint="eastAsia" w:ascii="宋体" w:hAnsi="宋体" w:eastAsia="宋体" w:cs="宋体"/>
          <w:color w:val="000000"/>
          <w:kern w:val="0"/>
          <w:sz w:val="24"/>
          <w:szCs w:val="24"/>
          <w:highlight w:val="none"/>
          <w:u w:val="single"/>
        </w:rPr>
        <w:t xml:space="preserve">                                                         </w:t>
      </w:r>
    </w:p>
    <w:p w14:paraId="71C12057">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地址：</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邮编：</w:t>
      </w:r>
      <w:r>
        <w:rPr>
          <w:rFonts w:hint="eastAsia" w:ascii="宋体" w:hAnsi="宋体" w:eastAsia="宋体" w:cs="宋体"/>
          <w:color w:val="000000"/>
          <w:kern w:val="0"/>
          <w:sz w:val="24"/>
          <w:szCs w:val="24"/>
          <w:highlight w:val="none"/>
          <w:u w:val="single"/>
        </w:rPr>
        <w:t xml:space="preserve">                            </w:t>
      </w:r>
    </w:p>
    <w:p w14:paraId="67E9258C">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联系人：</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联系电话：</w:t>
      </w:r>
      <w:r>
        <w:rPr>
          <w:rFonts w:hint="eastAsia" w:ascii="宋体" w:hAnsi="宋体" w:eastAsia="宋体" w:cs="宋体"/>
          <w:color w:val="000000"/>
          <w:kern w:val="0"/>
          <w:sz w:val="24"/>
          <w:szCs w:val="24"/>
          <w:highlight w:val="none"/>
          <w:u w:val="single"/>
        </w:rPr>
        <w:t xml:space="preserve">                             </w:t>
      </w:r>
    </w:p>
    <w:p w14:paraId="734D0397">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授权代表：</w:t>
      </w:r>
      <w:r>
        <w:rPr>
          <w:rFonts w:hint="eastAsia" w:ascii="宋体" w:hAnsi="宋体" w:eastAsia="宋体" w:cs="宋体"/>
          <w:color w:val="000000"/>
          <w:kern w:val="0"/>
          <w:sz w:val="24"/>
          <w:szCs w:val="24"/>
          <w:highlight w:val="none"/>
          <w:u w:val="single"/>
        </w:rPr>
        <w:t xml:space="preserve">                                                           </w:t>
      </w:r>
    </w:p>
    <w:p w14:paraId="67804DBF">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联系电话：</w:t>
      </w:r>
      <w:r>
        <w:rPr>
          <w:rFonts w:hint="eastAsia" w:ascii="宋体" w:hAnsi="宋体" w:eastAsia="宋体" w:cs="宋体"/>
          <w:color w:val="000000"/>
          <w:kern w:val="0"/>
          <w:sz w:val="24"/>
          <w:szCs w:val="24"/>
          <w:highlight w:val="none"/>
          <w:u w:val="single"/>
        </w:rPr>
        <w:t xml:space="preserve">                                                           </w:t>
      </w:r>
    </w:p>
    <w:p w14:paraId="4C809CE2">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地址： </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邮编：</w:t>
      </w:r>
      <w:r>
        <w:rPr>
          <w:rFonts w:hint="eastAsia" w:ascii="宋体" w:hAnsi="宋体" w:eastAsia="宋体" w:cs="宋体"/>
          <w:color w:val="000000"/>
          <w:kern w:val="0"/>
          <w:sz w:val="24"/>
          <w:szCs w:val="24"/>
          <w:highlight w:val="none"/>
          <w:u w:val="single"/>
        </w:rPr>
        <w:t xml:space="preserve">                                </w:t>
      </w:r>
    </w:p>
    <w:p w14:paraId="5D89EDD6">
      <w:pPr>
        <w:wordWrap/>
        <w:topLinePunct w:val="0"/>
        <w:bidi w:val="0"/>
        <w:adjustRightInd w:val="0"/>
        <w:snapToGrid w:val="0"/>
        <w:spacing w:line="360" w:lineRule="auto"/>
        <w:ind w:firstLine="480" w:firstLineChars="200"/>
        <w:textAlignment w:val="auto"/>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二、质疑项目基本情况</w:t>
      </w:r>
    </w:p>
    <w:p w14:paraId="521E45EF">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质疑项目的名称：</w:t>
      </w:r>
      <w:r>
        <w:rPr>
          <w:rFonts w:hint="eastAsia" w:ascii="宋体" w:hAnsi="宋体" w:eastAsia="宋体" w:cs="宋体"/>
          <w:color w:val="000000"/>
          <w:kern w:val="0"/>
          <w:sz w:val="24"/>
          <w:szCs w:val="24"/>
          <w:highlight w:val="none"/>
          <w:u w:val="single"/>
        </w:rPr>
        <w:t xml:space="preserve">                                                     </w:t>
      </w:r>
    </w:p>
    <w:p w14:paraId="46598215">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质疑项目的编号：</w:t>
      </w:r>
      <w:r>
        <w:rPr>
          <w:rFonts w:hint="eastAsia" w:ascii="宋体" w:hAnsi="宋体" w:eastAsia="宋体" w:cs="宋体"/>
          <w:color w:val="000000"/>
          <w:kern w:val="0"/>
          <w:sz w:val="24"/>
          <w:szCs w:val="24"/>
          <w:highlight w:val="none"/>
          <w:u w:val="single"/>
        </w:rPr>
        <w:t xml:space="preserve">                         </w:t>
      </w:r>
      <w:r>
        <w:rPr>
          <w:rFonts w:hint="eastAsia" w:ascii="宋体" w:hAnsi="宋体" w:eastAsia="宋体" w:cs="宋体"/>
          <w:color w:val="000000"/>
          <w:kern w:val="0"/>
          <w:sz w:val="24"/>
          <w:szCs w:val="24"/>
          <w:highlight w:val="none"/>
        </w:rPr>
        <w:t>包号：</w:t>
      </w:r>
      <w:r>
        <w:rPr>
          <w:rFonts w:hint="eastAsia" w:ascii="宋体" w:hAnsi="宋体" w:eastAsia="宋体" w:cs="宋体"/>
          <w:color w:val="000000"/>
          <w:kern w:val="0"/>
          <w:sz w:val="24"/>
          <w:szCs w:val="24"/>
          <w:highlight w:val="none"/>
          <w:u w:val="single"/>
        </w:rPr>
        <w:t xml:space="preserve">                      </w:t>
      </w:r>
    </w:p>
    <w:p w14:paraId="2E50404F">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采购人名称：</w:t>
      </w:r>
      <w:r>
        <w:rPr>
          <w:rFonts w:hint="eastAsia" w:ascii="宋体" w:hAnsi="宋体" w:eastAsia="宋体" w:cs="宋体"/>
          <w:color w:val="000000"/>
          <w:kern w:val="0"/>
          <w:sz w:val="24"/>
          <w:szCs w:val="24"/>
          <w:highlight w:val="none"/>
          <w:u w:val="single"/>
        </w:rPr>
        <w:t xml:space="preserve">                                                         </w:t>
      </w:r>
    </w:p>
    <w:p w14:paraId="05E04138">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采购文件获取日期：</w:t>
      </w:r>
      <w:r>
        <w:rPr>
          <w:rFonts w:hint="eastAsia" w:ascii="宋体" w:hAnsi="宋体" w:eastAsia="宋体" w:cs="宋体"/>
          <w:color w:val="000000"/>
          <w:kern w:val="0"/>
          <w:sz w:val="24"/>
          <w:szCs w:val="24"/>
          <w:highlight w:val="none"/>
          <w:u w:val="single"/>
        </w:rPr>
        <w:t xml:space="preserve">                                                   </w:t>
      </w:r>
    </w:p>
    <w:p w14:paraId="638DFA5C">
      <w:pPr>
        <w:wordWrap/>
        <w:topLinePunct w:val="0"/>
        <w:bidi w:val="0"/>
        <w:adjustRightInd w:val="0"/>
        <w:snapToGrid w:val="0"/>
        <w:spacing w:line="360" w:lineRule="auto"/>
        <w:ind w:firstLine="480" w:firstLineChars="200"/>
        <w:textAlignment w:val="auto"/>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三、质疑事项具体内容</w:t>
      </w:r>
    </w:p>
    <w:p w14:paraId="399D7689">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质疑事项1：</w:t>
      </w:r>
      <w:r>
        <w:rPr>
          <w:rFonts w:hint="eastAsia" w:ascii="宋体" w:hAnsi="宋体" w:eastAsia="宋体" w:cs="宋体"/>
          <w:color w:val="000000"/>
          <w:kern w:val="0"/>
          <w:sz w:val="24"/>
          <w:szCs w:val="24"/>
          <w:highlight w:val="none"/>
          <w:u w:val="single"/>
        </w:rPr>
        <w:t xml:space="preserve">                                                          </w:t>
      </w:r>
    </w:p>
    <w:p w14:paraId="6646BC9A">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事实依据：</w:t>
      </w:r>
      <w:r>
        <w:rPr>
          <w:rFonts w:hint="eastAsia" w:ascii="宋体" w:hAnsi="宋体" w:eastAsia="宋体" w:cs="宋体"/>
          <w:color w:val="000000"/>
          <w:kern w:val="0"/>
          <w:sz w:val="24"/>
          <w:szCs w:val="24"/>
          <w:highlight w:val="none"/>
          <w:u w:val="single"/>
        </w:rPr>
        <w:t xml:space="preserve">                                                            </w:t>
      </w:r>
    </w:p>
    <w:p w14:paraId="4F1B10C5">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u w:val="single"/>
        </w:rPr>
        <w:t xml:space="preserve">                                                                      </w:t>
      </w:r>
    </w:p>
    <w:p w14:paraId="19D85AE3">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法律依据：</w:t>
      </w:r>
      <w:r>
        <w:rPr>
          <w:rFonts w:hint="eastAsia" w:ascii="宋体" w:hAnsi="宋体" w:eastAsia="宋体" w:cs="宋体"/>
          <w:color w:val="000000"/>
          <w:kern w:val="0"/>
          <w:sz w:val="24"/>
          <w:szCs w:val="24"/>
          <w:highlight w:val="none"/>
          <w:u w:val="single"/>
        </w:rPr>
        <w:t xml:space="preserve">                                                            </w:t>
      </w:r>
    </w:p>
    <w:p w14:paraId="1D2401C1">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u w:val="single"/>
        </w:rPr>
        <w:t xml:space="preserve">                                                                      </w:t>
      </w:r>
    </w:p>
    <w:p w14:paraId="7B4CD4A9">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质疑事项2</w:t>
      </w:r>
    </w:p>
    <w:p w14:paraId="2B871C1C">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w:t>
      </w:r>
    </w:p>
    <w:p w14:paraId="310C96B4">
      <w:pPr>
        <w:wordWrap/>
        <w:topLinePunct w:val="0"/>
        <w:bidi w:val="0"/>
        <w:adjustRightInd w:val="0"/>
        <w:snapToGrid w:val="0"/>
        <w:spacing w:line="360" w:lineRule="auto"/>
        <w:ind w:firstLine="480" w:firstLineChars="200"/>
        <w:textAlignment w:val="auto"/>
        <w:rPr>
          <w:rFonts w:hint="eastAsia" w:ascii="宋体" w:hAnsi="宋体" w:eastAsia="宋体" w:cs="宋体"/>
          <w:bCs/>
          <w:color w:val="000000"/>
          <w:kern w:val="0"/>
          <w:sz w:val="24"/>
          <w:szCs w:val="24"/>
          <w:highlight w:val="none"/>
        </w:rPr>
      </w:pPr>
      <w:r>
        <w:rPr>
          <w:rFonts w:hint="eastAsia" w:ascii="宋体" w:hAnsi="宋体" w:eastAsia="宋体" w:cs="宋体"/>
          <w:bCs/>
          <w:color w:val="000000"/>
          <w:kern w:val="0"/>
          <w:sz w:val="24"/>
          <w:szCs w:val="24"/>
          <w:highlight w:val="none"/>
        </w:rPr>
        <w:t>四、与质疑事项相关的质疑请求</w:t>
      </w:r>
    </w:p>
    <w:p w14:paraId="5910227D">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u w:val="single"/>
        </w:rPr>
      </w:pPr>
      <w:r>
        <w:rPr>
          <w:rFonts w:hint="eastAsia" w:ascii="宋体" w:hAnsi="宋体" w:eastAsia="宋体" w:cs="宋体"/>
          <w:color w:val="000000"/>
          <w:kern w:val="0"/>
          <w:sz w:val="24"/>
          <w:szCs w:val="24"/>
          <w:highlight w:val="none"/>
        </w:rPr>
        <w:t>请求：</w:t>
      </w:r>
      <w:r>
        <w:rPr>
          <w:rFonts w:hint="eastAsia" w:ascii="宋体" w:hAnsi="宋体" w:eastAsia="宋体" w:cs="宋体"/>
          <w:color w:val="000000"/>
          <w:kern w:val="0"/>
          <w:sz w:val="24"/>
          <w:szCs w:val="24"/>
          <w:highlight w:val="none"/>
          <w:u w:val="single"/>
        </w:rPr>
        <w:t xml:space="preserve">                                                                </w:t>
      </w:r>
    </w:p>
    <w:p w14:paraId="0FA5EA05">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签字（签章）：                   公章：                      </w:t>
      </w:r>
    </w:p>
    <w:p w14:paraId="5B77A534">
      <w:pPr>
        <w:wordWrap/>
        <w:topLinePunct w:val="0"/>
        <w:bidi w:val="0"/>
        <w:adjustRightInd w:val="0"/>
        <w:snapToGrid w:val="0"/>
        <w:spacing w:line="360" w:lineRule="auto"/>
        <w:ind w:firstLine="480" w:firstLineChars="200"/>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 xml:space="preserve">日期：    </w:t>
      </w:r>
    </w:p>
    <w:p w14:paraId="61C7382E">
      <w:pPr>
        <w:wordWrap/>
        <w:topLinePunct w:val="0"/>
        <w:bidi w:val="0"/>
        <w:adjustRightInd w:val="0"/>
        <w:snapToGrid w:val="0"/>
        <w:spacing w:line="360" w:lineRule="auto"/>
        <w:ind w:firstLine="482" w:firstLineChars="200"/>
        <w:textAlignment w:val="auto"/>
        <w:rPr>
          <w:rFonts w:hint="eastAsia" w:ascii="宋体" w:hAnsi="宋体" w:eastAsia="宋体" w:cs="宋体"/>
          <w:b/>
          <w:color w:val="000000"/>
          <w:kern w:val="0"/>
          <w:sz w:val="24"/>
          <w:szCs w:val="24"/>
          <w:highlight w:val="none"/>
        </w:rPr>
      </w:pPr>
      <w:r>
        <w:rPr>
          <w:rFonts w:hint="eastAsia" w:ascii="宋体" w:hAnsi="宋体" w:eastAsia="宋体" w:cs="宋体"/>
          <w:b/>
          <w:color w:val="000000"/>
          <w:kern w:val="0"/>
          <w:sz w:val="24"/>
          <w:szCs w:val="24"/>
          <w:highlight w:val="none"/>
        </w:rPr>
        <w:t>质疑函制作说明：</w:t>
      </w:r>
    </w:p>
    <w:p w14:paraId="7CBB621C">
      <w:pPr>
        <w:widowControl/>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1.供应商提出质疑时，应提交质疑函和必要的证明材料。</w:t>
      </w:r>
    </w:p>
    <w:p w14:paraId="02B5688F">
      <w:pPr>
        <w:widowControl/>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4DB62DF9">
      <w:pPr>
        <w:widowControl/>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3.质疑供应商若对项目的某一分包进行质疑，质疑函中应列明具体分包号。</w:t>
      </w:r>
    </w:p>
    <w:p w14:paraId="3AF21944">
      <w:pPr>
        <w:widowControl/>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4.质疑函的质疑事项应具体、明确，并有必要的事实依据和法律依据。</w:t>
      </w:r>
    </w:p>
    <w:p w14:paraId="01302844">
      <w:pPr>
        <w:widowControl/>
        <w:wordWrap/>
        <w:topLinePunct w:val="0"/>
        <w:bidi w:val="0"/>
        <w:adjustRightInd w:val="0"/>
        <w:snapToGrid w:val="0"/>
        <w:spacing w:line="360" w:lineRule="auto"/>
        <w:ind w:firstLine="480" w:firstLineChars="200"/>
        <w:jc w:val="left"/>
        <w:textAlignment w:val="auto"/>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5.质疑函的质疑请求应与质疑事项相关。</w:t>
      </w:r>
    </w:p>
    <w:p w14:paraId="22D05DDC">
      <w:pPr>
        <w:widowControl/>
        <w:wordWrap/>
        <w:topLinePunct w:val="0"/>
        <w:bidi w:val="0"/>
        <w:adjustRightInd w:val="0"/>
        <w:snapToGrid w:val="0"/>
        <w:spacing w:line="360" w:lineRule="auto"/>
        <w:ind w:firstLine="482" w:firstLineChars="200"/>
        <w:jc w:val="left"/>
        <w:textAlignment w:val="auto"/>
        <w:rPr>
          <w:rFonts w:hint="eastAsia" w:ascii="宋体" w:hAnsi="宋体" w:eastAsia="宋体" w:cs="宋体"/>
          <w:sz w:val="24"/>
          <w:szCs w:val="24"/>
          <w:highlight w:val="none"/>
        </w:rPr>
      </w:pPr>
      <w:r>
        <w:rPr>
          <w:rFonts w:hint="eastAsia" w:ascii="宋体" w:hAnsi="宋体" w:eastAsia="宋体" w:cs="宋体"/>
          <w:b/>
          <w:color w:val="FF0000"/>
          <w:kern w:val="0"/>
          <w:sz w:val="24"/>
          <w:szCs w:val="24"/>
          <w:highlight w:val="none"/>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5E09D">
    <w:pPr>
      <w:pStyle w:val="12"/>
      <w:jc w:val="center"/>
    </w:pPr>
  </w:p>
  <w:p w14:paraId="592496A6">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13421">
    <w:pPr>
      <w:pStyle w:val="12"/>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1084AB4">
                <w:pPr>
                  <w:pStyle w:val="12"/>
                </w:pPr>
                <w:r>
                  <w:fldChar w:fldCharType="begin"/>
                </w:r>
                <w:r>
                  <w:instrText xml:space="preserve"> PAGE  \* MERGEFORMAT </w:instrText>
                </w:r>
                <w:r>
                  <w:fldChar w:fldCharType="separate"/>
                </w:r>
                <w:r>
                  <w:t>1</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ZmZTZlNWIwMjllMTMwZjk1NzUwY2RmM2FjMjkxMGYifQ=="/>
    <w:docVar w:name="KSO_WPS_MARK_KEY" w:val="ab613955-5e8d-46c4-b1c0-eb89e114b325"/>
  </w:docVars>
  <w:rsids>
    <w:rsidRoot w:val="00650ECF"/>
    <w:rsid w:val="000103DE"/>
    <w:rsid w:val="00020927"/>
    <w:rsid w:val="00020FD1"/>
    <w:rsid w:val="000211B8"/>
    <w:rsid w:val="00021B04"/>
    <w:rsid w:val="00031567"/>
    <w:rsid w:val="00034494"/>
    <w:rsid w:val="000358B4"/>
    <w:rsid w:val="00050774"/>
    <w:rsid w:val="00057588"/>
    <w:rsid w:val="00070AAE"/>
    <w:rsid w:val="000716E2"/>
    <w:rsid w:val="00073803"/>
    <w:rsid w:val="000743C9"/>
    <w:rsid w:val="00074D14"/>
    <w:rsid w:val="00080423"/>
    <w:rsid w:val="00082324"/>
    <w:rsid w:val="00084128"/>
    <w:rsid w:val="0008632E"/>
    <w:rsid w:val="00090007"/>
    <w:rsid w:val="00097D02"/>
    <w:rsid w:val="000A55F0"/>
    <w:rsid w:val="000A5804"/>
    <w:rsid w:val="000A7B4F"/>
    <w:rsid w:val="000B681E"/>
    <w:rsid w:val="000C2197"/>
    <w:rsid w:val="000C4223"/>
    <w:rsid w:val="000D287C"/>
    <w:rsid w:val="000D4335"/>
    <w:rsid w:val="000D43A0"/>
    <w:rsid w:val="000D52E7"/>
    <w:rsid w:val="000D6AE0"/>
    <w:rsid w:val="000D7B23"/>
    <w:rsid w:val="000E1A31"/>
    <w:rsid w:val="001031C6"/>
    <w:rsid w:val="00111447"/>
    <w:rsid w:val="00111CE2"/>
    <w:rsid w:val="00111F90"/>
    <w:rsid w:val="0011455B"/>
    <w:rsid w:val="00117129"/>
    <w:rsid w:val="00121652"/>
    <w:rsid w:val="00122CA7"/>
    <w:rsid w:val="00124CDB"/>
    <w:rsid w:val="001707E4"/>
    <w:rsid w:val="00170931"/>
    <w:rsid w:val="00172AF3"/>
    <w:rsid w:val="0017368A"/>
    <w:rsid w:val="001749ED"/>
    <w:rsid w:val="00175B2D"/>
    <w:rsid w:val="00176F5D"/>
    <w:rsid w:val="0018088B"/>
    <w:rsid w:val="0018537C"/>
    <w:rsid w:val="00186AA1"/>
    <w:rsid w:val="00192C14"/>
    <w:rsid w:val="001952ED"/>
    <w:rsid w:val="001A49E9"/>
    <w:rsid w:val="001B3D99"/>
    <w:rsid w:val="001B4899"/>
    <w:rsid w:val="001C7396"/>
    <w:rsid w:val="001D2D37"/>
    <w:rsid w:val="001D43E1"/>
    <w:rsid w:val="001D65BF"/>
    <w:rsid w:val="001D7BE0"/>
    <w:rsid w:val="001D7DDB"/>
    <w:rsid w:val="001E17F5"/>
    <w:rsid w:val="001E5A8F"/>
    <w:rsid w:val="001F3F67"/>
    <w:rsid w:val="00207481"/>
    <w:rsid w:val="00216C92"/>
    <w:rsid w:val="00231199"/>
    <w:rsid w:val="0023477A"/>
    <w:rsid w:val="00234E1E"/>
    <w:rsid w:val="00240997"/>
    <w:rsid w:val="002515E5"/>
    <w:rsid w:val="00260933"/>
    <w:rsid w:val="002610A2"/>
    <w:rsid w:val="00267064"/>
    <w:rsid w:val="00282EFF"/>
    <w:rsid w:val="00286CFF"/>
    <w:rsid w:val="002945E0"/>
    <w:rsid w:val="0029572C"/>
    <w:rsid w:val="002C3CBD"/>
    <w:rsid w:val="002D0731"/>
    <w:rsid w:val="002D11C9"/>
    <w:rsid w:val="002D7D71"/>
    <w:rsid w:val="002E0F44"/>
    <w:rsid w:val="002E2567"/>
    <w:rsid w:val="002F1B9B"/>
    <w:rsid w:val="002F3C10"/>
    <w:rsid w:val="00302BA1"/>
    <w:rsid w:val="003106F0"/>
    <w:rsid w:val="00322D61"/>
    <w:rsid w:val="00325906"/>
    <w:rsid w:val="003260AF"/>
    <w:rsid w:val="00327788"/>
    <w:rsid w:val="00331D1C"/>
    <w:rsid w:val="003321E7"/>
    <w:rsid w:val="00334AA7"/>
    <w:rsid w:val="0034170D"/>
    <w:rsid w:val="003426AA"/>
    <w:rsid w:val="00347C08"/>
    <w:rsid w:val="0036088A"/>
    <w:rsid w:val="00360BE3"/>
    <w:rsid w:val="00361AC1"/>
    <w:rsid w:val="00382263"/>
    <w:rsid w:val="003847DD"/>
    <w:rsid w:val="00386C9C"/>
    <w:rsid w:val="00391AB0"/>
    <w:rsid w:val="0039499C"/>
    <w:rsid w:val="00395311"/>
    <w:rsid w:val="00397D44"/>
    <w:rsid w:val="003A0DD3"/>
    <w:rsid w:val="003A2C9E"/>
    <w:rsid w:val="003A4A0C"/>
    <w:rsid w:val="003B4B92"/>
    <w:rsid w:val="003B7DDF"/>
    <w:rsid w:val="003C0B2E"/>
    <w:rsid w:val="003C27EE"/>
    <w:rsid w:val="003C5666"/>
    <w:rsid w:val="003D22E5"/>
    <w:rsid w:val="003D5BF3"/>
    <w:rsid w:val="003E0884"/>
    <w:rsid w:val="003E6F4C"/>
    <w:rsid w:val="003E71D1"/>
    <w:rsid w:val="003E733E"/>
    <w:rsid w:val="003F293D"/>
    <w:rsid w:val="003F69AF"/>
    <w:rsid w:val="00415E0B"/>
    <w:rsid w:val="00416A75"/>
    <w:rsid w:val="0042030A"/>
    <w:rsid w:val="004212EE"/>
    <w:rsid w:val="00427293"/>
    <w:rsid w:val="00430426"/>
    <w:rsid w:val="00430519"/>
    <w:rsid w:val="00431E25"/>
    <w:rsid w:val="00432575"/>
    <w:rsid w:val="00440D9E"/>
    <w:rsid w:val="00444482"/>
    <w:rsid w:val="00445C9D"/>
    <w:rsid w:val="004534D2"/>
    <w:rsid w:val="00456EC1"/>
    <w:rsid w:val="0046021F"/>
    <w:rsid w:val="00465156"/>
    <w:rsid w:val="004710B1"/>
    <w:rsid w:val="004A673C"/>
    <w:rsid w:val="004B1219"/>
    <w:rsid w:val="004B33F0"/>
    <w:rsid w:val="004B52A5"/>
    <w:rsid w:val="004B57F3"/>
    <w:rsid w:val="004C3289"/>
    <w:rsid w:val="004D1F44"/>
    <w:rsid w:val="004D2123"/>
    <w:rsid w:val="004D7673"/>
    <w:rsid w:val="004F36BE"/>
    <w:rsid w:val="004F500D"/>
    <w:rsid w:val="00511292"/>
    <w:rsid w:val="00526FBF"/>
    <w:rsid w:val="005357B9"/>
    <w:rsid w:val="00540021"/>
    <w:rsid w:val="00547882"/>
    <w:rsid w:val="00554857"/>
    <w:rsid w:val="0056242B"/>
    <w:rsid w:val="005647D0"/>
    <w:rsid w:val="00566950"/>
    <w:rsid w:val="00570C1D"/>
    <w:rsid w:val="00570C69"/>
    <w:rsid w:val="00572EB8"/>
    <w:rsid w:val="00573370"/>
    <w:rsid w:val="00573AA7"/>
    <w:rsid w:val="0057594A"/>
    <w:rsid w:val="00575F17"/>
    <w:rsid w:val="0058001B"/>
    <w:rsid w:val="00582ABA"/>
    <w:rsid w:val="00594993"/>
    <w:rsid w:val="00594FE4"/>
    <w:rsid w:val="005A1AEC"/>
    <w:rsid w:val="005A3219"/>
    <w:rsid w:val="005A5F55"/>
    <w:rsid w:val="005A7226"/>
    <w:rsid w:val="005C155C"/>
    <w:rsid w:val="005D26EB"/>
    <w:rsid w:val="005D2770"/>
    <w:rsid w:val="005D2D2B"/>
    <w:rsid w:val="005D6FCC"/>
    <w:rsid w:val="005D7B37"/>
    <w:rsid w:val="00613096"/>
    <w:rsid w:val="006258E6"/>
    <w:rsid w:val="00626A6E"/>
    <w:rsid w:val="006376DA"/>
    <w:rsid w:val="00643A40"/>
    <w:rsid w:val="00650ECF"/>
    <w:rsid w:val="006619FE"/>
    <w:rsid w:val="00662BA9"/>
    <w:rsid w:val="00663D37"/>
    <w:rsid w:val="0067403A"/>
    <w:rsid w:val="00690E88"/>
    <w:rsid w:val="00691D20"/>
    <w:rsid w:val="006A231C"/>
    <w:rsid w:val="006B2B3D"/>
    <w:rsid w:val="006B304D"/>
    <w:rsid w:val="006B3B0D"/>
    <w:rsid w:val="006B5CE9"/>
    <w:rsid w:val="006C10B6"/>
    <w:rsid w:val="006C5827"/>
    <w:rsid w:val="006D0FEC"/>
    <w:rsid w:val="006E0A22"/>
    <w:rsid w:val="006E1081"/>
    <w:rsid w:val="006F3DCB"/>
    <w:rsid w:val="006F5392"/>
    <w:rsid w:val="00700F8E"/>
    <w:rsid w:val="007049DF"/>
    <w:rsid w:val="00715498"/>
    <w:rsid w:val="00716642"/>
    <w:rsid w:val="00716CE3"/>
    <w:rsid w:val="0071734E"/>
    <w:rsid w:val="00717CF6"/>
    <w:rsid w:val="00720764"/>
    <w:rsid w:val="00722F1E"/>
    <w:rsid w:val="0072492E"/>
    <w:rsid w:val="00726CC3"/>
    <w:rsid w:val="00733A02"/>
    <w:rsid w:val="00740802"/>
    <w:rsid w:val="00742852"/>
    <w:rsid w:val="00744474"/>
    <w:rsid w:val="00750CC6"/>
    <w:rsid w:val="0076558C"/>
    <w:rsid w:val="00781CCB"/>
    <w:rsid w:val="00785D62"/>
    <w:rsid w:val="00787B45"/>
    <w:rsid w:val="00787F75"/>
    <w:rsid w:val="007974AC"/>
    <w:rsid w:val="007A6267"/>
    <w:rsid w:val="007B2C5D"/>
    <w:rsid w:val="007B7E83"/>
    <w:rsid w:val="007C5DC0"/>
    <w:rsid w:val="007C7885"/>
    <w:rsid w:val="007D0E58"/>
    <w:rsid w:val="007D2291"/>
    <w:rsid w:val="007D49A3"/>
    <w:rsid w:val="007D76DA"/>
    <w:rsid w:val="007E0659"/>
    <w:rsid w:val="007F0330"/>
    <w:rsid w:val="007F2A14"/>
    <w:rsid w:val="007F65E1"/>
    <w:rsid w:val="008079AB"/>
    <w:rsid w:val="00816CD4"/>
    <w:rsid w:val="00817BF2"/>
    <w:rsid w:val="00817C57"/>
    <w:rsid w:val="00826AED"/>
    <w:rsid w:val="00833884"/>
    <w:rsid w:val="00855854"/>
    <w:rsid w:val="00863144"/>
    <w:rsid w:val="008676BB"/>
    <w:rsid w:val="008866D4"/>
    <w:rsid w:val="00887220"/>
    <w:rsid w:val="00892C5A"/>
    <w:rsid w:val="008A27B0"/>
    <w:rsid w:val="008A67B6"/>
    <w:rsid w:val="008B0364"/>
    <w:rsid w:val="008B098E"/>
    <w:rsid w:val="008C0BAF"/>
    <w:rsid w:val="008C16F9"/>
    <w:rsid w:val="008C38D0"/>
    <w:rsid w:val="008C496A"/>
    <w:rsid w:val="008C64C4"/>
    <w:rsid w:val="008C6E0E"/>
    <w:rsid w:val="008D12F1"/>
    <w:rsid w:val="008D492E"/>
    <w:rsid w:val="008E5CB5"/>
    <w:rsid w:val="008F0138"/>
    <w:rsid w:val="008F219B"/>
    <w:rsid w:val="00903269"/>
    <w:rsid w:val="009152A7"/>
    <w:rsid w:val="00915800"/>
    <w:rsid w:val="009204FE"/>
    <w:rsid w:val="009279A5"/>
    <w:rsid w:val="00933025"/>
    <w:rsid w:val="00936091"/>
    <w:rsid w:val="00957A6D"/>
    <w:rsid w:val="0096466B"/>
    <w:rsid w:val="009746F9"/>
    <w:rsid w:val="00977605"/>
    <w:rsid w:val="00987B6A"/>
    <w:rsid w:val="0099063C"/>
    <w:rsid w:val="00990E81"/>
    <w:rsid w:val="0099277F"/>
    <w:rsid w:val="00994BE2"/>
    <w:rsid w:val="009A1372"/>
    <w:rsid w:val="009A1DF7"/>
    <w:rsid w:val="009A6648"/>
    <w:rsid w:val="009B096B"/>
    <w:rsid w:val="009B5560"/>
    <w:rsid w:val="009B67A1"/>
    <w:rsid w:val="009C553D"/>
    <w:rsid w:val="009D3BDB"/>
    <w:rsid w:val="00A006C3"/>
    <w:rsid w:val="00A032DF"/>
    <w:rsid w:val="00A045A4"/>
    <w:rsid w:val="00A058AE"/>
    <w:rsid w:val="00A14470"/>
    <w:rsid w:val="00A20F7D"/>
    <w:rsid w:val="00A21093"/>
    <w:rsid w:val="00A224AB"/>
    <w:rsid w:val="00A36DA2"/>
    <w:rsid w:val="00A41382"/>
    <w:rsid w:val="00A41F3E"/>
    <w:rsid w:val="00A53026"/>
    <w:rsid w:val="00A55B41"/>
    <w:rsid w:val="00A629DB"/>
    <w:rsid w:val="00A77916"/>
    <w:rsid w:val="00A80099"/>
    <w:rsid w:val="00A847DE"/>
    <w:rsid w:val="00A85517"/>
    <w:rsid w:val="00A92605"/>
    <w:rsid w:val="00A96663"/>
    <w:rsid w:val="00AA2F43"/>
    <w:rsid w:val="00AA36F4"/>
    <w:rsid w:val="00AA48C3"/>
    <w:rsid w:val="00AA549B"/>
    <w:rsid w:val="00AA7C02"/>
    <w:rsid w:val="00AD061C"/>
    <w:rsid w:val="00AD138B"/>
    <w:rsid w:val="00AE6986"/>
    <w:rsid w:val="00AF4AB0"/>
    <w:rsid w:val="00AF4EFB"/>
    <w:rsid w:val="00AF54CA"/>
    <w:rsid w:val="00AF633B"/>
    <w:rsid w:val="00B07039"/>
    <w:rsid w:val="00B10D95"/>
    <w:rsid w:val="00B344D1"/>
    <w:rsid w:val="00B42C0E"/>
    <w:rsid w:val="00B53707"/>
    <w:rsid w:val="00B572CE"/>
    <w:rsid w:val="00B62782"/>
    <w:rsid w:val="00B65085"/>
    <w:rsid w:val="00B65E1A"/>
    <w:rsid w:val="00B674CE"/>
    <w:rsid w:val="00B734D7"/>
    <w:rsid w:val="00B768E5"/>
    <w:rsid w:val="00B80247"/>
    <w:rsid w:val="00BA550F"/>
    <w:rsid w:val="00BA6074"/>
    <w:rsid w:val="00BA702D"/>
    <w:rsid w:val="00BB0852"/>
    <w:rsid w:val="00BC7AAC"/>
    <w:rsid w:val="00BD3482"/>
    <w:rsid w:val="00BE71ED"/>
    <w:rsid w:val="00BE755B"/>
    <w:rsid w:val="00BF0475"/>
    <w:rsid w:val="00BF3CFC"/>
    <w:rsid w:val="00BF5B2A"/>
    <w:rsid w:val="00C01999"/>
    <w:rsid w:val="00C034F8"/>
    <w:rsid w:val="00C03BAE"/>
    <w:rsid w:val="00C11D54"/>
    <w:rsid w:val="00C1727A"/>
    <w:rsid w:val="00C22379"/>
    <w:rsid w:val="00C22B7B"/>
    <w:rsid w:val="00C24359"/>
    <w:rsid w:val="00C27D9F"/>
    <w:rsid w:val="00C31411"/>
    <w:rsid w:val="00C42188"/>
    <w:rsid w:val="00C57061"/>
    <w:rsid w:val="00C57E64"/>
    <w:rsid w:val="00C60265"/>
    <w:rsid w:val="00C61730"/>
    <w:rsid w:val="00C70FC4"/>
    <w:rsid w:val="00C7205F"/>
    <w:rsid w:val="00C80F87"/>
    <w:rsid w:val="00C90335"/>
    <w:rsid w:val="00C90B81"/>
    <w:rsid w:val="00C90DF4"/>
    <w:rsid w:val="00C9261F"/>
    <w:rsid w:val="00C97674"/>
    <w:rsid w:val="00CA0891"/>
    <w:rsid w:val="00CA143A"/>
    <w:rsid w:val="00CA53A4"/>
    <w:rsid w:val="00CA6875"/>
    <w:rsid w:val="00CD23F5"/>
    <w:rsid w:val="00CE07C6"/>
    <w:rsid w:val="00CE4F59"/>
    <w:rsid w:val="00CF0F23"/>
    <w:rsid w:val="00CF3DCA"/>
    <w:rsid w:val="00CF487D"/>
    <w:rsid w:val="00D0136F"/>
    <w:rsid w:val="00D0158D"/>
    <w:rsid w:val="00D05E98"/>
    <w:rsid w:val="00D069D1"/>
    <w:rsid w:val="00D15E63"/>
    <w:rsid w:val="00D177C0"/>
    <w:rsid w:val="00D2609C"/>
    <w:rsid w:val="00D266B1"/>
    <w:rsid w:val="00D3330C"/>
    <w:rsid w:val="00D55CF7"/>
    <w:rsid w:val="00D57678"/>
    <w:rsid w:val="00D62441"/>
    <w:rsid w:val="00D6255F"/>
    <w:rsid w:val="00D647D0"/>
    <w:rsid w:val="00D77B6A"/>
    <w:rsid w:val="00D8502C"/>
    <w:rsid w:val="00D860F1"/>
    <w:rsid w:val="00D8792E"/>
    <w:rsid w:val="00D95EF9"/>
    <w:rsid w:val="00D967AE"/>
    <w:rsid w:val="00D972A5"/>
    <w:rsid w:val="00DA3ADE"/>
    <w:rsid w:val="00DB66F4"/>
    <w:rsid w:val="00DC5025"/>
    <w:rsid w:val="00DE324C"/>
    <w:rsid w:val="00DE3709"/>
    <w:rsid w:val="00E12FF0"/>
    <w:rsid w:val="00E2377F"/>
    <w:rsid w:val="00E25FBB"/>
    <w:rsid w:val="00E428F0"/>
    <w:rsid w:val="00E4653F"/>
    <w:rsid w:val="00E70FA6"/>
    <w:rsid w:val="00E86138"/>
    <w:rsid w:val="00E8618A"/>
    <w:rsid w:val="00E863C6"/>
    <w:rsid w:val="00E91EEC"/>
    <w:rsid w:val="00E92B14"/>
    <w:rsid w:val="00E945AD"/>
    <w:rsid w:val="00EB1EA7"/>
    <w:rsid w:val="00EB31D2"/>
    <w:rsid w:val="00EB50CA"/>
    <w:rsid w:val="00ED09A1"/>
    <w:rsid w:val="00ED0FF1"/>
    <w:rsid w:val="00ED3031"/>
    <w:rsid w:val="00ED4175"/>
    <w:rsid w:val="00ED7DF6"/>
    <w:rsid w:val="00ED7E77"/>
    <w:rsid w:val="00EE564A"/>
    <w:rsid w:val="00EE5AE8"/>
    <w:rsid w:val="00EF1874"/>
    <w:rsid w:val="00EF6E0B"/>
    <w:rsid w:val="00EF777E"/>
    <w:rsid w:val="00F03A25"/>
    <w:rsid w:val="00F0710C"/>
    <w:rsid w:val="00F074CD"/>
    <w:rsid w:val="00F1130D"/>
    <w:rsid w:val="00F212C4"/>
    <w:rsid w:val="00F22407"/>
    <w:rsid w:val="00F24AD7"/>
    <w:rsid w:val="00F331CF"/>
    <w:rsid w:val="00F35504"/>
    <w:rsid w:val="00F41505"/>
    <w:rsid w:val="00F45D81"/>
    <w:rsid w:val="00F53136"/>
    <w:rsid w:val="00F55470"/>
    <w:rsid w:val="00F61CCB"/>
    <w:rsid w:val="00F66323"/>
    <w:rsid w:val="00F71639"/>
    <w:rsid w:val="00F7347F"/>
    <w:rsid w:val="00F73F25"/>
    <w:rsid w:val="00F7547D"/>
    <w:rsid w:val="00F80039"/>
    <w:rsid w:val="00F8115F"/>
    <w:rsid w:val="00F81796"/>
    <w:rsid w:val="00F862E7"/>
    <w:rsid w:val="00F92B77"/>
    <w:rsid w:val="00F947E0"/>
    <w:rsid w:val="00FA5614"/>
    <w:rsid w:val="00FA6641"/>
    <w:rsid w:val="00FA668D"/>
    <w:rsid w:val="00FB2497"/>
    <w:rsid w:val="00FC49CE"/>
    <w:rsid w:val="00FC5E6F"/>
    <w:rsid w:val="00FD0E6E"/>
    <w:rsid w:val="00FD5177"/>
    <w:rsid w:val="00FE2AD4"/>
    <w:rsid w:val="00FE3D58"/>
    <w:rsid w:val="00FE4A73"/>
    <w:rsid w:val="00FE65ED"/>
    <w:rsid w:val="00FF67E3"/>
    <w:rsid w:val="02AD42C7"/>
    <w:rsid w:val="02E66B31"/>
    <w:rsid w:val="043368D7"/>
    <w:rsid w:val="06E22A1E"/>
    <w:rsid w:val="087B746A"/>
    <w:rsid w:val="09E20C0D"/>
    <w:rsid w:val="0B841A89"/>
    <w:rsid w:val="0BEE144D"/>
    <w:rsid w:val="0C8B641E"/>
    <w:rsid w:val="0CB904AC"/>
    <w:rsid w:val="0D22734F"/>
    <w:rsid w:val="0D5C4415"/>
    <w:rsid w:val="0D6876AE"/>
    <w:rsid w:val="0EDE2090"/>
    <w:rsid w:val="106664A4"/>
    <w:rsid w:val="11F64A0A"/>
    <w:rsid w:val="12161D94"/>
    <w:rsid w:val="12493617"/>
    <w:rsid w:val="1271192D"/>
    <w:rsid w:val="12B224C6"/>
    <w:rsid w:val="12B57218"/>
    <w:rsid w:val="13D73A6F"/>
    <w:rsid w:val="14D06981"/>
    <w:rsid w:val="1539056C"/>
    <w:rsid w:val="153E5F25"/>
    <w:rsid w:val="154F6D89"/>
    <w:rsid w:val="15A132F3"/>
    <w:rsid w:val="1709274F"/>
    <w:rsid w:val="173C36AC"/>
    <w:rsid w:val="179B3F36"/>
    <w:rsid w:val="18361124"/>
    <w:rsid w:val="1B916FE3"/>
    <w:rsid w:val="1DF07639"/>
    <w:rsid w:val="1EFD4D65"/>
    <w:rsid w:val="1F8A5E61"/>
    <w:rsid w:val="1FC5785C"/>
    <w:rsid w:val="22313778"/>
    <w:rsid w:val="223907E0"/>
    <w:rsid w:val="22DD1E24"/>
    <w:rsid w:val="23290424"/>
    <w:rsid w:val="232D14A2"/>
    <w:rsid w:val="23E825C3"/>
    <w:rsid w:val="256242E5"/>
    <w:rsid w:val="2632078A"/>
    <w:rsid w:val="26496068"/>
    <w:rsid w:val="26BA1B9E"/>
    <w:rsid w:val="26E23AD2"/>
    <w:rsid w:val="27620E17"/>
    <w:rsid w:val="294414D6"/>
    <w:rsid w:val="29BC4C5A"/>
    <w:rsid w:val="2AC96CBB"/>
    <w:rsid w:val="2BE66377"/>
    <w:rsid w:val="2DC63C06"/>
    <w:rsid w:val="2E3E4E4C"/>
    <w:rsid w:val="2FA178A5"/>
    <w:rsid w:val="2FBA5D8D"/>
    <w:rsid w:val="2FEC48F7"/>
    <w:rsid w:val="31025C17"/>
    <w:rsid w:val="317651BA"/>
    <w:rsid w:val="31965197"/>
    <w:rsid w:val="31EE0FD8"/>
    <w:rsid w:val="32700B66"/>
    <w:rsid w:val="3304504E"/>
    <w:rsid w:val="342A06C4"/>
    <w:rsid w:val="35B2325A"/>
    <w:rsid w:val="35C0123F"/>
    <w:rsid w:val="3A7A7B33"/>
    <w:rsid w:val="3C0623F1"/>
    <w:rsid w:val="3C067405"/>
    <w:rsid w:val="3D7933CA"/>
    <w:rsid w:val="3DDB658B"/>
    <w:rsid w:val="3F2B50A1"/>
    <w:rsid w:val="3FCE4DC5"/>
    <w:rsid w:val="40005048"/>
    <w:rsid w:val="40C70F00"/>
    <w:rsid w:val="4291538C"/>
    <w:rsid w:val="430E4A18"/>
    <w:rsid w:val="43BA491F"/>
    <w:rsid w:val="44F63F31"/>
    <w:rsid w:val="467001B9"/>
    <w:rsid w:val="46A7492C"/>
    <w:rsid w:val="47E53695"/>
    <w:rsid w:val="48EA510A"/>
    <w:rsid w:val="49725CDD"/>
    <w:rsid w:val="497B2CDD"/>
    <w:rsid w:val="4B76658E"/>
    <w:rsid w:val="4B832B7C"/>
    <w:rsid w:val="4B9A2ED5"/>
    <w:rsid w:val="4C19341E"/>
    <w:rsid w:val="4C8124E3"/>
    <w:rsid w:val="4DDD2A92"/>
    <w:rsid w:val="4E037B64"/>
    <w:rsid w:val="4F196CF5"/>
    <w:rsid w:val="50416722"/>
    <w:rsid w:val="506F5A90"/>
    <w:rsid w:val="50BD0247"/>
    <w:rsid w:val="51B20A58"/>
    <w:rsid w:val="520F7A36"/>
    <w:rsid w:val="52A97E59"/>
    <w:rsid w:val="55383F28"/>
    <w:rsid w:val="553F1B2F"/>
    <w:rsid w:val="56E202E8"/>
    <w:rsid w:val="57515D56"/>
    <w:rsid w:val="57714CB1"/>
    <w:rsid w:val="592C2137"/>
    <w:rsid w:val="59B04427"/>
    <w:rsid w:val="59B13B5E"/>
    <w:rsid w:val="5A2B0735"/>
    <w:rsid w:val="5A494D85"/>
    <w:rsid w:val="5B022F52"/>
    <w:rsid w:val="5BC40154"/>
    <w:rsid w:val="5C7D3FFC"/>
    <w:rsid w:val="5CEF6B97"/>
    <w:rsid w:val="5D8335C1"/>
    <w:rsid w:val="5FD6518C"/>
    <w:rsid w:val="609505DF"/>
    <w:rsid w:val="615211E8"/>
    <w:rsid w:val="61F33182"/>
    <w:rsid w:val="620E3DBB"/>
    <w:rsid w:val="62124A13"/>
    <w:rsid w:val="62135FB4"/>
    <w:rsid w:val="621F0F37"/>
    <w:rsid w:val="62C6281F"/>
    <w:rsid w:val="6331001B"/>
    <w:rsid w:val="639756FF"/>
    <w:rsid w:val="65CF29E0"/>
    <w:rsid w:val="66387509"/>
    <w:rsid w:val="666C2A77"/>
    <w:rsid w:val="669B4BB4"/>
    <w:rsid w:val="66A21574"/>
    <w:rsid w:val="686804DB"/>
    <w:rsid w:val="68684A5C"/>
    <w:rsid w:val="68F123B3"/>
    <w:rsid w:val="69F547CB"/>
    <w:rsid w:val="6A2620F8"/>
    <w:rsid w:val="6AAC2E30"/>
    <w:rsid w:val="6C4B16CA"/>
    <w:rsid w:val="6E204755"/>
    <w:rsid w:val="6F734D7C"/>
    <w:rsid w:val="6FD607DD"/>
    <w:rsid w:val="72B95716"/>
    <w:rsid w:val="73542E93"/>
    <w:rsid w:val="74011DF2"/>
    <w:rsid w:val="74510143"/>
    <w:rsid w:val="746D5E06"/>
    <w:rsid w:val="74832C58"/>
    <w:rsid w:val="76166CA1"/>
    <w:rsid w:val="76975801"/>
    <w:rsid w:val="782201E3"/>
    <w:rsid w:val="78B763C8"/>
    <w:rsid w:val="7B0E1DDC"/>
    <w:rsid w:val="7BCF4DAA"/>
    <w:rsid w:val="7CAF0836"/>
    <w:rsid w:val="7CB92D05"/>
    <w:rsid w:val="7CF764E4"/>
    <w:rsid w:val="7D1B0A7E"/>
    <w:rsid w:val="7D8A1CB9"/>
    <w:rsid w:val="7DE04732"/>
    <w:rsid w:val="7DF978F1"/>
    <w:rsid w:val="7E9A331D"/>
    <w:rsid w:val="7EDD0F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5"/>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6"/>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24"/>
    <w:semiHidden/>
    <w:unhideWhenUsed/>
    <w:qFormat/>
    <w:uiPriority w:val="99"/>
    <w:rPr>
      <w:rFonts w:ascii="宋体" w:eastAsia="宋体"/>
      <w:sz w:val="18"/>
      <w:szCs w:val="18"/>
    </w:rPr>
  </w:style>
  <w:style w:type="paragraph" w:styleId="6">
    <w:name w:val="annotation text"/>
    <w:basedOn w:val="1"/>
    <w:link w:val="28"/>
    <w:qFormat/>
    <w:uiPriority w:val="0"/>
    <w:pPr>
      <w:spacing w:line="360" w:lineRule="auto"/>
      <w:ind w:firstLine="922" w:firstLineChars="200"/>
      <w:jc w:val="left"/>
    </w:pPr>
    <w:rPr>
      <w:rFonts w:ascii="Times New Roman" w:hAnsi="Times New Roman" w:eastAsia="宋体" w:cs="Times New Roman"/>
      <w:szCs w:val="24"/>
    </w:rPr>
  </w:style>
  <w:style w:type="paragraph" w:styleId="7">
    <w:name w:val="Body Text"/>
    <w:basedOn w:val="1"/>
    <w:next w:val="1"/>
    <w:semiHidden/>
    <w:unhideWhenUsed/>
    <w:qFormat/>
    <w:uiPriority w:val="99"/>
    <w:pPr>
      <w:spacing w:after="120" w:afterLines="0" w:afterAutospacing="0"/>
    </w:pPr>
  </w:style>
  <w:style w:type="paragraph" w:styleId="8">
    <w:name w:val="Body Text Indent"/>
    <w:qFormat/>
    <w:uiPriority w:val="0"/>
    <w:pPr>
      <w:widowControl w:val="0"/>
      <w:spacing w:before="240" w:line="360" w:lineRule="auto"/>
      <w:ind w:firstLine="552" w:firstLineChars="263"/>
      <w:jc w:val="both"/>
    </w:pPr>
    <w:rPr>
      <w:rFonts w:ascii="宋体" w:hAnsi="宋体" w:eastAsia="宋体" w:cs="Times New Roman"/>
      <w:kern w:val="2"/>
      <w:sz w:val="21"/>
      <w:szCs w:val="20"/>
      <w:lang w:val="en-US" w:eastAsia="zh-CN" w:bidi="ar-SA"/>
    </w:rPr>
  </w:style>
  <w:style w:type="paragraph" w:styleId="9">
    <w:name w:val="Plain Text"/>
    <w:basedOn w:val="1"/>
    <w:link w:val="31"/>
    <w:qFormat/>
    <w:uiPriority w:val="0"/>
    <w:rPr>
      <w:rFonts w:ascii="宋体" w:hAnsi="Courier New" w:eastAsia="宋体" w:cs="Times New Roman"/>
      <w:szCs w:val="20"/>
    </w:rPr>
  </w:style>
  <w:style w:type="paragraph" w:styleId="10">
    <w:name w:val="Date"/>
    <w:basedOn w:val="1"/>
    <w:next w:val="1"/>
    <w:link w:val="27"/>
    <w:semiHidden/>
    <w:unhideWhenUsed/>
    <w:qFormat/>
    <w:uiPriority w:val="99"/>
    <w:pPr>
      <w:ind w:left="100" w:leftChars="2500"/>
    </w:pPr>
  </w:style>
  <w:style w:type="paragraph" w:styleId="11">
    <w:name w:val="Balloon Text"/>
    <w:basedOn w:val="1"/>
    <w:link w:val="29"/>
    <w:semiHidden/>
    <w:unhideWhenUsed/>
    <w:qFormat/>
    <w:uiPriority w:val="99"/>
    <w:rPr>
      <w:sz w:val="18"/>
      <w:szCs w:val="18"/>
    </w:rPr>
  </w:style>
  <w:style w:type="paragraph" w:styleId="12">
    <w:name w:val="footer"/>
    <w:basedOn w:val="1"/>
    <w:link w:val="22"/>
    <w:unhideWhenUsed/>
    <w:qFormat/>
    <w:uiPriority w:val="99"/>
    <w:pPr>
      <w:tabs>
        <w:tab w:val="center" w:pos="4153"/>
        <w:tab w:val="right" w:pos="8306"/>
      </w:tabs>
      <w:snapToGrid w:val="0"/>
      <w:jc w:val="left"/>
    </w:pPr>
    <w:rPr>
      <w:sz w:val="18"/>
      <w:szCs w:val="18"/>
    </w:rPr>
  </w:style>
  <w:style w:type="paragraph" w:styleId="13">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unhideWhenUsed/>
    <w:qFormat/>
    <w:uiPriority w:val="39"/>
    <w:pPr>
      <w:tabs>
        <w:tab w:val="right" w:leader="dot" w:pos="8296"/>
      </w:tabs>
      <w:jc w:val="center"/>
    </w:pPr>
    <w:rPr>
      <w:rFonts w:ascii="黑体" w:hAnsi="黑体" w:eastAsia="黑体"/>
      <w:sz w:val="36"/>
      <w:szCs w:val="32"/>
    </w:rPr>
  </w:style>
  <w:style w:type="table" w:styleId="16">
    <w:name w:val="Table Grid"/>
    <w:basedOn w:val="1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qFormat/>
    <w:uiPriority w:val="99"/>
    <w:rPr>
      <w:color w:val="0000FF"/>
      <w:u w:val="none"/>
    </w:rPr>
  </w:style>
  <w:style w:type="character" w:styleId="19">
    <w:name w:val="annotation reference"/>
    <w:qFormat/>
    <w:uiPriority w:val="0"/>
    <w:rPr>
      <w:sz w:val="21"/>
      <w:szCs w:val="21"/>
    </w:rPr>
  </w:style>
  <w:style w:type="paragraph" w:customStyle="1" w:styleId="20">
    <w:name w:val="Default"/>
    <w:link w:val="30"/>
    <w:qFormat/>
    <w:uiPriority w:val="99"/>
    <w:pPr>
      <w:widowControl w:val="0"/>
      <w:autoSpaceDE w:val="0"/>
      <w:autoSpaceDN w:val="0"/>
      <w:adjustRightInd w:val="0"/>
    </w:pPr>
    <w:rPr>
      <w:rFonts w:ascii="MS Mincho" w:hAnsi="Calibri" w:eastAsia="宋体" w:cs="Times New Roman"/>
      <w:color w:val="000000"/>
      <w:kern w:val="2"/>
      <w:sz w:val="21"/>
      <w:szCs w:val="24"/>
      <w:lang w:val="en-US" w:eastAsia="zh-CN" w:bidi="ar-SA"/>
    </w:rPr>
  </w:style>
  <w:style w:type="character" w:customStyle="1" w:styleId="21">
    <w:name w:val="页眉 字符"/>
    <w:basedOn w:val="17"/>
    <w:link w:val="13"/>
    <w:qFormat/>
    <w:uiPriority w:val="99"/>
    <w:rPr>
      <w:sz w:val="18"/>
      <w:szCs w:val="18"/>
    </w:rPr>
  </w:style>
  <w:style w:type="character" w:customStyle="1" w:styleId="22">
    <w:name w:val="页脚 字符"/>
    <w:basedOn w:val="17"/>
    <w:link w:val="12"/>
    <w:qFormat/>
    <w:uiPriority w:val="99"/>
    <w:rPr>
      <w:sz w:val="18"/>
      <w:szCs w:val="18"/>
    </w:rPr>
  </w:style>
  <w:style w:type="character" w:customStyle="1" w:styleId="23">
    <w:name w:val="标题 1 字符"/>
    <w:basedOn w:val="17"/>
    <w:link w:val="2"/>
    <w:qFormat/>
    <w:uiPriority w:val="9"/>
    <w:rPr>
      <w:b/>
      <w:bCs/>
      <w:kern w:val="44"/>
      <w:sz w:val="44"/>
      <w:szCs w:val="44"/>
    </w:rPr>
  </w:style>
  <w:style w:type="character" w:customStyle="1" w:styleId="24">
    <w:name w:val="文档结构图 字符"/>
    <w:basedOn w:val="17"/>
    <w:link w:val="5"/>
    <w:semiHidden/>
    <w:qFormat/>
    <w:uiPriority w:val="99"/>
    <w:rPr>
      <w:rFonts w:ascii="宋体" w:eastAsia="宋体"/>
      <w:sz w:val="18"/>
      <w:szCs w:val="18"/>
    </w:rPr>
  </w:style>
  <w:style w:type="character" w:customStyle="1" w:styleId="25">
    <w:name w:val="标题 2 字符"/>
    <w:basedOn w:val="17"/>
    <w:link w:val="3"/>
    <w:qFormat/>
    <w:uiPriority w:val="9"/>
    <w:rPr>
      <w:rFonts w:asciiTheme="majorHAnsi" w:hAnsiTheme="majorHAnsi" w:eastAsiaTheme="majorEastAsia" w:cstheme="majorBidi"/>
      <w:b/>
      <w:bCs/>
      <w:sz w:val="32"/>
      <w:szCs w:val="32"/>
    </w:rPr>
  </w:style>
  <w:style w:type="character" w:customStyle="1" w:styleId="26">
    <w:name w:val="标题 3 字符"/>
    <w:basedOn w:val="17"/>
    <w:link w:val="4"/>
    <w:qFormat/>
    <w:uiPriority w:val="9"/>
    <w:rPr>
      <w:b/>
      <w:bCs/>
      <w:sz w:val="32"/>
      <w:szCs w:val="32"/>
    </w:rPr>
  </w:style>
  <w:style w:type="character" w:customStyle="1" w:styleId="27">
    <w:name w:val="日期 字符"/>
    <w:basedOn w:val="17"/>
    <w:link w:val="10"/>
    <w:semiHidden/>
    <w:qFormat/>
    <w:uiPriority w:val="99"/>
  </w:style>
  <w:style w:type="character" w:customStyle="1" w:styleId="28">
    <w:name w:val="批注文字 字符"/>
    <w:basedOn w:val="17"/>
    <w:link w:val="6"/>
    <w:qFormat/>
    <w:uiPriority w:val="0"/>
    <w:rPr>
      <w:rFonts w:ascii="Times New Roman" w:hAnsi="Times New Roman" w:eastAsia="宋体" w:cs="Times New Roman"/>
      <w:szCs w:val="24"/>
    </w:rPr>
  </w:style>
  <w:style w:type="character" w:customStyle="1" w:styleId="29">
    <w:name w:val="批注框文本 字符"/>
    <w:basedOn w:val="17"/>
    <w:link w:val="11"/>
    <w:semiHidden/>
    <w:qFormat/>
    <w:uiPriority w:val="99"/>
    <w:rPr>
      <w:sz w:val="18"/>
      <w:szCs w:val="18"/>
    </w:rPr>
  </w:style>
  <w:style w:type="character" w:customStyle="1" w:styleId="30">
    <w:name w:val="Default Char"/>
    <w:link w:val="20"/>
    <w:qFormat/>
    <w:locked/>
    <w:uiPriority w:val="99"/>
    <w:rPr>
      <w:rFonts w:ascii="MS Mincho" w:hAnsi="Calibri" w:eastAsia="宋体" w:cs="Times New Roman"/>
      <w:color w:val="000000"/>
      <w:szCs w:val="24"/>
    </w:rPr>
  </w:style>
  <w:style w:type="character" w:customStyle="1" w:styleId="31">
    <w:name w:val="纯文本 字符"/>
    <w:basedOn w:val="17"/>
    <w:link w:val="9"/>
    <w:qFormat/>
    <w:uiPriority w:val="0"/>
    <w:rPr>
      <w:rFonts w:ascii="宋体" w:hAnsi="Courier New" w:eastAsia="宋体" w:cs="Times New Roman"/>
      <w:szCs w:val="20"/>
    </w:rPr>
  </w:style>
  <w:style w:type="character" w:customStyle="1" w:styleId="32">
    <w:name w:val="NormalCharacter"/>
    <w:qFormat/>
    <w:uiPriority w:val="0"/>
  </w:style>
  <w:style w:type="paragraph" w:customStyle="1" w:styleId="33">
    <w:name w:val="HTML 预设格式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default" w:ascii="黑体" w:hAnsi="Courier New" w:eastAsia="黑体" w:cs="Times New Roman"/>
      <w:sz w:val="20"/>
      <w:szCs w:val="20"/>
      <w:lang w:val="en-US" w:eastAsia="zh-CN" w:bidi="ar-SA"/>
    </w:rPr>
  </w:style>
  <w:style w:type="paragraph" w:customStyle="1" w:styleId="34">
    <w:name w:val="普通正文"/>
    <w:qFormat/>
    <w:uiPriority w:val="0"/>
    <w:pPr>
      <w:widowControl w:val="0"/>
      <w:adjustRightInd w:val="0"/>
      <w:spacing w:before="120" w:after="120" w:line="360" w:lineRule="auto"/>
      <w:ind w:firstLine="480"/>
      <w:jc w:val="left"/>
      <w:textAlignment w:val="baseline"/>
    </w:pPr>
    <w:rPr>
      <w:rFonts w:ascii="Arial" w:hAnsi="Arial" w:eastAsia="宋体" w:cs="Times New Roman"/>
      <w:kern w:val="0"/>
      <w:sz w:val="24"/>
      <w:szCs w:val="24"/>
      <w:lang w:val="en-US" w:eastAsia="zh-CN" w:bidi="ar-SA"/>
    </w:rPr>
  </w:style>
  <w:style w:type="table" w:customStyle="1" w:styleId="35">
    <w:name w:val="TableGrid"/>
    <w:qFormat/>
    <w:uiPriority w:val="0"/>
    <w:pPr>
      <w:spacing w:after="0" w:line="240" w:lineRule="auto"/>
    </w:p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ntractReview xmlns="http://schemas.wps.cn/vas-ai-hub/contract-review">
  <reviewItems>
    <reviewItem>
      <errorID>f687c221-8848-4892-8734-26c13bd2e966</errorID>
      <errorWord>（</errorWord>
      <group>L1_Punc</group>
      <groupName>标点问题</groupName>
      <ability>L2_Punc</ability>
      <abilityName>标点符号检查</abilityName>
      <candidateList>
        <item/>
      </candidateList>
      <explain>同一形式括号套用。</explain>
      <paraID>65AD2F02</paraID>
      <start>58</start>
      <end>59</end>
      <status>unmodified</status>
      <modifiedWord/>
      <trackRevisions>false</trackRevisions>
    </reviewItem>
    <reviewItem>
      <errorID>86334c28-2149-4c99-b5b3-be31765a5187</errorID>
      <errorWord>(2020)46号</errorWord>
      <group>L1_Knowledge</group>
      <groupName>知识性问题</groupName>
      <ability>L2_Knowledge</ability>
      <abilityName>其他知识</abilityName>
      <candidateList>
        <item>〔2020〕46号</item>
      </candidateList>
      <explain>发文字号格式错误。</explain>
      <paraID>65AD2F02</paraID>
      <start>62</start>
      <end>71</end>
      <status>unmodified</status>
      <modifiedWord/>
      <trackRevisions>false</trackRevisions>
    </reviewItem>
    <reviewItem>
      <errorID>b09a02d8-cc15-4d7e-9f4f-1c2d96e0b813</errorID>
      <errorWord>）</errorWord>
      <group>L1_Punc</group>
      <groupName>标点问题</groupName>
      <ability>L2_Punc</ability>
      <abilityName>标点符号检查</abilityName>
      <candidateList/>
      <explain>同一形式括号套用。</explain>
      <paraID>65AD2F02</paraID>
      <start>71</start>
      <end>72</end>
      <status>unmodified</status>
      <modifiedWord/>
      <trackRevisions>false</trackRevisions>
    </reviewItem>
    <reviewItem>
      <errorID>b1165867-699b-4cb0-90e1-46fd16170351</errorID>
      <errorWord>上午0：00</errorWord>
      <group>L1_Knowledge</group>
      <groupName>知识性问题</groupName>
      <ability>L2_Time</ability>
      <abilityName>日期时间</abilityName>
      <candidateList/>
      <explain>时间与前缀不匹配，可能的时间前缀有“下午、晚上、凌晨、午夜”。</explain>
      <paraID>440CFD82</paraID>
      <start>27</start>
      <end>33</end>
      <status>unmodified</status>
      <modifiedWord/>
      <trackRevisions>false</trackRevisions>
    </reviewItem>
    <reviewItem>
      <errorID>af89aebc-973b-4138-b9c8-31328745a00b</errorID>
      <errorWord>[2022]002号</errorWord>
      <group>L1_Knowledge</group>
      <groupName>知识性问题</groupName>
      <ability>L2_Knowledge</ability>
      <abilityName>其他知识</abilityName>
      <candidateList>
        <item>〔2022〕2号</item>
      </candidateList>
      <explain>发文字号格式错误。</explain>
      <paraID>6AA77655</paraID>
      <start>20</start>
      <end>30</end>
      <status>ignored</status>
      <modifiedWord/>
      <trackRevisions>false</trackRevisions>
    </reviewItem>
    <reviewItem>
      <errorID>d9381365-0385-4342-bb79-f22f64502b65</errorID>
      <errorWord>间</errorWord>
      <group>L1_Word</group>
      <groupName>字词问题</groupName>
      <ability>L2_Typo</ability>
      <abilityName>字词错误</abilityName>
      <candidateList>
        <item>间之</item>
      </candidateList>
      <explain/>
      <paraID>7363EC21</paraID>
      <start>14</start>
      <end>15</end>
      <status>ignored</status>
      <modifiedWord/>
      <trackRevisions>false</trackRevisions>
    </reviewItem>
    <reviewItem>
      <errorID>f71448bd-1208-41db-a43c-ccfa8a022987</errorID>
      <errorWord>过程中涉及到</errorWord>
      <group>L1_Word</group>
      <groupName>字词问题</groupName>
      <ability>L2_Typo</ability>
      <abilityName>字词错误</abilityName>
      <candidateList>
        <item>过程中涉及</item>
      </candidateList>
      <explain/>
      <paraID>45F4B157</paraID>
      <start>15</start>
      <end>21</end>
      <status>ignored</status>
      <modifiedWord/>
      <trackRevisions>false</trackRevisions>
    </reviewItem>
    <reviewItem>
      <errorID>fd434f1a-08d2-453c-a3af-b63fe4eb9954</errorID>
      <errorWord>保持通讯畅通</errorWord>
      <group>L1_Word</group>
      <groupName>字词问题</groupName>
      <ability>L2_Typo</ability>
      <abilityName>字词错误</abilityName>
      <candidateList>
        <item>保持通信畅通</item>
      </candidateList>
      <explain/>
      <paraID>5DB24401</paraID>
      <start>34</start>
      <end>40</end>
      <status>ignored</status>
      <modifiedWord/>
      <trackRevisions>false</trackRevisions>
    </reviewItem>
    <reviewItem>
      <errorID>b944fe37-d08a-424e-ab36-2d15ca6d3ecf</errorID>
      <errorWord>国家发改委</errorWord>
      <group>L1_Knowledge</group>
      <groupName>知识性问题</groupName>
      <ability>L2_Knowledge</ability>
      <abilityName>其他知识</abilityName>
      <candidateList>
        <item>国家发展改革委</item>
      </candidateList>
      <explain/>
      <paraID>23A294C1</paraID>
      <start>19</start>
      <end>24</end>
      <status>ignored</status>
      <modifiedWord/>
      <trackRevisions>false</trackRevisions>
    </reviewItem>
    <reviewItem>
      <errorID>ce7f7b57-03f4-4c05-ab74-837962e26dd8</errorID>
      <errorWord>法律、法规</errorWord>
      <group>L1_Word</group>
      <groupName>字词问题</groupName>
      <ability>L2_Typo</ability>
      <abilityName>字词错误</abilityName>
      <candidateList>
        <item>法律法规</item>
      </candidateList>
      <explain/>
      <paraID>56DF8846</paraID>
      <start>6</start>
      <end>11</end>
      <status>ignored</status>
      <modifiedWord/>
      <trackRevisions>false</trackRevisions>
    </reviewItem>
    <reviewItem>
      <errorID>abf4ba15-4550-4d87-bb79-8cbcb7188177</errorID>
      <errorWord>法律、法规</errorWord>
      <group>L1_Word</group>
      <groupName>字词问题</groupName>
      <ability>L2_Typo</ability>
      <abilityName>字词错误</abilityName>
      <candidateList>
        <item>法律法规</item>
      </candidateList>
      <explain/>
      <paraID> 35A3689</paraID>
      <start>14</start>
      <end>19</end>
      <status>ignored</status>
      <modifiedWord/>
      <trackRevisions>false</trackRevisions>
    </reviewItem>
    <reviewItem>
      <errorID>197c7400-8e66-459f-8042-e625d8b4dfea</errorID>
      <errorWord>&lt;</errorWord>
      <group>L1_Format</group>
      <groupName>格式问题</groupName>
      <ability>L2_HalfPunc</ability>
      <abilityName>全半角检查</abilityName>
      <candidateList>
        <item>〈</item>
      </candidateList>
      <explain>文本全半角错误。</explain>
      <paraID> 7971529</paraID>
      <start>15</start>
      <end>16</end>
      <status>unmodified</status>
      <modifiedWord/>
      <trackRevisions>false</trackRevisions>
    </reviewItem>
    <reviewItem>
      <errorID>3eea7ef3-c187-4a2d-9a71-668db8cfdfa7</errorID>
      <errorWord>&gt;的通知》</errorWord>
      <group>L1_Punc</group>
      <groupName>标点问题</groupName>
      <ability>L2_Punc</ability>
      <abilityName>标点符号检查</abilityName>
      <candidateList>
        <item>〉的通知》</item>
      </candidateList>
      <explain/>
      <paraID> 7971529</paraID>
      <start>32</start>
      <end>37</end>
      <status>unmodified</status>
      <modifiedWord/>
      <trackRevisions>false</trackRevisions>
    </reviewItem>
    <reviewItem>
      <errorID>c472ddc4-5d77-466d-ac1b-e8aef04e6253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3101D23C</paraID>
      <start>96</start>
      <end>99</end>
      <status>ignored</status>
      <modifiedWord/>
      <trackRevisions>false</trackRevisions>
    </reviewItem>
    <reviewItem>
      <errorID>9c78a65d-6af1-4991-9efa-4e25d09797f4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29</start>
      <end>32</end>
      <status>ignored</status>
      <modifiedWord/>
      <trackRevisions>false</trackRevisions>
    </reviewItem>
    <reviewItem>
      <errorID>f967c83b-cef6-445e-adec-4ba1580eb809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53</start>
      <end>56</end>
      <status>ignored</status>
      <modifiedWord/>
      <trackRevisions>false</trackRevisions>
    </reviewItem>
    <reviewItem>
      <errorID>7c5130ad-e085-47ed-a3b9-5d8c769d766b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78</start>
      <end>81</end>
      <status>ignored</status>
      <modifiedWord/>
      <trackRevisions>false</trackRevisions>
    </reviewItem>
    <reviewItem>
      <errorID>2089d092-6a40-4d43-b407-eef67c2e6a2c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103</start>
      <end>106</end>
      <status>ignored</status>
      <modifiedWord/>
      <trackRevisions>false</trackRevisions>
    </reviewItem>
    <reviewItem>
      <errorID>51de49b6-a1fd-4785-b84f-755d7500043c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125</start>
      <end>128</end>
      <status>ignored</status>
      <modifiedWord/>
      <trackRevisions>false</trackRevisions>
    </reviewItem>
    <reviewItem>
      <errorID>750c984f-3207-4b1c-b625-b4a122a38512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149</start>
      <end>152</end>
      <status>ignored</status>
      <modifiedWord/>
      <trackRevisions>false</trackRevisions>
    </reviewItem>
    <reviewItem>
      <errorID>6a8e367d-3684-48b6-b051-dd75fa625827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277FA050</paraID>
      <start>172</start>
      <end>175</end>
      <status>ignored</status>
      <modifiedWord/>
      <trackRevisions>false</trackRevisions>
    </reviewItem>
    <reviewItem>
      <errorID>01efa6c1-4d1a-4701-9435-1489b83d9179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DEB4450</paraID>
      <start>75</start>
      <end>78</end>
      <status>ignored</status>
      <modifiedWord/>
      <trackRevisions>false</trackRevisions>
    </reviewItem>
    <reviewItem>
      <errorID>e55df78a-9ec5-4444-92bc-29c95475a1a0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6D741115</paraID>
      <start>26</start>
      <end>29</end>
      <status>ignored</status>
      <modifiedWord/>
      <trackRevisions>false</trackRevisions>
    </reviewItem>
    <reviewItem>
      <errorID>8c42804c-f811-46a3-aadd-ee0729ad4f34</errorID>
      <errorWord>国家生态环境部</errorWord>
      <group>L1_Political</group>
      <groupName>政治性问题</groupName>
      <ability>L2_Unpolitical</ability>
      <abilityName>政治敏感错误</abilityName>
      <candidateList>
        <item>生态环境部</item>
      </candidateList>
      <explain/>
      <paraID>7FF8F0FB</paraID>
      <start>2</start>
      <end>9</end>
      <status>unmodified</status>
      <modifiedWord/>
      <trackRevisions>false</trackRevisions>
    </reviewItem>
    <reviewItem>
      <errorID>b8cd97e7-26b7-4830-a0e3-834cc1510376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7FF8F0FB</paraID>
      <start>50</start>
      <end>53</end>
      <status>ignored</status>
      <modifiedWord/>
      <trackRevisions>false</trackRevisions>
    </reviewItem>
    <reviewItem>
      <errorID>6ff9aa0b-577e-4c50-9ad0-dfcc966a3e72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163E8C86</paraID>
      <start>15</start>
      <end>18</end>
      <status>ignored</status>
      <modifiedWord/>
      <trackRevisions>false</trackRevisions>
    </reviewItem>
    <reviewItem>
      <errorID>7e229ba0-4c85-4f69-8d64-02e9dc3ba627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163E8C86</paraID>
      <start>132</start>
      <end>135</end>
      <status>ignored</status>
      <modifiedWord/>
      <trackRevisions>false</trackRevisions>
    </reviewItem>
    <reviewItem>
      <errorID>8b5e1e02-43dc-41e6-a186-47da7a74c833</errorID>
      <errorWord>若是</errorWord>
      <group>L1_Word</group>
      <groupName>字词问题</groupName>
      <ability>L2_Typo</ability>
      <abilityName>字词错误</abilityName>
      <candidateList>
        <item>若</item>
      </candidateList>
      <explain/>
      <paraID>2FD54D8A</paraID>
      <start>3</start>
      <end>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CF87AE-9FD5-431C-A523-DCF71D81B41E}">
  <ds:schemaRefs/>
</ds:datastoreItem>
</file>

<file path=customXml/itemProps3.xml><?xml version="1.0" encoding="utf-8"?>
<ds:datastoreItem xmlns:ds="http://schemas.openxmlformats.org/officeDocument/2006/customXml" ds:itemID="{8a54df59-ab37-4c28-895f-a3c50dadec97}">
  <ds:schemaRefs/>
</ds:datastoreItem>
</file>

<file path=docProps/app.xml><?xml version="1.0" encoding="utf-8"?>
<Properties xmlns="http://schemas.openxmlformats.org/officeDocument/2006/extended-properties" xmlns:vt="http://schemas.openxmlformats.org/officeDocument/2006/docPropsVTypes">
  <Template>Normal</Template>
  <Pages>64</Pages>
  <Words>18269</Words>
  <Characters>19590</Characters>
  <Lines>206</Lines>
  <Paragraphs>58</Paragraphs>
  <TotalTime>0</TotalTime>
  <ScaleCrop>false</ScaleCrop>
  <LinksUpToDate>false</LinksUpToDate>
  <CharactersWithSpaces>20340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“苏采云”竞争性磋商服务范本</cp:category>
  <dcterms:created xsi:type="dcterms:W3CDTF">2024-01-04T03:50:00Z</dcterms:created>
  <dc:creator>连云港市公共资源交易中心</dc:creator>
  <dc:description>2024年4月16日修订</dc:description>
  <cp:lastModifiedBy>Unique</cp:lastModifiedBy>
  <cp:lastPrinted>2024-04-15T02:12:00Z</cp:lastPrinted>
  <dcterms:modified xsi:type="dcterms:W3CDTF">2026-07-10T03:19:20Z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49C394EC64554A67AF2C9B761E17F3F2</vt:lpwstr>
  </property>
  <property fmtid="{D5CDD505-2E9C-101B-9397-08002B2CF9AE}" pid="4" name="KSOTemplateDocerSaveRecord">
    <vt:lpwstr>eyJoZGlkIjoiZmZlZTVhMzMzMjAwOWU1ZWFjY2NlMDMwMzNjNmU4NGYiLCJ1c2VySWQiOiI0MjcwNjY3NzQifQ==</vt:lpwstr>
  </property>
</Properties>
</file>