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eastAsia="宋体" w:cs="宋体"/>
          <w:b/>
          <w:bCs/>
          <w:strike w:val="0"/>
          <w:color w:val="auto"/>
          <w:sz w:val="36"/>
          <w:highlight w:val="none"/>
          <w:lang w:eastAsia="zh-CN"/>
        </w:rPr>
        <w:t xml:space="preserve">JSZC-321000-SWGC-G2026-0089号</w:t>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lang w:eastAsia="zh-CN"/>
        </w:rPr>
        <w:t xml:space="preserve">江苏省扬州技师学院工业机器人应用与维护专业专项公共实训基地建设项目</w:t>
      </w:r>
      <w:r>
        <w:rPr>
          <w:rFonts w:hint="eastAsia" w:ascii="Times New Roman" w:hAnsi="Times New Roman" w:eastAsia="宋体" w:cs="宋体"/>
          <w:b/>
          <w:bCs/>
          <w:color w:val="auto"/>
          <w:sz w:val="36"/>
          <w:highlight w:val="none"/>
        </w:rPr>
        <w:t xml:space="preserve">公开招标文件</w:t>
      </w:r>
      <w:r/>
    </w:p>
    <w:p>
      <w:pPr>
        <w:pStyle w:val="970"/>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ascii="Times New Roman" w:hAnsi="Times New Roman" w:eastAsia="宋体" w:cs="宋体"/>
          <w:color w:val="auto"/>
          <w:sz w:val="24"/>
          <w:szCs w:val="24"/>
          <w:highlight w:val="none"/>
        </w:rPr>
        <w:fldChar w:fldCharType="begin"/>
      </w:r>
      <w:r>
        <w:rPr>
          <w:rFonts w:ascii="Times New Roman" w:hAnsi="Times New Roman" w:eastAsia="宋体" w:cs="宋体"/>
          <w:color w:val="auto"/>
          <w:sz w:val="24"/>
          <w:szCs w:val="24"/>
          <w:highlight w:val="none"/>
        </w:rPr>
        <w:instrText xml:space="preserve">INCLUDEPICTURE \d "https://www.yzjsxy.com/upload/News/202210/19/2_2.jpg" \* MERGEFORMATINET </w:instrText>
      </w:r>
      <w:r>
        <w:rPr>
          <w:rFonts w:ascii="Times New Roman" w:hAnsi="Times New Roman" w:eastAsia="宋体" w:cs="宋体"/>
          <w:color w:val="auto"/>
          <w:sz w:val="24"/>
          <w:szCs w:val="24"/>
          <w:highlight w:val="none"/>
        </w:rPr>
        <w:fldChar w:fldCharType="separate"/>
      </w:r>
      <w:r>
        <w:rPr>
          <w:rFonts w:ascii="Times New Roman" w:hAnsi="Times New Roman" w:eastAsia="宋体" w:cs="宋体"/>
          <w:color w:val="auto"/>
          <w:sz w:val="24"/>
          <w:szCs w:val="24"/>
          <w:highlight w:val="none"/>
        </w:rPr>
        <mc:AlternateContent>
          <mc:Choice Requires="wpg">
            <w:drawing>
              <wp:inline xmlns:wp="http://schemas.openxmlformats.org/drawingml/2006/wordprocessingDrawing" distT="0" distB="0" distL="0" distR="0">
                <wp:extent cx="5354955" cy="3568065"/>
                <wp:effectExtent l="0" t="0" r="17145" b="1333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5354955" cy="3568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1.6pt;height:280.9pt;mso-wrap-distance-left:0.0pt;mso-wrap-distance-top:0.0pt;mso-wrap-distance-right:0.0pt;mso-wrap-distance-bottom:0.0pt;" stroked="f">
                <v:path textboxrect="0,0,0,0"/>
                <v:imagedata r:id="rId14" o:title=""/>
              </v:shape>
            </w:pict>
          </mc:Fallback>
        </mc:AlternateContent>
      </w:r>
      <w:r>
        <w:rPr>
          <w:rFonts w:ascii="Times New Roman" w:hAnsi="Times New Roman" w:eastAsia="宋体" w:cs="宋体"/>
          <w:color w:val="auto"/>
          <w:sz w:val="24"/>
          <w:szCs w:val="24"/>
          <w:highlight w:val="none"/>
        </w:rPr>
        <w:fldChar w:fldCharType="end"/>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eastAsia" w:ascii="Times New Roman" w:hAnsi="Times New Roman" w:eastAsia="宋体" w:cs="宋体"/>
          <w:b/>
          <w:bCs/>
          <w:color w:val="auto"/>
          <w:sz w:val="36"/>
          <w:highlight w:val="none"/>
          <w:lang w:val="en-US" w:eastAsia="zh-CN"/>
        </w:rPr>
        <w:t xml:space="preserve">07</w:t>
      </w:r>
      <w:r>
        <w:rPr>
          <w:rFonts w:hint="eastAsia" w:ascii="Times New Roman" w:hAnsi="Times New Roman" w:eastAsia="宋体"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28</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none"/>
        </w:rPr>
      </w:r>
      <w:r/>
    </w:p>
    <w:p>
      <w:pPr>
        <w:pStyle w:val="98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ageBreakBefore w:val="0"/>
        <w:spacing w:line="360" w:lineRule="auto"/>
        <w:rPr>
          <w:rFonts w:hint="eastAsia" w:ascii="Times New Roman" w:hAnsi="Times New Roman" w:eastAsia="宋体" w:cs="宋体"/>
          <w:color w:val="auto"/>
          <w:sz w:val="32"/>
          <w:szCs w:val="32"/>
          <w:highlight w:val="none"/>
          <w:lang w:val="en-US" w:eastAsia="zh-CN" w:bidi="ar-SA"/>
        </w:rPr>
      </w:pPr>
      <w:r>
        <w:rPr>
          <w:rFonts w:hint="eastAsia" w:ascii="Times New Roman" w:hAnsi="Times New Roman" w:eastAsia="宋体" w:cs="宋体"/>
          <w:color w:val="auto"/>
          <w:sz w:val="32"/>
          <w:szCs w:val="32"/>
          <w:highlight w:val="none"/>
          <w:lang w:val="en-US" w:eastAsia="zh-CN" w:bidi="ar-SA"/>
        </w:rPr>
      </w:r>
      <w:r/>
    </w:p>
    <w:sdt>
      <w:sdtPr>
        <w15:appearance w15:val="boundingBox"/>
        <w15:color w:val="dbdbdb"/>
        <w:id w:val="147461274"/>
        <w:docPartObj>
          <w:docPartGallery w:val="Table of Contents"/>
          <w:docPartUnique w:val="true"/>
        </w:docPartObj>
        <w:rPr>
          <w:rFonts w:hint="default"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sz w:val="30"/>
              <w:szCs w:val="30"/>
            </w:rPr>
          </w:pPr>
          <w:r>
            <w:rPr>
              <w:rFonts w:ascii="宋体" w:hAnsi="宋体" w:eastAsia="宋体"/>
              <w:color w:val="auto"/>
              <w:sz w:val="30"/>
              <w:szCs w:val="30"/>
            </w:rPr>
            <w:t xml:space="preserve">目录</w:t>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TOC \o "1-1" \h \u </w:instrText>
          </w:r>
          <w:r>
            <w:rPr>
              <w:rFonts w:hint="eastAsia"/>
              <w:color w:val="auto"/>
              <w:sz w:val="30"/>
              <w:szCs w:val="30"/>
            </w:rPr>
            <w:fldChar w:fldCharType="separate"/>
          </w:r>
          <w:r>
            <w:rPr>
              <w:rFonts w:hint="eastAsia"/>
              <w:color w:val="auto"/>
              <w:sz w:val="30"/>
              <w:szCs w:val="30"/>
            </w:rPr>
            <w:fldChar w:fldCharType="begin"/>
          </w:r>
          <w:r>
            <w:rPr>
              <w:rFonts w:hint="eastAsia"/>
              <w:color w:val="auto"/>
              <w:sz w:val="30"/>
              <w:szCs w:val="30"/>
            </w:rPr>
            <w:instrText xml:space="preserve"> HYPERLINK \l _Toc24386 </w:instrText>
          </w:r>
          <w:r>
            <w:rPr>
              <w:rFonts w:hint="eastAsia"/>
              <w:color w:val="auto"/>
              <w:sz w:val="30"/>
              <w:szCs w:val="30"/>
            </w:rPr>
            <w:fldChar w:fldCharType="separate"/>
          </w:r>
          <w:r>
            <w:rPr>
              <w:rFonts w:hint="eastAsia" w:ascii="Times New Roman" w:hAnsi="Times New Roman" w:eastAsia="宋体"/>
              <w:color w:val="auto"/>
              <w:sz w:val="30"/>
              <w:szCs w:val="30"/>
              <w:highlight w:val="none"/>
            </w:rPr>
            <w:t xml:space="preserve">第一章 采购公告</w:t>
          </w:r>
          <w:r>
            <w:rPr>
              <w:color w:val="auto"/>
              <w:sz w:val="30"/>
              <w:szCs w:val="30"/>
            </w:rPr>
            <w:tab/>
          </w:r>
          <w:r>
            <w:rPr>
              <w:color w:val="auto"/>
              <w:sz w:val="30"/>
              <w:szCs w:val="30"/>
            </w:rPr>
            <w:fldChar w:fldCharType="begin"/>
          </w:r>
          <w:r>
            <w:rPr>
              <w:color w:val="auto"/>
              <w:sz w:val="30"/>
              <w:szCs w:val="30"/>
            </w:rPr>
            <w:instrText xml:space="preserve"> PAGEREF _Toc24386 \h </w:instrText>
          </w:r>
          <w:r>
            <w:rPr>
              <w:color w:val="auto"/>
              <w:sz w:val="30"/>
              <w:szCs w:val="30"/>
            </w:rPr>
            <w:fldChar w:fldCharType="separate"/>
          </w:r>
          <w:r>
            <w:rPr>
              <w:color w:val="auto"/>
              <w:sz w:val="30"/>
              <w:szCs w:val="30"/>
            </w:rPr>
            <w:t xml:space="preserve">1</w:t>
          </w:r>
          <w:r>
            <w:rPr>
              <w:color w:val="auto"/>
              <w:sz w:val="30"/>
              <w:szCs w:val="30"/>
            </w:rPr>
            <w:fldChar w:fldCharType="end"/>
          </w:r>
          <w:r>
            <w:rPr>
              <w:rFonts w:hint="eastAsia"/>
              <w:color w:val="auto"/>
              <w:sz w:val="30"/>
              <w:szCs w:val="30"/>
            </w:rPr>
            <w:fldChar w:fldCharType="end"/>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 HYPERLINK \l _Toc23235 </w:instrText>
          </w:r>
          <w:r>
            <w:rPr>
              <w:rFonts w:hint="eastAsia"/>
              <w:color w:val="auto"/>
              <w:sz w:val="30"/>
              <w:szCs w:val="30"/>
            </w:rPr>
            <w:fldChar w:fldCharType="separate"/>
          </w:r>
          <w:r>
            <w:rPr>
              <w:rFonts w:hint="eastAsia" w:ascii="Times New Roman" w:hAnsi="Times New Roman" w:eastAsia="宋体"/>
              <w:color w:val="auto"/>
              <w:sz w:val="30"/>
              <w:szCs w:val="30"/>
              <w:highlight w:val="none"/>
            </w:rPr>
            <w:t xml:space="preserve">第二章 投标人须知</w:t>
          </w:r>
          <w:r>
            <w:rPr>
              <w:color w:val="auto"/>
              <w:sz w:val="30"/>
              <w:szCs w:val="30"/>
            </w:rPr>
            <w:tab/>
          </w:r>
          <w:r>
            <w:rPr>
              <w:color w:val="auto"/>
              <w:sz w:val="30"/>
              <w:szCs w:val="30"/>
            </w:rPr>
            <w:fldChar w:fldCharType="begin"/>
          </w:r>
          <w:r>
            <w:rPr>
              <w:color w:val="auto"/>
              <w:sz w:val="30"/>
              <w:szCs w:val="30"/>
            </w:rPr>
            <w:instrText xml:space="preserve"> PAGEREF _Toc23235 \h </w:instrText>
          </w:r>
          <w:r>
            <w:rPr>
              <w:color w:val="auto"/>
              <w:sz w:val="30"/>
              <w:szCs w:val="30"/>
            </w:rPr>
            <w:fldChar w:fldCharType="separate"/>
          </w:r>
          <w:r>
            <w:rPr>
              <w:color w:val="auto"/>
              <w:sz w:val="30"/>
              <w:szCs w:val="30"/>
            </w:rPr>
            <w:t xml:space="preserve">5</w:t>
          </w:r>
          <w:r>
            <w:rPr>
              <w:color w:val="auto"/>
              <w:sz w:val="30"/>
              <w:szCs w:val="30"/>
            </w:rPr>
            <w:fldChar w:fldCharType="end"/>
          </w:r>
          <w:r>
            <w:rPr>
              <w:rFonts w:hint="eastAsia"/>
              <w:color w:val="auto"/>
              <w:sz w:val="30"/>
              <w:szCs w:val="30"/>
            </w:rPr>
            <w:fldChar w:fldCharType="end"/>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 HYPERLINK \l _Toc18307 </w:instrText>
          </w:r>
          <w:r>
            <w:rPr>
              <w:rFonts w:hint="eastAsia"/>
              <w:color w:val="auto"/>
              <w:sz w:val="30"/>
              <w:szCs w:val="30"/>
            </w:rPr>
            <w:fldChar w:fldCharType="separate"/>
          </w:r>
          <w:r>
            <w:rPr>
              <w:rFonts w:hint="eastAsia" w:ascii="Times New Roman" w:hAnsi="Times New Roman" w:eastAsia="宋体"/>
              <w:color w:val="auto"/>
              <w:sz w:val="30"/>
              <w:szCs w:val="30"/>
              <w:highlight w:val="none"/>
            </w:rPr>
            <w:t xml:space="preserve">第三章 合同条款及格式</w:t>
          </w:r>
          <w:r>
            <w:rPr>
              <w:color w:val="auto"/>
              <w:sz w:val="30"/>
              <w:szCs w:val="30"/>
            </w:rPr>
            <w:tab/>
          </w:r>
          <w:r>
            <w:rPr>
              <w:color w:val="auto"/>
              <w:sz w:val="30"/>
              <w:szCs w:val="30"/>
            </w:rPr>
            <w:fldChar w:fldCharType="begin"/>
          </w:r>
          <w:r>
            <w:rPr>
              <w:color w:val="auto"/>
              <w:sz w:val="30"/>
              <w:szCs w:val="30"/>
            </w:rPr>
            <w:instrText xml:space="preserve"> PAGEREF _Toc18307 \h </w:instrText>
          </w:r>
          <w:r>
            <w:rPr>
              <w:color w:val="auto"/>
              <w:sz w:val="30"/>
              <w:szCs w:val="30"/>
            </w:rPr>
            <w:fldChar w:fldCharType="separate"/>
          </w:r>
          <w:r>
            <w:rPr>
              <w:color w:val="auto"/>
              <w:sz w:val="30"/>
              <w:szCs w:val="30"/>
            </w:rPr>
            <w:t xml:space="preserve">17</w:t>
          </w:r>
          <w:r>
            <w:rPr>
              <w:color w:val="auto"/>
              <w:sz w:val="30"/>
              <w:szCs w:val="30"/>
            </w:rPr>
            <w:fldChar w:fldCharType="end"/>
          </w:r>
          <w:r>
            <w:rPr>
              <w:rFonts w:hint="eastAsia"/>
              <w:color w:val="auto"/>
              <w:sz w:val="30"/>
              <w:szCs w:val="30"/>
            </w:rPr>
            <w:fldChar w:fldCharType="end"/>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 HYPERLINK \l _Toc17457 </w:instrText>
          </w:r>
          <w:r>
            <w:rPr>
              <w:rFonts w:hint="eastAsia"/>
              <w:color w:val="auto"/>
              <w:sz w:val="30"/>
              <w:szCs w:val="30"/>
            </w:rPr>
            <w:fldChar w:fldCharType="separate"/>
          </w:r>
          <w:r>
            <w:rPr>
              <w:rFonts w:hint="eastAsia" w:ascii="Times New Roman" w:hAnsi="Times New Roman" w:eastAsia="宋体" w:cs="Arial"/>
              <w:color w:val="auto"/>
              <w:sz w:val="30"/>
              <w:szCs w:val="30"/>
              <w:lang w:val="en-US" w:eastAsia="zh-CN" w:bidi="ar-SA"/>
            </w:rPr>
            <w:t xml:space="preserve">第四章 </w:t>
          </w:r>
          <w:r>
            <w:rPr>
              <w:rFonts w:hint="eastAsia" w:ascii="Times New Roman" w:hAnsi="Times New Roman" w:eastAsia="宋体"/>
              <w:color w:val="auto"/>
              <w:sz w:val="30"/>
              <w:szCs w:val="30"/>
              <w:highlight w:val="none"/>
            </w:rPr>
            <w:t xml:space="preserve">项目需求</w:t>
          </w:r>
          <w:r>
            <w:rPr>
              <w:color w:val="auto"/>
              <w:sz w:val="30"/>
              <w:szCs w:val="30"/>
            </w:rPr>
            <w:tab/>
          </w:r>
          <w:r>
            <w:rPr>
              <w:color w:val="auto"/>
              <w:sz w:val="30"/>
              <w:szCs w:val="30"/>
            </w:rPr>
            <w:fldChar w:fldCharType="begin"/>
          </w:r>
          <w:r>
            <w:rPr>
              <w:color w:val="auto"/>
              <w:sz w:val="30"/>
              <w:szCs w:val="30"/>
            </w:rPr>
            <w:instrText xml:space="preserve"> PAGEREF _Toc17457 \h </w:instrText>
          </w:r>
          <w:r>
            <w:rPr>
              <w:color w:val="auto"/>
              <w:sz w:val="30"/>
              <w:szCs w:val="30"/>
            </w:rPr>
            <w:fldChar w:fldCharType="separate"/>
          </w:r>
          <w:r>
            <w:rPr>
              <w:color w:val="auto"/>
              <w:sz w:val="30"/>
              <w:szCs w:val="30"/>
            </w:rPr>
            <w:t xml:space="preserve">23</w:t>
          </w:r>
          <w:r>
            <w:rPr>
              <w:color w:val="auto"/>
              <w:sz w:val="30"/>
              <w:szCs w:val="30"/>
            </w:rPr>
            <w:fldChar w:fldCharType="end"/>
          </w:r>
          <w:r>
            <w:rPr>
              <w:rFonts w:hint="eastAsia"/>
              <w:color w:val="auto"/>
              <w:sz w:val="30"/>
              <w:szCs w:val="30"/>
            </w:rPr>
            <w:fldChar w:fldCharType="end"/>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 HYPERLINK \l _Toc9033 </w:instrText>
          </w:r>
          <w:r>
            <w:rPr>
              <w:rFonts w:hint="eastAsia"/>
              <w:color w:val="auto"/>
              <w:sz w:val="30"/>
              <w:szCs w:val="30"/>
            </w:rPr>
            <w:fldChar w:fldCharType="separate"/>
          </w:r>
          <w:r>
            <w:rPr>
              <w:rFonts w:hint="eastAsia" w:ascii="Times New Roman" w:hAnsi="Times New Roman" w:eastAsia="宋体"/>
              <w:color w:val="auto"/>
              <w:sz w:val="30"/>
              <w:szCs w:val="30"/>
              <w:highlight w:val="none"/>
            </w:rPr>
            <w:t xml:space="preserve">第五章 评标方法及评标标准</w:t>
          </w:r>
          <w:r>
            <w:rPr>
              <w:color w:val="auto"/>
              <w:sz w:val="30"/>
              <w:szCs w:val="30"/>
            </w:rPr>
            <w:tab/>
          </w:r>
          <w:r>
            <w:rPr>
              <w:color w:val="auto"/>
              <w:sz w:val="30"/>
              <w:szCs w:val="30"/>
            </w:rPr>
            <w:fldChar w:fldCharType="begin"/>
          </w:r>
          <w:r>
            <w:rPr>
              <w:color w:val="auto"/>
              <w:sz w:val="30"/>
              <w:szCs w:val="30"/>
            </w:rPr>
            <w:instrText xml:space="preserve"> PAGEREF _Toc9033 \h </w:instrText>
          </w:r>
          <w:r>
            <w:rPr>
              <w:color w:val="auto"/>
              <w:sz w:val="30"/>
              <w:szCs w:val="30"/>
            </w:rPr>
            <w:fldChar w:fldCharType="separate"/>
          </w:r>
          <w:r>
            <w:rPr>
              <w:color w:val="auto"/>
              <w:sz w:val="30"/>
              <w:szCs w:val="30"/>
            </w:rPr>
            <w:t xml:space="preserve">59</w:t>
          </w:r>
          <w:r>
            <w:rPr>
              <w:color w:val="auto"/>
              <w:sz w:val="30"/>
              <w:szCs w:val="30"/>
            </w:rPr>
            <w:fldChar w:fldCharType="end"/>
          </w:r>
          <w:r>
            <w:rPr>
              <w:rFonts w:hint="eastAsia"/>
              <w:color w:val="auto"/>
              <w:sz w:val="30"/>
              <w:szCs w:val="30"/>
            </w:rPr>
            <w:fldChar w:fldCharType="end"/>
          </w:r>
          <w:r/>
        </w:p>
        <w:p>
          <w:pPr>
            <w:pStyle w:val="744"/>
            <w:tabs>
              <w:tab w:val="right" w:pos="8306" w:leader="dot"/>
            </w:tabs>
            <w:rPr>
              <w:color w:val="auto"/>
              <w:sz w:val="30"/>
              <w:szCs w:val="30"/>
            </w:rPr>
          </w:pPr>
          <w:r>
            <w:rPr>
              <w:rFonts w:hint="eastAsia"/>
              <w:color w:val="auto"/>
              <w:sz w:val="30"/>
              <w:szCs w:val="30"/>
            </w:rPr>
            <w:fldChar w:fldCharType="begin"/>
          </w:r>
          <w:r>
            <w:rPr>
              <w:rFonts w:hint="eastAsia"/>
              <w:color w:val="auto"/>
              <w:sz w:val="30"/>
              <w:szCs w:val="30"/>
            </w:rPr>
            <w:instrText xml:space="preserve"> HYPERLINK \l _Toc27845 </w:instrText>
          </w:r>
          <w:r>
            <w:rPr>
              <w:rFonts w:hint="eastAsia"/>
              <w:color w:val="auto"/>
              <w:sz w:val="30"/>
              <w:szCs w:val="30"/>
            </w:rPr>
            <w:fldChar w:fldCharType="separate"/>
          </w:r>
          <w:r>
            <w:rPr>
              <w:rFonts w:hint="eastAsia" w:ascii="Times New Roman" w:hAnsi="Times New Roman" w:eastAsia="宋体"/>
              <w:color w:val="auto"/>
              <w:sz w:val="30"/>
              <w:szCs w:val="30"/>
              <w:highlight w:val="none"/>
            </w:rPr>
            <w:t xml:space="preserve">第六章 投标文件格式</w:t>
          </w:r>
          <w:r>
            <w:rPr>
              <w:color w:val="auto"/>
              <w:sz w:val="30"/>
              <w:szCs w:val="30"/>
            </w:rPr>
            <w:tab/>
          </w:r>
          <w:r>
            <w:rPr>
              <w:color w:val="auto"/>
              <w:sz w:val="30"/>
              <w:szCs w:val="30"/>
            </w:rPr>
            <w:fldChar w:fldCharType="begin"/>
          </w:r>
          <w:r>
            <w:rPr>
              <w:color w:val="auto"/>
              <w:sz w:val="30"/>
              <w:szCs w:val="30"/>
            </w:rPr>
            <w:instrText xml:space="preserve"> PAGEREF _Toc27845 \h </w:instrText>
          </w:r>
          <w:r>
            <w:rPr>
              <w:color w:val="auto"/>
              <w:sz w:val="30"/>
              <w:szCs w:val="30"/>
            </w:rPr>
            <w:fldChar w:fldCharType="separate"/>
          </w:r>
          <w:r>
            <w:rPr>
              <w:color w:val="auto"/>
              <w:sz w:val="30"/>
              <w:szCs w:val="30"/>
            </w:rPr>
            <w:t xml:space="preserve">64</w:t>
          </w:r>
          <w:r>
            <w:rPr>
              <w:color w:val="auto"/>
              <w:sz w:val="30"/>
              <w:szCs w:val="30"/>
            </w:rPr>
            <w:fldChar w:fldCharType="end"/>
          </w:r>
          <w:r>
            <w:rPr>
              <w:rFonts w:hint="eastAsia"/>
              <w:color w:val="auto"/>
              <w:sz w:val="30"/>
              <w:szCs w:val="30"/>
            </w:rPr>
            <w:fldChar w:fldCharType="end"/>
          </w:r>
          <w:r/>
        </w:p>
        <w:p>
          <w:pPr>
            <w:rPr>
              <w:rFonts w:hint="eastAsia" w:ascii="Calibri" w:hAnsi="Calibri" w:eastAsia="宋体" w:cs="Times New Roman"/>
              <w:color w:val="auto"/>
              <w:sz w:val="21"/>
              <w:szCs w:val="22"/>
              <w:lang w:val="en-US" w:eastAsia="zh-CN" w:bidi="ar-SA"/>
            </w:rPr>
          </w:pPr>
          <w:r>
            <w:rPr>
              <w:rFonts w:hint="eastAsia"/>
              <w:color w:val="auto"/>
              <w:sz w:val="30"/>
              <w:szCs w:val="30"/>
            </w:rPr>
            <w:fldChar w:fldCharType="end"/>
          </w:r>
          <w:r/>
        </w:p>
      </w:sdtContent>
    </w:sdt>
    <w:p>
      <w:pPr>
        <w:rPr>
          <w:rFonts w:hint="eastAsia" w:ascii="Calibri" w:hAnsi="Calibri" w:eastAsia="宋体" w:cs="Times New Roman"/>
          <w:color w:val="auto"/>
          <w:sz w:val="21"/>
          <w:szCs w:val="22"/>
          <w:lang w:val="en-US" w:eastAsia="zh-CN"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Calibri" w:hAnsi="Calibri" w:eastAsia="宋体" w:cs="Times New Roman"/>
          <w:color w:val="auto"/>
          <w:sz w:val="21"/>
          <w:szCs w:val="22"/>
          <w:lang w:val="en-US" w:eastAsia="zh-CN" w:bidi="ar-SA"/>
        </w:rPr>
      </w:r>
      <w:r/>
    </w:p>
    <w:p>
      <w:pPr>
        <w:pStyle w:val="717"/>
        <w:pageBreakBefore w:val="0"/>
        <w:spacing w:line="360" w:lineRule="auto"/>
        <w:rPr>
          <w:rFonts w:ascii="Times New Roman" w:hAnsi="Times New Roman" w:eastAsia="宋体"/>
          <w:color w:val="auto"/>
          <w:highlight w:val="none"/>
        </w:rPr>
      </w:pPr>
      <w:r/>
      <w:bookmarkStart w:id="0" w:name="_Toc27131"/>
      <w:r/>
      <w:bookmarkStart w:id="1" w:name="_Toc24386"/>
      <w:r/>
      <w:bookmarkStart w:id="2" w:name="_Toc13036"/>
      <w:r>
        <w:rPr>
          <w:rFonts w:hint="eastAsia" w:ascii="Times New Roman" w:hAnsi="Times New Roman" w:eastAsia="宋体"/>
          <w:color w:val="auto"/>
          <w:highlight w:val="none"/>
        </w:rPr>
        <w:t xml:space="preserve">第一章 </w:t>
      </w:r>
      <w:bookmarkStart w:id="3" w:name="_Toc28446"/>
      <w:r/>
      <w:bookmarkStart w:id="4" w:name="_Toc27417"/>
      <w:r>
        <w:rPr>
          <w:rFonts w:hint="eastAsia" w:ascii="Times New Roman" w:hAnsi="Times New Roman" w:eastAsia="宋体"/>
          <w:color w:val="auto"/>
          <w:highlight w:val="none"/>
        </w:rPr>
        <w:t xml:space="preserve">采购公告</w:t>
      </w:r>
      <w:bookmarkEnd w:id="0"/>
      <w:r/>
      <w:bookmarkEnd w:id="1"/>
      <w:r/>
      <w:bookmarkEnd w:id="2"/>
      <w:r/>
      <w:bookmarkEnd w:id="3"/>
      <w:r/>
      <w:bookmarkEnd w:id="4"/>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江苏省扬州技师学院</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s="宋体"/>
          <w:color w:val="auto"/>
          <w:highlight w:val="none"/>
          <w:lang w:eastAsia="zh-CN"/>
        </w:rPr>
        <w:t xml:space="preserve">江苏省扬州技师学院工业机器人应用与维护专业专项公共实训基地建设项目</w:t>
      </w:r>
      <w:r>
        <w:rPr>
          <w:rFonts w:hint="eastAsia" w:ascii="Times New Roman" w:hAnsi="Times New Roman" w:eastAsia="宋体" w:cs="宋体"/>
          <w:color w:val="auto"/>
          <w:highlight w:val="none"/>
        </w:rPr>
        <w:t xml:space="preserve">（</w:t>
      </w:r>
      <w:r>
        <w:rPr>
          <w:rFonts w:hint="eastAsia" w:ascii="Times New Roman" w:hAnsi="Times New Roman" w:eastAsia="宋体" w:cs="宋体"/>
          <w:color w:val="auto"/>
          <w:szCs w:val="21"/>
          <w:highlight w:val="none"/>
          <w:lang w:eastAsia="zh-CN"/>
        </w:rPr>
        <w:t xml:space="preserve">JSZC-321000-SWGC-G2026-0089号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highlight w:val="none"/>
          <w:u w:val="single"/>
          <w:lang w:eastAsia="zh-CN"/>
        </w:rPr>
        <w:t xml:space="preserve">江苏省扬州技师学院工业机器人应用与维护专业专项公共实训基地建设项目</w:t>
      </w:r>
      <w:r>
        <w:rPr>
          <w:rFonts w:hint="eastAsia" w:ascii="Times New Roman" w:hAnsi="Times New Roman" w:eastAsia="宋体" w:cs="宋体"/>
          <w:color w:val="auto"/>
          <w:highlight w:val="none"/>
        </w:rPr>
        <w:t xml:space="preserve">的潜在投标人可在</w:t>
      </w:r>
      <w:r>
        <w:rPr>
          <w:rFonts w:hint="eastAsia" w:ascii="Times New Roman" w:hAnsi="Times New Roman" w:cs="宋体"/>
          <w:color w:val="auto"/>
          <w:highlight w:val="none"/>
          <w:u w:val="single"/>
          <w:lang w:eastAsia="zh-CN"/>
        </w:rPr>
        <w:t xml:space="preserve">“扬州市政府采购网”</w:t>
      </w:r>
      <w:r>
        <w:rPr>
          <w:rFonts w:hint="eastAsia" w:ascii="Times New Roman" w:hAnsi="Times New Roman" w:cs="宋体"/>
          <w:color w:val="auto"/>
          <w:highlight w:val="none"/>
          <w:u w:val="single"/>
          <w:lang w:eastAsia="zh-CN"/>
        </w:rPr>
        <w:t xml:space="preserve">、</w:t>
      </w:r>
      <w:r>
        <w:rPr>
          <w:rFonts w:hint="eastAsia" w:ascii="Times New Roman" w:hAnsi="Times New Roman" w:cs="宋体"/>
          <w:color w:val="auto"/>
          <w:highlight w:val="none"/>
          <w:u w:val="single"/>
          <w:lang w:eastAsia="zh-CN"/>
        </w:rPr>
        <w:t xml:space="preserve">“江苏省政府采购网”和“中国政府采购网”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eastAsia="宋体" w:cs="宋体"/>
          <w:bCs/>
          <w:color w:val="auto"/>
          <w:highlight w:val="none"/>
          <w:u w:val="single"/>
          <w:lang w:val="en-US" w:eastAsia="zh-CN"/>
        </w:rPr>
        <w:t xml:space="preserve">08</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18</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上午9:30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5" w:name="_Toc35393621"/>
      <w:r/>
      <w:bookmarkStart w:id="6" w:name="_Toc38985263"/>
      <w:r/>
      <w:bookmarkStart w:id="7" w:name="_Toc28359079"/>
      <w:r/>
      <w:bookmarkStart w:id="8" w:name="_Toc28359002"/>
      <w:r/>
      <w:bookmarkStart w:id="9" w:name="_Toc35393790"/>
      <w:r/>
      <w:bookmarkStart w:id="10" w:name="_Hlk24379207"/>
      <w:r>
        <w:rPr>
          <w:rFonts w:hint="eastAsia" w:ascii="Times New Roman" w:hAnsi="Times New Roman" w:eastAsia="宋体" w:cs="宋体"/>
          <w:b/>
          <w:bCs/>
          <w:color w:val="auto"/>
          <w:highlight w:val="none"/>
        </w:rPr>
        <w:t xml:space="preserve">一、项目基本情况</w:t>
      </w:r>
      <w:bookmarkEnd w:id="5"/>
      <w:r/>
      <w:bookmarkEnd w:id="6"/>
      <w:r/>
      <w:bookmarkEnd w:id="7"/>
      <w:r/>
      <w:bookmarkEnd w:id="8"/>
      <w:r/>
      <w:bookmarkEnd w:id="9"/>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eastAsia="宋体" w:cs="宋体"/>
          <w:color w:val="auto"/>
          <w:szCs w:val="21"/>
          <w:highlight w:val="none"/>
          <w:lang w:eastAsia="zh-CN"/>
        </w:rPr>
        <w:t xml:space="preserve">JSZC-321000-SWGC-G2026-0089号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0"/>
      <w:r>
        <w:rPr>
          <w:rFonts w:hint="eastAsia" w:ascii="Times New Roman" w:hAnsi="Times New Roman" w:eastAsia="宋体" w:cs="宋体"/>
          <w:color w:val="auto"/>
          <w:highlight w:val="none"/>
          <w:lang w:eastAsia="zh-CN"/>
        </w:rPr>
        <w:t xml:space="preserve">江苏省扬州技师学院工业机器人应用与维护专业专项公共实训基地建设项目</w:t>
      </w:r>
      <w:r/>
    </w:p>
    <w:p>
      <w:pPr>
        <w:ind w:firstLine="420"/>
        <w:pageBreakBefore w:val="0"/>
        <w:spacing w:line="360" w:lineRule="auto"/>
        <w:rPr>
          <w:rFonts w:hint="default" w:ascii="Times New Roman" w:hAnsi="Times New Roman" w:eastAsia="宋体"/>
          <w:color w:val="auto"/>
          <w:sz w:val="21"/>
          <w:szCs w:val="21"/>
          <w:highlight w:val="none"/>
          <w:lang w:val="en-US"/>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eastAsia="宋体" w:cs="宋体"/>
          <w:color w:val="auto"/>
          <w:sz w:val="21"/>
          <w:szCs w:val="21"/>
          <w:highlight w:val="none"/>
          <w:lang w:val="en-US" w:eastAsia="zh-CN"/>
        </w:rPr>
        <w:t xml:space="preserve">215万元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w:t>
      </w:r>
      <w:r>
        <w:rPr>
          <w:rFonts w:hint="eastAsia" w:ascii="Times New Roman" w:hAnsi="Times New Roman" w:eastAsia="宋体" w:cs="宋体"/>
          <w:color w:val="auto"/>
          <w:sz w:val="21"/>
          <w:szCs w:val="21"/>
          <w:highlight w:val="none"/>
          <w:lang w:val="en-US" w:eastAsia="zh-CN"/>
        </w:rPr>
        <w:t xml:space="preserve">215万元</w:t>
      </w:r>
      <w:r>
        <w:rPr>
          <w:rFonts w:hint="eastAsia" w:ascii="Times New Roman" w:hAnsi="Times New Roman" w:eastAsia="宋体" w:cs="宋体"/>
          <w:color w:val="auto"/>
          <w:sz w:val="21"/>
          <w:szCs w:val="22"/>
          <w:highlight w:val="none"/>
          <w:lang w:val="en-US" w:eastAsia="zh-CN" w:bidi="ar-SA"/>
        </w:rPr>
        <w:t xml:space="preserve">，报价超过最高限价的为无效投标文件。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1" w:name="_Toc28359080"/>
      <w:r/>
      <w:bookmarkStart w:id="12" w:name="_Toc35393791"/>
      <w:r/>
      <w:bookmarkStart w:id="13" w:name="_Toc28359003"/>
      <w:r/>
      <w:bookmarkStart w:id="14" w:name="_Toc38985264"/>
      <w:r/>
      <w:bookmarkStart w:id="15" w:name="_Toc35393622"/>
      <w:r>
        <w:rPr>
          <w:rFonts w:hint="eastAsia" w:ascii="Times New Roman" w:hAnsi="Times New Roman" w:eastAsia="宋体" w:cs="宋体"/>
          <w:b/>
          <w:bCs/>
          <w:color w:val="auto"/>
          <w:highlight w:val="none"/>
        </w:rPr>
        <w:t xml:space="preserve">二、申请人的资格要求：</w:t>
      </w:r>
      <w:bookmarkEnd w:id="11"/>
      <w:r/>
      <w:bookmarkEnd w:id="12"/>
      <w:r/>
      <w:bookmarkEnd w:id="13"/>
      <w:r/>
      <w:bookmarkEnd w:id="14"/>
      <w:r/>
      <w:bookmarkEnd w:id="15"/>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eastAsia="宋体"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6" w:name="_Toc35393623"/>
      <w:r/>
      <w:bookmarkStart w:id="17" w:name="_Toc28359004"/>
      <w:r/>
      <w:bookmarkStart w:id="18" w:name="_Toc28359081"/>
      <w:r/>
      <w:bookmarkStart w:id="19" w:name="_Toc35393792"/>
      <w:r/>
      <w:bookmarkStart w:id="20"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 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1.7 未被“信用中国”网站（www.creditchina.gov.cn）、“中国政府采购网"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Times New Roman" w:hAnsi="Times New Roman" w:eastAsia="宋体" w:cs="宋体"/>
          <w:i/>
          <w:color w:val="auto"/>
          <w:szCs w:val="21"/>
          <w:highlight w:val="none"/>
          <w:u w:val="single"/>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Times New Roman" w:hAnsi="Times New Roman" w:eastAsia="宋体" w:cs="宋体"/>
          <w:i/>
          <w:color w:val="auto"/>
          <w:szCs w:val="21"/>
          <w:highlight w:val="none"/>
          <w:u w:val="single"/>
          <w:lang w:eastAsia="zh-CN"/>
        </w:rPr>
        <w:t xml:space="preserve">（</w:t>
      </w:r>
      <w:r>
        <w:rPr>
          <w:rFonts w:hint="eastAsia" w:ascii="Times New Roman" w:hAnsi="Times New Roman" w:eastAsia="宋体" w:cs="宋体"/>
          <w:i/>
          <w:color w:val="auto"/>
          <w:szCs w:val="21"/>
          <w:highlight w:val="none"/>
          <w:u w:val="single"/>
        </w:rPr>
        <w:t xml:space="preserve">含新疆生产建设兵团</w:t>
      </w:r>
      <w:r>
        <w:rPr>
          <w:rFonts w:hint="eastAsia" w:ascii="Times New Roman" w:hAnsi="Times New Roman" w:eastAsia="宋体" w:cs="宋体"/>
          <w:i/>
          <w:color w:val="auto"/>
          <w:szCs w:val="21"/>
          <w:highlight w:val="none"/>
          <w:u w:val="single"/>
          <w:lang w:eastAsia="zh-CN"/>
        </w:rPr>
        <w:t xml:space="preserve">）</w:t>
      </w:r>
      <w:r>
        <w:rPr>
          <w:rFonts w:hint="eastAsia" w:ascii="Times New Roman" w:hAnsi="Times New Roman" w:eastAsia="宋体" w:cs="宋体"/>
          <w:i/>
          <w:color w:val="auto"/>
          <w:szCs w:val="21"/>
          <w:highlight w:val="none"/>
          <w:u w:val="single"/>
        </w:rPr>
        <w:t xml:space="preserve">出具的属于监狱企业的证明文件。）</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sz w:val="21"/>
          <w:szCs w:val="21"/>
          <w:highlight w:val="none"/>
        </w:rPr>
        <w:t xml:space="preserve">联合体投标。</w:t>
      </w:r>
      <w:r/>
    </w:p>
    <w:tbl>
      <w:tblPr>
        <w:tblStyle w:val="727"/>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2968"/>
        <w:gridCol w:w="3252"/>
      </w:tblGrid>
      <w:tr>
        <w:trPr>
          <w:trHeight w:val="593"/>
        </w:trPr>
        <w:tc>
          <w:tcPr>
            <w:tcW w:w="111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52"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11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5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592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592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rPr>
              <w:t xml:space="preserve">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6"/>
      <w:r/>
      <w:bookmarkEnd w:id="17"/>
      <w:r/>
      <w:bookmarkEnd w:id="18"/>
      <w:r/>
      <w:bookmarkEnd w:id="19"/>
      <w:r/>
      <w:bookmarkEnd w:id="20"/>
      <w:r/>
      <w:r/>
    </w:p>
    <w:p>
      <w:pPr>
        <w:ind w:firstLine="420"/>
        <w:pageBreakBefore w:val="0"/>
        <w:spacing w:line="360" w:lineRule="auto"/>
        <w:rPr>
          <w:rFonts w:hint="eastAsia" w:ascii="Times New Roman" w:hAnsi="Times New Roman" w:eastAsia="宋体" w:cs="宋体"/>
          <w:color w:val="auto"/>
          <w:highlight w:val="none"/>
        </w:rPr>
      </w:pPr>
      <w:r/>
      <w:bookmarkStart w:id="21" w:name="_Toc28359082"/>
      <w:r/>
      <w:bookmarkStart w:id="22" w:name="_Toc28359005"/>
      <w:r/>
      <w:bookmarkStart w:id="23" w:name="_Toc38985266"/>
      <w:r/>
      <w:bookmarkStart w:id="24" w:name="_Toc35393624"/>
      <w:r/>
      <w:bookmarkStart w:id="25"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52"/>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1"/>
      <w:r/>
      <w:bookmarkEnd w:id="22"/>
      <w:r>
        <w:rPr>
          <w:rFonts w:hint="eastAsia" w:ascii="Times New Roman" w:hAnsi="Times New Roman" w:eastAsia="宋体" w:cs="宋体"/>
          <w:b/>
          <w:bCs/>
          <w:color w:val="auto"/>
          <w:highlight w:val="none"/>
        </w:rPr>
        <w:t xml:space="preserve">截止时间、开标时间和地点</w:t>
      </w:r>
      <w:bookmarkEnd w:id="23"/>
      <w:r/>
      <w:bookmarkEnd w:id="24"/>
      <w:r/>
      <w:bookmarkEnd w:id="25"/>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w:t>
      </w:r>
      <w:r>
        <w:rPr>
          <w:rFonts w:hint="eastAsia" w:ascii="Times New Roman" w:hAnsi="Times New Roman" w:eastAsia="宋体" w:cs="宋体"/>
          <w:bCs/>
          <w:color w:val="auto"/>
          <w:highlight w:val="none"/>
          <w:u w:val="single"/>
          <w:lang w:val="en-US" w:eastAsia="zh-CN"/>
        </w:rPr>
        <w:t xml:space="preserve">08</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18</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上午9:30</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//jszfcg.jsczt.cn/）</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6" w:name="_Toc28359084"/>
      <w:r/>
      <w:bookmarkStart w:id="27" w:name="_Toc28359007"/>
      <w:r/>
      <w:bookmarkStart w:id="28" w:name="_Toc35393625"/>
      <w:r/>
      <w:bookmarkStart w:id="29" w:name="_Toc35393794"/>
      <w:r/>
      <w:bookmarkStart w:id="30" w:name="_Toc38985267"/>
      <w:r>
        <w:rPr>
          <w:rFonts w:hint="eastAsia" w:ascii="Times New Roman" w:hAnsi="Times New Roman" w:eastAsia="宋体" w:cs="宋体"/>
          <w:b/>
          <w:bCs/>
          <w:color w:val="auto"/>
          <w:highlight w:val="none"/>
        </w:rPr>
        <w:t xml:space="preserve">五、公告期限</w:t>
      </w:r>
      <w:bookmarkEnd w:id="26"/>
      <w:r/>
      <w:bookmarkEnd w:id="27"/>
      <w:r/>
      <w:bookmarkEnd w:id="28"/>
      <w:r/>
      <w:bookmarkEnd w:id="29"/>
      <w:r/>
      <w:bookmarkEnd w:id="30"/>
      <w:r/>
      <w:r/>
    </w:p>
    <w:p>
      <w:pPr>
        <w:ind w:firstLine="420"/>
        <w:pageBreakBefore w:val="0"/>
        <w:spacing w:line="360" w:lineRule="auto"/>
        <w:rPr>
          <w:rFonts w:hint="eastAsia" w:ascii="Times New Roman" w:hAnsi="Times New Roman" w:eastAsia="宋体" w:cs="宋体"/>
          <w:color w:val="auto"/>
          <w:highlight w:val="none"/>
        </w:rPr>
      </w:pPr>
      <w:r/>
      <w:bookmarkStart w:id="31" w:name="_Toc35393626"/>
      <w:r/>
      <w:bookmarkStart w:id="32" w:name="_Toc38985268"/>
      <w:r/>
      <w:bookmarkStart w:id="33" w:name="_Toc35393795"/>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1"/>
      <w:r/>
      <w:bookmarkEnd w:id="32"/>
      <w:r/>
      <w:bookmarkEnd w:id="33"/>
      <w:r/>
      <w:r/>
    </w:p>
    <w:p>
      <w:pPr>
        <w:ind w:firstLine="422"/>
        <w:pageBreakBefore w:val="0"/>
        <w:spacing w:line="360" w:lineRule="auto"/>
        <w:rPr>
          <w:rFonts w:hint="eastAsia" w:ascii="Times New Roman" w:hAnsi="Times New Roman" w:eastAsia="宋体" w:cs="宋体"/>
          <w:b/>
          <w:bCs/>
          <w:color w:val="auto"/>
          <w:highlight w:val="none"/>
        </w:rPr>
      </w:pPr>
      <w:r/>
      <w:bookmarkStart w:id="34" w:name="_Toc28359008"/>
      <w:r/>
      <w:bookmarkStart w:id="35" w:name="_Toc35393796"/>
      <w:r/>
      <w:bookmarkStart w:id="36" w:name="_Toc38985269"/>
      <w:r/>
      <w:bookmarkStart w:id="37" w:name="_Toc35393627"/>
      <w:r/>
      <w:bookmarkStart w:id="38" w:name="_Toc28359085"/>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4"/>
      <w:r/>
      <w:bookmarkEnd w:id="35"/>
      <w:r/>
      <w:bookmarkEnd w:id="36"/>
      <w:r/>
      <w:bookmarkEnd w:id="37"/>
      <w:r/>
      <w:bookmarkEnd w:id="38"/>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39" w:name="_Toc28359010"/>
      <w:r/>
      <w:bookmarkStart w:id="40"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szCs w:val="21"/>
          <w:highlight w:val="none"/>
          <w:lang w:eastAsia="zh-CN"/>
        </w:rPr>
        <w:t xml:space="preserve">江苏省扬州技师学院</w:t>
      </w:r>
      <w:r/>
    </w:p>
    <w:p>
      <w:pPr>
        <w:ind w:firstLine="420"/>
        <w:jc w:val="left"/>
        <w:pageBreakBefore w:val="0"/>
        <w:spacing w:line="360" w:lineRule="auto"/>
        <w:rPr>
          <w:rFonts w:hint="eastAsia" w:ascii="Times New Roman" w:hAnsi="Times New Roman" w:eastAsia="宋体" w:cs="宋体"/>
          <w:color w:val="auto"/>
          <w:highlight w:val="none"/>
        </w:rPr>
      </w:pPr>
      <w:r/>
      <w:bookmarkStart w:id="41" w:name="_Toc28359086"/>
      <w:r/>
      <w:bookmarkStart w:id="42" w:name="_Toc28359009"/>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rPr>
        <w:t xml:space="preserve">扬州市邗江区职中路31号</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联系人：熊宣明 </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联系方式：18936490062</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1"/>
      <w:r/>
      <w:bookmarkEnd w:id="42"/>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s="宋体"/>
          <w:color w:val="auto"/>
          <w:szCs w:val="21"/>
          <w:highlight w:val="none"/>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扬州市邗江区</w:t>
      </w:r>
      <w:r>
        <w:rPr>
          <w:rFonts w:hint="eastAsia" w:ascii="Times New Roman" w:hAnsi="Times New Roman" w:cs="宋体"/>
          <w:color w:val="auto"/>
          <w:szCs w:val="21"/>
          <w:highlight w:val="none"/>
          <w:lang w:val="en-US" w:eastAsia="zh-CN"/>
        </w:rPr>
        <w:t xml:space="preserve">翠岗路48</w:t>
      </w:r>
      <w:r>
        <w:rPr>
          <w:rFonts w:hint="eastAsia" w:ascii="Times New Roman" w:hAnsi="Times New Roman" w:eastAsia="宋体" w:cs="宋体"/>
          <w:color w:val="auto"/>
          <w:szCs w:val="21"/>
          <w:highlight w:val="none"/>
        </w:rPr>
        <w:t xml:space="preserve">号</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赵凌云、李韦林</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bookmarkEnd w:id="39"/>
      <w:r/>
      <w:bookmarkEnd w:id="40"/>
      <w:r>
        <w:rPr>
          <w:rFonts w:hint="eastAsia" w:ascii="Times New Roman" w:hAnsi="Times New Roman" w:eastAsia="宋体" w:cs="宋体"/>
          <w:color w:val="auto"/>
          <w:highlight w:val="none"/>
          <w:lang w:val="en-US" w:eastAsia="zh-CN"/>
        </w:rPr>
        <w:t xml:space="preserve">0514-</w:t>
      </w:r>
      <w:r>
        <w:rPr>
          <w:rFonts w:hint="eastAsia" w:ascii="Times New Roman" w:hAnsi="Times New Roman" w:eastAsia="宋体" w:cs="宋体"/>
          <w:color w:val="auto"/>
          <w:highlight w:val="none"/>
        </w:rPr>
        <w:t xml:space="preserve">82129112</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szCs w:val="21"/>
          <w:highlight w:val="none"/>
          <w:lang w:eastAsia="zh-CN"/>
        </w:rPr>
        <w:t xml:space="preserve">0514-87986785</w:t>
      </w:r>
      <w:r/>
    </w:p>
    <w:p>
      <w:pPr>
        <w:pageBreakBefore w:val="0"/>
        <w:spacing w:line="360" w:lineRule="auto"/>
        <w:rPr>
          <w:rFonts w:hint="eastAsia" w:ascii="Times New Roman" w:hAnsi="Times New Roman" w:eastAsia="宋体"/>
          <w:color w:val="auto"/>
          <w:highlight w:val="none"/>
        </w:rPr>
      </w:pPr>
      <w:r/>
      <w:bookmarkStart w:id="43" w:name="_Toc55204178"/>
      <w:r/>
      <w:bookmarkStart w:id="44" w:name="_Toc13371"/>
      <w:r>
        <w:rPr>
          <w:rFonts w:hint="eastAsia" w:ascii="Times New Roman" w:hAnsi="Times New Roman" w:eastAsia="宋体"/>
          <w:color w:val="auto"/>
          <w:highlight w:val="none"/>
        </w:rPr>
        <w:br w:type="page" w:clear="all"/>
      </w:r>
      <w:r/>
    </w:p>
    <w:p>
      <w:pPr>
        <w:pStyle w:val="717"/>
        <w:pageBreakBefore w:val="0"/>
        <w:spacing w:line="360" w:lineRule="auto"/>
        <w:rPr>
          <w:rFonts w:ascii="Times New Roman" w:hAnsi="Times New Roman" w:eastAsia="宋体"/>
          <w:color w:val="auto"/>
          <w:highlight w:val="none"/>
        </w:rPr>
      </w:pPr>
      <w:r/>
      <w:bookmarkStart w:id="45" w:name="_Toc8455"/>
      <w:r/>
      <w:bookmarkStart w:id="46" w:name="_Toc19440"/>
      <w:r/>
      <w:bookmarkStart w:id="47" w:name="_Toc23235"/>
      <w:r>
        <w:rPr>
          <w:rFonts w:hint="eastAsia" w:ascii="Times New Roman" w:hAnsi="Times New Roman" w:eastAsia="宋体"/>
          <w:color w:val="auto"/>
          <w:highlight w:val="none"/>
        </w:rPr>
        <w:t xml:space="preserve">第二章 投标人须知</w:t>
      </w:r>
      <w:bookmarkEnd w:id="43"/>
      <w:r/>
      <w:bookmarkEnd w:id="44"/>
      <w:r/>
      <w:bookmarkEnd w:id="45"/>
      <w:r/>
      <w:bookmarkEnd w:id="46"/>
      <w:r/>
      <w:bookmarkEnd w:id="47"/>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 本次招标采取公开招标方式，本招标文件仅适用于</w:t>
      </w:r>
      <w:r>
        <w:rPr>
          <w:rFonts w:hint="eastAsia" w:ascii="Times New Roman" w:hAnsi="Times New Roman" w:eastAsia="宋体" w:cs="宋体"/>
          <w:bCs/>
          <w:color w:val="auto"/>
          <w:szCs w:val="21"/>
          <w:highlight w:val="none"/>
          <w:lang w:eastAsia="zh-CN"/>
        </w:rPr>
        <w:t xml:space="preserve">JSZC-321000-SWGC-G2026-0089号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4.2</w:t>
      </w:r>
      <w:r>
        <w:rPr>
          <w:rFonts w:hint="eastAsia" w:ascii="Times New Roman" w:hAnsi="Times New Roman" w:eastAsia="宋体"/>
          <w:b/>
          <w:bCs/>
          <w:color w:val="auto"/>
          <w:szCs w:val="21"/>
          <w:highlight w:val="none"/>
        </w:rPr>
        <w:t xml:space="preserve">本次采购</w:t>
      </w:r>
      <w:r>
        <w:rPr>
          <w:rFonts w:hint="eastAsia" w:ascii="Times New Roman" w:hAnsi="Times New Roman"/>
          <w:b/>
          <w:bCs/>
          <w:color w:val="auto"/>
          <w:szCs w:val="21"/>
          <w:highlight w:val="none"/>
          <w:lang w:val="en-US" w:eastAsia="zh-CN"/>
        </w:rPr>
        <w:t xml:space="preserve">预算中已包含代理服务费，</w:t>
      </w:r>
      <w:r>
        <w:rPr>
          <w:rFonts w:hint="eastAsia" w:ascii="Times New Roman" w:hAnsi="Times New Roman" w:eastAsia="宋体"/>
          <w:b/>
          <w:bCs/>
          <w:color w:val="auto"/>
          <w:szCs w:val="21"/>
          <w:highlight w:val="none"/>
        </w:rPr>
        <w:t xml:space="preserve">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通知书前按照国家计委印发的《招标代理服务收费管理暂行办法》（计价格〔2002〕1980号文）</w:t>
      </w:r>
      <w:r>
        <w:rPr>
          <w:rFonts w:hint="eastAsia" w:ascii="Times New Roman" w:hAnsi="Times New Roman" w:eastAsia="宋体"/>
          <w:b/>
          <w:bCs/>
          <w:color w:val="auto"/>
          <w:szCs w:val="21"/>
          <w:highlight w:val="none"/>
          <w:lang w:val="en-US" w:eastAsia="zh-CN"/>
        </w:rPr>
        <w:t xml:space="preserve">货物</w:t>
      </w:r>
      <w:r>
        <w:rPr>
          <w:rFonts w:hint="eastAsia" w:ascii="Times New Roman" w:hAnsi="Times New Roman" w:eastAsia="宋体"/>
          <w:b/>
          <w:bCs/>
          <w:color w:val="auto"/>
          <w:szCs w:val="21"/>
          <w:highlight w:val="none"/>
        </w:rPr>
        <w:t xml:space="preserve">类标准</w:t>
      </w:r>
      <w:r>
        <w:rPr>
          <w:rFonts w:hint="eastAsia" w:ascii="Times New Roman" w:hAnsi="Times New Roman" w:eastAsia="宋体"/>
          <w:b/>
          <w:bCs/>
          <w:color w:val="auto"/>
          <w:szCs w:val="21"/>
          <w:highlight w:val="none"/>
          <w:u w:val="none"/>
        </w:rPr>
        <w:t xml:space="preserve">一</w:t>
      </w:r>
      <w:r>
        <w:rPr>
          <w:rFonts w:hint="eastAsia" w:ascii="Times New Roman" w:hAnsi="Times New Roman" w:eastAsia="宋体"/>
          <w:b/>
          <w:bCs/>
          <w:color w:val="auto"/>
          <w:szCs w:val="21"/>
          <w:highlight w:val="none"/>
        </w:rPr>
        <w:t xml:space="preserve">次性支付给招标代理机构。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开户名称：江苏苏维工程管理有限公司</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开户账号：1108020819100000612</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eastAsia="宋体"/>
          <w:b/>
          <w:bCs/>
          <w:color w:val="auto"/>
          <w:szCs w:val="21"/>
          <w:highlight w:val="none"/>
          <w:lang w:val="en-US" w:eastAsia="zh-CN"/>
        </w:rPr>
        <w:t xml:space="preserve">3</w:t>
      </w:r>
      <w:r>
        <w:rPr>
          <w:rFonts w:hint="eastAsia" w:ascii="Times New Roman" w:hAnsi="Times New Roman" w:eastAsia="宋体" w:cs="宋体"/>
          <w:b/>
          <w:bCs/>
          <w:color w:val="auto"/>
          <w:sz w:val="21"/>
          <w:szCs w:val="21"/>
          <w:highlight w:val="none"/>
        </w:rPr>
        <w:t xml:space="preserve">专家评审费按照《关于规范江苏省政府采购专家评审费标准的通知》（苏财购〔2016〕48号）执行，由采购人支付。</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48" w:name="_Toc20823297"/>
      <w:r/>
      <w:bookmarkStart w:id="49" w:name="_Toc16938541"/>
      <w:r/>
      <w:bookmarkStart w:id="50" w:name="_Toc513029225"/>
      <w:r/>
      <w:bookmarkStart w:id="51" w:name="_Toc462564084"/>
      <w:r>
        <w:rPr>
          <w:rFonts w:hint="eastAsia" w:ascii="Times New Roman" w:hAnsi="Times New Roman" w:eastAsia="宋体" w:cs="宋体"/>
          <w:b/>
          <w:color w:val="auto"/>
          <w:szCs w:val="21"/>
          <w:highlight w:val="none"/>
        </w:rPr>
        <w:t xml:space="preserve">17.投标文件</w:t>
      </w:r>
      <w:bookmarkEnd w:id="48"/>
      <w:r/>
      <w:bookmarkEnd w:id="49"/>
      <w:r/>
      <w:bookmarkEnd w:id="50"/>
      <w:r/>
      <w:bookmarkEnd w:id="51"/>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2" w:name="_Toc20823298"/>
      <w:r/>
      <w:bookmarkStart w:id="53" w:name="_Toc16938542"/>
      <w:r/>
      <w:bookmarkStart w:id="54" w:name="_Toc513029226"/>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2"/>
      <w:r/>
      <w:bookmarkEnd w:id="53"/>
      <w:r/>
      <w:bookmarkEnd w:id="54"/>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5" w:name="_Toc16938543"/>
      <w:r/>
      <w:bookmarkStart w:id="56" w:name="_Toc20823299"/>
      <w:r/>
      <w:bookmarkStart w:id="57" w:name="_Toc513029227"/>
      <w:r>
        <w:rPr>
          <w:rFonts w:hint="eastAsia" w:ascii="Times New Roman" w:hAnsi="Times New Roman" w:eastAsia="宋体" w:cs="宋体"/>
          <w:b/>
          <w:color w:val="auto"/>
          <w:szCs w:val="21"/>
          <w:highlight w:val="none"/>
        </w:rPr>
        <w:t xml:space="preserve">19.投标文件</w:t>
      </w:r>
      <w:bookmarkEnd w:id="55"/>
      <w:r/>
      <w:bookmarkEnd w:id="56"/>
      <w:r/>
      <w:bookmarkEnd w:id="57"/>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58" w:name="_Toc20823300"/>
      <w:r/>
      <w:bookmarkStart w:id="59" w:name="_Toc16938544"/>
      <w:r/>
      <w:bookmarkStart w:id="60" w:name="_Toc513029228"/>
      <w:r>
        <w:rPr>
          <w:rFonts w:hint="eastAsia" w:ascii="Times New Roman" w:hAnsi="Times New Roman" w:eastAsia="宋体" w:cs="宋体"/>
          <w:b/>
          <w:color w:val="auto"/>
          <w:szCs w:val="21"/>
          <w:highlight w:val="none"/>
        </w:rPr>
        <w:t xml:space="preserve">20.投标文件的撤回和修改</w:t>
      </w:r>
      <w:bookmarkEnd w:id="58"/>
      <w:r/>
      <w:bookmarkEnd w:id="59"/>
      <w:r/>
      <w:bookmarkEnd w:id="60"/>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eastAsia="宋体" w:cs="宋体"/>
          <w:b/>
          <w:bCs/>
          <w:color w:val="auto"/>
          <w:szCs w:val="21"/>
          <w:highlight w:val="none"/>
          <w:u w:val="single"/>
          <w:lang w:eastAsia="zh-CN"/>
        </w:rPr>
        <w:t xml:space="preserve">工业机器人实训台</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w:t>
      </w:r>
      <w:r>
        <w:rPr>
          <w:rFonts w:hint="eastAsia" w:ascii="Times New Roman" w:hAnsi="Times New Roman"/>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w:t>
      </w:r>
      <w:r>
        <w:rPr>
          <w:rFonts w:hint="eastAsia" w:ascii="Times New Roman" w:hAnsi="Times New Roman"/>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w:t>
      </w:r>
      <w:r>
        <w:rPr>
          <w:rFonts w:hint="eastAsia" w:ascii="Times New Roman" w:hAnsi="Times New Roman"/>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717"/>
        <w:pageBreakBefore w:val="0"/>
        <w:spacing w:line="360" w:lineRule="auto"/>
        <w:rPr>
          <w:rFonts w:ascii="Times New Roman" w:hAnsi="Times New Roman" w:eastAsia="宋体"/>
          <w:color w:val="auto"/>
          <w:highlight w:val="none"/>
        </w:rPr>
      </w:pPr>
      <w:r/>
      <w:bookmarkStart w:id="61" w:name="_Toc23141"/>
      <w:r/>
      <w:bookmarkStart w:id="62" w:name="_Toc55204179"/>
      <w:r/>
      <w:bookmarkStart w:id="63" w:name="_Toc7691"/>
      <w:r/>
      <w:bookmarkStart w:id="64" w:name="_Toc18307"/>
      <w:r/>
      <w:bookmarkStart w:id="65" w:name="_Toc30440"/>
      <w:r/>
      <w:bookmarkStart w:id="66" w:name="_Hlk69392822"/>
      <w:r>
        <w:rPr>
          <w:rFonts w:hint="eastAsia" w:ascii="Times New Roman" w:hAnsi="Times New Roman" w:eastAsia="宋体"/>
          <w:color w:val="auto"/>
          <w:highlight w:val="none"/>
        </w:rPr>
        <w:t xml:space="preserve">第三章 合同条款及格式</w:t>
      </w:r>
      <w:bookmarkEnd w:id="61"/>
      <w:r/>
      <w:bookmarkEnd w:id="62"/>
      <w:r/>
      <w:bookmarkEnd w:id="63"/>
      <w:r/>
      <w:bookmarkEnd w:id="64"/>
      <w:r/>
      <w:bookmarkEnd w:id="65"/>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76"/>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bookmarkEnd w:id="66"/>
      <w:r/>
      <w:r/>
    </w:p>
    <w:p>
      <w:pPr>
        <w:pStyle w:val="776"/>
        <w:ind w:firstLine="0"/>
        <w:jc w:val="center"/>
        <w:pageBreakBefore w:val="0"/>
        <w:spacing w:before="0" w:after="0" w:line="360" w:lineRule="auto"/>
        <w:rPr>
          <w:rFonts w:hint="eastAsia" w:ascii="Times New Roman" w:hAnsi="Times New Roman" w:eastAsia="宋体" w:cs="方正小标宋简体"/>
          <w:b w:val="0"/>
          <w:bCs w:val="0"/>
          <w:color w:val="auto"/>
          <w:sz w:val="44"/>
          <w:szCs w:val="52"/>
        </w:rPr>
      </w:pPr>
      <w:r/>
      <w:bookmarkStart w:id="67" w:name="_Toc3819"/>
      <w:r/>
      <w:bookmarkStart w:id="68" w:name="_Toc15957"/>
      <w:r>
        <w:rPr>
          <w:rFonts w:hint="eastAsia" w:ascii="Times New Roman" w:hAnsi="Times New Roman" w:eastAsia="宋体" w:cs="方正小标宋简体"/>
          <w:b w:val="0"/>
          <w:bCs w:val="0"/>
          <w:color w:val="auto"/>
          <w:sz w:val="44"/>
          <w:szCs w:val="52"/>
        </w:rPr>
        <w:t xml:space="preserve">江苏省扬州技师学院工业机器人应用与维护专业专项公共实训基地建设项目</w:t>
      </w:r>
      <w:r/>
    </w:p>
    <w:p>
      <w:pPr>
        <w:jc w:val="center"/>
        <w:pageBreakBefore w:val="0"/>
        <w:spacing w:line="360" w:lineRule="auto"/>
        <w:tabs>
          <w:tab w:val="left" w:pos="6300" w:leader="none"/>
        </w:tabs>
        <w:rPr>
          <w:rFonts w:ascii="Times New Roman" w:hAnsi="Times New Roman" w:eastAsia="宋体" w:cs="仿宋"/>
          <w:b/>
          <w:bCs/>
          <w:color w:val="auto"/>
          <w:sz w:val="72"/>
          <w:szCs w:val="72"/>
        </w:rPr>
      </w:pPr>
      <w:r>
        <w:rPr>
          <w:rFonts w:ascii="Times New Roman" w:hAnsi="Times New Roman" w:eastAsia="宋体" w:cs="仿宋"/>
          <w:b/>
          <w:bCs/>
          <w:color w:val="auto"/>
          <w:sz w:val="72"/>
          <w:szCs w:val="72"/>
        </w:rPr>
      </w:r>
      <w:r/>
    </w:p>
    <w:p>
      <w:pPr>
        <w:pStyle w:val="776"/>
        <w:ind w:firstLine="0"/>
        <w:jc w:val="center"/>
        <w:pageBreakBefore w:val="0"/>
        <w:spacing w:before="0" w:after="0" w:line="360" w:lineRule="auto"/>
        <w:rPr>
          <w:rFonts w:ascii="Times New Roman" w:hAnsi="Times New Roman" w:eastAsia="宋体" w:cs="仿宋"/>
          <w:b/>
          <w:bCs/>
          <w:color w:val="auto"/>
          <w:sz w:val="32"/>
        </w:rPr>
      </w:pPr>
      <w:r>
        <w:rPr>
          <w:rFonts w:hint="eastAsia" w:ascii="Times New Roman" w:hAnsi="Times New Roman" w:eastAsia="宋体" w:cs="仿宋"/>
          <w:b/>
          <w:bCs/>
          <w:color w:val="auto"/>
          <w:sz w:val="72"/>
          <w:szCs w:val="72"/>
        </w:rPr>
        <w:t xml:space="preserve">采购合同</w:t>
      </w:r>
      <w:r/>
    </w:p>
    <w:p>
      <w:pPr>
        <w:pStyle w:val="752"/>
        <w:ind w:firstLine="0"/>
        <w:jc w:val="center"/>
        <w:pageBreakBefore w:val="0"/>
        <w:spacing w:beforeAutospacing="0" w:afterAutospacing="0" w:line="360" w:lineRule="auto"/>
        <w:shd w:val="clear" w:color="auto" w:fill="ffffff"/>
        <w:widowControl w:val="off"/>
        <w:rPr>
          <w:rFonts w:ascii="Times New Roman" w:hAnsi="Times New Roman" w:eastAsia="宋体" w:cs="仿宋"/>
          <w:b/>
          <w:bCs/>
          <w:color w:val="auto"/>
          <w:sz w:val="32"/>
        </w:rPr>
      </w:pPr>
      <w:r>
        <w:rPr>
          <w:rFonts w:ascii="Times New Roman" w:hAnsi="Times New Roman" w:eastAsia="宋体" w:cs="仿宋"/>
          <w:b/>
          <w:bCs/>
          <w:color w:val="auto"/>
          <w:sz w:val="32"/>
        </w:rPr>
      </w:r>
      <w:r/>
    </w:p>
    <w:p>
      <w:pPr>
        <w:pStyle w:val="752"/>
        <w:ind w:firstLine="0"/>
        <w:jc w:val="center"/>
        <w:pageBreakBefore w:val="0"/>
        <w:spacing w:beforeAutospacing="0" w:afterAutospacing="0" w:line="360" w:lineRule="auto"/>
        <w:shd w:val="clear" w:color="auto" w:fill="ffffff"/>
        <w:widowControl w:val="off"/>
        <w:rPr>
          <w:rFonts w:ascii="Times New Roman" w:hAnsi="Times New Roman" w:eastAsia="宋体" w:cs="仿宋"/>
          <w:b/>
          <w:bCs/>
          <w:color w:val="auto"/>
          <w:sz w:val="32"/>
        </w:rPr>
      </w:pPr>
      <w:r>
        <w:rPr>
          <w:rFonts w:ascii="Times New Roman" w:hAnsi="Times New Roman" w:eastAsia="宋体" w:cs="仿宋"/>
          <w:b/>
          <w:bCs/>
          <w:color w:val="auto"/>
          <w:sz w:val="32"/>
        </w:rPr>
      </w:r>
      <w:r/>
    </w:p>
    <w:p>
      <w:pPr>
        <w:pStyle w:val="752"/>
        <w:ind w:firstLine="0"/>
        <w:jc w:val="center"/>
        <w:pageBreakBefore w:val="0"/>
        <w:spacing w:beforeAutospacing="0" w:afterAutospacing="0" w:line="360" w:lineRule="auto"/>
        <w:shd w:val="clear" w:color="auto" w:fill="ffffff"/>
        <w:widowControl w:val="off"/>
        <w:rPr>
          <w:rFonts w:hint="eastAsia" w:ascii="Times New Roman" w:hAnsi="Times New Roman" w:eastAsia="宋体" w:cs="仿宋"/>
          <w:b/>
          <w:bCs/>
          <w:color w:val="auto"/>
          <w:sz w:val="32"/>
        </w:rPr>
      </w:pPr>
      <w:r>
        <w:rPr>
          <w:rFonts w:hint="eastAsia" w:ascii="Times New Roman" w:hAnsi="Times New Roman" w:eastAsia="宋体" w:cs="仿宋"/>
          <w:b/>
          <w:bCs/>
          <w:color w:val="auto"/>
          <w:sz w:val="32"/>
        </w:rPr>
        <w:t xml:space="preserve">项目编号：JSZC-321000-SWGC-G2026-0089号</w:t>
      </w:r>
      <w:r/>
    </w:p>
    <w:p>
      <w:pPr>
        <w:jc w:val="center"/>
        <w:pageBreakBefore w:val="0"/>
        <w:spacing w:line="360" w:lineRule="auto"/>
        <w:tabs>
          <w:tab w:val="left" w:pos="6300" w:leader="none"/>
        </w:tabs>
        <w:rPr>
          <w:rFonts w:ascii="Times New Roman" w:hAnsi="Times New Roman" w:eastAsia="宋体" w:cs="仿宋"/>
          <w:b/>
          <w:color w:val="auto"/>
          <w:sz w:val="52"/>
          <w:szCs w:val="44"/>
        </w:rPr>
      </w:pPr>
      <w:r>
        <w:rPr>
          <w:rFonts w:ascii="Times New Roman" w:hAnsi="Times New Roman" w:eastAsia="宋体" w:cs="仿宋"/>
          <w:b/>
          <w:color w:val="auto"/>
          <w:sz w:val="52"/>
          <w:szCs w:val="44"/>
        </w:rPr>
      </w:r>
      <w:r/>
    </w:p>
    <w:p>
      <w:pPr>
        <w:jc w:val="center"/>
        <w:pageBreakBefore w:val="0"/>
        <w:spacing w:line="360" w:lineRule="auto"/>
        <w:rPr>
          <w:rFonts w:ascii="Times New Roman" w:hAnsi="Times New Roman" w:eastAsia="宋体" w:cs="仿宋"/>
          <w:b/>
          <w:color w:val="auto"/>
          <w:sz w:val="44"/>
          <w:szCs w:val="44"/>
        </w:rPr>
      </w:pPr>
      <w:r>
        <w:rPr>
          <w:rFonts w:ascii="Times New Roman" w:hAnsi="Times New Roman" w:eastAsia="宋体" w:cs="仿宋"/>
          <w:b/>
          <w:color w:val="auto"/>
          <w:sz w:val="44"/>
          <w:szCs w:val="44"/>
        </w:rPr>
      </w:r>
      <w:r/>
    </w:p>
    <w:p>
      <w:pPr>
        <w:ind w:left="1050" w:firstLine="273"/>
        <w:pageBreakBefore w:val="0"/>
        <w:spacing w:line="360" w:lineRule="auto"/>
        <w:rPr>
          <w:rFonts w:ascii="Times New Roman" w:hAnsi="Times New Roman" w:eastAsia="宋体" w:cs="仿宋"/>
          <w:b/>
          <w:color w:val="auto"/>
          <w:sz w:val="32"/>
          <w:szCs w:val="32"/>
        </w:rPr>
      </w:pPr>
      <w:r>
        <w:rPr>
          <w:rFonts w:hint="eastAsia" w:ascii="Times New Roman" w:hAnsi="Times New Roman" w:eastAsia="宋体" w:cs="仿宋"/>
          <w:b/>
          <w:color w:val="auto"/>
          <w:sz w:val="32"/>
          <w:szCs w:val="32"/>
        </w:rPr>
        <w:t xml:space="preserve">甲  方：江苏省扬州技师学院</w:t>
      </w:r>
      <w:r/>
    </w:p>
    <w:p>
      <w:pPr>
        <w:ind w:left="1050" w:firstLine="273"/>
        <w:pageBreakBefore w:val="0"/>
        <w:spacing w:line="360" w:lineRule="auto"/>
        <w:rPr>
          <w:rFonts w:hint="eastAsia" w:ascii="Times New Roman" w:hAnsi="Times New Roman" w:eastAsia="宋体" w:cs="仿宋"/>
          <w:b/>
          <w:color w:val="auto"/>
          <w:sz w:val="32"/>
          <w:szCs w:val="32"/>
          <w:lang w:eastAsia="zh-CN"/>
        </w:rPr>
      </w:pPr>
      <w:r>
        <w:rPr>
          <w:rFonts w:hint="eastAsia" w:ascii="Times New Roman" w:hAnsi="Times New Roman" w:eastAsia="宋体" w:cs="仿宋"/>
          <w:b/>
          <w:color w:val="auto"/>
          <w:sz w:val="32"/>
          <w:szCs w:val="32"/>
        </w:rPr>
        <w:t xml:space="preserve">乙  方：</w:t>
      </w:r>
      <w:r>
        <w:rPr>
          <w:rFonts w:hint="eastAsia" w:ascii="Times New Roman" w:hAnsi="Times New Roman" w:eastAsia="宋体" w:cs="仿宋"/>
          <w:b/>
          <w:color w:val="auto"/>
          <w:sz w:val="32"/>
          <w:szCs w:val="32"/>
          <w:lang w:val="en-US" w:eastAsia="zh-CN"/>
        </w:rPr>
        <w:t xml:space="preserve"> </w:t>
      </w:r>
      <w:r/>
    </w:p>
    <w:p>
      <w:pPr>
        <w:ind w:left="1050" w:firstLine="273"/>
        <w:pageBreakBefore w:val="0"/>
        <w:spacing w:line="360" w:lineRule="auto"/>
        <w:rPr>
          <w:rFonts w:hint="eastAsia" w:ascii="Times New Roman" w:hAnsi="Times New Roman" w:eastAsia="宋体" w:cs="仿宋"/>
          <w:b/>
          <w:color w:val="auto"/>
          <w:sz w:val="32"/>
          <w:szCs w:val="32"/>
          <w:lang w:eastAsia="zh-CN"/>
        </w:rPr>
      </w:pPr>
      <w:r>
        <w:rPr>
          <w:rFonts w:hint="eastAsia" w:ascii="Times New Roman" w:hAnsi="Times New Roman" w:eastAsia="宋体" w:cs="仿宋"/>
          <w:b/>
          <w:color w:val="auto"/>
          <w:sz w:val="32"/>
          <w:szCs w:val="32"/>
        </w:rPr>
        <w:t xml:space="preserve">见证方：</w:t>
      </w:r>
      <w:r>
        <w:rPr>
          <w:rFonts w:hint="eastAsia" w:ascii="Times New Roman" w:hAnsi="Times New Roman" w:eastAsia="宋体" w:cs="仿宋"/>
          <w:b/>
          <w:color w:val="auto"/>
          <w:sz w:val="32"/>
          <w:szCs w:val="32"/>
          <w:lang w:val="en-US" w:eastAsia="zh-CN"/>
        </w:rPr>
        <w:t xml:space="preserve"> </w:t>
      </w:r>
      <w:r/>
    </w:p>
    <w:p>
      <w:pPr>
        <w:ind w:left="1050" w:firstLine="273"/>
        <w:pageBreakBefore w:val="0"/>
        <w:spacing w:line="360" w:lineRule="auto"/>
        <w:rPr>
          <w:rFonts w:hint="eastAsia" w:ascii="Times New Roman" w:hAnsi="Times New Roman" w:eastAsia="宋体" w:cs="仿宋"/>
          <w:b/>
          <w:color w:val="auto"/>
          <w:sz w:val="32"/>
          <w:szCs w:val="32"/>
        </w:rPr>
      </w:pPr>
      <w:r>
        <w:rPr>
          <w:rFonts w:hint="eastAsia" w:ascii="Times New Roman" w:hAnsi="Times New Roman" w:eastAsia="宋体" w:cs="仿宋"/>
          <w:b/>
          <w:color w:val="auto"/>
          <w:sz w:val="32"/>
          <w:szCs w:val="32"/>
        </w:rPr>
      </w:r>
      <w:r/>
    </w:p>
    <w:p>
      <w:pPr>
        <w:ind w:left="1050" w:firstLine="273"/>
        <w:pageBreakBefore w:val="0"/>
        <w:spacing w:line="360" w:lineRule="auto"/>
        <w:rPr>
          <w:rFonts w:hint="eastAsia" w:ascii="Times New Roman" w:hAnsi="Times New Roman" w:eastAsia="宋体" w:cs="仿宋"/>
          <w:b/>
          <w:color w:val="auto"/>
          <w:sz w:val="32"/>
          <w:szCs w:val="32"/>
        </w:rPr>
      </w:pPr>
      <w:r>
        <w:rPr>
          <w:rFonts w:hint="eastAsia" w:ascii="Times New Roman" w:hAnsi="Times New Roman" w:eastAsia="宋体" w:cs="仿宋"/>
          <w:b/>
          <w:color w:val="auto"/>
          <w:sz w:val="32"/>
          <w:szCs w:val="32"/>
        </w:rPr>
      </w:r>
      <w:r/>
    </w:p>
    <w:p>
      <w:pPr>
        <w:pStyle w:val="752"/>
        <w:ind w:left="1050" w:firstLine="594"/>
        <w:pageBreakBefore w:val="0"/>
        <w:spacing w:beforeAutospacing="0" w:afterAutospacing="0" w:line="360" w:lineRule="auto"/>
        <w:widowControl w:val="off"/>
        <w:rPr>
          <w:rFonts w:ascii="Times New Roman" w:hAnsi="Times New Roman" w:eastAsia="宋体" w:cs="仿宋"/>
          <w:b/>
          <w:color w:val="auto"/>
          <w:sz w:val="32"/>
          <w:szCs w:val="32"/>
        </w:rPr>
      </w:pPr>
      <w:r>
        <w:rPr>
          <w:rFonts w:hint="eastAsia" w:ascii="Times New Roman" w:hAnsi="Times New Roman" w:eastAsia="宋体" w:cs="仿宋"/>
          <w:b/>
          <w:color w:val="auto"/>
          <w:sz w:val="32"/>
          <w:szCs w:val="32"/>
        </w:rPr>
        <w:t xml:space="preserve">日  期：202</w:t>
      </w:r>
      <w:r>
        <w:rPr>
          <w:rFonts w:hint="eastAsia" w:ascii="Times New Roman" w:hAnsi="Times New Roman" w:eastAsia="宋体" w:cs="仿宋"/>
          <w:b/>
          <w:color w:val="auto"/>
          <w:sz w:val="32"/>
          <w:szCs w:val="32"/>
          <w:lang w:val="en-US" w:eastAsia="zh-CN"/>
        </w:rPr>
        <w:t xml:space="preserve">6</w:t>
      </w:r>
      <w:r>
        <w:rPr>
          <w:rFonts w:hint="eastAsia" w:ascii="Times New Roman" w:hAnsi="Times New Roman" w:eastAsia="宋体" w:cs="仿宋"/>
          <w:b/>
          <w:color w:val="auto"/>
          <w:sz w:val="32"/>
          <w:szCs w:val="32"/>
        </w:rPr>
        <w:t xml:space="preserve">年   月   日</w:t>
      </w:r>
      <w:r/>
    </w:p>
    <w:p>
      <w:pPr>
        <w:ind w:firstLine="422"/>
        <w:jc w:val="center"/>
        <w:pageBreakBefore w:val="0"/>
        <w:spacing w:line="360" w:lineRule="auto"/>
        <w:rPr>
          <w:rFonts w:hint="eastAsia" w:ascii="Times New Roman" w:hAnsi="Times New Roman" w:eastAsia="宋体" w:cs="方正小标宋简体"/>
          <w:b/>
          <w:color w:val="auto"/>
          <w:sz w:val="32"/>
          <w:szCs w:val="36"/>
        </w:rPr>
      </w:pPr>
      <w:r>
        <w:rPr>
          <w:rFonts w:hint="eastAsia" w:ascii="Times New Roman" w:hAnsi="Times New Roman" w:eastAsia="宋体" w:cs="仿宋"/>
          <w:color w:val="auto"/>
          <w:sz w:val="40"/>
          <w:szCs w:val="40"/>
        </w:rPr>
        <w:br w:type="page" w:clear="all"/>
      </w:r>
      <w:r/>
    </w:p>
    <w:p>
      <w:pPr>
        <w:ind w:firstLine="422"/>
        <w:jc w:val="center"/>
        <w:pageBreakBefore w:val="0"/>
        <w:spacing w:line="360" w:lineRule="auto"/>
        <w:rPr>
          <w:rFonts w:hint="eastAsia" w:ascii="Times New Roman" w:hAnsi="Times New Roman" w:eastAsia="宋体"/>
          <w:b/>
          <w:bCs/>
          <w:color w:val="auto"/>
          <w:lang w:eastAsia="zh-CN"/>
        </w:rPr>
      </w:pPr>
      <w:r>
        <w:rPr>
          <w:rFonts w:hint="eastAsia" w:ascii="Times New Roman" w:hAnsi="Times New Roman" w:eastAsia="宋体" w:cs="方正小标宋简体"/>
          <w:b/>
          <w:color w:val="auto"/>
          <w:sz w:val="32"/>
          <w:szCs w:val="36"/>
        </w:rPr>
        <w:t xml:space="preserve">采购合同</w:t>
      </w:r>
      <w:r/>
    </w:p>
    <w:p>
      <w:pPr>
        <w:ind w:firstLine="420"/>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项目名称：江苏省扬州技师学院工业机器人应用与维护专业专项公共实训基地建设项目</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编号： JSZC-321000-SWGC-G2026-0089号</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甲方（采购人/买方）：江苏省扬州技师学院</w:t>
      </w:r>
      <w:r/>
    </w:p>
    <w:p>
      <w:pPr>
        <w:ind w:firstLine="420"/>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乙方（供应商/卖方）：</w:t>
      </w:r>
      <w:r/>
    </w:p>
    <w:p>
      <w:pPr>
        <w:ind w:firstLine="420"/>
        <w:pageBreakBefore w:val="0"/>
        <w:spacing w:line="360" w:lineRule="auto"/>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 xml:space="preserve">见证方：</w:t>
      </w:r>
      <w:r/>
    </w:p>
    <w:p>
      <w:pPr>
        <w:ind w:firstLine="420"/>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根据《中华人民共和国政府采购法</w:t>
      </w:r>
      <w:r>
        <w:rPr>
          <w:rFonts w:hint="eastAsia" w:ascii="Times New Roman" w:hAnsi="Times New Roman" w:eastAsia="宋体"/>
          <w:color w:val="auto"/>
          <w:szCs w:val="21"/>
          <w:lang w:eastAsia="zh-CN"/>
        </w:rPr>
        <w:t xml:space="preserve">》和《</w:t>
      </w:r>
      <w:r>
        <w:rPr>
          <w:rFonts w:hint="eastAsia" w:ascii="Times New Roman" w:hAnsi="Times New Roman" w:eastAsia="宋体"/>
          <w:color w:val="auto"/>
          <w:szCs w:val="21"/>
        </w:rPr>
        <w:t xml:space="preserve">中华人民共和国民法典》等法律法规的规定，甲乙双方按照本项目招标结果签订本合同。</w:t>
      </w:r>
      <w:r/>
    </w:p>
    <w:p>
      <w:pPr>
        <w:ind w:firstLine="422"/>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w:t>
      </w:r>
      <w:r>
        <w:rPr>
          <w:rFonts w:hint="eastAsia" w:ascii="Times New Roman" w:hAnsi="Times New Roman" w:eastAsia="宋体"/>
          <w:b/>
          <w:bCs/>
          <w:color w:val="auto"/>
          <w:szCs w:val="21"/>
        </w:rPr>
        <w:t xml:space="preserve">合同标的</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乙方根据甲方需求，提供下列产品</w:t>
      </w:r>
      <w:r>
        <w:rPr>
          <w:rFonts w:hint="eastAsia" w:ascii="Times New Roman" w:hAnsi="Times New Roman" w:eastAsia="宋体"/>
          <w:color w:val="auto"/>
          <w:szCs w:val="21"/>
          <w:lang w:eastAsia="zh-CN"/>
        </w:rPr>
        <w:t xml:space="preserve">：</w:t>
      </w:r>
      <w:r/>
    </w:p>
    <w:p>
      <w:pPr>
        <w:ind w:firstLine="420"/>
        <w:keepLines w:val="0"/>
        <w:keepNext w:val="0"/>
        <w:pageBreakBefore w:val="0"/>
        <w:spacing w:line="360" w:lineRule="auto"/>
        <w:widowControl w:val="off"/>
        <w:rPr>
          <w:rFonts w:ascii="Times New Roman" w:hAnsi="Times New Roman" w:eastAsia="宋体"/>
          <w:b/>
          <w:color w:val="auto"/>
          <w:szCs w:val="21"/>
        </w:rPr>
      </w:pPr>
      <w:r>
        <w:rPr>
          <w:rFonts w:hint="eastAsia" w:ascii="Times New Roman" w:hAnsi="Times New Roman" w:eastAsia="宋体"/>
          <w:color w:val="auto"/>
          <w:szCs w:val="21"/>
        </w:rPr>
        <w:t xml:space="preserve">名称、规格及数量等要求详见招投标文件。</w:t>
      </w:r>
      <w:r/>
    </w:p>
    <w:p>
      <w:pPr>
        <w:ind w:firstLine="422"/>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2.</w:t>
      </w:r>
      <w:r>
        <w:rPr>
          <w:rFonts w:hint="eastAsia" w:ascii="Times New Roman" w:hAnsi="Times New Roman" w:eastAsia="宋体"/>
          <w:b/>
          <w:bCs/>
          <w:color w:val="auto"/>
          <w:szCs w:val="21"/>
        </w:rPr>
        <w:t xml:space="preserve">合同总金额</w:t>
      </w:r>
      <w:r/>
    </w:p>
    <w:p>
      <w:pPr>
        <w:ind w:left="315" w:firstLine="10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2.1 本合同金额为（大写）：_______________________________元人民币（¥_____元）。</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2.2 本合同总金额</w:t>
      </w:r>
      <w:r>
        <w:rPr>
          <w:rFonts w:hint="eastAsia" w:ascii="Times New Roman" w:hAnsi="Times New Roman" w:eastAsia="宋体"/>
          <w:color w:val="auto"/>
          <w:szCs w:val="21"/>
          <w:lang w:eastAsia="zh-CN"/>
        </w:rPr>
        <w:t xml:space="preserve">包括</w:t>
      </w:r>
      <w:r>
        <w:rPr>
          <w:rFonts w:hint="eastAsia" w:ascii="Times New Roman" w:hAnsi="Times New Roman" w:eastAsia="宋体"/>
          <w:color w:val="auto"/>
          <w:szCs w:val="21"/>
        </w:rPr>
        <w:t xml:space="preserve">乙方提供产品费用、安装调试费、测试验收费、培训费、 运行维护费用、税金及其他有关的为完成本项目发生的所有费用，招标文件中另有规定的除外。</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2.3 在招标文</w:t>
      </w:r>
      <w:r>
        <w:rPr>
          <w:rFonts w:hint="eastAsia" w:ascii="Times New Roman" w:hAnsi="Times New Roman" w:eastAsia="宋体"/>
          <w:color w:val="auto"/>
          <w:szCs w:val="21"/>
          <w:lang w:eastAsia="zh-CN"/>
        </w:rPr>
        <w:t xml:space="preserve">件中</w:t>
      </w:r>
      <w:r>
        <w:rPr>
          <w:rFonts w:hint="eastAsia" w:ascii="Times New Roman" w:hAnsi="Times New Roman" w:eastAsia="宋体"/>
          <w:color w:val="auto"/>
          <w:szCs w:val="21"/>
        </w:rPr>
        <w:t xml:space="preserve">未列明，而乙方认为履行本合同必需的费用也包含在合同总金额中。</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2.4 本合同总金额还包含乙方提供的伴随服务/售后服务费用。</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2.5 本合同签订后：甲方需追加与合同标的相同的货物和服务的，在不改变合同其他条款的前提下，可以与乙方协商签订补充合同，但所有补充</w:t>
      </w:r>
      <w:r>
        <w:rPr>
          <w:rFonts w:hint="eastAsia" w:ascii="Times New Roman" w:hAnsi="Times New Roman" w:eastAsia="宋体"/>
          <w:color w:val="auto"/>
          <w:szCs w:val="21"/>
          <w:lang w:eastAsia="zh-CN"/>
        </w:rPr>
        <w:t xml:space="preserve">合同</w:t>
      </w:r>
      <w:r>
        <w:rPr>
          <w:rFonts w:hint="eastAsia" w:ascii="Times New Roman" w:hAnsi="Times New Roman" w:eastAsia="宋体"/>
          <w:color w:val="auto"/>
          <w:szCs w:val="21"/>
        </w:rPr>
        <w:t xml:space="preserve">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3.</w:t>
      </w:r>
      <w:r>
        <w:rPr>
          <w:rFonts w:hint="eastAsia" w:ascii="Times New Roman" w:hAnsi="Times New Roman" w:eastAsia="宋体"/>
          <w:b/>
          <w:bCs/>
          <w:color w:val="auto"/>
          <w:szCs w:val="21"/>
        </w:rPr>
        <w:t xml:space="preserve">组成本合同的有关文件</w:t>
      </w:r>
      <w:r/>
    </w:p>
    <w:p>
      <w:pPr>
        <w:ind w:left="315" w:firstLine="10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3.1乙方应按招标文件规定的时间向甲方提供使用产品的有关技术资料。</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left="315" w:firstLine="10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3.3 关于本项目政府采购的招投标文件或与本次采购活动方式相适应的文件及有关附件是本合同不可分割的组成部分，这些文件包括但不限于：</w:t>
      </w:r>
      <w:r/>
    </w:p>
    <w:p>
      <w:pPr>
        <w:ind w:left="359" w:hanging="359"/>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   （1）招标文件；                   （2）投标产品配置与报价文件；</w:t>
      </w:r>
      <w:r/>
    </w:p>
    <w:p>
      <w:pPr>
        <w:ind w:left="359" w:hanging="359"/>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   （3）供货一览表；                 （4）技术参数响应表；</w:t>
      </w:r>
      <w:r/>
    </w:p>
    <w:p>
      <w:pPr>
        <w:ind w:left="359" w:hanging="359"/>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   （5）服务承诺；                   （6）中标通知书；</w:t>
      </w:r>
      <w:r/>
    </w:p>
    <w:p>
      <w:pPr>
        <w:ind w:left="359" w:hanging="359"/>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   （7）甲乙双方补充协议；           （8）乙方投标文件。</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4.</w:t>
      </w:r>
      <w:r>
        <w:rPr>
          <w:rFonts w:hint="eastAsia" w:ascii="Times New Roman" w:hAnsi="Times New Roman" w:eastAsia="宋体"/>
          <w:b/>
          <w:bCs/>
          <w:color w:val="auto"/>
          <w:szCs w:val="21"/>
        </w:rPr>
        <w:t xml:space="preserve">知识产权保证</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乙方保证甲方在使用、接受本合同产品和服务或其任何一部分时，不受第三方提出侵犯其专利权、版权、商标权和工业设计权等知识产权的起诉。一旦出现侵权，由乙方负全部责任。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5.</w:t>
      </w:r>
      <w:r>
        <w:rPr>
          <w:rFonts w:hint="eastAsia" w:ascii="Times New Roman" w:hAnsi="Times New Roman" w:eastAsia="宋体"/>
          <w:b/>
          <w:bCs/>
          <w:color w:val="auto"/>
          <w:szCs w:val="21"/>
        </w:rPr>
        <w:t xml:space="preserve">产权保证</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乙方保证所交付的产品的所有权无任何抵押、查封等权利瑕疵。</w:t>
      </w:r>
      <w:r/>
    </w:p>
    <w:p>
      <w:pPr>
        <w:ind w:left="315" w:firstLine="105"/>
        <w:keepLines w:val="0"/>
        <w:keepNext w:val="0"/>
        <w:pageBreakBefore w:val="0"/>
        <w:spacing w:line="360" w:lineRule="auto"/>
        <w:widowControl w:val="off"/>
        <w:rPr>
          <w:rFonts w:hint="eastAsia" w:ascii="Times New Roman" w:hAnsi="Times New Roman" w:eastAsia="宋体"/>
          <w:color w:val="auto"/>
          <w:szCs w:val="21"/>
          <w:lang w:val="en-US" w:eastAsia="zh-CN"/>
        </w:rPr>
      </w:pPr>
      <w:r>
        <w:rPr>
          <w:rFonts w:hint="eastAsia" w:ascii="Times New Roman" w:hAnsi="Times New Roman" w:eastAsia="宋体"/>
          <w:b/>
          <w:bCs/>
          <w:color w:val="auto"/>
          <w:szCs w:val="21"/>
          <w:lang w:eastAsia="zh-CN"/>
        </w:rPr>
        <w:t xml:space="preserve">6.</w:t>
      </w:r>
      <w:r>
        <w:rPr>
          <w:rFonts w:hint="eastAsia" w:ascii="Times New Roman" w:hAnsi="Times New Roman" w:eastAsia="宋体"/>
          <w:b/>
          <w:bCs/>
          <w:color w:val="auto"/>
          <w:szCs w:val="21"/>
        </w:rPr>
        <w:t xml:space="preserve">履约保证金</w:t>
      </w:r>
      <w:r>
        <w:rPr>
          <w:rFonts w:hint="eastAsia" w:ascii="Times New Roman" w:hAnsi="Times New Roman" w:eastAsia="宋体"/>
          <w:color w:val="auto"/>
          <w:szCs w:val="21"/>
        </w:rPr>
        <w:t xml:space="preserve">： </w:t>
      </w:r>
      <w:r>
        <w:rPr>
          <w:rFonts w:hint="eastAsia" w:ascii="Times New Roman" w:hAnsi="Times New Roman" w:eastAsia="宋体"/>
          <w:color w:val="auto"/>
          <w:szCs w:val="21"/>
          <w:lang w:val="en-US" w:eastAsia="zh-CN"/>
        </w:rPr>
        <w:t xml:space="preserve">无</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7.</w:t>
      </w:r>
      <w:r>
        <w:rPr>
          <w:rFonts w:hint="eastAsia" w:ascii="Times New Roman" w:hAnsi="Times New Roman" w:eastAsia="宋体"/>
          <w:b/>
          <w:bCs/>
          <w:color w:val="auto"/>
          <w:szCs w:val="21"/>
        </w:rPr>
        <w:t xml:space="preserve">转包或分包</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7.1 本合同禁止转包，本合同范</w:t>
      </w:r>
      <w:r>
        <w:rPr>
          <w:rFonts w:hint="eastAsia" w:ascii="Times New Roman" w:hAnsi="Times New Roman" w:eastAsia="宋体"/>
          <w:color w:val="auto"/>
          <w:szCs w:val="21"/>
          <w:lang w:eastAsia="zh-CN"/>
        </w:rPr>
        <w:t xml:space="preserve">围内</w:t>
      </w:r>
      <w:r>
        <w:rPr>
          <w:rFonts w:hint="eastAsia" w:ascii="Times New Roman" w:hAnsi="Times New Roman" w:eastAsia="宋体"/>
          <w:color w:val="auto"/>
          <w:szCs w:val="21"/>
        </w:rPr>
        <w:t xml:space="preserve">的项目，应由乙方直接供应的，不得转让他人供应。</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7.2 经甲方同意，乙方可以依法采取分包方式履行合同，但是分包方式履行的，乙方应就采购项目向甲方负全责。</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8.</w:t>
      </w:r>
      <w:r>
        <w:rPr>
          <w:rFonts w:hint="eastAsia" w:ascii="Times New Roman" w:hAnsi="Times New Roman" w:eastAsia="宋体"/>
          <w:b/>
          <w:bCs/>
          <w:color w:val="auto"/>
          <w:szCs w:val="21"/>
        </w:rPr>
        <w:t xml:space="preserve">质保期等其他约定</w:t>
      </w:r>
      <w:r/>
    </w:p>
    <w:p>
      <w:pPr>
        <w:ind w:left="315" w:firstLine="10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8.1 为货物从验收合格之日起</w:t>
      </w:r>
      <w:r>
        <w:rPr>
          <w:rFonts w:hint="eastAsia" w:ascii="Times New Roman" w:hAnsi="Times New Roman" w:eastAsia="宋体"/>
          <w:color w:val="auto"/>
          <w:szCs w:val="21"/>
          <w:u w:val="single"/>
          <w:lang w:val="en-US" w:eastAsia="zh-CN"/>
        </w:rPr>
        <w:t xml:space="preserve">  </w:t>
      </w:r>
      <w:r>
        <w:rPr>
          <w:rFonts w:hint="eastAsia" w:ascii="Times New Roman" w:hAnsi="Times New Roman" w:eastAsia="宋体"/>
          <w:color w:val="auto"/>
          <w:szCs w:val="21"/>
          <w:u w:val="single"/>
        </w:rPr>
        <w:t xml:space="preserve">叁</w:t>
      </w:r>
      <w:r>
        <w:rPr>
          <w:rFonts w:hint="eastAsia" w:ascii="Times New Roman" w:hAnsi="Times New Roman" w:eastAsia="宋体"/>
          <w:color w:val="auto"/>
          <w:szCs w:val="21"/>
          <w:u w:val="single"/>
          <w:lang w:val="en-US" w:eastAsia="zh-CN"/>
        </w:rPr>
        <w:t xml:space="preserve">  </w:t>
      </w:r>
      <w:r>
        <w:rPr>
          <w:rFonts w:hint="eastAsia" w:ascii="Times New Roman" w:hAnsi="Times New Roman" w:eastAsia="宋体"/>
          <w:color w:val="auto"/>
          <w:szCs w:val="21"/>
        </w:rPr>
        <w:t xml:space="preserve">年。在质保期内因供应商责任而产生的质量问题，由其负责无偿返修。不能维修的，整件免费更换。由于采购人人为原因造成的损坏供应商只收配件费不收人工费。</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9.</w:t>
      </w:r>
      <w:r>
        <w:rPr>
          <w:rFonts w:hint="eastAsia" w:ascii="Times New Roman" w:hAnsi="Times New Roman" w:eastAsia="宋体"/>
          <w:b/>
          <w:bCs/>
          <w:color w:val="auto"/>
          <w:szCs w:val="21"/>
        </w:rPr>
        <w:t xml:space="preserve">合同履行期限及地点</w:t>
      </w:r>
      <w:r/>
    </w:p>
    <w:p>
      <w:pPr>
        <w:ind w:firstLine="420"/>
        <w:keepLines w:val="0"/>
        <w:keepNext w:val="0"/>
        <w:pageBreakBefore w:val="0"/>
        <w:spacing w:line="360" w:lineRule="auto"/>
        <w:widowControl w:val="off"/>
        <w:rPr>
          <w:rFonts w:ascii="Times New Roman" w:hAnsi="Times New Roman" w:eastAsia="宋体"/>
          <w:color w:val="auto"/>
          <w:szCs w:val="21"/>
          <w:u w:val="single"/>
        </w:rPr>
      </w:pPr>
      <w:r>
        <w:rPr>
          <w:rFonts w:hint="eastAsia" w:ascii="Times New Roman" w:hAnsi="Times New Roman" w:eastAsia="宋体"/>
          <w:bCs/>
          <w:color w:val="auto"/>
        </w:rPr>
        <w:t xml:space="preserve">9.1 合同履行期：</w:t>
      </w:r>
      <w:r>
        <w:rPr>
          <w:rFonts w:hint="eastAsia" w:ascii="Times New Roman" w:hAnsi="Times New Roman" w:eastAsia="宋体"/>
          <w:color w:val="auto"/>
          <w:szCs w:val="21"/>
          <w:u w:val="single"/>
          <w:lang w:val="en-GB"/>
        </w:rPr>
        <w:t xml:space="preserve">合同签订后</w:t>
      </w:r>
      <w:r>
        <w:rPr>
          <w:rFonts w:hint="eastAsia" w:ascii="Times New Roman" w:hAnsi="Times New Roman" w:eastAsia="宋体"/>
          <w:color w:val="auto"/>
          <w:szCs w:val="21"/>
          <w:u w:val="single"/>
          <w:lang w:val="en-US" w:eastAsia="zh-CN"/>
        </w:rPr>
        <w:t xml:space="preserve">30</w:t>
      </w:r>
      <w:r>
        <w:rPr>
          <w:rFonts w:hint="eastAsia" w:ascii="Times New Roman" w:hAnsi="Times New Roman" w:eastAsia="宋体"/>
          <w:color w:val="auto"/>
          <w:szCs w:val="21"/>
          <w:u w:val="single"/>
          <w:lang w:val="en-GB"/>
        </w:rPr>
        <w:t xml:space="preserve">日历天内完成本项目所有内容交付、安装、调试</w:t>
      </w:r>
      <w:r>
        <w:rPr>
          <w:rFonts w:hint="eastAsia" w:ascii="Times New Roman" w:hAnsi="Times New Roman" w:eastAsia="宋体"/>
          <w:color w:val="auto"/>
          <w:szCs w:val="21"/>
          <w:u w:val="single"/>
          <w:lang w:val="en-US" w:eastAsia="zh-CN"/>
        </w:rPr>
        <w:t xml:space="preserve">及培训</w:t>
      </w:r>
      <w:r>
        <w:rPr>
          <w:rFonts w:hint="eastAsia" w:ascii="Times New Roman" w:hAnsi="Times New Roman" w:eastAsia="宋体"/>
          <w:color w:val="auto"/>
          <w:szCs w:val="21"/>
          <w:u w:val="single"/>
          <w:lang w:val="en-GB"/>
        </w:rPr>
        <w:t xml:space="preserve">工作，并经采购人验收合格。</w:t>
      </w:r>
      <w:r/>
    </w:p>
    <w:p>
      <w:pPr>
        <w:ind w:firstLine="420"/>
        <w:keepLines w:val="0"/>
        <w:keepNext w:val="0"/>
        <w:pageBreakBefore w:val="0"/>
        <w:spacing w:line="360" w:lineRule="auto"/>
        <w:widowControl w:val="off"/>
        <w:rPr>
          <w:rFonts w:hint="eastAsia" w:ascii="Times New Roman" w:hAnsi="Times New Roman" w:eastAsia="宋体"/>
          <w:bCs/>
          <w:color w:val="auto"/>
          <w:szCs w:val="21"/>
          <w:lang w:eastAsia="zh-CN"/>
        </w:rPr>
      </w:pPr>
      <w:r>
        <w:rPr>
          <w:rFonts w:hint="eastAsia" w:ascii="Times New Roman" w:hAnsi="Times New Roman" w:eastAsia="宋体"/>
          <w:bCs/>
          <w:color w:val="auto"/>
          <w:szCs w:val="21"/>
        </w:rPr>
        <w:t xml:space="preserve">9.2地点：</w:t>
      </w:r>
      <w:r>
        <w:rPr>
          <w:rFonts w:hint="eastAsia" w:ascii="Times New Roman" w:hAnsi="Times New Roman" w:eastAsia="宋体"/>
          <w:bCs/>
          <w:color w:val="auto"/>
          <w:szCs w:val="21"/>
          <w:u w:val="single"/>
        </w:rPr>
        <w:t xml:space="preserve">甲方指定地点，运送所产生的所有费用由乙方承担</w:t>
      </w:r>
      <w:r>
        <w:rPr>
          <w:rFonts w:hint="eastAsia" w:ascii="Times New Roman" w:hAnsi="Times New Roman" w:eastAsia="宋体"/>
          <w:bCs/>
          <w:color w:val="auto"/>
          <w:szCs w:val="21"/>
          <w:u w:val="single"/>
          <w:lang w:eastAsia="zh-CN"/>
        </w:rPr>
        <w:t xml:space="preserve">。</w:t>
      </w:r>
      <w:r/>
    </w:p>
    <w:p>
      <w:pPr>
        <w:pStyle w:val="738"/>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lang w:eastAsia="zh-CN"/>
        </w:rPr>
        <w:t xml:space="preserve">10.</w:t>
      </w:r>
      <w:r>
        <w:rPr>
          <w:rFonts w:hint="eastAsia" w:ascii="Times New Roman" w:hAnsi="Times New Roman" w:eastAsia="宋体"/>
          <w:color w:val="auto"/>
        </w:rPr>
        <w:t xml:space="preserve">价</w:t>
      </w:r>
      <w:r>
        <w:rPr>
          <w:rFonts w:ascii="Times New Roman" w:hAnsi="Times New Roman" w:eastAsia="宋体"/>
          <w:color w:val="auto"/>
        </w:rPr>
        <w:t xml:space="preserve">款支付</w:t>
      </w:r>
      <w:r/>
    </w:p>
    <w:p>
      <w:pPr>
        <w:ind w:firstLine="420"/>
        <w:keepLines w:val="0"/>
        <w:keepNext w:val="0"/>
        <w:pageBreakBefore w:val="0"/>
        <w:spacing w:line="360" w:lineRule="auto"/>
        <w:widowControl w:val="off"/>
        <w:rPr>
          <w:rFonts w:hint="eastAsia" w:ascii="Times New Roman" w:hAnsi="Times New Roman" w:eastAsia="宋体"/>
          <w:color w:val="auto"/>
          <w:sz w:val="21"/>
          <w:szCs w:val="21"/>
        </w:rPr>
      </w:pPr>
      <w:r>
        <w:rPr>
          <w:rFonts w:hint="eastAsia" w:ascii="Times New Roman" w:hAnsi="Times New Roman" w:eastAsia="宋体"/>
          <w:color w:val="auto"/>
          <w:sz w:val="21"/>
          <w:szCs w:val="21"/>
        </w:rPr>
        <w:t xml:space="preserve">10.1 本合同项下所有款项均以人民币支付。 </w:t>
      </w:r>
      <w:r/>
    </w:p>
    <w:p>
      <w:pPr>
        <w:ind w:firstLine="420"/>
        <w:keepLines w:val="0"/>
        <w:keepNext w:val="0"/>
        <w:pageBreakBefore w:val="0"/>
        <w:spacing w:line="360" w:lineRule="auto"/>
        <w:widowControl w:val="off"/>
        <w:rPr>
          <w:rFonts w:hint="eastAsia" w:ascii="Times New Roman" w:hAnsi="Times New Roman" w:eastAsia="宋体"/>
          <w:color w:val="auto"/>
          <w:sz w:val="21"/>
          <w:szCs w:val="21"/>
        </w:rPr>
      </w:pPr>
      <w:r>
        <w:rPr>
          <w:rFonts w:hint="eastAsia" w:ascii="Times New Roman" w:hAnsi="Times New Roman" w:eastAsia="宋体"/>
          <w:color w:val="auto"/>
          <w:sz w:val="21"/>
          <w:szCs w:val="21"/>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Times New Roman" w:hAnsi="Times New Roman" w:eastAsia="宋体"/>
          <w:color w:val="auto"/>
          <w:sz w:val="21"/>
          <w:szCs w:val="21"/>
        </w:rPr>
      </w:pPr>
      <w:r>
        <w:rPr>
          <w:rFonts w:hint="eastAsia" w:ascii="Times New Roman" w:hAnsi="Times New Roman" w:eastAsia="宋体"/>
          <w:color w:val="auto"/>
          <w:sz w:val="21"/>
          <w:szCs w:val="21"/>
        </w:rPr>
        <w:t xml:space="preserve">10.3 付款方式：</w:t>
      </w:r>
      <w:r>
        <w:rPr>
          <w:rFonts w:hint="eastAsia" w:ascii="Times New Roman" w:hAnsi="Times New Roman" w:eastAsia="宋体"/>
          <w:b/>
          <w:bCs/>
          <w:color w:val="auto"/>
          <w:sz w:val="21"/>
          <w:szCs w:val="21"/>
        </w:rPr>
        <w:t xml:space="preserve">合同签订后，甲方自收到发票之日起</w:t>
      </w:r>
      <w:r>
        <w:rPr>
          <w:rFonts w:hint="eastAsia" w:ascii="Times New Roman" w:hAnsi="Times New Roman" w:eastAsia="宋体"/>
          <w:b/>
          <w:bCs/>
          <w:color w:val="auto"/>
          <w:sz w:val="21"/>
          <w:szCs w:val="21"/>
          <w:lang w:val="en-US" w:eastAsia="zh-CN"/>
        </w:rPr>
        <w:t xml:space="preserve">10个工作日内</w:t>
      </w:r>
      <w:r>
        <w:rPr>
          <w:rFonts w:hint="eastAsia" w:ascii="Times New Roman" w:hAnsi="Times New Roman" w:eastAsia="宋体"/>
          <w:b/>
          <w:bCs/>
          <w:color w:val="auto"/>
          <w:sz w:val="21"/>
          <w:szCs w:val="21"/>
        </w:rPr>
        <w:t xml:space="preserve">，支付乙方合同总价30%的预付款；货到甲方指定地点，安装调试并验收合格后，甲方自收到发票之日起</w:t>
      </w:r>
      <w:r>
        <w:rPr>
          <w:rFonts w:hint="eastAsia" w:ascii="Times New Roman" w:hAnsi="Times New Roman" w:eastAsia="宋体"/>
          <w:b/>
          <w:bCs/>
          <w:color w:val="auto"/>
          <w:sz w:val="21"/>
          <w:szCs w:val="21"/>
          <w:lang w:val="en-US" w:eastAsia="zh-CN"/>
        </w:rPr>
        <w:t xml:space="preserve">10个工作日内</w:t>
      </w:r>
      <w:r>
        <w:rPr>
          <w:rFonts w:hint="eastAsia" w:ascii="Times New Roman" w:hAnsi="Times New Roman" w:eastAsia="宋体"/>
          <w:b/>
          <w:bCs/>
          <w:color w:val="auto"/>
          <w:sz w:val="21"/>
          <w:szCs w:val="21"/>
        </w:rPr>
        <w:t xml:space="preserve">，支付乙方合同余款。</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11.</w:t>
      </w:r>
      <w:r>
        <w:rPr>
          <w:rFonts w:hint="eastAsia" w:ascii="Times New Roman" w:hAnsi="Times New Roman" w:eastAsia="宋体"/>
          <w:b/>
          <w:bCs/>
          <w:color w:val="auto"/>
          <w:szCs w:val="21"/>
        </w:rPr>
        <w:t xml:space="preserve">税费</w:t>
      </w:r>
      <w:r/>
    </w:p>
    <w:p>
      <w:pPr>
        <w:ind w:firstLine="420"/>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color w:val="auto"/>
          <w:szCs w:val="21"/>
        </w:rPr>
        <w:t xml:space="preserve">本合同执行中相关的一切税费均由乙方负担。</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12.</w:t>
      </w:r>
      <w:r>
        <w:rPr>
          <w:rFonts w:hint="eastAsia" w:ascii="Times New Roman" w:hAnsi="Times New Roman" w:eastAsia="宋体"/>
          <w:b/>
          <w:bCs/>
          <w:color w:val="auto"/>
          <w:szCs w:val="21"/>
        </w:rPr>
        <w:t xml:space="preserve">质量保证及售后服务</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12.1 所有产品必须是厂商原装、全新的产品，符合国家及该产品的出厂标准、安全标准及环保标准。</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12.2设备外观清洁，标记编号以及盘面显示等字体清晰，明确。</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12.3对于影响设备正常工作的必要组成部分，无论在技术规范中指出与否，报价人都应提供在响应文件中明确列出。</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12.4所有产品、设备提供出厂合格证等质量证明文件。</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12.5所提供的产品必须是在中国范围内合法销售，原装、全新、并完全符合采购人要求的产品。</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12.6乙方应保证其提供的产品在正确安装、正常使用和保养条件下，在其使用寿命内具有良好的性能。验收后，在质量保证期内，乙方应对由于设计、工艺或材料的缺陷所发生的任何不足或故障负责，所需费用由乙方承担。</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olor w:val="auto"/>
        </w:rPr>
        <w:t xml:space="preserve">12.7</w:t>
      </w:r>
      <w:r>
        <w:rPr>
          <w:rFonts w:hint="eastAsia" w:ascii="Times New Roman" w:hAnsi="Times New Roman" w:eastAsia="宋体" w:cs="宋体"/>
          <w:color w:val="auto"/>
          <w:szCs w:val="21"/>
        </w:rPr>
        <w:t xml:space="preserve">乙方提供的货物在质保期内因货物本身的质量问题发生故障，乙方应负责免费更换或维修、退货。具体按以下办法处理：</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s="宋体"/>
          <w:color w:val="auto"/>
          <w:szCs w:val="21"/>
        </w:rPr>
        <w:t xml:space="preserve">（1）更换：无法维修的或者在质保期内同一设备出现2次及以上的故障，乙方应更换，并由乙方承担所发生的全部费用。</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s="宋体"/>
          <w:color w:val="auto"/>
          <w:szCs w:val="21"/>
        </w:rPr>
        <w:t xml:space="preserve">（2）贬值处理：由甲乙双方合议定价。</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s="宋体"/>
          <w:color w:val="auto"/>
          <w:szCs w:val="21"/>
        </w:rPr>
        <w:t xml:space="preserve">（3）退货处理：若通过维修或更换无法</w:t>
      </w:r>
      <w:r>
        <w:rPr>
          <w:rFonts w:hint="eastAsia" w:ascii="Times New Roman" w:hAnsi="Times New Roman" w:eastAsia="宋体" w:cs="宋体"/>
          <w:color w:val="auto"/>
          <w:szCs w:val="21"/>
          <w:lang w:eastAsia="zh-CN"/>
        </w:rPr>
        <w:t xml:space="preserve">解决</w:t>
      </w:r>
      <w:r>
        <w:rPr>
          <w:rFonts w:hint="eastAsia" w:ascii="Times New Roman" w:hAnsi="Times New Roman" w:eastAsia="宋体" w:cs="宋体"/>
          <w:color w:val="auto"/>
          <w:szCs w:val="21"/>
        </w:rPr>
        <w:t xml:space="preserve">的，或者通过维修或更换后在质保期内仍然有故障的，甲方有权退货，乙方应退还甲方支付的合同款，同时应承担该货物的直接费用（运输、保险、检验、货款利息及银行手续费等）。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12.8 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12.9在质保期内，乙方应对产品出现的质量及安全问题负责处理解决并承担一切费用。</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13.</w:t>
      </w:r>
      <w:r>
        <w:rPr>
          <w:rFonts w:hint="eastAsia" w:ascii="Times New Roman" w:hAnsi="Times New Roman" w:eastAsia="宋体"/>
          <w:b/>
          <w:bCs/>
          <w:color w:val="auto"/>
          <w:szCs w:val="21"/>
        </w:rPr>
        <w:t xml:space="preserve">交货、调试和验收</w:t>
      </w:r>
      <w:r/>
    </w:p>
    <w:p>
      <w:pPr>
        <w:ind w:firstLine="420"/>
        <w:keepLines w:val="0"/>
        <w:keepNext w:val="0"/>
        <w:pageBreakBefore w:val="0"/>
        <w:spacing w:line="360" w:lineRule="auto"/>
        <w:widowControl w:val="off"/>
        <w:rPr>
          <w:rFonts w:ascii="Times New Roman" w:hAnsi="Times New Roman" w:eastAsia="宋体"/>
          <w:color w:val="auto"/>
        </w:rPr>
      </w:pPr>
      <w:r>
        <w:rPr>
          <w:rFonts w:ascii="Times New Roman" w:hAnsi="Times New Roman" w:eastAsia="宋体"/>
          <w:color w:val="auto"/>
        </w:rPr>
        <w:t xml:space="preserve">13.1</w:t>
      </w:r>
      <w:r>
        <w:rPr>
          <w:rFonts w:hint="eastAsia" w:ascii="Times New Roman" w:hAnsi="Times New Roman" w:eastAsia="宋体"/>
          <w:color w:val="auto"/>
        </w:rPr>
        <w:t xml:space="preserve">乙方应当在合同生效后</w:t>
      </w:r>
      <w:r>
        <w:rPr>
          <w:rFonts w:hint="eastAsia" w:ascii="Times New Roman" w:hAnsi="Times New Roman" w:eastAsia="宋体"/>
          <w:color w:val="auto"/>
          <w:u w:val="single"/>
        </w:rPr>
        <w:t xml:space="preserve"> </w:t>
      </w:r>
      <w:r>
        <w:rPr>
          <w:rFonts w:hint="eastAsia" w:ascii="Times New Roman" w:hAnsi="Times New Roman" w:eastAsia="宋体"/>
          <w:color w:val="auto"/>
          <w:u w:val="single"/>
          <w:lang w:val="en-US" w:eastAsia="zh-CN"/>
        </w:rPr>
        <w:t xml:space="preserve">30</w:t>
      </w:r>
      <w:r>
        <w:rPr>
          <w:rFonts w:hint="eastAsia" w:ascii="Times New Roman" w:hAnsi="Times New Roman" w:eastAsia="宋体"/>
          <w:color w:val="auto"/>
          <w:u w:val="single"/>
        </w:rPr>
        <w:t xml:space="preserve"> </w:t>
      </w:r>
      <w:r>
        <w:rPr>
          <w:rFonts w:hint="eastAsia" w:ascii="Times New Roman" w:hAnsi="Times New Roman" w:eastAsia="宋体"/>
          <w:color w:val="auto"/>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13.2 货到甲方后，甲乙双方须在工作</w:t>
      </w:r>
      <w:r>
        <w:rPr>
          <w:rFonts w:hint="eastAsia" w:ascii="Times New Roman" w:hAnsi="Times New Roman" w:eastAsia="宋体"/>
          <w:color w:val="auto"/>
          <w:u w:val="single"/>
        </w:rPr>
        <w:t xml:space="preserve"> </w:t>
      </w:r>
      <w:r>
        <w:rPr>
          <w:rFonts w:hint="eastAsia" w:ascii="Times New Roman" w:hAnsi="Times New Roman" w:eastAsia="宋体"/>
          <w:color w:val="auto"/>
          <w:u w:val="single"/>
          <w:lang w:val="en-US" w:eastAsia="zh-CN"/>
        </w:rPr>
        <w:t xml:space="preserve">15</w:t>
      </w:r>
      <w:r>
        <w:rPr>
          <w:rFonts w:hint="eastAsia" w:ascii="Times New Roman" w:hAnsi="Times New Roman" w:eastAsia="宋体"/>
          <w:color w:val="auto"/>
          <w:u w:val="single"/>
        </w:rPr>
        <w:t xml:space="preserve"> </w:t>
      </w:r>
      <w:r>
        <w:rPr>
          <w:rFonts w:hint="eastAsia" w:ascii="Times New Roman" w:hAnsi="Times New Roman" w:eastAsia="宋体"/>
          <w:color w:val="auto"/>
        </w:rPr>
        <w:t xml:space="preserve">日内</w:t>
      </w:r>
      <w:r>
        <w:rPr>
          <w:rFonts w:hint="eastAsia" w:ascii="Times New Roman" w:hAnsi="Times New Roman" w:eastAsia="宋体"/>
          <w:color w:val="auto"/>
          <w:lang w:eastAsia="zh-CN"/>
        </w:rPr>
        <w:t xml:space="preserve">初步</w:t>
      </w:r>
      <w:r>
        <w:rPr>
          <w:rFonts w:hint="eastAsia" w:ascii="Times New Roman" w:hAnsi="Times New Roman" w:eastAsia="宋体"/>
          <w:color w:val="auto"/>
        </w:rPr>
        <w:t xml:space="preserve">验收，甲方对乙方提交的货物依据招标文件上的技术规格要求和国家有关质量标准进行现场初步验收，外观、说明书、包装符合招标文件技术要求的，给予签收，初步验收不合格的不予签收。</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13.3 乙方按照招标文件要求负责产品安装并培训甲方的使用操作人员，乙方在甲方使用前进行调试，调试直到符合技术</w:t>
      </w:r>
      <w:r>
        <w:rPr>
          <w:rFonts w:hint="eastAsia" w:ascii="Times New Roman" w:hAnsi="Times New Roman" w:eastAsia="宋体"/>
          <w:color w:val="auto"/>
          <w:szCs w:val="21"/>
          <w:lang w:eastAsia="zh-CN"/>
        </w:rPr>
        <w:t xml:space="preserve">要求</w:t>
      </w:r>
      <w:r>
        <w:rPr>
          <w:rFonts w:hint="eastAsia" w:ascii="Times New Roman" w:hAnsi="Times New Roman" w:eastAsia="宋体"/>
          <w:color w:val="auto"/>
          <w:szCs w:val="21"/>
        </w:rPr>
        <w:t xml:space="preserve">甲方才做最终验收。</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13.4 对技术复杂的货物，甲方可请国家认可的专业检测机构参与初步验收及最终验收，并由其出具质量检测报告。验收时乙方必须在现场，验收完毕后作出验收结果报告；若聘请第三方中立机构验收，</w:t>
      </w:r>
      <w:r>
        <w:rPr>
          <w:rFonts w:ascii="Times New Roman" w:hAnsi="Times New Roman" w:eastAsia="宋体"/>
          <w:color w:val="auto"/>
        </w:rPr>
        <w:t xml:space="preserve">如检测结果合格，检测费由甲方承担；不合格，由乙方承</w:t>
      </w:r>
      <w:r>
        <w:rPr>
          <w:rFonts w:hint="eastAsia" w:ascii="Times New Roman" w:hAnsi="Times New Roman" w:eastAsia="宋体"/>
          <w:color w:val="auto"/>
        </w:rPr>
        <w:t xml:space="preserve">担。</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13.5 甲乙双方关于调试和验收的其他约定</w:t>
      </w:r>
      <w:r>
        <w:rPr>
          <w:rFonts w:hint="eastAsia" w:ascii="Times New Roman" w:hAnsi="Times New Roman" w:eastAsia="宋体"/>
          <w:color w:val="auto"/>
          <w:lang w:eastAsia="zh-CN"/>
        </w:rPr>
        <w:t xml:space="preserve">：</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14.</w:t>
      </w:r>
      <w:r>
        <w:rPr>
          <w:rFonts w:hint="eastAsia" w:ascii="Times New Roman" w:hAnsi="Times New Roman" w:eastAsia="宋体"/>
          <w:b/>
          <w:bCs/>
          <w:color w:val="auto"/>
          <w:szCs w:val="21"/>
        </w:rPr>
        <w:t xml:space="preserve">包装、发运及运输</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olor w:val="auto"/>
          <w:szCs w:val="21"/>
        </w:rPr>
        <w:t xml:space="preserve">14.1</w:t>
      </w:r>
      <w:r>
        <w:rPr>
          <w:rFonts w:hint="eastAsia" w:ascii="Times New Roman" w:hAnsi="Times New Roman" w:eastAsia="宋体"/>
          <w:color w:val="auto"/>
        </w:rPr>
        <w:t xml:space="preserve">由乙方负责按国家相关标准进行货物包装，货物的包装均应有良好的防湿、防锈、防潮、防雨、防腐及防碰撞的措施，所有货物在开箱检验时必须完好，无破损，配置与装箱单相符。货物外观清洁，标记编号</w:t>
      </w:r>
      <w:r>
        <w:rPr>
          <w:rFonts w:hint="eastAsia" w:ascii="Times New Roman" w:hAnsi="Times New Roman" w:eastAsia="宋体"/>
          <w:color w:val="auto"/>
          <w:lang w:eastAsia="zh-CN"/>
        </w:rPr>
        <w:t xml:space="preserve">以及</w:t>
      </w:r>
      <w:r>
        <w:rPr>
          <w:rFonts w:hint="eastAsia" w:ascii="Times New Roman" w:hAnsi="Times New Roman" w:eastAsia="宋体"/>
          <w:color w:val="auto"/>
        </w:rPr>
        <w:t xml:space="preserve">字体清晰、明确。凡由于包装不良造成的损失和由此产生的费用均由乙方承担。</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14.2 乙方发货时，产品使用说明书、检验证明书、随配附件和工具以及清单一并附于货物内。</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14.3 乙方在发运手续办理完毕后24小时内或货到甲方48小时前通知甲方，以准备甲方接货。根据甲方通知的时间和指定的地点，乙方负责安排送货、装卸、清点、堆放，设备初验收合格前的保管工作由乙方负责，费</w:t>
      </w:r>
      <w:r>
        <w:rPr>
          <w:rFonts w:hint="eastAsia" w:ascii="Times New Roman" w:hAnsi="Times New Roman" w:eastAsia="宋体"/>
          <w:color w:val="auto"/>
          <w:lang w:eastAsia="zh-CN"/>
        </w:rPr>
        <w:t xml:space="preserve">用由</w:t>
      </w:r>
      <w:r>
        <w:rPr>
          <w:rFonts w:hint="eastAsia" w:ascii="Times New Roman" w:hAnsi="Times New Roman" w:eastAsia="宋体"/>
          <w:color w:val="auto"/>
        </w:rPr>
        <w:t xml:space="preserve">乙方承担。</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14.4 在交付甲方前发生的风险均由乙方负责。</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14.5 在规定的交付期限内由乙方送达甲方指定的地点，经初步验收即视为交付。</w:t>
      </w:r>
      <w:r/>
    </w:p>
    <w:p>
      <w:pPr>
        <w:ind w:left="315" w:firstLine="105"/>
        <w:keepLines w:val="0"/>
        <w:keepNext w:val="0"/>
        <w:pageBreakBefore w:val="0"/>
        <w:spacing w:line="360" w:lineRule="auto"/>
        <w:widowControl w:val="off"/>
        <w:rPr>
          <w:rFonts w:ascii="Times New Roman" w:hAnsi="Times New Roman" w:eastAsia="宋体" w:cs="Courier New"/>
          <w:b/>
          <w:bCs/>
          <w:color w:val="auto"/>
          <w:szCs w:val="21"/>
        </w:rPr>
      </w:pPr>
      <w:r>
        <w:rPr>
          <w:rFonts w:hint="eastAsia" w:ascii="Times New Roman" w:hAnsi="Times New Roman" w:eastAsia="宋体"/>
          <w:b/>
          <w:bCs/>
          <w:color w:val="auto"/>
          <w:szCs w:val="21"/>
          <w:lang w:eastAsia="zh-CN"/>
        </w:rPr>
        <w:t xml:space="preserve">15.</w:t>
      </w:r>
      <w:r>
        <w:rPr>
          <w:rFonts w:hint="eastAsia" w:ascii="Times New Roman" w:hAnsi="Times New Roman" w:eastAsia="宋体"/>
          <w:b/>
          <w:bCs/>
          <w:color w:val="auto"/>
          <w:szCs w:val="21"/>
        </w:rPr>
        <w:t xml:space="preserve">违约责任</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15.1 甲方无正当理由拒绝初验收和终验收的，甲方应按未付款金额每日万分之五向乙方支付违约金。</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15.2 甲方无故逾期验收和无故逾期办理支付手续的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甲方应按逾期付款金额每日万分之五向乙方支付违约金。</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15.3乙方违约，在消除违约情形前，应按总额每日万分之五向甲方支付违约金，甲方可以从待付货款中扣除。如经甲方通知后仍未改正的，甲方有权解除本合同，</w:t>
      </w:r>
      <w:r>
        <w:rPr>
          <w:rFonts w:hint="eastAsia" w:ascii="Times New Roman" w:hAnsi="Times New Roman" w:eastAsia="宋体" w:cs="宋体"/>
          <w:color w:val="auto"/>
          <w:szCs w:val="21"/>
        </w:rPr>
        <w:t xml:space="preserve">同时乙方应按照合同总金额的</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u w:val="single"/>
          <w:lang w:val="en-US" w:eastAsia="zh-CN"/>
        </w:rPr>
        <w:t xml:space="preserve">30</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rPr>
        <w:t xml:space="preserve">%</w:t>
      </w:r>
      <w:r>
        <w:rPr>
          <w:rFonts w:ascii="Times New Roman" w:hAnsi="Times New Roman" w:eastAsia="宋体" w:cs="宋体"/>
          <w:color w:val="auto"/>
          <w:szCs w:val="21"/>
        </w:rPr>
        <w:t xml:space="preserve">向甲方支付违约金</w:t>
      </w:r>
      <w:r>
        <w:rPr>
          <w:rFonts w:hint="eastAsia" w:ascii="Times New Roman" w:hAnsi="Times New Roman" w:eastAsia="宋体" w:cs="宋体"/>
          <w:color w:val="auto"/>
          <w:szCs w:val="21"/>
        </w:rPr>
        <w:t xml:space="preserve">。如造成甲方损失超过违约金的，超出部分由乙方继续承担赔偿责任</w:t>
      </w:r>
      <w:r>
        <w:rPr>
          <w:rFonts w:hint="eastAsia" w:ascii="Times New Roman" w:hAnsi="Times New Roman" w:eastAsia="宋体"/>
          <w:color w:val="auto"/>
        </w:rPr>
        <w:t xml:space="preserve">。</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15.4</w:t>
      </w:r>
      <w:r>
        <w:rPr>
          <w:rFonts w:hint="eastAsia" w:ascii="Times New Roman" w:hAnsi="Times New Roman" w:eastAsia="宋体" w:cs="宋体"/>
          <w:color w:val="auto"/>
          <w:szCs w:val="21"/>
        </w:rPr>
        <w:t xml:space="preserve">乙方应按照合同约定交付货物，逾期交付或者不完整交付的，每逾期一日按照合同总额的千分之</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u w:val="single"/>
          <w:lang w:val="en-US" w:eastAsia="zh-CN"/>
        </w:rPr>
        <w:t xml:space="preserve">一</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rPr>
        <w:t xml:space="preserve">向甲方支付违约金，直至相应设备交付为止。乙方付款逾期超过</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u w:val="single"/>
          <w:lang w:val="en-US" w:eastAsia="zh-CN"/>
        </w:rPr>
        <w:t xml:space="preserve">15</w:t>
      </w:r>
      <w:r>
        <w:rPr>
          <w:rFonts w:hint="eastAsia" w:ascii="Times New Roman" w:hAnsi="Times New Roman" w:eastAsia="宋体" w:cs="宋体"/>
          <w:color w:val="auto"/>
          <w:szCs w:val="21"/>
          <w:u w:val="single"/>
        </w:rPr>
        <w:t xml:space="preserve"> </w:t>
      </w:r>
      <w:r>
        <w:rPr>
          <w:rFonts w:ascii="Times New Roman" w:hAnsi="Times New Roman" w:eastAsia="宋体" w:cs="宋体"/>
          <w:color w:val="auto"/>
          <w:szCs w:val="21"/>
        </w:rPr>
        <w:t xml:space="preserve">天</w:t>
      </w:r>
      <w:r>
        <w:rPr>
          <w:rFonts w:hint="eastAsia" w:ascii="Times New Roman" w:hAnsi="Times New Roman" w:eastAsia="宋体" w:cs="宋体"/>
          <w:color w:val="auto"/>
          <w:szCs w:val="21"/>
        </w:rPr>
        <w:t xml:space="preserve">（含）以上，甲方有权解除合同，同时乙方应按照合同总金额的</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u w:val="single"/>
          <w:lang w:val="en-US" w:eastAsia="zh-CN"/>
        </w:rPr>
        <w:t xml:space="preserve">30</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rPr>
        <w:t xml:space="preserve">%</w:t>
      </w:r>
      <w:r>
        <w:rPr>
          <w:rFonts w:ascii="Times New Roman" w:hAnsi="Times New Roman" w:eastAsia="宋体" w:cs="宋体"/>
          <w:color w:val="auto"/>
          <w:szCs w:val="21"/>
        </w:rPr>
        <w:t xml:space="preserve">向甲方支付违约金</w:t>
      </w:r>
      <w:r>
        <w:rPr>
          <w:rFonts w:hint="eastAsia" w:ascii="Times New Roman" w:hAnsi="Times New Roman" w:eastAsia="宋体" w:cs="宋体"/>
          <w:color w:val="auto"/>
          <w:szCs w:val="21"/>
        </w:rPr>
        <w:t xml:space="preserve">。如造成甲方损失超过违约金的，超出部分由乙方继续承担赔偿责任</w:t>
      </w:r>
      <w:r>
        <w:rPr>
          <w:rFonts w:hint="eastAsia" w:ascii="Times New Roman" w:hAnsi="Times New Roman" w:eastAsia="宋体"/>
          <w:color w:val="auto"/>
        </w:rPr>
        <w:t xml:space="preserve">。</w:t>
      </w:r>
      <w:r/>
    </w:p>
    <w:p>
      <w:pPr>
        <w:ind w:firstLine="420"/>
        <w:keepLines w:val="0"/>
        <w:keepNext w:val="0"/>
        <w:pageBreakBefore w:val="0"/>
        <w:spacing w:line="360" w:lineRule="auto"/>
        <w:widowControl w:val="off"/>
        <w:rPr>
          <w:rFonts w:ascii="Times New Roman" w:hAnsi="Times New Roman" w:eastAsia="宋体"/>
          <w:color w:val="auto"/>
        </w:rPr>
      </w:pPr>
      <w:r>
        <w:rPr>
          <w:rFonts w:hint="eastAsia" w:ascii="Times New Roman" w:hAnsi="Times New Roman" w:eastAsia="宋体"/>
          <w:color w:val="auto"/>
        </w:rPr>
        <w:t xml:space="preserve">15.5 乙方所交的全部或部分品种、型号、规格、技术参数、质量不符合合同规定及招标文件规定标准的，乙方更换但逾期交货的（甲方拒绝接受的除外），按乙方逾期交货处理；乙方拒绝更换的，甲方可选择解除本合同或本合同的一部分，并可追究乙方的其他违约责任。</w:t>
      </w:r>
      <w:r/>
    </w:p>
    <w:p>
      <w:pPr>
        <w:ind w:firstLine="420"/>
        <w:keepLines w:val="0"/>
        <w:keepNext w:val="0"/>
        <w:pageBreakBefore w:val="0"/>
        <w:spacing w:line="360" w:lineRule="auto"/>
        <w:widowControl w:val="off"/>
        <w:rPr>
          <w:rFonts w:ascii="Times New Roman" w:hAnsi="Times New Roman" w:eastAsia="宋体" w:cs="宋体"/>
          <w:color w:val="auto"/>
          <w:szCs w:val="21"/>
        </w:rPr>
      </w:pPr>
      <w:r>
        <w:rPr>
          <w:rFonts w:hint="eastAsia" w:ascii="Times New Roman" w:hAnsi="Times New Roman" w:eastAsia="宋体" w:cs="宋体"/>
          <w:color w:val="auto"/>
          <w:szCs w:val="21"/>
        </w:rPr>
        <w:t xml:space="preserve">15.6合同生效后，发现乙方投标属虚假承诺，或经权威部门监测提供的货物不能满足采购文件要求，造成合同无法继续履行的</w:t>
      </w:r>
      <w:r>
        <w:rPr>
          <w:rFonts w:hint="eastAsia" w:ascii="Times New Roman" w:hAnsi="Times New Roman" w:eastAsia="宋体" w:cs="宋体"/>
          <w:color w:val="auto"/>
          <w:szCs w:val="21"/>
          <w:lang w:eastAsia="zh-CN"/>
        </w:rPr>
        <w:t xml:space="preserve">，</w:t>
      </w:r>
      <w:r>
        <w:rPr>
          <w:rFonts w:hint="eastAsia" w:ascii="Times New Roman" w:hAnsi="Times New Roman" w:eastAsia="宋体" w:cs="宋体"/>
          <w:color w:val="auto"/>
          <w:szCs w:val="21"/>
        </w:rPr>
        <w:t xml:space="preserve">还应向甲方支付不少于合同总价</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u w:val="single"/>
          <w:lang w:val="en-US" w:eastAsia="zh-CN"/>
        </w:rPr>
        <w:t xml:space="preserve"> 30</w:t>
      </w:r>
      <w:r>
        <w:rPr>
          <w:rFonts w:hint="eastAsia" w:ascii="Times New Roman" w:hAnsi="Times New Roman" w:eastAsia="宋体" w:cs="宋体"/>
          <w:color w:val="auto"/>
          <w:szCs w:val="21"/>
          <w:u w:val="single"/>
        </w:rPr>
        <w:t xml:space="preserve"> %</w:t>
      </w:r>
      <w:r>
        <w:rPr>
          <w:rFonts w:hint="eastAsia" w:ascii="Times New Roman" w:hAnsi="Times New Roman" w:eastAsia="宋体" w:cs="宋体"/>
          <w:color w:val="auto"/>
          <w:szCs w:val="21"/>
        </w:rPr>
        <w:t xml:space="preserve">赔偿金。</w:t>
      </w:r>
      <w:r/>
    </w:p>
    <w:p>
      <w:pPr>
        <w:ind w:left="315" w:firstLine="105"/>
        <w:keepLines w:val="0"/>
        <w:keepNext w:val="0"/>
        <w:pageBreakBefore w:val="0"/>
        <w:spacing w:line="360" w:lineRule="auto"/>
        <w:widowControl w:val="off"/>
        <w:rPr>
          <w:rFonts w:ascii="Times New Roman" w:hAnsi="Times New Roman" w:eastAsia="宋体" w:cs="Courier New"/>
          <w:b/>
          <w:bCs/>
          <w:color w:val="auto"/>
          <w:szCs w:val="21"/>
        </w:rPr>
      </w:pPr>
      <w:r>
        <w:rPr>
          <w:rFonts w:hint="eastAsia" w:ascii="Times New Roman" w:hAnsi="Times New Roman" w:eastAsia="宋体"/>
          <w:b/>
          <w:bCs/>
          <w:color w:val="auto"/>
          <w:szCs w:val="21"/>
          <w:lang w:eastAsia="zh-CN"/>
        </w:rPr>
        <w:t xml:space="preserve">16.</w:t>
      </w:r>
      <w:r>
        <w:rPr>
          <w:rFonts w:hint="eastAsia" w:ascii="Times New Roman" w:hAnsi="Times New Roman" w:eastAsia="宋体"/>
          <w:b/>
          <w:bCs/>
          <w:color w:val="auto"/>
          <w:szCs w:val="21"/>
        </w:rPr>
        <w:t xml:space="preserve">不可抗力事件处理</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17.</w:t>
      </w:r>
      <w:r>
        <w:rPr>
          <w:rFonts w:hint="eastAsia" w:ascii="Times New Roman" w:hAnsi="Times New Roman" w:eastAsia="宋体"/>
          <w:b/>
          <w:bCs/>
          <w:color w:val="auto"/>
          <w:szCs w:val="21"/>
        </w:rPr>
        <w:t xml:space="preserve">争议解决</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17.1 因项目质量问题发生争议的，可在国家认可的质量检测机构对质量进行鉴定。符合标准的，鉴定费由甲方承担；不符合质量标准的，鉴定费由乙方承担。</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17.2 因履行本合同引起的或与本合同有关的争议，甲、乙双方应首先通过友好协商解决；如果协商不能解决争议，甲乙双方同意采取下列两种方式的第</w:t>
      </w:r>
      <w:r>
        <w:rPr>
          <w:rFonts w:hint="eastAsia" w:ascii="Times New Roman" w:hAnsi="Times New Roman" w:eastAsia="宋体"/>
          <w:color w:val="auto"/>
          <w:szCs w:val="21"/>
          <w:u w:val="single"/>
        </w:rPr>
        <w:t xml:space="preserve">（</w:t>
      </w:r>
      <w:r>
        <w:rPr>
          <w:rFonts w:ascii="Times New Roman" w:hAnsi="Times New Roman" w:eastAsia="宋体"/>
          <w:color w:val="auto"/>
          <w:szCs w:val="21"/>
          <w:u w:val="single"/>
        </w:rPr>
        <w:t xml:space="preserve">2</w:t>
      </w:r>
      <w:r>
        <w:rPr>
          <w:rFonts w:hint="eastAsia" w:ascii="Times New Roman" w:hAnsi="Times New Roman" w:eastAsia="宋体"/>
          <w:color w:val="auto"/>
          <w:szCs w:val="21"/>
          <w:u w:val="single"/>
        </w:rPr>
        <w:t xml:space="preserve">）</w:t>
      </w:r>
      <w:r>
        <w:rPr>
          <w:rFonts w:hint="eastAsia" w:ascii="Times New Roman" w:hAnsi="Times New Roman" w:eastAsia="宋体"/>
          <w:color w:val="auto"/>
          <w:szCs w:val="21"/>
        </w:rPr>
        <w:t xml:space="preserve">种方式解决争议：</w:t>
      </w:r>
      <w:r/>
    </w:p>
    <w:p>
      <w:pPr>
        <w:ind w:firstLine="31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（1）向甲方所在地有管辖权的人民法院提起诉讼，适用中华人民共和国法律；</w:t>
      </w:r>
      <w:r/>
    </w:p>
    <w:p>
      <w:pPr>
        <w:ind w:left="420" w:hanging="105"/>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（2）向扬州仲裁委员会按其仲裁规则申请仲裁。</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17.3 若甲乙双方任何一方都没有选择解除合同的，为避免扩大损失，在诉讼或仲裁期间，双方应继续履行。</w:t>
      </w:r>
      <w:r/>
    </w:p>
    <w:p>
      <w:pPr>
        <w:ind w:left="315" w:firstLine="105"/>
        <w:keepLines w:val="0"/>
        <w:keepNext w:val="0"/>
        <w:pageBreakBefore w:val="0"/>
        <w:spacing w:line="360" w:lineRule="auto"/>
        <w:widowControl w:val="off"/>
        <w:rPr>
          <w:rFonts w:ascii="Times New Roman" w:hAnsi="Times New Roman" w:eastAsia="宋体"/>
          <w:b/>
          <w:bCs/>
          <w:color w:val="auto"/>
          <w:szCs w:val="21"/>
        </w:rPr>
      </w:pPr>
      <w:r>
        <w:rPr>
          <w:rFonts w:hint="eastAsia" w:ascii="Times New Roman" w:hAnsi="Times New Roman" w:eastAsia="宋体"/>
          <w:b/>
          <w:bCs/>
          <w:color w:val="auto"/>
          <w:szCs w:val="21"/>
          <w:lang w:eastAsia="zh-CN"/>
        </w:rPr>
        <w:t xml:space="preserve">18.</w:t>
      </w:r>
      <w:r>
        <w:rPr>
          <w:rFonts w:hint="eastAsia" w:ascii="Times New Roman" w:hAnsi="Times New Roman" w:eastAsia="宋体"/>
          <w:b/>
          <w:bCs/>
          <w:color w:val="auto"/>
          <w:szCs w:val="21"/>
        </w:rPr>
        <w:t xml:space="preserve">合同</w:t>
      </w:r>
      <w:r>
        <w:rPr>
          <w:rFonts w:hint="eastAsia" w:ascii="Times New Roman" w:hAnsi="Times New Roman" w:eastAsia="宋体"/>
          <w:b/>
          <w:bCs/>
          <w:color w:val="auto"/>
          <w:szCs w:val="21"/>
          <w:lang w:eastAsia="zh-CN"/>
        </w:rPr>
        <w:t xml:space="preserve">其他</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18.1 乙方应诚实信用，严格按照招标文件要求和投标承诺履行合同，不向甲方进行商业贿赂或者提供不正当利益。</w:t>
      </w:r>
      <w:r/>
    </w:p>
    <w:p>
      <w:pPr>
        <w:ind w:firstLine="420"/>
        <w:keepLines w:val="0"/>
        <w:keepNext w:val="0"/>
        <w:pageBreakBefore w:val="0"/>
        <w:spacing w:line="360" w:lineRule="auto"/>
        <w:widowControl w:val="off"/>
        <w:rPr>
          <w:rFonts w:ascii="Times New Roman" w:hAnsi="Times New Roman" w:eastAsia="宋体"/>
          <w:color w:val="auto"/>
          <w:szCs w:val="21"/>
        </w:rPr>
      </w:pPr>
      <w:r>
        <w:rPr>
          <w:rFonts w:hint="eastAsia" w:ascii="Times New Roman" w:hAnsi="Times New Roman" w:eastAsia="宋体"/>
          <w:color w:val="auto"/>
          <w:szCs w:val="21"/>
        </w:rPr>
        <w:t xml:space="preserve">18.2 合同经双方法定代表人或授权代表签字并加盖单位公章，并经见证</w:t>
      </w:r>
      <w:r>
        <w:rPr>
          <w:rFonts w:hint="eastAsia" w:ascii="Times New Roman" w:hAnsi="Times New Roman" w:eastAsia="宋体"/>
          <w:color w:val="auto"/>
          <w:szCs w:val="21"/>
          <w:lang w:val="en-US" w:eastAsia="zh-CN"/>
        </w:rPr>
        <w:t xml:space="preserve">方</w:t>
      </w:r>
      <w:r>
        <w:rPr>
          <w:rFonts w:hint="eastAsia" w:ascii="Times New Roman" w:hAnsi="Times New Roman" w:eastAsia="宋体"/>
          <w:color w:val="auto"/>
          <w:szCs w:val="21"/>
        </w:rPr>
        <w:t xml:space="preserve">盖章后生效。</w:t>
      </w:r>
      <w:r/>
    </w:p>
    <w:p>
      <w:pPr>
        <w:ind w:firstLine="420"/>
        <w:keepLines w:val="0"/>
        <w:keepNext w:val="0"/>
        <w:pageBreakBefore w:val="0"/>
        <w:spacing w:line="360" w:lineRule="auto"/>
        <w:widowControl w:val="off"/>
        <w:rPr>
          <w:rFonts w:ascii="Times New Roman" w:hAnsi="Times New Roman" w:eastAsia="宋体"/>
          <w:color w:val="auto"/>
          <w:szCs w:val="21"/>
          <w:u w:val="single"/>
        </w:rPr>
      </w:pPr>
      <w:r>
        <w:rPr>
          <w:rFonts w:hint="eastAsia" w:ascii="Times New Roman" w:hAnsi="Times New Roman" w:eastAsia="宋体"/>
          <w:color w:val="auto"/>
          <w:szCs w:val="21"/>
        </w:rPr>
        <w:t xml:space="preserve">18.</w:t>
      </w:r>
      <w:r>
        <w:rPr>
          <w:rFonts w:hint="eastAsia" w:ascii="Times New Roman" w:hAnsi="Times New Roman"/>
          <w:color w:val="auto"/>
          <w:szCs w:val="21"/>
          <w:lang w:val="en-US" w:eastAsia="zh-CN"/>
        </w:rPr>
        <w:t xml:space="preserve">3</w:t>
      </w:r>
      <w:r>
        <w:rPr>
          <w:rFonts w:hint="eastAsia" w:ascii="Times New Roman" w:hAnsi="Times New Roman" w:eastAsia="宋体"/>
          <w:color w:val="auto"/>
          <w:szCs w:val="21"/>
        </w:rPr>
        <w:t xml:space="preserve">本合同未尽事宜，遵照</w:t>
      </w:r>
      <w:r>
        <w:rPr>
          <w:rFonts w:hint="eastAsia" w:ascii="Times New Roman" w:hAnsi="Times New Roman" w:eastAsia="宋体"/>
          <w:color w:val="auto"/>
          <w:szCs w:val="21"/>
          <w:lang w:eastAsia="zh-CN"/>
        </w:rPr>
        <w:t xml:space="preserve">《中华人民共和国民法典》</w:t>
      </w:r>
      <w:r>
        <w:rPr>
          <w:rFonts w:hint="eastAsia" w:ascii="Times New Roman" w:hAnsi="Times New Roman" w:eastAsia="宋体"/>
          <w:color w:val="auto"/>
          <w:szCs w:val="21"/>
        </w:rPr>
        <w:t xml:space="preserve">有关条文执行。</w:t>
      </w:r>
      <w:r/>
    </w:p>
    <w:p>
      <w:pPr>
        <w:ind w:firstLine="420"/>
        <w:keepLines w:val="0"/>
        <w:keepNext w:val="0"/>
        <w:pageBreakBefore w:val="0"/>
        <w:spacing w:line="360" w:lineRule="auto"/>
        <w:widowControl w:val="off"/>
        <w:rPr>
          <w:rFonts w:hint="eastAsia" w:ascii="Times New Roman" w:hAnsi="Times New Roman" w:eastAsia="宋体"/>
          <w:color w:val="auto"/>
          <w:szCs w:val="21"/>
        </w:rPr>
      </w:pPr>
      <w:r>
        <w:rPr>
          <w:rFonts w:hint="eastAsia" w:ascii="Times New Roman" w:hAnsi="Times New Roman" w:eastAsia="宋体"/>
          <w:color w:val="auto"/>
          <w:szCs w:val="21"/>
        </w:rPr>
        <w:t xml:space="preserve">18.</w:t>
      </w:r>
      <w:r>
        <w:rPr>
          <w:rFonts w:hint="eastAsia" w:ascii="Times New Roman" w:hAnsi="Times New Roman"/>
          <w:color w:val="auto"/>
          <w:szCs w:val="21"/>
          <w:lang w:val="en-US" w:eastAsia="zh-CN"/>
        </w:rPr>
        <w:t xml:space="preserve">4</w:t>
      </w:r>
      <w:r>
        <w:rPr>
          <w:rFonts w:hint="eastAsia" w:ascii="Times New Roman" w:hAnsi="Times New Roman" w:eastAsia="宋体"/>
          <w:color w:val="auto"/>
          <w:szCs w:val="21"/>
        </w:rPr>
        <w:t xml:space="preserve">本合同正本一式</w:t>
      </w:r>
      <w:r>
        <w:rPr>
          <w:rFonts w:hint="eastAsia" w:ascii="Times New Roman" w:hAnsi="Times New Roman" w:eastAsia="宋体"/>
          <w:color w:val="auto"/>
          <w:szCs w:val="21"/>
          <w:lang w:val="en-US" w:eastAsia="zh-CN"/>
        </w:rPr>
        <w:t xml:space="preserve">伍</w:t>
      </w:r>
      <w:r>
        <w:rPr>
          <w:rFonts w:hint="eastAsia" w:ascii="Times New Roman" w:hAnsi="Times New Roman" w:eastAsia="宋体"/>
          <w:color w:val="auto"/>
          <w:szCs w:val="21"/>
        </w:rPr>
        <w:t xml:space="preserve">份，具有同等法律效力，甲方、乙方各执贰份</w:t>
      </w:r>
      <w:r>
        <w:rPr>
          <w:rFonts w:hint="eastAsia" w:ascii="Times New Roman" w:hAnsi="Times New Roman" w:eastAsia="宋体"/>
          <w:color w:val="auto"/>
          <w:szCs w:val="21"/>
          <w:lang w:eastAsia="zh-CN"/>
        </w:rPr>
        <w:t xml:space="preserve">、</w:t>
      </w:r>
      <w:r>
        <w:rPr>
          <w:rFonts w:hint="eastAsia" w:ascii="Times New Roman" w:hAnsi="Times New Roman" w:eastAsia="宋体"/>
          <w:color w:val="auto"/>
          <w:szCs w:val="21"/>
          <w:lang w:val="en-US" w:eastAsia="zh-CN"/>
        </w:rPr>
        <w:t xml:space="preserve">见证方执一份</w:t>
      </w:r>
      <w:r>
        <w:rPr>
          <w:rFonts w:hint="eastAsia" w:ascii="Times New Roman" w:hAnsi="Times New Roman" w:eastAsia="宋体"/>
          <w:color w:val="auto"/>
          <w:szCs w:val="21"/>
        </w:rPr>
        <w:t xml:space="preserve">。</w:t>
      </w:r>
      <w:r/>
    </w:p>
    <w:p>
      <w:pPr>
        <w:ind w:left="420" w:firstLine="21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甲方：                                   乙方：</w:t>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地址：</w:t>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 xml:space="preserve">                   地址： </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法定代表人或授权代表：                   法定代表人或授权代表：</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联系电话：                               联系电话：</w:t>
      </w:r>
      <w:r/>
    </w:p>
    <w:p>
      <w:pPr>
        <w:ind w:firstLine="630"/>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日期：      年    月    日               日期：      年    月    日</w:t>
      </w:r>
      <w:r/>
    </w:p>
    <w:p>
      <w:pPr>
        <w:ind w:left="420" w:firstLine="210"/>
        <w:pageBreakBefore w:val="0"/>
        <w:spacing w:line="360" w:lineRule="auto"/>
        <w:rPr>
          <w:rFonts w:hint="eastAsia"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r>
      <w:r/>
    </w:p>
    <w:p>
      <w:pPr>
        <w:ind w:left="420" w:firstLine="21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lang w:val="en-US" w:eastAsia="zh-CN"/>
        </w:rPr>
        <w:t xml:space="preserve">见证</w:t>
      </w:r>
      <w:r>
        <w:rPr>
          <w:rFonts w:hint="eastAsia" w:ascii="Times New Roman" w:hAnsi="Times New Roman" w:eastAsia="宋体"/>
          <w:color w:val="auto"/>
          <w:szCs w:val="21"/>
        </w:rPr>
        <w:t xml:space="preserve">方：                                   </w:t>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地址：</w:t>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ab/>
      </w:r>
      <w:r>
        <w:rPr>
          <w:rFonts w:hint="eastAsia" w:ascii="Times New Roman" w:hAnsi="Times New Roman" w:eastAsia="宋体"/>
          <w:color w:val="auto"/>
          <w:szCs w:val="21"/>
        </w:rPr>
        <w:t xml:space="preserve">                    </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法定代表人或授权代表：                   </w:t>
      </w:r>
      <w:r/>
    </w:p>
    <w:p>
      <w:pPr>
        <w:ind w:firstLine="420"/>
        <w:pageBreakBefore w:val="0"/>
        <w:spacing w:line="360" w:lineRule="auto"/>
        <w:rPr>
          <w:rFonts w:ascii="Times New Roman" w:hAnsi="Times New Roman" w:eastAsia="宋体"/>
          <w:color w:val="auto"/>
          <w:szCs w:val="21"/>
        </w:rPr>
      </w:pPr>
      <w:r>
        <w:rPr>
          <w:rFonts w:hint="eastAsia" w:ascii="Times New Roman" w:hAnsi="Times New Roman" w:eastAsia="宋体"/>
          <w:color w:val="auto"/>
          <w:szCs w:val="21"/>
        </w:rPr>
        <w:t xml:space="preserve">  联系电话：                               </w:t>
      </w:r>
      <w:r/>
    </w:p>
    <w:p>
      <w:pPr>
        <w:ind w:firstLine="630"/>
        <w:pageBreakBefore w:val="0"/>
        <w:spacing w:line="360" w:lineRule="auto"/>
        <w:rPr>
          <w:rFonts w:ascii="Times New Roman" w:hAnsi="Times New Roman" w:eastAsia="宋体" w:cs="宋体"/>
          <w:color w:val="auto"/>
          <w:szCs w:val="20"/>
        </w:rPr>
      </w:pPr>
      <w:r>
        <w:rPr>
          <w:rFonts w:hint="eastAsia" w:ascii="Times New Roman" w:hAnsi="Times New Roman" w:eastAsia="宋体"/>
          <w:color w:val="auto"/>
          <w:szCs w:val="21"/>
        </w:rPr>
        <w:t xml:space="preserve">日期：      年    月    日               </w:t>
      </w:r>
      <w:r/>
    </w:p>
    <w:p>
      <w:pPr>
        <w:pStyle w:val="717"/>
        <w:numPr>
          <w:ilvl w:val="0"/>
          <w:numId w:val="0"/>
        </w:numPr>
        <w:pageBreakBefore w:val="0"/>
        <w:spacing w:line="360" w:lineRule="auto"/>
        <w:rPr>
          <w:rFonts w:ascii="Times New Roman" w:hAnsi="Times New Roman" w:eastAsia="宋体"/>
          <w:color w:val="auto"/>
          <w:highlight w:val="none"/>
        </w:rPr>
      </w:pPr>
      <w:r/>
      <w:bookmarkStart w:id="69" w:name="_Toc14006"/>
      <w:r/>
      <w:bookmarkStart w:id="70" w:name="_Toc17457"/>
      <w:r>
        <w:rPr>
          <w:rFonts w:hint="eastAsia" w:ascii="Times New Roman" w:hAnsi="Times New Roman" w:eastAsia="宋体" w:cs="Arial"/>
          <w:b/>
          <w:color w:val="auto"/>
          <w:sz w:val="30"/>
          <w:szCs w:val="40"/>
          <w:lang w:val="en-US" w:eastAsia="zh-CN" w:bidi="ar-SA"/>
        </w:rPr>
        <w:t xml:space="preserve">第四章 </w:t>
      </w:r>
      <w:r>
        <w:rPr>
          <w:rFonts w:hint="eastAsia" w:ascii="Times New Roman" w:hAnsi="Times New Roman" w:eastAsia="宋体"/>
          <w:color w:val="auto"/>
          <w:highlight w:val="none"/>
        </w:rPr>
        <w:t xml:space="preserve">项目需求</w:t>
      </w:r>
      <w:bookmarkEnd w:id="67"/>
      <w:r/>
      <w:bookmarkEnd w:id="68"/>
      <w:r/>
      <w:bookmarkEnd w:id="69"/>
      <w:r/>
      <w:bookmarkEnd w:id="70"/>
      <w:r/>
      <w:r/>
    </w:p>
    <w:p>
      <w:pPr>
        <w:ind w:firstLine="422"/>
        <w:pageBreakBefore w:val="0"/>
        <w:spacing w:line="360" w:lineRule="auto"/>
        <w:rPr>
          <w:rFonts w:hint="eastAsia" w:ascii="Times New Roman" w:hAnsi="Times New Roman" w:eastAsia="宋体" w:cs="宋体"/>
          <w:b/>
          <w:bCs/>
          <w:color w:val="auto"/>
          <w:highlight w:val="none"/>
        </w:rPr>
      </w:pPr>
      <w:r/>
      <w:bookmarkStart w:id="71" w:name="_Toc319408306"/>
      <w:r/>
      <w:bookmarkStart w:id="72" w:name="_Toc55204181"/>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733"/>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4556"/>
      </w:tblGrid>
      <w:tr>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1</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eastAsia="zh-CN"/>
              </w:rPr>
              <w:suppressLineNumbers w:val="0"/>
            </w:pPr>
            <w:r>
              <w:rPr>
                <w:rFonts w:hint="eastAsia" w:ascii="Times New Roman" w:hAnsi="Times New Roman" w:eastAsia="宋体" w:cs="宋体"/>
                <w:color w:val="auto"/>
                <w:sz w:val="21"/>
                <w:szCs w:val="21"/>
                <w:highlight w:val="none"/>
                <w:lang w:eastAsia="zh-CN"/>
              </w:rPr>
              <w:t xml:space="preserve">工业机器人实训台</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4559"/>
      </w:tblGrid>
      <w:tr>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olor w:val="auto"/>
          <w:sz w:val="24"/>
          <w:szCs w:val="24"/>
          <w:highlight w:val="none"/>
          <w:lang w:eastAsia="zh-CN"/>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r/>
    </w:p>
    <w:p>
      <w:pPr>
        <w:pStyle w:val="755"/>
        <w:pageBreakBefore w:val="0"/>
        <w:spacing w:after="0" w:line="360" w:lineRule="auto"/>
        <w:rPr>
          <w:rFonts w:hint="eastAsia" w:ascii="Times New Roman" w:hAnsi="Times New Roman" w:eastAsia="宋体"/>
          <w:b w:val="0"/>
          <w:bCs/>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本项目立足智能制造产业人才需求，依托江苏省扬州技师学院现有办学与专业基础，提档升级建设标准化、开放式工业机器人公共实训基地，补齐区域高端实训与社会技能服务短板。项目建成后将建成多功能区域性实训服务平台，兼顾院校育人、社会培训、技能评价与产教服务，为地方智能制造产业发展提供高技能人才支撑</w:t>
      </w:r>
      <w:r>
        <w:rPr>
          <w:rFonts w:hint="eastAsia" w:ascii="Times New Roman" w:hAnsi="Times New Roman" w:eastAsia="宋体"/>
          <w:b w:val="0"/>
          <w:bCs/>
          <w:color w:val="auto"/>
          <w:sz w:val="21"/>
          <w:szCs w:val="21"/>
          <w:highlight w:val="none"/>
          <w:lang w:val="en-US" w:eastAsia="zh-CN"/>
        </w:rPr>
        <w:t xml:space="preserve">。</w:t>
      </w:r>
      <w:r/>
    </w:p>
    <w:p>
      <w:pPr>
        <w:pStyle w:val="755"/>
        <w:pageBreakBefore w:val="0"/>
        <w:spacing w:after="0" w:line="360" w:lineRule="auto"/>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b/>
          <w:color w:val="auto"/>
          <w:sz w:val="21"/>
          <w:szCs w:val="21"/>
          <w:highlight w:val="none"/>
          <w:lang w:val="en-US" w:eastAsia="zh-CN"/>
        </w:rPr>
        <w:t xml:space="preserve">三</w:t>
      </w:r>
      <w:r>
        <w:rPr>
          <w:rFonts w:hint="eastAsia" w:ascii="Times New Roman" w:hAnsi="Times New Roman" w:eastAsia="宋体"/>
          <w:b/>
          <w:color w:val="auto"/>
          <w:sz w:val="21"/>
          <w:szCs w:val="21"/>
          <w:highlight w:val="none"/>
        </w:rPr>
        <w:t xml:space="preserve">、</w:t>
      </w:r>
      <w:bookmarkEnd w:id="71"/>
      <w:r>
        <w:rPr>
          <w:rFonts w:hint="eastAsia" w:ascii="Times New Roman" w:hAnsi="Times New Roman" w:eastAsia="宋体"/>
          <w:b/>
          <w:color w:val="auto"/>
          <w:sz w:val="21"/>
          <w:szCs w:val="21"/>
          <w:highlight w:val="none"/>
          <w:lang w:val="en-US" w:eastAsia="zh-CN"/>
        </w:rPr>
        <w:t xml:space="preserve">采购清单</w:t>
      </w:r>
      <w:r>
        <w:rPr>
          <w:rFonts w:hint="eastAsia" w:ascii="Times New Roman" w:hAnsi="Times New Roman"/>
          <w:b/>
          <w:color w:val="auto"/>
          <w:sz w:val="21"/>
          <w:szCs w:val="21"/>
          <w:highlight w:val="none"/>
          <w:lang w:val="en-US" w:eastAsia="zh-CN"/>
        </w:rPr>
        <w:t xml:space="preserve">（本章</w:t>
      </w:r>
      <w:r>
        <w:rPr>
          <w:rFonts w:hint="eastAsia" w:ascii="Times New Roman" w:hAnsi="Times New Roman" w:eastAsia="宋体" w:cs="宋体"/>
          <w:b/>
          <w:bCs/>
          <w:color w:val="auto"/>
          <w:sz w:val="21"/>
          <w:szCs w:val="21"/>
          <w14:ligatures w14:val="none"/>
        </w:rPr>
        <w:t xml:space="preserve">所列参考品牌仅为说明技术标准与质量等级，非指定品牌。投标人可提供满足全部技术参数、同等或更高品质的其他品牌产品，评标委员会按参数与功能符合性评审。</w:t>
      </w:r>
      <w:r>
        <w:rPr>
          <w:rFonts w:hint="eastAsia" w:ascii="Times New Roman" w:hAnsi="Times New Roman"/>
          <w:b/>
          <w:color w:val="auto"/>
          <w:sz w:val="21"/>
          <w:szCs w:val="21"/>
          <w:highlight w:val="none"/>
          <w:lang w:val="en-US" w:eastAsia="zh-CN"/>
        </w:rPr>
        <w:t xml:space="preserve">）</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69"/>
        <w:gridCol w:w="1240"/>
        <w:gridCol w:w="5412"/>
        <w:gridCol w:w="661"/>
        <w:gridCol w:w="661"/>
      </w:tblGrid>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b/>
                <w:bCs/>
                <w:color w:val="auto"/>
                <w:sz w:val="21"/>
                <w:szCs w:val="21"/>
                <w:highlight w:val="none"/>
                <w:lang w:val="en-US" w:eastAsia="zh-CN" w:bidi="ar"/>
              </w:rPr>
              <w:t xml:space="preserve">序号</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14:ligatures w14:val="none"/>
              </w:rPr>
              <w:suppressLineNumbers w:val="0"/>
            </w:pPr>
            <w:r>
              <w:rPr>
                <w:rFonts w:hint="eastAsia" w:ascii="Times New Roman" w:hAnsi="Times New Roman" w:eastAsia="宋体" w:cs="宋体"/>
                <w:b/>
                <w:bCs/>
                <w:color w:val="auto"/>
                <w:sz w:val="21"/>
                <w:szCs w:val="21"/>
                <w:highlight w:val="none"/>
                <w:lang w:val="en-US" w:eastAsia="zh-CN" w:bidi="ar"/>
              </w:rPr>
              <w:t xml:space="preserve">设备名称</w:t>
            </w:r>
            <w:r/>
          </w:p>
        </w:tc>
        <w:tc>
          <w:tcPr>
            <w:shd w:val="clear" w:color="auto" w:fill="auto"/>
            <w:tcMar>
              <w:left w:w="120" w:type="dxa"/>
              <w:top w:w="120" w:type="dxa"/>
              <w:right w:w="120" w:type="dxa"/>
              <w:bottom w:w="120" w:type="dxa"/>
            </w:tcMar>
            <w:tcW w:w="3057"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14:ligatures w14:val="none"/>
              </w:rPr>
              <w:suppressLineNumbers w:val="0"/>
            </w:pPr>
            <w:r>
              <w:rPr>
                <w:rFonts w:hint="eastAsia" w:ascii="Times New Roman" w:hAnsi="Times New Roman" w:eastAsia="宋体" w:cs="宋体"/>
                <w:b/>
                <w:bCs/>
                <w:color w:val="auto"/>
                <w:sz w:val="21"/>
                <w:szCs w:val="21"/>
                <w:highlight w:val="none"/>
                <w:lang w:val="en-US" w:eastAsia="zh-CN" w:bidi="ar"/>
              </w:rPr>
              <w:t xml:space="preserve">技术参数要求</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b/>
                <w:bCs/>
                <w:color w:val="auto"/>
                <w:sz w:val="21"/>
                <w:szCs w:val="21"/>
                <w:highlight w:val="none"/>
                <w:lang w:val="en-US" w:eastAsia="zh-CN" w:bidi="ar"/>
              </w:rPr>
              <w:t xml:space="preserve">单位</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b/>
                <w:bCs/>
                <w:color w:val="auto"/>
                <w:sz w:val="21"/>
                <w:szCs w:val="21"/>
                <w:highlight w:val="none"/>
                <w:lang w:val="en-US" w:eastAsia="zh-CN" w:bidi="ar"/>
              </w:rPr>
              <w:t xml:space="preserve">数量</w:t>
            </w:r>
            <w:r/>
          </w:p>
        </w:tc>
      </w:tr>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1</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工业机器人实控虚仿真实训平台</w:t>
            </w:r>
            <w:r/>
          </w:p>
        </w:tc>
        <w:tc>
          <w:tcPr>
            <w:shd w:val="clear" w:color="auto" w:fill="auto"/>
            <w:tcMar>
              <w:left w:w="120" w:type="dxa"/>
              <w:top w:w="120" w:type="dxa"/>
              <w:right w:w="120" w:type="dxa"/>
              <w:bottom w:w="120" w:type="dxa"/>
            </w:tcMar>
            <w:tcW w:w="3057" w:type="pct"/>
            <w:vAlign w:val="center"/>
            <w:textDirection w:val="lrTb"/>
            <w:noWrap w:val="false"/>
          </w:tcPr>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（1）平台</w:t>
            </w:r>
            <w:r>
              <w:rPr>
                <w:rFonts w:hint="eastAsia" w:ascii="Times New Roman" w:hAnsi="Times New Roman" w:eastAsia="宋体" w:cs="宋体"/>
                <w:color w:val="auto"/>
                <w:sz w:val="21"/>
                <w:szCs w:val="21"/>
                <w:highlight w:val="none"/>
                <w:lang w:val="en-US" w:eastAsia="zh-CN"/>
                <w14:ligatures w14:val="none"/>
              </w:rPr>
              <w:t xml:space="preserve">需要至少包含</w:t>
            </w:r>
            <w:r>
              <w:rPr>
                <w:rFonts w:hint="eastAsia" w:ascii="Times New Roman" w:hAnsi="Times New Roman" w:eastAsia="宋体" w:cs="宋体"/>
                <w:color w:val="auto"/>
                <w:sz w:val="21"/>
                <w:szCs w:val="21"/>
                <w:highlight w:val="none"/>
                <w14:ligatures w14:val="none"/>
              </w:rPr>
              <w:t xml:space="preserve">ABB实体仿真示教器、FANUC实体仿真示教器、实训台体、</w:t>
            </w:r>
            <w:r>
              <w:rPr>
                <w:rFonts w:hint="eastAsia" w:ascii="Times New Roman" w:hAnsi="Times New Roman" w:eastAsia="宋体" w:cs="宋体"/>
                <w:color w:val="auto"/>
                <w:sz w:val="21"/>
                <w:szCs w:val="21"/>
                <w:highlight w:val="none"/>
                <w:lang w:val="en-US" w:eastAsia="zh-CN"/>
                <w14:ligatures w14:val="none"/>
              </w:rPr>
              <w:t xml:space="preserve">工控机</w:t>
            </w:r>
            <w:r>
              <w:rPr>
                <w:rFonts w:hint="eastAsia" w:ascii="Times New Roman" w:hAnsi="Times New Roman" w:eastAsia="宋体" w:cs="宋体"/>
                <w:color w:val="auto"/>
                <w:sz w:val="21"/>
                <w:szCs w:val="21"/>
                <w:highlight w:val="none"/>
                <w14:ligatures w14:val="none"/>
              </w:rPr>
              <w:t xml:space="preserve">及保护电路</w:t>
            </w:r>
            <w:r>
              <w:rPr>
                <w:rFonts w:hint="eastAsia" w:ascii="Times New Roman" w:hAnsi="Times New Roman" w:eastAsia="宋体" w:cs="宋体"/>
                <w:color w:val="auto"/>
                <w:sz w:val="21"/>
                <w:szCs w:val="21"/>
                <w:highlight w:val="none"/>
                <w:lang w:val="en-US" w:eastAsia="zh-CN"/>
                <w14:ligatures w14:val="none"/>
              </w:rPr>
              <w:t xml:space="preserve">及</w:t>
            </w:r>
            <w:r>
              <w:rPr>
                <w:rFonts w:hint="eastAsia" w:ascii="Times New Roman" w:hAnsi="Times New Roman" w:eastAsia="宋体" w:cs="宋体"/>
                <w:color w:val="auto"/>
                <w:sz w:val="21"/>
                <w:szCs w:val="21"/>
                <w:highlight w:val="none"/>
                <w14:ligatures w14:val="none"/>
              </w:rPr>
              <w:t xml:space="preserve">多个</w:t>
            </w:r>
            <w:r>
              <w:rPr>
                <w:rFonts w:hint="eastAsia" w:ascii="Times New Roman" w:hAnsi="Times New Roman" w:eastAsia="宋体" w:cs="宋体"/>
                <w:color w:val="auto"/>
                <w:sz w:val="21"/>
                <w:szCs w:val="21"/>
                <w:highlight w:val="none"/>
                <w:lang w:val="en-US" w:eastAsia="zh-CN"/>
                <w14:ligatures w14:val="none"/>
              </w:rPr>
              <w:t xml:space="preserve">典型工业</w:t>
            </w:r>
            <w:r>
              <w:rPr>
                <w:rFonts w:hint="eastAsia" w:ascii="Times New Roman" w:hAnsi="Times New Roman" w:eastAsia="宋体" w:cs="宋体"/>
                <w:color w:val="auto"/>
                <w:sz w:val="21"/>
                <w:szCs w:val="21"/>
                <w:highlight w:val="none"/>
                <w14:ligatures w14:val="none"/>
              </w:rPr>
              <w:t xml:space="preserve">应用场景软件（</w:t>
            </w:r>
            <w:r>
              <w:rPr>
                <w:rFonts w:hint="eastAsia" w:ascii="Times New Roman" w:hAnsi="Times New Roman" w:eastAsia="宋体" w:cs="宋体"/>
                <w:color w:val="auto"/>
                <w:sz w:val="21"/>
                <w:szCs w:val="21"/>
                <w:highlight w:val="none"/>
                <w:lang w:val="en-US" w:eastAsia="zh-CN"/>
                <w14:ligatures w14:val="none"/>
              </w:rPr>
              <w:t xml:space="preserve">如：</w:t>
            </w:r>
            <w:r>
              <w:rPr>
                <w:rFonts w:hint="eastAsia" w:ascii="Times New Roman" w:hAnsi="Times New Roman" w:eastAsia="宋体" w:cs="宋体"/>
                <w:color w:val="auto"/>
                <w:sz w:val="21"/>
                <w:szCs w:val="21"/>
                <w:highlight w:val="none"/>
                <w14:ligatures w14:val="none"/>
              </w:rPr>
              <w:t xml:space="preserve">机床上下料、焊接、搬运、轨迹等）</w:t>
            </w:r>
            <w:r>
              <w:rPr>
                <w:rFonts w:hint="eastAsia" w:ascii="Times New Roman" w:hAnsi="Times New Roman" w:eastAsia="宋体" w:cs="宋体"/>
                <w:color w:val="auto"/>
                <w:sz w:val="21"/>
                <w:szCs w:val="21"/>
                <w:highlight w:val="none"/>
                <w:lang w:val="en-US" w:eastAsia="zh-CN"/>
                <w14:ligatures w14:val="none"/>
              </w:rPr>
              <w:t xml:space="preserve">至少</w:t>
            </w:r>
            <w:r>
              <w:rPr>
                <w:rFonts w:hint="eastAsia" w:ascii="Times New Roman" w:hAnsi="Times New Roman" w:eastAsia="宋体" w:cs="宋体"/>
                <w:color w:val="auto"/>
                <w:sz w:val="21"/>
                <w:szCs w:val="21"/>
                <w:highlight w:val="none"/>
                <w14:ligatures w14:val="none"/>
              </w:rPr>
              <w:t xml:space="preserve">六大部分组成。</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虚拟仿真软件是利用三维建模技术构建实体工业机器人及各种工业机器应用工作环境，真实再现机器人各运动关节，软件中的三维模型可以方便的通过使用鼠标实现缩放、平移、旋转等功能。可实现机器人模拟仿真练习等功能。采用的是虚实结合的实训方式，能保证实训真实性。其中包含机器人机械手本体，机器人的服务对象，夹具，工件等是在计算机中利用三维技术构造虚拟的六自由度工业机器人及其服务对象及相关坏境进行实时动态模拟。能完成如码垛、轨迹等多项工业机器人应用仿真。</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（3）实体仿真</w:t>
            </w:r>
            <w:r>
              <w:rPr>
                <w:rFonts w:hint="eastAsia" w:ascii="宋体" w:hAnsi="宋体" w:cs="宋体"/>
                <w:color w:val="auto"/>
                <w:sz w:val="21"/>
                <w:szCs w:val="21"/>
                <w:highlight w:val="none"/>
                <w:lang w:val="en-US" w:eastAsia="zh-CN"/>
                <w14:ligatures w14:val="none"/>
              </w:rPr>
              <w:t xml:space="preserve">与市场主流品牌原厂一致的（如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lang w:val="en-US" w:eastAsia="zh-CN"/>
                <w14:ligatures w14:val="none"/>
              </w:rPr>
              <w:t xml:space="preserve">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示教器：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6.5寸人机交互可视化组件和</w:t>
            </w:r>
            <w:r>
              <w:rPr>
                <w:rFonts w:hint="eastAsia" w:ascii="Times New Roman" w:hAnsi="Times New Roman" w:cs="宋体"/>
                <w:color w:val="auto"/>
                <w:sz w:val="21"/>
                <w:szCs w:val="21"/>
                <w:highlight w:val="none"/>
                <w:lang w:eastAsia="zh-CN"/>
                <w14:ligatures w14:val="none"/>
              </w:rPr>
              <w:t xml:space="preserve">人机指令输入组件</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lang w:val="en-US" w:eastAsia="zh-CN"/>
                <w14:ligatures w14:val="none"/>
              </w:rPr>
              <w:t xml:space="preserve">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示教器外形（投标时提供满足要求的图片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lang w:val="en-US" w:eastAsia="zh-CN"/>
                <w14:ligatures w14:val="none"/>
              </w:rPr>
              <w:t xml:space="preserve">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功能按键、3D操纵杆等（投标时提供满足要求的图片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lang w:val="en-US" w:eastAsia="zh-CN"/>
                <w14:ligatures w14:val="none"/>
              </w:rPr>
              <w:t xml:space="preserve">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界面和操作习惯</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▲5）</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color w:val="auto"/>
                <w:highlight w:val="none"/>
                <w:lang w:val="en-US" w:eastAsia="zh-CN"/>
              </w:rPr>
              <w:t xml:space="preserve">ABB、</w:t>
            </w:r>
            <w:r>
              <w:rPr>
                <w:rFonts w:hint="eastAsia" w:ascii="宋体" w:hAnsi="宋体" w:eastAsia="宋体" w:cs="宋体"/>
                <w:color w:val="auto"/>
                <w:sz w:val="21"/>
                <w:szCs w:val="21"/>
                <w:highlight w:val="none"/>
                <w:lang w:val="en-US" w:eastAsia="zh-CN"/>
                <w14:ligatures w14:val="none"/>
              </w:rPr>
              <w:t xml:space="preserve">kuka</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指令格式、操作模式等（投标时提供满足要求的图片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b/>
                <w:i/>
                <w:iCs/>
                <w:color w:val="auto"/>
                <w:sz w:val="21"/>
                <w:szCs w:val="21"/>
                <w:highlight w:val="none"/>
                <w:u w:val="single"/>
                <w:lang w:eastAsia="zh-CN"/>
              </w:rPr>
            </w:pPr>
            <w:r>
              <w:rPr>
                <w:rFonts w:hint="eastAsia" w:ascii="Times New Roman" w:hAnsi="Times New Roman" w:eastAsia="宋体" w:cs="宋体"/>
                <w:i/>
                <w:iCs/>
                <w:color w:val="auto"/>
                <w:sz w:val="21"/>
                <w:szCs w:val="21"/>
                <w:highlight w:val="none"/>
                <w:u w:val="single"/>
                <w14:ligatures w14:val="none"/>
              </w:rPr>
              <w:t xml:space="preserve">★6）实体仿真示教器可兼容教学版</w:t>
            </w:r>
            <w:r>
              <w:rPr>
                <w:rFonts w:hint="eastAsia" w:ascii="Times New Roman" w:hAnsi="Times New Roman" w:cs="宋体"/>
                <w:i/>
                <w:iCs/>
                <w:color w:val="auto"/>
                <w:sz w:val="21"/>
                <w:szCs w:val="21"/>
                <w:highlight w:val="none"/>
                <w:u w:val="single"/>
                <w:lang w:val="en-US" w:eastAsia="zh-CN"/>
                <w14:ligatures w14:val="none"/>
              </w:rPr>
              <w:t xml:space="preserve">r</w:t>
            </w:r>
            <w:r>
              <w:rPr>
                <w:rFonts w:hint="eastAsia" w:ascii="Times New Roman" w:hAnsi="Times New Roman" w:eastAsia="宋体" w:cs="宋体"/>
                <w:i/>
                <w:iCs/>
                <w:color w:val="auto"/>
                <w:sz w:val="21"/>
                <w:szCs w:val="21"/>
                <w:highlight w:val="none"/>
                <w:u w:val="single"/>
                <w14:ligatures w14:val="none"/>
              </w:rPr>
              <w:t xml:space="preserve">obotstudio虚拟仿真</w:t>
            </w:r>
            <w:r>
              <w:rPr>
                <w:rFonts w:ascii="Times New Roman" w:hAnsi="Times New Roman" w:eastAsia="宋体" w:cs="宋体"/>
                <w:i/>
                <w:iCs/>
                <w:color w:val="auto"/>
                <w:sz w:val="21"/>
                <w:szCs w:val="21"/>
                <w:highlight w:val="none"/>
                <w:u w:val="single"/>
                <w14:ligatures w14:val="none"/>
              </w:rPr>
              <w:t xml:space="preserve">软件，可用示教器进行机器人不同场景的</w:t>
            </w:r>
            <w:r>
              <w:rPr>
                <w:rFonts w:hint="eastAsia" w:ascii="Times New Roman" w:hAnsi="Times New Roman" w:eastAsia="宋体" w:cs="宋体"/>
                <w:i/>
                <w:iCs/>
                <w:color w:val="auto"/>
                <w:sz w:val="21"/>
                <w:szCs w:val="21"/>
                <w:highlight w:val="none"/>
                <w:u w:val="single"/>
                <w14:ligatures w14:val="none"/>
              </w:rPr>
              <w:t xml:space="preserve">程序编写，编写和操作方法与原厂示教器一致，并驱动场景下的机器人根据编写的程序动作，实现互联互通控制功能。</w:t>
            </w:r>
            <w:r>
              <w:rPr>
                <w:rFonts w:hint="eastAsia" w:ascii="Times New Roman" w:hAnsi="Times New Roman" w:eastAsia="宋体" w:cs="宋体"/>
                <w:b/>
                <w:i/>
                <w:iCs/>
                <w:color w:val="auto"/>
                <w:sz w:val="21"/>
                <w:szCs w:val="21"/>
                <w:highlight w:val="none"/>
                <w:u w:val="single"/>
                <w:lang w:eastAsia="zh-CN"/>
              </w:rPr>
              <w:t xml:space="preserve">（投标时提供满足功能要求的演示视频，不</w:t>
            </w:r>
            <w:r>
              <w:rPr>
                <w:rFonts w:hint="eastAsia" w:ascii="Times New Roman" w:hAnsi="Times New Roman" w:cs="宋体"/>
                <w:b/>
                <w:i/>
                <w:iCs/>
                <w:color w:val="auto"/>
                <w:sz w:val="21"/>
                <w:szCs w:val="21"/>
                <w:highlight w:val="none"/>
                <w:u w:val="single"/>
                <w:lang w:val="en-US" w:eastAsia="zh-CN"/>
              </w:rPr>
              <w:t xml:space="preserve">提供演示</w:t>
            </w:r>
            <w:r>
              <w:rPr>
                <w:rFonts w:hint="eastAsia" w:ascii="Times New Roman" w:hAnsi="Times New Roman" w:eastAsia="宋体" w:cs="宋体"/>
                <w:b/>
                <w:i/>
                <w:iCs/>
                <w:color w:val="auto"/>
                <w:sz w:val="21"/>
                <w:szCs w:val="21"/>
                <w:highlight w:val="none"/>
                <w:u w:val="single"/>
                <w:lang w:eastAsia="zh-CN"/>
              </w:rPr>
              <w:t xml:space="preserve">的废标）</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演示要求如下：</w:t>
            </w:r>
            <w:r>
              <w:rPr>
                <w:rFonts w:hint="eastAsia" w:ascii="Times New Roman" w:hAnsi="Times New Roman" w:eastAsia="宋体" w:cs="宋体"/>
                <w:color w:val="auto"/>
                <w:sz w:val="21"/>
                <w:szCs w:val="21"/>
                <w:highlight w:val="none"/>
                <w14:ligatures w14:val="none"/>
              </w:rPr>
              <w:t xml:space="preserve">实体仿真示教器要求支持指令程序Break</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CallByVar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CompactIF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EXIT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ExitCycle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FOR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GOTO</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Label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ProcCall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RETURN</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Stop</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SystemStopAtion</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TEST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CancelLoad</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、CheckProgRef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Comment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EraseModule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RemoveAllCyclic、RemoveCylicBool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StarLoad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UnLoad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WaitDI</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WaitDO</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WaitTime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WaitUntil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AccSet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ActEvenBuffer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ConfJ</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ConfL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CornerPathWarninig</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DeactEvenBuffer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EoffsSet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GetJointData</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GripLoad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MechUnitLoad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PDispOff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PDispon</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PDispSet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ResetAxisDistance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SingArea</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SoftAct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SoftDeact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VelSet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ActUnit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DeactUnit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MoveAbsJ等。</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7）示教器配置</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①意法半导体（ST）处理器：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32-bitCortex-M3CPUCore</w:t>
            </w: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128KbytesFlash存储器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20KbytesSRAM</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②板载接口：</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一个VGA接口（16位色输出，支持音频输出）</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一个LCD接口（支持24位输出，默认未引出）</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一个485接口（最高速度1M，支持modbus协议）</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一个3线调试串口（6-pin2.54间距连接器）</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两个扩展接口，可扩展UART、I2C、SPI、UAB、CAN和PWM等接口</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一个JTAG接口（6-pin接口，默认未焊接连接器）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（4）实体仿真与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示教器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6.5寸彩色</w:t>
            </w:r>
            <w:r>
              <w:rPr>
                <w:rFonts w:hint="eastAsia" w:ascii="Times New Roman" w:hAnsi="Times New Roman" w:eastAsia="宋体" w:cs="宋体"/>
                <w:color w:val="auto"/>
                <w:sz w:val="21"/>
                <w:szCs w:val="21"/>
                <w:highlight w:val="none"/>
                <w:lang w:eastAsia="zh-CN"/>
                <w14:ligatures w14:val="none"/>
              </w:rPr>
              <w:t xml:space="preserve">人机交互可视化组件</w:t>
            </w:r>
            <w:r>
              <w:rPr>
                <w:rFonts w:hint="eastAsia" w:ascii="Times New Roman" w:hAnsi="Times New Roman" w:eastAsia="宋体" w:cs="宋体"/>
                <w:color w:val="auto"/>
                <w:sz w:val="21"/>
                <w:szCs w:val="21"/>
                <w:highlight w:val="none"/>
                <w14:ligatures w14:val="none"/>
              </w:rPr>
              <w:t xml:space="preserve">和</w:t>
            </w:r>
            <w:r>
              <w:rPr>
                <w:rFonts w:hint="eastAsia" w:ascii="Times New Roman" w:hAnsi="Times New Roman" w:eastAsia="宋体" w:cs="宋体"/>
                <w:color w:val="auto"/>
                <w:sz w:val="21"/>
                <w:szCs w:val="21"/>
                <w:highlight w:val="none"/>
                <w:lang w:eastAsia="zh-CN"/>
                <w14:ligatures w14:val="none"/>
              </w:rPr>
              <w:t xml:space="preserve">人机指令输入组件</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示教器外形尺寸。（投标时提供满足要求的图片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功能按键。（投标时提供满足要求的图片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界面和操作习惯。</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▲5）</w:t>
            </w:r>
            <w:r>
              <w:rPr>
                <w:rFonts w:hint="eastAsia" w:ascii="Times New Roman" w:hAnsi="Times New Roman" w:eastAsia="宋体" w:cs="宋体"/>
                <w:color w:val="auto"/>
                <w:sz w:val="21"/>
                <w:szCs w:val="21"/>
                <w:highlight w:val="none"/>
                <w:lang w:val="en-US" w:eastAsia="zh-CN"/>
                <w14:ligatures w14:val="none"/>
              </w:rPr>
              <w:t xml:space="preserve">要求需</w:t>
            </w:r>
            <w:r>
              <w:rPr>
                <w:rFonts w:hint="eastAsia" w:ascii="Times New Roman" w:hAnsi="Times New Roman" w:eastAsia="宋体" w:cs="宋体"/>
                <w:color w:val="auto"/>
                <w:sz w:val="21"/>
                <w:szCs w:val="21"/>
                <w:highlight w:val="none"/>
                <w14:ligatures w14:val="none"/>
              </w:rPr>
              <w:t xml:space="preserve">与</w:t>
            </w:r>
            <w:r>
              <w:rPr>
                <w:rFonts w:hint="eastAsia" w:ascii="宋体" w:hAnsi="宋体" w:cs="宋体"/>
                <w:color w:val="auto"/>
                <w:sz w:val="21"/>
                <w:szCs w:val="21"/>
                <w:highlight w:val="none"/>
                <w:lang w:val="en-US" w:eastAsia="zh-CN"/>
                <w14:ligatures w14:val="none"/>
              </w:rPr>
              <w:t xml:space="preserve">市场主流品牌原厂一致的（如</w:t>
            </w:r>
            <w:r>
              <w:rPr>
                <w:rFonts w:hint="eastAsia" w:ascii="宋体" w:hAnsi="宋体" w:eastAsia="宋体" w:cs="宋体"/>
                <w:color w:val="auto"/>
                <w:sz w:val="21"/>
                <w:szCs w:val="21"/>
                <w:highlight w:val="none"/>
                <w14:ligatures w14:val="none"/>
              </w:rPr>
              <w:t xml:space="preserve">FANUC</w:t>
            </w:r>
            <w:r>
              <w:rPr>
                <w:rFonts w:hint="eastAsia" w:ascii="宋体" w:hAnsi="宋体" w:eastAsia="宋体" w:cs="宋体"/>
                <w:color w:val="auto"/>
                <w:sz w:val="21"/>
                <w:szCs w:val="21"/>
                <w:highlight w:val="none"/>
                <w:lang w:eastAsia="zh-CN"/>
                <w14:ligatures w14:val="none"/>
              </w:rPr>
              <w:t xml:space="preserve">、</w:t>
            </w:r>
            <w:r>
              <w:rPr>
                <w:rFonts w:hint="eastAsia" w:ascii="宋体" w:hAnsi="宋体" w:eastAsia="宋体" w:cs="宋体"/>
                <w:color w:val="auto"/>
                <w:sz w:val="21"/>
                <w:szCs w:val="21"/>
                <w:highlight w:val="none"/>
                <w:lang w:val="en-US" w:eastAsia="zh-CN"/>
                <w14:ligatures w14:val="none"/>
              </w:rPr>
              <w:t xml:space="preserve">安川</w:t>
            </w:r>
            <w:r>
              <w:rPr>
                <w:rFonts w:hint="eastAsia" w:ascii="宋体" w:hAnsi="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指令格式、操作模式等。（投标时提供满足要求的图片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6）键盘采用优质薄膜面膜和轻触按键开关，方便后期维护，具有方式选择、双使能开关。功能按键等与真实FANUC示教器一致，操作习惯做到完全一致。</w:t>
            </w:r>
            <w:r/>
          </w:p>
          <w:p>
            <w:pPr>
              <w:jc w:val="both"/>
              <w:pageBreakBefore w:val="0"/>
              <w:spacing w:after="0" w:line="360" w:lineRule="auto"/>
              <w:rPr>
                <w:rFonts w:hint="eastAsia" w:ascii="Times New Roman" w:hAnsi="Times New Roman" w:eastAsia="宋体" w:cs="宋体"/>
                <w:i/>
                <w:iCs/>
                <w:color w:val="auto"/>
                <w:sz w:val="21"/>
                <w:szCs w:val="21"/>
                <w:highlight w:val="none"/>
                <w:u w:val="single"/>
                <w14:ligatures w14:val="none"/>
              </w:rPr>
            </w:pPr>
            <w:r>
              <w:rPr>
                <w:rFonts w:hint="eastAsia" w:ascii="Times New Roman" w:hAnsi="Times New Roman" w:eastAsia="宋体" w:cs="宋体"/>
                <w:i/>
                <w:iCs/>
                <w:color w:val="auto"/>
                <w:sz w:val="21"/>
                <w:szCs w:val="21"/>
                <w:highlight w:val="none"/>
                <w:u w:val="single"/>
                <w14:ligatures w14:val="none"/>
              </w:rPr>
              <w:t xml:space="preserve">★7）实体仿真示教器可兼容教学版ROBOGUIDE虚拟仿真</w:t>
            </w:r>
            <w:r>
              <w:rPr>
                <w:rFonts w:ascii="Times New Roman" w:hAnsi="Times New Roman" w:eastAsia="宋体" w:cs="宋体"/>
                <w:i/>
                <w:iCs/>
                <w:color w:val="auto"/>
                <w:sz w:val="21"/>
                <w:szCs w:val="21"/>
                <w:highlight w:val="none"/>
                <w:u w:val="single"/>
                <w14:ligatures w14:val="none"/>
              </w:rPr>
              <w:t xml:space="preserve">软件，可用示教器进行机器人不同场景的</w:t>
            </w:r>
            <w:r>
              <w:rPr>
                <w:rFonts w:hint="eastAsia" w:ascii="Times New Roman" w:hAnsi="Times New Roman" w:eastAsia="宋体" w:cs="宋体"/>
                <w:i/>
                <w:iCs/>
                <w:color w:val="auto"/>
                <w:sz w:val="21"/>
                <w:szCs w:val="21"/>
                <w:highlight w:val="none"/>
                <w:u w:val="single"/>
                <w14:ligatures w14:val="none"/>
              </w:rPr>
              <w:t xml:space="preserve">程序编写，编写和操作方法与原厂示教器一致，并驱动场景下的机器人根据编写的程序动作，实现互联互通控制功能。</w:t>
            </w:r>
            <w:r>
              <w:rPr>
                <w:rFonts w:hint="eastAsia" w:ascii="Times New Roman" w:hAnsi="Times New Roman" w:eastAsia="宋体" w:cs="宋体"/>
                <w:b/>
                <w:i/>
                <w:iCs/>
                <w:color w:val="auto"/>
                <w:sz w:val="21"/>
                <w:szCs w:val="21"/>
                <w:highlight w:val="none"/>
                <w:u w:val="single"/>
                <w:lang w:eastAsia="zh-CN"/>
              </w:rPr>
              <w:t xml:space="preserve">（投标时提供满足功能要求的演示视频，不</w:t>
            </w:r>
            <w:r>
              <w:rPr>
                <w:rFonts w:hint="eastAsia" w:ascii="Times New Roman" w:hAnsi="Times New Roman" w:cs="宋体"/>
                <w:b/>
                <w:i/>
                <w:iCs/>
                <w:color w:val="auto"/>
                <w:sz w:val="21"/>
                <w:szCs w:val="21"/>
                <w:highlight w:val="none"/>
                <w:u w:val="single"/>
                <w:lang w:val="en-US" w:eastAsia="zh-CN"/>
              </w:rPr>
              <w:t xml:space="preserve">提供演示</w:t>
            </w:r>
            <w:r>
              <w:rPr>
                <w:rFonts w:hint="eastAsia" w:ascii="Times New Roman" w:hAnsi="Times New Roman" w:eastAsia="宋体" w:cs="宋体"/>
                <w:b/>
                <w:i/>
                <w:iCs/>
                <w:color w:val="auto"/>
                <w:sz w:val="21"/>
                <w:szCs w:val="21"/>
                <w:highlight w:val="none"/>
                <w:u w:val="single"/>
                <w:lang w:eastAsia="zh-CN"/>
              </w:rPr>
              <w:t xml:space="preserve">的废标）</w:t>
            </w:r>
            <w:r/>
          </w:p>
          <w:p>
            <w:pPr>
              <w:jc w:val="both"/>
              <w:pageBreakBefore w:val="0"/>
              <w:spacing w:after="0" w:line="360" w:lineRule="auto"/>
              <w:rPr>
                <w:rFonts w:hint="eastAsia" w:ascii="Times New Roman" w:hAnsi="Times New Roman" w:eastAsia="宋体" w:cs="宋体"/>
                <w:b/>
                <w:bCs/>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演示要求如下：</w:t>
            </w:r>
            <w:r>
              <w:rPr>
                <w:rFonts w:hint="eastAsia" w:ascii="Times New Roman" w:hAnsi="Times New Roman" w:eastAsia="宋体" w:cs="宋体"/>
                <w:color w:val="auto"/>
                <w:sz w:val="21"/>
                <w:szCs w:val="21"/>
                <w:highlight w:val="none"/>
                <w14:ligatures w14:val="none"/>
              </w:rPr>
              <w:t xml:space="preserve">实体仿真FANUC示教器要求支持指令程序</w:t>
            </w:r>
            <w:r/>
          </w:p>
          <w:p>
            <w:pPr>
              <w:jc w:val="both"/>
              <w:pageBreakBefore w:val="0"/>
              <w:spacing w:after="0" w:line="360" w:lineRule="auto"/>
              <w:rPr>
                <w:rFonts w:hint="eastAsia" w:ascii="Times New Roman" w:hAnsi="Times New Roman" w:eastAsia="宋体" w:cs="宋体"/>
                <w:bCs/>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①</w:t>
            </w:r>
            <w:r>
              <w:rPr>
                <w:rFonts w:ascii="Times New Roman" w:hAnsi="Times New Roman" w:eastAsia="宋体" w:cs="宋体"/>
                <w:bCs/>
                <w:color w:val="auto"/>
                <w:sz w:val="21"/>
                <w:szCs w:val="21"/>
                <w:highlight w:val="none"/>
                <w14:ligatures w14:val="none"/>
              </w:rPr>
              <w:t xml:space="preserve">标准动作</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ascii="Times New Roman" w:hAnsi="Times New Roman" w:eastAsia="宋体" w:cs="宋体"/>
                <w:color w:val="auto"/>
                <w:sz w:val="21"/>
                <w:szCs w:val="21"/>
                <w:highlight w:val="none"/>
                <w14:ligatures w14:val="none"/>
              </w:rPr>
              <w:t xml:space="preserve">JP[]100%FINE、JP[]100%CNT100、LP[]100mn/secFINE、LP[]100mm/seeCNT100</w:t>
            </w:r>
            <w:r/>
          </w:p>
          <w:p>
            <w:pPr>
              <w:jc w:val="both"/>
              <w:pageBreakBefore w:val="0"/>
              <w:spacing w:after="0" w:line="360" w:lineRule="auto"/>
              <w:rPr>
                <w:rFonts w:hint="eastAsia" w:ascii="Times New Roman" w:hAnsi="Times New Roman" w:eastAsia="宋体" w:cs="宋体"/>
                <w:bCs/>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②调用指令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调用程序</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结束</w:t>
            </w:r>
            <w:r/>
          </w:p>
          <w:p>
            <w:pPr>
              <w:jc w:val="both"/>
              <w:pageBreakBefore w:val="0"/>
              <w:spacing w:after="0" w:line="360" w:lineRule="auto"/>
              <w:rPr>
                <w:rFonts w:hint="eastAsia" w:ascii="Times New Roman" w:hAnsi="Times New Roman" w:eastAsia="宋体" w:cs="宋体"/>
                <w:bCs/>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③JMP指令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JMPLBL[]</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LBL[]</w:t>
            </w:r>
            <w:r/>
          </w:p>
          <w:p>
            <w:pPr>
              <w:jc w:val="both"/>
              <w:pageBreakBefore w:val="0"/>
              <w:spacing w:after="0" w:line="360" w:lineRule="auto"/>
              <w:rPr>
                <w:rFonts w:hint="eastAsia" w:ascii="Times New Roman" w:hAnsi="Times New Roman" w:eastAsia="宋体" w:cs="宋体"/>
                <w:bCs/>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④等待指令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WAIT...(sec)</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WAIT...&lt;&gt;...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WAIT...&lt;...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WAIT...&lt;=...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WAIT(...)</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⑤</w:t>
            </w:r>
            <w:r>
              <w:rPr>
                <w:rFonts w:hint="eastAsia" w:ascii="Times New Roman" w:hAnsi="Times New Roman" w:eastAsia="宋体" w:cs="宋体"/>
                <w:color w:val="auto"/>
                <w:sz w:val="21"/>
                <w:szCs w:val="21"/>
                <w:highlight w:val="none"/>
                <w14:ligatures w14:val="none"/>
              </w:rPr>
              <w:t xml:space="preserve">IF指令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IF...=...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IF...&lt;&gt;...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IF...&lt;...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IF...&lt;=...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IF...&gt;=...</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IF(...)THEN</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ELSE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ENDIF</w:t>
            </w:r>
            <w:r>
              <w:rPr>
                <w:rFonts w:ascii="Times New Roman" w:hAnsi="Times New Roman" w:eastAsia="宋体" w:cs="宋体"/>
                <w:color w:val="auto"/>
                <w:sz w:val="21"/>
                <w:szCs w:val="21"/>
                <w:highlight w:val="none"/>
                <w14:ligatures w14:val="none"/>
              </w:rPr>
              <w:t xml:space="preserve">、SELECTR[]=..、</w:t>
            </w:r>
            <w:r>
              <w:rPr>
                <w:rFonts w:hint="eastAsia" w:ascii="Times New Roman" w:hAnsi="Times New Roman" w:eastAsia="宋体" w:cs="宋体"/>
                <w:color w:val="auto"/>
                <w:sz w:val="21"/>
                <w:szCs w:val="21"/>
                <w:highlight w:val="none"/>
                <w14:ligatures w14:val="none"/>
              </w:rPr>
              <w:t xml:space="preserve">&lt;</w:t>
            </w:r>
            <w:r>
              <w:rPr>
                <w:rFonts w:ascii="Times New Roman" w:hAnsi="Times New Roman" w:eastAsia="宋体" w:cs="宋体"/>
                <w:color w:val="auto"/>
                <w:sz w:val="21"/>
                <w:szCs w:val="21"/>
                <w:highlight w:val="none"/>
                <w14:ligatures w14:val="none"/>
              </w:rPr>
              <w:t xml:space="preserve">select</w:t>
            </w:r>
            <w:r>
              <w:rPr>
                <w:rFonts w:hint="eastAsia" w:ascii="Times New Roman" w:hAnsi="Times New Roman" w:eastAsia="宋体" w:cs="宋体"/>
                <w:color w:val="auto"/>
                <w:sz w:val="21"/>
                <w:szCs w:val="21"/>
                <w:highlight w:val="none"/>
                <w14:ligatures w14:val="none"/>
              </w:rPr>
              <w:t xml:space="preserve">&gt;=...</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、&lt;</w:t>
            </w:r>
            <w:r>
              <w:rPr>
                <w:rFonts w:ascii="Times New Roman" w:hAnsi="Times New Roman" w:eastAsia="宋体" w:cs="宋体"/>
                <w:color w:val="auto"/>
                <w:sz w:val="21"/>
                <w:szCs w:val="21"/>
                <w:highlight w:val="none"/>
                <w14:ligatures w14:val="none"/>
              </w:rPr>
              <w:t xml:space="preserve">select</w:t>
            </w:r>
            <w:r>
              <w:rPr>
                <w:rFonts w:hint="eastAsia" w:ascii="Times New Roman" w:hAnsi="Times New Roman" w:eastAsia="宋体" w:cs="宋体"/>
                <w:color w:val="auto"/>
                <w:sz w:val="21"/>
                <w:szCs w:val="21"/>
                <w:highlight w:val="none"/>
                <w14:ligatures w14:val="none"/>
              </w:rPr>
              <w:t xml:space="preserve">&gt;</w:t>
            </w:r>
            <w:r>
              <w:rPr>
                <w:rFonts w:ascii="Times New Roman" w:hAnsi="Times New Roman" w:eastAsia="宋体" w:cs="宋体"/>
                <w:color w:val="auto"/>
                <w:sz w:val="21"/>
                <w:szCs w:val="21"/>
                <w:highlight w:val="none"/>
                <w14:ligatures w14:val="none"/>
              </w:rPr>
              <w:t xml:space="preserve">ELSE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⑥</w:t>
            </w:r>
            <w:r>
              <w:rPr>
                <w:rFonts w:ascii="Times New Roman" w:hAnsi="Times New Roman" w:eastAsia="宋体" w:cs="宋体"/>
                <w:color w:val="auto"/>
                <w:sz w:val="21"/>
                <w:szCs w:val="21"/>
                <w:highlight w:val="none"/>
                <w14:ligatures w14:val="none"/>
              </w:rPr>
              <w:t xml:space="preserve">I</w:t>
            </w:r>
            <w:r>
              <w:rPr>
                <w:rFonts w:hint="eastAsia" w:ascii="Times New Roman" w:hAnsi="Times New Roman" w:eastAsia="宋体" w:cs="宋体"/>
                <w:color w:val="auto"/>
                <w:sz w:val="21"/>
                <w:szCs w:val="21"/>
                <w:highlight w:val="none"/>
                <w14:ligatures w14:val="none"/>
              </w:rPr>
              <w:t xml:space="preserve">o指令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DO[]=...</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R[]=DI[]</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RO[]=...</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R[]=RI[]</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GO[]=...</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R[]=GI[]</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AO[]=...R[]=AI[]</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F[]=(...)</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bCs/>
                <w:color w:val="auto"/>
                <w:sz w:val="21"/>
                <w:szCs w:val="21"/>
                <w:highlight w:val="none"/>
                <w14:ligatures w14:val="none"/>
              </w:rPr>
              <w:t xml:space="preserve">⑦</w:t>
            </w:r>
            <w:r>
              <w:rPr>
                <w:rFonts w:hint="eastAsia" w:ascii="Times New Roman" w:hAnsi="Times New Roman" w:eastAsia="宋体" w:cs="宋体"/>
                <w:color w:val="auto"/>
                <w:sz w:val="21"/>
                <w:szCs w:val="21"/>
                <w:highlight w:val="none"/>
                <w14:ligatures w14:val="none"/>
              </w:rPr>
              <w:t xml:space="preserve">寄存器指令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...=...DIV...</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...=...MOD...</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⑧其他指令</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RSR[]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UALM[]</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TIMER[]</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OVERRIDE</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Remark</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Message、Parametername、最大速度</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多种语言备注。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8）示教器配置</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①意法半导体（ST）处理器：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32-bitCortex-M3CPUCore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128KbytesFlash存储器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20KbytesSRAM</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②板载接口：</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一个VGA接口（16位色输出，支持音频输出）</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一个LCD接口（支持24位输出，默认未引出）</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一个485接口（最高速度1M，支持modbus协议）</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一个3线调试串口（6-pin2.54间距连接器）</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两个扩展接口，可扩展UART、I2C、SPI、UAB、CAN和PWM等接口</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一个JTAG接口（6-pin接口，默认未焊接连接器）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（5）实训台：</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1）实训台为双工位结构，可同时满足2个学生做仿真实训。可在桌上完成书写工作以及机器人虚拟仿真程序编写与操作；</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2）实训台要求外观精美，现代感强。由钣金件等材料科学搭配精制而成；</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3）实训台里含</w:t>
            </w:r>
            <w:r>
              <w:rPr>
                <w:rFonts w:hint="eastAsia" w:ascii="Times New Roman" w:hAnsi="Times New Roman" w:eastAsia="宋体" w:cs="宋体"/>
                <w:color w:val="auto"/>
                <w:sz w:val="21"/>
                <w:szCs w:val="21"/>
                <w:highlight w:val="none"/>
                <w:lang w:val="en-US" w:eastAsia="zh-CN"/>
                <w14:ligatures w14:val="none"/>
              </w:rPr>
              <w:t xml:space="preserve">工控机</w:t>
            </w:r>
            <w:r>
              <w:rPr>
                <w:rFonts w:hint="eastAsia" w:ascii="Times New Roman" w:hAnsi="Times New Roman" w:eastAsia="宋体" w:cs="宋体"/>
                <w:color w:val="auto"/>
                <w:sz w:val="21"/>
                <w:szCs w:val="21"/>
                <w:highlight w:val="none"/>
                <w14:ligatures w14:val="none"/>
              </w:rPr>
              <w:t xml:space="preserve">、</w:t>
            </w:r>
            <w:r>
              <w:rPr>
                <w:rFonts w:hint="eastAsia" w:ascii="Times New Roman" w:hAnsi="Times New Roman" w:cs="宋体"/>
                <w:color w:val="auto"/>
                <w:sz w:val="21"/>
                <w:szCs w:val="21"/>
                <w:highlight w:val="none"/>
                <w:lang w:eastAsia="zh-CN"/>
                <w14:ligatures w14:val="none"/>
              </w:rPr>
              <w:t xml:space="preserve">可视化输出单元</w:t>
            </w:r>
            <w:r>
              <w:rPr>
                <w:rFonts w:hint="eastAsia" w:ascii="Times New Roman" w:hAnsi="Times New Roman" w:eastAsia="宋体" w:cs="宋体"/>
                <w:color w:val="auto"/>
                <w:sz w:val="21"/>
                <w:szCs w:val="21"/>
                <w:highlight w:val="none"/>
                <w14:ligatures w14:val="none"/>
              </w:rPr>
              <w:t xml:space="preserve">等设备，并安装保护开关，具有接地保护、过流、过载、漏电保护功能，符合相关的国家标准,提高运行的安全性；</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4）实训台尺寸长*宽*高</w:t>
            </w: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1100*900*1400mm。</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（6）高性能</w:t>
            </w:r>
            <w:r>
              <w:rPr>
                <w:rFonts w:hint="eastAsia" w:ascii="Times New Roman" w:hAnsi="Times New Roman" w:eastAsia="宋体" w:cs="宋体"/>
                <w:color w:val="auto"/>
                <w:sz w:val="21"/>
                <w:szCs w:val="21"/>
                <w:highlight w:val="none"/>
                <w:lang w:val="en-US" w:eastAsia="zh-CN"/>
                <w14:ligatures w14:val="none"/>
              </w:rPr>
              <w:t xml:space="preserve">工控机</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处理器：核心数≥10；总线程≥16；最大睿频≥4.6GHz；缓存≥20MB、内存</w:t>
            </w:r>
            <w:r>
              <w:rPr>
                <w:rFonts w:hint="eastAsia" w:ascii="Times New Roman" w:hAnsi="Times New Roman" w:eastAsia="宋体" w:cs="宋体"/>
                <w:color w:val="auto"/>
                <w:sz w:val="21"/>
                <w:szCs w:val="21"/>
                <w:highlight w:val="none"/>
                <w:lang w:val="en-US" w:eastAsia="zh-CN"/>
                <w14:ligatures w14:val="none"/>
              </w:rPr>
              <w:t xml:space="preserve">:</w:t>
            </w:r>
            <w:r>
              <w:rPr>
                <w:rFonts w:hint="eastAsia" w:ascii="Times New Roman" w:hAnsi="Times New Roman" w:eastAsia="宋体" w:cs="宋体"/>
                <w:color w:val="auto"/>
                <w:sz w:val="21"/>
                <w:szCs w:val="21"/>
                <w:highlight w:val="none"/>
                <w14:ligatures w14:val="none"/>
              </w:rPr>
              <w:t xml:space="preserve">≥8G、</w:t>
            </w:r>
            <w:r>
              <w:rPr>
                <w:rFonts w:hint="eastAsia" w:ascii="Times New Roman" w:hAnsi="Times New Roman" w:eastAsia="宋体" w:cs="宋体"/>
                <w:color w:val="auto"/>
                <w:sz w:val="21"/>
                <w:szCs w:val="21"/>
                <w:highlight w:val="none"/>
                <w:lang w:val="en-US" w:eastAsia="zh-CN"/>
                <w14:ligatures w14:val="none"/>
              </w:rPr>
              <w:t xml:space="preserve">硬盘:</w:t>
            </w:r>
            <w:r>
              <w:rPr>
                <w:rFonts w:hint="eastAsia" w:ascii="Times New Roman" w:hAnsi="Times New Roman" w:eastAsia="宋体" w:cs="宋体"/>
                <w:color w:val="auto"/>
                <w:sz w:val="21"/>
                <w:szCs w:val="21"/>
                <w:highlight w:val="none"/>
                <w14:ligatures w14:val="none"/>
              </w:rPr>
              <w:t xml:space="preserve">≥512</w:t>
            </w:r>
            <w:r>
              <w:rPr>
                <w:rFonts w:hint="eastAsia" w:ascii="Times New Roman" w:hAnsi="Times New Roman" w:eastAsia="宋体" w:cs="宋体"/>
                <w:color w:val="auto"/>
                <w:sz w:val="21"/>
                <w:szCs w:val="21"/>
                <w:highlight w:val="none"/>
                <w:lang w:val="en-US" w:eastAsia="zh-CN"/>
                <w14:ligatures w14:val="none"/>
              </w:rPr>
              <w:t xml:space="preserve">G</w:t>
            </w:r>
            <w:r>
              <w:rPr>
                <w:rFonts w:hint="eastAsia"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lang w:val="en-US" w:eastAsia="zh-CN"/>
                <w14:ligatures w14:val="none"/>
              </w:rPr>
              <w:t xml:space="preserve">显卡：</w:t>
            </w:r>
            <w:r>
              <w:rPr>
                <w:rFonts w:hint="eastAsia" w:ascii="Times New Roman" w:hAnsi="Times New Roman" w:eastAsia="宋体" w:cs="宋体"/>
                <w:color w:val="auto"/>
                <w:sz w:val="21"/>
                <w:szCs w:val="21"/>
                <w:highlight w:val="none"/>
                <w14:ligatures w14:val="none"/>
              </w:rPr>
              <w:t xml:space="preserve">≥2G独显、</w:t>
            </w:r>
            <w:r>
              <w:rPr>
                <w:rFonts w:hint="eastAsia" w:ascii="Times New Roman" w:hAnsi="Times New Roman" w:cs="宋体"/>
                <w:color w:val="auto"/>
                <w:sz w:val="21"/>
                <w:szCs w:val="21"/>
                <w:highlight w:val="none"/>
                <w:lang w:eastAsia="zh-CN"/>
                <w14:ligatures w14:val="none"/>
              </w:rPr>
              <w:t xml:space="preserve">可视化输出单元</w:t>
            </w:r>
            <w:r>
              <w:rPr>
                <w:rFonts w:hint="eastAsia" w:ascii="Times New Roman" w:hAnsi="Times New Roman" w:eastAsia="宋体" w:cs="宋体"/>
                <w:color w:val="auto"/>
                <w:sz w:val="21"/>
                <w:szCs w:val="21"/>
                <w:highlight w:val="none"/>
                <w:lang w:eastAsia="zh-CN"/>
                <w14:ligatures w14:val="none"/>
              </w:rPr>
              <w:t xml:space="preserve">：</w:t>
            </w:r>
            <w:r>
              <w:rPr>
                <w:rFonts w:hint="eastAsia" w:ascii="Times New Roman" w:hAnsi="Times New Roman" w:eastAsia="宋体" w:cs="宋体"/>
                <w:color w:val="auto"/>
                <w:sz w:val="21"/>
                <w:szCs w:val="21"/>
                <w:highlight w:val="none"/>
                <w14:ligatures w14:val="none"/>
              </w:rPr>
              <w:t xml:space="preserve">≥27寸。</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（7）应用场景软件：</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应用场景：机床上下料工作站场景、焊接工作站场景、搬运工作站场景等。</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（8）教学实训内容：</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1）工业机器人的应用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2）机器人基本原理及组成实验</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3）工业机器人运动学分析及控制</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4）六自由度机器人关节运动控制实验</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5）六自由度机器人直线运动轨迹控制实验</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6）六自由度机器人圆弧运动轨迹控制实验</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7）机器人控制基本操作实训</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8）机器人坐标系应用操作实训</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9）机器人操作及示教编程实训</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10）机器人典型应用-焊接应用实例</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11）机器人典型应用-机床上下料应用实例</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12）机器人典型应用-码垛搬运应用实例等</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9</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配套工业机器人云平台系统（本项目配置1</w:t>
            </w:r>
            <w:r>
              <w:rPr>
                <w:rFonts w:ascii="Times New Roman" w:hAnsi="Times New Roman" w:eastAsia="宋体" w:cs="宋体"/>
                <w:color w:val="auto"/>
                <w:sz w:val="21"/>
                <w:szCs w:val="21"/>
                <w:highlight w:val="none"/>
                <w14:ligatures w14:val="none"/>
              </w:rPr>
              <w:t xml:space="preserve">套</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b w:val="0"/>
                <w:bCs w:val="0"/>
                <w:color w:val="auto"/>
                <w:sz w:val="21"/>
                <w:szCs w:val="21"/>
                <w:highlight w:val="none"/>
                <w14:ligatures w14:val="none"/>
              </w:rPr>
            </w:pPr>
            <w:r>
              <w:rPr>
                <w:rFonts w:hint="eastAsia" w:ascii="Times New Roman" w:hAnsi="Times New Roman" w:eastAsia="宋体" w:cs="宋体"/>
                <w:b w:val="0"/>
                <w:bCs w:val="0"/>
                <w:color w:val="auto"/>
                <w:sz w:val="21"/>
                <w:szCs w:val="21"/>
                <w:highlight w:val="none"/>
                <w14:ligatures w14:val="none"/>
              </w:rPr>
              <w:t xml:space="preserve">1</w:t>
            </w:r>
            <w:r>
              <w:rPr>
                <w:rFonts w:ascii="Times New Roman" w:hAnsi="Times New Roman" w:eastAsia="宋体" w:cs="宋体"/>
                <w:b w:val="0"/>
                <w:bCs w:val="0"/>
                <w:color w:val="auto"/>
                <w:sz w:val="21"/>
                <w:szCs w:val="21"/>
                <w:highlight w:val="none"/>
                <w14:ligatures w14:val="none"/>
              </w:rPr>
              <w:t xml:space="preserve">）</w:t>
            </w:r>
            <w:r>
              <w:rPr>
                <w:rFonts w:hint="eastAsia" w:ascii="Times New Roman" w:hAnsi="Times New Roman" w:eastAsia="宋体" w:cs="宋体"/>
                <w:b w:val="0"/>
                <w:bCs w:val="0"/>
                <w:color w:val="auto"/>
                <w:sz w:val="21"/>
                <w:szCs w:val="21"/>
                <w:highlight w:val="none"/>
                <w14:ligatures w14:val="none"/>
              </w:rPr>
              <w:t xml:space="preserve">管理云平台系统：</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平台应用：该平台基于工业机器人设备的模块化数据采集，通过工业网关实现设备上云，以及数据可视化管理，能够实时记录和管理工业互联网实训工作站、数字孪生3D场景的统计数据、传感数据以及操作运维等应用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平台功能：该平台具有数字化运维看板、实训仿真云平台、以及工业互联网数据采集云平台三部分功能；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数字化运维看板功能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①采用WEB端可视化，数字化运维看板，具有图表可视化看板，能够自动统计设备连接、设备统计、用户登录图表以及数据看板工程案例展示等功能；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②具有多种可视化看板模板，支持用户自定义选择模板、支持用户设置模板参数；</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4</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工业互联网数据采集云平台功能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①低代码数据看板功能：采用低代码编程，具有丰富的图表、图形、折线图等功能模块，可通过拖拽式进行布局和页面设计，支持文件导入、导出、保存等，支持在线预览；</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②数据可视化模板功能：具有丰富的背景、可视化工程案例模板，支持用户自定义创建和分享可视化模板；</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③设备管理功能：支持用户自定义分区、分类进行设备添加和管理，支持用户自定义设备数据接口、自定义管理设备维护数据内容；</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④网关管理功能：支持用户按照分区、分类进行网关模块的添加和管理，支持自定义网关的标识、品牌、型号以及关联到设备数据的接口；</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⑤在线互动功能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（a）配套Windows端的虚拟网关，能够基于虚拟网关、数据库测试和仿真工业互联网中台；</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（b）支持3D虚拟仿真，能够基于虚拟3D工厂链接至网关以及PLC系统，实现工业互联网的数据看板监控与管理仿真；</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▲5</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其他功能：（投标时提供满足要求的图片</w:t>
            </w:r>
            <w:r>
              <w:rPr>
                <w:rFonts w:hint="eastAsia" w:ascii="Times New Roman" w:hAnsi="Times New Roman" w:cs="宋体"/>
                <w:color w:val="auto"/>
                <w:sz w:val="21"/>
                <w:szCs w:val="21"/>
                <w:highlight w:val="none"/>
                <w:lang w:val="en-US" w:eastAsia="zh-CN"/>
                <w14:ligatures w14:val="none"/>
              </w:rPr>
              <w:t xml:space="preserve">扫描上传</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数据管理：支持在线低代码配置图表的数据源，支持随机数、MySQL数据库、MQTT的数据源选择、配置及管理；</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虚拟网盘功能：支持用户在线上传矢量图、2.5D、自定义图片、背景图、云盘附件等资源，同时支持在看板工程中进行拖拽式调用和设计；</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6</w:t>
            </w:r>
            <w:r>
              <w:rPr>
                <w:rFonts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14:ligatures w14:val="none"/>
              </w:rPr>
              <w:t xml:space="preserve">在线课程资源管理云平台</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①门户平台具有实验室介绍、在线课程/仿真以及系统下载管理的三部分功能板块；</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②具有学生账户导入、系统激活管理功能，支持Excel表账户导入、批量管理、单个管理、班级管理功能；</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③具有课程编辑功能，支持课程分类、搜索、可添加PDF课件、简介、视频、工程包、以及源代码附件功能，支持插入在线答题试卷；</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④课程能够提交与发布在门户网站以及数字孪生仿真系统之中，通过仿真系统可直接打开仿真工程并下载相关附件；</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⑤具有试题库编辑以及书卷编辑功能，能够在线编辑试题及答案，提供案例试题库；</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⑥支持试卷预览，试卷能够与仿真实验绑定，学生做完实验后可直接在线和在系统中答题，能够自动评分；</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⑦日志功能：具有系统操作的日志功能；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⑧具有虚拟网盘，支持图片、视频、PDF文档以及压缩包附件的上传与保存；基于B/S的云平台的在线系统及课程平台，具有账户管理、实验编辑发布、试卷管理、仿真门户管理、数据统计及日志、网盘管理以及学生监控等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▲⑨具有仿真门户平台，支持用户自定义编辑门户的banner图、logo、名称以及文字介绍等；</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▲⑩登录统计功能：能够图表统计学生对系统使用、网站使用的登录的统计。</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b w:val="0"/>
                <w:bCs w:val="0"/>
                <w:color w:val="auto"/>
                <w:sz w:val="21"/>
                <w:szCs w:val="21"/>
                <w:highlight w:val="none"/>
                <w:lang w:eastAsia="zh-CN"/>
                <w14:ligatures w14:val="none"/>
              </w:rPr>
            </w:pPr>
            <w:r>
              <w:rPr>
                <w:rFonts w:hint="eastAsia" w:ascii="Times New Roman" w:hAnsi="Times New Roman" w:eastAsia="宋体" w:cs="宋体"/>
                <w:b w:val="0"/>
                <w:bCs w:val="0"/>
                <w:color w:val="auto"/>
                <w:sz w:val="21"/>
                <w:szCs w:val="21"/>
                <w:highlight w:val="none"/>
                <w14:ligatures w14:val="none"/>
              </w:rPr>
              <w:t xml:space="preserve">2</w:t>
            </w:r>
            <w:r>
              <w:rPr>
                <w:rFonts w:ascii="Times New Roman" w:hAnsi="Times New Roman" w:eastAsia="宋体" w:cs="宋体"/>
                <w:b w:val="0"/>
                <w:bCs w:val="0"/>
                <w:color w:val="auto"/>
                <w:sz w:val="21"/>
                <w:szCs w:val="21"/>
                <w:highlight w:val="none"/>
                <w14:ligatures w14:val="none"/>
              </w:rPr>
              <w:t xml:space="preserve">）工业机器人拆装软件平台</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基于数字化设计及MR互动的综合性软件，集成了3D模型设计、虚拟拆装模拟、知识解说制作、在线考核评估及多平台兼容发布等模块。无需编写代码，即可通过直观的图形界面完成复杂的设置与配置，轻松实现个性化3D仿真教学与培训方案的定制与发布。</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、软件基于3D仿真应用，能够提供各种机械设备、自动化的1:1的虚拟搭建、虚拟拆装的仿真功能；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、软件能够发布WEB端应用，自动形成对该机器人平台的自动化拆装实训的评分、操作记录的功能；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4</w:t>
            </w:r>
            <w:r>
              <w:rPr>
                <w:rFonts w:ascii="Times New Roman" w:hAnsi="Times New Roman" w:eastAsia="宋体" w:cs="宋体"/>
                <w:color w:val="auto"/>
                <w:sz w:val="21"/>
                <w:szCs w:val="21"/>
                <w:highlight w:val="none"/>
                <w14:ligatures w14:val="none"/>
              </w:rPr>
              <w:t xml:space="preserve">、软件功能：采用低代码架构，支持用户自定义模型导入、模型编辑</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模型设置、以及模型关节设置，能够基于该平台实现机械设备的模型导入、模型编辑、拆装工艺设置、仿真工程发布以及在线评分的功能；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5</w:t>
            </w:r>
            <w:r>
              <w:rPr>
                <w:rFonts w:ascii="Times New Roman" w:hAnsi="Times New Roman" w:eastAsia="宋体" w:cs="宋体"/>
                <w:color w:val="auto"/>
                <w:sz w:val="21"/>
                <w:szCs w:val="21"/>
                <w:highlight w:val="none"/>
                <w14:ligatures w14:val="none"/>
              </w:rPr>
              <w:t xml:space="preserve">、3D模型导入与编辑：软件支持自定义模型导入与编辑，一键简化模型</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能够具备多种模型格式，包含FBX、STEP、STP、IGS、IGES等格式，能够自定义模型名称、树状图、以及中心点等；</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6</w:t>
            </w:r>
            <w:r>
              <w:rPr>
                <w:rFonts w:ascii="Times New Roman" w:hAnsi="Times New Roman" w:eastAsia="宋体" w:cs="宋体"/>
                <w:color w:val="auto"/>
                <w:sz w:val="21"/>
                <w:szCs w:val="21"/>
                <w:highlight w:val="none"/>
                <w14:ligatures w14:val="none"/>
              </w:rPr>
              <w:t xml:space="preserve">、支持多个模型导入与编辑，能够实现多个机械模型的合并、结构配置以及拆装工艺管理功能；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7</w:t>
            </w:r>
            <w:r>
              <w:rPr>
                <w:rFonts w:ascii="Times New Roman" w:hAnsi="Times New Roman" w:eastAsia="宋体" w:cs="宋体"/>
                <w:color w:val="auto"/>
                <w:sz w:val="21"/>
                <w:szCs w:val="21"/>
                <w:highlight w:val="none"/>
                <w14:ligatures w14:val="none"/>
              </w:rPr>
              <w:t xml:space="preserve">、软件支持用户自定义设置拆装流程、拆装工具选择（包含螺丝刀、镊子、钳子、扳手等）、拆装图文提示以及拆装考核分数；</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▲8</w:t>
            </w:r>
            <w:r>
              <w:rPr>
                <w:rFonts w:ascii="Times New Roman" w:hAnsi="Times New Roman" w:eastAsia="宋体" w:cs="宋体"/>
                <w:color w:val="auto"/>
                <w:sz w:val="21"/>
                <w:szCs w:val="21"/>
                <w:highlight w:val="none"/>
                <w14:ligatures w14:val="none"/>
              </w:rPr>
              <w:t xml:space="preserve">、虚拟仿真工程发布功能：该平台能够基于PC端进行拆装工艺的资源设计，可发布成WEB端应用、VR端应用、PC端应用的三种终端应用，提供三种终端的应用软件；</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▲9</w:t>
            </w:r>
            <w:r>
              <w:rPr>
                <w:rFonts w:ascii="Times New Roman" w:hAnsi="Times New Roman" w:eastAsia="宋体" w:cs="宋体"/>
                <w:color w:val="auto"/>
                <w:sz w:val="21"/>
                <w:szCs w:val="21"/>
                <w:highlight w:val="none"/>
                <w14:ligatures w14:val="none"/>
              </w:rPr>
              <w:t xml:space="preserve">、虚拟仿真在线WEB端管理平台：提供该虚拟仿真软件的在线WEB仿真平台软件，可实现用户在线编辑上传、发布仿真资源（包含PDF实训手册</w:t>
            </w: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在线答题、仿真工程等），具有练习模式和考核模式，考核模式可自动化形成学生的操作过程记录以及最终考核分数。</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工业机器人拆装仿真应用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、提供1:1的虚拟拆装结构认知及维护的仿真软件，基于3D仿真，该软件兼容PC端、VR端以及在线WEB端仿真</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、软件需具备多款典型的工业机器人的结构认知和教学实训的仿真，包含有工业六轴机器人、工业并联delta机器人、工业SCARA机器人以及四轴码垛机器人结构；</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、配置三维导航球，支持模型旋转、视野交互，并配置操作工艺38步骤的菜单等；</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4</w:t>
            </w:r>
            <w:r>
              <w:rPr>
                <w:rFonts w:ascii="Times New Roman" w:hAnsi="Times New Roman" w:eastAsia="宋体" w:cs="宋体"/>
                <w:color w:val="auto"/>
                <w:sz w:val="21"/>
                <w:szCs w:val="21"/>
                <w:highlight w:val="none"/>
                <w14:ligatures w14:val="none"/>
              </w:rPr>
              <w:t xml:space="preserve">、软件配备各类工具库模型资源，包含螺丝刀、镊子、扳手等；</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5</w:t>
            </w:r>
            <w:r>
              <w:rPr>
                <w:rFonts w:ascii="Times New Roman" w:hAnsi="Times New Roman" w:eastAsia="宋体" w:cs="宋体"/>
                <w:color w:val="auto"/>
                <w:sz w:val="21"/>
                <w:szCs w:val="21"/>
                <w:highlight w:val="none"/>
                <w14:ligatures w14:val="none"/>
              </w:rPr>
              <w:t xml:space="preserve">、小型六轴机器人拆装仿真：与该真实机器人1:1的本体仿真，小型六轴串联机器人通常由基座、腰部旋转关节、臂部伸缩关节、腕部弯曲关节以及末端执行器等关键部件构成。</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6</w:t>
            </w:r>
            <w:r>
              <w:rPr>
                <w:rFonts w:ascii="Times New Roman" w:hAnsi="Times New Roman" w:eastAsia="宋体" w:cs="宋体"/>
                <w:color w:val="auto"/>
                <w:sz w:val="21"/>
                <w:szCs w:val="21"/>
                <w:highlight w:val="none"/>
                <w14:ligatures w14:val="none"/>
              </w:rPr>
              <w:t xml:space="preserve">、功能提示：软件具有仿真步骤的标签、图片、视频等提示功能，能够在仿真过程之中提示和指导使用者该步骤工艺和指示点功能；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工业机器人核心零部件及外围器件拆装仿真</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提供以下仿真的PC端、WEB端以及VR端仿真资源包；</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、谐波减速箱拆装仿真，包含谐波减速原理动画、谐波减速箱拆装及认知仿真，提供PC端及WEB端仿真；</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2、行星减速箱拆装仿真，包含行星减速原理动画、行星减速拆装及认知仿真，提供PC端及WEB端仿真；</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3、工业机器人快换夹具拆装仿真：包含机器人末端夹具、工头及母头的快换模块拆装；</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4、双轴变位机拆装仿真：围绕机器人的外围双轴变位机系统的拆装仿真应用；</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▲5</w:t>
            </w:r>
            <w:r>
              <w:rPr>
                <w:rFonts w:ascii="Times New Roman" w:hAnsi="Times New Roman" w:eastAsia="宋体" w:cs="宋体"/>
                <w:color w:val="auto"/>
                <w:sz w:val="21"/>
                <w:szCs w:val="21"/>
                <w:highlight w:val="none"/>
                <w14:ligatures w14:val="none"/>
              </w:rPr>
              <w:t xml:space="preserve">、机器人行走轴拆装仿真：基于工业机器人的第七轴行走轴的结构拆装仿真</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b/>
                <w:bCs/>
                <w:color w:val="auto"/>
                <w:sz w:val="21"/>
                <w:szCs w:val="21"/>
                <w:highlight w:val="none"/>
                <w:lang w:eastAsia="zh-CN"/>
                <w14:ligatures w14:val="none"/>
              </w:rPr>
            </w:pPr>
            <w:r>
              <w:rPr>
                <w:rFonts w:hint="eastAsia" w:ascii="Times New Roman" w:hAnsi="Times New Roman" w:eastAsia="宋体" w:cs="宋体"/>
                <w:b/>
                <w:bCs/>
                <w:color w:val="auto"/>
                <w:sz w:val="21"/>
                <w:szCs w:val="21"/>
                <w:highlight w:val="none"/>
                <w14:ligatures w14:val="none"/>
              </w:rPr>
              <w:t xml:space="preserve">3</w:t>
            </w:r>
            <w:r>
              <w:rPr>
                <w:rFonts w:ascii="Times New Roman" w:hAnsi="Times New Roman" w:eastAsia="宋体" w:cs="宋体"/>
                <w:b/>
                <w:bCs/>
                <w:color w:val="auto"/>
                <w:sz w:val="21"/>
                <w:szCs w:val="21"/>
                <w:highlight w:val="none"/>
                <w14:ligatures w14:val="none"/>
              </w:rPr>
              <w:t xml:space="preserve">）工业机器人数字孪生仿真软件</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软件基础功能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、基于3D的智能制造仿真平台，软件具有机械设计、电路仿真、模拟控制、虚拟仿真、以及系统集成仿真的综合软件平台；</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、软件具有较好的交互性和兼容性，能够根据电脑性能，设置画面的高、中、低显示画面质量，支持中文、英文切换；</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3、支持鼠标拖拽操作视图功能，具有三维交互、第一人称交互、模型三视图功能，具有三维导航球；</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4、录屏功能：软件自带截图与录屏功能，支持用户自定义录制视频，以及生成无背景的png效果图；</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三维设计及仿真功能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1、软件具有≥300个的模型库，包含工业机器人、数控、输送带、气动等组件，每个模型支持物理特征参数设置、电气特征参数设置；</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2、具有自定义模型库，自持自定义命名和排列，支持导入自定义模型，STP、STEP、IGS、IGES、FBX模型导入编辑，模型的一键简化功能，对模型的尺寸、中心点、材质、模型树修改、用户自定义贴图纹理功能；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虚拟电气电路仿真功能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、软件可自定义添加多款PLC、工业机器人、嵌入式、运动控制器、数控、机器视觉等虚拟控制器，并配置有拖拽式电气配线面板，可自定义配置控制接口，并能够导出电气Excel配线表；</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、模拟电路仿真：内置虚拟电气画图软件，具有多种电气2D图库（包含PLC、电磁阀、气动阀、变频器、伺服驱动器等），2D电气图库能够对应到3D场景模型，通过电路仿真能够建立虚拟工厂的驱动电路仿真设计；</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3、虚拟传感器仿真：软件中具有温湿度、光照度、噪音、大气压力、风速风向传感器模型，并能够设置随机数传感数据，具备PLC通讯控制以及modbus-tcp通讯数据采集；</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工业机器人示教与编程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、软件能够接入≥5款工业机器人虚拟示教器，至少包含ABB、埃夫特、KEBA、纳博特等；</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、软件内置图形化机器人示教编程软件，具备Python及Blockly编程，具有急停、手动/自动切换、IO、机器人示教等功能面板、集成SCARA、Delta、六轴串联、四轴码垛多种机器人控制，具备modbus-tcp通讯、MQTT通讯功能；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3、软件具备≥2款协作型工业机器人虚拟示教编程，且能够实现协作机器人的虚拟示教、虚实互动的仿真功能；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4、机器人离线轨迹仿真：软件内置机器人示教与轨迹编程，具备用户自定义轨迹点、轨迹线排列生成与保存，具备外部工业总线驱动控制机器人轨迹运动；</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ascii="Times New Roman" w:hAnsi="Times New Roman" w:eastAsia="宋体" w:cs="宋体"/>
                <w:color w:val="auto"/>
                <w:sz w:val="21"/>
                <w:szCs w:val="21"/>
                <w:highlight w:val="none"/>
                <w14:ligatures w14:val="none"/>
              </w:rPr>
              <w:t xml:space="preserve">PLC控制与仿真功能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、软件具备≥4款工业PLC控制系统虚拟仿真，至少包含三菱、西门子、汇川等；</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、能够实现多品牌、多型号PLC系统在同一个场景进行混合仿真，具备PLC、工业机器人、运动控制、数控面板等在同一个仿真工程下仿真集成；</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数控加工与仿真功能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、软件中具有数控铣床、数控车床仿真，具有虚拟数控面板、具备数控刀具设置具有毛坯设置、配置G代码运行器，具备modbus-tcp数据采集，能够与工业机器人完成数控机床上下料加工自动化仿真；</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2、数控机床可实现数控切削加工、内置自定义刀库、具备用户自定义刀具配置，加工中具备G代码控制换刀；</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运动控制仿真功能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w:t>
            </w:r>
            <w:r>
              <w:rPr>
                <w:rFonts w:ascii="Times New Roman" w:hAnsi="Times New Roman" w:eastAsia="宋体" w:cs="宋体"/>
                <w:color w:val="auto"/>
                <w:sz w:val="21"/>
                <w:szCs w:val="21"/>
                <w:highlight w:val="none"/>
                <w14:ligatures w14:val="none"/>
              </w:rPr>
              <w:t xml:space="preserve">1、配置开放式运行控制器编程软件，具备≥8路伺服运动控制，集成Basic语言以及梯形图编程，内置组态虚拟</w:t>
            </w:r>
            <w:r>
              <w:rPr>
                <w:rFonts w:hint="eastAsia" w:ascii="Times New Roman" w:hAnsi="Times New Roman" w:eastAsia="宋体" w:cs="宋体"/>
                <w:color w:val="auto"/>
                <w:sz w:val="21"/>
                <w:szCs w:val="21"/>
                <w:highlight w:val="none"/>
                <w:lang w:eastAsia="zh-CN"/>
                <w14:ligatures w14:val="none"/>
              </w:rPr>
              <w:t xml:space="preserve">人机指令输入组件</w:t>
            </w:r>
            <w:r>
              <w:rPr>
                <w:rFonts w:ascii="Times New Roman" w:hAnsi="Times New Roman" w:eastAsia="宋体" w:cs="宋体"/>
                <w:color w:val="auto"/>
                <w:sz w:val="21"/>
                <w:szCs w:val="21"/>
                <w:highlight w:val="none"/>
                <w14:ligatures w14:val="none"/>
              </w:rPr>
              <w:t xml:space="preserve">功能，具备G代码数控加工，提供CAM解析软件；</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机器视觉仿真功能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、具备机器视觉仿真功能，内置单目、双目、调焦等多种视觉控件，能够实现虚拟工厂视觉检测仿真；</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、配置基于OpenCV的虚拟视觉组态编程软件，具有流程图拖拽式编程，具有图像处理、二维码、文字识别、形状识别、图像标定、通讯管理功能块，能够实现虚拟视觉的编程与控制仿真；</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、虚拟视觉控制器：配置虚拟机器视觉运动控制软件，具备Basic语言及梯形图编程，具有视觉检测以及PLC运动控制功能，软件种内置虚拟HMI组态</w:t>
            </w:r>
            <w:r>
              <w:rPr>
                <w:rFonts w:hint="eastAsia" w:ascii="Times New Roman" w:hAnsi="Times New Roman" w:eastAsia="宋体" w:cs="宋体"/>
                <w:color w:val="auto"/>
                <w:sz w:val="21"/>
                <w:szCs w:val="21"/>
                <w:highlight w:val="none"/>
                <w:lang w:eastAsia="zh-CN"/>
                <w14:ligatures w14:val="none"/>
              </w:rPr>
              <w:t xml:space="preserve">人机指令输入组件</w:t>
            </w:r>
            <w:r>
              <w:rPr>
                <w:rFonts w:ascii="Times New Roman" w:hAnsi="Times New Roman" w:eastAsia="宋体" w:cs="宋体"/>
                <w:color w:val="auto"/>
                <w:sz w:val="21"/>
                <w:szCs w:val="21"/>
                <w:highlight w:val="none"/>
                <w14:ligatures w14:val="none"/>
              </w:rPr>
              <w:t xml:space="preserve">功能，虚拟示波器功能；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低代码仿真功能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、流程图编辑功能：软件内置流程图制作功能，具有多种逻辑语言编程块、能够通过流程图拖拽式编程完成对虚拟工厂的逻辑控制与动画编辑；（提供软件功能截屏证明）</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提供虚拟边缘计算网关软件，具有能够通过虚拟边缘计算网关进行工业总线的数据采集，具备从虚拟接口、设备、再到变量的自定义添加，具备modbus-tcp、西门子S7协议、TCP、数据库MySQL等通讯，能够实现虚拟工厂的数据采集、调试集成再到数据看板应用的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嵌入式开发仿真功能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、软件具备多款单片机接入仿真，包含STM32、ESP32以及Arduino40等，能够实现单片机IO、模拟量的虚实仿真功能；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2）配置两种单片机编程仿真的环境，包含图形化编程以及C语言开发环境；</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多人互动与交互仿真功能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、软件具备一主多从的虚拟仿真交互，能够实现PC电脑、VR眼镜以及手机APP多种类、多台的交互终端在同3D场景下进行互动仿真，且主机能够实时监控到从机的视角及画面；</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、软件能够支持VR眼镜接入，实现沉浸式的VR交互与仿真控制；</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、软件具备手机APP接入仿真，能够实现APP端三维互动，并支持AR模式的虚实叠加的影像互动交互功能；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软件管理及课程仿真功能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、软件内置课程仿真功能块，通过折叠栏可直接连接至课程云平台，实现在软件中的仿真工程下载、答题、以及课程手册预览等功能；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、软件中集成帮助文档功能，通过折叠栏可打开帮助文档及软件操作手册，实现在软件中仿真的互动帮助；</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二次开发仿真功能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、Modbus总线自定义：支持用户自定义modbus总线接口，通过导入Excel表格即能够设置数据通讯的自定义地址、寄存器、IO口等功能；</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、SDK扩展：提供软件的二次开发接口，支持用户自定义控制器和扩展虚实仿真功能，支持虚拟机器视觉图像传输，提供Python、C#、labview的API接口及案例工程包；</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工业机器人仿真与集成案例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、按照工业机器人的种类，提供并联、SCARA、四轴码垛、六轴机器人的四种类型机器人典型应用仿真；</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、按照工业机器人的应用，提供焊接、码垛、视觉分拣、机床上下料、喷涂等仿真工程及案例，提供≥8套典型行业应用案例，≥3套综合机器人仿真工作站；</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机器视觉OpenCV与编程的集成案例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、基于OpenCV编程：基于虚拟视觉组态OpenCV软件，提供基于OpenCV的颜色识别、机器人物料抓取、形状识别、二维码识别、视觉训练的仿真案例；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工业PLC集成与仿真课程资源案例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、（1）提供西门子PLC、三菱PLC、华中PLC的虚拟仿真控制资源包，包含仿真工程、编程环境、以及案例手册；</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、提供基于PLC从基础入门、IO控制、PID控制、运动控制以及总线通讯集成、HMI设计的综合仿真资源包，数量≥50个，包含PPT、三维工程、手册、视频指导、源代码工程；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、提供基于西门子PLC与机器视觉的集成仿真资源包，能够实现机械手二维码、形状、OCR文字分拣功能；（提供图表说明，包含案例截屏及资源列表）</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机器视觉与运动控制集成案例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、基于虚拟机器视觉运动控制软件，支持Basic语言及梯形图编程，具有视觉检测以及PLC运动控制功能，软件种内置虚拟HMI组态</w:t>
            </w:r>
            <w:r>
              <w:rPr>
                <w:rFonts w:hint="eastAsia" w:ascii="Times New Roman" w:hAnsi="Times New Roman" w:eastAsia="宋体" w:cs="宋体"/>
                <w:color w:val="auto"/>
                <w:sz w:val="21"/>
                <w:szCs w:val="21"/>
                <w:highlight w:val="none"/>
                <w:lang w:eastAsia="zh-CN"/>
                <w14:ligatures w14:val="none"/>
              </w:rPr>
              <w:t xml:space="preserve">人机指令输入组件</w:t>
            </w:r>
            <w:r>
              <w:rPr>
                <w:rFonts w:ascii="Times New Roman" w:hAnsi="Times New Roman" w:eastAsia="宋体" w:cs="宋体"/>
                <w:color w:val="auto"/>
                <w:sz w:val="21"/>
                <w:szCs w:val="21"/>
                <w:highlight w:val="none"/>
                <w14:ligatures w14:val="none"/>
              </w:rPr>
              <w:t xml:space="preserve">功能：提供轮廓提取机器手分类、二维码识别分拣、手机液晶划痕检测自动分拣、芯片引脚检测自动化分拣、OCR文字识别自动化分拣的应用案例资源包；</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运动控制与编程集成案例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、提供数控机床的铣床、车床编程及实验手册、案例工程；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2</w:t>
            </w:r>
            <w:r>
              <w:rPr>
                <w:rFonts w:ascii="Times New Roman" w:hAnsi="Times New Roman" w:eastAsia="宋体" w:cs="宋体"/>
                <w:color w:val="auto"/>
                <w:sz w:val="21"/>
                <w:szCs w:val="21"/>
                <w:highlight w:val="none"/>
                <w14:ligatures w14:val="none"/>
              </w:rPr>
              <w:t xml:space="preserve">、提供数控激光切割、XYZ机械手、智能仓储、SCARA机械手、五轴点胶机案例及工程；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ascii="Times New Roman" w:hAnsi="Times New Roman" w:eastAsia="宋体" w:cs="宋体"/>
                <w:color w:val="auto"/>
                <w:sz w:val="21"/>
                <w:szCs w:val="21"/>
                <w:highlight w:val="none"/>
                <w14:ligatures w14:val="none"/>
              </w:rPr>
              <w:t xml:space="preserve">智能工厂与MES系统集成的应用案例</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▲1</w:t>
            </w:r>
            <w:r>
              <w:rPr>
                <w:rFonts w:ascii="Times New Roman" w:hAnsi="Times New Roman" w:eastAsia="宋体" w:cs="宋体"/>
                <w:color w:val="auto"/>
                <w:sz w:val="21"/>
                <w:szCs w:val="21"/>
                <w:highlight w:val="none"/>
                <w14:ligatures w14:val="none"/>
              </w:rPr>
              <w:t xml:space="preserve">、包含立体仓储、AGV机器人、数控机床加工、机器视觉检测的全自动化产线，提供从基础搭建、装配、调试、PLC编程、机器人控制、边缘计算数据采集再到MES系统集成的仿真资源包；</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ascii="Times New Roman" w:hAnsi="Times New Roman" w:eastAsia="宋体" w:cs="宋体"/>
                <w:color w:val="auto"/>
                <w:sz w:val="21"/>
                <w:szCs w:val="21"/>
                <w:highlight w:val="none"/>
                <w14:ligatures w14:val="none"/>
              </w:rPr>
              <w:t xml:space="preserve">2、采用虚拟边缘计算网关，基于工业互联网系统集成，实现从设备、数据采集、数据解析、数据管理再到数据应用的完整的仿真应用案例，能够通过该系统讲解数字化工厂的各个层级的控制关系以及对于数字化产线集成的实训训练</w:t>
            </w:r>
            <w:r>
              <w:rPr>
                <w:rFonts w:hint="eastAsia" w:ascii="Times New Roman" w:hAnsi="Times New Roman" w:eastAsia="宋体" w:cs="宋体"/>
                <w:color w:val="auto"/>
                <w:sz w:val="21"/>
                <w:szCs w:val="21"/>
                <w:highlight w:val="none"/>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lang w:eastAsia="zh-CN"/>
                <w14:ligatures w14:val="none"/>
              </w:rPr>
            </w:pPr>
            <w:r>
              <w:rPr>
                <w:rFonts w:hint="eastAsia" w:ascii="Times New Roman" w:hAnsi="Times New Roman" w:eastAsia="宋体" w:cs="宋体"/>
                <w:color w:val="auto"/>
                <w:sz w:val="21"/>
                <w:szCs w:val="21"/>
                <w:highlight w:val="none"/>
                <w14:ligatures w14:val="none"/>
              </w:rPr>
              <w:t xml:space="preserve">▲3</w:t>
            </w:r>
            <w:r>
              <w:rPr>
                <w:rFonts w:ascii="Times New Roman" w:hAnsi="Times New Roman" w:eastAsia="宋体" w:cs="宋体"/>
                <w:color w:val="auto"/>
                <w:sz w:val="21"/>
                <w:szCs w:val="21"/>
                <w:highlight w:val="none"/>
                <w14:ligatures w14:val="none"/>
              </w:rPr>
              <w:t xml:space="preserve">、MES管理应用：提供智能工厂的MES管理系统，具有设备统计、工艺管理、设备监控、订单统计、WMS仓储管理、设备检点以及用户管理等功能；</w:t>
            </w:r>
            <w:r>
              <w:rPr>
                <w:rFonts w:hint="eastAsia" w:ascii="Times New Roman" w:hAnsi="Times New Roman" w:eastAsia="宋体" w:cs="宋体"/>
                <w:color w:val="auto"/>
                <w:sz w:val="21"/>
                <w:szCs w:val="21"/>
                <w:highlight w:val="none"/>
                <w:lang w:eastAsia="zh-CN"/>
                <w14:ligatures w14:val="none"/>
              </w:rPr>
              <w:t xml:space="preserve">（投标时提供满足要求的图片</w:t>
            </w:r>
            <w:r>
              <w:rPr>
                <w:rFonts w:hint="eastAsia" w:ascii="Times New Roman" w:hAnsi="Times New Roman" w:cs="宋体"/>
                <w:color w:val="auto"/>
                <w:sz w:val="21"/>
                <w:szCs w:val="21"/>
                <w:highlight w:val="none"/>
                <w:lang w:eastAsia="zh-CN"/>
                <w14:ligatures w14:val="none"/>
              </w:rPr>
              <w:t xml:space="preserve">扫描上传</w:t>
            </w:r>
            <w:r>
              <w:rPr>
                <w:rFonts w:hint="eastAsia" w:ascii="Times New Roman" w:hAnsi="Times New Roman" w:eastAsia="宋体" w:cs="宋体"/>
                <w:color w:val="auto"/>
                <w:sz w:val="21"/>
                <w:szCs w:val="21"/>
                <w:highlight w:val="none"/>
                <w:lang w:eastAsia="zh-CN"/>
                <w14:ligatures w14:val="none"/>
              </w:rPr>
              <w:t xml:space="preserve">）</w:t>
            </w:r>
            <w:r/>
          </w:p>
          <w:p>
            <w:pPr>
              <w:jc w:val="both"/>
              <w:pageBreakBefore w:val="0"/>
              <w:spacing w:after="0" w:line="360" w:lineRule="auto"/>
              <w:rPr>
                <w:rFonts w:hint="eastAsia" w:ascii="Times New Roman" w:hAnsi="Times New Roman" w:eastAsia="宋体" w:cs="宋体"/>
                <w:color w:val="auto"/>
                <w:sz w:val="21"/>
                <w:szCs w:val="21"/>
                <w:highlight w:val="none"/>
                <w14:ligatures w14:val="none"/>
              </w:rPr>
            </w:pPr>
            <w:r>
              <w:rPr>
                <w:rFonts w:ascii="Times New Roman" w:hAnsi="Times New Roman" w:eastAsia="宋体" w:cs="宋体"/>
                <w:color w:val="auto"/>
                <w:sz w:val="21"/>
                <w:szCs w:val="21"/>
                <w:highlight w:val="none"/>
                <w14:ligatures w14:val="none"/>
              </w:rPr>
              <w:t xml:space="preserve">4）提供该智能制造产线系统仿真与集成的完整的PPT、视频讲解、实训手册以及源代码工程；</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套</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12</w:t>
            </w:r>
            <w:r/>
          </w:p>
        </w:tc>
      </w:tr>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2</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bidi="ar"/>
              </w:rPr>
              <w:t xml:space="preserve">工业机器人离线编程软件</w:t>
            </w:r>
            <w:r/>
          </w:p>
        </w:tc>
        <w:tc>
          <w:tcPr>
            <w:shd w:val="clear" w:color="auto" w:fill="auto"/>
            <w:tcMar>
              <w:left w:w="120" w:type="dxa"/>
              <w:top w:w="120" w:type="dxa"/>
              <w:right w:w="120" w:type="dxa"/>
              <w:bottom w:w="120" w:type="dxa"/>
            </w:tcMar>
            <w:tcW w:w="3057" w:type="pct"/>
            <w:vAlign w:val="center"/>
            <w:textDirection w:val="lrTb"/>
            <w:noWrap w:val="false"/>
          </w:tcPr>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1、</w:t>
            </w:r>
            <w:r>
              <w:rPr>
                <w:rFonts w:hint="eastAsia" w:ascii="Times New Roman" w:hAnsi="Times New Roman" w:eastAsia="宋体" w:cstheme="minorEastAsia"/>
                <w:color w:val="auto"/>
                <w:sz w:val="21"/>
                <w:szCs w:val="21"/>
                <w:highlight w:val="none"/>
                <w:lang w:eastAsia="zh-CN"/>
              </w:rPr>
              <w:t xml:space="preserve">支持 STP、STEP、IGS、IGES、STL、OBJ、FBX、GLB 等十余种工业标准 CAD 模型格式导入，兼容各类三维设计软件输出文件；提供自动轻量化处理引擎，支持 20%–80% 连续可调轻量化等级，模型可压缩至原文件大小 1/10，在不丢失关键结构、运动特征与装配关系的前提下，大幅提升大型产线场景运行流畅度。</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宋体"/>
                <w:color w:val="auto"/>
                <w:sz w:val="21"/>
                <w:szCs w:val="21"/>
                <w:highlight w:val="none"/>
                <w:lang w:val="en-US" w:eastAsia="zh-CN" w:bidi="ar"/>
              </w:rPr>
              <w:t xml:space="preserve">▲</w:t>
            </w:r>
            <w:r>
              <w:rPr>
                <w:rFonts w:hint="eastAsia" w:ascii="Times New Roman" w:hAnsi="Times New Roman" w:eastAsia="宋体" w:cstheme="minorEastAsia"/>
                <w:color w:val="auto"/>
                <w:sz w:val="21"/>
                <w:szCs w:val="21"/>
                <w:highlight w:val="none"/>
                <w:lang w:val="en-US" w:eastAsia="zh-CN"/>
              </w:rPr>
              <w:t xml:space="preserve">2、</w:t>
            </w:r>
            <w:r>
              <w:rPr>
                <w:rFonts w:hint="eastAsia" w:ascii="Times New Roman" w:hAnsi="Times New Roman" w:eastAsia="宋体" w:cstheme="minorEastAsia"/>
                <w:color w:val="auto"/>
                <w:sz w:val="21"/>
                <w:szCs w:val="21"/>
                <w:highlight w:val="none"/>
                <w:lang w:eastAsia="zh-CN"/>
              </w:rPr>
              <w:t xml:space="preserve">内置不少于 200 种标准化智能制造设备模型，覆盖工业机器人、输送线、AGV、机床、工装、传感器、相机、压机、翻转机构等全品类设备；提供 100 种以上参数化模型，支持自定义长宽高、运行速度、负载能力、安装朝向、结构形式、电机型号等关键参数，可快速适配各类产线搭建与方案验证需求。</w:t>
            </w:r>
            <w:r>
              <w:rPr>
                <w:rFonts w:hint="eastAsia" w:ascii="Times New Roman" w:hAnsi="Times New Roman" w:eastAsia="宋体" w:cs="宋体"/>
                <w:color w:val="auto"/>
                <w:sz w:val="21"/>
                <w:szCs w:val="21"/>
                <w:highlight w:val="none"/>
                <w:lang w:eastAsia="zh-CN"/>
              </w:rPr>
              <w:t xml:space="preserve">（投标时提供满足要求的图片</w:t>
            </w:r>
            <w:r>
              <w:rPr>
                <w:rFonts w:hint="eastAsia" w:hAnsi="Times New Roman" w:cs="宋体"/>
                <w:color w:val="auto"/>
                <w:sz w:val="21"/>
                <w:szCs w:val="21"/>
                <w:highlight w:val="none"/>
                <w:lang w:eastAsia="zh-CN"/>
              </w:rPr>
              <w:t xml:space="preserve">扫描上传</w:t>
            </w:r>
            <w:r>
              <w:rPr>
                <w:rFonts w:hint="eastAsia" w:ascii="Times New Roman" w:hAnsi="Times New Roman" w:eastAsia="宋体" w:cs="宋体"/>
                <w:color w:val="auto"/>
                <w:sz w:val="21"/>
                <w:szCs w:val="21"/>
                <w:highlight w:val="none"/>
                <w:lang w:eastAsia="zh-CN"/>
              </w:rPr>
              <w:t xml:space="preserve">）</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3、</w:t>
            </w:r>
            <w:r>
              <w:rPr>
                <w:rFonts w:hint="eastAsia" w:ascii="Times New Roman" w:hAnsi="Times New Roman" w:eastAsia="宋体" w:cstheme="minorEastAsia"/>
                <w:color w:val="auto"/>
                <w:sz w:val="21"/>
                <w:szCs w:val="21"/>
                <w:highlight w:val="none"/>
                <w:lang w:eastAsia="zh-CN"/>
              </w:rPr>
              <w:t xml:space="preserve">支持模型拖拽、旋转、平移、面贴合、点对齐、线性阵列、环形阵列等快速布局工具，可在短时间内完成与真实产线一致的三维虚拟场景搭建；支持特征点自动捕捉、同轴 / 共面 / 平行 / 同心 / 相切等高精度约束对齐，确保设备定位准确、工位布局合理、动作空间无干涉。</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4、</w:t>
            </w:r>
            <w:r>
              <w:rPr>
                <w:rFonts w:hint="eastAsia" w:ascii="Times New Roman" w:hAnsi="Times New Roman" w:eastAsia="宋体" w:cstheme="minorEastAsia"/>
                <w:color w:val="auto"/>
                <w:sz w:val="21"/>
                <w:szCs w:val="21"/>
                <w:highlight w:val="none"/>
                <w:lang w:eastAsia="zh-CN"/>
              </w:rPr>
              <w:t xml:space="preserve">具备事件生成、自动关联、手动关联、逻辑剔除、初始化、逻辑添加、事件清空、程序生成等完整无代码编程功能，无需编写指令、无需模型连线即可快速构建生产流程；基于知识图谱数据，可根据模型类型、空间位置、工作点位自动建立设备间先后执行逻辑，保证场景按工艺顺序稳定运行。</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w:t>
            </w:r>
            <w:r>
              <w:rPr>
                <w:rFonts w:hint="eastAsia" w:ascii="Times New Roman" w:hAnsi="Times New Roman" w:eastAsia="宋体" w:cstheme="minorEastAsia"/>
                <w:color w:val="auto"/>
                <w:sz w:val="21"/>
                <w:szCs w:val="21"/>
                <w:highlight w:val="none"/>
                <w:lang w:eastAsia="zh-CN"/>
              </w:rPr>
              <w:t xml:space="preserve">支持六轴机器人、SCARA、直角坐标、倒装机器人、PPU、伺服模组、旋转台、磁悬浮、输送线、气缸、电缸等全类型设备运动仿真；内置搬运、上下料、装配、涂胶、刻印、检测、压装、整形、翻转、锁螺丝等典型工艺模块，自动生成动作轨迹与运行周期。</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6、</w:t>
            </w:r>
            <w:r>
              <w:rPr>
                <w:rFonts w:hint="eastAsia" w:ascii="Times New Roman" w:hAnsi="Times New Roman" w:eastAsia="宋体" w:cstheme="minorEastAsia"/>
                <w:color w:val="auto"/>
                <w:sz w:val="21"/>
                <w:szCs w:val="21"/>
                <w:highlight w:val="none"/>
                <w:lang w:eastAsia="zh-CN"/>
              </w:rPr>
              <w:t xml:space="preserve">支持 AGV 地图点创建、路径连线、通行方向设置（单向 / 双向），提供 AGV 任务管理器实时查看任务列表与执行进度；内置自动、欧几里得、曼哈顿、对角四种路径规划算法，具备节点锁定、自动避障、多车协同调度能力，满足复杂厂区物流运输仿真需求。</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7、</w:t>
            </w:r>
            <w:r>
              <w:rPr>
                <w:rFonts w:hint="eastAsia" w:ascii="Times New Roman" w:hAnsi="Times New Roman" w:eastAsia="宋体" w:cstheme="minorEastAsia"/>
                <w:color w:val="auto"/>
                <w:sz w:val="21"/>
                <w:szCs w:val="21"/>
                <w:highlight w:val="none"/>
                <w:lang w:eastAsia="zh-CN"/>
              </w:rPr>
              <w:t xml:space="preserve">支持连续流程仿真、单步调试、运行加速、程序指针定位、视向动画切换等功能，可直观查看当前运行节点与异常状态；实时进行设备碰撞、运动干涉、轴超限检测，发生异常立即暂停并高亮提示，确保动作安全、时序正确、流程可靠。</w:t>
            </w:r>
            <w:r/>
          </w:p>
          <w:p>
            <w:pPr>
              <w:pStyle w:val="762"/>
              <w:jc w:val="both"/>
              <w:keepLines w:val="0"/>
              <w:keepNext w:val="0"/>
              <w:pageBreakBefore w:val="0"/>
              <w:spacing w:line="360" w:lineRule="auto"/>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8、</w:t>
            </w:r>
            <w:r>
              <w:rPr>
                <w:rFonts w:hint="eastAsia" w:ascii="Times New Roman" w:hAnsi="Times New Roman" w:eastAsia="宋体" w:cstheme="minorEastAsia"/>
                <w:color w:val="auto"/>
                <w:sz w:val="21"/>
                <w:szCs w:val="21"/>
                <w:highlight w:val="none"/>
                <w:lang w:eastAsia="zh-CN"/>
              </w:rPr>
              <w:t xml:space="preserve">支持虚拟相机视觉仿真，可实现拍照检测、位置识别、姿态判断、定位引导、精度校验等功能；支持 RFID 仿真，可完成标签读取、写入、信号反馈、工位流转识别，与 PLC、机器人实现数据交互，精准模拟智能产线识别与定位流程。</w:t>
            </w:r>
            <w:r/>
          </w:p>
          <w:p>
            <w:pPr>
              <w:pStyle w:val="762"/>
              <w:jc w:val="both"/>
              <w:keepLines w:val="0"/>
              <w:keepNext w:val="0"/>
              <w:pageBreakBefore w:val="0"/>
              <w:spacing w:line="360" w:lineRule="auto"/>
              <w:rPr>
                <w:rFonts w:hint="default"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9、</w:t>
            </w:r>
            <w:r>
              <w:rPr>
                <w:rFonts w:hint="eastAsia" w:ascii="Times New Roman" w:hAnsi="Times New Roman" w:eastAsia="宋体" w:cstheme="minorEastAsia"/>
                <w:color w:val="auto"/>
                <w:sz w:val="21"/>
                <w:szCs w:val="21"/>
                <w:highlight w:val="none"/>
                <w:lang w:eastAsia="zh-CN"/>
              </w:rPr>
              <w:t xml:space="preserve">自动统计产能、工时节拍、设备利用率、物流效率、工件通过时间等关键指标，支持生产瓶颈智能识别与分析；支持仿真过程录制，可导出 MP4等视频格式，内置光伏、3C、电机、汽车、锂电等行业案例库，便于教学、汇报与验收。</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lang w:val="en-US" w:eastAsia="zh-CN" w:bidi="ar"/>
              </w:rPr>
              <w:t xml:space="preserve">套</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45</w:t>
            </w:r>
            <w:r/>
          </w:p>
        </w:tc>
      </w:tr>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lang w:val="en-US" w:eastAsia="zh-CN" w:bidi="ar"/>
              </w:rPr>
              <w:t xml:space="preserve">3</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after="0"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bidi="ar"/>
              </w:rPr>
              <w:t xml:space="preserve">工业机器人实体实训台</w:t>
            </w:r>
            <w:r/>
          </w:p>
        </w:tc>
        <w:tc>
          <w:tcPr>
            <w:shd w:val="clear" w:color="auto" w:fill="auto"/>
            <w:tcMar>
              <w:left w:w="120" w:type="dxa"/>
              <w:top w:w="120" w:type="dxa"/>
              <w:right w:w="120" w:type="dxa"/>
              <w:bottom w:w="120" w:type="dxa"/>
            </w:tcMar>
            <w:tcW w:w="3057" w:type="pct"/>
            <w:vAlign w:val="center"/>
            <w:textDirection w:val="lrTb"/>
            <w:noWrap w:val="false"/>
          </w:tcPr>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一、工业机器人本体</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要求如下：</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六自由度工业机器人本体；</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 最大负载≥4kg；</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 最大臂展半径≥550mm；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 轴数：≥6轴；</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 重复定位精度：0.01mm；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 轴运动范围：</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（1）1轴：≥340°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（2）2轴：≥230°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（3）3轴：≥390°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（4）4轴：≥380°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（5）5轴：≥240°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（6）6轴：≥720°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 机器人本体重量：≤20kg；</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 环境温度：0℃～45℃；</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 最大湿度： 95%；</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 最大噪音：≤70dB(A)。</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二、工业机器人控制器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1.与投标人拟提供的工业机器人本体相配套；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2.电源电压：AC220～230V，频率50～60Hz；</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3.防护等级：≥IP20；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4.尺寸不大于470×450×440mm；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5.重量：≤40kg；</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6.最大相对湿度：≤95%（无凝露）；</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7.温度范围：0～45℃。</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三、工业机器人示教器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1.与</w:t>
            </w:r>
            <w:r>
              <w:rPr>
                <w:rFonts w:hint="eastAsia" w:ascii="Times New Roman" w:hAnsi="Times New Roman" w:eastAsia="宋体" w:cs="宋体"/>
                <w:color w:val="auto"/>
                <w:sz w:val="21"/>
                <w:szCs w:val="21"/>
                <w:highlight w:val="none"/>
                <w:lang w:val="en-US" w:eastAsia="zh-CN"/>
              </w:rPr>
              <w:t xml:space="preserve">投标人拟提供的</w:t>
            </w:r>
            <w:r>
              <w:rPr>
                <w:rFonts w:hint="eastAsia" w:ascii="Times New Roman" w:hAnsi="Times New Roman" w:eastAsia="宋体" w:cs="宋体"/>
                <w:color w:val="auto"/>
                <w:sz w:val="21"/>
                <w:szCs w:val="21"/>
                <w:highlight w:val="none"/>
              </w:rPr>
              <w:t xml:space="preserve">工业机器人本体相配套；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2.具有图形化彩色</w:t>
            </w:r>
            <w:r>
              <w:rPr>
                <w:rFonts w:hint="eastAsia" w:ascii="Times New Roman" w:hAnsi="Times New Roman" w:eastAsia="宋体" w:cs="宋体"/>
                <w:color w:val="auto"/>
                <w:sz w:val="21"/>
                <w:szCs w:val="21"/>
                <w:highlight w:val="none"/>
                <w:lang w:eastAsia="zh-CN"/>
              </w:rPr>
              <w:t xml:space="preserve">视觉成像模组</w:t>
            </w:r>
            <w:r>
              <w:rPr>
                <w:rFonts w:hint="eastAsia" w:ascii="Times New Roman" w:hAnsi="Times New Roman" w:eastAsia="宋体" w:cs="宋体"/>
                <w:color w:val="auto"/>
                <w:sz w:val="21"/>
                <w:szCs w:val="21"/>
                <w:highlight w:val="none"/>
              </w:rPr>
              <w:t xml:space="preserve">；</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3.支持USB存储器；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4.防护等级：≥IP54；</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5.具有紧急停机、3位启动开关（双回路）安全功能。</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四、工业机器人实训台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教学平台桌台架组件主要由30150铝型材、贴面板、加工件等搭建而成，四边采用6060型材搭建，外形美观。台架分上下两层，上层用于安放机器人和操作对象，下层用于安放电气控制柜和电器安装板，还可以放置其他物品。工作台三面都有双开门，后面配备散热风机，方便机器人等控制柜的安装和散热。底部装有可调节高度的脚轮，方便设备运动和放置。主要技术参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2.尺寸：≥</w:t>
            </w:r>
            <w:r>
              <w:rPr>
                <w:rFonts w:hint="eastAsia" w:ascii="Times New Roman" w:hAnsi="Times New Roman" w:eastAsia="宋体" w:cs="宋体"/>
                <w:color w:val="auto"/>
                <w:sz w:val="21"/>
                <w:szCs w:val="21"/>
                <w:highlight w:val="none"/>
                <w:lang w:val="en-US" w:eastAsia="zh-CN"/>
              </w:rPr>
              <w:t xml:space="preserve">1190</w:t>
            </w:r>
            <w:r>
              <w:rPr>
                <w:rFonts w:hint="eastAsia" w:ascii="Times New Roman" w:hAnsi="Times New Roman" w:eastAsia="宋体" w:cs="宋体"/>
                <w:color w:val="auto"/>
                <w:sz w:val="21"/>
                <w:szCs w:val="21"/>
                <w:highlight w:val="none"/>
              </w:rPr>
              <w:t xml:space="preserve">mm×10</w:t>
            </w:r>
            <w:r>
              <w:rPr>
                <w:rFonts w:hint="eastAsia" w:ascii="Times New Roman" w:hAnsi="Times New Roman" w:eastAsia="宋体"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rPr>
              <w:t xml:space="preserve">0mm×</w:t>
            </w:r>
            <w:r>
              <w:rPr>
                <w:rFonts w:hint="eastAsia" w:ascii="Times New Roman" w:hAnsi="Times New Roman" w:eastAsia="宋体" w:cs="宋体"/>
                <w:color w:val="auto"/>
                <w:sz w:val="21"/>
                <w:szCs w:val="21"/>
                <w:highlight w:val="none"/>
                <w:lang w:val="en-US" w:eastAsia="zh-CN"/>
              </w:rPr>
              <w:t xml:space="preserve">822</w:t>
            </w:r>
            <w:r>
              <w:rPr>
                <w:rFonts w:hint="eastAsia" w:ascii="Times New Roman" w:hAnsi="Times New Roman" w:eastAsia="宋体" w:cs="宋体"/>
                <w:color w:val="auto"/>
                <w:sz w:val="21"/>
                <w:szCs w:val="21"/>
                <w:highlight w:val="none"/>
              </w:rPr>
              <w:t xml:space="preserve">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平台面板为多用途可扩展设计方式，扩展非常灵活；实训模块可任意组合放置，可固定。</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14:ligatures w14:val="none"/>
              </w:rPr>
              <w:t xml:space="preserve">▲</w:t>
            </w:r>
            <w:r>
              <w:rPr>
                <w:rFonts w:hint="eastAsia" w:ascii="Times New Roman" w:hAnsi="Times New Roman" w:eastAsia="宋体" w:cs="宋体"/>
                <w:color w:val="auto"/>
                <w:sz w:val="21"/>
                <w:szCs w:val="21"/>
                <w:highlight w:val="none"/>
              </w:rPr>
              <w:t xml:space="preserve">功能模块：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立体仓库模块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皮带传输模块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视觉检测模块、变位机模块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搬运码垛模块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绘图模块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打磨及喷码模块</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人机界面模块</w:t>
            </w:r>
            <w:r>
              <w:rPr>
                <w:rFonts w:hint="eastAsia" w:ascii="Times New Roman" w:hAnsi="Times New Roman" w:eastAsia="宋体" w:cs="宋体"/>
                <w:color w:val="auto"/>
                <w:sz w:val="21"/>
                <w:szCs w:val="21"/>
                <w:highlight w:val="none"/>
                <w:lang w:eastAsia="zh-CN"/>
              </w:rPr>
              <w:t xml:space="preserve">、电控模块、</w:t>
            </w:r>
            <w:r>
              <w:rPr>
                <w:rFonts w:hint="eastAsia" w:ascii="Times New Roman" w:hAnsi="Times New Roman" w:eastAsia="宋体" w:cs="宋体"/>
                <w:color w:val="auto"/>
                <w:sz w:val="21"/>
                <w:szCs w:val="21"/>
                <w:highlight w:val="none"/>
                <w:lang w:val="en-US" w:eastAsia="zh-CN"/>
              </w:rPr>
              <w:t xml:space="preserve">供料模块、</w:t>
            </w:r>
            <w:r>
              <w:rPr>
                <w:rFonts w:hint="eastAsia" w:ascii="Times New Roman" w:hAnsi="Times New Roman" w:eastAsia="宋体" w:cs="宋体"/>
                <w:color w:val="auto"/>
                <w:sz w:val="21"/>
                <w:szCs w:val="21"/>
                <w:highlight w:val="none"/>
              </w:rPr>
              <w:t xml:space="preserve">多种末端工具快换模块等。</w:t>
            </w:r>
            <w:r>
              <w:rPr>
                <w:rFonts w:hint="eastAsia" w:ascii="Times New Roman" w:hAnsi="Times New Roman" w:eastAsia="宋体" w:cs="宋体"/>
                <w:color w:val="auto"/>
                <w:sz w:val="21"/>
                <w:szCs w:val="21"/>
                <w:highlight w:val="none"/>
                <w:lang w:eastAsia="zh-CN"/>
              </w:rPr>
              <w:t xml:space="preserve">（投标时提供满足要求的图片</w:t>
            </w:r>
            <w:r>
              <w:rPr>
                <w:rFonts w:hint="eastAsia" w:hAnsi="Times New Roman" w:cs="宋体"/>
                <w:color w:val="auto"/>
                <w:sz w:val="21"/>
                <w:szCs w:val="21"/>
                <w:highlight w:val="none"/>
                <w:lang w:eastAsia="zh-CN"/>
              </w:rPr>
              <w:t xml:space="preserve">扫描上传</w:t>
            </w:r>
            <w:r>
              <w:rPr>
                <w:rFonts w:hint="eastAsia" w:ascii="Times New Roman" w:hAnsi="Times New Roman" w:eastAsia="宋体" w:cs="宋体"/>
                <w:color w:val="auto"/>
                <w:sz w:val="21"/>
                <w:szCs w:val="21"/>
                <w:highlight w:val="none"/>
                <w:lang w:eastAsia="zh-CN"/>
              </w:rPr>
              <w:t xml:space="preserve">）</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五、</w:t>
            </w:r>
            <w:r>
              <w:rPr>
                <w:rFonts w:hint="eastAsia" w:ascii="Times New Roman" w:hAnsi="Times New Roman" w:eastAsia="宋体" w:cs="宋体"/>
                <w:color w:val="auto"/>
                <w:sz w:val="21"/>
                <w:szCs w:val="21"/>
                <w:highlight w:val="none"/>
                <w:lang w:val="en-US" w:eastAsia="zh-CN"/>
              </w:rPr>
              <w:t xml:space="preserve">立体仓库</w:t>
            </w:r>
            <w:r>
              <w:rPr>
                <w:rFonts w:hint="eastAsia" w:ascii="Times New Roman" w:hAnsi="Times New Roman" w:eastAsia="宋体" w:cs="宋体"/>
                <w:color w:val="auto"/>
                <w:sz w:val="21"/>
                <w:szCs w:val="21"/>
                <w:highlight w:val="none"/>
              </w:rPr>
              <w:t xml:space="preserve">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该模块主要由底板、立柱、横梁、悬挂梁、货架板、固定底座等组成。用于存放装配工件和焊接工件，库位定位准确，存放方便。三层9个库位，每个库位配有传感器。尺寸不小于400*220*650mm。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六、视觉检测模块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机器视觉系统主要由工业相机、工业镜头、光源、控制器、视觉软件、相机及光源的调节支架等组成。实现机器视觉系统的检测、测量、识别、定位等功能应用。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工业相机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不低于600万像彩色素网口面阵相机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传感器类型：CMOS,卷帘快门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分辨率不低于3072 × 2048</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靶面尺寸不小于1/1.8”</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数字I/O：6-pin P7接头提供供电和 I/O： 1 路光耦隔离输入(Line0) , 1 路光耦隔离 输出(Line1), 1 路双向可配置非隔离 I/O(Line2)。</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工业镜头</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F2.8，1/1.8"，600万分辨率，C接口镜头</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光源及控制器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DC24V，白色，环形光源，发光角度：90°功率：10W。</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控制器：可调频闪脉宽PWM驱动，视觉光源调光专用4通道控制器。亮度等级范围：0-999可设。</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4．视觉软件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要求支持拖拉和双击添加算子操作，无需编程。可以利用算子连线自由搭建视觉解决方案，提供视觉化流程编辑方式，减小操作流程，提高可视化体验和开发效率。要求以用户体验为中心的界面设计，提供算子处理的图像与结果双显示区，参数配置区，自由切换有效节省屏幕空间。要求采用多权限管理方式，具有视觉方案安全性。</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采集：图像源、多图采集、输出图像、缓存图像。</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定位：高精度匹配、快速匹配、灰度匹配、图形定位、圆查找、直线查找、BLOB 分析、卡尺工具、边缘查找、间距检测、位置修正、矩形检测、顶点检测、边缘交点、平行线查找、四边形查找、直线查找组合、多直线查找。</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测量： 线圆测量、圆圆测量、点圆测量、点线测量、线线测量、点点测量、圆拟合、直线拟合、亮度测量、像素统计、直方图工具、几何创建。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识别：二维码识别、条码识别、字符识别。</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标定：标定板标定、标定转换、单位转换、畸变标定。</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对位：相机映射、单点对位、点集对位、线对位。</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图像处理：图像组合、形态学处理、图像二值化、图像滤波、图像增强、图像运算、清晰度评估、图像修正、阴影校正、仿射变换、圆环展开、拷贝填充、几何变换、图像拼接、多图融合。</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颜色处理：颜色抽取、颜色测量、颜色转换、颜色识别。</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缺陷检测：字符缺陷检测、圆弧边缘缺陷检测、直线边缘缺陷检测、圆弧对缺陷检测、直线对缺陷检测、边缘组合缺陷检测、边缘对组合缺陷检测、边缘模型缺陷检测、边缘对模型缺陷检测。</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逻辑工具：条件检测、分支模块、分支字符、文本保存、逻辑、格式化、变量计算。字符比较、脚本、Group、点集、耗时统计、数据集合、协议解析、协议组装。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通信：接收数据、发送数据、相机 IO 通信(支持TCP/IP，ModBus，UDP，串口，Ethernet/IP 等常用工业协议;需支持与主流品牌 PLC 的通信。</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rPr>
              <w:t xml:space="preserve">相机及光源的调节支架</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由底板、立柱固定座、立柱、调节杆、调节杆固定块、相机固定块、光源安装板固定块、光源安装板、信号转接板等组成，可旋转固定件可以实现对相机的角度调节以及光源位置的调节。</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七、变位机模块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变位机模块由支撑板、底板、装配平台等组成。由伺服电机进行控制，一面可用于机器人轨迹规划和模拟喷涂点胶。另一面用于工件装配、焊接等应用。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伺服驱动参数：输出功率400w,主电路输入电源AC220V,位置控制方式。</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伺服电机参数：不小于17位单圈绝对值伺服电机，功率不低于400W。</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八</w:t>
            </w:r>
            <w:r>
              <w:rPr>
                <w:rFonts w:hint="eastAsia" w:ascii="Times New Roman" w:hAnsi="Times New Roman" w:eastAsia="宋体" w:cs="宋体"/>
                <w:color w:val="auto"/>
                <w:sz w:val="21"/>
                <w:szCs w:val="21"/>
                <w:highlight w:val="none"/>
              </w:rPr>
              <w:t xml:space="preserve">、多种末端工具快换模块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快速模块底座包括工装底座由底板、支撑柱、放置座三部分组成，用于存放快换子工装，要求存放方便且定位性好,并具有模块摆放唯一性的特点。</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机器人快换盘主要技术参数：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材质：超硬铝制安装位置：机器人侧安装后的厚度不低于38mm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重量不低于145g</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可搬重量：0~3kg</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母工装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母工装由快换母夹具、连接板等组成。安装于机械手侧，用于快速更换不同的子工装。无需人工干预可以快速对接气源和电信号。</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画笔工装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画笔工装由画笔夹紧座、按压式中性笔、快换子夹具等组成。用于绘制图形和机器人轨迹模拟。画笔夹紧座具有自动缓冲功能。</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吸盘工装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吸盘工装由吸盘、支架、快换子夹具等组成。用于搬运码垛模块的工件搬运。吸盘具有自动缓冲功能。</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夹爪工装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夹爪工装由夹爪、支架、快换子夹具等组成。用于装配模块的工件装配。</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打磨工装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打磨工装由打磨头、打磨电机、夹爪工装、快换子夹具等组成，用于机器人模拟打磨应用。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标定工装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主要由转接板、标定针安装座、标定针、快换子夹具等组成。用于机器人坐标系建立。标定针具有自动缓冲功能。</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校准工装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主要由铝加工件和标定针组成，用于TCP校准工具有，底座安装磁铁方便固定及移动。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九</w:t>
            </w:r>
            <w:r>
              <w:rPr>
                <w:rFonts w:hint="eastAsia" w:ascii="Times New Roman" w:hAnsi="Times New Roman" w:eastAsia="宋体" w:cs="宋体"/>
                <w:color w:val="auto"/>
                <w:sz w:val="21"/>
                <w:szCs w:val="21"/>
                <w:highlight w:val="none"/>
              </w:rPr>
              <w:t xml:space="preserve">、TCP练习系统组件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主要由转接板、标定针安装座、标定针等组成。用于机器人坐标系建立。标定针具有自动缓冲功能。</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十</w:t>
            </w:r>
            <w:r>
              <w:rPr>
                <w:rFonts w:hint="eastAsia" w:ascii="Times New Roman" w:hAnsi="Times New Roman" w:eastAsia="宋体" w:cs="宋体"/>
                <w:color w:val="auto"/>
                <w:sz w:val="21"/>
                <w:szCs w:val="21"/>
                <w:highlight w:val="none"/>
              </w:rPr>
              <w:t xml:space="preserve">、写字绘图组件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绘图模块由平面绘图板和A4纸、安装底板等组成。平面绘图板上雕刻多种形状，包括直线、圆弧、曲线、三角形等图案。可将此模块固定在搬运码垛模块上进行实训。</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十一、</w:t>
            </w:r>
            <w:r>
              <w:rPr>
                <w:rFonts w:hint="eastAsia" w:ascii="Times New Roman" w:hAnsi="Times New Roman" w:eastAsia="宋体" w:cs="宋体"/>
                <w:color w:val="auto"/>
                <w:sz w:val="21"/>
                <w:szCs w:val="21"/>
                <w:highlight w:val="none"/>
              </w:rPr>
              <w:t xml:space="preserve">搬运码垛模块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搬运码垛模块由底板、搬运码垛工件等组成。用于机器人搬运码垛应用。圆形底板上有安装孔，方便与型材台面安装，由钢材表面喷塑制成，铝件平台厚度8mm，该单元整体尺寸≥300*300*165mm。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十二、</w:t>
            </w:r>
            <w:r>
              <w:rPr>
                <w:rFonts w:hint="eastAsia" w:ascii="Times New Roman" w:hAnsi="Times New Roman" w:eastAsia="宋体" w:cs="宋体"/>
                <w:color w:val="auto"/>
                <w:sz w:val="21"/>
                <w:szCs w:val="21"/>
                <w:highlight w:val="none"/>
              </w:rPr>
              <w:t xml:space="preserve">皮带传输模块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皮带传输模块由平皮带、减速电机、支架、同步带轮、底板、横梁、主动轴、被动轴、工件定位挡块、挡边、光电传感器、信号转接板、主动轴安装板、被动轴安装板、带轮防护罩等组成。用于工件传输，且运行平稳、噪音低。传输带长度不小于800mm，宽度不小于100mm，速度0-200mm/s。</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十三、</w:t>
            </w:r>
            <w:r>
              <w:rPr>
                <w:rFonts w:hint="eastAsia" w:ascii="Times New Roman" w:hAnsi="Times New Roman" w:eastAsia="宋体" w:cs="宋体"/>
                <w:color w:val="auto"/>
                <w:sz w:val="21"/>
                <w:szCs w:val="21"/>
                <w:highlight w:val="none"/>
              </w:rPr>
              <w:t xml:space="preserve">装配码垛物料</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小尺寸装配工件包至少包含有红、蓝、黄、绿、白、黑六种颜色，每种颜色的装配工件至少包含有4种装配工件。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十四、</w:t>
            </w:r>
            <w:r>
              <w:rPr>
                <w:rFonts w:hint="eastAsia" w:ascii="Times New Roman" w:hAnsi="Times New Roman" w:eastAsia="宋体" w:cs="宋体"/>
                <w:color w:val="auto"/>
                <w:sz w:val="21"/>
                <w:szCs w:val="21"/>
                <w:highlight w:val="none"/>
              </w:rPr>
              <w:t xml:space="preserve">供料模</w:t>
            </w:r>
            <w:r>
              <w:rPr>
                <w:rFonts w:hint="eastAsia" w:ascii="Times New Roman" w:hAnsi="Times New Roman" w:eastAsia="宋体" w:cs="宋体"/>
                <w:color w:val="auto"/>
                <w:sz w:val="21"/>
                <w:szCs w:val="21"/>
                <w:highlight w:val="none"/>
                <w:lang w:val="en-US" w:eastAsia="zh-CN"/>
              </w:rPr>
              <w:t xml:space="preserve">快</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供料模块由底板、立柱、料仓底板、推料气缸、磁性开关、电磁阀、光纤传感器、信号转接板、料筒、料筒底座、推料块、工件等组成。用于装配应用工件供料，且供料连续、顺畅。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十五、</w:t>
            </w:r>
            <w:r>
              <w:rPr>
                <w:rFonts w:hint="eastAsia" w:ascii="Times New Roman" w:hAnsi="Times New Roman" w:eastAsia="宋体" w:cs="宋体"/>
                <w:color w:val="auto"/>
                <w:sz w:val="21"/>
                <w:szCs w:val="21"/>
                <w:highlight w:val="none"/>
              </w:rPr>
              <w:t xml:space="preserve">打磨及喷码模块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由圆形钢卷及安装支架组成，模拟钢卷打磨及喷码</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配合打磨工装可进行针对钢卷外圈的除锈打磨应用，配合画笔工装可进行针对钢卷外圈的喷码标记应用。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十六</w:t>
            </w:r>
            <w:r>
              <w:rPr>
                <w:rFonts w:hint="eastAsia" w:ascii="Times New Roman" w:hAnsi="Times New Roman" w:eastAsia="宋体" w:cs="宋体"/>
                <w:color w:val="auto"/>
                <w:sz w:val="21"/>
                <w:szCs w:val="21"/>
                <w:highlight w:val="none"/>
              </w:rPr>
              <w:t xml:space="preserve">、PLC及电气控制系统</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紧凑型 CPU，DC/DC/DC， 机载 I/O： 14 个 24V DC 数字输入；10 个 24V DC 数字输出； 2 AI 0-10V DC， 电源：DC 20.4-28.8V DC， 程序存储器/数据存储器 150 KB 。</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PROFINET 以太网通信端口：≥1个</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实数数学运算执行速度：≥2.3 μs/指令</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布尔运算执行速度：≥0.08 μs/指令</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远程IO模块：总线协议：PROFINET IO；I/O 站数：根据主站；数据传输介质：EthernetCAT5 电缆；传输距离：≤100 m（站站距离）；传输速率：≥100 Mbps；总线接口：2◊RJ45；16路数字输入模块，16路数字输出模块。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开关电源</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输出电压：24V</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输出电流：5A</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输出功率：≥120W</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保护：过负载、过电压、过温度</w:t>
            </w:r>
            <w:r>
              <w:rPr>
                <w:rFonts w:hint="eastAsia" w:ascii="Times New Roman" w:hAnsi="Times New Roman" w:eastAsia="宋体" w:cs="宋体"/>
                <w:color w:val="auto"/>
                <w:sz w:val="21"/>
                <w:szCs w:val="21"/>
                <w:highlight w:val="none"/>
                <w:lang w:eastAsia="zh-CN"/>
              </w:rPr>
              <w:t xml:space="preserve">；</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提供相关电气连接线与附属器件。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十</w:t>
            </w:r>
            <w:r>
              <w:rPr>
                <w:rFonts w:hint="eastAsia" w:ascii="Times New Roman" w:hAnsi="Times New Roman" w:eastAsia="宋体" w:cs="宋体"/>
                <w:color w:val="auto"/>
                <w:sz w:val="21"/>
                <w:szCs w:val="21"/>
                <w:highlight w:val="none"/>
                <w:lang w:val="en-US" w:eastAsia="zh-CN"/>
              </w:rPr>
              <w:t xml:space="preserve">七</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人机指令输入组件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人机界面模块由</w:t>
            </w:r>
            <w:r>
              <w:rPr>
                <w:rFonts w:hint="eastAsia" w:ascii="Times New Roman" w:hAnsi="Times New Roman" w:eastAsia="宋体" w:cs="宋体"/>
                <w:color w:val="auto"/>
                <w:sz w:val="21"/>
                <w:szCs w:val="21"/>
                <w:highlight w:val="none"/>
                <w:lang w:eastAsia="zh-CN"/>
              </w:rPr>
              <w:t xml:space="preserve">人机指令输入组件</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人机指令输入组件</w:t>
            </w:r>
            <w:r>
              <w:rPr>
                <w:rFonts w:hint="eastAsia" w:ascii="Times New Roman" w:hAnsi="Times New Roman" w:eastAsia="宋体" w:cs="宋体"/>
                <w:color w:val="auto"/>
                <w:sz w:val="21"/>
                <w:szCs w:val="21"/>
                <w:highlight w:val="none"/>
              </w:rPr>
              <w:t xml:space="preserve">安装板、三色灯等组成。人机界面具备舒适性、多功能和多集成接口的特点。</w:t>
            </w:r>
            <w:r>
              <w:rPr>
                <w:rFonts w:hint="eastAsia" w:ascii="Times New Roman" w:hAnsi="Times New Roman" w:eastAsia="宋体" w:cs="宋体"/>
                <w:color w:val="auto"/>
                <w:sz w:val="21"/>
                <w:szCs w:val="21"/>
                <w:highlight w:val="none"/>
                <w:lang w:eastAsia="zh-CN"/>
              </w:rPr>
              <w:t xml:space="preserve">人机指令输入组件</w:t>
            </w:r>
            <w:r>
              <w:rPr>
                <w:rFonts w:hint="eastAsia" w:ascii="Times New Roman" w:hAnsi="Times New Roman" w:eastAsia="宋体" w:cs="宋体"/>
                <w:color w:val="auto"/>
                <w:sz w:val="21"/>
                <w:szCs w:val="21"/>
                <w:highlight w:val="none"/>
              </w:rPr>
              <w:t xml:space="preserve">技术参数：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1.尺寸(英寸)：≥7英寸；</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2.CPU主板：Cortex-A8，600MHz；</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3.人机交互可视化组件分辨率：800×480；</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eastAsia="zh-CN"/>
              </w:rPr>
              <w:t xml:space="preserve">人机指令输入组件</w:t>
            </w:r>
            <w:r>
              <w:rPr>
                <w:rFonts w:hint="eastAsia" w:ascii="Times New Roman" w:hAnsi="Times New Roman" w:eastAsia="宋体" w:cs="宋体"/>
                <w:color w:val="auto"/>
                <w:sz w:val="21"/>
                <w:szCs w:val="21"/>
                <w:highlight w:val="none"/>
              </w:rPr>
              <w:t xml:space="preserve">：四线电阻式</w:t>
            </w:r>
            <w:r>
              <w:rPr>
                <w:rFonts w:hint="eastAsia" w:ascii="Times New Roman" w:hAnsi="Times New Roman" w:eastAsia="宋体" w:cs="宋体"/>
                <w:color w:val="auto"/>
                <w:sz w:val="21"/>
                <w:szCs w:val="21"/>
                <w:highlight w:val="none"/>
                <w:lang w:eastAsia="zh-CN"/>
              </w:rPr>
              <w:t xml:space="preserve">人机指令输入组件</w:t>
            </w:r>
            <w:r>
              <w:rPr>
                <w:rFonts w:hint="eastAsia" w:ascii="Times New Roman" w:hAnsi="Times New Roman" w:eastAsia="宋体" w:cs="宋体"/>
                <w:color w:val="auto"/>
                <w:sz w:val="21"/>
                <w:szCs w:val="21"/>
                <w:highlight w:val="none"/>
              </w:rPr>
              <w:t xml:space="preserve">，分辨率4096×4096；</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5.显示：真彩，65535色；TFT液晶显示，LED背光；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rPr>
                <w:rFonts w:hint="eastAsia" w:ascii="Times New Roman" w:hAnsi="Times New Roman" w:eastAsia="宋体" w:cs="宋体"/>
                <w:color w:val="auto"/>
                <w:sz w:val="21"/>
                <w:szCs w:val="21"/>
                <w:highlight w:val="none"/>
                <w:lang w:eastAsia="zh-CN"/>
              </w:rPr>
              <w:t xml:space="preserve">视觉成像模组</w:t>
            </w:r>
            <w:r>
              <w:rPr>
                <w:rFonts w:hint="eastAsia" w:ascii="Times New Roman" w:hAnsi="Times New Roman" w:eastAsia="宋体" w:cs="宋体"/>
                <w:color w:val="auto"/>
                <w:sz w:val="21"/>
                <w:szCs w:val="21"/>
                <w:highlight w:val="none"/>
              </w:rPr>
              <w:t xml:space="preserve">亮度：200cd/㎡；</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7.内存：128M；</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8.存储设备：128M FLASH；</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9.组态软件：MCGS嵌入式组态软件（运行版）；</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10.提供与PLC通讯端口线和工控机连接的端口线。</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十</w:t>
            </w:r>
            <w:r>
              <w:rPr>
                <w:rFonts w:hint="eastAsia" w:ascii="Times New Roman" w:hAnsi="Times New Roman" w:eastAsia="宋体" w:cs="宋体"/>
                <w:color w:val="auto"/>
                <w:sz w:val="21"/>
                <w:szCs w:val="21"/>
                <w:highlight w:val="none"/>
                <w:lang w:val="en-US" w:eastAsia="zh-CN"/>
              </w:rPr>
              <w:t xml:space="preserve">八</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工控机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处理器：核心数≥10；总线程≥16；最大睿频≥4.6GHz；缓存≥20MB、内存</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≥8G、</w:t>
            </w:r>
            <w:r>
              <w:rPr>
                <w:rFonts w:hint="eastAsia" w:ascii="Times New Roman" w:hAnsi="Times New Roman" w:eastAsia="宋体" w:cs="宋体"/>
                <w:color w:val="auto"/>
                <w:sz w:val="21"/>
                <w:szCs w:val="21"/>
                <w:highlight w:val="none"/>
                <w:lang w:val="en-US" w:eastAsia="zh-CN"/>
              </w:rPr>
              <w:t xml:space="preserve">硬盘:</w:t>
            </w:r>
            <w:r>
              <w:rPr>
                <w:rFonts w:hint="eastAsia" w:ascii="Times New Roman" w:hAnsi="Times New Roman" w:eastAsia="宋体" w:cs="宋体"/>
                <w:color w:val="auto"/>
                <w:sz w:val="21"/>
                <w:szCs w:val="21"/>
                <w:highlight w:val="none"/>
              </w:rPr>
              <w:t xml:space="preserve">≥512</w:t>
            </w:r>
            <w:r>
              <w:rPr>
                <w:rFonts w:hint="eastAsia" w:ascii="Times New Roman" w:hAnsi="Times New Roman" w:eastAsia="宋体" w:cs="宋体"/>
                <w:color w:val="auto"/>
                <w:sz w:val="21"/>
                <w:szCs w:val="21"/>
                <w:highlight w:val="none"/>
                <w:lang w:val="en-US" w:eastAsia="zh-CN"/>
              </w:rPr>
              <w:t xml:space="preserve">G</w:t>
            </w:r>
            <w:r>
              <w:rPr>
                <w:rFonts w:hint="eastAsia" w:ascii="Times New Roman" w:hAnsi="Times New Roman" w:eastAsia="宋体" w:cs="宋体"/>
                <w:color w:val="auto"/>
                <w:sz w:val="21"/>
                <w:szCs w:val="21"/>
                <w:highlight w:val="none"/>
              </w:rPr>
              <w:t xml:space="preserve">、</w:t>
            </w:r>
            <w:r>
              <w:rPr>
                <w:rFonts w:hint="eastAsia" w:hAnsi="Times New Roman" w:cs="宋体"/>
                <w:color w:val="auto"/>
                <w:sz w:val="21"/>
                <w:szCs w:val="21"/>
                <w:highlight w:val="none"/>
                <w:lang w:eastAsia="zh-CN"/>
              </w:rPr>
              <w:t xml:space="preserve">可视化输出单元</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≥2</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寸</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配套终端数据录入操控组件</w:t>
            </w:r>
            <w:r>
              <w:rPr>
                <w:rFonts w:hint="eastAsia" w:hAnsi="Times New Roman"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终端点位操控拾取单元</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十</w:t>
            </w:r>
            <w:r>
              <w:rPr>
                <w:rFonts w:hint="eastAsia" w:ascii="Times New Roman" w:hAnsi="Times New Roman" w:eastAsia="宋体" w:cs="宋体"/>
                <w:color w:val="auto"/>
                <w:sz w:val="21"/>
                <w:szCs w:val="21"/>
                <w:highlight w:val="none"/>
                <w:lang w:val="en-US" w:eastAsia="zh-CN"/>
              </w:rPr>
              <w:t xml:space="preserve">九</w:t>
            </w:r>
            <w:r>
              <w:rPr>
                <w:rFonts w:hint="eastAsia" w:ascii="Times New Roman" w:hAnsi="Times New Roman" w:eastAsia="宋体" w:cs="宋体"/>
                <w:color w:val="auto"/>
                <w:sz w:val="21"/>
                <w:szCs w:val="21"/>
                <w:highlight w:val="none"/>
              </w:rPr>
              <w:t xml:space="preserve">、数字孪生仿真教学资源包</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(1)软件支持中文、英文切换；</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(2)具备隐匿式菜单和工具条。软件界面可对菜单、功能等图标进行隐藏，便于审视全局视角，软件主界面用于显示场景和虚拟设备；</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(3)模型、方案收藏功能：支持一键收藏用户在软件中规划的方案场景，支持单个模型、单站、产线级场景的一键收藏，便于用户对方案的完善和修改；</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(4)软件系统具备四种视角功能。除去常规的三视图视角，此外还具备透视视角。</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软件系统具备场景树功能：虚拟场景中产线构成的所有模块，可在场景树中按照模块展开进行分类，同时可以一键生成BOM清单并导出，BOM清单内容包括但不限于设备名称、设备型号、设备数量、设备编码等信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(6)软件系统界面包含案例库模块。至少包含光伏、3C、电机、锂电、汽车等四大场景的成熟案例应用；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丰富的模型资源：库中的总数模量不少于3000种，可参数化模型不少于600种。提供100台以上品牌、多种不同型号的工业机器人进行场景搭建、轨迹规划、运动仿真和程序代码生成等操作（参考品牌ABB、KUKA、Staubli、珞石、遨博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(8)模型都具备聚焦功能，示教可返回并锁定到目标模型处。</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(9)具备仿真人模型模块，仿真人可完成操作、行走、坐下、搬运以及站立等5种演示指令。</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(10)机器人模型选型时，可呈现基本的负载和可达范围等信息参数，便于用户选择合适的模型种类。</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(11)参数化模型：支持模型参数化功能，支持模组机器人、输送线、工作台、框架、底座、货架等100个以上的参数化模型，参数化包括长宽高、型号、朝向、负载、结构、电机型号等内容。</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提供软件功能截图，截图1包含模型参数化数量和相关分类，截图2包含模型的参数化修改尺寸，截图3包含模型的参数化选型号，截图4包含模型参数化内容。</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(12)用户可通过模型编辑器自行导⼊模型并编辑，实现模型的仿真建模，形成用户专用库，支持FBX、STP、STEP、GLB、OBJ、STL等常规格式。</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(13)用户可自行对模型进行仿真运动建模处理。模型在模型编辑器会显示模型的原本的子节点。用户可定义运动关节，对各节点进行碰撞盒、坐标系、运动方式的配置定义，以支持模型的运动。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(14)导出模型可直接在软件内进行使用，并通过 OPCUA 等通信协议进行节点绑定后，通过外部控制器进行控制。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(15)自动轻量化：支持模型的自动轻量化，可调整轻量化程度，轻量化程度由20%-80%不等；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(16)软件具备快速贴合安装功能：具有特征点识别功能，且模型均支持特征点的识别，方便用户快速地找到想要搭配模型时的位置，比如更快速的摆放机器⼈位置， 更快速的找到工具坐标系的原点，更快速的找到需要面对齐的模型特征面等。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(17)机器人末端工具自动拆装功能：内置常用模型组件的搭配关系，在进行诸如工具末端匹配、机器⼈与地台搭配的场景，软件会自适应地找到最佳组合位置，用户只需要拖拽到合适的位置就可以进行模型关系的组合动作。末端执⾏器导入到场景中，到达机器人大致范围内，可完成自动吸附安装全过程。</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(18)线性阵列和环形阵列功能：能快速阵列多个物体在指定位置，方便用户快速复用已有模型组合。</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(19)点线面测量功能：可保证模型与模型间的组合精度测量。</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(20)动态模拟：支持通过实际的运动数据驱动，实现机器人及其附属设备（如外部轴、工具等）的动态模拟，确保管线在不同工作状态下的安全性与稳定性。</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(21)可以创建包含物理规律的虚拟环境，能模仿现实生活中的物理现象，如摩擦力、重力、弹性系数等，物理属性设置中包含关于阻力系数、动摩擦力、静摩擦力及摩擦力组合、弹性组合等参数。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(22)设备看板功能：支持设备名称、产品类型和数量显示功能，可实时查看仿真过程中设备运行状态的功能包括但不限于设备的运行值、临界值、设备状态等信息。</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提供软件功能截图，截图1包含设备名称、产品类型和数量，截图2包含设备的运行值、临界值、设备状态。</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(23)支持通过仿真可执行代码，模拟机器人、输送线、数控机床、工作台、框架、底座、货架等模型在软件环境中的运动状态。系统支持机器人的关节运动指令、直线运动指令、圆弧运动指令，支持逻辑控制指令（如For\IFELSE\WHILE等）控制机器人运动逻辑。</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提供软件功能截图，截图1包含机器人、数控机床和输送线的模拟场景，截图2包含机器人关节运动、直线运动和圆弧运动。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(24)支持和多种品牌的PLC设备进行信号的联调，包括西门子、三菱、欧姆龙等，可连接真实PLC设备，支持多种品牌网关的连接，支持OPCUA\MODBUS TCP\S7\MC等协议。</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提供软件功能截图，截图1包含ModBus_TCP、西门子和三菱的传输协议，截图2包含与西门子PLC通讯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(25)支持智能制造数字孪生功能，利用基于事件且由信号驱动的仿真技术实现了生产系统的虚拟调试。虚拟调试可以在完全虚拟环节中进行，也可使实物控制设备和虚拟工作设备互联实现半实物调试；</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(26)支持多种数据类型的读写，如：Bool、Int、Real、Dint、word、Dword等；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(27)支持针对生产系统的3D及2D的建模和动态仿真分析，可以计算生产效率、工时节拍产能、设备利用率，可以针对瓶颈生产环节输出优化方案；</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(28)支持机器人IO读写操作，可读取机器人输入输出状态，支持远程状态监控、关节数据监控，可读取机器人每个关节的角度数据，也可读取机器人当前的操作模式和电机状态，支持多种任务选择，可自动切换加工工件，可自动切换机器人抓手工具；</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(29)支持机器人碰撞检测：关节碰撞检测、工具碰撞检测。当发生碰撞后，高亮红色显示碰撞物体，并立即切断机器人电机起到保护作用。支持虚拟边界保护，当运动范围超出预设的范围边界时，预设的边界会高亮红色显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(30)支持机器视觉仿真：仿真场景中的虚拟相机与实际相机同步，虚拟工件可自动跟随实际工件变换位置，视觉检测可以指导机器人自动识别虚拟与实体工件位置进行抓取，实现数字孪生，实现对虚拟工件的视觉检测与引导虚拟机器人抓取工件；</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(31)支持RFID仿真：具有虚拟及实物RFID读卡器、虚拟及实物RFID标签，RFID读卡器能对RFID标签读取与写入操作，PLC能读取虚拟及实物RFID读卡器信息；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(32)软件内置实训场景，为了方便教学，该软件需内置 5 种以上典型案例场景，用户仅需用鼠标选择对应场景即可开始练习，无需多余操作。场景包括：轨迹练习、搬运练习、焊接练习、机器人拆装练习、喷涂练习、机床上下料练习等；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(33)软件内置行业教学库，案例总数大于20个，涵盖不同行业的工业案例10个以上，含泵体装配线、光伏排版机、接线盒产线、锂膜包装线、伺服电机总装线资源等；</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(34)机器人创意组合应用场景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1）实训台主体</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实训台主体由6060A型工业铝型材搭建的框架构成，整体尺寸1190×1020×820mm，台面为12mm厚铝板并布满螺纹孔以支持功能模块快速更换，左、右、前三面为带锁的钣金与有机玻璃组合门，内部前方安装2mm厚电器网孔板，底部设有万向脚轮及可调地脚，能够在就位后手动调平并固定。</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2）工装底座</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工装底座由底板、支撑柱和放置座三部分组成，用于存放快换子工装，底板设有4个安装孔，可与实训台台面快速定位对接，整体结构强调存放的便利性与定位重复性。</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3）搬运码垛模块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搬运码垛模块包含底板和搬运码垛工件，用于机器人搬运码垛应用，底板带有4个安装孔以便与台面快速定位安装，模型需呈现工件可抓取与堆叠的特征。</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4）装配模块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装配模块由料仓、工件挡块、料仓底板、RFID读写器、电子标签、推料气缸、磁性开关、支撑柱、底板、电磁阀、光纤传感器及信号转接板等组成，用于机器人装配供料及工件RFID信息检测，模型需体现气缸推料动作、传感器检测点及RFID读写位置。</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5）轨迹模拟模块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轨迹模拟模块外形尺寸410×240×160mm，底板为10mm厚铝板带方槽及4个安装孔，上方拱形板由2mm钣金制成并分为左右两区，左侧为凸出圆柱面用于三维曲面轨迹模拟，右侧为平面用于坐标系建立及直线/曲线轨迹规划。</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6）涂胶模块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涂胶模块外形尺寸160×160×130mm，由8mm厚铝合金喷砂氧化底板、固定端及涂胶部件组成，主要用于机器人涂胶工艺实训，模型需体现涂胶路径区域或工具接口。</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7）立体库模块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立体库模块外形尺寸不超过290×192×340mm，由底板、立柱、横梁、悬挂梁、货架板及固定底座构成，用于存放装配完成的工件，模型需呈现多库位准确定位的结构特征。</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8）井式供料模块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井式供料模块由底板、立柱、料仓底板、推料气缸、磁性开关、电磁阀、光纤传感器、信号转接板、料筒、料筒底座、推料块、工件及电子标签组成，底板厚10mm并带有2个安装孔，实现连续顺畅的工件供料，模型需体现推料动作序列与出料过程。</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9）传输线模块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输线模块外形尺寸550×160×145mm，包含平皮带、减速电机、支架、同步带轮、底板、横梁、主动轴、被动轴、工件定位挡块、挡边、光电传感器、安装板及带轮防护罩，用于工件传输及视觉检测平台，模型需展示工件流动方向、定位停止位及传感器检测点。</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10）变位机模块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变位机模块由底板、支撑立柱、轴承、转动平台、工件、信号转接板及光电传感器组成，用于焊接应用中的工件姿态变换及图形绘制，模型需体现转动平台的角度变化自由度与传感器限位。</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11）旋转供料模块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旋转供料模块由底板、支撑柱、步进电机、步进驱动器、减速机、转盘、转盘支撑板、光电传感器及信号转接板构成，实现平稳低噪的旋转供料，模型需展示转盘分度运动与料位检测点。</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12）抛光模块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抛光模块外形尺寸305×220×215mm，由底板、支撑立柱、上安装板及打磨工件组成，机器人夹取打磨电机对零件进行主动打磨，模型需体现打磨工具接口与工件固定位。</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仿真场景中产品仿真动作点图不少于4张，第1张包含供料机器人推出工件，工件运行至传输线末端；第2张动作点图包含工业机器人抓取工装移动至工件上方，第3张动作点图包含吸盘工装吸住工件并放入工件底盒中，第4张动点图包含工业机器人将装配好的工件放入库位中。</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(35)智能制造生产线应用场景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1）立体仓库</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立体仓库由30个库位、定位销、支架及微动开关传感器组成，用于码垛机自动出入库。数字孪生模型需呈现多层多列库位结构，每个库位包含料盘定位特征、微动开关检测点，并支持物料状态（有/无）的可视化变化。</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2）码垛机（三轴机器人）</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码垛机由X、Y、Z三轴直线模组（伺服电机驱动）构成，最大行程X轴1000mm、Y轴300mm、Z轴900mm，负载7kg。数字孪生模型需体现三轴联动机构、滑台、取放抓手，支持各轴独立运动仿真，并可触发位置反馈信号。</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3）输送线模块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该模块包含输送线（最大运行速度100mm/s）、视觉检测支架、工业相机、镜头、环形光源。数字孪生模型需呈现输送带运动、工件随动、相机安装支架的多自由度调节结构，并模拟检测区域及光源照射效果。</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4）智能识别转运单元工作台</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工作台由铝型材搭建，外形尺寸1200×600×800mm，带水平调节支撑型脚轮。数字孪生模型需体现铝型材框架结构、台面设备安装孔位及脚轮调节机构。</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5）智能识别转运单元输送线</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输送线有效行程1000mm，有效宽度150mm，伺服电机驱动，装有光电传感器、背光源及三段阻挡装置（双轴气缸）。数字孪生模型需呈现皮带运动、工件阻挡气缸动作、传感器检测点及RFID读写位置。</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6）装配检测模块</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模块由铝合金底板、气动夹具组成，包含翻转气缸（行程90°）、气动夹爪（单边3mm）、横推气缸（行程70mm）。数字孪生模型需体现工件夹紧、翻转、横推动作序列，并模拟气缸限位传感器。</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7）AMR运载机器人单元</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移动机器人最大载重250kg，最大速度1.5m/s，支持原地转弯，采用激光导航、360°避障。数字孪生模型需还原车体外形、上部输送带、阻挡电缸、光电传感器，并支持路径规划与避障行为仿真。</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提供仿真场景中产品仿真动作点图不少于3张，第1张包含堆垛机从库位中取料并放入接料平台上；第2张动作点图包含AGV小车与接驳台对接，并将托盘运送至AGV小车上，第3张动作点图包含AGV小车将托盘运送至装配站，第4张动作点图包含工业机器人将托盘上的工件抓取并放入装配平台上，第5张动作点图包含工业机器人将装配好的工件放入托盘中，并运送至AGV小车。</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二十</w:t>
            </w:r>
            <w:r>
              <w:rPr>
                <w:rFonts w:hint="eastAsia" w:ascii="Times New Roman" w:hAnsi="Times New Roman" w:eastAsia="宋体" w:cs="宋体"/>
                <w:color w:val="auto"/>
                <w:sz w:val="21"/>
                <w:szCs w:val="21"/>
                <w:highlight w:val="none"/>
              </w:rPr>
              <w:t xml:space="preserve">、气源气路</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系统采用无油静音气泵，排量大，噪音低；流量： ≥30L/min；压力： ≥0.8MPa</w:t>
            </w:r>
            <w:r/>
          </w:p>
          <w:p>
            <w:pPr>
              <w:pStyle w:val="762"/>
              <w:jc w:val="both"/>
              <w:keepLines w:val="0"/>
              <w:keepNext w:val="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二十一、</w:t>
            </w:r>
            <w:r>
              <w:rPr>
                <w:rFonts w:hint="eastAsia" w:ascii="Times New Roman" w:hAnsi="Times New Roman" w:eastAsia="宋体" w:cstheme="minorEastAsia"/>
                <w:b w:val="0"/>
                <w:bCs w:val="0"/>
                <w:color w:val="auto"/>
                <w:sz w:val="21"/>
                <w:szCs w:val="21"/>
                <w:highlight w:val="none"/>
                <w:lang w:eastAsia="zh-CN"/>
              </w:rPr>
              <w:t xml:space="preserve">配套教材及教学资源</w:t>
            </w:r>
            <w:r/>
          </w:p>
          <w:p>
            <w:pPr>
              <w:pStyle w:val="762"/>
              <w:numPr>
                <w:ilvl w:val="0"/>
                <w:numId w:val="0"/>
              </w:numPr>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val="en-US" w:eastAsia="zh-CN" w:bidi="ar-SA"/>
              </w:rPr>
              <w:t xml:space="preserve">1.</w:t>
            </w:r>
            <w:r>
              <w:rPr>
                <w:rFonts w:hint="eastAsia" w:ascii="Times New Roman" w:hAnsi="Times New Roman" w:eastAsia="宋体" w:cstheme="minorEastAsia"/>
                <w:b w:val="0"/>
                <w:bCs w:val="0"/>
                <w:color w:val="auto"/>
                <w:sz w:val="21"/>
                <w:szCs w:val="21"/>
                <w:highlight w:val="none"/>
                <w:lang w:eastAsia="zh-CN"/>
              </w:rPr>
              <w:t xml:space="preserve">提供与设备配套的工业机器人技术专业系列教材</w:t>
            </w:r>
            <w:r>
              <w:rPr>
                <w:rFonts w:hint="eastAsia" w:ascii="Times New Roman" w:hAnsi="Times New Roman" w:eastAsia="宋体" w:cstheme="minorEastAsia"/>
                <w:b w:val="0"/>
                <w:bCs w:val="0"/>
                <w:color w:val="auto"/>
                <w:sz w:val="21"/>
                <w:szCs w:val="21"/>
                <w:highlight w:val="none"/>
                <w:lang w:val="en-US" w:eastAsia="zh-CN"/>
              </w:rPr>
              <w:t xml:space="preserve">15</w:t>
            </w:r>
            <w:r>
              <w:rPr>
                <w:rFonts w:hint="eastAsia" w:ascii="Times New Roman" w:hAnsi="Times New Roman" w:eastAsia="宋体" w:cstheme="minorEastAsia"/>
                <w:b w:val="0"/>
                <w:bCs w:val="0"/>
                <w:color w:val="auto"/>
                <w:sz w:val="21"/>
                <w:szCs w:val="21"/>
                <w:highlight w:val="none"/>
                <w:lang w:eastAsia="zh-CN"/>
              </w:rPr>
              <w:t xml:space="preserve">套；</w:t>
            </w:r>
            <w:r/>
          </w:p>
          <w:p>
            <w:pPr>
              <w:pStyle w:val="762"/>
              <w:jc w:val="both"/>
              <w:keepLines w:val="0"/>
              <w:keepNext w:val="0"/>
              <w:pageBreakBefore w:val="0"/>
              <w:spacing w:line="360" w:lineRule="auto"/>
              <w:rPr>
                <w:rFonts w:hint="eastAsia"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bidi="ar"/>
              </w:rPr>
              <w:t xml:space="preserve">2.</w:t>
            </w:r>
            <w:r>
              <w:rPr>
                <w:rFonts w:hint="eastAsia" w:ascii="Times New Roman" w:hAnsi="Times New Roman" w:eastAsia="宋体" w:cstheme="minorEastAsia"/>
                <w:b w:val="0"/>
                <w:bCs w:val="0"/>
                <w:color w:val="auto"/>
                <w:sz w:val="21"/>
                <w:szCs w:val="21"/>
                <w:highlight w:val="none"/>
                <w:lang w:eastAsia="zh-CN"/>
              </w:rPr>
              <w:t xml:space="preserve">提供设备配套的操作pp</w:t>
            </w:r>
            <w:r>
              <w:rPr>
                <w:rFonts w:hint="eastAsia" w:ascii="Times New Roman" w:hAnsi="Times New Roman" w:eastAsia="宋体" w:cstheme="minorEastAsia"/>
                <w:b w:val="0"/>
                <w:bCs w:val="0"/>
                <w:color w:val="auto"/>
                <w:sz w:val="21"/>
                <w:szCs w:val="21"/>
                <w:highlight w:val="none"/>
                <w:lang w:val="en-US" w:eastAsia="zh-CN"/>
              </w:rPr>
              <w:t xml:space="preserve">t,</w:t>
            </w:r>
            <w:r>
              <w:rPr>
                <w:rFonts w:hint="eastAsia" w:ascii="Times New Roman" w:hAnsi="Times New Roman" w:eastAsia="宋体" w:cstheme="minorEastAsia"/>
                <w:b w:val="0"/>
                <w:bCs w:val="0"/>
                <w:color w:val="auto"/>
                <w:sz w:val="21"/>
                <w:szCs w:val="21"/>
                <w:highlight w:val="none"/>
                <w:lang w:eastAsia="zh-CN"/>
              </w:rPr>
              <w:t xml:space="preserve">操作视频，实训指导书等课程资源</w:t>
            </w:r>
            <w:r>
              <w:rPr>
                <w:rFonts w:hint="eastAsia" w:ascii="Times New Roman" w:hAnsi="Times New Roman" w:eastAsia="宋体" w:cstheme="minorEastAsia"/>
                <w:b w:val="0"/>
                <w:bCs w:val="0"/>
                <w:color w:val="auto"/>
                <w:sz w:val="21"/>
                <w:szCs w:val="21"/>
                <w:highlight w:val="none"/>
                <w:lang w:val="en-US" w:eastAsia="zh-CN"/>
              </w:rPr>
              <w:t xml:space="preserve">1项</w:t>
            </w:r>
            <w:r>
              <w:rPr>
                <w:rFonts w:hint="eastAsia" w:ascii="Times New Roman" w:hAnsi="Times New Roman" w:eastAsia="宋体" w:cstheme="minorEastAsia"/>
                <w:b w:val="0"/>
                <w:bCs w:val="0"/>
                <w:color w:val="auto"/>
                <w:sz w:val="21"/>
                <w:szCs w:val="21"/>
                <w:highlight w:val="none"/>
                <w:lang w:eastAsia="zh-CN"/>
              </w:rPr>
              <w:t xml:space="preserve">。</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套</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3</w:t>
            </w:r>
            <w:r/>
          </w:p>
        </w:tc>
      </w:tr>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4.</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theme="minorEastAsia"/>
                <w:b w:val="0"/>
                <w:bCs w:val="0"/>
                <w:color w:val="auto"/>
                <w:sz w:val="21"/>
                <w:szCs w:val="21"/>
                <w:highlight w:val="none"/>
                <w:lang w:eastAsia="zh-CN"/>
              </w:rPr>
              <w:suppressLineNumbers w:val="0"/>
            </w:pPr>
            <w:r>
              <w:rPr>
                <w:rFonts w:hint="eastAsia" w:ascii="Times New Roman" w:hAnsi="Times New Roman" w:eastAsia="宋体" w:cs="宋体"/>
                <w:color w:val="auto"/>
                <w:sz w:val="21"/>
                <w:szCs w:val="21"/>
                <w:highlight w:val="none"/>
                <w:lang w:val="en-US" w:eastAsia="zh-CN" w:bidi="ar"/>
              </w:rPr>
              <w:t xml:space="preserve">工业机器人智能诊断平台</w:t>
            </w:r>
            <w:r/>
          </w:p>
        </w:tc>
        <w:tc>
          <w:tcPr>
            <w:shd w:val="clear" w:color="auto" w:fill="auto"/>
            <w:tcMar>
              <w:left w:w="120" w:type="dxa"/>
              <w:top w:w="120" w:type="dxa"/>
              <w:right w:w="120" w:type="dxa"/>
              <w:bottom w:w="120" w:type="dxa"/>
            </w:tcMar>
            <w:tcW w:w="3057" w:type="pct"/>
            <w:vAlign w:val="center"/>
            <w:textDirection w:val="lrTb"/>
            <w:noWrap w:val="false"/>
          </w:tcPr>
          <w:p>
            <w:pPr>
              <w:pStyle w:val="762"/>
              <w:jc w:val="both"/>
              <w:pageBreakBefore w:val="0"/>
              <w:rPr>
                <w:rFonts w:hint="eastAsia"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val="en-US" w:eastAsia="zh-CN"/>
              </w:rPr>
              <w:t xml:space="preserve">1.</w:t>
            </w:r>
            <w:r>
              <w:rPr>
                <w:rFonts w:hint="eastAsia" w:ascii="Times New Roman" w:hAnsi="Times New Roman" w:eastAsia="宋体" w:cstheme="minorEastAsia"/>
                <w:b w:val="0"/>
                <w:bCs w:val="0"/>
                <w:color w:val="auto"/>
                <w:sz w:val="21"/>
                <w:szCs w:val="21"/>
                <w:highlight w:val="none"/>
                <w:lang w:eastAsia="zh-CN"/>
              </w:rPr>
              <w:t xml:space="preserve">产品形态</w:t>
            </w:r>
            <w:r>
              <w:rPr>
                <w:rFonts w:hint="eastAsia" w:ascii="Times New Roman" w:hAnsi="Times New Roman" w:eastAsia="宋体" w:cstheme="minorEastAsia"/>
                <w:b w:val="0"/>
                <w:bCs w:val="0"/>
                <w:color w:val="auto"/>
                <w:sz w:val="21"/>
                <w:szCs w:val="21"/>
                <w:highlight w:val="none"/>
                <w:lang w:val="en-US" w:eastAsia="zh-CN"/>
              </w:rPr>
              <w:t xml:space="preserve">要求</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eastAsia="zh-CN"/>
              </w:rPr>
              <w:t xml:space="preserve">超微型工业级宽温硬件嵌入式硬件，软硬一体产品，硬件尺寸（H*W*D）小于100*100*23mm，部署时不占用机器人控制柜其他空间，支持机器人多种接入方式Wifi/485/有线以太网/4G全网通 CAT4 150Mpbs</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val="en-US" w:eastAsia="zh-CN"/>
              </w:rPr>
              <w:t xml:space="preserve">2.系统性能要求</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数据提取</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eastAsia="zh-CN"/>
              </w:rPr>
              <w:t xml:space="preserve">▲</w:t>
            </w:r>
            <w:r>
              <w:rPr>
                <w:rFonts w:hint="eastAsia" w:ascii="Times New Roman" w:hAnsi="Times New Roman" w:eastAsia="宋体" w:cstheme="minorEastAsia"/>
                <w:b w:val="0"/>
                <w:bCs w:val="0"/>
                <w:color w:val="auto"/>
                <w:sz w:val="21"/>
                <w:szCs w:val="21"/>
                <w:highlight w:val="none"/>
                <w:lang w:val="en-US" w:eastAsia="zh-CN"/>
              </w:rPr>
              <w:t xml:space="preserve">至少</w:t>
            </w:r>
            <w:r>
              <w:rPr>
                <w:rFonts w:hint="eastAsia" w:ascii="Times New Roman" w:hAnsi="Times New Roman" w:eastAsia="宋体" w:cstheme="minorEastAsia"/>
                <w:b w:val="0"/>
                <w:bCs w:val="0"/>
                <w:color w:val="auto"/>
                <w:sz w:val="21"/>
                <w:szCs w:val="21"/>
                <w:highlight w:val="none"/>
                <w:lang w:eastAsia="zh-CN"/>
              </w:rPr>
              <w:t xml:space="preserve">支持ABB、KUKA、FANUC、安川等</w:t>
            </w:r>
            <w:r>
              <w:rPr>
                <w:rFonts w:hint="eastAsia" w:ascii="Times New Roman" w:hAnsi="Times New Roman" w:eastAsia="宋体" w:cstheme="minorEastAsia"/>
                <w:b w:val="0"/>
                <w:bCs w:val="0"/>
                <w:color w:val="auto"/>
                <w:sz w:val="21"/>
                <w:szCs w:val="21"/>
                <w:highlight w:val="none"/>
                <w:lang w:val="en-US" w:eastAsia="zh-CN"/>
              </w:rPr>
              <w:t xml:space="preserve">主流</w:t>
            </w:r>
            <w:r>
              <w:rPr>
                <w:rFonts w:hint="eastAsia" w:ascii="Times New Roman" w:hAnsi="Times New Roman" w:eastAsia="宋体" w:cstheme="minorEastAsia"/>
                <w:b w:val="0"/>
                <w:bCs w:val="0"/>
                <w:color w:val="auto"/>
                <w:sz w:val="21"/>
                <w:szCs w:val="21"/>
                <w:highlight w:val="none"/>
                <w:lang w:eastAsia="zh-CN"/>
              </w:rPr>
              <w:t xml:space="preserve">机器人状态、运行数据自动化提取与分析，覆盖上百种机器人本体和控制系统监测指标，本项在投标文件中需要提供三维功能演示视频截图作为证明文件，需提供合法的</w:t>
            </w:r>
            <w:r>
              <w:rPr>
                <w:rFonts w:hint="default" w:ascii="Times New Roman" w:hAnsi="Times New Roman" w:eastAsia="宋体" w:cstheme="minorEastAsia"/>
                <w:b w:val="0"/>
                <w:bCs w:val="0"/>
                <w:color w:val="auto"/>
                <w:sz w:val="21"/>
                <w:szCs w:val="21"/>
                <w:highlight w:val="none"/>
                <w:lang w:val="en-US" w:eastAsia="zh-CN"/>
              </w:rPr>
              <w:t xml:space="preserve">机器人多轴协同控制与运动数据采集分析软件</w:t>
            </w:r>
            <w:r>
              <w:rPr>
                <w:rFonts w:hint="eastAsia" w:ascii="Times New Roman" w:hAnsi="Times New Roman" w:eastAsia="宋体" w:cstheme="minorEastAsia"/>
                <w:b w:val="0"/>
                <w:bCs w:val="0"/>
                <w:color w:val="auto"/>
                <w:sz w:val="21"/>
                <w:szCs w:val="21"/>
                <w:highlight w:val="none"/>
                <w:lang w:eastAsia="zh-CN"/>
              </w:rPr>
              <w:t xml:space="preserve">著作权证明，以保证正版软件，并</w:t>
            </w:r>
            <w:r>
              <w:rPr>
                <w:rFonts w:hint="eastAsia" w:ascii="Times New Roman" w:hAnsi="Times New Roman" w:eastAsia="宋体" w:cstheme="minorEastAsia"/>
                <w:b w:val="0"/>
                <w:bCs w:val="0"/>
                <w:color w:val="auto"/>
                <w:sz w:val="21"/>
                <w:szCs w:val="21"/>
                <w:highlight w:val="none"/>
                <w:lang w:val="en-US" w:eastAsia="zh-CN"/>
              </w:rPr>
              <w:t xml:space="preserve">加盖投标人公章。</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状态及安全监测</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自动化评估机器人网络安全状态和运行健康状态，可识别数十种机器人网络安全风险、数十项机器人温度、电流、电压等运行健康状态，本项在投标文件中需要提供三维功能演示视频截图作为证明文件，需提供合法的机器人动态控制调节与运动参数采集管理软件著作权证明，以保证正版软件，并</w:t>
            </w:r>
            <w:r>
              <w:rPr>
                <w:rFonts w:hint="eastAsia" w:ascii="Times New Roman" w:hAnsi="Times New Roman" w:eastAsia="宋体" w:cstheme="minorEastAsia"/>
                <w:b w:val="0"/>
                <w:bCs w:val="0"/>
                <w:color w:val="auto"/>
                <w:sz w:val="21"/>
                <w:szCs w:val="21"/>
                <w:highlight w:val="none"/>
                <w:lang w:val="en-US" w:eastAsia="zh-CN"/>
              </w:rPr>
              <w:t xml:space="preserve">加盖投标人公章。</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数据备份</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▲支持对机器人的配置信息进行定期备份，以便机器人故障后能够通过备份快速恢复，需提供合法的机器人智能控制与多源数据采集分析软件著作权证明，并加</w:t>
            </w:r>
            <w:r>
              <w:rPr>
                <w:rFonts w:hint="eastAsia" w:ascii="Times New Roman" w:hAnsi="Times New Roman" w:eastAsia="宋体" w:cstheme="minorEastAsia"/>
                <w:b w:val="0"/>
                <w:bCs w:val="0"/>
                <w:color w:val="auto"/>
                <w:sz w:val="21"/>
                <w:szCs w:val="21"/>
                <w:highlight w:val="none"/>
                <w:lang w:val="en-US" w:eastAsia="zh-CN"/>
              </w:rPr>
              <w:t xml:space="preserve">投标人</w:t>
            </w:r>
            <w:r>
              <w:rPr>
                <w:rFonts w:hint="eastAsia" w:ascii="Times New Roman" w:hAnsi="Times New Roman" w:eastAsia="宋体" w:cstheme="minorEastAsia"/>
                <w:b w:val="0"/>
                <w:bCs w:val="0"/>
                <w:color w:val="auto"/>
                <w:sz w:val="21"/>
                <w:szCs w:val="21"/>
                <w:highlight w:val="none"/>
                <w:lang w:eastAsia="zh-CN"/>
              </w:rPr>
              <w:t xml:space="preserve">公章，以保证正版软件。</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数据转发</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支持统一接口（MQTT或OPCUA）和加密通信与云端上传监测数据与分析结果</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系统配置</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系统支持通过Web方式对系统进行配置与管理，用户可进行新增机器人接入和数据提取配置等操作</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val="en-US" w:eastAsia="zh-CN"/>
              </w:rPr>
              <w:t xml:space="preserve">3.</w:t>
            </w:r>
            <w:r>
              <w:rPr>
                <w:rFonts w:hint="eastAsia" w:ascii="Times New Roman" w:hAnsi="Times New Roman" w:eastAsia="宋体" w:cstheme="minorEastAsia"/>
                <w:b w:val="0"/>
                <w:bCs w:val="0"/>
                <w:color w:val="auto"/>
                <w:sz w:val="21"/>
                <w:szCs w:val="21"/>
                <w:highlight w:val="none"/>
                <w:lang w:eastAsia="zh-CN"/>
              </w:rPr>
              <w:t xml:space="preserve">系统性能</w:t>
            </w:r>
            <w:r>
              <w:rPr>
                <w:rFonts w:hint="eastAsia" w:ascii="Times New Roman" w:hAnsi="Times New Roman" w:eastAsia="宋体" w:cstheme="minorEastAsia"/>
                <w:b w:val="0"/>
                <w:bCs w:val="0"/>
                <w:color w:val="auto"/>
                <w:sz w:val="21"/>
                <w:szCs w:val="21"/>
                <w:highlight w:val="none"/>
                <w:lang w:val="en-US" w:eastAsia="zh-CN"/>
              </w:rPr>
              <w:t xml:space="preserve">要求</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val="en-US" w:eastAsia="zh-CN"/>
              </w:rPr>
              <w:t xml:space="preserve">至少</w:t>
            </w:r>
            <w:r>
              <w:rPr>
                <w:rFonts w:hint="eastAsia" w:ascii="Times New Roman" w:hAnsi="Times New Roman" w:eastAsia="宋体" w:cstheme="minorEastAsia"/>
                <w:b w:val="0"/>
                <w:bCs w:val="0"/>
                <w:color w:val="auto"/>
                <w:sz w:val="21"/>
                <w:szCs w:val="21"/>
                <w:highlight w:val="none"/>
                <w:lang w:eastAsia="zh-CN"/>
              </w:rPr>
              <w:t xml:space="preserve">支持接入ABB、FANUC、KUKA、安川</w:t>
            </w:r>
            <w:r>
              <w:rPr>
                <w:rFonts w:hint="eastAsia" w:ascii="Times New Roman" w:hAnsi="Times New Roman" w:eastAsia="宋体" w:cstheme="minorEastAsia"/>
                <w:b w:val="0"/>
                <w:bCs w:val="0"/>
                <w:color w:val="auto"/>
                <w:sz w:val="21"/>
                <w:szCs w:val="21"/>
                <w:highlight w:val="none"/>
                <w:lang w:val="en-US" w:eastAsia="zh-CN"/>
              </w:rPr>
              <w:t xml:space="preserve">等主流</w:t>
            </w:r>
            <w:r>
              <w:rPr>
                <w:rFonts w:hint="eastAsia" w:ascii="Times New Roman" w:hAnsi="Times New Roman" w:eastAsia="宋体" w:cstheme="minorEastAsia"/>
                <w:b w:val="0"/>
                <w:bCs w:val="0"/>
                <w:color w:val="auto"/>
                <w:sz w:val="21"/>
                <w:szCs w:val="21"/>
                <w:highlight w:val="none"/>
                <w:lang w:eastAsia="zh-CN"/>
              </w:rPr>
              <w:t xml:space="preserve">机器人，覆盖国内外超过10家主流厂商，支持接入工业机器人类型超过4种类型，包括不限于关节机器人、协作机器人、涂装机器人、并联机器人、水平多关节SCARA机器人</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数据提取指标</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控制器及机器人状态、运行数据自动化提取与分析，覆盖超过100种机器人本体和控制系统监测指标（机器人操作的的各种日志和告警信息，轴运行角度、坐标等运行信息，机器人运行停止、当前作业、轴齿轮箱状态、电流电压等状态信息，以及各种系统健康状态信息）</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安全评估指标</w:t>
            </w:r>
            <w:r/>
          </w:p>
          <w:p>
            <w:pPr>
              <w:pStyle w:val="762"/>
              <w:jc w:val="both"/>
              <w:pageBreakBefore w:val="0"/>
              <w:rPr>
                <w:rFonts w:hint="eastAsia" w:ascii="Times New Roman" w:hAnsi="Times New Roman" w:eastAsia="宋体" w:cstheme="minorEastAsia"/>
                <w:b w:val="0"/>
                <w:bCs w:val="0"/>
                <w:color w:val="auto"/>
                <w:sz w:val="21"/>
                <w:szCs w:val="21"/>
                <w:highlight w:val="none"/>
                <w:lang w:eastAsia="zh-CN"/>
              </w:rPr>
            </w:pPr>
            <w:r>
              <w:rPr>
                <w:rFonts w:hint="eastAsia" w:ascii="Times New Roman" w:hAnsi="Times New Roman" w:eastAsia="宋体" w:cstheme="minorEastAsia"/>
                <w:b w:val="0"/>
                <w:bCs w:val="0"/>
                <w:color w:val="auto"/>
                <w:sz w:val="21"/>
                <w:szCs w:val="21"/>
                <w:highlight w:val="none"/>
                <w:lang w:eastAsia="zh-CN"/>
              </w:rPr>
              <w:t xml:space="preserve">自动化评估机器人网络安全状态和运行健康状态，可识别超过10种机器人网络安全风险、异常登录、编程错误、漏洞状态和超过10项机器人温度、电流、电压等运行健康状态</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val="en-US" w:eastAsia="zh-CN"/>
              </w:rPr>
              <w:t xml:space="preserve">4.系统硬件要求</w:t>
            </w:r>
            <w:r/>
          </w:p>
          <w:p>
            <w:pPr>
              <w:pStyle w:val="762"/>
              <w:jc w:val="both"/>
              <w:pageBreakBefore w:val="0"/>
              <w:rPr>
                <w:rFonts w:hint="default" w:ascii="Times New Roman" w:hAnsi="Times New Roman" w:eastAsia="宋体" w:cstheme="minorEastAsia"/>
                <w:b w:val="0"/>
                <w:bCs w:val="0"/>
                <w:color w:val="auto"/>
                <w:sz w:val="21"/>
                <w:szCs w:val="21"/>
                <w:highlight w:val="none"/>
                <w:lang w:val="en-US" w:eastAsia="zh-CN"/>
              </w:rPr>
            </w:pPr>
            <w:r>
              <w:rPr>
                <w:rFonts w:hint="eastAsia" w:ascii="Times New Roman" w:hAnsi="Times New Roman" w:eastAsia="宋体" w:cstheme="minorEastAsia"/>
                <w:b w:val="0"/>
                <w:bCs w:val="0"/>
                <w:color w:val="auto"/>
                <w:sz w:val="21"/>
                <w:szCs w:val="21"/>
                <w:highlight w:val="none"/>
                <w:lang w:eastAsia="zh-CN"/>
              </w:rPr>
              <w:t xml:space="preserve">采用工业级嵌入式硬件，采用宽温设计工作温度-35~+75℃，网络接口支持Wifi/485/有线以太网/4G全网通CAT4150Mpbs。</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rPr>
              <w:t xml:space="preserve">套</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1</w:t>
            </w:r>
            <w:r/>
          </w:p>
        </w:tc>
      </w:tr>
      <w:tr>
        <w:trPr/>
        <w:tc>
          <w:tcPr>
            <w:shd w:val="clear" w:color="auto" w:fill="auto"/>
            <w:tcMar>
              <w:left w:w="120" w:type="dxa"/>
              <w:top w:w="120" w:type="dxa"/>
              <w:right w:w="120" w:type="dxa"/>
              <w:bottom w:w="120" w:type="dxa"/>
            </w:tcMar>
            <w:tcW w:w="361"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5</w:t>
            </w:r>
            <w:r/>
          </w:p>
        </w:tc>
        <w:tc>
          <w:tcPr>
            <w:shd w:val="clear" w:color="auto" w:fill="auto"/>
            <w:tcMar>
              <w:left w:w="120" w:type="dxa"/>
              <w:top w:w="120" w:type="dxa"/>
              <w:right w:w="120" w:type="dxa"/>
              <w:bottom w:w="120" w:type="dxa"/>
            </w:tcMar>
            <w:tcW w:w="753"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eastAsia="zh-CN"/>
                <w14:ligatures w14:val="none"/>
              </w:rPr>
              <w:t xml:space="preserve">实训基地配套设施</w:t>
            </w:r>
            <w:r/>
          </w:p>
        </w:tc>
        <w:tc>
          <w:tcPr>
            <w:shd w:val="clear" w:color="auto" w:fill="auto"/>
            <w:tcMar>
              <w:left w:w="120" w:type="dxa"/>
              <w:top w:w="120" w:type="dxa"/>
              <w:right w:w="120" w:type="dxa"/>
              <w:bottom w:w="120" w:type="dxa"/>
            </w:tcMar>
            <w:tcW w:w="3057" w:type="pct"/>
            <w:vAlign w:val="center"/>
            <w:textDirection w:val="lrTb"/>
            <w:noWrap w:val="false"/>
          </w:tcPr>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5.1.六边形钢木桌（16套）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5.1.1带门带锁；</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5.1.2直径：≥1700-1800mm；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5.1.36位/组；</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5.1.4配套凳子6张。</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5.2.书架1（4套）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5.2.1尺寸：≥6000*500*1700mm；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5.2.2层数：4；</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5.2.3列数：15。</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5.3.书架2（1套）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5.3.1尺寸≥4000*500*1700mm；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5.3.2层数：4；</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5.3.3列数：10。</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5.4.置物架（4套）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5.4.1尺寸：≥2000*500*1790mm；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5.4.2层数：5；</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5.4.3配套20个安全帽。</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5.5.长条会议桌（6套）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5.5.1尺寸：≥2000*800*750；</w:t>
            </w:r>
            <w:r/>
          </w:p>
          <w:p>
            <w:pPr>
              <w:pStyle w:val="762"/>
              <w:jc w:val="both"/>
              <w:pageBreakBefore w:val="0"/>
              <w:rPr>
                <w:rFonts w:hint="default"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5.5.22位/组；</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5.5.3配套凳子2张。</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5.6.圆形讨论桌椅（3套）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5.6.1直径：≥800mm；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5.6.2高度：≥750mm；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5.6.24位/组；</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5.6.3配套椅子4张。</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5.7.花槽柜（1套）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5.7.1材质：15mm三聚氰胺板；</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5.7.2高度：≥90mm；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5.7.3宽度：≥40mm；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5.7.4总长度：≥45m。</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5.8.教学一体平板（2套）</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5.8.1屏幕尺寸：≥12.5英寸；</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5.8.2屏幕类型：LCD；</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5.8.3电池容量：10610mAh；</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5.8.4存储容量：1TB；</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5.8.5运行内存：≥16GB；</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5.8.6分辨率：3200*2136；</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5.8.7屏幕比例：3:2。</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5.9.课堂智能交互教学终端（5套）</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5.9.1</w:t>
            </w:r>
            <w:r>
              <w:rPr>
                <w:rFonts w:hint="eastAsia" w:ascii="Times New Roman" w:hAnsi="Times New Roman" w:eastAsia="宋体" w:cstheme="minorEastAsia"/>
                <w:color w:val="auto"/>
                <w:sz w:val="21"/>
                <w:szCs w:val="21"/>
                <w:highlight w:val="none"/>
                <w:lang w:eastAsia="zh-CN"/>
              </w:rPr>
              <w:t xml:space="preserve">尺寸：</w:t>
            </w:r>
            <w:r>
              <w:rPr>
                <w:rFonts w:hint="eastAsia" w:ascii="Times New Roman" w:hAnsi="Times New Roman" w:eastAsia="宋体" w:cstheme="minorEastAsia"/>
                <w:color w:val="auto"/>
                <w:sz w:val="21"/>
                <w:szCs w:val="21"/>
                <w:highlight w:val="none"/>
                <w:lang w:val="en-US" w:eastAsia="zh-CN"/>
              </w:rPr>
              <w:t xml:space="preserve">≥</w:t>
            </w:r>
            <w:r>
              <w:rPr>
                <w:rFonts w:hint="eastAsia" w:ascii="Times New Roman" w:hAnsi="Times New Roman" w:eastAsia="宋体" w:cstheme="minorEastAsia"/>
                <w:color w:val="auto"/>
                <w:sz w:val="21"/>
                <w:szCs w:val="21"/>
                <w:highlight w:val="none"/>
                <w:lang w:eastAsia="zh-CN"/>
              </w:rPr>
              <w:t xml:space="preserve">86英寸；</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5.9.2</w:t>
            </w:r>
            <w:r>
              <w:rPr>
                <w:rFonts w:hint="eastAsia" w:ascii="Times New Roman" w:hAnsi="Times New Roman" w:eastAsia="宋体" w:cstheme="minorEastAsia"/>
                <w:color w:val="auto"/>
                <w:sz w:val="21"/>
                <w:szCs w:val="21"/>
                <w:highlight w:val="none"/>
                <w:lang w:eastAsia="zh-CN"/>
              </w:rPr>
              <w:t xml:space="preserve">响应时间：</w:t>
            </w:r>
            <w:r>
              <w:rPr>
                <w:rFonts w:hint="eastAsia" w:ascii="Times New Roman" w:hAnsi="Times New Roman" w:eastAsia="宋体" w:cstheme="minorEastAsia"/>
                <w:color w:val="auto"/>
                <w:sz w:val="21"/>
                <w:szCs w:val="21"/>
                <w:highlight w:val="none"/>
                <w:lang w:val="en-US" w:eastAsia="zh-CN"/>
              </w:rPr>
              <w:t xml:space="preserve">≤</w:t>
            </w:r>
            <w:r>
              <w:rPr>
                <w:rFonts w:hint="eastAsia" w:ascii="Times New Roman" w:hAnsi="Times New Roman" w:eastAsia="宋体" w:cstheme="minorEastAsia"/>
                <w:color w:val="auto"/>
                <w:sz w:val="21"/>
                <w:szCs w:val="21"/>
                <w:highlight w:val="none"/>
                <w:lang w:eastAsia="zh-CN"/>
              </w:rPr>
              <w:t xml:space="preserve">8ms；</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5.9.3</w:t>
            </w:r>
            <w:r>
              <w:rPr>
                <w:rFonts w:hint="eastAsia" w:ascii="Times New Roman" w:hAnsi="Times New Roman" w:eastAsia="宋体" w:cstheme="minorEastAsia"/>
                <w:color w:val="auto"/>
                <w:sz w:val="21"/>
                <w:szCs w:val="21"/>
                <w:highlight w:val="none"/>
                <w:lang w:eastAsia="zh-CN"/>
              </w:rPr>
              <w:t xml:space="preserve">画面比例：16:9；</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5.9.4</w:t>
            </w:r>
            <w:r>
              <w:rPr>
                <w:rFonts w:hint="eastAsia" w:ascii="Times New Roman" w:hAnsi="Times New Roman" w:eastAsia="宋体" w:cstheme="minorEastAsia"/>
                <w:color w:val="auto"/>
                <w:sz w:val="21"/>
                <w:szCs w:val="21"/>
                <w:highlight w:val="none"/>
                <w:lang w:eastAsia="zh-CN"/>
              </w:rPr>
              <w:t xml:space="preserve">显示区域：1895.04(H)×1065.96(V)mm；</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5.9.5</w:t>
            </w:r>
            <w:r>
              <w:rPr>
                <w:rFonts w:hint="eastAsia" w:ascii="Times New Roman" w:hAnsi="Times New Roman" w:eastAsia="宋体" w:cstheme="minorEastAsia"/>
                <w:color w:val="auto"/>
                <w:sz w:val="21"/>
                <w:szCs w:val="21"/>
                <w:highlight w:val="none"/>
                <w:lang w:eastAsia="zh-CN"/>
              </w:rPr>
              <w:t xml:space="preserve">分辨率：</w:t>
            </w:r>
            <w:r>
              <w:rPr>
                <w:rFonts w:hint="eastAsia" w:ascii="Times New Roman" w:hAnsi="Times New Roman" w:eastAsia="宋体" w:cstheme="minorEastAsia"/>
                <w:color w:val="auto"/>
                <w:sz w:val="21"/>
                <w:szCs w:val="21"/>
                <w:highlight w:val="none"/>
                <w:lang w:val="en-US" w:eastAsia="zh-CN"/>
              </w:rPr>
              <w:t xml:space="preserve">≥</w:t>
            </w:r>
            <w:r>
              <w:rPr>
                <w:rFonts w:hint="eastAsia" w:ascii="Times New Roman" w:hAnsi="Times New Roman" w:eastAsia="宋体" w:cstheme="minorEastAsia"/>
                <w:color w:val="auto"/>
                <w:sz w:val="21"/>
                <w:szCs w:val="21"/>
                <w:highlight w:val="none"/>
                <w:lang w:eastAsia="zh-CN"/>
              </w:rPr>
              <w:t xml:space="preserve">3840(H)×2160(V)；</w:t>
            </w:r>
            <w:r/>
          </w:p>
          <w:p>
            <w:pPr>
              <w:pStyle w:val="762"/>
              <w:jc w:val="both"/>
              <w:pageBreakBefore w:val="0"/>
              <w:rPr>
                <w:rFonts w:hint="eastAsia" w:ascii="Times New Roman" w:hAnsi="Times New Roman" w:eastAsia="宋体" w:cstheme="minorEastAsia"/>
                <w:color w:val="auto"/>
                <w:sz w:val="21"/>
                <w:szCs w:val="21"/>
                <w:highlight w:val="none"/>
                <w:lang w:eastAsia="zh-CN"/>
              </w:rPr>
            </w:pPr>
            <w:r>
              <w:rPr>
                <w:rFonts w:hint="eastAsia" w:ascii="Times New Roman" w:hAnsi="Times New Roman" w:eastAsia="宋体" w:cstheme="minorEastAsia"/>
                <w:color w:val="auto"/>
                <w:sz w:val="21"/>
                <w:szCs w:val="21"/>
                <w:highlight w:val="none"/>
                <w:lang w:val="en-US" w:eastAsia="zh-CN"/>
              </w:rPr>
              <w:t xml:space="preserve">5.9.6</w:t>
            </w:r>
            <w:r>
              <w:rPr>
                <w:rFonts w:hint="eastAsia" w:ascii="Times New Roman" w:hAnsi="Times New Roman" w:eastAsia="宋体" w:cstheme="minorEastAsia"/>
                <w:color w:val="auto"/>
                <w:sz w:val="21"/>
                <w:szCs w:val="21"/>
                <w:highlight w:val="none"/>
                <w:lang w:eastAsia="zh-CN"/>
              </w:rPr>
              <w:t xml:space="preserve">系统版本：</w:t>
            </w:r>
            <w:r>
              <w:rPr>
                <w:rFonts w:hint="eastAsia" w:ascii="Times New Roman" w:hAnsi="Times New Roman" w:eastAsia="宋体" w:cstheme="minorEastAsia"/>
                <w:color w:val="auto"/>
                <w:sz w:val="21"/>
                <w:szCs w:val="21"/>
                <w:highlight w:val="none"/>
                <w:lang w:val="en-US" w:eastAsia="zh-CN"/>
              </w:rPr>
              <w:t xml:space="preserve">支持</w:t>
            </w:r>
            <w:r>
              <w:rPr>
                <w:rFonts w:hint="eastAsia" w:ascii="Times New Roman" w:hAnsi="Times New Roman" w:eastAsia="宋体" w:cstheme="minorEastAsia"/>
                <w:color w:val="auto"/>
                <w:sz w:val="21"/>
                <w:szCs w:val="21"/>
                <w:highlight w:val="none"/>
                <w:lang w:eastAsia="zh-CN"/>
              </w:rPr>
              <w:t xml:space="preserve">Android+Windows双系统；</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5.9.7对比度：4000:1；</w:t>
            </w:r>
            <w:r/>
          </w:p>
          <w:p>
            <w:pPr>
              <w:pStyle w:val="762"/>
              <w:jc w:val="both"/>
              <w:pageBreakBefore w:val="0"/>
              <w:rPr>
                <w:rFonts w:hint="eastAsia" w:ascii="Times New Roman" w:hAnsi="Times New Roman" w:eastAsia="宋体" w:cstheme="minorEastAsia"/>
                <w:color w:val="auto"/>
                <w:sz w:val="21"/>
                <w:szCs w:val="21"/>
                <w:highlight w:val="none"/>
                <w:lang w:val="en-US" w:eastAsia="zh-CN"/>
              </w:rPr>
            </w:pPr>
            <w:r>
              <w:rPr>
                <w:rFonts w:hint="eastAsia" w:ascii="Times New Roman" w:hAnsi="Times New Roman" w:eastAsia="宋体" w:cstheme="minorEastAsia"/>
                <w:color w:val="auto"/>
                <w:sz w:val="21"/>
                <w:szCs w:val="21"/>
                <w:highlight w:val="none"/>
                <w:lang w:val="en-US" w:eastAsia="zh-CN"/>
              </w:rPr>
              <w:t xml:space="preserve">5.9.8支持手指或触控笔书写；</w:t>
            </w:r>
            <w:r/>
          </w:p>
          <w:p>
            <w:pPr>
              <w:pStyle w:val="762"/>
              <w:jc w:val="both"/>
              <w:pageBreakBefore w:val="0"/>
              <w:rPr>
                <w:rFonts w:hint="eastAsia" w:ascii="Times New Roman" w:hAnsi="Times New Roman" w:eastAsia="宋体" w:cs="宋体"/>
                <w:color w:val="auto"/>
                <w:sz w:val="21"/>
                <w:szCs w:val="21"/>
                <w:highlight w:val="none"/>
                <w:lang w:val="en-US" w:eastAsia="zh-CN" w:bidi="ar"/>
              </w:rPr>
            </w:pPr>
            <w:r>
              <w:rPr>
                <w:rFonts w:hint="eastAsia" w:ascii="Times New Roman" w:hAnsi="Times New Roman" w:eastAsia="宋体" w:cstheme="minorEastAsia"/>
                <w:color w:val="auto"/>
                <w:sz w:val="21"/>
                <w:szCs w:val="21"/>
                <w:highlight w:val="none"/>
                <w:lang w:val="en-US" w:eastAsia="zh-CN"/>
              </w:rPr>
              <w:t xml:space="preserve">5.9.10内置超广角摄像头，≥1200万像素；</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套</w:t>
            </w:r>
            <w:r/>
          </w:p>
        </w:tc>
        <w:tc>
          <w:tcPr>
            <w:shd w:val="clear" w:color="auto" w:fill="auto"/>
            <w:tcMar>
              <w:left w:w="120" w:type="dxa"/>
              <w:top w:w="120" w:type="dxa"/>
              <w:right w:w="120" w:type="dxa"/>
              <w:bottom w:w="120" w:type="dxa"/>
            </w:tcMar>
            <w:tcW w:w="414" w:type="pct"/>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color w:val="auto"/>
                <w:sz w:val="21"/>
                <w:szCs w:val="21"/>
                <w:highlight w:val="none"/>
                <w:lang w:val="en-US" w:eastAsia="zh-CN" w:bidi="ar"/>
              </w:rPr>
              <w:suppressLineNumbers w:val="0"/>
            </w:pPr>
            <w:r>
              <w:rPr>
                <w:rFonts w:hint="eastAsia" w:ascii="Times New Roman" w:hAnsi="Times New Roman" w:eastAsia="宋体" w:cs="宋体"/>
                <w:color w:val="auto"/>
                <w:sz w:val="21"/>
                <w:szCs w:val="21"/>
                <w:highlight w:val="none"/>
                <w:lang w:val="en-US" w:eastAsia="zh-CN" w:bidi="ar"/>
              </w:rPr>
              <w:t xml:space="preserve">1</w:t>
            </w:r>
            <w:r/>
          </w:p>
        </w:tc>
      </w:tr>
    </w:tbl>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default"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说明：</w:t>
      </w:r>
      <w:r>
        <w:rPr>
          <w:rFonts w:hint="eastAsia" w:ascii="Times New Roman" w:hAnsi="Times New Roman" w:eastAsia="宋体" w:cs="宋体"/>
          <w:b/>
          <w:bCs/>
          <w:color w:val="auto"/>
          <w:sz w:val="21"/>
          <w:szCs w:val="21"/>
          <w:lang w:val="en-US" w:eastAsia="zh-CN"/>
          <w14:ligatures w14:val="none"/>
        </w:rPr>
        <w:t xml:space="preserve">上述</w:t>
      </w:r>
      <w:r>
        <w:rPr>
          <w:rFonts w:hint="eastAsia" w:ascii="Times New Roman" w:hAnsi="Times New Roman" w:eastAsia="宋体" w:cs="宋体"/>
          <w:b/>
          <w:bCs/>
          <w:color w:val="auto"/>
          <w:sz w:val="21"/>
          <w:szCs w:val="21"/>
          <w14:ligatures w14:val="none"/>
        </w:rPr>
        <w:t xml:space="preserve">所列参考品牌仅为说明技术标准与质量等级，非指定品牌。投标人可提供满足全部技术参数、同等或更高品质的其他品牌产品，评标委员会按参数与功能符合性评审。</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bidi="ar-SA"/>
        </w:rPr>
        <w:t xml:space="preserve">四、</w:t>
      </w:r>
      <w:r>
        <w:rPr>
          <w:rFonts w:hint="eastAsia" w:ascii="Times New Roman" w:hAnsi="Times New Roman" w:eastAsia="宋体" w:cs="宋体"/>
          <w:b/>
          <w:bCs/>
          <w:color w:val="auto"/>
          <w:sz w:val="21"/>
          <w:szCs w:val="21"/>
          <w:highlight w:val="none"/>
        </w:rPr>
        <w:t xml:space="preserve">商务要求</w:t>
      </w:r>
      <w:r/>
    </w:p>
    <w:p>
      <w:pPr>
        <w:ind w:firstLine="422"/>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i w:val="0"/>
          <w:iCs w:val="0"/>
          <w:color w:val="auto"/>
          <w:sz w:val="21"/>
          <w:szCs w:val="21"/>
          <w:u w:val="none"/>
          <w:lang w:eastAsia="zh-CN"/>
        </w:rPr>
        <w:t xml:space="preserve"> 1</w:t>
      </w:r>
      <w:r>
        <w:rPr>
          <w:rFonts w:hint="eastAsia" w:ascii="Times New Roman" w:hAnsi="Times New Roman" w:eastAsia="宋体" w:cstheme="minorEastAsia"/>
          <w:b/>
          <w:i w:val="0"/>
          <w:iCs w:val="0"/>
          <w:color w:val="auto"/>
          <w:sz w:val="21"/>
          <w:szCs w:val="21"/>
          <w:u w:val="none"/>
          <w:lang w:val="en-US" w:eastAsia="zh-CN"/>
        </w:rPr>
        <w:t xml:space="preserve">.</w:t>
      </w:r>
      <w:r>
        <w:rPr>
          <w:rFonts w:hint="eastAsia" w:ascii="Times New Roman" w:hAnsi="Times New Roman" w:eastAsia="宋体" w:cstheme="minorEastAsia"/>
          <w:b/>
          <w:i w:val="0"/>
          <w:iCs w:val="0"/>
          <w:color w:val="auto"/>
          <w:sz w:val="21"/>
          <w:szCs w:val="21"/>
          <w:u w:val="none"/>
          <w:lang w:eastAsia="zh-CN"/>
        </w:rPr>
        <w:t xml:space="preserve">交货要求</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1.1交货期：</w:t>
      </w:r>
      <w:r>
        <w:rPr>
          <w:rFonts w:hint="eastAsia" w:ascii="Times New Roman" w:hAnsi="Times New Roman" w:eastAsia="宋体"/>
          <w:color w:val="auto"/>
          <w:szCs w:val="21"/>
          <w:u w:val="single"/>
          <w:lang w:val="en-GB"/>
        </w:rPr>
        <w:t xml:space="preserve">合同签订后</w:t>
      </w:r>
      <w:r>
        <w:rPr>
          <w:rFonts w:hint="eastAsia" w:ascii="Times New Roman" w:hAnsi="Times New Roman" w:eastAsia="宋体"/>
          <w:color w:val="auto"/>
          <w:szCs w:val="21"/>
          <w:u w:val="single"/>
          <w:lang w:val="en-US" w:eastAsia="zh-CN"/>
        </w:rPr>
        <w:t xml:space="preserve">30</w:t>
      </w:r>
      <w:r>
        <w:rPr>
          <w:rFonts w:hint="eastAsia" w:ascii="Times New Roman" w:hAnsi="Times New Roman" w:eastAsia="宋体"/>
          <w:color w:val="auto"/>
          <w:szCs w:val="21"/>
          <w:u w:val="single"/>
          <w:lang w:val="en-GB"/>
        </w:rPr>
        <w:t xml:space="preserve">日历天内完成本项目所有内容交付、安装、调试</w:t>
      </w:r>
      <w:r>
        <w:rPr>
          <w:rFonts w:hint="eastAsia" w:ascii="Times New Roman" w:hAnsi="Times New Roman" w:eastAsia="宋体"/>
          <w:color w:val="auto"/>
          <w:szCs w:val="21"/>
          <w:u w:val="single"/>
          <w:lang w:val="en-US" w:eastAsia="zh-CN"/>
        </w:rPr>
        <w:t xml:space="preserve">及培训</w:t>
      </w:r>
      <w:r>
        <w:rPr>
          <w:rFonts w:hint="eastAsia" w:ascii="Times New Roman" w:hAnsi="Times New Roman" w:eastAsia="宋体"/>
          <w:color w:val="auto"/>
          <w:szCs w:val="21"/>
          <w:u w:val="single"/>
          <w:lang w:val="en-GB"/>
        </w:rPr>
        <w:t xml:space="preserve">工作，并经采购人验收合格</w:t>
      </w:r>
      <w:r>
        <w:rPr>
          <w:rFonts w:hint="eastAsia" w:ascii="Times New Roman" w:hAnsi="Times New Roman" w:eastAsia="宋体" w:cstheme="minorEastAsia"/>
          <w:i w:val="0"/>
          <w:iCs w:val="0"/>
          <w:color w:val="auto"/>
          <w:sz w:val="21"/>
          <w:szCs w:val="21"/>
          <w:u w:val="none"/>
          <w:lang w:eastAsia="zh-CN"/>
        </w:rPr>
        <w:t xml:space="preserve">。</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1.2交货地点：</w:t>
      </w:r>
      <w:r>
        <w:rPr>
          <w:rFonts w:hint="eastAsia" w:ascii="Times New Roman" w:hAnsi="Times New Roman" w:eastAsia="宋体"/>
          <w:bCs/>
          <w:color w:val="auto"/>
          <w:szCs w:val="21"/>
          <w:u w:val="single"/>
        </w:rPr>
        <w:t xml:space="preserve">甲方指定地点，运送所产生的所有费用由乙方承担</w:t>
      </w:r>
      <w:r>
        <w:rPr>
          <w:rFonts w:hint="eastAsia" w:ascii="Times New Roman" w:hAnsi="Times New Roman" w:eastAsia="宋体" w:cstheme="minorEastAsia"/>
          <w:i w:val="0"/>
          <w:iCs w:val="0"/>
          <w:color w:val="auto"/>
          <w:sz w:val="21"/>
          <w:szCs w:val="21"/>
          <w:u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cstheme="minorEastAsia"/>
          <w:b/>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i w:val="0"/>
          <w:iCs w:val="0"/>
          <w:color w:val="auto"/>
          <w:sz w:val="21"/>
          <w:szCs w:val="21"/>
          <w:u w:val="none"/>
          <w:lang w:eastAsia="zh-CN"/>
        </w:rPr>
        <w:t xml:space="preserve">2</w:t>
      </w:r>
      <w:r>
        <w:rPr>
          <w:rFonts w:hint="eastAsia" w:ascii="Times New Roman" w:hAnsi="Times New Roman" w:eastAsia="宋体" w:cstheme="minorEastAsia"/>
          <w:b/>
          <w:i w:val="0"/>
          <w:iCs w:val="0"/>
          <w:color w:val="auto"/>
          <w:sz w:val="21"/>
          <w:szCs w:val="21"/>
          <w:u w:val="none"/>
          <w:lang w:val="en-US" w:eastAsia="zh-CN"/>
        </w:rPr>
        <w:t xml:space="preserve">.</w:t>
      </w:r>
      <w:r>
        <w:rPr>
          <w:rFonts w:hint="eastAsia" w:ascii="Times New Roman" w:hAnsi="Times New Roman" w:eastAsia="宋体" w:cstheme="minorEastAsia"/>
          <w:b/>
          <w:i w:val="0"/>
          <w:iCs w:val="0"/>
          <w:color w:val="auto"/>
          <w:sz w:val="21"/>
          <w:szCs w:val="21"/>
          <w:u w:val="none"/>
          <w:lang w:eastAsia="zh-CN"/>
        </w:rPr>
        <w:t xml:space="preserve">报价及付款方式</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2.1报价</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投标时提供投标报价表。投标总价包含全部费用，所有设备及相关配件需要按照采购人要求进行安装，供应商需充分考虑项目实施过程中的全部费用，在签订合同时，不得提出附加条件和不合理要求，否则将取消其中标资格并追究相应责任。</w:t>
      </w:r>
      <w:r/>
    </w:p>
    <w:p>
      <w:pPr>
        <w:pStyle w:val="762"/>
        <w:ind w:firstLine="420"/>
        <w:jc w:val="both"/>
        <w:keepLines w:val="0"/>
        <w:keepNext w:val="0"/>
        <w:pageBreakBefore w:val="0"/>
        <w:spacing w:line="360" w:lineRule="auto"/>
        <w:widowControl w:val="off"/>
        <w:rPr>
          <w:rFonts w:hint="default" w:ascii="Times New Roman" w:hAnsi="Times New Roman" w:eastAsia="宋体" w:cstheme="minorEastAsia"/>
          <w:i w:val="0"/>
          <w:iCs w:val="0"/>
          <w:color w:val="auto"/>
          <w:sz w:val="21"/>
          <w:szCs w:val="21"/>
          <w:u w:val="none"/>
          <w:lang w:val="en-US" w:eastAsia="zh-CN"/>
        </w:rPr>
      </w:pPr>
      <w:r>
        <w:rPr>
          <w:rFonts w:hint="eastAsia" w:ascii="Times New Roman" w:hAnsi="Times New Roman" w:eastAsia="宋体" w:cstheme="minorEastAsia"/>
          <w:i w:val="0"/>
          <w:iCs w:val="0"/>
          <w:color w:val="auto"/>
          <w:sz w:val="21"/>
          <w:szCs w:val="21"/>
          <w:u w:val="none"/>
          <w:lang w:val="en-US" w:eastAsia="zh-CN"/>
        </w:rPr>
        <w:t xml:space="preserve">2.2付款方式</w:t>
      </w:r>
      <w:r/>
    </w:p>
    <w:p>
      <w:pPr>
        <w:pStyle w:val="762"/>
        <w:ind w:firstLine="420"/>
        <w:jc w:val="both"/>
        <w:keepLines w:val="0"/>
        <w:keepNext w:val="0"/>
        <w:pageBreakBefore w:val="0"/>
        <w:spacing w:line="360" w:lineRule="auto"/>
        <w:widowControl w:val="off"/>
        <w:rPr>
          <w:rFonts w:hint="default" w:ascii="Times New Roman" w:hAnsi="Times New Roman" w:eastAsia="宋体" w:cstheme="minorEastAsia"/>
          <w:i w:val="0"/>
          <w:iCs w:val="0"/>
          <w:color w:val="auto"/>
          <w:sz w:val="21"/>
          <w:szCs w:val="21"/>
          <w:u w:val="none"/>
          <w:lang w:val="en-US" w:eastAsia="zh-CN"/>
        </w:rPr>
      </w:pPr>
      <w:r>
        <w:rPr>
          <w:rFonts w:hint="eastAsia" w:ascii="Times New Roman" w:hAnsi="Times New Roman" w:eastAsia="宋体" w:cstheme="minorEastAsia"/>
          <w:i w:val="0"/>
          <w:iCs w:val="0"/>
          <w:color w:val="auto"/>
          <w:sz w:val="21"/>
          <w:szCs w:val="21"/>
          <w:u w:val="none"/>
          <w:lang w:val="en-US" w:eastAsia="zh-CN"/>
        </w:rPr>
        <w:t xml:space="preserve">合同签订后，甲方自收到发票之日起10个工作日内，支付乙方合同总价30%的预付款；货到甲方指定地点，安装调试并验收合格后，甲方自收到发票之日起10个工作日内，支付乙方合同余款。</w:t>
      </w:r>
      <w:r/>
    </w:p>
    <w:p>
      <w:pPr>
        <w:ind w:firstLine="422"/>
        <w:keepLines w:val="0"/>
        <w:keepNext w:val="0"/>
        <w:pageBreakBefore w:val="0"/>
        <w:spacing w:line="360" w:lineRule="auto"/>
        <w:widowControl w:val="off"/>
        <w:rPr>
          <w:rFonts w:hint="eastAsia" w:ascii="Times New Roman" w:hAnsi="Times New Roman" w:eastAsia="宋体" w:cstheme="minorEastAsia"/>
          <w:b/>
          <w:bCs/>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bCs/>
          <w:i w:val="0"/>
          <w:iCs w:val="0"/>
          <w:color w:val="auto"/>
          <w:sz w:val="21"/>
          <w:szCs w:val="21"/>
          <w:u w:val="none"/>
          <w:lang w:eastAsia="zh-CN"/>
        </w:rPr>
        <w:t xml:space="preserve">3</w:t>
      </w:r>
      <w:r>
        <w:rPr>
          <w:rFonts w:hint="eastAsia" w:ascii="Times New Roman" w:hAnsi="Times New Roman" w:cstheme="minorEastAsia"/>
          <w:b/>
          <w:bCs/>
          <w:i w:val="0"/>
          <w:iCs w:val="0"/>
          <w:color w:val="auto"/>
          <w:sz w:val="21"/>
          <w:szCs w:val="21"/>
          <w:u w:val="none"/>
          <w:lang w:val="en-US" w:eastAsia="zh-CN"/>
        </w:rPr>
        <w:t xml:space="preserve">.</w:t>
      </w:r>
      <w:r>
        <w:rPr>
          <w:rFonts w:hint="eastAsia" w:ascii="Times New Roman" w:hAnsi="Times New Roman" w:eastAsia="宋体" w:cstheme="minorEastAsia"/>
          <w:b/>
          <w:bCs/>
          <w:i w:val="0"/>
          <w:iCs w:val="0"/>
          <w:color w:val="auto"/>
          <w:sz w:val="21"/>
          <w:szCs w:val="21"/>
          <w:u w:val="none"/>
          <w:lang w:eastAsia="zh-CN"/>
        </w:rPr>
        <w:t xml:space="preserve">包装和运输</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3.1投标人提供的货物均应按国家/国际最新标准及规范进行包装。该包装应适应于远距离运输、防潮、防震、防锈和防野蛮装卸，以确保货物安全无损运抵采购人指定地点。由于包装不善所引起的货物损失均由投标人承担。</w:t>
      </w:r>
      <w:r/>
    </w:p>
    <w:p>
      <w:pPr>
        <w:ind w:firstLine="422"/>
        <w:keepLines w:val="0"/>
        <w:keepNext w:val="0"/>
        <w:pageBreakBefore w:val="0"/>
        <w:spacing w:line="360" w:lineRule="auto"/>
        <w:widowControl w:val="off"/>
        <w:rPr>
          <w:rFonts w:hint="eastAsia" w:ascii="Times New Roman" w:hAnsi="Times New Roman" w:eastAsia="宋体" w:cstheme="minorEastAsia"/>
          <w:b/>
          <w:bCs/>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bCs/>
          <w:i w:val="0"/>
          <w:iCs w:val="0"/>
          <w:color w:val="auto"/>
          <w:sz w:val="21"/>
          <w:szCs w:val="21"/>
          <w:u w:val="none"/>
          <w:lang w:eastAsia="zh-CN"/>
        </w:rPr>
        <w:t xml:space="preserve">3.2每一包装单元内应附详细的装箱单和质量合格凭证。</w:t>
      </w:r>
      <w:r/>
    </w:p>
    <w:p>
      <w:pPr>
        <w:ind w:firstLine="422"/>
        <w:keepLines w:val="0"/>
        <w:keepNext w:val="0"/>
        <w:pageBreakBefore w:val="0"/>
        <w:spacing w:line="360" w:lineRule="auto"/>
        <w:widowControl w:val="off"/>
        <w:rPr>
          <w:rFonts w:hint="eastAsia" w:ascii="Times New Roman" w:hAnsi="Times New Roman" w:eastAsia="宋体" w:cstheme="minorEastAsia"/>
          <w:b/>
          <w:bCs/>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bCs/>
          <w:i w:val="0"/>
          <w:iCs w:val="0"/>
          <w:color w:val="auto"/>
          <w:sz w:val="21"/>
          <w:szCs w:val="21"/>
          <w:u w:val="none"/>
          <w:lang w:eastAsia="zh-CN"/>
        </w:rPr>
        <w:t xml:space="preserve">4</w:t>
      </w:r>
      <w:r>
        <w:rPr>
          <w:rFonts w:hint="eastAsia" w:ascii="Times New Roman" w:hAnsi="Times New Roman" w:cstheme="minorEastAsia"/>
          <w:b/>
          <w:bCs/>
          <w:i w:val="0"/>
          <w:iCs w:val="0"/>
          <w:color w:val="auto"/>
          <w:sz w:val="21"/>
          <w:szCs w:val="21"/>
          <w:u w:val="none"/>
          <w:lang w:val="en-US" w:eastAsia="zh-CN"/>
        </w:rPr>
        <w:t xml:space="preserve">.</w:t>
      </w:r>
      <w:r>
        <w:rPr>
          <w:rFonts w:hint="eastAsia" w:ascii="Times New Roman" w:hAnsi="Times New Roman" w:eastAsia="宋体" w:cstheme="minorEastAsia"/>
          <w:b/>
          <w:bCs/>
          <w:i w:val="0"/>
          <w:iCs w:val="0"/>
          <w:color w:val="auto"/>
          <w:sz w:val="21"/>
          <w:szCs w:val="21"/>
          <w:u w:val="none"/>
          <w:lang w:eastAsia="zh-CN"/>
        </w:rPr>
        <w:t xml:space="preserve">验收要求</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设备最终验收标准：国家有关标准、采购文件用户需求书、技术要求及相关的投标文件以及采购人要求。验收结果以该项目验收单结论为准。</w:t>
      </w:r>
      <w:r/>
    </w:p>
    <w:p>
      <w:pPr>
        <w:ind w:firstLine="422"/>
        <w:keepLines w:val="0"/>
        <w:keepNext w:val="0"/>
        <w:pageBreakBefore w:val="0"/>
        <w:spacing w:line="360" w:lineRule="auto"/>
        <w:widowControl w:val="off"/>
        <w:rPr>
          <w:rFonts w:hint="eastAsia" w:ascii="Times New Roman" w:hAnsi="Times New Roman" w:eastAsia="宋体" w:cstheme="minorEastAsia"/>
          <w:b/>
          <w:bCs/>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bCs/>
          <w:i w:val="0"/>
          <w:iCs w:val="0"/>
          <w:color w:val="auto"/>
          <w:sz w:val="21"/>
          <w:szCs w:val="21"/>
          <w:u w:val="none"/>
          <w:lang w:eastAsia="zh-CN"/>
        </w:rPr>
        <w:t xml:space="preserve">5</w:t>
      </w:r>
      <w:r>
        <w:rPr>
          <w:rFonts w:hint="eastAsia" w:ascii="Times New Roman" w:hAnsi="Times New Roman" w:cstheme="minorEastAsia"/>
          <w:b/>
          <w:bCs/>
          <w:i w:val="0"/>
          <w:iCs w:val="0"/>
          <w:color w:val="auto"/>
          <w:sz w:val="21"/>
          <w:szCs w:val="21"/>
          <w:u w:val="none"/>
          <w:lang w:val="en-US" w:eastAsia="zh-CN"/>
        </w:rPr>
        <w:t xml:space="preserve">.</w:t>
      </w:r>
      <w:r>
        <w:rPr>
          <w:rFonts w:hint="eastAsia" w:ascii="Times New Roman" w:hAnsi="Times New Roman" w:eastAsia="宋体" w:cstheme="minorEastAsia"/>
          <w:b/>
          <w:bCs/>
          <w:i w:val="0"/>
          <w:iCs w:val="0"/>
          <w:color w:val="auto"/>
          <w:sz w:val="21"/>
          <w:szCs w:val="21"/>
          <w:u w:val="none"/>
          <w:lang w:eastAsia="zh-CN"/>
        </w:rPr>
        <w:t xml:space="preserve">培训</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5.1投标人应安排原厂工程师为采购人提供免费培训服务，并指派专人负责与采购人联系售后服务事宜。主要培训内容为货物的基本结构、性能、主要部件的构造及处理，日常使用操作、保养与管理、常见故障的排除、紧急情况的处理等。</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5.2设备安装后在用户所在地对操作人员</w:t>
      </w:r>
      <w:r>
        <w:rPr>
          <w:rFonts w:hint="eastAsia" w:ascii="Times New Roman" w:hAnsi="Times New Roman" w:cstheme="minorEastAsia"/>
          <w:i w:val="0"/>
          <w:iCs w:val="0"/>
          <w:color w:val="auto"/>
          <w:sz w:val="21"/>
          <w:szCs w:val="21"/>
          <w:u w:val="none"/>
          <w:lang w:val="en-US" w:eastAsia="zh-CN"/>
        </w:rPr>
        <w:t xml:space="preserve">不少于</w:t>
      </w:r>
      <w:r>
        <w:rPr>
          <w:rFonts w:hint="eastAsia" w:ascii="Times New Roman" w:hAnsi="Times New Roman" w:eastAsia="宋体" w:cstheme="minorEastAsia"/>
          <w:i w:val="0"/>
          <w:iCs w:val="0"/>
          <w:color w:val="auto"/>
          <w:sz w:val="21"/>
          <w:szCs w:val="21"/>
          <w:u w:val="none"/>
          <w:lang w:eastAsia="zh-CN"/>
        </w:rPr>
        <w:t xml:space="preserve">3人进行培训，使其能独立进行常规操作。</w:t>
      </w:r>
      <w:r/>
    </w:p>
    <w:p>
      <w:pPr>
        <w:ind w:firstLine="420"/>
        <w:keepLines w:val="0"/>
        <w:keepNext w:val="0"/>
        <w:pageBreakBefore w:val="0"/>
        <w:spacing w:line="360" w:lineRule="auto"/>
        <w:widowControl w:val="off"/>
        <w:rPr>
          <w:rFonts w:hint="eastAsia" w:ascii="Times New Roman" w:hAnsi="Times New Roman" w:eastAsia="宋体" w:cstheme="minorEastAsia"/>
          <w:b/>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w:t>
      </w:r>
      <w:r>
        <w:rPr>
          <w:rFonts w:hint="eastAsia" w:ascii="Times New Roman" w:hAnsi="Times New Roman" w:eastAsia="宋体" w:cstheme="minorEastAsia"/>
          <w:b/>
          <w:i w:val="0"/>
          <w:iCs w:val="0"/>
          <w:color w:val="auto"/>
          <w:sz w:val="21"/>
          <w:szCs w:val="21"/>
          <w:u w:val="none"/>
          <w:lang w:val="en-US" w:eastAsia="zh-CN"/>
        </w:rPr>
        <w:t xml:space="preserve">.</w:t>
      </w:r>
      <w:r>
        <w:rPr>
          <w:rFonts w:hint="eastAsia" w:ascii="Times New Roman" w:hAnsi="Times New Roman" w:eastAsia="宋体" w:cstheme="minorEastAsia"/>
          <w:b/>
          <w:i w:val="0"/>
          <w:iCs w:val="0"/>
          <w:color w:val="auto"/>
          <w:sz w:val="21"/>
          <w:szCs w:val="21"/>
          <w:u w:val="none"/>
          <w:lang w:eastAsia="zh-CN"/>
        </w:rPr>
        <w:t xml:space="preserve">售后服务</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6.1上述货物免费保修期不少于</w:t>
      </w:r>
      <w:r>
        <w:rPr>
          <w:rFonts w:hint="eastAsia" w:ascii="Times New Roman" w:hAnsi="Times New Roman" w:eastAsia="宋体" w:cstheme="minorEastAsia"/>
          <w:i w:val="0"/>
          <w:iCs w:val="0"/>
          <w:color w:val="auto"/>
          <w:sz w:val="21"/>
          <w:szCs w:val="21"/>
          <w:u w:val="none"/>
          <w:lang w:val="en-US" w:eastAsia="zh-CN"/>
        </w:rPr>
        <w:t xml:space="preserve">3</w:t>
      </w:r>
      <w:r>
        <w:rPr>
          <w:rFonts w:hint="eastAsia" w:ascii="Times New Roman" w:hAnsi="Times New Roman" w:eastAsia="宋体" w:cstheme="minorEastAsia"/>
          <w:i w:val="0"/>
          <w:iCs w:val="0"/>
          <w:color w:val="auto"/>
          <w:sz w:val="21"/>
          <w:szCs w:val="21"/>
          <w:u w:val="none"/>
          <w:lang w:eastAsia="zh-CN"/>
        </w:rPr>
        <w:t xml:space="preserve">年，技术要求中有要求的参照其要求，保修期自采购人验收合格之日算起。保修范围包括合同中所有配置。</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6.2保修期内，投标人负责安排原厂工程师对其提供的货物整机进行维修和系统维护，不再收取任何费用，但不可抗力（如火灾、雷击等）造成的故障除外。</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6.3所有货物保修服务方式均为原厂工程师上门保修，即由投标人安排原厂工程师到货物使用现场维修，质保期后发生维修、保养等情况，不收取工程师上门费。</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6.4投标人定期派人员对采购人使用的货物进行检测，应保证货物处于正常使用状态。</w:t>
      </w:r>
      <w:r/>
    </w:p>
    <w:p>
      <w:pPr>
        <w:ind w:firstLine="420"/>
        <w:keepLines w:val="0"/>
        <w:keepNext w:val="0"/>
        <w:pageBreakBefore w:val="0"/>
        <w:spacing w:line="360" w:lineRule="auto"/>
        <w:widowControl w:val="off"/>
        <w:rPr>
          <w:rFonts w:hint="eastAsia" w:ascii="Times New Roman" w:hAnsi="Times New Roman" w:eastAsia="宋体" w:cstheme="minorEastAsia"/>
          <w:i w:val="0"/>
          <w:iCs w:val="0"/>
          <w:color w:val="auto"/>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i w:val="0"/>
          <w:iCs w:val="0"/>
          <w:color w:val="auto"/>
          <w:sz w:val="21"/>
          <w:szCs w:val="21"/>
          <w:u w:val="none"/>
          <w:lang w:eastAsia="zh-CN"/>
        </w:rPr>
        <w:t xml:space="preserve">6.5软件升级：在保修期内，支持升级软件（不收取额外费用）。</w:t>
      </w:r>
      <w:r/>
    </w:p>
    <w:p>
      <w:pPr>
        <w:ind w:firstLine="420"/>
        <w:jc w:val="both"/>
        <w:keepLines w:val="0"/>
        <w:keepNext w:val="0"/>
        <w:pageBreakBefore w:val="0"/>
        <w:spacing w:line="360" w:lineRule="auto"/>
        <w:widowControl w:val="off"/>
        <w:rPr>
          <w:rFonts w:hint="eastAsia" w:ascii="Times New Roman" w:hAnsi="Times New Roman" w:eastAsia="宋体" w:cstheme="minorEastAsia"/>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lang w:val="en-US" w:eastAsia="zh-CN"/>
        </w:rPr>
        <w:t xml:space="preserve">6.6</w:t>
      </w:r>
      <w:r>
        <w:rPr>
          <w:rFonts w:hint="eastAsia" w:ascii="Times New Roman" w:hAnsi="Times New Roman" w:eastAsia="宋体"/>
          <w:color w:val="auto"/>
        </w:rPr>
        <w:t xml:space="preserve">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theme="minorEastAsia"/>
          <w:b/>
          <w:color w:val="auto"/>
          <w:sz w:val="21"/>
          <w:szCs w:val="21"/>
          <w:lang w:val="en-US" w:eastAsia="zh-CN"/>
        </w:rPr>
        <w:t xml:space="preserve">五</w:t>
      </w:r>
      <w:r>
        <w:rPr>
          <w:rFonts w:hint="eastAsia" w:ascii="Times New Roman" w:hAnsi="Times New Roman" w:eastAsia="宋体" w:cstheme="minorEastAsia"/>
          <w:b/>
          <w:color w:val="auto"/>
          <w:sz w:val="21"/>
          <w:szCs w:val="21"/>
          <w:lang w:eastAsia="zh-CN"/>
        </w:rPr>
        <w:t xml:space="preserve">、</w:t>
      </w:r>
      <w:r>
        <w:rPr>
          <w:rFonts w:hint="eastAsia" w:ascii="Times New Roman" w:hAnsi="Times New Roman"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r>
      <w:r/>
    </w:p>
    <w:p>
      <w:pPr>
        <w:pStyle w:val="965"/>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717"/>
        <w:pageBreakBefore w:val="0"/>
        <w:spacing w:line="360" w:lineRule="auto"/>
        <w:rPr>
          <w:rFonts w:ascii="Times New Roman" w:hAnsi="Times New Roman" w:eastAsia="宋体"/>
          <w:color w:val="auto"/>
          <w:highlight w:val="none"/>
        </w:rPr>
      </w:pPr>
      <w:r/>
      <w:bookmarkStart w:id="73" w:name="_Toc9033"/>
      <w:r/>
      <w:bookmarkStart w:id="74" w:name="_Toc10862"/>
      <w:r/>
      <w:bookmarkStart w:id="75" w:name="_Toc6620"/>
      <w:r/>
      <w:bookmarkStart w:id="76" w:name="_Toc19571"/>
      <w:r>
        <w:rPr>
          <w:rFonts w:hint="eastAsia" w:ascii="Times New Roman" w:hAnsi="Times New Roman" w:eastAsia="宋体"/>
          <w:color w:val="auto"/>
          <w:highlight w:val="none"/>
        </w:rPr>
        <w:t xml:space="preserve">第五章 评标方法及评标标准</w:t>
      </w:r>
      <w:bookmarkEnd w:id="72"/>
      <w:r/>
      <w:bookmarkEnd w:id="73"/>
      <w:r/>
      <w:bookmarkEnd w:id="74"/>
      <w:r/>
      <w:bookmarkEnd w:id="75"/>
      <w:r/>
      <w:bookmarkEnd w:id="76"/>
      <w:r/>
      <w:r/>
    </w:p>
    <w:p>
      <w:pPr>
        <w:pStyle w:val="776"/>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76"/>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77" w:name="_Toc449016388"/>
      <w:r/>
      <w:bookmarkStart w:id="78" w:name="_Toc449017024"/>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77"/>
      <w:r/>
      <w:bookmarkEnd w:id="78"/>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本项目专门面向中小微型企业采购，报价不再执行价格扣除相关政策，直接参与评审。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1、小微型企业价格扣除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（1）对小型和微型企业产品给予 / 的扣除价格，用扣除后的价格参与评审。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（2）供应商需按照采购文件的要求提供相应的《中小企业声明函》。</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2、残疾人福利单位价格扣除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（1）对残疾人福利性单位视同小型、微型企业，给予 / 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（2）残疾人福利单位需按照采购文件的要求提供《残疾人福利性单位声明函》。</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（3）残疾人福利单位标准请参照《关于促进残疾人就业政府采购政策的通知》（财库〔2017〕141号）。</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3、监狱和戒毒企业价格扣除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（1）对监狱和戒毒企业（简称监狱企业）视同小型、微型企业，给予 / 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（3）监狱企业标准请参照《关于政府采购支持监狱企业发展有关问题的通知》（财库[2014]68号）。</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4、残疾人福利单位、监狱企业属于小型、微型企业的，不重复享受政策。</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 / 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6、联合体各方均为小型、微型企业（残疾人福利单位、监狱企业）的，联合体享受 / 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7、大中型企业向小型、微型企业分包的，分包意向协议约定小型、微型企业合同份额占到合同总金额30%以上的，给予 /的价格扣除，用扣除后的价格参与评审。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727"/>
        <w:tblW w:w="8619"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6804"/>
        <w:gridCol w:w="709"/>
      </w:tblGrid>
      <w:tr>
        <w:trPr>
          <w:trHeight w:val="375"/>
        </w:trPr>
        <w:tc>
          <w:tcPr>
            <w:gridSpan w:val="3"/>
            <w:tcBorders>
              <w:top w:val="single" w:color="auto" w:sz="4" w:space="0"/>
              <w:left w:val="single" w:color="auto" w:sz="4" w:space="0"/>
              <w:right w:val="single" w:color="auto" w:sz="4" w:space="0"/>
            </w:tcBorders>
            <w:tcW w:w="8619" w:type="dxa"/>
            <w:vAlign w:val="center"/>
            <w:textDirection w:val="lrTb"/>
            <w:noWrap w:val="false"/>
          </w:tcPr>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一、技术指标（</w:t>
            </w:r>
            <w:r>
              <w:rPr>
                <w:rFonts w:hint="eastAsia" w:ascii="Times New Roman" w:hAnsi="Times New Roman" w:eastAsia="宋体" w:cs="宋体"/>
                <w:b/>
                <w:bCs/>
                <w:color w:val="auto"/>
                <w:szCs w:val="21"/>
                <w:highlight w:val="none"/>
                <w:lang w:val="en-US" w:eastAsia="zh-CN"/>
              </w:rPr>
              <w:t xml:space="preserve">50</w:t>
            </w:r>
            <w:r>
              <w:rPr>
                <w:rFonts w:hint="eastAsia" w:ascii="Times New Roman" w:hAnsi="Times New Roman" w:eastAsia="宋体" w:cs="宋体"/>
                <w:b/>
                <w:bCs/>
                <w:color w:val="auto"/>
                <w:szCs w:val="21"/>
                <w:highlight w:val="none"/>
              </w:rPr>
              <w:t xml:space="preserve">分）</w:t>
            </w:r>
            <w:r/>
          </w:p>
        </w:tc>
      </w:tr>
      <w:tr>
        <w:trPr>
          <w:trHeight w:val="423"/>
        </w:trPr>
        <w:tc>
          <w:tcPr>
            <w:tcBorders>
              <w:top w:val="single" w:color="auto" w:sz="4" w:space="0"/>
              <w:left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Borders>
              <w:top w:val="single" w:color="auto" w:sz="4" w:space="0"/>
              <w:left w:val="single" w:color="auto" w:sz="4" w:space="0"/>
              <w:right w:val="single" w:color="auto" w:sz="4" w:space="0"/>
            </w:tcBorders>
            <w:tcW w:w="6804"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技术指标</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满分</w:t>
            </w:r>
            <w:r/>
          </w:p>
        </w:tc>
      </w:tr>
      <w:tr>
        <w:trPr>
          <w:trHeight w:val="1859"/>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投标人所投产品完全满足或优于招标文件加</w:t>
            </w:r>
            <w:r>
              <w:rPr>
                <w:rFonts w:hint="eastAsia" w:ascii="Times New Roman" w:hAnsi="Times New Roman" w:eastAsia="宋体" w:cstheme="minorEastAsia"/>
                <w:b w:val="0"/>
                <w:bCs w:val="0"/>
                <w:color w:val="auto"/>
                <w:sz w:val="21"/>
                <w:szCs w:val="21"/>
                <w:lang w:eastAsia="zh-CN"/>
              </w:rPr>
              <w:t xml:space="preserve">▲</w:t>
            </w:r>
            <w:r>
              <w:rPr>
                <w:rFonts w:hint="eastAsia" w:ascii="Times New Roman" w:hAnsi="Times New Roman" w:eastAsia="宋体" w:cs="宋体"/>
                <w:color w:val="auto"/>
                <w:szCs w:val="21"/>
                <w:highlight w:val="none"/>
              </w:rPr>
              <w:t xml:space="preserve">号项指标需求得</w:t>
            </w:r>
            <w:r>
              <w:rPr>
                <w:rFonts w:hint="eastAsia" w:ascii="Times New Roman" w:hAnsi="Times New Roman" w:eastAsia="宋体" w:cs="宋体"/>
                <w:color w:val="auto"/>
                <w:szCs w:val="21"/>
                <w:highlight w:val="none"/>
                <w:lang w:val="en-US" w:eastAsia="zh-CN"/>
              </w:rPr>
              <w:t xml:space="preserve">4</w:t>
            </w:r>
            <w:r>
              <w:rPr>
                <w:rFonts w:hint="eastAsia" w:ascii="Times New Roman" w:hAnsi="Times New Roman" w:cs="宋体"/>
                <w:color w:val="auto"/>
                <w:szCs w:val="21"/>
                <w:highlight w:val="none"/>
                <w:lang w:val="en-US" w:eastAsia="zh-CN"/>
              </w:rPr>
              <w:t xml:space="preserve">6</w:t>
            </w:r>
            <w:r>
              <w:rPr>
                <w:rFonts w:hint="eastAsia" w:ascii="Times New Roman" w:hAnsi="Times New Roman" w:eastAsia="宋体" w:cs="宋体"/>
                <w:color w:val="auto"/>
                <w:szCs w:val="21"/>
                <w:highlight w:val="none"/>
              </w:rPr>
              <w:t xml:space="preserve">分。加</w:t>
            </w:r>
            <w:r>
              <w:rPr>
                <w:rFonts w:hint="eastAsia" w:ascii="Times New Roman" w:hAnsi="Times New Roman" w:eastAsia="宋体" w:cstheme="minorEastAsia"/>
                <w:b w:val="0"/>
                <w:bCs w:val="0"/>
                <w:color w:val="auto"/>
                <w:sz w:val="21"/>
                <w:szCs w:val="21"/>
                <w:lang w:eastAsia="zh-CN"/>
              </w:rPr>
              <w:t xml:space="preserve">▲</w:t>
            </w:r>
            <w:r>
              <w:rPr>
                <w:rFonts w:hint="eastAsia" w:ascii="Times New Roman" w:hAnsi="Times New Roman" w:eastAsia="宋体" w:cs="宋体"/>
                <w:color w:val="auto"/>
                <w:szCs w:val="21"/>
                <w:highlight w:val="none"/>
              </w:rPr>
              <w:t xml:space="preserve">号项指标为关键技术要求，每有一项负偏离扣</w:t>
            </w:r>
            <w:r>
              <w:rPr>
                <w:rFonts w:hint="eastAsia" w:ascii="Times New Roman" w:hAnsi="Times New Roman" w:cs="宋体"/>
                <w:color w:val="auto"/>
                <w:szCs w:val="21"/>
                <w:highlight w:val="none"/>
                <w:lang w:val="en-US" w:eastAsia="zh-CN"/>
              </w:rPr>
              <w:t xml:space="preserve">1</w:t>
            </w:r>
            <w:r>
              <w:rPr>
                <w:rFonts w:hint="eastAsia" w:ascii="Times New Roman" w:hAnsi="Times New Roman" w:eastAsia="宋体" w:cs="宋体"/>
                <w:color w:val="auto"/>
                <w:szCs w:val="21"/>
                <w:highlight w:val="none"/>
              </w:rPr>
              <w:t xml:space="preserve">分，扣完为止。</w:t>
            </w:r>
            <w:r/>
          </w:p>
          <w:p>
            <w:pPr>
              <w:pageBreakBefore w:val="0"/>
              <w:spacing w:line="360" w:lineRule="auto"/>
              <w:rPr>
                <w:rFonts w:hint="eastAsia" w:ascii="Times New Roman" w:hAnsi="Times New Roman" w:eastAsia="宋体" w:cs="宋体"/>
                <w:i/>
                <w:color w:val="auto"/>
                <w:szCs w:val="21"/>
                <w:highlight w:val="none"/>
              </w:rPr>
            </w:pPr>
            <w:r>
              <w:rPr>
                <w:rFonts w:hint="eastAsia" w:ascii="Times New Roman" w:hAnsi="Times New Roman" w:eastAsia="宋体"/>
                <w:b/>
                <w:bCs/>
                <w:color w:val="auto"/>
                <w:szCs w:val="21"/>
                <w:highlight w:val="none"/>
              </w:rPr>
              <w:t xml:space="preserve">说明：</w:t>
            </w:r>
            <w:r>
              <w:rPr>
                <w:rFonts w:hint="eastAsia" w:ascii="Times New Roman" w:hAnsi="Times New Roman" w:eastAsia="宋体" w:cs="宋体"/>
                <w:color w:val="auto"/>
                <w:szCs w:val="21"/>
                <w:highlight w:val="none"/>
              </w:rPr>
              <w:t xml:space="preserve">加</w:t>
            </w:r>
            <w:r>
              <w:rPr>
                <w:rFonts w:hint="eastAsia" w:ascii="Times New Roman" w:hAnsi="Times New Roman" w:eastAsia="宋体" w:cstheme="minorEastAsia"/>
                <w:b w:val="0"/>
                <w:bCs w:val="0"/>
                <w:color w:val="auto"/>
                <w:sz w:val="21"/>
                <w:szCs w:val="21"/>
                <w:lang w:eastAsia="zh-CN"/>
              </w:rPr>
              <w:t xml:space="preserve">▲</w:t>
            </w:r>
            <w:r>
              <w:rPr>
                <w:rFonts w:hint="eastAsia" w:ascii="Times New Roman" w:hAnsi="Times New Roman" w:eastAsia="宋体" w:cs="宋体"/>
                <w:color w:val="auto"/>
                <w:szCs w:val="21"/>
                <w:highlight w:val="none"/>
              </w:rPr>
              <w:t xml:space="preserve">号项指标为关键技术要求</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lang w:val="en-US" w:eastAsia="zh-CN"/>
              </w:rPr>
              <w:t xml:space="preserve">须提供证明材料,</w:t>
            </w:r>
            <w:r>
              <w:rPr>
                <w:rFonts w:hint="eastAsia" w:ascii="Times New Roman" w:hAnsi="Times New Roman" w:eastAsia="宋体"/>
                <w:b/>
                <w:bCs/>
                <w:color w:val="auto"/>
                <w:szCs w:val="21"/>
                <w:highlight w:val="none"/>
              </w:rPr>
              <w:t xml:space="preserve">未按要求提供配套证明材料视为负偏离，</w:t>
            </w:r>
            <w:r>
              <w:rPr>
                <w:rFonts w:hint="eastAsia" w:ascii="Times New Roman" w:hAnsi="Times New Roman" w:eastAsia="宋体" w:cs="宋体"/>
                <w:b/>
                <w:bCs/>
                <w:color w:val="auto"/>
                <w:szCs w:val="21"/>
                <w:highlight w:val="none"/>
              </w:rPr>
              <w:t xml:space="preserve">若发现有提供虚假的证明材料或虚假应答技术参数响应及偏离表的，视为无效投标，上报采购监管部门并追究相关责任。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4</w:t>
            </w:r>
            <w:r>
              <w:rPr>
                <w:rFonts w:hint="eastAsia" w:ascii="Times New Roman" w:hAnsi="Times New Roman" w:cs="宋体"/>
                <w:color w:val="auto"/>
                <w:szCs w:val="21"/>
                <w:highlight w:val="none"/>
                <w:lang w:val="en-US" w:eastAsia="zh-CN"/>
              </w:rPr>
              <w:t xml:space="preserve">6</w:t>
            </w:r>
            <w:r>
              <w:rPr>
                <w:rFonts w:hint="eastAsia" w:ascii="Times New Roman" w:hAnsi="Times New Roman" w:eastAsia="宋体" w:cs="宋体"/>
                <w:color w:val="auto"/>
                <w:szCs w:val="21"/>
                <w:highlight w:val="none"/>
              </w:rPr>
              <w:t xml:space="preserve">分</w:t>
            </w:r>
            <w:r/>
          </w:p>
        </w:tc>
      </w:tr>
      <w:tr>
        <w:trPr>
          <w:trHeight w:val="1859"/>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投标人所投产品完全满足或优于招标文件</w:t>
            </w:r>
            <w:r>
              <w:rPr>
                <w:rFonts w:hint="eastAsia" w:ascii="Times New Roman" w:hAnsi="Times New Roman" w:eastAsia="宋体" w:cs="宋体"/>
                <w:color w:val="auto"/>
                <w:szCs w:val="21"/>
                <w:highlight w:val="none"/>
                <w:lang w:val="en-US" w:eastAsia="zh-CN"/>
              </w:rPr>
              <w:t xml:space="preserve">非</w:t>
            </w:r>
            <w:r>
              <w:rPr>
                <w:rFonts w:hint="eastAsia" w:ascii="Times New Roman" w:hAnsi="Times New Roman" w:eastAsia="宋体" w:cs="宋体"/>
                <w:color w:val="auto"/>
                <w:szCs w:val="21"/>
                <w:highlight w:val="none"/>
              </w:rPr>
              <w:t xml:space="preserve">加</w:t>
            </w:r>
            <w:r>
              <w:rPr>
                <w:rFonts w:hint="eastAsia" w:ascii="Times New Roman" w:hAnsi="Times New Roman" w:eastAsia="宋体" w:cstheme="minorEastAsia"/>
                <w:b w:val="0"/>
                <w:bCs w:val="0"/>
                <w:color w:val="auto"/>
                <w:sz w:val="21"/>
                <w:szCs w:val="21"/>
                <w:lang w:eastAsia="zh-CN"/>
              </w:rPr>
              <w:t xml:space="preserve">▲</w:t>
            </w:r>
            <w:r>
              <w:rPr>
                <w:rFonts w:hint="eastAsia" w:ascii="Times New Roman" w:hAnsi="Times New Roman" w:eastAsia="宋体" w:cs="宋体"/>
                <w:color w:val="auto"/>
                <w:szCs w:val="21"/>
                <w:highlight w:val="none"/>
              </w:rPr>
              <w:t xml:space="preserve">号项需求得</w:t>
            </w:r>
            <w:r>
              <w:rPr>
                <w:rFonts w:hint="eastAsia" w:ascii="Times New Roman" w:hAnsi="Times New Roman" w:cs="宋体"/>
                <w:color w:val="auto"/>
                <w:szCs w:val="21"/>
                <w:highlight w:val="none"/>
                <w:lang w:val="en-US" w:eastAsia="zh-CN"/>
              </w:rPr>
              <w:t xml:space="preserve">4</w:t>
            </w:r>
            <w:r>
              <w:rPr>
                <w:rFonts w:hint="eastAsia" w:ascii="Times New Roman" w:hAnsi="Times New Roman" w:eastAsia="宋体" w:cs="宋体"/>
                <w:color w:val="auto"/>
                <w:szCs w:val="21"/>
                <w:highlight w:val="none"/>
              </w:rPr>
              <w:t xml:space="preserve">分。</w:t>
            </w:r>
            <w:r>
              <w:rPr>
                <w:rFonts w:hint="eastAsia" w:ascii="Times New Roman" w:hAnsi="Times New Roman" w:eastAsia="宋体" w:cs="宋体"/>
                <w:color w:val="auto"/>
                <w:szCs w:val="21"/>
                <w:highlight w:val="none"/>
                <w:lang w:val="en-US" w:eastAsia="zh-CN"/>
              </w:rPr>
              <w:t xml:space="preserve">非</w:t>
            </w:r>
            <w:r>
              <w:rPr>
                <w:rFonts w:hint="eastAsia" w:ascii="Times New Roman" w:hAnsi="Times New Roman" w:eastAsia="宋体" w:cs="宋体"/>
                <w:color w:val="auto"/>
                <w:szCs w:val="21"/>
                <w:highlight w:val="none"/>
              </w:rPr>
              <w:t xml:space="preserve">加</w:t>
            </w:r>
            <w:r>
              <w:rPr>
                <w:rFonts w:hint="eastAsia" w:ascii="Times New Roman" w:hAnsi="Times New Roman" w:eastAsia="宋体" w:cstheme="minorEastAsia"/>
                <w:b w:val="0"/>
                <w:bCs w:val="0"/>
                <w:color w:val="auto"/>
                <w:sz w:val="21"/>
                <w:szCs w:val="21"/>
                <w:lang w:eastAsia="zh-CN"/>
              </w:rPr>
              <w:t xml:space="preserve">▲</w:t>
            </w:r>
            <w:r>
              <w:rPr>
                <w:rFonts w:hint="eastAsia" w:ascii="Times New Roman" w:hAnsi="Times New Roman" w:eastAsia="宋体" w:cs="宋体"/>
                <w:color w:val="auto"/>
                <w:szCs w:val="21"/>
                <w:highlight w:val="none"/>
              </w:rPr>
              <w:t xml:space="preserve">号项为一般技术要求，每有一项负偏离扣</w:t>
            </w:r>
            <w:r>
              <w:rPr>
                <w:rFonts w:hint="eastAsia" w:ascii="Times New Roman" w:hAnsi="Times New Roman" w:cs="宋体"/>
                <w:color w:val="auto"/>
                <w:szCs w:val="21"/>
                <w:highlight w:val="none"/>
                <w:lang w:val="en-US" w:eastAsia="zh-CN"/>
              </w:rPr>
              <w:t xml:space="preserve">0.5</w:t>
            </w:r>
            <w:r>
              <w:rPr>
                <w:rFonts w:hint="eastAsia" w:ascii="Times New Roman" w:hAnsi="Times New Roman" w:eastAsia="宋体" w:cs="宋体"/>
                <w:color w:val="auto"/>
                <w:szCs w:val="21"/>
                <w:highlight w:val="none"/>
              </w:rPr>
              <w:t xml:space="preserve">分，扣完为止。</w:t>
            </w:r>
            <w:r/>
          </w:p>
          <w:p>
            <w:pPr>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说明：</w:t>
            </w:r>
            <w:r>
              <w:rPr>
                <w:rFonts w:hint="eastAsia" w:ascii="Times New Roman" w:hAnsi="Times New Roman" w:eastAsia="宋体" w:cs="宋体"/>
                <w:color w:val="auto"/>
                <w:szCs w:val="21"/>
                <w:highlight w:val="none"/>
                <w:lang w:val="en-US" w:eastAsia="zh-CN"/>
              </w:rPr>
              <w:t xml:space="preserve">须提供证明材料,</w:t>
            </w:r>
            <w:r>
              <w:rPr>
                <w:rFonts w:hint="eastAsia" w:ascii="Times New Roman" w:hAnsi="Times New Roman" w:eastAsia="宋体"/>
                <w:b/>
                <w:bCs/>
                <w:color w:val="auto"/>
                <w:szCs w:val="21"/>
                <w:highlight w:val="none"/>
              </w:rPr>
              <w:t xml:space="preserve">以投标人提供的《技术参数响应及偏离表》的响应偏离情况为准。</w:t>
            </w:r>
            <w:r>
              <w:rPr>
                <w:rFonts w:hint="eastAsia"/>
                <w:b/>
                <w:bCs/>
                <w:color w:val="auto"/>
                <w:lang w:val="en-US" w:eastAsia="zh-CN"/>
              </w:rPr>
              <w:t xml:space="preserve">如果</w:t>
            </w:r>
            <w:r>
              <w:rPr>
                <w:rFonts w:hint="eastAsia" w:ascii="Times New Roman" w:hAnsi="Times New Roman" w:eastAsia="宋体"/>
                <w:b/>
                <w:bCs/>
                <w:color w:val="auto"/>
                <w:szCs w:val="21"/>
                <w:highlight w:val="none"/>
              </w:rPr>
              <w:t xml:space="preserve">《技术参数响应及偏离表》</w:t>
            </w:r>
            <w:r>
              <w:rPr>
                <w:rFonts w:hint="eastAsia"/>
                <w:b/>
                <w:bCs/>
                <w:color w:val="auto"/>
                <w:lang w:val="en-US" w:eastAsia="zh-CN"/>
              </w:rPr>
              <w:t xml:space="preserve">响应，但实际证明材料不响应的情况，按实际证明材料为准，如存在虚假则按虚假处理</w:t>
            </w:r>
            <w:r>
              <w:rPr>
                <w:rFonts w:hint="eastAsia" w:ascii="Times New Roman" w:hAnsi="Times New Roman" w:eastAsia="宋体" w:cs="宋体"/>
                <w:b/>
                <w:bCs/>
                <w:color w:val="auto"/>
                <w:szCs w:val="21"/>
                <w:highlight w:val="none"/>
              </w:rPr>
              <w:t xml:space="preserve">若发现有提供虚假的证明材料或虚假应答技术参数响应及偏离表的，视为无效投标，上报采购监管部门并追究相关责任。</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r>
      <w:tr>
        <w:trPr>
          <w:trHeight w:val="443"/>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Cs w:val="21"/>
                <w:highlight w:val="none"/>
              </w:rPr>
              <w:t xml:space="preserve">二、商务条款（</w:t>
            </w:r>
            <w:r>
              <w:rPr>
                <w:rFonts w:hint="eastAsia" w:ascii="Times New Roman" w:hAnsi="Times New Roman" w:eastAsia="宋体" w:cs="宋体"/>
                <w:b/>
                <w:bCs/>
                <w:color w:val="auto"/>
                <w:szCs w:val="21"/>
                <w:highlight w:val="none"/>
                <w:lang w:val="en-US" w:eastAsia="zh-CN"/>
              </w:rPr>
              <w:t xml:space="preserve">20</w:t>
            </w:r>
            <w:r>
              <w:rPr>
                <w:rFonts w:hint="eastAsia" w:ascii="Times New Roman" w:hAnsi="Times New Roman" w:eastAsia="宋体" w:cs="宋体"/>
                <w:b/>
                <w:bCs/>
                <w:color w:val="auto"/>
                <w:szCs w:val="21"/>
                <w:highlight w:val="none"/>
              </w:rPr>
              <w:t xml:space="preserve">分）</w:t>
            </w:r>
            <w:r/>
          </w:p>
        </w:tc>
      </w:tr>
      <w:tr>
        <w:trPr>
          <w:trHeight w:val="204"/>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满分</w:t>
            </w:r>
            <w:r/>
          </w:p>
        </w:tc>
      </w:tr>
      <w:tr>
        <w:trPr>
          <w:trHeight w:val="229"/>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keepLines w:val="0"/>
              <w:keepNext w:val="0"/>
              <w:pageBreakBefore w:val="0"/>
              <w:spacing w:line="360" w:lineRule="auto"/>
              <w:rPr>
                <w:rFonts w:hint="eastAsia" w:ascii="Times New Roman" w:hAnsi="Times New Roman" w:eastAsia="宋体" w:cs="宋体"/>
                <w:b/>
                <w:bCs/>
                <w:color w:val="auto"/>
                <w:sz w:val="21"/>
                <w:highlight w:val="none"/>
                <w:lang w:eastAsia="zh-CN"/>
              </w:rPr>
            </w:pPr>
            <w:r>
              <w:rPr>
                <w:rFonts w:hint="eastAsia" w:ascii="Times New Roman" w:hAnsi="Times New Roman" w:eastAsia="宋体" w:cs="宋体"/>
                <w:b/>
                <w:bCs/>
                <w:color w:val="auto"/>
                <w:sz w:val="21"/>
                <w:highlight w:val="none"/>
              </w:rPr>
              <w:t xml:space="preserve">故障应急预案</w:t>
            </w:r>
            <w:r>
              <w:rPr>
                <w:rFonts w:hint="eastAsia" w:ascii="Times New Roman" w:hAnsi="Times New Roman" w:eastAsia="宋体" w:cs="宋体"/>
                <w:b/>
                <w:bCs/>
                <w:color w:val="auto"/>
                <w:sz w:val="21"/>
                <w:highlight w:val="none"/>
                <w:lang w:eastAsia="zh-CN"/>
              </w:rPr>
              <w:t xml:space="preserve">（</w:t>
            </w:r>
            <w:r>
              <w:rPr>
                <w:rFonts w:hint="eastAsia" w:ascii="Times New Roman" w:hAnsi="Times New Roman" w:eastAsia="宋体" w:cs="宋体"/>
                <w:b/>
                <w:bCs/>
                <w:color w:val="auto"/>
                <w:sz w:val="21"/>
                <w:highlight w:val="none"/>
              </w:rPr>
              <w:t xml:space="preserve">投标单位根据往年设备故障案例，分析设备有可能出现的重大故障，制定出合理的应急预案。故障应急预案应包括不限于：故障特征假设及分析、处理制度、应急组织与职责、故障应急处置程序及故障报告流程等。</w:t>
            </w:r>
            <w:r>
              <w:rPr>
                <w:rFonts w:hint="eastAsia" w:ascii="Times New Roman" w:hAnsi="Times New Roman" w:eastAsia="宋体" w:cs="宋体"/>
                <w:b/>
                <w:bCs/>
                <w:color w:val="auto"/>
                <w:sz w:val="21"/>
                <w:highlight w:val="none"/>
                <w:lang w:eastAsia="zh-CN"/>
              </w:rPr>
              <w:t xml:space="preserve">）</w:t>
            </w:r>
            <w:r/>
          </w:p>
          <w:p>
            <w:pPr>
              <w:pStyle w:val="731"/>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故障应急预案内容全面、详细，多角度分析相关情况，可实施性强，优于采购需求的得</w:t>
            </w:r>
            <w:r>
              <w:rPr>
                <w:rFonts w:hint="eastAsia" w:ascii="Times New Roman" w:hAnsi="Times New Roman" w:eastAsia="宋体" w:cs="宋体"/>
                <w:color w:val="auto"/>
                <w:sz w:val="21"/>
                <w:highlight w:val="none"/>
                <w:lang w:val="en-US" w:eastAsia="zh-CN"/>
              </w:rPr>
              <w:t xml:space="preserve">5</w:t>
            </w:r>
            <w:r>
              <w:rPr>
                <w:rFonts w:hint="eastAsia" w:ascii="Times New Roman" w:hAnsi="Times New Roman" w:eastAsia="宋体" w:cs="宋体"/>
                <w:color w:val="auto"/>
                <w:sz w:val="21"/>
                <w:highlight w:val="none"/>
              </w:rPr>
              <w:t xml:space="preserve">分；</w:t>
            </w:r>
            <w:r/>
          </w:p>
          <w:p>
            <w:pPr>
              <w:pStyle w:val="731"/>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故障应急预案内容全面、详细，满足上述要求，分析全面，可实施性较强，较好满足采购需求的得</w:t>
            </w:r>
            <w:r>
              <w:rPr>
                <w:rFonts w:hint="eastAsia" w:ascii="Times New Roman" w:hAnsi="Times New Roman" w:eastAsia="宋体" w:cs="宋体"/>
                <w:color w:val="auto"/>
                <w:sz w:val="21"/>
                <w:highlight w:val="none"/>
                <w:lang w:val="en-US" w:eastAsia="zh-CN"/>
              </w:rPr>
              <w:t xml:space="preserve">2</w:t>
            </w:r>
            <w:r>
              <w:rPr>
                <w:rFonts w:hint="eastAsia" w:ascii="Times New Roman" w:hAnsi="Times New Roman" w:eastAsia="宋体" w:cs="宋体"/>
                <w:color w:val="auto"/>
                <w:sz w:val="21"/>
                <w:highlight w:val="none"/>
              </w:rPr>
              <w:t xml:space="preserve">分；</w:t>
            </w:r>
            <w:r/>
          </w:p>
          <w:p>
            <w:pPr>
              <w:pStyle w:val="731"/>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故障应急预案内容较为全面、详细，基本满足上述要求，未能透彻分析相关情况，可实施性一般，基本满足采购需求的得</w:t>
            </w:r>
            <w:r>
              <w:rPr>
                <w:rFonts w:hint="eastAsia" w:ascii="Times New Roman" w:hAnsi="Times New Roman" w:eastAsia="宋体" w:cs="宋体"/>
                <w:color w:val="auto"/>
                <w:sz w:val="21"/>
                <w:highlight w:val="none"/>
                <w:lang w:val="en-US" w:eastAsia="zh-CN"/>
              </w:rPr>
              <w:t xml:space="preserve">1</w:t>
            </w:r>
            <w:r>
              <w:rPr>
                <w:rFonts w:hint="eastAsia" w:ascii="Times New Roman" w:hAnsi="Times New Roman" w:eastAsia="宋体" w:cs="宋体"/>
                <w:color w:val="auto"/>
                <w:sz w:val="21"/>
                <w:highlight w:val="none"/>
              </w:rPr>
              <w:t xml:space="preserve">分；</w:t>
            </w:r>
            <w:r/>
          </w:p>
          <w:p>
            <w:pPr>
              <w:pStyle w:val="731"/>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color w:val="auto"/>
                <w:sz w:val="21"/>
                <w:highlight w:val="none"/>
              </w:rPr>
              <w:t xml:space="preserve">故障应急预案不满足采购基本需要及未提供故障应急预案的不得分。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培训方案（培训方案应包括不限于：培训需求分析、培训目标计划、培训内容及方法计划、负责培训人员情况、培训设备场地等情况介绍。）</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培训方案涵盖内容优于上述要求，培训方案综合评估完善全面，科学合理，内容及时间安排等可实施性强，相关计划安排优于采购需求的得</w:t>
            </w:r>
            <w:r>
              <w:rPr>
                <w:rFonts w:hint="eastAsia" w:ascii="Times New Roman" w:hAnsi="Times New Roman" w:eastAsia="宋体"/>
                <w:color w:val="auto"/>
                <w:highlight w:val="none"/>
                <w:lang w:val="en-US" w:eastAsia="zh-CN"/>
              </w:rPr>
              <w:t xml:space="preserve">5</w:t>
            </w:r>
            <w:r>
              <w:rPr>
                <w:rFonts w:hint="eastAsia" w:ascii="Times New Roman" w:hAnsi="Times New Roman" w:eastAsia="宋体"/>
                <w:color w:val="auto"/>
                <w:highlight w:val="none"/>
              </w:rPr>
              <w:t xml:space="preserve">分；</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培训方案涵盖内容满足上述要求，培训方案综合评估较为完善全面，内容及时间安排等可实施性较强，相关计划安排较好满足采购需求的得</w:t>
            </w:r>
            <w:r>
              <w:rPr>
                <w:rFonts w:hint="eastAsia" w:ascii="Times New Roman" w:hAnsi="Times New Roman" w:eastAsia="宋体"/>
                <w:color w:val="auto"/>
                <w:highlight w:val="none"/>
                <w:lang w:val="en-US" w:eastAsia="zh-CN"/>
              </w:rPr>
              <w:t xml:space="preserve">2</w:t>
            </w:r>
            <w:r>
              <w:rPr>
                <w:rFonts w:hint="eastAsia" w:ascii="Times New Roman" w:hAnsi="Times New Roman" w:eastAsia="宋体"/>
                <w:color w:val="auto"/>
                <w:highlight w:val="none"/>
              </w:rPr>
              <w:t xml:space="preserve">分；</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培训方案涵盖内容满足上述要求，培训方案综合评估较为完善合理，内容及时间安排等可实施性一般，相关计划安排基本满足采购需求的得</w:t>
            </w:r>
            <w:r>
              <w:rPr>
                <w:rFonts w:hint="eastAsia" w:ascii="Times New Roman" w:hAnsi="Times New Roman" w:eastAsia="宋体"/>
                <w:color w:val="auto"/>
                <w:highlight w:val="none"/>
                <w:lang w:val="en-US" w:eastAsia="zh-CN"/>
              </w:rPr>
              <w:t xml:space="preserve">1</w:t>
            </w:r>
            <w:r>
              <w:rPr>
                <w:rFonts w:hint="eastAsia" w:ascii="Times New Roman" w:hAnsi="Times New Roman" w:eastAsia="宋体"/>
                <w:color w:val="auto"/>
                <w:highlight w:val="none"/>
              </w:rPr>
              <w:t xml:space="preserve">分；</w:t>
            </w:r>
            <w:r/>
          </w:p>
          <w:p>
            <w:pPr>
              <w:pStyle w:val="731"/>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olor w:val="auto"/>
                <w:highlight w:val="none"/>
              </w:rPr>
              <w:t xml:space="preserve">培训方案不满足采购基本需要或未提供培训方案的不得分。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安装实施方案（针对本项目设置分工明确的项目管理团队，并具有合理明确的实施方案，以保障货物交付、安装、就位、验收等有效的项目管理，安装方案应包括不限于：项目团队情况描述、岗位分工职责、货物包装、运输计划、安装调试等相关情况及突发状况预案等描述。）</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方案内容符合规范，内容涵盖全面，充分体现项目安装实施计划流程，进度计划配置合理，可操作性及针对性优于项目需求的得</w:t>
            </w:r>
            <w:r>
              <w:rPr>
                <w:rFonts w:hint="eastAsia" w:ascii="Times New Roman" w:hAnsi="Times New Roman" w:eastAsia="宋体"/>
                <w:color w:val="auto"/>
                <w:highlight w:val="none"/>
                <w:lang w:val="en-US" w:eastAsia="zh-CN"/>
              </w:rPr>
              <w:t xml:space="preserve">5</w:t>
            </w:r>
            <w:r>
              <w:rPr>
                <w:rFonts w:hint="eastAsia" w:ascii="Times New Roman" w:hAnsi="Times New Roman" w:eastAsia="宋体"/>
                <w:color w:val="auto"/>
                <w:highlight w:val="none"/>
              </w:rPr>
              <w:t xml:space="preserve">分；</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方案内容较为规范，内容涵盖上述要求，较好体现项目安装实施计划流程，进度计划配置相对合理，可操作性及针对性较强，满足采购需求的得</w:t>
            </w:r>
            <w:r>
              <w:rPr>
                <w:rFonts w:hint="eastAsia" w:ascii="Times New Roman" w:hAnsi="Times New Roman" w:eastAsia="宋体"/>
                <w:color w:val="auto"/>
                <w:highlight w:val="none"/>
                <w:lang w:val="en-US" w:eastAsia="zh-CN"/>
              </w:rPr>
              <w:t xml:space="preserve">2</w:t>
            </w:r>
            <w:r>
              <w:rPr>
                <w:rFonts w:hint="eastAsia" w:ascii="Times New Roman" w:hAnsi="Times New Roman" w:eastAsia="宋体"/>
                <w:color w:val="auto"/>
                <w:highlight w:val="none"/>
              </w:rPr>
              <w:t xml:space="preserve">分；</w:t>
            </w:r>
            <w:r/>
          </w:p>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方案内容基本符合规范，内容涵盖基本全面，基本体现目安装实施计划流程，进度计划配置相对合理，可操作性及针对性较差，基本满足采购需求的得</w:t>
            </w:r>
            <w:r>
              <w:rPr>
                <w:rFonts w:hint="eastAsia" w:ascii="Times New Roman" w:hAnsi="Times New Roman" w:eastAsia="宋体"/>
                <w:color w:val="auto"/>
                <w:highlight w:val="none"/>
                <w:lang w:val="en-US" w:eastAsia="zh-CN"/>
              </w:rPr>
              <w:t xml:space="preserve">1</w:t>
            </w:r>
            <w:r>
              <w:rPr>
                <w:rFonts w:hint="eastAsia" w:ascii="Times New Roman" w:hAnsi="Times New Roman" w:eastAsia="宋体"/>
                <w:color w:val="auto"/>
                <w:highlight w:val="none"/>
              </w:rPr>
              <w:t xml:space="preserve">分；</w:t>
            </w:r>
            <w:r/>
          </w:p>
          <w:p>
            <w:pPr>
              <w:pStyle w:val="731"/>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olor w:val="auto"/>
                <w:highlight w:val="none"/>
              </w:rPr>
              <w:t xml:space="preserve">方案不满足采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购基本需要或未提供方案的不得分。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分</w:t>
            </w:r>
            <w:r/>
          </w:p>
        </w:tc>
      </w:tr>
      <w:tr>
        <w:trPr>
          <w:trHeight w:val="69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firstLine="0"/>
              <w:jc w:val="cente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804" w:type="dxa"/>
            <w:vAlign w:val="center"/>
            <w:textDirection w:val="lrTb"/>
            <w:noWrap w:val="false"/>
          </w:tcPr>
          <w:p>
            <w:pP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同类业绩证明</w:t>
            </w:r>
            <w:r/>
          </w:p>
          <w:p>
            <w:pP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宋体"/>
                <w:color w:val="auto"/>
                <w:sz w:val="21"/>
                <w:szCs w:val="21"/>
                <w:highlight w:val="none"/>
                <w:lang w:val="en-US" w:eastAsia="zh-CN" w:bidi="ar-SA"/>
              </w:rPr>
            </w:pPr>
            <w:r>
              <w:rPr>
                <w:rFonts w:hint="default" w:ascii="Times New Roman" w:hAnsi="Times New Roman" w:eastAsia="宋体" w:cs="宋体"/>
                <w:color w:val="auto"/>
                <w:sz w:val="21"/>
                <w:szCs w:val="21"/>
                <w:highlight w:val="none"/>
                <w:lang w:val="en-US" w:eastAsia="zh-CN" w:bidi="ar-SA"/>
              </w:rPr>
              <w:t xml:space="preserve">供应商提供近三年</w:t>
            </w:r>
            <w:r>
              <w:rPr>
                <w:rFonts w:hint="eastAsia" w:ascii="Times New Roman" w:hAnsi="Times New Roman" w:eastAsia="宋体" w:cs="宋体"/>
                <w:color w:val="auto"/>
                <w:sz w:val="21"/>
                <w:szCs w:val="21"/>
                <w:highlight w:val="none"/>
                <w:lang w:val="en-US" w:eastAsia="zh-CN" w:bidi="ar-SA"/>
              </w:rPr>
              <w:t xml:space="preserve">（2023年1月至今）</w:t>
            </w:r>
            <w:r>
              <w:rPr>
                <w:rFonts w:hint="default" w:ascii="Times New Roman" w:hAnsi="Times New Roman" w:eastAsia="宋体" w:cs="宋体"/>
                <w:color w:val="auto"/>
                <w:sz w:val="21"/>
                <w:szCs w:val="21"/>
                <w:highlight w:val="none"/>
                <w:lang w:val="en-US" w:eastAsia="zh-CN" w:bidi="ar-SA"/>
              </w:rPr>
              <w:t xml:space="preserve">同类项目业绩，每提供一项得1分，最高得</w:t>
            </w:r>
            <w:r>
              <w:rPr>
                <w:rFonts w:hint="eastAsia" w:ascii="Times New Roman" w:hAnsi="Times New Roman" w:eastAsia="宋体" w:cs="宋体"/>
                <w:color w:val="auto"/>
                <w:sz w:val="21"/>
                <w:szCs w:val="21"/>
                <w:highlight w:val="none"/>
                <w:lang w:val="en-US" w:eastAsia="zh-CN" w:bidi="ar-SA"/>
              </w:rPr>
              <w:t xml:space="preserve">5</w:t>
            </w:r>
            <w:r>
              <w:rPr>
                <w:rFonts w:hint="default" w:ascii="Times New Roman" w:hAnsi="Times New Roman" w:eastAsia="宋体" w:cs="宋体"/>
                <w:color w:val="auto"/>
                <w:sz w:val="21"/>
                <w:szCs w:val="21"/>
                <w:highlight w:val="none"/>
                <w:lang w:val="en-US" w:eastAsia="zh-CN" w:bidi="ar-SA"/>
              </w:rPr>
              <w:t xml:space="preserve">分。</w:t>
            </w:r>
            <w:r>
              <w:rPr>
                <w:rFonts w:hint="eastAsia" w:ascii="Times New Roman" w:hAnsi="Times New Roman" w:cs="宋体"/>
                <w:b/>
                <w:bCs/>
                <w:color w:val="auto"/>
                <w:sz w:val="21"/>
                <w:szCs w:val="21"/>
                <w:highlight w:val="none"/>
                <w:lang w:val="en-US" w:eastAsia="zh-CN" w:bidi="ar-SA"/>
              </w:rPr>
              <w:t xml:space="preserve">【</w:t>
            </w:r>
            <w:r>
              <w:rPr>
                <w:rFonts w:hint="default" w:ascii="Times New Roman" w:hAnsi="Times New Roman" w:eastAsia="宋体" w:cs="宋体"/>
                <w:b/>
                <w:bCs/>
                <w:color w:val="auto"/>
                <w:sz w:val="21"/>
                <w:szCs w:val="21"/>
                <w:highlight w:val="none"/>
                <w:lang w:val="en-US" w:eastAsia="zh-CN" w:bidi="ar-SA"/>
              </w:rPr>
              <w:t xml:space="preserve">供应商提供的</w:t>
            </w:r>
            <w:r>
              <w:rPr>
                <w:rFonts w:hint="eastAsia" w:ascii="Times New Roman" w:hAnsi="Times New Roman" w:cs="宋体"/>
                <w:b/>
                <w:bCs/>
                <w:color w:val="auto"/>
                <w:sz w:val="21"/>
                <w:szCs w:val="21"/>
                <w:highlight w:val="none"/>
                <w:lang w:val="en-US" w:eastAsia="zh-CN" w:bidi="ar-SA"/>
              </w:rPr>
              <w:t xml:space="preserve">证明材料应</w:t>
            </w:r>
            <w:r>
              <w:rPr>
                <w:rFonts w:hint="default" w:ascii="Times New Roman" w:hAnsi="Times New Roman" w:eastAsia="宋体" w:cs="宋体"/>
                <w:b/>
                <w:bCs/>
                <w:color w:val="auto"/>
                <w:sz w:val="21"/>
                <w:szCs w:val="21"/>
                <w:highlight w:val="none"/>
                <w:lang w:val="en-US" w:eastAsia="zh-CN" w:bidi="ar-SA"/>
              </w:rPr>
              <w:t xml:space="preserve">包括中标通知书</w:t>
            </w:r>
            <w:r>
              <w:rPr>
                <w:rFonts w:hint="eastAsia" w:ascii="Times New Roman" w:hAnsi="Times New Roman" w:cs="宋体"/>
                <w:b/>
                <w:bCs/>
                <w:color w:val="auto"/>
                <w:sz w:val="21"/>
                <w:szCs w:val="21"/>
                <w:highlight w:val="none"/>
                <w:lang w:val="en-US" w:eastAsia="zh-CN" w:bidi="ar-SA"/>
              </w:rPr>
              <w:t xml:space="preserve">和</w:t>
            </w:r>
            <w:r>
              <w:rPr>
                <w:rFonts w:hint="default" w:ascii="Times New Roman" w:hAnsi="Times New Roman" w:eastAsia="宋体" w:cs="宋体"/>
                <w:b/>
                <w:bCs/>
                <w:color w:val="auto"/>
                <w:sz w:val="21"/>
                <w:szCs w:val="21"/>
                <w:highlight w:val="none"/>
                <w:lang w:val="en-US" w:eastAsia="zh-CN" w:bidi="ar-SA"/>
              </w:rPr>
              <w:t xml:space="preserve">合同</w:t>
            </w:r>
            <w:r>
              <w:rPr>
                <w:rFonts w:hint="eastAsia" w:ascii="Times New Roman" w:hAnsi="Times New Roman" w:cs="宋体"/>
                <w:b/>
                <w:bCs/>
                <w:color w:val="auto"/>
                <w:sz w:val="21"/>
                <w:szCs w:val="21"/>
                <w:highlight w:val="none"/>
                <w:lang w:val="en-US" w:eastAsia="zh-CN" w:bidi="ar-SA"/>
              </w:rPr>
              <w:t xml:space="preserve">，</w:t>
            </w:r>
            <w:r>
              <w:rPr>
                <w:rFonts w:hint="default" w:ascii="Times New Roman" w:hAnsi="Times New Roman" w:eastAsia="宋体" w:cs="宋体"/>
                <w:b/>
                <w:bCs/>
                <w:color w:val="auto"/>
                <w:sz w:val="21"/>
                <w:szCs w:val="21"/>
                <w:highlight w:val="none"/>
                <w:lang w:val="en-US" w:eastAsia="zh-CN" w:bidi="ar-SA"/>
              </w:rPr>
              <w:t xml:space="preserve">合同至</w:t>
            </w:r>
            <w:r>
              <w:rPr>
                <w:rFonts w:hint="default" w:ascii="Times New Roman" w:hAnsi="Times New Roman" w:eastAsia="宋体" w:cs="宋体"/>
                <w:b/>
                <w:bCs/>
                <w:color w:val="auto"/>
                <w:sz w:val="21"/>
                <w:szCs w:val="21"/>
                <w:highlight w:val="none"/>
                <w:lang w:val="en-US" w:eastAsia="zh-CN" w:bidi="ar-SA"/>
              </w:rPr>
              <w:t xml:space="preserve">少包含合同首页、主要内容页、合同盖单位章页，时间以签订合同日期为准</w:t>
            </w:r>
            <w:r>
              <w:rPr>
                <w:rFonts w:hint="eastAsia" w:ascii="Times New Roman" w:hAnsi="Times New Roman" w:eastAsia="宋体" w:cs="宋体"/>
                <w:b/>
                <w:bCs/>
                <w:color w:val="auto"/>
                <w:sz w:val="21"/>
                <w:szCs w:val="21"/>
                <w:highlight w:val="none"/>
                <w:lang w:val="en-US" w:eastAsia="zh-CN" w:bidi="ar-SA"/>
              </w:rPr>
              <w:t xml:space="preserve">，如直接发包（或备案）的项目，可以提供业主单位或招标代理机构出具的有关中标文件代替中标通知书</w:t>
            </w:r>
            <w:r>
              <w:rPr>
                <w:rFonts w:hint="default" w:ascii="Times New Roman" w:hAnsi="Times New Roman" w:eastAsia="宋体" w:cs="宋体"/>
                <w:b/>
                <w:bCs/>
                <w:color w:val="auto"/>
                <w:sz w:val="21"/>
                <w:szCs w:val="21"/>
                <w:highlight w:val="none"/>
                <w:lang w:val="en-US" w:eastAsia="zh-CN" w:bidi="ar-SA"/>
              </w:rPr>
              <w:t xml:space="preserve">，未提供或</w:t>
            </w:r>
            <w:r>
              <w:rPr>
                <w:rFonts w:hint="eastAsia" w:ascii="Times New Roman" w:hAnsi="Times New Roman" w:cs="宋体"/>
                <w:b/>
                <w:bCs/>
                <w:color w:val="auto"/>
                <w:sz w:val="21"/>
                <w:szCs w:val="21"/>
                <w:highlight w:val="none"/>
                <w:lang w:val="en-US" w:eastAsia="zh-CN" w:bidi="ar-SA"/>
              </w:rPr>
              <w:t xml:space="preserve">未按要求提供</w:t>
            </w:r>
            <w:r>
              <w:rPr>
                <w:rFonts w:hint="default" w:ascii="Times New Roman" w:hAnsi="Times New Roman" w:eastAsia="宋体" w:cs="宋体"/>
                <w:b/>
                <w:bCs/>
                <w:color w:val="auto"/>
                <w:sz w:val="21"/>
                <w:szCs w:val="21"/>
                <w:highlight w:val="none"/>
                <w:lang w:val="en-US" w:eastAsia="zh-CN" w:bidi="ar-SA"/>
              </w:rPr>
              <w:t xml:space="preserve">不得分。</w:t>
            </w:r>
            <w:r>
              <w:rPr>
                <w:rFonts w:hint="eastAsia" w:ascii="Times New Roman" w:hAnsi="Times New Roman" w:eastAsia="宋体" w:cs="宋体"/>
                <w:b/>
                <w:bCs/>
                <w:color w:val="auto"/>
                <w:sz w:val="21"/>
                <w:szCs w:val="21"/>
                <w:highlight w:val="none"/>
                <w:lang w:val="en-US" w:eastAsia="zh-CN" w:bidi="ar-SA"/>
              </w:rPr>
              <w:t xml:space="preserve">】</w:t>
            </w:r>
            <w:bookmarkStart w:id="123" w:name="_GoBack"/>
            <w:r/>
            <w:bookmarkEnd w:id="123"/>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5</w:t>
            </w:r>
            <w:r/>
          </w:p>
        </w:tc>
      </w:tr>
      <w:tr>
        <w:trPr>
          <w:trHeight w:val="70"/>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Cs w:val="21"/>
                <w:highlight w:val="none"/>
              </w:rPr>
              <w:t xml:space="preserve">三、价格（30分）</w:t>
            </w:r>
            <w:r/>
          </w:p>
        </w:tc>
      </w:tr>
      <w:tr>
        <w:trPr>
          <w:trHeight w:val="263"/>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满分</w:t>
            </w:r>
            <w:r/>
          </w:p>
        </w:tc>
      </w:tr>
      <w:tr>
        <w:trPr>
          <w:trHeight w:val="786"/>
        </w:trPr>
        <w:tc>
          <w:tcPr>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pStyle w:val="731"/>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以满足招标文件要求的最低报价为基准价，得30分，其他报价=（基准价/报价）×30×100%，结果保留两位有效小数。</w:t>
            </w:r>
            <w:r/>
          </w:p>
          <w:p>
            <w:pPr>
              <w:pStyle w:val="731"/>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30分</w:t>
            </w:r>
            <w:r/>
          </w:p>
        </w:tc>
      </w:tr>
      <w:tr>
        <w:trPr>
          <w:trHeight w:val="350"/>
        </w:trPr>
        <w:tc>
          <w:tcPr>
            <w:gridSpan w:val="3"/>
            <w:tcBorders>
              <w:top w:val="single" w:color="auto" w:sz="4" w:space="0"/>
              <w:left w:val="single" w:color="auto" w:sz="4" w:space="0"/>
              <w:bottom w:val="single" w:color="auto" w:sz="4" w:space="0"/>
              <w:right w:val="single" w:color="auto" w:sz="4" w:space="0"/>
            </w:tcBorders>
            <w:tcW w:w="8619" w:type="dxa"/>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满分100分</w:t>
            </w:r>
            <w:r/>
          </w:p>
        </w:tc>
      </w:tr>
    </w:tbl>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响应)报价&lt;采购项目最高限价X45%；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717"/>
        <w:pageBreakBefore w:val="0"/>
        <w:spacing w:line="360" w:lineRule="auto"/>
        <w:rPr>
          <w:rFonts w:ascii="Times New Roman" w:hAnsi="Times New Roman" w:eastAsia="宋体"/>
          <w:color w:val="auto"/>
          <w:highlight w:val="none"/>
        </w:rPr>
      </w:pPr>
      <w:r/>
      <w:bookmarkStart w:id="79" w:name="_Toc27845"/>
      <w:r/>
      <w:bookmarkStart w:id="80" w:name="_Toc1523"/>
      <w:r/>
      <w:bookmarkStart w:id="81" w:name="_Toc24650"/>
      <w:r/>
      <w:bookmarkStart w:id="82" w:name="_Toc3287"/>
      <w:r>
        <w:rPr>
          <w:rFonts w:hint="eastAsia" w:ascii="Times New Roman" w:hAnsi="Times New Roman" w:eastAsia="宋体"/>
          <w:color w:val="auto"/>
          <w:highlight w:val="none"/>
        </w:rPr>
        <w:t xml:space="preserve">第六章 投标文件格式</w:t>
      </w:r>
      <w:bookmarkEnd w:id="79"/>
      <w:r/>
      <w:bookmarkEnd w:id="80"/>
      <w:r/>
      <w:bookmarkEnd w:id="81"/>
      <w:r/>
      <w:bookmarkEnd w:id="82"/>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733"/>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718"/>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83" w:name="_Toc1107"/>
      <w:r/>
      <w:bookmarkStart w:id="84" w:name="_Toc5792"/>
      <w:r/>
      <w:bookmarkStart w:id="85" w:name="_Toc26156"/>
      <w:r/>
      <w:bookmarkStart w:id="86" w:name="_Toc7268"/>
      <w:r/>
      <w:bookmarkStart w:id="87" w:name="_Toc20369"/>
      <w:r>
        <w:rPr>
          <w:rFonts w:hint="eastAsia" w:ascii="Times New Roman" w:hAnsi="Times New Roman" w:eastAsia="宋体" w:cs="宋体"/>
          <w:b/>
          <w:bCs/>
          <w:color w:val="auto"/>
          <w:sz w:val="32"/>
          <w:highlight w:val="none"/>
        </w:rPr>
        <w:t xml:space="preserve">一、</w:t>
      </w:r>
      <w:bookmarkEnd w:id="83"/>
      <w:r/>
      <w:bookmarkEnd w:id="84"/>
      <w:r/>
      <w:bookmarkEnd w:id="85"/>
      <w:r/>
      <w:bookmarkEnd w:id="86"/>
      <w:r/>
      <w:bookmarkEnd w:id="87"/>
      <w:r>
        <w:rPr>
          <w:rFonts w:hint="eastAsia" w:ascii="Times New Roman" w:hAnsi="Times New Roman" w:eastAsia="宋体"/>
          <w:b/>
          <w:bCs/>
          <w:color w:val="auto"/>
          <w:sz w:val="32"/>
          <w:highlight w:val="none"/>
        </w:rPr>
        <w:t xml:space="preserve">资格审查响应对照表</w:t>
      </w:r>
      <w:r/>
    </w:p>
    <w:tbl>
      <w:tblPr>
        <w:tblStyle w:val="72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致：</w:t>
      </w:r>
      <w:r>
        <w:rPr>
          <w:rFonts w:hint="eastAsia" w:ascii="Times New Roman" w:hAnsi="Times New Roman" w:eastAsia="宋体" w:cs="宋体"/>
          <w:color w:val="auto"/>
          <w:sz w:val="21"/>
          <w:highlight w:val="none"/>
        </w:rPr>
        <w:t xml:space="preserve">江苏苏维工程管理有限公司</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76"/>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94"/>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法定代表人身份证复印件</w:t>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被授权人身份证复印件</w:t>
      </w:r>
      <w:r/>
    </w:p>
    <w:p>
      <w:pPr>
        <w:jc w:val="center"/>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被授权人提供提交响应文件截止时间前一年内至少一个月依法缴纳税收及缴纳社会保障资金的证明材料</w:t>
      </w:r>
      <w:r/>
    </w:p>
    <w:p>
      <w:pPr>
        <w:jc w:val="center"/>
        <w:pageBreakBefore w:val="0"/>
        <w:spacing w:line="360" w:lineRule="auto"/>
        <w:rPr>
          <w:rFonts w:hint="eastAsia" w:ascii="Times New Roman" w:hAnsi="Times New Roman" w:eastAsia="宋体" w:cs="宋体"/>
          <w:b/>
          <w:bCs/>
          <w:i/>
          <w:iCs/>
          <w:color w:val="auto"/>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auto"/>
          <w:highlight w:val="none"/>
          <w:u w:val="singl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85"/>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90"/>
          <w:rFonts w:hint="eastAsia" w:ascii="Times New Roman" w:hAnsi="Times New Roman" w:eastAsia="宋体" w:cs="宋体"/>
          <w:color w:val="auto"/>
          <w:sz w:val="21"/>
          <w:szCs w:val="21"/>
          <w:highlight w:val="none"/>
        </w:rPr>
        <w:t xml:space="preserve">中小微企业划型标准如下：</w:t>
      </w:r>
      <w:r/>
    </w:p>
    <w:tbl>
      <w:tblPr>
        <w:tblStyle w:val="727"/>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5"/>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bl>
    <w:p>
      <w:pPr>
        <w:pStyle w:val="985"/>
        <w:ind w:firstLine="810"/>
        <w:pageBreakBefore w:val="0"/>
        <w:spacing w:line="360" w:lineRule="auto"/>
        <w:widowControl/>
        <w:rPr>
          <w:rStyle w:val="990"/>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88" w:name="_Toc20616"/>
      <w:r/>
      <w:bookmarkStart w:id="89" w:name="_Toc9345"/>
      <w:r/>
      <w:bookmarkStart w:id="90" w:name="_Toc14959"/>
      <w:r/>
      <w:bookmarkStart w:id="91" w:name="_Toc16911"/>
      <w:r/>
      <w:bookmarkStart w:id="92" w:name="_Toc3074"/>
      <w:r>
        <w:rPr>
          <w:rFonts w:hint="eastAsia" w:ascii="Times New Roman" w:hAnsi="Times New Roman" w:eastAsia="宋体" w:cs="宋体"/>
          <w:color w:val="auto"/>
          <w:sz w:val="32"/>
          <w:highlight w:val="none"/>
        </w:rPr>
        <w:t xml:space="preserve">二、符合性审查响应对照表</w:t>
      </w:r>
      <w:bookmarkEnd w:id="88"/>
      <w:r/>
      <w:bookmarkEnd w:id="89"/>
      <w:r/>
      <w:bookmarkEnd w:id="90"/>
      <w:r/>
      <w:bookmarkEnd w:id="91"/>
      <w:r/>
      <w:bookmarkEnd w:id="92"/>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93" w:name="_Toc23068"/>
      <w:r/>
      <w:bookmarkStart w:id="94" w:name="_Toc6752"/>
      <w:r/>
      <w:bookmarkStart w:id="95" w:name="_Toc29406"/>
      <w:r/>
      <w:bookmarkStart w:id="96" w:name="_Toc14100"/>
      <w:r/>
      <w:bookmarkStart w:id="97" w:name="_Toc23420"/>
      <w:r>
        <w:rPr>
          <w:rFonts w:hint="eastAsia" w:ascii="Times New Roman" w:hAnsi="Times New Roman" w:eastAsia="宋体" w:cs="宋体"/>
          <w:color w:val="auto"/>
          <w:sz w:val="32"/>
          <w:highlight w:val="none"/>
        </w:rPr>
        <w:t xml:space="preserve">三、非实质性响应对照表</w:t>
      </w:r>
      <w:bookmarkEnd w:id="93"/>
      <w:r/>
      <w:bookmarkEnd w:id="94"/>
      <w:r/>
      <w:bookmarkEnd w:id="95"/>
      <w:r/>
      <w:bookmarkEnd w:id="96"/>
      <w:r/>
      <w:bookmarkEnd w:id="97"/>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52"/>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Style w:val="759"/>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59"/>
          <w:rFonts w:hint="eastAsia" w:ascii="Times New Roman" w:hAnsi="Times New Roman" w:eastAsia="宋体" w:cs="方正魏碑_GBK"/>
          <w:i w:val="0"/>
          <w:color w:val="auto"/>
          <w:highlight w:val="none"/>
          <w:u w:val="single"/>
          <w:shd w:val="clear" w:color="auto" w:fill="ffffff"/>
        </w:rPr>
        <w:t xml:space="preserve">（厂名）</w:t>
      </w:r>
      <w:r>
        <w:rPr>
          <w:rStyle w:val="759"/>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59"/>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59"/>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59"/>
          <w:rFonts w:hint="eastAsia" w:ascii="Times New Roman" w:hAnsi="Times New Roman" w:eastAsia="宋体" w:cs="方正魏碑_GBK"/>
          <w:i w:val="0"/>
          <w:color w:val="auto"/>
          <w:highlight w:val="none"/>
          <w:u w:val="single"/>
          <w:shd w:val="clear" w:color="auto" w:fill="ffffff"/>
        </w:rPr>
        <w:t xml:space="preserve">（规定</w:t>
      </w:r>
      <w:r>
        <w:rPr>
          <w:rStyle w:val="759"/>
          <w:rFonts w:ascii="Times New Roman" w:hAnsi="Times New Roman" w:eastAsia="宋体" w:cs="方正魏碑_GBK"/>
          <w:i w:val="0"/>
          <w:color w:val="auto"/>
          <w:highlight w:val="none"/>
          <w:u w:val="single"/>
          <w:shd w:val="clear" w:color="auto" w:fill="ffffff"/>
        </w:rPr>
        <w:t xml:space="preserve">比例</w:t>
      </w:r>
      <w:r>
        <w:rPr>
          <w:rStyle w:val="759"/>
          <w:rFonts w:hint="eastAsia" w:ascii="Times New Roman" w:hAnsi="Times New Roman" w:eastAsia="宋体" w:cs="方正魏碑_GBK"/>
          <w:i w:val="0"/>
          <w:color w:val="auto"/>
          <w:highlight w:val="none"/>
          <w:u w:val="single"/>
          <w:shd w:val="clear" w:color="auto" w:fill="ffffff"/>
        </w:rPr>
        <w:t xml:space="preserve">）</w:t>
      </w:r>
      <w:r>
        <w:rPr>
          <w:rStyle w:val="759"/>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w:t>
      </w:r>
      <w:r>
        <w:rPr>
          <w:rStyle w:val="759"/>
          <w:rFonts w:ascii="Times New Roman" w:hAnsi="Times New Roman" w:eastAsia="宋体" w:cs="方正魏碑_GBK"/>
          <w:i w:val="0"/>
          <w:color w:val="auto"/>
          <w:highlight w:val="none"/>
          <w:u w:val="single"/>
          <w:shd w:val="clear" w:color="auto" w:fill="ffffff"/>
        </w:rPr>
        <w:t xml:space="preserve">组件</w:t>
      </w:r>
      <w:r>
        <w:rPr>
          <w:rStyle w:val="759"/>
          <w:rFonts w:hint="eastAsia" w:ascii="Times New Roman" w:hAnsi="Times New Roman" w:eastAsia="宋体" w:cs="方正魏碑_GBK"/>
          <w:i w:val="0"/>
          <w:color w:val="auto"/>
          <w:highlight w:val="none"/>
          <w:u w:val="single"/>
          <w:shd w:val="clear" w:color="auto" w:fill="ffffff"/>
        </w:rPr>
        <w:t xml:space="preserve">）</w:t>
      </w:r>
      <w:r>
        <w:rPr>
          <w:rStyle w:val="759"/>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（关键工序）</w:t>
      </w:r>
      <w:r>
        <w:rPr>
          <w:rStyle w:val="759"/>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59"/>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59"/>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59"/>
          <w:rFonts w:hint="eastAsia" w:ascii="Times New Roman" w:hAnsi="Times New Roman" w:eastAsia="宋体" w:cs="方正魏碑_GBK"/>
          <w:i w:val="0"/>
          <w:color w:val="auto"/>
          <w:highlight w:val="none"/>
          <w:u w:val="single"/>
          <w:shd w:val="clear" w:color="auto" w:fill="ffffff"/>
        </w:rPr>
        <w:t xml:space="preserve">（规定</w:t>
      </w:r>
      <w:r>
        <w:rPr>
          <w:rStyle w:val="759"/>
          <w:rFonts w:ascii="Times New Roman" w:hAnsi="Times New Roman" w:eastAsia="宋体" w:cs="方正魏碑_GBK"/>
          <w:i w:val="0"/>
          <w:color w:val="auto"/>
          <w:highlight w:val="none"/>
          <w:u w:val="single"/>
          <w:shd w:val="clear" w:color="auto" w:fill="ffffff"/>
        </w:rPr>
        <w:t xml:space="preserve">比例</w:t>
      </w:r>
      <w:r>
        <w:rPr>
          <w:rStyle w:val="759"/>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w:t>
      </w:r>
      <w:r>
        <w:rPr>
          <w:rStyle w:val="759"/>
          <w:rFonts w:ascii="Times New Roman" w:hAnsi="Times New Roman" w:eastAsia="宋体" w:cs="方正魏碑_GBK"/>
          <w:i w:val="0"/>
          <w:color w:val="auto"/>
          <w:highlight w:val="none"/>
          <w:u w:val="single"/>
          <w:shd w:val="clear" w:color="auto" w:fill="ffffff"/>
        </w:rPr>
        <w:t xml:space="preserve">组件</w:t>
      </w:r>
      <w:r>
        <w:rPr>
          <w:rStyle w:val="759"/>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52"/>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52"/>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52"/>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52"/>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52"/>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52"/>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98" w:name="_Toc19910"/>
      <w:r/>
      <w:bookmarkStart w:id="99" w:name="_Toc25382"/>
      <w:r>
        <w:rPr>
          <w:rFonts w:hint="eastAsia" w:ascii="Times New Roman" w:hAnsi="Times New Roman" w:eastAsia="宋体" w:cs="宋体"/>
          <w:b/>
          <w:bCs/>
          <w:color w:val="auto"/>
          <w:sz w:val="32"/>
          <w:szCs w:val="44"/>
          <w:highlight w:val="none"/>
        </w:rPr>
        <w:t xml:space="preserve">四、开标一览表</w:t>
      </w:r>
      <w:bookmarkEnd w:id="98"/>
      <w:r/>
      <w:bookmarkEnd w:id="99"/>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72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75"/>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100" w:name="_Toc17891"/>
      <w:r/>
      <w:bookmarkStart w:id="101" w:name="_Toc20323"/>
      <w:r>
        <w:rPr>
          <w:rFonts w:hint="eastAsia" w:ascii="Times New Roman" w:hAnsi="Times New Roman" w:eastAsia="宋体" w:cs="宋体"/>
          <w:b/>
          <w:bCs/>
          <w:color w:val="auto"/>
          <w:sz w:val="32"/>
          <w:szCs w:val="44"/>
          <w:highlight w:val="none"/>
        </w:rPr>
        <w:t xml:space="preserve">五、</w:t>
      </w:r>
      <w:bookmarkEnd w:id="100"/>
      <w:r/>
      <w:bookmarkEnd w:id="101"/>
      <w:r>
        <w:rPr>
          <w:rFonts w:hint="eastAsia" w:ascii="Times New Roman" w:hAnsi="Times New Roman" w:eastAsia="宋体" w:cs="宋体"/>
          <w:b/>
          <w:bCs/>
          <w:color w:val="auto"/>
          <w:sz w:val="32"/>
          <w:szCs w:val="44"/>
          <w:highlight w:val="none"/>
        </w:rPr>
        <w:t xml:space="preserve">投标产品配置及分项报价表</w:t>
      </w:r>
      <w:r/>
    </w:p>
    <w:tbl>
      <w:tblPr>
        <w:tblStyle w:val="72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产品</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规格</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日</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numPr>
          <w:ilvl w:val="0"/>
          <w:numId w:val="3"/>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numPr>
          <w:ilvl w:val="0"/>
          <w:numId w:val="0"/>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3.投标人需认真填写本报价表，尤其注意规格型号的准确填写。</w:t>
      </w:r>
      <w:r/>
    </w:p>
    <w:p>
      <w:pPr>
        <w:pageBreakBefore w:val="0"/>
        <w:spacing w:line="360" w:lineRule="auto"/>
        <w:rPr>
          <w:rFonts w:hint="eastAsia" w:ascii="Times New Roman" w:hAnsi="Times New Roman" w:eastAsia="宋体" w:cs="方正魏碑_GBK"/>
          <w:color w:val="auto"/>
          <w:sz w:val="21"/>
          <w:szCs w:val="21"/>
          <w:highlight w:val="none"/>
        </w:rPr>
      </w:pPr>
      <w:r>
        <w:rPr>
          <w:rFonts w:hint="eastAsia" w:ascii="Times New Roman" w:hAnsi="Times New Roman" w:eastAsia="宋体"/>
          <w:color w:val="auto"/>
          <w:sz w:val="21"/>
          <w:szCs w:val="21"/>
          <w:highlight w:val="none"/>
        </w:rPr>
        <w:t xml:space="preserve">4.项目经办人可以根据项目实际需要对表格结构进行调整</w:t>
      </w:r>
      <w:r>
        <w:rPr>
          <w:rFonts w:hint="eastAsia" w:ascii="Times New Roman" w:hAnsi="Times New Roman" w:eastAsia="宋体" w:cs="方正魏碑_GBK"/>
          <w:color w:val="auto"/>
          <w:sz w:val="21"/>
          <w:szCs w:val="21"/>
          <w:highlight w:val="none"/>
        </w:rPr>
        <w:t xml:space="preserve">。</w:t>
      </w:r>
      <w:r/>
    </w:p>
    <w:p>
      <w:pPr>
        <w:pageBreakBefore w:val="0"/>
        <w:spacing w:line="360" w:lineRule="auto"/>
        <w:rPr>
          <w:rFonts w:hint="default" w:ascii="Times New Roman" w:hAnsi="Times New Roman" w:eastAsia="宋体" w:cs="方正魏碑_GBK"/>
          <w:color w:val="auto"/>
          <w:sz w:val="24"/>
          <w:szCs w:val="24"/>
          <w:highlight w:val="none"/>
          <w:lang w:val="en-US" w:eastAsia="zh-CN"/>
        </w:rPr>
      </w:pPr>
      <w:r>
        <w:rPr>
          <w:rFonts w:hint="eastAsia" w:ascii="Times New Roman" w:hAnsi="Times New Roman" w:eastAsia="宋体" w:cs="方正魏碑_GBK"/>
          <w:color w:val="auto"/>
          <w:sz w:val="21"/>
          <w:szCs w:val="21"/>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lang w:val="en-US" w:eastAsia="zh-CN"/>
        </w:rPr>
        <w:t xml:space="preserve">。</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br w:type="page" w:clear="all"/>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102" w:name="_Toc5967"/>
      <w:r/>
      <w:bookmarkStart w:id="103" w:name="_Toc17996"/>
      <w:r/>
      <w:bookmarkStart w:id="104" w:name="_Toc9678"/>
      <w:r/>
      <w:bookmarkStart w:id="105" w:name="_Toc16517"/>
      <w:r/>
      <w:bookmarkStart w:id="106" w:name="_Toc32755"/>
      <w:r>
        <w:rPr>
          <w:rFonts w:hint="eastAsia" w:ascii="Times New Roman" w:hAnsi="Times New Roman" w:eastAsia="宋体" w:cs="宋体"/>
          <w:color w:val="auto"/>
          <w:sz w:val="32"/>
          <w:highlight w:val="none"/>
        </w:rPr>
        <w:t xml:space="preserve">六、技术参数响应及偏离表</w:t>
      </w:r>
      <w:bookmarkEnd w:id="102"/>
      <w:r/>
      <w:bookmarkEnd w:id="103"/>
      <w:r/>
      <w:bookmarkEnd w:id="104"/>
      <w:r/>
      <w:bookmarkEnd w:id="105"/>
      <w:r/>
      <w:bookmarkEnd w:id="106"/>
      <w:r/>
      <w:r/>
    </w:p>
    <w:tbl>
      <w:tblPr>
        <w:tblStyle w:val="727"/>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815"/>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107" w:name="_Hlt26955054"/>
      <w:r/>
      <w:bookmarkEnd w:id="107"/>
      <w:r/>
      <w:bookmarkStart w:id="108" w:name="_Toc32154"/>
      <w:r/>
      <w:bookmarkStart w:id="109" w:name="_Toc16820"/>
      <w:r>
        <w:rPr>
          <w:rFonts w:hint="eastAsia" w:ascii="Times New Roman" w:hAnsi="Times New Roman" w:eastAsia="宋体" w:cs="宋体"/>
          <w:b/>
          <w:bCs/>
          <w:color w:val="auto"/>
          <w:sz w:val="32"/>
          <w:szCs w:val="44"/>
          <w:highlight w:val="none"/>
        </w:rPr>
        <w:t xml:space="preserve">七、商务条款响应及偏离表</w:t>
      </w:r>
      <w:bookmarkEnd w:id="108"/>
      <w:r/>
      <w:bookmarkEnd w:id="109"/>
      <w:r/>
      <w:r/>
    </w:p>
    <w:tbl>
      <w:tblPr>
        <w:tblStyle w:val="727"/>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10" w:name="_Hlt26955064"/>
            <w:r/>
            <w:bookmarkEnd w:id="110"/>
            <w:r/>
            <w:bookmarkStart w:id="111" w:name="_Hlt26955056"/>
            <w:r/>
            <w:bookmarkEnd w:id="111"/>
            <w:r/>
            <w:bookmarkStart w:id="112" w:name="_Hlt24879081"/>
            <w:r/>
            <w:bookmarkEnd w:id="112"/>
            <w:r/>
            <w:bookmarkStart w:id="113" w:name="_Hlt26671343"/>
            <w:r/>
            <w:bookmarkEnd w:id="113"/>
            <w:r/>
            <w:bookmarkStart w:id="114" w:name="_Hlt26671372"/>
            <w:r/>
            <w:bookmarkEnd w:id="114"/>
            <w:r/>
            <w:bookmarkStart w:id="115" w:name="_Hlt26580838"/>
            <w:r/>
            <w:bookmarkEnd w:id="115"/>
            <w:r/>
            <w:bookmarkStart w:id="116" w:name="_Hlt26782999"/>
            <w:r/>
            <w:bookmarkEnd w:id="116"/>
            <w:r/>
            <w:bookmarkStart w:id="117" w:name="_Hlt26609391"/>
            <w:r/>
            <w:bookmarkEnd w:id="117"/>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72"/>
        <w:ind w:firstLine="480"/>
        <w:pageBreakBefore w:val="0"/>
        <w:spacing w:line="360" w:lineRule="auto"/>
        <w:rPr>
          <w:rFonts w:hint="eastAsia" w:ascii="Times New Roman" w:hAnsi="Times New Roman" w:eastAsia="宋体" w:cs="宋体"/>
          <w:color w:val="auto"/>
          <w:sz w:val="24"/>
          <w:highlight w:val="none"/>
        </w:rPr>
      </w:pPr>
      <w:r/>
      <w:bookmarkStart w:id="118" w:name="_Hlt26609389"/>
      <w:r/>
      <w:bookmarkEnd w:id="118"/>
      <w:r/>
      <w:bookmarkStart w:id="119" w:name="_Hlt26955066"/>
      <w:r/>
      <w:bookmarkEnd w:id="119"/>
      <w:r/>
      <w:bookmarkStart w:id="120" w:name="_Hlt26671374"/>
      <w:r/>
      <w:bookmarkEnd w:id="120"/>
      <w:r/>
      <w:bookmarkStart w:id="121" w:name="_Toc462564146"/>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21"/>
      <w:r/>
      <w:bookmarkStart w:id="122" w:name="_格式2__法定代表人授权书"/>
      <w:r/>
      <w:bookmarkEnd w:id="122"/>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727"/>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方正小标宋简体">
    <w:panose1 w:val="020B0503020202020204"/>
  </w:font>
  <w:font w:name="Noto Sans CJK JP Regular">
    <w:panose1 w:val="020B0503020202020204"/>
  </w:font>
  <w:font w:name="Courier New">
    <w:panose1 w:val="02070309020205020404"/>
  </w:font>
  <w:font w:name="仿宋">
    <w:panose1 w:val="020106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JSZC-321000-SWGC-G2026-0089号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JSZC-321000-SWGC-G2026-0089号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link w:val="817"/>
    <w:uiPriority w:val="9"/>
    <w:qFormat/>
    <w:pPr>
      <w:jc w:val="center"/>
      <w:keepLines/>
      <w:keepNext/>
      <w:spacing w:line="360" w:lineRule="auto"/>
      <w:outlineLvl w:val="0"/>
    </w:pPr>
    <w:rPr>
      <w:rFonts w:ascii="Arial" w:hAnsi="Arial" w:cs="Arial"/>
      <w:b/>
      <w:sz w:val="30"/>
      <w:szCs w:val="40"/>
    </w:rPr>
  </w:style>
  <w:style w:type="paragraph" w:styleId="718">
    <w:name w:val="Heading 2"/>
    <w:basedOn w:val="716"/>
    <w:next w:val="716"/>
    <w:link w:val="818"/>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19"/>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2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21"/>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22"/>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823"/>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824"/>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825"/>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table of authorities"/>
    <w:basedOn w:val="716"/>
    <w:next w:val="716"/>
    <w:uiPriority w:val="0"/>
    <w:qFormat/>
    <w:pPr>
      <w:ind w:left="420"/>
    </w:pPr>
    <w:rPr>
      <w:rFonts w:ascii="Times New Roman" w:hAnsi="Times New Roman"/>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qFormat/>
    <w:pPr>
      <w:spacing w:after="120"/>
    </w:pPr>
    <w:rPr>
      <w:szCs w:val="24"/>
    </w:rPr>
  </w:style>
  <w:style w:type="paragraph" w:styleId="733">
    <w:name w:val="Body Text Indent"/>
    <w:basedOn w:val="716"/>
    <w:next w:val="734"/>
    <w:uiPriority w:val="0"/>
    <w:qFormat/>
    <w:pPr>
      <w:ind w:left="420"/>
      <w:spacing w:after="120"/>
    </w:pPr>
    <w:rPr>
      <w:rFonts w:ascii="等线" w:hAnsi="等线" w:eastAsia="等线"/>
    </w:rPr>
  </w:style>
  <w:style w:type="paragraph" w:styleId="734">
    <w:name w:val="envelope return"/>
    <w:basedOn w:val="716"/>
    <w:uiPriority w:val="0"/>
    <w:qFormat/>
    <w:rPr>
      <w:rFonts w:ascii="Arial" w:hAnsi="Arial"/>
    </w:rPr>
  </w:style>
  <w:style w:type="paragraph" w:styleId="735">
    <w:name w:val="List Bullet 2"/>
    <w:basedOn w:val="716"/>
    <w:uiPriority w:val="99"/>
    <w:semiHidden/>
    <w:unhideWhenUsed/>
    <w:qFormat/>
    <w:pPr>
      <w:numPr>
        <w:ilvl w:val="0"/>
        <w:numId w:val="1"/>
      </w:numPr>
    </w:pPr>
  </w:style>
  <w:style w:type="paragraph" w:styleId="736">
    <w:name w:val="toc 5"/>
    <w:basedOn w:val="716"/>
    <w:next w:val="716"/>
    <w:uiPriority w:val="39"/>
    <w:unhideWhenUsed/>
    <w:qFormat/>
    <w:pPr>
      <w:ind w:left="1134"/>
      <w:spacing w:after="57"/>
    </w:pPr>
  </w:style>
  <w:style w:type="paragraph" w:styleId="737">
    <w:name w:val="toc 3"/>
    <w:basedOn w:val="716"/>
    <w:next w:val="716"/>
    <w:uiPriority w:val="39"/>
    <w:unhideWhenUsed/>
    <w:qFormat/>
    <w:pPr>
      <w:ind w:left="567"/>
      <w:spacing w:after="57"/>
    </w:pPr>
  </w:style>
  <w:style w:type="paragraph" w:styleId="738">
    <w:name w:val="Plain Text"/>
    <w:basedOn w:val="716"/>
    <w:uiPriority w:val="0"/>
    <w:qFormat/>
    <w:rPr>
      <w:rFonts w:ascii="宋体" w:hAnsi="Courier New"/>
      <w:sz w:val="20"/>
      <w:szCs w:val="21"/>
    </w:rPr>
  </w:style>
  <w:style w:type="paragraph" w:styleId="739">
    <w:name w:val="toc 8"/>
    <w:basedOn w:val="716"/>
    <w:next w:val="716"/>
    <w:uiPriority w:val="39"/>
    <w:unhideWhenUsed/>
    <w:qFormat/>
    <w:pPr>
      <w:ind w:left="1984"/>
      <w:spacing w:after="57"/>
    </w:pPr>
  </w:style>
  <w:style w:type="paragraph" w:styleId="740">
    <w:name w:val="Body Text Indent 2"/>
    <w:basedOn w:val="716"/>
    <w:uiPriority w:val="0"/>
    <w:qFormat/>
    <w:pPr>
      <w:ind w:left="640"/>
      <w:spacing w:after="120" w:line="480" w:lineRule="auto"/>
    </w:pPr>
    <w:rPr>
      <w:rFonts w:eastAsia="仿宋_GB2312"/>
      <w:sz w:val="32"/>
      <w:szCs w:val="28"/>
    </w:rPr>
  </w:style>
  <w:style w:type="paragraph" w:styleId="741">
    <w:name w:val="endnote text"/>
    <w:basedOn w:val="716"/>
    <w:link w:val="963"/>
    <w:uiPriority w:val="99"/>
    <w:semiHidden/>
    <w:unhideWhenUsed/>
    <w:qFormat/>
    <w:rPr>
      <w:sz w:val="20"/>
    </w:rPr>
  </w:style>
  <w:style w:type="paragraph" w:styleId="742">
    <w:name w:val="Footer"/>
    <w:basedOn w:val="716"/>
    <w:link w:val="836"/>
    <w:uiPriority w:val="99"/>
    <w:unhideWhenUsed/>
    <w:qFormat/>
    <w:pPr>
      <w:tabs>
        <w:tab w:val="center" w:pos="7143" w:leader="none"/>
        <w:tab w:val="right" w:pos="14287" w:leader="none"/>
      </w:tabs>
    </w:pPr>
  </w:style>
  <w:style w:type="paragraph" w:styleId="743">
    <w:name w:val="Header"/>
    <w:basedOn w:val="716"/>
    <w:link w:val="834"/>
    <w:uiPriority w:val="99"/>
    <w:unhideWhenUsed/>
    <w:qFormat/>
    <w:pPr>
      <w:tabs>
        <w:tab w:val="center" w:pos="7143" w:leader="none"/>
        <w:tab w:val="right" w:pos="14287" w:leader="none"/>
      </w:tabs>
    </w:pPr>
  </w:style>
  <w:style w:type="paragraph" w:styleId="744">
    <w:name w:val="toc 1"/>
    <w:basedOn w:val="716"/>
    <w:next w:val="716"/>
    <w:uiPriority w:val="39"/>
    <w:unhideWhenUsed/>
    <w:qFormat/>
    <w:pPr>
      <w:spacing w:after="57"/>
    </w:pPr>
  </w:style>
  <w:style w:type="paragraph" w:styleId="745">
    <w:name w:val="toc 4"/>
    <w:basedOn w:val="716"/>
    <w:next w:val="716"/>
    <w:uiPriority w:val="39"/>
    <w:unhideWhenUsed/>
    <w:qFormat/>
    <w:pPr>
      <w:ind w:left="850"/>
      <w:spacing w:after="57"/>
    </w:pPr>
  </w:style>
  <w:style w:type="paragraph" w:styleId="746">
    <w:name w:val="Subtitle"/>
    <w:basedOn w:val="716"/>
    <w:next w:val="716"/>
    <w:link w:val="829"/>
    <w:uiPriority w:val="11"/>
    <w:qFormat/>
    <w:pPr>
      <w:spacing w:before="200" w:after="200"/>
    </w:pPr>
    <w:rPr>
      <w:sz w:val="24"/>
      <w:szCs w:val="24"/>
    </w:rPr>
  </w:style>
  <w:style w:type="paragraph" w:styleId="747">
    <w:name w:val="footnote text"/>
    <w:basedOn w:val="716"/>
    <w:link w:val="962"/>
    <w:uiPriority w:val="99"/>
    <w:semiHidden/>
    <w:unhideWhenUsed/>
    <w:qFormat/>
    <w:pPr>
      <w:spacing w:after="40"/>
    </w:pPr>
    <w:rPr>
      <w:sz w:val="18"/>
    </w:rPr>
  </w:style>
  <w:style w:type="paragraph" w:styleId="748">
    <w:name w:val="toc 6"/>
    <w:basedOn w:val="716"/>
    <w:next w:val="716"/>
    <w:uiPriority w:val="39"/>
    <w:unhideWhenUsed/>
    <w:qFormat/>
    <w:pPr>
      <w:ind w:left="1417"/>
      <w:spacing w:after="57"/>
    </w:pPr>
  </w:style>
  <w:style w:type="paragraph" w:styleId="749">
    <w:name w:val="table of figures"/>
    <w:basedOn w:val="716"/>
    <w:next w:val="716"/>
    <w:uiPriority w:val="99"/>
    <w:unhideWhenUsed/>
    <w:qFormat/>
  </w:style>
  <w:style w:type="paragraph" w:styleId="750">
    <w:name w:val="toc 2"/>
    <w:basedOn w:val="716"/>
    <w:next w:val="716"/>
    <w:uiPriority w:val="39"/>
    <w:unhideWhenUsed/>
    <w:qFormat/>
    <w:pPr>
      <w:ind w:left="283"/>
      <w:spacing w:after="57"/>
    </w:pPr>
  </w:style>
  <w:style w:type="paragraph" w:styleId="751">
    <w:name w:val="toc 9"/>
    <w:basedOn w:val="716"/>
    <w:next w:val="716"/>
    <w:uiPriority w:val="39"/>
    <w:unhideWhenUsed/>
    <w:qFormat/>
    <w:pPr>
      <w:ind w:left="2268"/>
      <w:spacing w:after="57"/>
    </w:pPr>
  </w:style>
  <w:style w:type="paragraph" w:styleId="752">
    <w:name w:val="Normal (Web)"/>
    <w:basedOn w:val="716"/>
    <w:uiPriority w:val="99"/>
    <w:semiHidden/>
    <w:unhideWhenUsed/>
    <w:qFormat/>
    <w:pPr>
      <w:jc w:val="left"/>
      <w:spacing w:beforeAutospacing="1" w:afterAutospacing="1"/>
    </w:pPr>
    <w:rPr>
      <w:sz w:val="24"/>
    </w:rPr>
  </w:style>
  <w:style w:type="paragraph" w:styleId="753">
    <w:name w:val="index 1"/>
    <w:basedOn w:val="716"/>
    <w:next w:val="716"/>
    <w:uiPriority w:val="0"/>
    <w:qFormat/>
    <w:rPr>
      <w:rFonts w:ascii="仿宋_GB2312" w:hAnsi="宋体" w:eastAsia="仿宋_GB2312" w:cs="宋体"/>
      <w:sz w:val="30"/>
      <w:szCs w:val="24"/>
      <w:lang w:val="zh-CN"/>
    </w:rPr>
  </w:style>
  <w:style w:type="paragraph" w:styleId="754">
    <w:name w:val="Title"/>
    <w:basedOn w:val="716"/>
    <w:next w:val="716"/>
    <w:link w:val="828"/>
    <w:uiPriority w:val="10"/>
    <w:qFormat/>
    <w:pPr>
      <w:contextualSpacing/>
      <w:spacing w:before="300" w:after="200"/>
    </w:pPr>
    <w:rPr>
      <w:sz w:val="48"/>
      <w:szCs w:val="48"/>
    </w:rPr>
  </w:style>
  <w:style w:type="paragraph" w:styleId="755">
    <w:name w:val="Body Text First Indent"/>
    <w:basedOn w:val="732"/>
    <w:uiPriority w:val="99"/>
    <w:unhideWhenUsed/>
    <w:qFormat/>
    <w:pPr>
      <w:ind w:firstLine="426"/>
      <w:spacing w:line="400" w:lineRule="atLeast"/>
    </w:pPr>
    <w:rPr>
      <w:sz w:val="24"/>
      <w:szCs w:val="20"/>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6"/>
    <w:uiPriority w:val="0"/>
    <w:qFormat/>
    <w:rPr>
      <w:b/>
    </w:rPr>
  </w:style>
  <w:style w:type="character" w:styleId="758">
    <w:name w:val="endnote reference"/>
    <w:uiPriority w:val="99"/>
    <w:semiHidden/>
    <w:unhideWhenUsed/>
    <w:qFormat/>
    <w:rPr>
      <w:vertAlign w:val="superscript"/>
    </w:rPr>
  </w:style>
  <w:style w:type="character" w:styleId="759">
    <w:name w:val="Emphasis"/>
    <w:basedOn w:val="726"/>
    <w:uiPriority w:val="20"/>
    <w:qFormat/>
    <w:rPr>
      <w:i/>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763" w:customStyle="1">
    <w:name w:val="正文（缩进）"/>
    <w:basedOn w:val="716"/>
    <w:next w:val="764"/>
    <w:uiPriority w:val="0"/>
    <w:qFormat/>
    <w:pPr>
      <w:ind w:firstLine="480"/>
      <w:spacing w:before="156" w:after="156"/>
    </w:pPr>
  </w:style>
  <w:style w:type="paragraph" w:styleId="764" w:customStyle="1">
    <w:name w:val="Char Char Char Char Char Char Char Char Char"/>
    <w:basedOn w:val="716"/>
    <w:next w:val="765"/>
    <w:uiPriority w:val="99"/>
    <w:qFormat/>
    <w:pPr>
      <w:ind w:left="360" w:firstLine="5784"/>
    </w:pPr>
  </w:style>
  <w:style w:type="paragraph" w:styleId="765" w:customStyle="1">
    <w:name w:val="正文文本 21"/>
    <w:basedOn w:val="716"/>
    <w:next w:val="766"/>
    <w:uiPriority w:val="0"/>
    <w:qFormat/>
    <w:pPr>
      <w:spacing w:after="120" w:line="480" w:lineRule="auto"/>
    </w:pPr>
  </w:style>
  <w:style w:type="paragraph" w:styleId="766" w:customStyle="1">
    <w:name w:val="默认段落字体 Para Char Char Char Char Char Char Char"/>
    <w:basedOn w:val="716"/>
    <w:next w:val="767"/>
    <w:uiPriority w:val="99"/>
    <w:qFormat/>
    <w:pPr>
      <w:ind w:firstLine="200"/>
    </w:pPr>
    <w:rPr>
      <w:rFonts w:cs="Arial"/>
    </w:rPr>
  </w:style>
  <w:style w:type="paragraph" w:styleId="767" w:customStyle="1">
    <w:name w:val="样式 首行缩进:  2 字符"/>
    <w:basedOn w:val="716"/>
    <w:next w:val="768"/>
    <w:uiPriority w:val="99"/>
    <w:qFormat/>
    <w:pPr>
      <w:ind w:left="480" w:firstLine="5856"/>
      <w:spacing w:line="360" w:lineRule="auto"/>
    </w:pPr>
  </w:style>
  <w:style w:type="paragraph" w:styleId="768" w:customStyle="1">
    <w:name w:val="样式 段后: 0.25 行"/>
    <w:basedOn w:val="716"/>
    <w:next w:val="769"/>
    <w:uiPriority w:val="99"/>
    <w:qFormat/>
    <w:pPr>
      <w:ind w:left="420" w:firstLine="5796"/>
      <w:spacing w:line="300" w:lineRule="auto"/>
      <w:widowControl/>
    </w:pPr>
  </w:style>
  <w:style w:type="paragraph" w:styleId="769" w:customStyle="1">
    <w:name w:val="正文 New New New New New New New New New New New New New New"/>
    <w:next w:val="751"/>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70" w:customStyle="1">
    <w:name w:val="正文1"/>
    <w:basedOn w:val="716"/>
    <w:next w:val="771"/>
    <w:uiPriority w:val="0"/>
    <w:qFormat/>
    <w:pPr>
      <w:jc w:val="left"/>
      <w:spacing w:line="360" w:lineRule="atLeast"/>
    </w:pPr>
    <w:rPr>
      <w:rFonts w:ascii="宋体" w:cs="Arial"/>
      <w:sz w:val="24"/>
      <w:szCs w:val="20"/>
    </w:rPr>
  </w:style>
  <w:style w:type="paragraph" w:styleId="771" w:customStyle="1">
    <w:name w:val="正文文本1"/>
    <w:basedOn w:val="770"/>
    <w:next w:val="772"/>
    <w:uiPriority w:val="0"/>
    <w:qFormat/>
    <w:pPr>
      <w:spacing w:after="120"/>
    </w:pPr>
    <w:rPr>
      <w:lang w:eastAsia="en-US"/>
    </w:rPr>
  </w:style>
  <w:style w:type="paragraph" w:styleId="772" w:customStyle="1">
    <w:name w:val="一级条标题"/>
    <w:basedOn w:val="773"/>
    <w:next w:val="7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4" w:customStyle="1">
    <w:name w:val="段"/>
    <w:basedOn w:val="770"/>
    <w:next w:val="716"/>
    <w:uiPriority w:val="0"/>
    <w:qFormat/>
    <w:pPr>
      <w:ind w:firstLine="200"/>
      <w:widowControl/>
    </w:pPr>
    <w:rPr>
      <w:sz w:val="20"/>
    </w:rPr>
  </w:style>
  <w:style w:type="paragraph" w:styleId="775" w:customStyle="1">
    <w:name w:val="远大正文"/>
    <w:basedOn w:val="716"/>
    <w:uiPriority w:val="0"/>
    <w:qFormat/>
    <w:pPr>
      <w:ind w:firstLine="0"/>
      <w:jc w:val="center"/>
      <w:spacing w:line="360" w:lineRule="auto"/>
    </w:pPr>
    <w:rPr>
      <w:rFonts w:ascii="宋体" w:hAnsi="宋体" w:cs="Times New Roman"/>
    </w:rPr>
  </w:style>
  <w:style w:type="paragraph" w:styleId="776"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777" w:customStyle="1">
    <w:name w:val="标题1"/>
    <w:basedOn w:val="716"/>
    <w:next w:val="716"/>
    <w:uiPriority w:val="0"/>
    <w:qFormat/>
    <w:pPr>
      <w:jc w:val="center"/>
      <w:spacing w:before="240" w:after="60" w:line="360" w:lineRule="auto"/>
      <w:outlineLvl w:val="0"/>
    </w:pPr>
    <w:rPr>
      <w:rFonts w:ascii="宋体" w:hAnsi="宋体"/>
      <w:b/>
      <w:bCs/>
      <w:sz w:val="32"/>
      <w:szCs w:val="32"/>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table" w:styleId="793"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Default"/>
    <w:next w:val="716"/>
    <w:uiPriority w:val="0"/>
    <w:qFormat/>
    <w:pPr>
      <w:widowControl w:val="off"/>
    </w:pPr>
    <w:rPr>
      <w:rFonts w:hint="default" w:ascii="黑体" w:hAnsi="Times New Roman" w:eastAsia="黑体" w:cs="Times New Roman"/>
      <w:lang w:val="en-US" w:eastAsia="zh-CN" w:bidi="ar-SA"/>
    </w:rPr>
  </w:style>
  <w:style w:type="paragraph" w:styleId="816" w:customStyle="1">
    <w:name w:val="首行缩进"/>
    <w:basedOn w:val="716"/>
    <w:uiPriority w:val="0"/>
    <w:qFormat/>
    <w:pPr>
      <w:ind w:firstLine="420"/>
      <w:spacing w:line="360" w:lineRule="auto"/>
    </w:pPr>
  </w:style>
  <w:style w:type="character" w:styleId="817" w:customStyle="1">
    <w:name w:val="标题 1 字符"/>
    <w:link w:val="717"/>
    <w:uiPriority w:val="9"/>
    <w:qFormat/>
    <w:rPr>
      <w:rFonts w:ascii="Arial" w:hAnsi="Arial" w:eastAsia="宋体" w:cs="Arial"/>
      <w:b/>
      <w:sz w:val="30"/>
      <w:szCs w:val="40"/>
    </w:rPr>
  </w:style>
  <w:style w:type="character" w:styleId="818" w:customStyle="1">
    <w:name w:val="标题 2 字符"/>
    <w:link w:val="718"/>
    <w:uiPriority w:val="9"/>
    <w:qFormat/>
    <w:rPr>
      <w:rFonts w:ascii="Arial" w:hAnsi="Arial" w:eastAsia="Arial" w:cs="Arial"/>
      <w:sz w:val="34"/>
    </w:rPr>
  </w:style>
  <w:style w:type="character" w:styleId="819" w:customStyle="1">
    <w:name w:val="标题 3 字符"/>
    <w:link w:val="719"/>
    <w:uiPriority w:val="9"/>
    <w:qFormat/>
    <w:rPr>
      <w:rFonts w:ascii="Arial" w:hAnsi="Arial" w:eastAsia="Arial" w:cs="Arial"/>
      <w:sz w:val="30"/>
      <w:szCs w:val="30"/>
    </w:rPr>
  </w:style>
  <w:style w:type="character" w:styleId="820" w:customStyle="1">
    <w:name w:val="标题 4 字符"/>
    <w:link w:val="720"/>
    <w:uiPriority w:val="9"/>
    <w:qFormat/>
    <w:rPr>
      <w:rFonts w:ascii="Arial" w:hAnsi="Arial" w:eastAsia="Arial" w:cs="Arial"/>
      <w:b/>
      <w:bCs/>
      <w:sz w:val="26"/>
      <w:szCs w:val="26"/>
    </w:rPr>
  </w:style>
  <w:style w:type="character" w:styleId="821" w:customStyle="1">
    <w:name w:val="标题 5 字符"/>
    <w:link w:val="721"/>
    <w:uiPriority w:val="9"/>
    <w:qFormat/>
    <w:rPr>
      <w:rFonts w:ascii="Arial" w:hAnsi="Arial" w:eastAsia="Arial" w:cs="Arial"/>
      <w:b/>
      <w:bCs/>
      <w:sz w:val="24"/>
      <w:szCs w:val="24"/>
    </w:rPr>
  </w:style>
  <w:style w:type="character" w:styleId="822" w:customStyle="1">
    <w:name w:val="标题 6 字符"/>
    <w:link w:val="722"/>
    <w:uiPriority w:val="9"/>
    <w:qFormat/>
    <w:rPr>
      <w:rFonts w:ascii="Arial" w:hAnsi="Arial" w:eastAsia="Arial" w:cs="Arial"/>
      <w:b/>
      <w:bCs/>
      <w:sz w:val="22"/>
      <w:szCs w:val="22"/>
    </w:rPr>
  </w:style>
  <w:style w:type="character" w:styleId="823" w:customStyle="1">
    <w:name w:val="标题 7 字符"/>
    <w:link w:val="723"/>
    <w:uiPriority w:val="9"/>
    <w:qFormat/>
    <w:rPr>
      <w:rFonts w:ascii="Arial" w:hAnsi="Arial" w:eastAsia="Arial" w:cs="Arial"/>
      <w:b/>
      <w:bCs/>
      <w:i/>
      <w:iCs/>
      <w:sz w:val="22"/>
      <w:szCs w:val="22"/>
    </w:rPr>
  </w:style>
  <w:style w:type="character" w:styleId="824" w:customStyle="1">
    <w:name w:val="标题 8 字符"/>
    <w:link w:val="724"/>
    <w:uiPriority w:val="9"/>
    <w:qFormat/>
    <w:rPr>
      <w:rFonts w:ascii="Arial" w:hAnsi="Arial" w:eastAsia="Arial" w:cs="Arial"/>
      <w:i/>
      <w:iCs/>
      <w:sz w:val="22"/>
      <w:szCs w:val="22"/>
    </w:rPr>
  </w:style>
  <w:style w:type="character" w:styleId="825" w:customStyle="1">
    <w:name w:val="标题 9 字符"/>
    <w:link w:val="725"/>
    <w:uiPriority w:val="9"/>
    <w:qFormat/>
    <w:rPr>
      <w:rFonts w:ascii="Arial" w:hAnsi="Arial" w:eastAsia="Arial" w:cs="Arial"/>
      <w:i/>
      <w:iCs/>
      <w:sz w:val="21"/>
      <w:szCs w:val="21"/>
    </w:rPr>
  </w:style>
  <w:style w:type="paragraph" w:styleId="826">
    <w:name w:val="List Paragraph"/>
    <w:basedOn w:val="716"/>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link w:val="754"/>
    <w:uiPriority w:val="10"/>
    <w:qFormat/>
    <w:rPr>
      <w:sz w:val="48"/>
      <w:szCs w:val="48"/>
    </w:rPr>
  </w:style>
  <w:style w:type="character" w:styleId="829" w:customStyle="1">
    <w:name w:val="副标题 字符"/>
    <w:link w:val="746"/>
    <w:uiPriority w:val="11"/>
    <w:qFormat/>
    <w:rPr>
      <w:sz w:val="24"/>
      <w:szCs w:val="24"/>
    </w:rPr>
  </w:style>
  <w:style w:type="paragraph" w:styleId="830">
    <w:name w:val="Quote"/>
    <w:basedOn w:val="716"/>
    <w:next w:val="716"/>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16"/>
    <w:next w:val="716"/>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43"/>
    <w:uiPriority w:val="99"/>
    <w:qFormat/>
  </w:style>
  <w:style w:type="character" w:styleId="835" w:customStyle="1">
    <w:name w:val="Footer Char"/>
    <w:uiPriority w:val="99"/>
    <w:qFormat/>
  </w:style>
  <w:style w:type="character" w:styleId="836" w:customStyle="1">
    <w:name w:val="页脚 字符"/>
    <w:link w:val="742"/>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47"/>
    <w:uiPriority w:val="99"/>
    <w:qFormat/>
    <w:rPr>
      <w:sz w:val="18"/>
    </w:rPr>
  </w:style>
  <w:style w:type="character" w:styleId="963" w:customStyle="1">
    <w:name w:val="尾注文本 字符"/>
    <w:link w:val="741"/>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
    <w:basedOn w:val="716"/>
    <w:next w:val="716"/>
    <w:uiPriority w:val="9"/>
    <w:qFormat/>
    <w:pPr>
      <w:keepLines/>
      <w:keepNext/>
      <w:spacing w:before="340" w:after="330" w:line="578" w:lineRule="auto"/>
      <w:outlineLvl w:val="0"/>
    </w:pPr>
    <w:rPr>
      <w:b/>
      <w:bCs/>
      <w:sz w:val="44"/>
      <w:szCs w:val="44"/>
    </w:rPr>
  </w:style>
  <w:style w:type="paragraph" w:styleId="966" w:customStyle="1">
    <w:name w:val="标题 21"/>
    <w:basedOn w:val="716"/>
    <w:next w:val="7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16"/>
    <w:next w:val="716"/>
    <w:uiPriority w:val="0"/>
    <w:qFormat/>
    <w:pPr>
      <w:keepLines/>
      <w:keepNext/>
      <w:spacing w:before="260" w:after="260" w:line="416" w:lineRule="auto"/>
      <w:outlineLvl w:val="2"/>
    </w:pPr>
    <w:rPr>
      <w:b/>
      <w:bCs/>
      <w:sz w:val="32"/>
      <w:szCs w:val="32"/>
    </w:rPr>
  </w:style>
  <w:style w:type="character" w:styleId="968" w:customStyle="1">
    <w:name w:val="默认段落字体1"/>
    <w:uiPriority w:val="1"/>
    <w:unhideWhenUsed/>
    <w:qFormat/>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正文文本缩进1"/>
    <w:basedOn w:val="716"/>
    <w:next w:val="971"/>
    <w:uiPriority w:val="0"/>
    <w:qFormat/>
    <w:pPr>
      <w:ind w:left="420"/>
      <w:spacing w:after="120"/>
    </w:pPr>
    <w:rPr>
      <w:rFonts w:ascii="等线" w:hAnsi="等线" w:eastAsia="等线"/>
    </w:rPr>
  </w:style>
  <w:style w:type="paragraph" w:styleId="971" w:customStyle="1">
    <w:name w:val="寄信人地址1"/>
    <w:basedOn w:val="716"/>
    <w:uiPriority w:val="99"/>
    <w:unhideWhenUsed/>
    <w:qFormat/>
    <w:rPr>
      <w:rFonts w:ascii="Arial" w:hAnsi="Arial"/>
    </w:rPr>
  </w:style>
  <w:style w:type="paragraph" w:styleId="972" w:customStyle="1">
    <w:name w:val="正文缩进1"/>
    <w:basedOn w:val="716"/>
    <w:uiPriority w:val="0"/>
    <w:unhideWhenUsed/>
    <w:qFormat/>
    <w:pPr>
      <w:ind w:firstLine="420"/>
    </w:pPr>
  </w:style>
  <w:style w:type="paragraph" w:styleId="973" w:customStyle="1">
    <w:name w:val="批注文字1"/>
    <w:basedOn w:val="716"/>
    <w:link w:val="974"/>
    <w:uiPriority w:val="0"/>
    <w:qFormat/>
    <w:pPr>
      <w:jc w:val="left"/>
    </w:pPr>
  </w:style>
  <w:style w:type="character" w:styleId="974" w:customStyle="1">
    <w:name w:val="批注文字 Char"/>
    <w:link w:val="973"/>
    <w:uiPriority w:val="0"/>
    <w:qFormat/>
    <w:rPr>
      <w:rFonts w:ascii="Calibri" w:hAnsi="Calibri"/>
      <w:sz w:val="21"/>
      <w:szCs w:val="22"/>
    </w:rPr>
  </w:style>
  <w:style w:type="paragraph" w:styleId="975" w:customStyle="1">
    <w:name w:val="正文文本11"/>
    <w:basedOn w:val="716"/>
    <w:next w:val="777"/>
    <w:uiPriority w:val="0"/>
    <w:qFormat/>
    <w:rPr>
      <w:rFonts w:ascii="楷体_GB2312" w:hAnsi="Arial" w:eastAsia="楷体_GB2312"/>
      <w:sz w:val="28"/>
      <w:szCs w:val="28"/>
    </w:rPr>
  </w:style>
  <w:style w:type="paragraph" w:styleId="976" w:customStyle="1">
    <w:name w:val="纯文本1"/>
    <w:basedOn w:val="716"/>
    <w:uiPriority w:val="99"/>
    <w:qFormat/>
    <w:rPr>
      <w:rFonts w:ascii="宋体" w:hAnsi="Courier New"/>
      <w:sz w:val="20"/>
      <w:szCs w:val="21"/>
    </w:rPr>
  </w:style>
  <w:style w:type="paragraph" w:styleId="977" w:customStyle="1">
    <w:name w:val="正文文本缩进 21"/>
    <w:basedOn w:val="716"/>
    <w:uiPriority w:val="0"/>
    <w:qFormat/>
    <w:pPr>
      <w:ind w:left="640"/>
      <w:spacing w:after="120" w:line="480" w:lineRule="auto"/>
    </w:pPr>
    <w:rPr>
      <w:rFonts w:eastAsia="仿宋_GB2312"/>
      <w:sz w:val="32"/>
      <w:szCs w:val="28"/>
    </w:rPr>
  </w:style>
  <w:style w:type="paragraph" w:styleId="978" w:customStyle="1">
    <w:name w:val="批注框文本1"/>
    <w:basedOn w:val="716"/>
    <w:link w:val="979"/>
    <w:uiPriority w:val="0"/>
    <w:qFormat/>
    <w:rPr>
      <w:sz w:val="18"/>
      <w:szCs w:val="18"/>
    </w:rPr>
  </w:style>
  <w:style w:type="character" w:styleId="979" w:customStyle="1">
    <w:name w:val="批注框文本 Char"/>
    <w:link w:val="978"/>
    <w:uiPriority w:val="0"/>
    <w:qFormat/>
    <w:rPr>
      <w:sz w:val="18"/>
      <w:szCs w:val="18"/>
    </w:rPr>
  </w:style>
  <w:style w:type="paragraph" w:styleId="980" w:customStyle="1">
    <w:name w:val="页脚1"/>
    <w:basedOn w:val="716"/>
    <w:uiPriority w:val="99"/>
    <w:unhideWhenUsed/>
    <w:qFormat/>
    <w:pPr>
      <w:jc w:val="left"/>
      <w:tabs>
        <w:tab w:val="center" w:pos="4153" w:leader="none"/>
        <w:tab w:val="right" w:pos="8306" w:leader="none"/>
      </w:tabs>
    </w:pPr>
    <w:rPr>
      <w:sz w:val="18"/>
      <w:szCs w:val="18"/>
    </w:rPr>
  </w:style>
  <w:style w:type="paragraph" w:styleId="981" w:customStyle="1">
    <w:name w:val="页眉1"/>
    <w:basedOn w:val="7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
    <w:basedOn w:val="716"/>
    <w:next w:val="716"/>
    <w:uiPriority w:val="39"/>
    <w:unhideWhenUsed/>
    <w:qFormat/>
  </w:style>
  <w:style w:type="paragraph" w:styleId="983" w:customStyle="1">
    <w:name w:val="目录 21"/>
    <w:basedOn w:val="716"/>
    <w:next w:val="716"/>
    <w:uiPriority w:val="0"/>
    <w:qFormat/>
    <w:pPr>
      <w:ind w:left="420"/>
    </w:pPr>
  </w:style>
  <w:style w:type="paragraph" w:styleId="984" w:customStyle="1">
    <w:name w:val="信息标题1"/>
    <w:basedOn w:val="7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5" w:customStyle="1">
    <w:name w:val="普通(网站)1"/>
    <w:basedOn w:val="716"/>
    <w:uiPriority w:val="0"/>
    <w:qFormat/>
    <w:rPr>
      <w:rFonts w:ascii="Times New Roman" w:hAnsi="Times New Roman"/>
      <w:sz w:val="24"/>
    </w:rPr>
  </w:style>
  <w:style w:type="paragraph" w:styleId="986" w:customStyle="1">
    <w:name w:val="批注主题1"/>
    <w:basedOn w:val="973"/>
    <w:next w:val="973"/>
    <w:link w:val="987"/>
    <w:uiPriority w:val="0"/>
    <w:qFormat/>
    <w:rPr>
      <w:b/>
      <w:bCs/>
    </w:rPr>
  </w:style>
  <w:style w:type="character" w:styleId="987" w:customStyle="1">
    <w:name w:val="批注主题 Char"/>
    <w:link w:val="986"/>
    <w:uiPriority w:val="0"/>
    <w:qFormat/>
    <w:rPr>
      <w:rFonts w:ascii="Calibri" w:hAnsi="Calibri"/>
      <w:b/>
      <w:bCs/>
      <w:sz w:val="21"/>
      <w:szCs w:val="22"/>
    </w:rPr>
  </w:style>
  <w:style w:type="paragraph" w:styleId="988" w:customStyle="1">
    <w:name w:val="正文首行缩进 21"/>
    <w:basedOn w:val="970"/>
    <w:next w:val="716"/>
    <w:uiPriority w:val="0"/>
    <w:qFormat/>
    <w:pPr>
      <w:ind w:firstLine="420"/>
      <w:spacing w:before="100" w:beforeAutospacing="1"/>
    </w:pPr>
    <w:rPr>
      <w:rFonts w:ascii="Times New Roman" w:hAnsi="Times New Roman" w:eastAsia="宋体"/>
      <w:sz w:val="20"/>
      <w:szCs w:val="21"/>
    </w:rPr>
  </w:style>
  <w:style w:type="table" w:styleId="989" w:customStyle="1">
    <w:name w:val="网格型1"/>
    <w:basedOn w:val="969"/>
    <w:uiPriority w:val="0"/>
    <w:qFormat/>
    <w:pPr>
      <w:jc w:val="both"/>
      <w:widowControl w:val="off"/>
    </w:pPr>
    <w:tblPr>
      <w:tblCellMar>
        <w:left w:w="0" w:type="dxa"/>
        <w:top w:w="0" w:type="dxa"/>
        <w:right w:w="0" w:type="dxa"/>
        <w:bottom w:w="0" w:type="dxa"/>
      </w:tblCellMar>
    </w:tblPr>
  </w:style>
  <w:style w:type="character" w:styleId="990" w:customStyle="1">
    <w:name w:val="要点1"/>
    <w:uiPriority w:val="0"/>
    <w:qFormat/>
    <w:rPr>
      <w:b/>
    </w:rPr>
  </w:style>
  <w:style w:type="character" w:styleId="991" w:customStyle="1">
    <w:name w:val="强调1"/>
    <w:uiPriority w:val="0"/>
    <w:qFormat/>
    <w:rPr>
      <w:i/>
    </w:rPr>
  </w:style>
  <w:style w:type="character" w:styleId="992" w:customStyle="1">
    <w:name w:val="超链接1"/>
    <w:uiPriority w:val="0"/>
    <w:qFormat/>
    <w:rPr>
      <w:color w:val="0000ff"/>
      <w:u w:val="single"/>
    </w:rPr>
  </w:style>
  <w:style w:type="character" w:styleId="993" w:customStyle="1">
    <w:name w:val="批注引用1"/>
    <w:uiPriority w:val="0"/>
    <w:qFormat/>
    <w:rPr>
      <w:sz w:val="21"/>
      <w:szCs w:val="21"/>
    </w:rPr>
  </w:style>
  <w:style w:type="paragraph" w:styleId="994" w:customStyle="1">
    <w:name w:val="Char"/>
    <w:basedOn w:val="716"/>
    <w:uiPriority w:val="0"/>
    <w:qFormat/>
    <w:pPr>
      <w:ind w:firstLine="200"/>
      <w:tabs>
        <w:tab w:val="left" w:pos="360" w:leader="none"/>
      </w:tabs>
    </w:pPr>
    <w:rPr>
      <w:rFonts w:ascii="Times New Roman" w:hAnsi="Times New Roman"/>
      <w:sz w:val="28"/>
      <w:szCs w:val="30"/>
    </w:rPr>
  </w:style>
  <w:style w:type="paragraph" w:styleId="995" w:customStyle="1">
    <w:name w:val="Table Paragraph"/>
    <w:basedOn w:val="716"/>
    <w:uiPriority w:val="1"/>
    <w:qFormat/>
    <w:rPr>
      <w:rFonts w:ascii="Noto Sans CJK JP Regular" w:hAnsi="Noto Sans CJK JP Regular" w:eastAsia="Noto Sans CJK JP Regular" w:cs="Noto Sans CJK JP Regular"/>
    </w:rPr>
  </w:style>
  <w:style w:type="paragraph" w:styleId="996" w:customStyle="1">
    <w:name w:val="正文（1）"/>
    <w:basedOn w:val="716"/>
    <w:uiPriority w:val="0"/>
    <w:qFormat/>
    <w:pPr>
      <w:numPr>
        <w:ilvl w:val="0"/>
        <w:numId w:val="2"/>
      </w:numPr>
      <w:ind w:firstLine="200"/>
    </w:pPr>
    <w:rPr>
      <w:szCs w:val="24"/>
    </w:rPr>
  </w:style>
  <w:style w:type="paragraph" w:styleId="997" w:customStyle="1">
    <w:name w:val="朱-正文"/>
    <w:basedOn w:val="716"/>
    <w:uiPriority w:val="0"/>
    <w:qFormat/>
    <w:pPr>
      <w:ind w:firstLine="200"/>
    </w:pPr>
    <w:rPr>
      <w:rFonts w:ascii="Times New Roman"/>
      <w:color w:val="000000"/>
      <w:szCs w:val="24"/>
      <w:lang w:val="en-GB"/>
    </w:rPr>
  </w:style>
  <w:style w:type="paragraph" w:styleId="998" w:customStyle="1">
    <w:name w:val="GP正文(首行缩进)"/>
    <w:basedOn w:val="716"/>
    <w:uiPriority w:val="0"/>
    <w:qFormat/>
    <w:pPr>
      <w:ind w:firstLine="480"/>
      <w:jc w:val="left"/>
    </w:pPr>
    <w:rPr>
      <w:rFonts w:ascii="Times New Roman" w:hAnsi="宋体"/>
      <w:sz w:val="24"/>
      <w:szCs w:val="24"/>
    </w:rPr>
  </w:style>
  <w:style w:type="character" w:styleId="999" w:customStyle="1">
    <w:name w:val="font71"/>
    <w:basedOn w:val="726"/>
    <w:uiPriority w:val="0"/>
    <w:qFormat/>
    <w:rPr>
      <w:rFonts w:hint="eastAsia" w:ascii="宋体" w:hAnsi="宋体" w:eastAsia="宋体" w:cs="宋体"/>
      <w:color w:val="ff0000"/>
      <w:sz w:val="21"/>
      <w:szCs w:val="21"/>
      <w:u w:val="none"/>
    </w:rPr>
  </w:style>
  <w:style w:type="character" w:styleId="1000" w:customStyle="1">
    <w:name w:val="font41"/>
    <w:uiPriority w:val="0"/>
    <w:qFormat/>
    <w:rPr>
      <w:rFonts w:hint="eastAsia" w:ascii="宋体" w:hAnsi="宋体" w:eastAsia="宋体" w:cs="宋体"/>
      <w:color w:val="000000"/>
      <w:sz w:val="21"/>
      <w:szCs w:val="21"/>
      <w:u w:val="none"/>
    </w:rPr>
  </w:style>
  <w:style w:type="paragraph" w:styleId="1001" w:customStyle="1">
    <w:name w:val="列出段落"/>
    <w:basedOn w:val="716"/>
    <w:uiPriority w:val="0"/>
    <w:qFormat/>
    <w:pPr>
      <w:ind w:firstLine="420"/>
    </w:pPr>
  </w:style>
  <w:style w:type="paragraph" w:styleId="1002" w:customStyle="1">
    <w:name w:val="列出段落2"/>
    <w:basedOn w:val="716"/>
    <w:uiPriority w:val="34"/>
    <w:qFormat/>
    <w:pPr>
      <w:ind w:firstLine="420"/>
    </w:pPr>
    <w:rPr>
      <w:rFonts w:ascii="宋体"/>
      <w:color w:val="404040"/>
    </w:rPr>
  </w:style>
  <w:style w:type="paragraph" w:styleId="1003" w:customStyle="1">
    <w:name w:val="列表段落1"/>
    <w:basedOn w:val="716"/>
    <w:uiPriority w:val="0"/>
    <w:qFormat/>
    <w:pPr>
      <w:ind w:firstLine="200"/>
    </w:pPr>
    <w:rPr>
      <w:rFonts w:cs="宋体"/>
    </w:rPr>
  </w:style>
  <w:style w:type="character" w:styleId="1004" w:customStyle="1">
    <w:name w:val="font51"/>
    <w:uiPriority w:val="0"/>
    <w:qFormat/>
    <w:rPr>
      <w:rFonts w:hint="eastAsia" w:ascii="宋体" w:hAnsi="宋体" w:eastAsia="宋体" w:cs="宋体"/>
      <w:color w:val="000000"/>
      <w:sz w:val="24"/>
      <w:szCs w:val="24"/>
      <w:u w:val="none"/>
      <w:vertAlign w:val="subscript"/>
    </w:rPr>
  </w:style>
  <w:style w:type="character" w:styleId="1005" w:customStyle="1">
    <w:name w:val="font61"/>
    <w:basedOn w:val="726"/>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81"/>
    <w:uiPriority w:val="0"/>
    <w:qFormat/>
    <w:rPr>
      <w:rFonts w:ascii="微软雅黑" w:hAnsi="微软雅黑" w:eastAsia="微软雅黑" w:cs="微软雅黑"/>
      <w:color w:val="000000"/>
      <w:sz w:val="24"/>
      <w:szCs w:val="24"/>
      <w:u w:val="none"/>
    </w:rPr>
  </w:style>
  <w:style w:type="character" w:styleId="1008" w:customStyle="1">
    <w:name w:val="font91"/>
    <w:basedOn w:val="726"/>
    <w:uiPriority w:val="0"/>
    <w:qFormat/>
    <w:rPr>
      <w:rFonts w:ascii="Segoe UI Symbol" w:hAnsi="Segoe UI Symbol" w:eastAsia="Segoe UI Symbol" w:cs="Segoe UI Symbol"/>
      <w:color w:val="000000"/>
      <w:sz w:val="24"/>
      <w:szCs w:val="24"/>
      <w:u w:val="none"/>
    </w:rPr>
  </w:style>
  <w:style w:type="character" w:styleId="1009" w:customStyle="1">
    <w:name w:val="font101"/>
    <w:uiPriority w:val="0"/>
    <w:qFormat/>
    <w:rPr>
      <w:rFonts w:ascii="Calibri" w:hAnsi="Calibri" w:cs="Calibri"/>
      <w:color w:val="000000"/>
      <w:sz w:val="24"/>
      <w:szCs w:val="24"/>
      <w:u w:val="none"/>
    </w:rPr>
  </w:style>
  <w:style w:type="paragraph" w:styleId="1010"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1" w:customStyle="1">
    <w:name w:val="TableEmphasis"/>
    <w:basedOn w:val="716"/>
    <w:uiPriority w:val="0"/>
    <w:qFormat/>
    <w:rPr>
      <w:rFonts w:ascii="Times New Roman" w:hAnsi="Times New Roman" w:eastAsia="Times New Roman"/>
      <w:b/>
      <w:bCs/>
      <w:color w:val="3333ff"/>
      <w:sz w:val="16"/>
      <w:szCs w:val="18"/>
    </w:rPr>
  </w:style>
  <w:style w:type="paragraph" w:styleId="1012" w:customStyle="1">
    <w:name w:val="修订1"/>
    <w:uiPriority w:val="99"/>
    <w:unhideWhenUsed/>
    <w:qFormat/>
    <w:rPr>
      <w:rFonts w:hint="default" w:ascii="Calibri" w:hAnsi="Calibri" w:eastAsia="宋体" w:cs="Times New Roman"/>
      <w:sz w:val="21"/>
      <w:szCs w:val="22"/>
      <w:lang w:val="en-US" w:eastAsia="zh-CN" w:bidi="ar-SA"/>
    </w:rPr>
  </w:style>
  <w:style w:type="paragraph" w:styleId="1013" w:customStyle="1">
    <w:name w:val="修订2"/>
    <w:uiPriority w:val="99"/>
    <w:semiHidden/>
    <w:qFormat/>
    <w:rPr>
      <w:rFonts w:hint="default" w:ascii="Calibri" w:hAnsi="Calibri" w:eastAsia="宋体" w:cs="Times New Roman"/>
      <w:sz w:val="21"/>
      <w:szCs w:val="22"/>
      <w:lang w:val="en-US" w:eastAsia="zh-CN" w:bidi="ar-SA"/>
    </w:rPr>
  </w:style>
  <w:style w:type="character" w:styleId="1014" w:customStyle="1">
    <w:name w:val="font11"/>
    <w:uiPriority w:val="0"/>
    <w:qFormat/>
    <w:rPr>
      <w:rFonts w:hint="eastAsia" w:ascii="宋体" w:hAnsi="宋体" w:eastAsia="宋体" w:cs="宋体"/>
      <w:color w:val="000000"/>
      <w:sz w:val="24"/>
      <w:szCs w:val="24"/>
      <w:u w:val="none"/>
    </w:rPr>
  </w:style>
  <w:style w:type="character" w:styleId="1015" w:customStyle="1">
    <w:name w:val="font21"/>
    <w:uiPriority w:val="0"/>
    <w:qFormat/>
    <w:rPr>
      <w:rFonts w:ascii="Segoe UI Symbol" w:hAnsi="Segoe UI Symbol" w:eastAsia="Segoe UI Symbol" w:cs="Segoe UI Symbol"/>
      <w:color w:val="000000"/>
      <w:sz w:val="24"/>
      <w:szCs w:val="24"/>
      <w:u w:val="none"/>
    </w:rPr>
  </w:style>
  <w:style w:type="character" w:styleId="1016" w:customStyle="1">
    <w:name w:val="NormalCharacter1"/>
    <w:uiPriority w:val="0"/>
    <w:semiHidden/>
    <w:qFormat/>
  </w:style>
  <w:style w:type="character" w:styleId="1017" w:customStyle="1">
    <w:name w:val="font31"/>
    <w:uiPriority w:val="0"/>
    <w:qFormat/>
    <w:rPr>
      <w:rFonts w:hint="eastAsia" w:ascii="宋体" w:hAnsi="宋体" w:eastAsia="宋体" w:cs="宋体"/>
      <w:color w:val="000000"/>
      <w:sz w:val="21"/>
      <w:szCs w:val="21"/>
      <w:u w:val="none"/>
    </w:rPr>
  </w:style>
  <w:style w:type="paragraph" w:styleId="1018" w:customStyle="1">
    <w:name w:val="无间隔1"/>
    <w:uiPriority w:val="1"/>
    <w:qFormat/>
    <w:rPr>
      <w:rFonts w:hint="default" w:ascii="Times New Roman" w:hAnsi="Times New Roman" w:eastAsia="宋体" w:cs="Times New Roman"/>
      <w:lang w:val="en-US" w:eastAsia="zh-CN" w:bidi="ar-SA"/>
    </w:rPr>
  </w:style>
  <w:style w:type="paragraph" w:styleId="1019" w:customStyle="1">
    <w:name w:val="索引 41"/>
    <w:basedOn w:val="716"/>
    <w:next w:val="716"/>
    <w:uiPriority w:val="99"/>
    <w:unhideWhenUsed/>
    <w:qFormat/>
    <w:pPr>
      <w:ind w:left="600"/>
    </w:pPr>
    <w:rPr>
      <w:rFonts w:ascii="Verdana" w:hAnsi="Verdana" w:eastAsia="微软雅黑"/>
      <w:szCs w:val="20"/>
    </w:rPr>
  </w:style>
  <w:style w:type="paragraph" w:styleId="1020" w:customStyle="1">
    <w:name w:val="样式 宋体 加粗 居中"/>
    <w:basedOn w:val="716"/>
    <w:uiPriority w:val="0"/>
    <w:qFormat/>
    <w:pPr>
      <w:jc w:val="center"/>
    </w:pPr>
    <w:rPr>
      <w:rFonts w:ascii="宋体" w:hAnsi="宋体" w:cs="宋体"/>
      <w:b/>
      <w:bCs/>
      <w:sz w:val="32"/>
      <w:szCs w:val="20"/>
    </w:rPr>
  </w:style>
  <w:style w:type="character" w:styleId="1021" w:customStyle="1">
    <w:name w:val="font151"/>
    <w:basedOn w:val="726"/>
    <w:uiPriority w:val="0"/>
    <w:qFormat/>
    <w:rPr>
      <w:rFonts w:hint="eastAsia" w:ascii="宋体" w:hAnsi="宋体" w:eastAsia="宋体" w:cs="宋体"/>
      <w:color w:val="000000"/>
      <w:sz w:val="24"/>
      <w:szCs w:val="24"/>
      <w:u w:val="none"/>
    </w:rPr>
  </w:style>
  <w:style w:type="character" w:styleId="1022" w:customStyle="1">
    <w:name w:val="font161"/>
    <w:basedOn w:val="726"/>
    <w:uiPriority w:val="0"/>
    <w:qFormat/>
    <w:rPr>
      <w:rFonts w:hint="eastAsia" w:ascii="宋体" w:hAnsi="宋体" w:eastAsia="宋体" w:cs="宋体"/>
      <w:color w:val="000000"/>
      <w:sz w:val="24"/>
      <w:szCs w:val="24"/>
      <w:u w:val="none"/>
    </w:rPr>
  </w:style>
  <w:style w:type="character" w:styleId="1023" w:customStyle="1">
    <w:name w:val="font171"/>
    <w:basedOn w:val="726"/>
    <w:uiPriority w:val="0"/>
    <w:qFormat/>
    <w:rPr>
      <w:rFonts w:hint="eastAsia" w:ascii="宋体" w:hAnsi="宋体" w:eastAsia="宋体" w:cs="宋体"/>
      <w:color w:val="000000"/>
      <w:sz w:val="24"/>
      <w:szCs w:val="24"/>
      <w:u w:val="none"/>
    </w:rPr>
  </w:style>
  <w:style w:type="table" w:styleId="1024" w:customStyle="1">
    <w:name w:val="Table Normal"/>
    <w:uiPriority w:val="2"/>
    <w:semiHidden/>
    <w:unhideWhenUsed/>
    <w:qFormat/>
    <w:tblPr>
      <w:tblCellMar>
        <w:left w:w="0" w:type="dxa"/>
        <w:top w:w="0" w:type="dxa"/>
        <w:right w:w="0" w:type="dxa"/>
        <w:bottom w:w="0" w:type="dxa"/>
      </w:tblCellMar>
    </w:tbl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李韦林</cp:lastModifiedBy>
  <cp:revision>20</cp:revision>
  <dcterms:created xsi:type="dcterms:W3CDTF">2024-08-07T07:47:00Z</dcterms:created>
  <dcterms:modified xsi:type="dcterms:W3CDTF">2026-07-24T03:29:00Z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7011065134A241F49FD5B8536458CE5E_13</vt:lpwstr>
  </property>
  <property fmtid="{D5CDD505-2E9C-101B-9397-08002B2CF9AE}" pid="4" name="KSOTemplateDocerSaveRecord">
    <vt:lpwstr>eyJoZGlkIjoiOTY1NTIxNDIxNWZhYzI4OWJjZDYwMTNjNTkwZGQ5N2UiLCJ1c2VySWQiOiIyMjY3NTcyNjEifQ==</vt:lpwstr>
  </property>
</Properties>
</file>