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spacing w:line="360" w:lineRule="auto"/>
        <w:rPr>
          <w:rFonts w:ascii="宋体" w:hAnsi="宋体" w:eastAsia="宋体" w:cs="宋体"/>
          <w:bCs/>
          <w:sz w:val="24"/>
          <w:szCs w:val="24"/>
        </w:rPr>
      </w:pPr>
      <w:r>
        <w:rPr>
          <w:rFonts w:ascii="宋体" w:hAnsi="宋体" w:eastAsia="宋体" w:cs="宋体"/>
          <w:bCs/>
          <w:sz w:val="24"/>
          <w:szCs w:val="24"/>
        </w:rPr>
      </w:r>
      <w:r/>
    </w:p>
    <w:p>
      <w:pPr>
        <w:ind w:firstLine="482"/>
        <w:spacing w:line="360" w:lineRule="auto"/>
        <w:rPr>
          <w:rFonts w:ascii="宋体" w:hAnsi="宋体" w:eastAsia="宋体" w:cs="宋体"/>
          <w:bCs/>
          <w:sz w:val="24"/>
          <w:szCs w:val="24"/>
        </w:rPr>
      </w:pPr>
      <w:r>
        <w:rPr>
          <w:rFonts w:ascii="宋体" w:hAnsi="宋体" w:eastAsia="宋体" w:cs="宋体"/>
          <w:bCs/>
          <w:sz w:val="24"/>
          <w:szCs w:val="24"/>
        </w:rPr>
      </w:r>
      <w:r/>
    </w:p>
    <w:p>
      <w:pPr>
        <w:ind w:firstLine="482"/>
        <w:spacing w:line="360" w:lineRule="auto"/>
        <w:rPr>
          <w:rFonts w:ascii="宋体" w:hAnsi="宋体" w:eastAsia="宋体" w:cs="宋体"/>
          <w:bCs/>
          <w:sz w:val="24"/>
          <w:szCs w:val="24"/>
        </w:rPr>
      </w:pPr>
      <w:r>
        <w:rPr>
          <w:rFonts w:ascii="宋体" w:hAnsi="宋体" w:eastAsia="宋体" w:cs="宋体"/>
          <w:bCs/>
          <w:sz w:val="24"/>
          <w:szCs w:val="24"/>
        </w:rPr>
      </w:r>
      <w:r/>
    </w:p>
    <w:p>
      <w:pPr>
        <w:ind w:firstLine="1687"/>
        <w:spacing w:line="360" w:lineRule="auto"/>
        <w:rPr>
          <w:rFonts w:ascii="宋体" w:hAnsi="宋体" w:eastAsia="宋体" w:cs="宋体"/>
          <w:bCs/>
          <w:sz w:val="84"/>
          <w:szCs w:val="84"/>
        </w:rPr>
      </w:pPr>
      <w:r>
        <w:rPr>
          <w:rFonts w:hint="eastAsia" w:ascii="宋体" w:hAnsi="宋体" w:eastAsia="宋体" w:cs="宋体"/>
          <w:bCs/>
          <w:sz w:val="84"/>
          <w:szCs w:val="84"/>
        </w:rPr>
        <w:t xml:space="preserve">苏州市政府采购</w:t>
      </w:r>
      <w:r/>
    </w:p>
    <w:p>
      <w:pPr>
        <w:ind w:firstLine="1687"/>
        <w:spacing w:line="360" w:lineRule="auto"/>
        <w:rPr>
          <w:rFonts w:ascii="宋体" w:hAnsi="宋体" w:eastAsia="宋体" w:cs="宋体"/>
          <w:bCs/>
          <w:sz w:val="32"/>
          <w:szCs w:val="32"/>
        </w:rPr>
      </w:pPr>
      <w:r>
        <w:rPr>
          <w:rFonts w:hint="eastAsia" w:ascii="宋体" w:hAnsi="宋体" w:eastAsia="宋体" w:cs="宋体"/>
          <w:bCs/>
          <w:sz w:val="84"/>
          <w:szCs w:val="84"/>
        </w:rPr>
        <w:t xml:space="preserve">竞争性磋商文件</w:t>
      </w:r>
      <w:r/>
    </w:p>
    <w:p>
      <w:pPr>
        <w:ind w:firstLine="643"/>
        <w:jc w:val="center"/>
        <w:spacing w:line="360" w:lineRule="auto"/>
        <w:rPr>
          <w:rFonts w:ascii="宋体" w:hAnsi="宋体" w:eastAsia="宋体" w:cs="宋体"/>
          <w:bCs/>
          <w:sz w:val="32"/>
          <w:szCs w:val="32"/>
        </w:rPr>
      </w:pPr>
      <w:r>
        <w:rPr>
          <w:rFonts w:ascii="宋体" w:hAnsi="宋体" w:eastAsia="宋体" w:cs="宋体"/>
          <w:bCs/>
          <w:sz w:val="32"/>
          <w:szCs w:val="32"/>
        </w:rPr>
      </w:r>
      <w:r/>
    </w:p>
    <w:p>
      <w:pPr>
        <w:jc w:val="center"/>
        <w:spacing w:line="360" w:lineRule="auto"/>
        <w:rPr>
          <w:rFonts w:ascii="宋体" w:hAnsi="宋体" w:eastAsia="宋体" w:cs="宋体"/>
          <w:bCs/>
          <w:sz w:val="21"/>
          <w:szCs w:val="21"/>
          <w:lang w:val="zh-CN"/>
        </w:rPr>
      </w:pPr>
      <w:r>
        <w:rPr>
          <w:rFonts w:ascii="宋体" w:hAnsi="宋体" w:eastAsia="宋体" w:cs="宋体"/>
          <w:bCs/>
          <w:sz w:val="21"/>
          <w:szCs w:val="21"/>
          <w:lang w:val="zh-CN"/>
        </w:rPr>
      </w:r>
      <w:r/>
    </w:p>
    <w:p>
      <w:pPr>
        <w:pStyle w:val="756"/>
        <w:rPr>
          <w:lang w:val="zh-CN"/>
        </w:rPr>
      </w:pPr>
      <w:r>
        <w:rPr>
          <w:lang w:val="zh-CN"/>
        </w:rPr>
      </w:r>
      <w:r/>
    </w:p>
    <w:p>
      <w:pPr>
        <w:jc w:val="center"/>
        <w:spacing w:line="360" w:lineRule="auto"/>
        <w:rPr>
          <w:rFonts w:ascii="宋体" w:hAnsi="宋体" w:eastAsia="宋体" w:cs="宋体"/>
          <w:bCs/>
          <w:sz w:val="21"/>
          <w:szCs w:val="21"/>
          <w:lang w:val="zh-CN"/>
        </w:rPr>
      </w:pPr>
      <w:r>
        <w:rPr>
          <w:rFonts w:ascii="宋体" w:hAnsi="宋体" w:eastAsia="宋体" w:cs="宋体"/>
          <w:bCs/>
          <w:sz w:val="21"/>
          <w:szCs w:val="21"/>
          <w:lang w:val="zh-CN"/>
        </w:rPr>
      </w:r>
      <w:r/>
    </w:p>
    <w:p>
      <w:pPr>
        <w:ind w:firstLine="643"/>
        <w:spacing w:line="360" w:lineRule="auto"/>
        <w:rPr>
          <w:rFonts w:ascii="宋体" w:hAnsi="宋体" w:eastAsia="宋体" w:cs="宋体"/>
          <w:bCs/>
          <w:sz w:val="32"/>
          <w:szCs w:val="32"/>
          <w:lang w:val="zh-CN"/>
        </w:rPr>
      </w:pPr>
      <w:r>
        <w:rPr>
          <w:rFonts w:ascii="宋体" w:hAnsi="宋体" w:eastAsia="宋体" w:cs="宋体"/>
          <w:bCs/>
          <w:sz w:val="32"/>
          <w:szCs w:val="32"/>
          <w:lang w:val="zh-CN"/>
        </w:rPr>
      </w:r>
      <w:r/>
    </w:p>
    <w:p>
      <w:pPr>
        <w:ind w:firstLine="643"/>
        <w:spacing w:line="360" w:lineRule="auto"/>
        <w:rPr>
          <w:rFonts w:ascii="宋体" w:hAnsi="宋体" w:eastAsia="宋体" w:cs="宋体"/>
          <w:bCs/>
          <w:sz w:val="32"/>
          <w:szCs w:val="32"/>
        </w:rPr>
      </w:pPr>
      <w:r>
        <w:rPr>
          <w:rFonts w:hint="eastAsia" w:ascii="宋体" w:hAnsi="宋体" w:eastAsia="宋体" w:cs="宋体"/>
          <w:bCs/>
          <w:sz w:val="32"/>
          <w:szCs w:val="32"/>
        </w:rPr>
        <w:t xml:space="preserve">采 购 人：苏州市相城区公路事业发展中心</w:t>
      </w:r>
      <w:r/>
    </w:p>
    <w:p>
      <w:pPr>
        <w:ind w:firstLine="643"/>
        <w:spacing w:line="360" w:lineRule="auto"/>
        <w:rPr>
          <w:rFonts w:hint="eastAsia" w:ascii="宋体" w:hAnsi="宋体" w:eastAsia="宋体" w:cs="宋体"/>
          <w:bCs/>
          <w:sz w:val="32"/>
          <w:szCs w:val="32"/>
          <w:lang w:eastAsia="zh-CN"/>
        </w:rPr>
      </w:pPr>
      <w:r>
        <w:rPr>
          <w:rFonts w:hint="eastAsia" w:ascii="宋体" w:hAnsi="宋体" w:eastAsia="宋体" w:cs="宋体"/>
          <w:bCs/>
          <w:sz w:val="32"/>
          <w:szCs w:val="32"/>
        </w:rPr>
        <w:t xml:space="preserve">采购编号：</w:t>
      </w:r>
      <w:r>
        <w:rPr>
          <w:rFonts w:hint="eastAsia" w:ascii="宋体" w:hAnsi="宋体" w:eastAsia="宋体" w:cs="宋体"/>
          <w:bCs/>
          <w:sz w:val="32"/>
          <w:szCs w:val="32"/>
          <w:lang w:eastAsia="zh-CN"/>
        </w:rPr>
        <w:t xml:space="preserve">JSZC-320507-DCZX-C2026-0030</w:t>
      </w:r>
      <w:r/>
    </w:p>
    <w:p>
      <w:pPr>
        <w:ind w:firstLine="640"/>
        <w:spacing w:line="360" w:lineRule="auto"/>
        <w:rPr>
          <w:rFonts w:ascii="宋体" w:hAnsi="宋体" w:eastAsia="宋体" w:cs="宋体"/>
          <w:bCs/>
          <w:sz w:val="32"/>
          <w:szCs w:val="32"/>
        </w:rPr>
      </w:pPr>
      <w:r>
        <w:rPr>
          <w:rFonts w:hint="eastAsia" w:ascii="宋体" w:hAnsi="宋体" w:eastAsia="宋体" w:cs="宋体"/>
          <w:bCs/>
          <w:sz w:val="32"/>
          <w:szCs w:val="32"/>
        </w:rPr>
        <w:t xml:space="preserve">采购项目：相城区区管道路、楼宇、公园景观灯维护项目</w:t>
      </w:r>
      <w:r/>
    </w:p>
    <w:p>
      <w:pPr>
        <w:ind w:firstLine="643"/>
        <w:spacing w:line="360" w:lineRule="auto"/>
        <w:rPr>
          <w:rFonts w:ascii="宋体" w:hAnsi="宋体" w:eastAsia="宋体" w:cs="宋体"/>
          <w:bCs/>
          <w:sz w:val="32"/>
          <w:szCs w:val="32"/>
        </w:rPr>
      </w:pPr>
      <w:r>
        <w:rPr>
          <w:rFonts w:hint="eastAsia" w:ascii="宋体" w:hAnsi="宋体" w:eastAsia="宋体" w:cs="宋体"/>
          <w:bCs/>
          <w:sz w:val="32"/>
          <w:szCs w:val="32"/>
        </w:rPr>
        <w:t xml:space="preserve">采购类别：服务类</w:t>
      </w:r>
      <w:r/>
    </w:p>
    <w:p>
      <w:pPr>
        <w:ind w:firstLine="562"/>
        <w:jc w:val="center"/>
        <w:spacing w:line="360" w:lineRule="auto"/>
        <w:rPr>
          <w:rFonts w:ascii="宋体" w:hAnsi="宋体" w:eastAsia="宋体" w:cs="宋体"/>
          <w:bCs/>
          <w:sz w:val="28"/>
          <w:szCs w:val="28"/>
        </w:rPr>
      </w:pPr>
      <w:r>
        <w:rPr>
          <w:rFonts w:ascii="宋体" w:hAnsi="宋体" w:eastAsia="宋体" w:cs="宋体"/>
          <w:bCs/>
          <w:sz w:val="28"/>
          <w:szCs w:val="28"/>
        </w:rPr>
      </w:r>
      <w:r/>
    </w:p>
    <w:p>
      <w:pPr>
        <w:ind w:firstLine="562"/>
        <w:jc w:val="center"/>
        <w:spacing w:line="360" w:lineRule="auto"/>
        <w:rPr>
          <w:rFonts w:ascii="宋体" w:hAnsi="宋体" w:eastAsia="宋体" w:cs="宋体"/>
          <w:bCs/>
          <w:sz w:val="28"/>
          <w:szCs w:val="28"/>
        </w:rPr>
      </w:pPr>
      <w:r>
        <w:rPr>
          <w:rFonts w:ascii="宋体" w:hAnsi="宋体" w:eastAsia="宋体" w:cs="宋体"/>
          <w:bCs/>
          <w:sz w:val="28"/>
          <w:szCs w:val="28"/>
        </w:rPr>
      </w:r>
      <w:r/>
    </w:p>
    <w:p>
      <w:pPr>
        <w:ind w:firstLine="562"/>
        <w:jc w:val="center"/>
        <w:spacing w:line="360" w:lineRule="auto"/>
        <w:rPr>
          <w:rFonts w:ascii="宋体" w:hAnsi="宋体" w:eastAsia="宋体" w:cs="宋体"/>
          <w:bCs/>
          <w:sz w:val="28"/>
          <w:szCs w:val="28"/>
        </w:rPr>
      </w:pPr>
      <w:r>
        <w:rPr>
          <w:rFonts w:ascii="宋体" w:hAnsi="宋体" w:eastAsia="宋体" w:cs="宋体"/>
          <w:bCs/>
          <w:sz w:val="28"/>
          <w:szCs w:val="28"/>
        </w:rPr>
      </w:r>
      <w:r/>
    </w:p>
    <w:p>
      <w:pPr>
        <w:ind w:firstLine="643"/>
        <w:jc w:val="center"/>
        <w:spacing w:line="360" w:lineRule="auto"/>
        <w:rPr>
          <w:rFonts w:ascii="宋体" w:hAnsi="宋体" w:eastAsia="宋体" w:cs="宋体"/>
          <w:bCs/>
          <w:sz w:val="32"/>
          <w:szCs w:val="32"/>
        </w:rPr>
      </w:pPr>
      <w:r>
        <w:rPr>
          <w:rFonts w:hint="eastAsia" w:ascii="宋体" w:hAnsi="宋体" w:eastAsia="宋体" w:cs="宋体"/>
          <w:bCs/>
          <w:sz w:val="32"/>
          <w:szCs w:val="32"/>
        </w:rPr>
        <w:t xml:space="preserve">江苏大成工程咨询有限公司</w:t>
      </w:r>
      <w:r/>
    </w:p>
    <w:p>
      <w:pPr>
        <w:ind w:firstLine="643"/>
        <w:jc w:val="center"/>
        <w:spacing w:line="360" w:lineRule="auto"/>
        <w:rPr>
          <w:rFonts w:ascii="宋体" w:hAnsi="宋体" w:eastAsia="宋体" w:cs="宋体"/>
          <w:bCs/>
          <w:sz w:val="32"/>
          <w:szCs w:val="32"/>
        </w:rPr>
        <w:sectPr>
          <w:headerReference w:type="default" r:id="rId9"/>
          <w:footerReference w:type="default" r:id="rId12"/>
          <w:footnotePr/>
          <w:endnotePr/>
          <w:type w:val="nextPage"/>
          <w:pgSz w:w="11906" w:h="16838" w:orient="portrait"/>
          <w:pgMar w:top="1134" w:right="1134" w:bottom="1134" w:left="1134" w:header="851" w:footer="567" w:gutter="0"/>
          <w:pgNumType w:start="0"/>
          <w:cols w:num="1" w:sep="0" w:space="720" w:equalWidth="1"/>
          <w:docGrid w:linePitch="360"/>
          <w:titlePg/>
        </w:sectPr>
      </w:pPr>
      <w:r>
        <w:rPr>
          <w:rFonts w:hint="eastAsia" w:ascii="宋体" w:hAnsi="宋体" w:eastAsia="宋体" w:cs="宋体"/>
          <w:bCs/>
          <w:sz w:val="32"/>
          <w:szCs w:val="32"/>
        </w:rPr>
        <w:t xml:space="preserve">2026年7月</w:t>
      </w:r>
      <w:r/>
    </w:p>
    <w:p>
      <w:pPr>
        <w:pStyle w:val="741"/>
        <w:ind w:firstLine="1044"/>
        <w:jc w:val="center"/>
        <w:spacing w:line="360" w:lineRule="auto"/>
        <w:rPr>
          <w:rFonts w:ascii="宋体" w:hAnsi="宋体" w:eastAsia="宋体" w:cs="宋体"/>
          <w:bCs/>
          <w:sz w:val="52"/>
          <w:szCs w:val="52"/>
        </w:rPr>
      </w:pPr>
      <w:r>
        <w:rPr>
          <w:rFonts w:ascii="宋体" w:hAnsi="宋体" w:eastAsia="宋体" w:cs="宋体"/>
          <w:bCs/>
          <w:sz w:val="52"/>
          <w:szCs w:val="52"/>
        </w:rPr>
      </w:r>
      <w:r/>
    </w:p>
    <w:p>
      <w:pPr>
        <w:pStyle w:val="741"/>
        <w:ind w:firstLine="1044"/>
        <w:jc w:val="center"/>
        <w:spacing w:line="360" w:lineRule="auto"/>
        <w:rPr>
          <w:rFonts w:ascii="宋体" w:hAnsi="宋体" w:eastAsia="宋体" w:cs="宋体"/>
          <w:bCs/>
          <w:sz w:val="52"/>
          <w:szCs w:val="52"/>
        </w:rPr>
      </w:pPr>
      <w:r>
        <w:rPr>
          <w:rFonts w:hint="eastAsia" w:ascii="宋体" w:hAnsi="宋体" w:eastAsia="宋体" w:cs="宋体"/>
          <w:bCs/>
          <w:sz w:val="52"/>
          <w:szCs w:val="52"/>
        </w:rPr>
        <w:t xml:space="preserve">目录</w:t>
      </w:r>
      <w:r/>
    </w:p>
    <w:p>
      <w:pPr>
        <w:pStyle w:val="741"/>
        <w:ind w:firstLine="643"/>
        <w:jc w:val="center"/>
        <w:spacing w:line="360" w:lineRule="auto"/>
        <w:rPr>
          <w:rFonts w:ascii="宋体" w:hAnsi="宋体" w:eastAsia="宋体" w:cs="宋体"/>
          <w:bCs/>
          <w:sz w:val="32"/>
          <w:szCs w:val="32"/>
        </w:rPr>
      </w:pPr>
      <w:r>
        <w:rPr>
          <w:rFonts w:ascii="宋体" w:hAnsi="宋体" w:eastAsia="宋体" w:cs="宋体"/>
          <w:bCs/>
          <w:sz w:val="32"/>
          <w:szCs w:val="32"/>
        </w:rPr>
      </w:r>
      <w:r/>
    </w:p>
    <w:sdt>
      <w:sdtPr>
        <w15:appearance w15:val="boundingBox"/>
        <w:id w:val="1683778141"/>
        <w:docPartObj>
          <w:docPartGallery w:val="Table of Contents"/>
          <w:docPartUnique w:val="true"/>
        </w:docPartObj>
        <w:rPr>
          <w:rFonts w:hint="eastAsia" w:ascii="宋体" w:hAnsi="宋体" w:eastAsia="宋体" w:cs="宋体"/>
        </w:rPr>
      </w:sdtPr>
      <w:sdtContent>
        <w:p>
          <w:pPr>
            <w:pStyle w:val="749"/>
            <w:ind w:firstLine="482"/>
            <w:keepLines w:val="0"/>
            <w:keepNext w:val="0"/>
            <w:pageBreakBefore w:val="0"/>
            <w:spacing w:line="480" w:lineRule="auto"/>
            <w:widowControl w:val="off"/>
            <w:rPr>
              <w:rFonts w:ascii="宋体" w:hAnsi="宋体" w:eastAsia="宋体" w:cs="宋体"/>
              <w:bCs/>
              <w:sz w:val="32"/>
              <w:szCs w:val="32"/>
            </w:rPr>
          </w:pPr>
          <w:r>
            <w:rPr>
              <w:rFonts w:hint="eastAsia" w:ascii="宋体" w:hAnsi="宋体" w:eastAsia="宋体" w:cs="宋体"/>
              <w:lang w:val="en-US" w:eastAsia="zh-CN"/>
            </w:rPr>
            <w:t xml:space="preserve"> </w:t>
          </w:r>
          <w:r>
            <w:rPr>
              <w:rFonts w:hint="eastAsia" w:ascii="宋体" w:hAnsi="宋体" w:eastAsia="宋体" w:cs="宋体"/>
            </w:rPr>
            <w:fldChar w:fldCharType="begin"/>
          </w:r>
          <w:r>
            <w:rPr>
              <w:rFonts w:hint="eastAsia" w:ascii="宋体" w:hAnsi="宋体" w:eastAsia="宋体" w:cs="宋体"/>
              <w:bCs/>
              <w:sz w:val="32"/>
              <w:szCs w:val="32"/>
            </w:rPr>
            <w:instrText xml:space="preserve">TOC \o "1-1"</w:instrText>
          </w:r>
          <w:r>
            <w:rPr>
              <w:rFonts w:hint="eastAsia" w:ascii="宋体" w:hAnsi="宋体" w:eastAsia="宋体" w:cs="宋体"/>
              <w:bCs/>
              <w:sz w:val="32"/>
              <w:szCs w:val="32"/>
            </w:rPr>
            <w:fldChar w:fldCharType="separate"/>
          </w:r>
          <w:r>
            <w:rPr>
              <w:rFonts w:hint="eastAsia" w:ascii="宋体" w:hAnsi="宋体" w:eastAsia="宋体" w:cs="宋体"/>
              <w:bCs/>
              <w:sz w:val="32"/>
              <w:szCs w:val="32"/>
            </w:rPr>
            <w:t xml:space="preserve">第一章竞争性磋商公告</w:t>
          </w:r>
          <w:r/>
        </w:p>
        <w:p>
          <w:pPr>
            <w:pStyle w:val="749"/>
            <w:ind w:firstLine="643"/>
            <w:keepLines w:val="0"/>
            <w:keepNext w:val="0"/>
            <w:pageBreakBefore w:val="0"/>
            <w:spacing w:line="480" w:lineRule="auto"/>
            <w:widowControl w:val="off"/>
            <w:rPr>
              <w:rFonts w:ascii="宋体" w:hAnsi="宋体" w:eastAsia="宋体" w:cs="宋体"/>
              <w:bCs/>
              <w:sz w:val="32"/>
              <w:szCs w:val="32"/>
            </w:rPr>
          </w:pPr>
          <w:r>
            <w:rPr>
              <w:rFonts w:hint="eastAsia" w:ascii="宋体" w:hAnsi="宋体" w:eastAsia="宋体" w:cs="宋体"/>
              <w:bCs/>
              <w:sz w:val="32"/>
              <w:szCs w:val="32"/>
            </w:rPr>
            <w:t xml:space="preserve">第二章采购基本要求</w:t>
          </w:r>
          <w:r/>
        </w:p>
        <w:p>
          <w:pPr>
            <w:pStyle w:val="749"/>
            <w:ind w:firstLine="643"/>
            <w:keepLines w:val="0"/>
            <w:keepNext w:val="0"/>
            <w:pageBreakBefore w:val="0"/>
            <w:spacing w:line="480" w:lineRule="auto"/>
            <w:widowControl w:val="off"/>
            <w:rPr>
              <w:rFonts w:ascii="宋体" w:hAnsi="宋体" w:eastAsia="宋体" w:cs="宋体"/>
              <w:bCs/>
              <w:sz w:val="32"/>
              <w:szCs w:val="32"/>
            </w:rPr>
          </w:pPr>
          <w:r>
            <w:rPr>
              <w:rFonts w:hint="eastAsia" w:ascii="宋体" w:hAnsi="宋体" w:eastAsia="宋体" w:cs="宋体"/>
              <w:bCs/>
              <w:sz w:val="32"/>
              <w:szCs w:val="32"/>
            </w:rPr>
            <w:t xml:space="preserve">第三章响应文件格式</w:t>
          </w:r>
          <w:r/>
        </w:p>
        <w:p>
          <w:pPr>
            <w:pStyle w:val="749"/>
            <w:ind w:firstLine="643"/>
            <w:keepLines w:val="0"/>
            <w:keepNext w:val="0"/>
            <w:pageBreakBefore w:val="0"/>
            <w:spacing w:line="480" w:lineRule="auto"/>
            <w:widowControl w:val="off"/>
            <w:rPr>
              <w:rFonts w:ascii="宋体" w:hAnsi="宋体" w:eastAsia="宋体" w:cs="宋体"/>
              <w:bCs/>
              <w:sz w:val="32"/>
              <w:szCs w:val="32"/>
            </w:rPr>
          </w:pPr>
          <w:r>
            <w:rPr>
              <w:rFonts w:hint="eastAsia" w:ascii="宋体" w:hAnsi="宋体" w:eastAsia="宋体" w:cs="宋体"/>
              <w:bCs/>
              <w:sz w:val="32"/>
              <w:szCs w:val="32"/>
            </w:rPr>
            <w:t xml:space="preserve">第四章采购需求</w:t>
          </w:r>
          <w:r/>
        </w:p>
        <w:p>
          <w:pPr>
            <w:pStyle w:val="749"/>
            <w:ind w:firstLine="643"/>
            <w:keepLines w:val="0"/>
            <w:keepNext w:val="0"/>
            <w:pageBreakBefore w:val="0"/>
            <w:spacing w:line="480" w:lineRule="auto"/>
            <w:widowControl w:val="off"/>
            <w:rPr>
              <w:rFonts w:ascii="宋体" w:hAnsi="宋体" w:eastAsia="宋体" w:cs="宋体"/>
              <w:bCs/>
              <w:sz w:val="32"/>
              <w:szCs w:val="32"/>
            </w:rPr>
          </w:pPr>
          <w:r>
            <w:rPr>
              <w:rFonts w:hint="eastAsia" w:ascii="宋体" w:hAnsi="宋体" w:eastAsia="宋体" w:cs="宋体"/>
              <w:bCs/>
              <w:sz w:val="32"/>
              <w:szCs w:val="32"/>
            </w:rPr>
            <w:t xml:space="preserve">第五章合同主要条款</w:t>
          </w:r>
          <w:r/>
        </w:p>
        <w:p>
          <w:pPr>
            <w:pStyle w:val="749"/>
            <w:ind w:firstLine="643"/>
            <w:keepLines w:val="0"/>
            <w:keepNext w:val="0"/>
            <w:pageBreakBefore w:val="0"/>
            <w:spacing w:line="480" w:lineRule="auto"/>
            <w:widowControl w:val="off"/>
            <w:rPr>
              <w:rFonts w:ascii="宋体" w:hAnsi="宋体" w:eastAsia="宋体" w:cs="宋体"/>
              <w:bCs/>
              <w:sz w:val="32"/>
              <w:szCs w:val="32"/>
            </w:rPr>
          </w:pPr>
          <w:r>
            <w:rPr>
              <w:rFonts w:hint="eastAsia" w:ascii="宋体" w:hAnsi="宋体" w:eastAsia="宋体" w:cs="宋体"/>
              <w:bCs/>
              <w:sz w:val="32"/>
              <w:szCs w:val="32"/>
            </w:rPr>
            <w:t xml:space="preserve">第六章评审办法</w:t>
          </w:r>
          <w:r>
            <w:rPr>
              <w:rFonts w:hint="eastAsia" w:ascii="宋体" w:hAnsi="宋体" w:eastAsia="宋体" w:cs="宋体"/>
              <w:bCs/>
              <w:sz w:val="32"/>
              <w:szCs w:val="32"/>
            </w:rPr>
            <w:fldChar w:fldCharType="end"/>
          </w:r>
          <w:r/>
        </w:p>
      </w:sdtContent>
    </w:sdt>
    <w:p>
      <w:pPr>
        <w:pStyle w:val="741"/>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pPr>
      <w:r>
        <w:rPr>
          <w:rFonts w:ascii="宋体" w:hAnsi="宋体" w:eastAsia="宋体" w:cs="宋体"/>
          <w:bCs/>
          <w:sz w:val="21"/>
          <w:szCs w:val="21"/>
        </w:rPr>
      </w:r>
      <w:r/>
    </w:p>
    <w:p>
      <w:pPr>
        <w:spacing w:line="360" w:lineRule="auto"/>
        <w:rPr>
          <w:rFonts w:ascii="宋体" w:hAnsi="宋体" w:eastAsia="宋体" w:cs="宋体"/>
          <w:bCs/>
          <w:sz w:val="21"/>
          <w:szCs w:val="21"/>
        </w:rPr>
        <w:sectPr>
          <w:headerReference w:type="default" r:id="rId10"/>
          <w:footerReference w:type="default" r:id="rId13"/>
          <w:footnotePr/>
          <w:endnotePr/>
          <w:type w:val="nextPage"/>
          <w:pgSz w:w="11906" w:h="16838" w:orient="portrait"/>
          <w:pgMar w:top="1134" w:right="1134" w:bottom="1134" w:left="1134" w:header="851" w:footer="567" w:gutter="0"/>
          <w:pgNumType w:start="0"/>
          <w:cols w:num="1" w:sep="0" w:space="720" w:equalWidth="1"/>
          <w:docGrid w:linePitch="360"/>
        </w:sectPr>
      </w:pPr>
      <w:r>
        <w:rPr>
          <w:rFonts w:ascii="宋体" w:hAnsi="宋体" w:eastAsia="宋体" w:cs="宋体"/>
          <w:bCs/>
          <w:sz w:val="21"/>
          <w:szCs w:val="21"/>
        </w:rPr>
      </w:r>
      <w:r/>
    </w:p>
    <w:p>
      <w:pPr>
        <w:ind w:firstLine="640"/>
        <w:jc w:val="center"/>
        <w:spacing w:line="360" w:lineRule="auto"/>
        <w:tabs>
          <w:tab w:val="left" w:pos="840" w:leader="none"/>
          <w:tab w:val="left" w:pos="900" w:leader="none"/>
        </w:tabs>
        <w:rPr>
          <w:rFonts w:ascii="宋体" w:hAnsi="宋体" w:eastAsia="宋体" w:cs="宋体"/>
          <w:sz w:val="21"/>
          <w:szCs w:val="21"/>
        </w:rPr>
      </w:pPr>
      <w:r/>
      <w:bookmarkStart w:id="0" w:name="_第一章_谈判邀请函"/>
      <w:r/>
      <w:bookmarkEnd w:id="0"/>
      <w:r>
        <w:rPr>
          <w:rFonts w:hint="eastAsia" w:ascii="宋体" w:hAnsi="宋体" w:eastAsia="宋体" w:cs="宋体"/>
          <w:b/>
          <w:sz w:val="32"/>
          <w:szCs w:val="32"/>
        </w:rPr>
        <w:t xml:space="preserve">第一章竞争性磋商公告</w:t>
      </w:r>
      <w:r/>
    </w:p>
    <w:p>
      <w:pPr>
        <w:jc w:val="left"/>
        <w:spacing w:line="360" w:lineRule="auto"/>
        <w:shd w:val="clear" w:color="auto" w:fill="ffffff"/>
        <w:widowControl/>
        <w:rPr>
          <w:rFonts w:ascii="宋体" w:hAnsi="宋体" w:eastAsia="宋体" w:cs="宋体"/>
          <w:sz w:val="21"/>
          <w:szCs w:val="21"/>
        </w:rPr>
        <w:pBdr>
          <w:top w:val="single" w:color="000000" w:sz="8" w:space="1"/>
          <w:left w:val="single" w:color="000000" w:sz="8" w:space="4"/>
          <w:bottom w:val="single" w:color="000000" w:sz="8" w:space="1"/>
          <w:right w:val="single" w:color="000000" w:sz="8" w:space="4"/>
        </w:pBdr>
      </w:pPr>
      <w:r>
        <w:rPr>
          <w:rFonts w:hint="eastAsia" w:ascii="宋体" w:hAnsi="宋体" w:eastAsia="宋体" w:cs="宋体"/>
          <w:sz w:val="21"/>
          <w:szCs w:val="21"/>
          <w:shd w:val="clear" w:color="auto" w:fill="ffffff"/>
          <w:lang w:bidi="ar"/>
        </w:rPr>
        <w:t xml:space="preserve">项目概况</w:t>
      </w:r>
      <w:r/>
    </w:p>
    <w:p>
      <w:pPr>
        <w:ind w:firstLine="482"/>
        <w:jc w:val="left"/>
        <w:spacing w:line="420" w:lineRule="exact"/>
        <w:shd w:val="clear" w:color="auto" w:fill="ffffff"/>
        <w:widowControl/>
        <w:rPr>
          <w:rFonts w:ascii="宋体" w:hAnsi="宋体" w:eastAsia="宋体" w:cs="宋体"/>
          <w:sz w:val="21"/>
          <w:szCs w:val="21"/>
        </w:rPr>
        <w:pBdr>
          <w:top w:val="single" w:color="000000" w:sz="8" w:space="1"/>
          <w:left w:val="single" w:color="000000" w:sz="8" w:space="4"/>
          <w:bottom w:val="single" w:color="000000" w:sz="8" w:space="1"/>
          <w:right w:val="single" w:color="000000" w:sz="8" w:space="4"/>
        </w:pBdr>
      </w:pPr>
      <w:r>
        <w:rPr>
          <w:rFonts w:hint="eastAsia" w:ascii="宋体" w:hAnsi="宋体" w:eastAsia="宋体" w:cs="宋体"/>
          <w:sz w:val="21"/>
          <w:szCs w:val="21"/>
          <w:u w:val="single"/>
          <w:shd w:val="clear" w:color="auto" w:fill="ffffff"/>
          <w:lang w:bidi="ar"/>
        </w:rPr>
        <w:t xml:space="preserve">相城区区管道路、楼宇、公园景观灯维护项目的潜在</w:t>
      </w:r>
      <w:r>
        <w:rPr>
          <w:rFonts w:hint="eastAsia" w:ascii="宋体" w:hAnsi="宋体" w:eastAsia="宋体" w:cs="宋体"/>
          <w:sz w:val="21"/>
          <w:szCs w:val="21"/>
          <w:shd w:val="clear" w:color="auto" w:fill="ffffff"/>
          <w:lang w:bidi="ar"/>
        </w:rPr>
        <w:t xml:space="preserve">供应商应在“</w:t>
      </w:r>
      <w:r>
        <w:rPr>
          <w:rFonts w:hint="eastAsia" w:ascii="宋体" w:hAnsi="宋体" w:eastAsia="宋体" w:cs="宋体"/>
          <w:sz w:val="21"/>
          <w:szCs w:val="21"/>
          <w:u w:val="single"/>
          <w:shd w:val="clear" w:color="auto" w:fill="ffffff"/>
          <w:lang w:bidi="ar"/>
        </w:rPr>
        <w:t xml:space="preserve">苏采云”系统</w:t>
      </w:r>
      <w:r>
        <w:rPr>
          <w:rFonts w:hint="eastAsia" w:ascii="宋体" w:hAnsi="宋体" w:eastAsia="宋体" w:cs="宋体"/>
          <w:sz w:val="21"/>
          <w:szCs w:val="21"/>
          <w:shd w:val="clear" w:color="auto" w:fill="ffffff"/>
          <w:lang w:bidi="ar"/>
        </w:rPr>
        <w:t xml:space="preserve">获取采购文件，并于</w:t>
      </w:r>
      <w:r>
        <w:rPr>
          <w:rFonts w:hint="eastAsia" w:ascii="宋体" w:hAnsi="宋体" w:eastAsia="宋体" w:cs="宋体"/>
          <w:sz w:val="21"/>
          <w:szCs w:val="21"/>
          <w:u w:val="single"/>
          <w:shd w:val="clear" w:color="auto" w:fill="ffffff"/>
          <w:lang w:bidi="ar"/>
        </w:rPr>
        <w:t xml:space="preserve">2026年</w:t>
      </w:r>
      <w:r>
        <w:rPr>
          <w:rFonts w:hint="eastAsia" w:ascii="宋体" w:hAnsi="宋体" w:eastAsia="宋体" w:cs="宋体"/>
          <w:sz w:val="21"/>
          <w:szCs w:val="21"/>
          <w:u w:val="single"/>
          <w:shd w:val="clear" w:color="auto" w:fill="ffffff"/>
          <w:lang w:val="en-US" w:eastAsia="zh-CN" w:bidi="ar"/>
        </w:rPr>
        <w:t xml:space="preserve">8</w:t>
      </w:r>
      <w:r>
        <w:rPr>
          <w:rFonts w:hint="eastAsia" w:ascii="宋体" w:hAnsi="宋体" w:eastAsia="宋体" w:cs="宋体"/>
          <w:sz w:val="21"/>
          <w:szCs w:val="21"/>
          <w:u w:val="single"/>
          <w:shd w:val="clear" w:color="auto" w:fill="ffffff"/>
          <w:lang w:bidi="ar"/>
        </w:rPr>
        <w:t xml:space="preserve">月</w:t>
      </w:r>
      <w:r>
        <w:rPr>
          <w:rFonts w:hint="eastAsia" w:ascii="宋体" w:hAnsi="宋体" w:eastAsia="宋体" w:cs="宋体"/>
          <w:sz w:val="21"/>
          <w:szCs w:val="21"/>
          <w:u w:val="single"/>
          <w:shd w:val="clear" w:color="auto" w:fill="ffffff"/>
          <w:lang w:val="en-US" w:eastAsia="zh-CN" w:bidi="ar"/>
        </w:rPr>
        <w:t xml:space="preserve">10</w:t>
      </w:r>
      <w:r>
        <w:rPr>
          <w:rFonts w:hint="eastAsia" w:ascii="宋体" w:hAnsi="宋体" w:eastAsia="宋体" w:cs="宋体"/>
          <w:sz w:val="21"/>
          <w:szCs w:val="21"/>
          <w:u w:val="single"/>
          <w:shd w:val="clear" w:color="auto" w:fill="ffffff"/>
          <w:lang w:bidi="ar"/>
        </w:rPr>
        <w:t xml:space="preserve">日13点30分</w:t>
      </w:r>
      <w:r>
        <w:rPr>
          <w:rFonts w:hint="eastAsia" w:ascii="宋体" w:hAnsi="宋体" w:eastAsia="宋体" w:cs="宋体"/>
          <w:sz w:val="21"/>
          <w:szCs w:val="21"/>
          <w:shd w:val="clear" w:color="auto" w:fill="ffffff"/>
          <w:lang w:bidi="ar"/>
        </w:rPr>
        <w:t xml:space="preserve">（北京时间）前提交响应文件。</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一、项目基本情况</w:t>
      </w:r>
      <w:r/>
    </w:p>
    <w:p>
      <w:pPr>
        <w:ind w:firstLine="422"/>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JSZC-320507-DCZX-C2026-0030</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eastAsia="宋体" w:cs="宋体"/>
          <w:sz w:val="21"/>
          <w:szCs w:val="21"/>
          <w:lang w:val="zh-CN"/>
        </w:rPr>
        <w:t xml:space="preserve">相城区区管道路、楼宇、公园景观灯维护项目</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采购方式：竞争性磋商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预算金额：人民币叁佰陆拾万元整（¥3600000.00）</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采购需求：对相城区区管道路、楼宇、公园景观灯开展日常养护、维修、管理工作，做好因各类事故、偷盗引起的抢修、报修处理工作，保证养护范围内的设施设备的安全完整，运行良好。</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合同履行期限：2年（具体以采购人通知为准）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本项目（是/否）接受联合体：否</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二、申请人的资格要求：</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（一）满足《中华人民共和国政府采购法》第二十二条规定：</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1.具有独立承担民事责任的能力证明。</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2.具有良好的商业信誉和健全的财务会计制度。</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3.具有履行合同所必需的设备和专业技术能力。</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5.参加政府采购活动前3年内在经营活动中没有重大违法记录的书面声明。</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（二）落实政府采购政策需满足的资格要求：</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1.本项目为专门面向中小企业采购，供应商须为中小微企业或监狱企业或残疾人福利性单位，不允许大型及以上企业参与投标；</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3.成交后，成交单位不允许将合同分包或外包；</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4.标的所属行业：其他未列明行业</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（三）本项目的特定资格要求：</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1.具有城市及道路照明工程专业承包三级及以上资质；</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2.未被“信用中国”网站（www.creditchina.gov.cn）列入失信被执行人、重大税收违法案件当事人名单、政府采购严重失信行为记录名单。</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三、获取采购文件</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时间：自磋商文件公告发布之日起5个工作日</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地点：苏采云系统</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方式：自行下载</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售价：0.00元</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四、响应文件提交</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截止时间：2026-</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 13:30（北京时间）</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地点：苏采云系统</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五、开启</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时间：2026-</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 13:30（北京时间）</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地点：苏州市市辖区政府采购不见面虚拟开标室</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六、公告期限</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七、其他补充事宜</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1、CA证书办理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2、参与采购活动</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供应商插入CA证书登陆“苏采云”系统后选择具体项目，点击“我要参与”并签章提交《响应供应商确认函》，提交《响应供应商确认函》日期视同为依法获取采购文件日期。供应商须打印、保留《响应供应商确认函》，质疑时《响应供应商确认函》与质疑函一并提交；未依照采购公告要求提交《响应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3、电子投标准备</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注册咨询：13914088964；</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系统使用指导与咨询：联系电话：13914088964；智能客服：登录苏采云系统后，联系系统右下方智能客服图标进行咨询。</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6、根据苏州市财政局《关于深入开展苏州市政府采购合同信用融资业务的通知》相关要求，本项目支持政府采购合同信用融资。</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7、本公告同时在中国政府采购网、江苏政府采购网、苏州市政府采购网上发布，成交公告亦是刊登在此媒体，敬请各供应商注意。</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8、政府采购监督管理部门监督电话：0512-67591005、0512-67591006。</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八、凡对本次采购提出询问，请按以下方式联系</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1、采购人信息：</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名称：苏州市相城区公路事业发展中心</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地址：相城区元和街道润元路润益巷润南大厦C区</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联 系 人：曹强</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联系方式：0512-66182023</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2、采购代理机构信息：</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名称：江苏大成工程咨询有限</w:t>
      </w:r>
      <w:bookmarkStart w:id="23" w:name="_GoBack"/>
      <w:r/>
      <w:bookmarkEnd w:id="23"/>
      <w:r>
        <w:rPr>
          <w:rFonts w:hint="eastAsia" w:ascii="宋体" w:hAnsi="宋体" w:eastAsia="宋体" w:cs="宋体"/>
          <w:sz w:val="21"/>
          <w:szCs w:val="21"/>
        </w:rPr>
        <w:t xml:space="preserve">公司</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地址：苏州姑苏区平泷路1001号联实大厦4楼D1</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联系方式：0512-68365197</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3、项目联系方式</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项目联系人：范祎</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电话：0512-68365197</w:t>
      </w:r>
      <w:r/>
    </w:p>
    <w:p>
      <w:pPr>
        <w:ind w:firstLine="422"/>
        <w:spacing w:line="360" w:lineRule="auto"/>
        <w:rPr>
          <w:rFonts w:ascii="宋体" w:hAnsi="宋体" w:eastAsia="宋体" w:cs="宋体"/>
          <w:sz w:val="21"/>
          <w:szCs w:val="21"/>
        </w:rPr>
      </w:pPr>
      <w:r>
        <w:rPr>
          <w:rFonts w:hint="eastAsia" w:ascii="宋体" w:hAnsi="宋体" w:eastAsia="宋体" w:cs="宋体"/>
        </w:rPr>
        <w:br w:type="page" w:clear="all"/>
      </w:r>
      <w:r/>
    </w:p>
    <w:p>
      <w:pPr>
        <w:pStyle w:val="741"/>
        <w:ind w:firstLine="640"/>
        <w:jc w:val="center"/>
        <w:spacing w:line="360" w:lineRule="auto"/>
        <w:rPr>
          <w:rFonts w:ascii="宋体" w:hAnsi="宋体" w:eastAsia="宋体" w:cs="宋体"/>
          <w:b/>
          <w:sz w:val="32"/>
          <w:szCs w:val="32"/>
          <w:lang w:val="zh-CN"/>
        </w:rPr>
      </w:pPr>
      <w:r>
        <w:rPr>
          <w:rFonts w:hint="eastAsia" w:ascii="宋体" w:hAnsi="宋体" w:eastAsia="宋体" w:cs="宋体"/>
          <w:b/>
          <w:sz w:val="32"/>
          <w:szCs w:val="32"/>
          <w:lang w:val="zh-CN"/>
        </w:rPr>
        <w:t xml:space="preserve">第二章采购基本要求</w:t>
      </w:r>
      <w:r/>
    </w:p>
    <w:p>
      <w:pPr>
        <w:pStyle w:val="741"/>
        <w:ind w:left="0" w:firstLine="42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一、响应文件的组成及要求</w:t>
      </w:r>
      <w:r/>
    </w:p>
    <w:p>
      <w:pPr>
        <w:pStyle w:val="737"/>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737"/>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737"/>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3.1关于资格文件的声明函（格式见第三章）；</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3.2磋商响应单位基本情况表（格式见第三章）；</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3.4法定代表人授权委托书（如有授权，格式见第三章）；</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3.7《中小企业声明函》或《残疾人福利性单位声明函》或由省级以上监狱管理局、戒毒管理局（含新疆生产建设兵团）出具的属于监狱企业的证明文件；</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3.8其它有关资格证明的文件；</w:t>
      </w:r>
      <w:r/>
    </w:p>
    <w:p>
      <w:pPr>
        <w:pStyle w:val="737"/>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p>
    <w:p>
      <w:pPr>
        <w:pStyle w:val="7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4.1磋商响应函（格式见第三章）；</w:t>
      </w:r>
      <w:r/>
    </w:p>
    <w:p>
      <w:pPr>
        <w:pStyle w:val="7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4.2磋商报价分析表（格式见第三章）；</w:t>
      </w:r>
      <w:r/>
    </w:p>
    <w:p>
      <w:pPr>
        <w:pStyle w:val="7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4.3偏离表（格式见第三章）；</w:t>
      </w:r>
      <w:r/>
    </w:p>
    <w:p>
      <w:pPr>
        <w:pStyle w:val="7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4.4项目服务人员配置表（格式见第三章）；</w:t>
      </w:r>
      <w:r/>
    </w:p>
    <w:p>
      <w:pPr>
        <w:pStyle w:val="7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4.5安全责任承诺书（格式见第三章）；</w:t>
      </w:r>
      <w:r/>
    </w:p>
    <w:p>
      <w:pPr>
        <w:pStyle w:val="7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4.6其他有关符合性证明的文件；</w:t>
      </w:r>
      <w:r/>
    </w:p>
    <w:p>
      <w:pPr>
        <w:pStyle w:val="737"/>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p>
    <w:p>
      <w:pPr>
        <w:pStyle w:val="7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5.1技术方案</w:t>
      </w:r>
      <w:r/>
    </w:p>
    <w:p>
      <w:pPr>
        <w:pStyle w:val="7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5.2响应单位履约能力</w:t>
      </w:r>
      <w:r/>
    </w:p>
    <w:p>
      <w:pPr>
        <w:pStyle w:val="7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5.3与本次采购相关的其他证明材料；</w:t>
      </w:r>
      <w:r/>
    </w:p>
    <w:p>
      <w:pPr>
        <w:pStyle w:val="737"/>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6、对属于《节能产品政府采购品目清单》政府强制采购产品的，需提供该产品有效期内的认证等相关证明材料（如有）。</w:t>
      </w:r>
      <w:r/>
    </w:p>
    <w:p>
      <w:pPr>
        <w:pStyle w:val="737"/>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（1）以上3.1-3.8为资格审查要求提供的材料，是作为对供应商资格审查、质疑身份认定的依据，响应供应商必须提供并加盖电子公章。否则，磋商响应文件将被认定为不符合资格审查要求。</w:t>
      </w:r>
      <w:r/>
    </w:p>
    <w:p>
      <w:pPr>
        <w:pStyle w:val="737"/>
        <w:spacing w:line="360" w:lineRule="auto"/>
        <w:rPr>
          <w:rFonts w:ascii="宋体" w:hAnsi="宋体" w:eastAsia="宋体" w:cs="宋体"/>
          <w:sz w:val="21"/>
          <w:szCs w:val="21"/>
        </w:rPr>
      </w:pPr>
      <w:r>
        <w:rPr>
          <w:rFonts w:hint="eastAsia" w:ascii="宋体" w:hAnsi="宋体" w:eastAsia="宋体" w:cs="宋体"/>
          <w:b/>
          <w:bCs/>
          <w:sz w:val="21"/>
          <w:szCs w:val="21"/>
        </w:rPr>
        <w:t xml:space="preserve">（2）以上4.1-4.6为符合性审查须提供的资料，响应供应商必须提供并加盖电子公章。否则，磋商响应文件将被认定为未实质性响应。</w:t>
      </w:r>
      <w:r/>
    </w:p>
    <w:p>
      <w:pPr>
        <w:pStyle w:val="737"/>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p>
    <w:p>
      <w:pPr>
        <w:pStyle w:val="737"/>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37"/>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7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7、落实政府采购政策需满足的资格要求：</w:t>
      </w:r>
      <w:r>
        <w:rPr>
          <w:rFonts w:hint="eastAsia" w:ascii="宋体" w:hAnsi="宋体" w:eastAsia="宋体" w:cs="宋体"/>
          <w:b/>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sz w:val="21"/>
          <w:szCs w:val="21"/>
        </w:rPr>
        <w:t xml:space="preserve">。</w:t>
      </w:r>
      <w:r/>
    </w:p>
    <w:p>
      <w:pPr>
        <w:pStyle w:val="741"/>
        <w:ind w:left="0" w:firstLine="420"/>
        <w:spacing w:line="360" w:lineRule="auto"/>
        <w:tabs>
          <w:tab w:val="left" w:pos="0" w:leader="none"/>
        </w:tabs>
        <w:rPr>
          <w:rFonts w:ascii="宋体" w:hAnsi="宋体" w:eastAsia="宋体" w:cs="宋体"/>
          <w:b/>
          <w:sz w:val="21"/>
          <w:szCs w:val="21"/>
        </w:rPr>
      </w:pPr>
      <w:r>
        <w:rPr>
          <w:rFonts w:hint="eastAsia" w:ascii="宋体" w:hAnsi="宋体" w:eastAsia="宋体" w:cs="宋体"/>
          <w:sz w:val="21"/>
          <w:szCs w:val="21"/>
        </w:rPr>
        <w:t xml:space="preserve">（二）电子投标（响应）文件的编制与提交</w:t>
      </w:r>
      <w:r/>
    </w:p>
    <w:p>
      <w:pPr>
        <w:pStyle w:val="741"/>
        <w:ind w:left="0" w:firstLine="42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pStyle w:val="741"/>
        <w:ind w:left="0" w:firstLine="42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pStyle w:val="741"/>
        <w:ind w:left="0" w:firstLine="42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741"/>
        <w:ind w:left="0" w:firstLine="42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pStyle w:val="741"/>
        <w:ind w:left="0" w:firstLine="42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3、响应文件未按照采购文件要求加盖CA电子公章的，响应无效。</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二、响应文件开启、评标（评审）</w:t>
      </w:r>
      <w:r/>
    </w:p>
    <w:p>
      <w:pPr>
        <w:ind w:firstLine="420"/>
        <w:spacing w:line="360" w:lineRule="auto"/>
        <w:rPr>
          <w:rFonts w:ascii="宋体" w:hAnsi="宋体" w:eastAsia="宋体" w:cs="宋体"/>
          <w:bCs/>
          <w:sz w:val="21"/>
          <w:szCs w:val="21"/>
          <w:lang w:val="zh-CN"/>
        </w:rPr>
      </w:pPr>
      <w:r>
        <w:rPr>
          <w:rFonts w:hint="eastAsia" w:ascii="宋体" w:hAnsi="宋体" w:eastAsia="宋体" w:cs="宋体"/>
          <w:bCs/>
          <w:sz w:val="21"/>
          <w:szCs w:val="21"/>
          <w:lang w:val="zh-CN"/>
        </w:rPr>
        <w:t xml:space="preserve">1、线上参加（观看）开标（开启）会方式：登录“苏采云”系统，点击“开标大厅”，选择对应项目，点击进入不见面开标系统。</w:t>
      </w:r>
      <w:r/>
    </w:p>
    <w:p>
      <w:pPr>
        <w:ind w:firstLine="420"/>
        <w:spacing w:line="360" w:lineRule="auto"/>
        <w:rPr>
          <w:rFonts w:ascii="宋体" w:hAnsi="宋体" w:eastAsia="宋体" w:cs="宋体"/>
          <w:bCs/>
          <w:sz w:val="21"/>
          <w:szCs w:val="21"/>
          <w:lang w:val="zh-CN"/>
        </w:rPr>
      </w:pPr>
      <w:r>
        <w:rPr>
          <w:rFonts w:hint="eastAsia" w:ascii="宋体" w:hAnsi="宋体" w:eastAsia="宋体" w:cs="宋体"/>
          <w:bCs/>
          <w:sz w:val="21"/>
          <w:szCs w:val="21"/>
          <w:lang w:val="zh-CN"/>
        </w:rPr>
        <w:t xml:space="preserve">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3、供应商在“苏采云”系统规定的时间内未成功解密电子响应文件的，响应无效</w:t>
      </w:r>
      <w:r/>
    </w:p>
    <w:p>
      <w:pPr>
        <w:ind w:firstLine="420"/>
        <w:spacing w:line="360" w:lineRule="auto"/>
        <w:rPr>
          <w:rFonts w:ascii="宋体" w:hAnsi="宋体" w:eastAsia="宋体" w:cs="宋体"/>
          <w:bCs/>
          <w:sz w:val="21"/>
          <w:szCs w:val="21"/>
          <w:lang w:val="zh-CN"/>
        </w:rPr>
      </w:pPr>
      <w:r>
        <w:rPr>
          <w:rFonts w:hint="eastAsia" w:ascii="宋体" w:hAnsi="宋体" w:eastAsia="宋体" w:cs="宋体"/>
          <w:bCs/>
          <w:sz w:val="21"/>
          <w:szCs w:val="21"/>
          <w:lang w:val="zh-CN"/>
        </w:rPr>
        <w:t xml:space="preserve">4、供应商电脑环境最低要求：谷歌浏览器，版本可直接网上下载最新版本即可。如需收听现场语音需配置放音设备，如视频直播、互动交流使用异常，请刷新网页，如仍无法解决，请联系技术支持。</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5、开标大厅系统出现故障、断电断网等特殊情形导致无法直播时，交易中心将通过微信直播对外公布相关情况，供应商可登录微信直播平台（微信-发现-直播-搜索视频号“园小易直播”）观看现场实况。</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6、在系统操作过程中如有疑问，请按以下方式联系：</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注册咨询：13914088964；</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系统使用指导与咨询：联系电话：13914088964；智能客服：登录苏采云系统后，联系系统右下方智能客服图标进行咨询。</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三、磋商程序</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1、磋商小组</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1.1采购代理机构负责组织评审工作；磋商小组由相关专家及采购人代表组成，负责具体评审事务，并独立履行法律、法规规定的职责。</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1.2采购人员及相关人员与参加采购活动的供应商存在下列利害关系之一的，应当回避:</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（一）参加采购活动前三年内，与供应商存在劳动关系，或者担任过供应商的董事、监事，或者是供应商的控股股东或实际控制人；</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（二）与供应商的法定代表人或者负责人有夫妻、直系血亲、三代以内旁系血亲或者近姻亲关系；</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（三）与供应商有其他可能影响政府采购活动公平、公正进行的关系。</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1.4磋商小组成员应当按照客观、公正、审慎的原则，根据磋商文件规定的评审程序、评审方法和评审标准进行独立评审。</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2、资格审查</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2.1由磋商小组按磋商文件的资格条件进行资格性审查，未通过资格性审查的响应无效。</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（1）查询时间：响应文件递交截止时间。</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（2）查询渠道：通过“信用中国”、“信用江苏”及“中国政府采购网”上的信用信息查询供应商的信用记录。</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（一）政府采购严重违法记录，即供应商被全国各级财政部门列入“政府采购严重违法失信行为记录名单”，且在处罚有效期内的。</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（二）财政部门与法院、工商、税务等部门联合惩戒的失信信息，包括：</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（1）被列入失信被执行人名单；</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（2）被列入重大税收违法案件当事人名单；</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3、磋商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3.2磋商小组认为有必要与供应商进行磋商的，磋商供应商按顺序进行磋商。磋商小组所有成员应当集中与单一供应商分别进行磋商，并给予所有参加磋商的供应商平等的磋商机会。</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3.3在磋商过程中，磋商小组可以根据磋商文件和磋商情况实质性变动采购需求中的技术、技术要求以及合同草案条款，但不得变动磋商文件中的其他内容。实质性变动的内容，须经采购人代表确认。</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4、澄清</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4.1本项目采用线上澄清。</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4.3接到磋商小组澄清、说明和更正要求的供应商如未按规定做出澄清、说明和更正，其风险由供应商自行承担。</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5、最后报价</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5.1磋商结束后，磋商小组应当要求所有继续参加磋商的供应商在规定时间内提交最后报价，最后报价作为评审价格（各供应商可提供最后报价总价或最后报价总价的明细报价；若未提供明细报价的则合同单价按最终报价与第一次报价总价的下浮比例同比例下浮）。最后报价是供应商响应文件的有效组成部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5.2线上二次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5.5未在规定时间提交最后报价的，响应文件按无效处理。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5.6在规定时间内提交最后报价的供应商少于3家的，项目终止。</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5.7如磋商过程中出现本磋商文件未尽事宜，由磋商小组根据政府采购有关法律、法规讨论决定。</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6、成交</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6.2磋商小组根据磋商成交原则确定成交供应商。</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6.3采购人或者采购代理机构应当在成交供应商确定后2个工作日内，在政府采购信息媒体上发布成交结果，成交公告期限为1个工作日。</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6.4采购人或采购代理机构根据相关规定发布成交公告，成交公告发出的同时应当向</w:t>
      </w:r>
      <w:r>
        <w:rPr>
          <w:rFonts w:hint="eastAsia" w:ascii="宋体" w:hAnsi="宋体" w:eastAsia="宋体" w:cs="宋体"/>
          <w:sz w:val="21"/>
          <w:szCs w:val="21"/>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6.5成交通知书发出后，采购人不得违法改变成交结果，成交供应商无正当理由不得放弃成交。</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四、磋商保证金：</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无</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五、磋商说明：</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1、不符合供应商资格要求的响应文件将视为非实质性响应而被拒绝。</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2、响应文件不符合响应文件提交要求的将被视为非实质性响应而被拒绝。</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3、未提交最后报价或最后报价超过采购预算（或最高限价）的不能成交。</w:t>
      </w:r>
      <w:r/>
    </w:p>
    <w:p>
      <w:pPr>
        <w:ind w:firstLine="422"/>
        <w:spacing w:line="360" w:lineRule="auto"/>
        <w:rPr>
          <w:rFonts w:ascii="宋体" w:hAnsi="宋体" w:eastAsia="宋体" w:cs="宋体"/>
          <w:sz w:val="21"/>
          <w:szCs w:val="21"/>
        </w:rPr>
      </w:pPr>
      <w:r>
        <w:rPr>
          <w:rFonts w:hint="eastAsia" w:ascii="宋体" w:hAnsi="宋体" w:eastAsia="宋体" w:cs="宋体"/>
          <w:bCs/>
          <w:sz w:val="21"/>
          <w:szCs w:val="21"/>
        </w:rPr>
        <w:t xml:space="preserve">4、未满足采购文件要求的交付期限和质量要求的</w:t>
      </w:r>
      <w:r>
        <w:rPr>
          <w:rFonts w:hint="eastAsia" w:ascii="宋体" w:hAnsi="宋体" w:eastAsia="宋体" w:cs="宋体"/>
          <w:sz w:val="21"/>
          <w:szCs w:val="21"/>
        </w:rPr>
        <w:t xml:space="preserve">将被视为非实质性响应而被拒绝</w:t>
      </w:r>
      <w:r>
        <w:rPr>
          <w:rFonts w:hint="eastAsia" w:ascii="宋体" w:hAnsi="宋体" w:eastAsia="宋体" w:cs="宋体"/>
          <w:bCs/>
          <w:sz w:val="21"/>
          <w:szCs w:val="21"/>
        </w:rPr>
        <w:t xml:space="preserve">。</w:t>
      </w:r>
      <w:r/>
    </w:p>
    <w:p>
      <w:pPr>
        <w:ind w:firstLine="422"/>
        <w:spacing w:line="360" w:lineRule="auto"/>
        <w:rPr>
          <w:rFonts w:ascii="宋体" w:hAnsi="宋体" w:eastAsia="宋体" w:cs="宋体"/>
          <w:sz w:val="21"/>
          <w:szCs w:val="21"/>
        </w:rPr>
      </w:pPr>
      <w:r>
        <w:rPr>
          <w:rFonts w:hint="eastAsia" w:ascii="宋体" w:hAnsi="宋体" w:eastAsia="宋体" w:cs="宋体"/>
          <w:bCs/>
          <w:sz w:val="21"/>
          <w:szCs w:val="21"/>
        </w:rPr>
        <w:t xml:space="preserve">5、</w:t>
      </w:r>
      <w:r>
        <w:rPr>
          <w:rFonts w:hint="eastAsia" w:ascii="宋体" w:hAnsi="宋体" w:eastAsia="宋体" w:cs="宋体"/>
          <w:sz w:val="21"/>
          <w:szCs w:val="21"/>
        </w:rPr>
        <w:t xml:space="preserve">非实质性响应的磋商文件不能成交。</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6、实质性响应磋商文件不满三家或进入最后报价的不满三家或最后报价为有效报价的不满三家的，磋商采购失败。</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7、最终合同单价由供应商提供，若未提供明细报价的则合同单价按最后报价与第一次报价总价的下（上）浮比例同比例下（上）浮。</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8、磋商文件的质疑</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8.1质疑及答复遵守《政府采购质疑和投诉办法》（中华人民共和国财政部令第94号）规定。</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8.2供应商认为采购文件、采购过程和采购结果使自己的权益受到损害的，可以在知道或应知其权益受到损害之日起七个工作日内，以书面形式向代理单位或采购人提出质疑。上述应知其权益受到损害之日，是指：</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①对可以质疑的采购文件提出质疑的，为收到采购文件之日或者采购文件公告期限届满之日；</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②对采购过程提出质疑的，为各采购程序环节结束之日；</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③对中标或者成交结果提出质疑的，为中标或者成交结果公告期限届满之日。</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8.3供应商应当在法定质疑期内一次性提出针对同一采购程序环节的质疑。供应商如在法定期限内对同一采购程序环节提出多次质疑的，代理单位、采购人将只对供应商第一次质疑作出答复。</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8.4提出质疑的供应商应当是参与所质疑项目采购活动的供应商，对采购文件内容质疑时，需提供在“苏采云”系统中下载本项目磋商文件的《投标供应商确认函》，未依照采购公告要求获取采购文件的供应商，视为未参与该项政府采购活动，不具备对该政府采购项目提出质疑的法定权利。</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8.5供应商（含潜在供应商）对采购方式、采购需求（及采购需求中列明的供应商实质性响应条件）、评分标准、公开招标项目资格审查结果、合同文本的询问、质疑请向采购人提出，由采购人负责答复。</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8.6接收质疑函的方式为书面形式（当场送达或邮寄方式）。供应商质疑函范本格式请参照“苏州市政府采购”网站——“下载中心”——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"http://czju.suzhou.gov.cn/zfcg/html/content/20180305093615738.shtml" </w:instrText>
      </w:r>
      <w:r>
        <w:fldChar w:fldCharType="separate"/>
      </w:r>
      <w:r>
        <w:rPr>
          <w:rFonts w:hint="eastAsia" w:ascii="宋体" w:hAnsi="宋体" w:eastAsia="宋体" w:cs="宋体"/>
          <w:sz w:val="21"/>
          <w:szCs w:val="21"/>
        </w:rPr>
        <w:t xml:space="preserve">“政府采购供应商质疑函范本</w:t>
      </w:r>
      <w:r>
        <w:rPr>
          <w:rFonts w:hint="eastAsia" w:ascii="宋体" w:hAnsi="宋体" w:eastAsia="宋体" w:cs="宋体"/>
          <w:sz w:val="21"/>
          <w:szCs w:val="21"/>
        </w:rPr>
        <w:fldChar w:fldCharType="end"/>
      </w:r>
      <w:r>
        <w:rPr>
          <w:rFonts w:hint="eastAsia" w:ascii="宋体" w:hAnsi="宋体" w:eastAsia="宋体" w:cs="宋体"/>
          <w:sz w:val="21"/>
          <w:szCs w:val="21"/>
        </w:rPr>
        <w:t xml:space="preserve">”。供应商如组成联合体参加投标，则《质疑函范本》中要求签字、盖章、加盖公章之处，联合体各方均须按要求签字、盖章、加盖公章。</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8.7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422"/>
        <w:spacing w:line="360" w:lineRule="auto"/>
        <w:rPr>
          <w:rFonts w:ascii="宋体" w:hAnsi="宋体" w:eastAsia="宋体" w:cs="宋体"/>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val="zh-CN"/>
        </w:rPr>
        <w:t xml:space="preserve">、响应文件的有效期</w:t>
      </w:r>
      <w:r/>
    </w:p>
    <w:p>
      <w:pPr>
        <w:ind w:firstLine="422"/>
        <w:spacing w:line="360" w:lineRule="auto"/>
        <w:rPr>
          <w:rFonts w:ascii="宋体" w:hAnsi="宋体" w:eastAsia="宋体" w:cs="宋体"/>
          <w:sz w:val="21"/>
          <w:szCs w:val="21"/>
          <w:lang w:val="zh-CN"/>
        </w:rPr>
      </w:pPr>
      <w:r>
        <w:rPr>
          <w:rFonts w:hint="eastAsia" w:ascii="宋体" w:hAnsi="宋体" w:eastAsia="宋体" w:cs="宋体"/>
          <w:sz w:val="21"/>
          <w:szCs w:val="21"/>
        </w:rPr>
        <w:t xml:space="preserve">9</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响应文件的有效期自提交响应文件的截止之日起九十</w:t>
      </w:r>
      <w:r>
        <w:rPr>
          <w:rFonts w:hint="eastAsia" w:ascii="宋体" w:hAnsi="宋体" w:eastAsia="宋体" w:cs="宋体"/>
          <w:sz w:val="21"/>
          <w:szCs w:val="21"/>
          <w:lang w:val="zh-CN"/>
        </w:rPr>
        <w:t xml:space="preserve">天，响应文件应保持有效。响应文件的有效期不明确或短于上述规定期限的，响应文件无效。</w:t>
      </w:r>
      <w:r/>
    </w:p>
    <w:p>
      <w:pPr>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9.2在特殊情况下，采购人可与供应商协商延长响应文件的有效期，这种要求和答复都应以书面形式进行。</w:t>
      </w:r>
      <w:r/>
    </w:p>
    <w:p>
      <w:pPr>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六、合同的签订</w:t>
      </w:r>
      <w:r/>
    </w:p>
    <w:p>
      <w:pPr>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1、采购人原则上应当自中标通知书发出之日起15日内，按照磋商文件约定的合同文本、技术和服务要求等事项签订政府采购合同。</w:t>
      </w:r>
      <w:r/>
    </w:p>
    <w:p>
      <w:pPr>
        <w:ind w:firstLine="42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pStyle w:val="7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3、签订合同及合同条款应以招标文件和中标单位的响应文件及其澄清文件为依据，所签订的合同不得对招标文件和中标供应商响应文件作实质性修改。</w:t>
      </w:r>
      <w:r/>
    </w:p>
    <w:p>
      <w:pPr>
        <w:pStyle w:val="7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4、中标人无正当理由不得放弃中标。</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6、因国家或地方颁布新法律、法规、规章，或政府主管部门作出行政审批、规划、土地、环保等影响项目实施的行政决定，或甲方依据内部决策程序或财政监管要求作出终止本项目投资的正式决议，导致本合同目的不能实现或项目客观上无法继续实施的，甲方有权以书面形式通知乙方解除合同。因前述情形解除的，双方互不承担违约责任，合同自通知送达之日解除。</w:t>
      </w:r>
      <w:r/>
    </w:p>
    <w:p>
      <w:pPr>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七、代理服务费以采购预算金额为基数依据，按如下规定的标准和差额定率累进法进行计算收取：</w:t>
      </w:r>
      <w:r/>
    </w:p>
    <w:p>
      <w:pPr>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预算金额100万元以下部分，费率为该部分预算金额的1.5％；</w:t>
      </w:r>
      <w:r/>
    </w:p>
    <w:p>
      <w:pPr>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预算金额100万元（含）－500万元部分，费率为该部分预算金额的1.1％；</w:t>
      </w:r>
      <w:r/>
    </w:p>
    <w:p>
      <w:pPr>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预算金额500万元（含）-1000万元部分，费率为该部分预算金额的0.8％；</w:t>
      </w:r>
      <w:r/>
    </w:p>
    <w:p>
      <w:pPr>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预算金额1000万元（含）-5000万元部分，费率为该部分预算金额的0.5％；</w:t>
      </w:r>
      <w:r/>
    </w:p>
    <w:p>
      <w:pPr>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预算金额5000万元以上部分，费率为该部分预算金额的0.25％。</w:t>
      </w:r>
      <w:r/>
    </w:p>
    <w:p>
      <w:pPr>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本项目代理服务费：43600元。</w:t>
      </w:r>
      <w:r/>
    </w:p>
    <w:p>
      <w:pPr>
        <w:pStyle w:val="763"/>
        <w:ind w:firstLine="369"/>
        <w:rPr>
          <w:rFonts w:ascii="宋体" w:hAnsi="宋体" w:eastAsia="宋体" w:cs="宋体"/>
          <w:bCs/>
          <w:sz w:val="21"/>
          <w:szCs w:val="21"/>
        </w:rPr>
      </w:pPr>
      <w:r>
        <w:rPr>
          <w:rFonts w:ascii="宋体" w:hAnsi="宋体" w:eastAsia="宋体" w:cs="宋体"/>
          <w:bCs/>
          <w:sz w:val="21"/>
          <w:szCs w:val="21"/>
        </w:rPr>
        <w:t xml:space="preserve"> </w:t>
      </w:r>
      <w:r>
        <w:rPr>
          <w:rFonts w:hint="eastAsia" w:ascii="宋体" w:hAnsi="宋体" w:eastAsia="宋体" w:cs="宋体"/>
          <w:bCs/>
          <w:sz w:val="21"/>
          <w:szCs w:val="21"/>
        </w:rPr>
        <w:t xml:space="preserve">注：</w:t>
      </w:r>
      <w:r>
        <w:rPr>
          <w:rFonts w:ascii="宋体" w:hAnsi="宋体" w:eastAsia="宋体" w:cs="宋体"/>
          <w:bCs/>
          <w:sz w:val="21"/>
          <w:szCs w:val="21"/>
        </w:rPr>
        <w:t xml:space="preserve">本项目中标服务费已包含在预算价中，由中标单位支付，请投标人在投标时充分考虑这一因素，中标单位在领取中标通知书时一次性付清，该费用综合包含在投标报价中。</w:t>
      </w:r>
      <w:r/>
    </w:p>
    <w:p>
      <w:pPr>
        <w:pStyle w:val="741"/>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八、成交单位如果未按上述规定缴纳成交服务费，采购代理机构将保留诉讼的权利。</w:t>
      </w:r>
      <w:r/>
    </w:p>
    <w:p>
      <w:pPr>
        <w:pStyle w:val="741"/>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九、未尽事宜</w:t>
      </w:r>
      <w:r/>
    </w:p>
    <w:p>
      <w:pPr>
        <w:pStyle w:val="741"/>
        <w:ind w:left="0" w:firstLine="420"/>
        <w:spacing w:line="360" w:lineRule="auto"/>
        <w:rPr>
          <w:rFonts w:ascii="宋体" w:hAnsi="宋体" w:eastAsia="宋体" w:cs="宋体"/>
          <w:szCs w:val="24"/>
        </w:rPr>
      </w:pPr>
      <w:r>
        <w:rPr>
          <w:rFonts w:hint="eastAsia" w:ascii="宋体" w:hAnsi="宋体" w:eastAsia="宋体" w:cs="宋体"/>
          <w:sz w:val="21"/>
          <w:szCs w:val="21"/>
        </w:rPr>
        <w:t xml:space="preserve">按《中华人民共和国政府采购法》及其他有关政府采购的法律法规的规定执行。</w:t>
      </w:r>
      <w:r>
        <w:rPr>
          <w:rFonts w:hint="eastAsia" w:ascii="宋体" w:hAnsi="宋体" w:eastAsia="宋体" w:cs="宋体"/>
        </w:rPr>
        <w:br w:type="page" w:clear="all"/>
      </w:r>
      <w:r/>
    </w:p>
    <w:p>
      <w:pPr>
        <w:ind w:firstLine="640"/>
        <w:jc w:val="center"/>
        <w:spacing w:line="360" w:lineRule="auto"/>
        <w:rPr>
          <w:rFonts w:ascii="宋体" w:hAnsi="宋体" w:eastAsia="宋体" w:cs="宋体"/>
        </w:rPr>
      </w:pPr>
      <w:r>
        <w:rPr>
          <w:rFonts w:hint="eastAsia" w:ascii="宋体" w:hAnsi="宋体" w:eastAsia="宋体" w:cs="宋体"/>
          <w:b/>
          <w:sz w:val="32"/>
          <w:szCs w:val="32"/>
        </w:rPr>
        <w:t xml:space="preserve">第三章</w:t>
      </w:r>
      <w:r>
        <w:rPr>
          <w:rFonts w:hint="eastAsia" w:ascii="宋体" w:hAnsi="宋体" w:eastAsia="宋体" w:cs="宋体"/>
          <w:b/>
          <w:sz w:val="32"/>
          <w:szCs w:val="32"/>
          <w:lang w:val="zh-CN"/>
        </w:rPr>
        <w:t xml:space="preserve">响应文件格式</w:t>
      </w:r>
      <w:r/>
    </w:p>
    <w:p>
      <w:pPr>
        <w:ind w:firstLine="420"/>
        <w:jc w:val="left"/>
        <w:spacing w:line="440" w:lineRule="exact"/>
        <w:rPr>
          <w:rFonts w:ascii="宋体" w:hAnsi="宋体"/>
          <w:b/>
          <w:sz w:val="21"/>
          <w:szCs w:val="21"/>
        </w:rPr>
      </w:pPr>
      <w:r/>
      <w:bookmarkStart w:id="1" w:name="_Toc17036"/>
      <w:r/>
      <w:bookmarkStart w:id="2" w:name="_Toc3821"/>
      <w:r>
        <w:rPr>
          <w:rFonts w:ascii="宋体" w:hAnsi="宋体"/>
          <w:b/>
          <w:sz w:val="21"/>
          <w:szCs w:val="21"/>
        </w:rPr>
        <w:t xml:space="preserve">说明：</w:t>
      </w:r>
      <w:r/>
    </w:p>
    <w:p>
      <w:pPr>
        <w:pStyle w:val="771"/>
        <w:ind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firstLine="420"/>
        <w:rPr>
          <w:rFonts w:ascii="宋体" w:hAnsi="宋体"/>
          <w:b/>
          <w:sz w:val="21"/>
          <w:szCs w:val="21"/>
        </w:rPr>
      </w:pPr>
      <w:r>
        <w:rPr>
          <w:rFonts w:ascii="宋体" w:hAnsi="宋体"/>
          <w:b/>
          <w:sz w:val="21"/>
          <w:szCs w:val="21"/>
        </w:rPr>
      </w:r>
      <w:r/>
    </w:p>
    <w:p>
      <w:pPr>
        <w:ind w:firstLine="420"/>
        <w:rPr>
          <w:rFonts w:ascii="宋体" w:hAnsi="宋体"/>
          <w:b/>
          <w:sz w:val="21"/>
          <w:szCs w:val="21"/>
        </w:rPr>
      </w:pPr>
      <w:r>
        <w:rPr>
          <w:rFonts w:ascii="宋体" w:hAnsi="宋体"/>
          <w:b/>
          <w:sz w:val="21"/>
          <w:szCs w:val="21"/>
        </w:rPr>
      </w:r>
      <w:r/>
    </w:p>
    <w:p>
      <w:pPr>
        <w:pStyle w:val="726"/>
        <w:ind w:firstLine="420"/>
        <w:jc w:val="both"/>
        <w:spacing w:before="0" w:after="0"/>
        <w:tabs>
          <w:tab w:val="left" w:pos="1050" w:leader="none"/>
        </w:tabs>
        <w:rPr>
          <w:sz w:val="21"/>
          <w:szCs w:val="21"/>
        </w:rPr>
      </w:pPr>
      <w:r/>
      <w:bookmarkStart w:id="3" w:name="_Toc164685999"/>
      <w:r>
        <w:rPr>
          <w:sz w:val="21"/>
          <w:szCs w:val="21"/>
        </w:rPr>
        <w:t xml:space="preserve">附件</w:t>
      </w:r>
      <w:r>
        <w:rPr>
          <w:rFonts w:hint="eastAsia"/>
          <w:sz w:val="21"/>
          <w:szCs w:val="21"/>
        </w:rPr>
        <w:t xml:space="preserve">1.开标一览表</w:t>
      </w:r>
      <w:bookmarkEnd w:id="3"/>
      <w:r/>
      <w:r/>
    </w:p>
    <w:p>
      <w:pPr>
        <w:spacing w:line="360" w:lineRule="auto"/>
        <w:rPr>
          <w:rFonts w:ascii="宋体" w:hAnsi="宋体"/>
          <w:sz w:val="21"/>
          <w:szCs w:val="21"/>
        </w:rPr>
      </w:pPr>
      <w:r>
        <w:rPr>
          <w:rFonts w:ascii="宋体" w:hAnsi="宋体"/>
          <w:sz w:val="21"/>
          <w:szCs w:val="21"/>
        </w:rPr>
      </w:r>
      <w:r/>
    </w:p>
    <w:p>
      <w:pPr>
        <w:ind w:firstLine="42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774"/>
        <w:ind w:firstLine="560"/>
      </w:pPr>
      <w:r/>
      <w:r/>
    </w:p>
    <w:p>
      <w:pPr>
        <w:pStyle w:val="774"/>
        <w:ind w:firstLine="560"/>
      </w:pPr>
      <w:r/>
      <w:r/>
    </w:p>
    <w:p>
      <w:pPr>
        <w:pStyle w:val="774"/>
        <w:rPr>
          <w:rFonts w:ascii="宋体" w:hAnsi="宋体"/>
          <w:sz w:val="21"/>
          <w:szCs w:val="21"/>
        </w:rPr>
      </w:pPr>
      <w:r>
        <w:rPr>
          <w:rFonts w:hint="eastAsia" w:ascii="宋体" w:hAnsi="宋体"/>
          <w:sz w:val="21"/>
          <w:szCs w:val="21"/>
        </w:rPr>
        <w:t xml:space="preserve">投标人全称（加盖公章）：</w:t>
      </w:r>
      <w:r/>
    </w:p>
    <w:p>
      <w:pPr>
        <w:pStyle w:val="774"/>
        <w:rPr>
          <w:rFonts w:ascii="宋体" w:hAnsi="宋体"/>
          <w:sz w:val="21"/>
          <w:szCs w:val="21"/>
        </w:rPr>
      </w:pPr>
      <w:r>
        <w:rPr>
          <w:rFonts w:hint="eastAsia" w:ascii="宋体" w:hAnsi="宋体"/>
          <w:sz w:val="21"/>
          <w:szCs w:val="21"/>
        </w:rPr>
        <w:t xml:space="preserve">项目编号：</w:t>
      </w:r>
      <w:r/>
    </w:p>
    <w:p>
      <w:pPr>
        <w:pStyle w:val="774"/>
        <w:ind w:firstLine="560"/>
      </w:pPr>
      <w:r/>
      <w:r/>
    </w:p>
    <w:tbl>
      <w:tblPr>
        <w:tblStyle w:val="736"/>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jc w:val="left"/>
              <w:spacing w:line="360" w:lineRule="auto"/>
              <w:rPr>
                <w:rFonts w:ascii="宋体" w:hAnsi="宋体"/>
                <w:sz w:val="21"/>
                <w:szCs w:val="21"/>
              </w:rPr>
            </w:pPr>
            <w:r>
              <w:rPr>
                <w:rFonts w:hint="eastAsia" w:ascii="宋体" w:hAnsi="宋体"/>
                <w:sz w:val="21"/>
                <w:szCs w:val="21"/>
              </w:rPr>
              <w:t xml:space="preserve">投标报价（大写金额）</w:t>
            </w:r>
            <w:r/>
          </w:p>
        </w:tc>
      </w:tr>
    </w:tbl>
    <w:p>
      <w:pPr>
        <w:ind w:firstLine="420"/>
        <w:jc w:val="center"/>
        <w:spacing w:line="360" w:lineRule="auto"/>
        <w:rPr>
          <w:rFonts w:ascii="宋体" w:hAnsi="宋体"/>
          <w:b/>
          <w:sz w:val="21"/>
          <w:szCs w:val="21"/>
        </w:rPr>
      </w:pPr>
      <w:r>
        <w:rPr>
          <w:rFonts w:ascii="宋体" w:hAnsi="宋体"/>
          <w:b/>
          <w:sz w:val="21"/>
          <w:szCs w:val="21"/>
        </w:rPr>
      </w:r>
      <w:r/>
    </w:p>
    <w:p>
      <w:pPr>
        <w:ind w:right="300" w:firstLine="422"/>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422"/>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422"/>
        <w:jc w:val="left"/>
        <w:spacing w:line="360" w:lineRule="auto"/>
        <w:rPr>
          <w:rFonts w:ascii="宋体" w:hAnsi="宋体" w:cs="宋体"/>
          <w:sz w:val="21"/>
          <w:szCs w:val="21"/>
          <w:lang w:val="zh-CN"/>
        </w:rPr>
      </w:pPr>
      <w:r>
        <w:rPr>
          <w:rFonts w:hint="eastAsia" w:ascii="宋体" w:hAnsi="宋体" w:cs="宋体"/>
          <w:sz w:val="21"/>
          <w:szCs w:val="21"/>
          <w:lang w:val="zh-CN"/>
        </w:rPr>
        <w:t xml:space="preserve">日期：年月日</w:t>
      </w:r>
      <w:r/>
    </w:p>
    <w:p>
      <w:pPr>
        <w:ind w:right="-200" w:firstLine="420"/>
        <w:jc w:val="right"/>
        <w:spacing w:line="360" w:lineRule="auto"/>
        <w:rPr>
          <w:rFonts w:ascii="宋体" w:hAnsi="宋体"/>
          <w:b/>
          <w:sz w:val="21"/>
          <w:szCs w:val="21"/>
        </w:rPr>
      </w:pPr>
      <w:r>
        <w:rPr>
          <w:rFonts w:ascii="宋体" w:hAnsi="宋体"/>
          <w:b/>
          <w:sz w:val="21"/>
          <w:szCs w:val="21"/>
        </w:rPr>
      </w:r>
      <w:r/>
    </w:p>
    <w:p>
      <w:pPr>
        <w:ind w:right="40" w:firstLine="442"/>
        <w:spacing w:line="360" w:lineRule="auto"/>
        <w:rPr>
          <w:rFonts w:ascii="宋体" w:cs="宋体"/>
          <w:sz w:val="22"/>
          <w:szCs w:val="22"/>
          <w:lang w:val="zh-CN"/>
        </w:rPr>
      </w:pPr>
      <w:r>
        <w:rPr>
          <w:rFonts w:ascii="宋体" w:cs="宋体"/>
          <w:sz w:val="22"/>
          <w:szCs w:val="22"/>
          <w:lang w:val="zh-CN"/>
        </w:rPr>
      </w:r>
      <w:r/>
    </w:p>
    <w:p>
      <w:pPr>
        <w:ind w:right="40" w:firstLine="442"/>
        <w:jc w:val="center"/>
        <w:spacing w:line="360" w:lineRule="auto"/>
        <w:rPr>
          <w:rFonts w:ascii="宋体" w:cs="宋体"/>
          <w:sz w:val="22"/>
          <w:szCs w:val="22"/>
          <w:lang w:val="zh-CN"/>
        </w:rPr>
      </w:pPr>
      <w:r>
        <w:rPr>
          <w:rFonts w:ascii="宋体" w:cs="宋体"/>
          <w:sz w:val="22"/>
          <w:szCs w:val="22"/>
          <w:lang w:val="zh-CN"/>
        </w:rPr>
      </w:r>
      <w:r/>
    </w:p>
    <w:p>
      <w:pPr>
        <w:jc w:val="left"/>
        <w:spacing w:line="360" w:lineRule="auto"/>
      </w:pPr>
      <w:r/>
      <w:r/>
    </w:p>
    <w:p>
      <w:pPr>
        <w:ind w:firstLine="420"/>
        <w:rPr>
          <w:rFonts w:ascii="宋体" w:hAnsi="宋体"/>
          <w:b/>
          <w:sz w:val="21"/>
          <w:szCs w:val="21"/>
        </w:rPr>
      </w:pPr>
      <w:r>
        <w:rPr>
          <w:rFonts w:hint="eastAsia" w:ascii="宋体" w:hAnsi="宋体"/>
          <w:b/>
          <w:sz w:val="21"/>
          <w:szCs w:val="21"/>
        </w:rPr>
        <w:br w:type="page" w:clear="all"/>
      </w:r>
      <w:r/>
    </w:p>
    <w:p>
      <w:pPr>
        <w:pStyle w:val="726"/>
        <w:ind w:firstLine="420"/>
        <w:jc w:val="both"/>
        <w:spacing w:before="0" w:after="0"/>
        <w:tabs>
          <w:tab w:val="left" w:pos="1050" w:leader="none"/>
        </w:tabs>
        <w:rPr>
          <w:sz w:val="21"/>
          <w:szCs w:val="21"/>
        </w:rPr>
      </w:pPr>
      <w:r/>
      <w:bookmarkStart w:id="4" w:name="_Toc164686000"/>
      <w:r>
        <w:rPr>
          <w:sz w:val="21"/>
          <w:szCs w:val="21"/>
        </w:rPr>
        <w:t xml:space="preserve">附件</w:t>
      </w:r>
      <w:r>
        <w:rPr>
          <w:rFonts w:hint="eastAsia"/>
          <w:sz w:val="21"/>
          <w:szCs w:val="21"/>
        </w:rPr>
        <w:t xml:space="preserve">2.</w:t>
      </w:r>
      <w:r>
        <w:rPr>
          <w:sz w:val="21"/>
          <w:szCs w:val="21"/>
        </w:rPr>
        <w:t xml:space="preserve">关于资格文件的声明函</w:t>
      </w:r>
      <w:bookmarkEnd w:id="4"/>
      <w:r/>
      <w:r/>
    </w:p>
    <w:p>
      <w:pPr>
        <w:ind w:firstLine="420"/>
        <w:jc w:val="center"/>
        <w:rPr>
          <w:rFonts w:ascii="宋体" w:hAnsi="宋体"/>
          <w:b/>
          <w:sz w:val="21"/>
          <w:szCs w:val="21"/>
        </w:rPr>
      </w:pPr>
      <w:r>
        <w:rPr>
          <w:rFonts w:ascii="宋体" w:hAnsi="宋体"/>
          <w:b/>
          <w:sz w:val="21"/>
          <w:szCs w:val="21"/>
        </w:rPr>
      </w:r>
      <w:r/>
    </w:p>
    <w:p>
      <w:pPr>
        <w:ind w:firstLine="420"/>
        <w:jc w:val="center"/>
        <w:rPr>
          <w:rFonts w:ascii="宋体" w:hAnsi="宋体"/>
          <w:b/>
          <w:sz w:val="21"/>
          <w:szCs w:val="21"/>
        </w:rPr>
      </w:pPr>
      <w:r>
        <w:rPr>
          <w:rFonts w:ascii="宋体" w:hAnsi="宋体"/>
          <w:b/>
          <w:sz w:val="21"/>
          <w:szCs w:val="21"/>
        </w:rPr>
        <w:t xml:space="preserve">关于资格文件的声明函</w:t>
      </w:r>
      <w:r/>
    </w:p>
    <w:p>
      <w:pPr>
        <w:ind w:firstLine="422"/>
        <w:jc w:val="center"/>
        <w:rPr>
          <w:rFonts w:ascii="宋体" w:hAnsi="宋体"/>
          <w:sz w:val="21"/>
          <w:szCs w:val="21"/>
        </w:rPr>
      </w:pPr>
      <w:r>
        <w:rPr>
          <w:rFonts w:ascii="宋体" w:hAnsi="宋体"/>
          <w:sz w:val="21"/>
          <w:szCs w:val="21"/>
        </w:rPr>
      </w:r>
      <w:r/>
    </w:p>
    <w:p>
      <w:pPr>
        <w:jc w:val="left"/>
        <w:spacing w:line="360" w:lineRule="auto"/>
        <w:rPr>
          <w:rFonts w:ascii="宋体" w:hAnsi="宋体"/>
          <w:sz w:val="21"/>
          <w:szCs w:val="21"/>
        </w:rPr>
      </w:pPr>
      <w:r>
        <w:rPr>
          <w:rFonts w:hint="eastAsia" w:ascii="宋体" w:hAnsi="宋体"/>
          <w:sz w:val="21"/>
          <w:szCs w:val="21"/>
          <w:u w:val="single"/>
        </w:rPr>
        <w:t xml:space="preserve">江苏大成工程咨询有限公司</w:t>
      </w:r>
      <w:r>
        <w:rPr>
          <w:rFonts w:ascii="宋体" w:hAnsi="宋体"/>
          <w:sz w:val="21"/>
          <w:szCs w:val="21"/>
        </w:rPr>
        <w:t xml:space="preserve">：</w:t>
      </w:r>
      <w:r/>
    </w:p>
    <w:p>
      <w:pPr>
        <w:ind w:firstLine="422"/>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firstLine="422"/>
        <w:jc w:val="left"/>
        <w:spacing w:line="360" w:lineRule="auto"/>
        <w:rPr>
          <w:rFonts w:ascii="宋体" w:hAnsi="宋体"/>
          <w:sz w:val="21"/>
          <w:szCs w:val="21"/>
        </w:rPr>
      </w:pPr>
      <w:r>
        <w:rPr>
          <w:rFonts w:ascii="宋体" w:hAnsi="宋体"/>
          <w:sz w:val="21"/>
          <w:szCs w:val="21"/>
        </w:rPr>
      </w:r>
      <w:r/>
    </w:p>
    <w:p>
      <w:pPr>
        <w:ind w:firstLine="422"/>
        <w:jc w:val="left"/>
        <w:spacing w:line="360" w:lineRule="auto"/>
        <w:rPr>
          <w:rFonts w:ascii="宋体" w:hAnsi="宋体"/>
          <w:sz w:val="21"/>
          <w:szCs w:val="21"/>
        </w:rPr>
      </w:pPr>
      <w:r>
        <w:rPr>
          <w:rFonts w:ascii="宋体" w:hAnsi="宋体"/>
          <w:sz w:val="21"/>
          <w:szCs w:val="21"/>
        </w:rPr>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firstLine="422"/>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right="615"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ind w:firstLine="420"/>
        <w:rPr>
          <w:b/>
          <w:sz w:val="21"/>
        </w:rPr>
        <w:outlineLvl w:val="0"/>
      </w:pPr>
      <w:r>
        <w:rPr>
          <w:b/>
          <w:sz w:val="21"/>
        </w:rPr>
        <w:br w:type="page" w:clear="all"/>
      </w:r>
      <w:r/>
    </w:p>
    <w:p>
      <w:pPr>
        <w:ind w:firstLine="420"/>
        <w:rPr>
          <w:rFonts w:ascii="宋体" w:hAnsi="宋体" w:eastAsia="宋体" w:cs="宋体"/>
          <w:b/>
          <w:sz w:val="21"/>
        </w:rPr>
        <w:outlineLvl w:val="0"/>
      </w:pPr>
      <w:r/>
      <w:bookmarkStart w:id="5" w:name="_Toc164686001"/>
      <w:r>
        <w:rPr>
          <w:rFonts w:hint="eastAsia"/>
          <w:b/>
          <w:sz w:val="21"/>
        </w:rPr>
        <w:t xml:space="preserve">附</w:t>
      </w:r>
      <w:r>
        <w:rPr>
          <w:rFonts w:hint="eastAsia" w:ascii="宋体" w:hAnsi="宋体" w:eastAsia="宋体" w:cs="宋体"/>
          <w:b/>
          <w:sz w:val="21"/>
        </w:rPr>
        <w:t xml:space="preserve">件3.磋商响应单位基本情况表</w:t>
      </w:r>
      <w:bookmarkEnd w:id="5"/>
      <w:r/>
      <w:r/>
    </w:p>
    <w:p>
      <w:pPr>
        <w:jc w:val="left"/>
        <w:spacing w:line="360" w:lineRule="auto"/>
        <w:rPr>
          <w:sz w:val="21"/>
        </w:rPr>
      </w:pPr>
      <w:r>
        <w:rPr>
          <w:sz w:val="21"/>
        </w:rPr>
      </w:r>
      <w:r/>
    </w:p>
    <w:tbl>
      <w:tblPr>
        <w:tblStyle w:val="736"/>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sz w:val="21"/>
              </w:rPr>
            </w:pPr>
            <w:r>
              <w:rPr>
                <w:sz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sz w:val="21"/>
              </w:rPr>
            </w:pPr>
            <w:r>
              <w:rPr>
                <w:sz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sz w:val="21"/>
              </w:rPr>
            </w:pPr>
            <w:r>
              <w:rPr>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sz w:val="21"/>
              </w:rPr>
            </w:pPr>
            <w:r>
              <w:rPr>
                <w:sz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sz w:val="21"/>
              </w:rPr>
            </w:pPr>
            <w:r>
              <w:rPr>
                <w:sz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2"/>
              <w:jc w:val="center"/>
              <w:spacing w:line="360" w:lineRule="auto"/>
              <w:rPr>
                <w:sz w:val="21"/>
              </w:rPr>
            </w:pPr>
            <w:r>
              <w:rPr>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sz w:val="21"/>
              </w:rPr>
            </w:pPr>
            <w:r>
              <w:rPr>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rFonts w:hint="eastAsia"/>
                <w:sz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sz w:val="21"/>
              </w:rPr>
            </w:pPr>
            <w:r>
              <w:rPr>
                <w:rFonts w:hint="eastAsia"/>
                <w:sz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sz w:val="21"/>
              </w:rPr>
            </w:pPr>
            <w:r>
              <w:rPr>
                <w:sz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sz w:val="21"/>
              </w:rPr>
            </w:pPr>
            <w:r>
              <w:rPr>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sz w:val="21"/>
              </w:rPr>
            </w:pPr>
            <w:r>
              <w:rPr>
                <w:sz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sz w:val="21"/>
              </w:rPr>
            </w:pPr>
            <w:r>
              <w:rPr>
                <w:sz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2"/>
              <w:spacing w:line="360" w:lineRule="auto"/>
              <w:rPr>
                <w:sz w:val="21"/>
              </w:rPr>
            </w:pPr>
            <w:r>
              <w:rPr>
                <w:sz w:val="21"/>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sz w:val="21"/>
              </w:rPr>
            </w:pPr>
            <w:r>
              <w:rPr>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sz w:val="21"/>
              </w:rPr>
            </w:pPr>
            <w:r>
              <w:rPr>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sz w:val="21"/>
              </w:rPr>
            </w:pPr>
            <w:r>
              <w:rPr>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sz w:val="21"/>
              </w:rPr>
            </w:pPr>
            <w:r>
              <w:rPr>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sz w:val="21"/>
              </w:rPr>
            </w:pPr>
            <w:r>
              <w:rPr>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sz w:val="21"/>
              </w:rPr>
            </w:pPr>
            <w:r>
              <w:rPr>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sz w:val="21"/>
              </w:rPr>
            </w:pPr>
            <w:r>
              <w:rPr>
                <w:sz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sz w:val="21"/>
              </w:rPr>
            </w:pPr>
            <w:r>
              <w:rPr>
                <w:sz w:val="21"/>
              </w:rPr>
            </w:r>
            <w:r/>
          </w:p>
        </w:tc>
      </w:tr>
    </w:tbl>
    <w:p>
      <w:pPr>
        <w:ind w:firstLine="422"/>
        <w:jc w:val="left"/>
        <w:spacing w:line="360" w:lineRule="auto"/>
        <w:rPr>
          <w:b/>
          <w:sz w:val="21"/>
        </w:rPr>
      </w:pPr>
      <w:r>
        <w:rPr>
          <w:rFonts w:hint="eastAsia"/>
          <w:sz w:val="21"/>
        </w:rPr>
        <w:t xml:space="preserve">注：</w:t>
      </w:r>
      <w:r>
        <w:rPr>
          <w:sz w:val="21"/>
        </w:rPr>
        <w:t xml:space="preserve">若事项较多，供应商可根据实际情况另纸说明。</w:t>
      </w:r>
      <w:r/>
    </w:p>
    <w:p>
      <w:pPr>
        <w:ind w:firstLine="422"/>
        <w:jc w:val="left"/>
        <w:spacing w:line="360" w:lineRule="auto"/>
        <w:rPr>
          <w:sz w:val="21"/>
        </w:rPr>
      </w:pPr>
      <w:r>
        <w:rPr>
          <w:sz w:val="21"/>
        </w:rPr>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firstLine="422"/>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right="615"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ind w:firstLine="420"/>
        <w:rPr>
          <w:rFonts w:ascii="宋体" w:hAnsi="宋体"/>
          <w:b/>
          <w:sz w:val="21"/>
          <w:szCs w:val="21"/>
        </w:rPr>
      </w:pPr>
      <w:r>
        <w:rPr>
          <w:rFonts w:hint="eastAsia" w:ascii="宋体" w:hAnsi="宋体"/>
          <w:b/>
          <w:sz w:val="21"/>
          <w:szCs w:val="21"/>
        </w:rPr>
        <w:br w:type="page" w:clear="all"/>
      </w:r>
      <w:r/>
    </w:p>
    <w:p>
      <w:pPr>
        <w:pStyle w:val="726"/>
        <w:ind w:firstLine="420"/>
        <w:jc w:val="both"/>
        <w:spacing w:before="0" w:after="0"/>
        <w:tabs>
          <w:tab w:val="left" w:pos="1050" w:leader="none"/>
        </w:tabs>
        <w:rPr>
          <w:sz w:val="21"/>
          <w:szCs w:val="21"/>
        </w:rPr>
      </w:pPr>
      <w:r/>
      <w:bookmarkStart w:id="6" w:name="_Toc164686002"/>
      <w:r>
        <w:rPr>
          <w:rFonts w:hint="eastAsia"/>
          <w:sz w:val="21"/>
          <w:szCs w:val="21"/>
        </w:rPr>
        <w:t xml:space="preserve">附件</w:t>
      </w:r>
      <w:bookmarkEnd w:id="1"/>
      <w:r/>
      <w:bookmarkEnd w:id="2"/>
      <w:r>
        <w:rPr>
          <w:rFonts w:hint="eastAsia"/>
          <w:sz w:val="21"/>
          <w:szCs w:val="21"/>
        </w:rPr>
        <w:t xml:space="preserve">4.磋商响应函</w:t>
      </w:r>
      <w:bookmarkEnd w:id="6"/>
      <w:r/>
      <w:r/>
    </w:p>
    <w:p>
      <w:pPr>
        <w:ind w:firstLine="420"/>
        <w:jc w:val="center"/>
        <w:spacing w:line="440" w:lineRule="exact"/>
        <w:rPr>
          <w:rFonts w:ascii="宋体" w:hAnsi="宋体"/>
          <w:b/>
          <w:sz w:val="21"/>
          <w:szCs w:val="21"/>
        </w:rPr>
      </w:pPr>
      <w:r>
        <w:rPr>
          <w:rFonts w:hint="eastAsia" w:ascii="宋体" w:hAnsi="宋体"/>
          <w:b/>
          <w:sz w:val="21"/>
          <w:szCs w:val="21"/>
        </w:rPr>
        <w:t xml:space="preserve">磋商响应函</w:t>
      </w:r>
      <w:r/>
    </w:p>
    <w:p>
      <w:pPr>
        <w:ind w:firstLine="420"/>
        <w:jc w:val="left"/>
        <w:spacing w:line="440" w:lineRule="exact"/>
        <w:rPr>
          <w:rFonts w:ascii="宋体" w:hAnsi="宋体"/>
          <w:b/>
          <w:sz w:val="21"/>
          <w:szCs w:val="21"/>
        </w:rPr>
      </w:pPr>
      <w:r>
        <w:rPr>
          <w:rFonts w:ascii="宋体" w:hAnsi="宋体"/>
          <w:b/>
          <w:sz w:val="21"/>
          <w:szCs w:val="21"/>
        </w:rPr>
      </w:r>
      <w:r/>
    </w:p>
    <w:p>
      <w:pPr>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江苏大成工程咨询有限公司</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我方收到贵中心（项目编号）采购文件，经仔细阅读和研究，我方决定参加磋商活动，并向贵中心作出如下承诺：</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单位：联系人：</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地址：邮政编码：</w:t>
      </w:r>
      <w:r/>
    </w:p>
    <w:p>
      <w:pPr>
        <w:ind w:firstLine="422"/>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联系电话：电子邮箱：</w:t>
      </w:r>
      <w:r/>
    </w:p>
    <w:p>
      <w:pPr>
        <w:ind w:right="840" w:firstLine="422"/>
        <w:jc w:val="center"/>
        <w:spacing w:line="440" w:lineRule="exact"/>
        <w:rPr>
          <w:rFonts w:ascii="宋体" w:hAnsi="宋体" w:cs="宋体"/>
          <w:sz w:val="21"/>
          <w:szCs w:val="21"/>
          <w:lang w:val="zh-CN"/>
        </w:rPr>
      </w:pPr>
      <w:r>
        <w:rPr>
          <w:rFonts w:ascii="宋体" w:hAnsi="宋体" w:cs="宋体"/>
          <w:sz w:val="21"/>
          <w:szCs w:val="21"/>
          <w:lang w:val="zh-CN"/>
        </w:rPr>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firstLine="422"/>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right="615"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ind w:right="-200" w:firstLine="420"/>
        <w:jc w:val="right"/>
        <w:spacing w:line="360" w:lineRule="auto"/>
        <w:rPr>
          <w:rFonts w:ascii="宋体" w:hAnsi="宋体"/>
          <w:b/>
          <w:sz w:val="21"/>
          <w:szCs w:val="21"/>
        </w:rPr>
      </w:pPr>
      <w:r>
        <w:rPr>
          <w:rFonts w:ascii="宋体" w:hAnsi="宋体"/>
          <w:b/>
          <w:sz w:val="21"/>
          <w:szCs w:val="21"/>
        </w:rPr>
        <w:br w:type="page" w:clear="all"/>
      </w:r>
      <w:r/>
    </w:p>
    <w:p>
      <w:pPr>
        <w:pStyle w:val="726"/>
        <w:ind w:firstLine="420"/>
        <w:jc w:val="both"/>
        <w:spacing w:before="0" w:after="0"/>
        <w:tabs>
          <w:tab w:val="left" w:pos="1050" w:leader="none"/>
        </w:tabs>
        <w:rPr>
          <w:sz w:val="21"/>
          <w:szCs w:val="21"/>
        </w:rPr>
      </w:pPr>
      <w:r/>
      <w:bookmarkStart w:id="7" w:name="_Toc164686003"/>
      <w:r>
        <w:rPr>
          <w:sz w:val="21"/>
          <w:szCs w:val="21"/>
        </w:rPr>
        <w:t xml:space="preserve">附件</w:t>
      </w:r>
      <w:r>
        <w:rPr>
          <w:rFonts w:hint="eastAsia"/>
          <w:sz w:val="21"/>
          <w:szCs w:val="21"/>
        </w:rPr>
        <w:t xml:space="preserve">5.磋商报价分析表</w:t>
      </w:r>
      <w:bookmarkEnd w:id="7"/>
      <w:r/>
      <w:r/>
    </w:p>
    <w:p>
      <w:pPr>
        <w:ind w:firstLine="420"/>
        <w:jc w:val="center"/>
        <w:rPr>
          <w:rFonts w:ascii="宋体" w:hAnsi="宋体"/>
          <w:b/>
          <w:sz w:val="21"/>
          <w:szCs w:val="21"/>
        </w:rPr>
      </w:pPr>
      <w:r>
        <w:rPr>
          <w:rFonts w:hint="eastAsia" w:ascii="宋体" w:hAnsi="宋体"/>
          <w:b/>
          <w:sz w:val="21"/>
          <w:szCs w:val="21"/>
        </w:rPr>
        <w:t xml:space="preserve">磋商报价分析表</w:t>
      </w:r>
      <w:r/>
    </w:p>
    <w:p>
      <w:pPr>
        <w:jc w:val="center"/>
        <w:rPr>
          <w:rFonts w:ascii="宋体" w:hAnsi="宋体"/>
          <w:sz w:val="21"/>
          <w:szCs w:val="21"/>
          <w:u w:val="single"/>
        </w:rPr>
      </w:pPr>
      <w:r>
        <w:rPr>
          <w:rFonts w:ascii="宋体" w:hAnsi="宋体"/>
          <w:sz w:val="21"/>
          <w:szCs w:val="21"/>
          <w:u w:val="single"/>
        </w:rPr>
      </w:r>
      <w:r/>
    </w:p>
    <w:tbl>
      <w:tblPr>
        <w:tblStyle w:val="736"/>
        <w:tblW w:w="930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6"/>
        <w:gridCol w:w="1851"/>
        <w:gridCol w:w="1276"/>
        <w:gridCol w:w="850"/>
        <w:gridCol w:w="984"/>
        <w:gridCol w:w="992"/>
        <w:gridCol w:w="993"/>
        <w:gridCol w:w="1250"/>
      </w:tblGrid>
      <w:tr>
        <w:trPr>
          <w:cantSplit/>
          <w:jc w:val="center"/>
        </w:trPr>
        <w:tc>
          <w:tcPr>
            <w:tcW w:w="1106" w:type="dxa"/>
            <w:vAlign w:val="center"/>
            <w:textDirection w:val="lrTb"/>
            <w:noWrap w:val="false"/>
          </w:tcPr>
          <w:p>
            <w:pPr>
              <w:jc w:val="center"/>
              <w:widowControl/>
              <w:rPr>
                <w:rFonts w:ascii="宋体" w:hAnsi="宋体" w:eastAsia="宋体" w:cs="宋体"/>
                <w:bCs/>
                <w:sz w:val="21"/>
                <w:szCs w:val="21"/>
              </w:rPr>
            </w:pPr>
            <w:r>
              <w:rPr>
                <w:rFonts w:hint="eastAsia" w:ascii="宋体" w:hAnsi="宋体" w:eastAsia="宋体" w:cs="宋体"/>
                <w:bCs/>
                <w:sz w:val="21"/>
                <w:szCs w:val="21"/>
              </w:rPr>
              <w:t xml:space="preserve">序号</w:t>
            </w:r>
            <w:r/>
          </w:p>
        </w:tc>
        <w:tc>
          <w:tcPr>
            <w:tcBorders>
              <w:right w:val="single" w:color="000000" w:sz="4" w:space="0"/>
            </w:tcBorders>
            <w:tcW w:w="1851" w:type="dxa"/>
            <w:vAlign w:val="center"/>
            <w:textDirection w:val="lrTb"/>
            <w:noWrap w:val="false"/>
          </w:tcPr>
          <w:p>
            <w:pPr>
              <w:jc w:val="center"/>
              <w:widowControl/>
              <w:rPr>
                <w:rFonts w:ascii="宋体" w:hAnsi="宋体" w:eastAsia="宋体" w:cs="宋体"/>
                <w:bCs/>
                <w:sz w:val="21"/>
                <w:szCs w:val="21"/>
              </w:rPr>
            </w:pPr>
            <w:r>
              <w:rPr>
                <w:rFonts w:hint="eastAsia" w:ascii="宋体" w:hAnsi="宋体" w:eastAsia="宋体" w:cs="宋体"/>
                <w:bCs/>
                <w:sz w:val="21"/>
                <w:szCs w:val="21"/>
              </w:rPr>
              <w:t xml:space="preserve">名称</w:t>
            </w:r>
            <w:r/>
          </w:p>
        </w:tc>
        <w:tc>
          <w:tcPr>
            <w:tcBorders>
              <w:left w:val="single" w:color="000000" w:sz="4" w:space="0"/>
              <w:right w:val="single" w:color="000000" w:sz="4" w:space="0"/>
            </w:tcBorders>
            <w:tcW w:w="1276" w:type="dxa"/>
            <w:vAlign w:val="center"/>
            <w:textDirection w:val="lrTb"/>
            <w:noWrap w:val="false"/>
          </w:tcPr>
          <w:p>
            <w:pPr>
              <w:jc w:val="center"/>
              <w:widowControl/>
              <w:rPr>
                <w:rFonts w:ascii="宋体" w:hAnsi="宋体" w:eastAsia="宋体" w:cs="宋体"/>
                <w:bCs/>
                <w:sz w:val="21"/>
                <w:szCs w:val="21"/>
              </w:rPr>
            </w:pPr>
            <w:r>
              <w:rPr>
                <w:rFonts w:hint="eastAsia" w:ascii="宋体" w:hAnsi="宋体" w:eastAsia="宋体" w:cs="宋体"/>
                <w:bCs/>
                <w:sz w:val="21"/>
                <w:szCs w:val="21"/>
              </w:rPr>
              <w:t xml:space="preserve">规格</w:t>
            </w:r>
            <w:r/>
          </w:p>
        </w:tc>
        <w:tc>
          <w:tcPr>
            <w:tcBorders>
              <w:left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bCs/>
                <w:sz w:val="21"/>
                <w:szCs w:val="21"/>
              </w:rPr>
            </w:pPr>
            <w:r>
              <w:rPr>
                <w:rFonts w:hint="eastAsia" w:ascii="宋体" w:hAnsi="宋体" w:eastAsia="宋体" w:cs="宋体"/>
                <w:bCs/>
                <w:sz w:val="21"/>
                <w:szCs w:val="21"/>
              </w:rPr>
              <w:t xml:space="preserve">数量</w:t>
            </w:r>
            <w:r/>
          </w:p>
        </w:tc>
        <w:tc>
          <w:tcPr>
            <w:tcBorders>
              <w:left w:val="single" w:color="000000" w:sz="4" w:space="0"/>
              <w:right w:val="single" w:color="000000" w:sz="4" w:space="0"/>
            </w:tcBorders>
            <w:tcW w:w="984" w:type="dxa"/>
            <w:vAlign w:val="center"/>
            <w:textDirection w:val="lrTb"/>
            <w:noWrap w:val="false"/>
          </w:tcPr>
          <w:p>
            <w:pPr>
              <w:jc w:val="center"/>
              <w:widowControl/>
              <w:rPr>
                <w:rFonts w:ascii="宋体" w:hAnsi="宋体" w:eastAsia="宋体" w:cs="宋体"/>
                <w:bCs/>
                <w:sz w:val="21"/>
                <w:szCs w:val="21"/>
              </w:rPr>
            </w:pPr>
            <w:r>
              <w:rPr>
                <w:rFonts w:hint="eastAsia" w:ascii="宋体" w:hAnsi="宋体" w:eastAsia="宋体" w:cs="宋体"/>
                <w:bCs/>
                <w:sz w:val="21"/>
                <w:szCs w:val="21"/>
              </w:rPr>
              <w:t xml:space="preserve">单位</w:t>
            </w:r>
            <w:r/>
          </w:p>
        </w:tc>
        <w:tc>
          <w:tcPr>
            <w:tcBorders>
              <w:left w:val="single" w:color="000000" w:sz="4" w:space="0"/>
            </w:tcBorders>
            <w:tcW w:w="992" w:type="dxa"/>
            <w:vAlign w:val="center"/>
            <w:textDirection w:val="lrTb"/>
            <w:noWrap w:val="false"/>
          </w:tcPr>
          <w:p>
            <w:pPr>
              <w:jc w:val="center"/>
              <w:spacing w:line="360" w:lineRule="exact"/>
              <w:rPr>
                <w:rFonts w:ascii="宋体" w:hAnsi="宋体" w:eastAsia="宋体" w:cs="宋体"/>
                <w:bCs/>
                <w:sz w:val="21"/>
                <w:szCs w:val="21"/>
              </w:rPr>
            </w:pPr>
            <w:r>
              <w:rPr>
                <w:rFonts w:hint="eastAsia" w:ascii="宋体" w:hAnsi="宋体" w:eastAsia="宋体" w:cs="宋体"/>
                <w:bCs/>
                <w:sz w:val="21"/>
                <w:szCs w:val="21"/>
              </w:rPr>
              <w:t xml:space="preserve">单价</w:t>
            </w:r>
            <w:r/>
          </w:p>
        </w:tc>
        <w:tc>
          <w:tcPr>
            <w:tcBorders>
              <w:right w:val="single" w:color="000000" w:sz="4" w:space="0"/>
            </w:tcBorders>
            <w:tcW w:w="993" w:type="dxa"/>
            <w:vAlign w:val="center"/>
            <w:textDirection w:val="lrTb"/>
            <w:noWrap w:val="false"/>
          </w:tcPr>
          <w:p>
            <w:pPr>
              <w:jc w:val="center"/>
              <w:spacing w:line="360" w:lineRule="exact"/>
              <w:rPr>
                <w:rFonts w:ascii="宋体" w:hAnsi="宋体" w:eastAsia="宋体" w:cs="宋体"/>
                <w:bCs/>
                <w:sz w:val="21"/>
                <w:szCs w:val="21"/>
              </w:rPr>
            </w:pPr>
            <w:r>
              <w:rPr>
                <w:rFonts w:hint="eastAsia" w:ascii="宋体" w:hAnsi="宋体" w:eastAsia="宋体" w:cs="宋体"/>
                <w:bCs/>
                <w:sz w:val="21"/>
                <w:szCs w:val="21"/>
              </w:rPr>
              <w:t xml:space="preserve">总价</w:t>
            </w:r>
            <w:r/>
          </w:p>
        </w:tc>
        <w:tc>
          <w:tcPr>
            <w:tcBorders>
              <w:left w:val="single" w:color="000000" w:sz="4" w:space="0"/>
              <w:right w:val="single" w:color="000000" w:sz="4" w:space="0"/>
            </w:tcBorders>
            <w:tcW w:w="1250" w:type="dxa"/>
            <w:vAlign w:val="center"/>
            <w:textDirection w:val="lrTb"/>
            <w:noWrap w:val="false"/>
          </w:tcPr>
          <w:p>
            <w:pPr>
              <w:jc w:val="center"/>
              <w:spacing w:line="360" w:lineRule="exact"/>
              <w:rPr>
                <w:rFonts w:ascii="宋体" w:hAnsi="宋体" w:eastAsia="宋体" w:cs="宋体"/>
                <w:bCs/>
                <w:sz w:val="21"/>
                <w:szCs w:val="21"/>
              </w:rPr>
            </w:pPr>
            <w:r>
              <w:rPr>
                <w:rFonts w:hint="eastAsia" w:ascii="宋体" w:hAnsi="宋体" w:eastAsia="宋体" w:cs="宋体"/>
                <w:bCs/>
                <w:sz w:val="21"/>
                <w:szCs w:val="21"/>
              </w:rPr>
              <w:t xml:space="preserve">养护期限</w:t>
            </w:r>
            <w:r/>
          </w:p>
        </w:tc>
      </w:tr>
      <w:tr>
        <w:trPr>
          <w:cantSplit/>
          <w:jc w:val="center"/>
        </w:trPr>
        <w:tc>
          <w:tcPr>
            <w:tcW w:w="1106" w:type="dxa"/>
            <w:textDirection w:val="lrTb"/>
            <w:noWrap w:val="false"/>
          </w:tcPr>
          <w:p>
            <w:pPr>
              <w:ind w:firstLine="480"/>
              <w:jc w:val="center"/>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1851" w:type="dxa"/>
            <w:textDirection w:val="lrTb"/>
            <w:noWrap w:val="false"/>
          </w:tcPr>
          <w:p>
            <w:pPr>
              <w:ind w:firstLine="480"/>
              <w:jc w:val="center"/>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76" w:type="dxa"/>
            <w:textDirection w:val="lrTb"/>
            <w:noWrap w:val="false"/>
          </w:tcPr>
          <w:p>
            <w:pPr>
              <w:ind w:firstLine="480"/>
              <w:jc w:val="center"/>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850" w:type="dxa"/>
            <w:textDirection w:val="lrTb"/>
            <w:noWrap w:val="false"/>
          </w:tcPr>
          <w:p>
            <w:pPr>
              <w:ind w:firstLine="480"/>
              <w:jc w:val="center"/>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984" w:type="dxa"/>
            <w:vAlign w:val="center"/>
            <w:textDirection w:val="lrTb"/>
            <w:noWrap w:val="false"/>
          </w:tcPr>
          <w:p>
            <w:pPr>
              <w:ind w:firstLine="480"/>
              <w:jc w:val="center"/>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tcBorders>
            <w:tcW w:w="992" w:type="dxa"/>
            <w:textDirection w:val="lrTb"/>
            <w:noWrap w:val="false"/>
          </w:tcPr>
          <w:p>
            <w:pPr>
              <w:ind w:firstLine="480"/>
              <w:jc w:val="center"/>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993" w:type="dxa"/>
            <w:textDirection w:val="lrTb"/>
            <w:noWrap w:val="false"/>
          </w:tcPr>
          <w:p>
            <w:pPr>
              <w:ind w:firstLine="480"/>
              <w:jc w:val="center"/>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50" w:type="dxa"/>
            <w:textDirection w:val="lrTb"/>
            <w:noWrap w:val="false"/>
          </w:tcPr>
          <w:p>
            <w:pPr>
              <w:ind w:firstLine="480"/>
              <w:jc w:val="center"/>
              <w:spacing w:line="360" w:lineRule="exact"/>
              <w:rPr>
                <w:rFonts w:ascii="宋体" w:hAnsi="宋体" w:eastAsia="宋体"/>
                <w:sz w:val="21"/>
                <w:szCs w:val="21"/>
              </w:rPr>
            </w:pPr>
            <w:r>
              <w:rPr>
                <w:rFonts w:ascii="宋体" w:hAnsi="宋体" w:eastAsia="宋体"/>
                <w:sz w:val="21"/>
                <w:szCs w:val="21"/>
              </w:rPr>
            </w:r>
            <w:r/>
          </w:p>
        </w:tc>
      </w:tr>
      <w:tr>
        <w:trPr>
          <w:cantSplit/>
          <w:jc w:val="center"/>
        </w:trPr>
        <w:tc>
          <w:tcPr>
            <w:tcW w:w="1106"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1851"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76"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850"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984"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tcBorders>
            <w:tcW w:w="992"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993"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50"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r>
      <w:tr>
        <w:trPr>
          <w:cantSplit/>
          <w:jc w:val="center"/>
        </w:trPr>
        <w:tc>
          <w:tcPr>
            <w:tcW w:w="1106"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1851"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76"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850"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984"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tcBorders>
            <w:tcW w:w="992"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993"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50"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r>
      <w:tr>
        <w:trPr>
          <w:cantSplit/>
          <w:jc w:val="center"/>
        </w:trPr>
        <w:tc>
          <w:tcPr>
            <w:tcW w:w="1106"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1851"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76"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850"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984"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tcBorders>
            <w:tcW w:w="992"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993"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50"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r>
      <w:tr>
        <w:trPr>
          <w:cantSplit/>
          <w:jc w:val="center"/>
        </w:trPr>
        <w:tc>
          <w:tcPr>
            <w:tcW w:w="1106"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1851"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76"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850"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984"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tcBorders>
            <w:tcW w:w="992"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993"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50"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r>
      <w:tr>
        <w:trPr>
          <w:cantSplit/>
          <w:jc w:val="center"/>
        </w:trPr>
        <w:tc>
          <w:tcPr>
            <w:tcW w:w="1106"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1851"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76"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850"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984"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tcBorders>
            <w:tcW w:w="992"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right w:val="single" w:color="000000" w:sz="4" w:space="0"/>
            </w:tcBorders>
            <w:tcW w:w="993"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c>
          <w:tcPr>
            <w:tcBorders>
              <w:left w:val="single" w:color="000000" w:sz="4" w:space="0"/>
              <w:right w:val="single" w:color="000000" w:sz="4" w:space="0"/>
            </w:tcBorders>
            <w:tcW w:w="1250" w:type="dxa"/>
            <w:textDirection w:val="lrTb"/>
            <w:noWrap w:val="false"/>
          </w:tcPr>
          <w:p>
            <w:pPr>
              <w:ind w:firstLine="480"/>
              <w:spacing w:line="360" w:lineRule="exact"/>
              <w:rPr>
                <w:rFonts w:ascii="宋体" w:hAnsi="宋体" w:eastAsia="宋体"/>
                <w:sz w:val="21"/>
                <w:szCs w:val="21"/>
              </w:rPr>
            </w:pPr>
            <w:r>
              <w:rPr>
                <w:rFonts w:ascii="宋体" w:hAnsi="宋体" w:eastAsia="宋体"/>
                <w:sz w:val="21"/>
                <w:szCs w:val="21"/>
              </w:rPr>
            </w:r>
            <w:r/>
          </w:p>
        </w:tc>
      </w:tr>
      <w:tr>
        <w:trPr>
          <w:cantSplit/>
          <w:jc w:val="center"/>
        </w:trPr>
        <w:tc>
          <w:tcPr>
            <w:tcW w:w="1106" w:type="dxa"/>
            <w:textDirection w:val="lrTb"/>
            <w:noWrap w:val="false"/>
          </w:tcPr>
          <w:p>
            <w:pPr>
              <w:spacing w:line="360" w:lineRule="exact"/>
              <w:rPr>
                <w:rFonts w:ascii="宋体" w:hAnsi="宋体" w:eastAsia="宋体"/>
                <w:sz w:val="21"/>
                <w:szCs w:val="21"/>
              </w:rPr>
            </w:pPr>
            <w:r>
              <w:rPr>
                <w:rFonts w:hint="eastAsia" w:ascii="宋体" w:hAnsi="宋体" w:eastAsia="宋体"/>
                <w:sz w:val="21"/>
                <w:szCs w:val="21"/>
              </w:rPr>
              <w:t xml:space="preserve">总报价</w:t>
            </w:r>
            <w:r/>
          </w:p>
        </w:tc>
        <w:tc>
          <w:tcPr>
            <w:gridSpan w:val="7"/>
            <w:tcBorders>
              <w:right w:val="single" w:color="000000" w:sz="4" w:space="0"/>
            </w:tcBorders>
            <w:tcW w:w="8196" w:type="dxa"/>
            <w:textDirection w:val="lrTb"/>
            <w:noWrap w:val="false"/>
          </w:tcPr>
          <w:p>
            <w:pPr>
              <w:ind w:firstLine="480"/>
              <w:spacing w:line="360" w:lineRule="exact"/>
              <w:rPr>
                <w:rFonts w:ascii="宋体" w:hAnsi="宋体" w:eastAsia="宋体"/>
                <w:sz w:val="21"/>
                <w:szCs w:val="21"/>
              </w:rPr>
            </w:pPr>
            <w:r>
              <w:rPr>
                <w:rFonts w:hint="eastAsia" w:ascii="宋体" w:hAnsi="宋体" w:eastAsia="宋体"/>
                <w:sz w:val="21"/>
                <w:szCs w:val="21"/>
              </w:rPr>
              <w:t xml:space="preserve">金额大写     元</w:t>
            </w:r>
            <w:r/>
          </w:p>
        </w:tc>
      </w:tr>
    </w:tbl>
    <w:p>
      <w:pPr>
        <w:ind w:right="-200"/>
        <w:jc w:val="right"/>
        <w:rPr>
          <w:rFonts w:ascii="宋体" w:hAnsi="宋体" w:cs="宋体"/>
          <w:sz w:val="21"/>
          <w:szCs w:val="21"/>
        </w:rPr>
      </w:pPr>
      <w:r>
        <w:rPr>
          <w:rFonts w:ascii="宋体" w:hAnsi="宋体" w:cs="宋体"/>
          <w:sz w:val="21"/>
          <w:szCs w:val="21"/>
        </w:rPr>
      </w:r>
      <w:r/>
    </w:p>
    <w:p>
      <w:pPr>
        <w:ind w:right="-200"/>
        <w:jc w:val="right"/>
        <w:rPr>
          <w:rFonts w:ascii="宋体" w:hAnsi="宋体" w:cs="宋体"/>
          <w:sz w:val="21"/>
          <w:szCs w:val="21"/>
        </w:rPr>
      </w:pPr>
      <w:r>
        <w:rPr>
          <w:rFonts w:ascii="宋体" w:hAnsi="宋体" w:cs="宋体"/>
          <w:sz w:val="21"/>
          <w:szCs w:val="21"/>
        </w:rPr>
      </w:r>
      <w:r/>
    </w:p>
    <w:p>
      <w:pPr>
        <w:ind w:right="-200"/>
        <w:jc w:val="right"/>
        <w:rPr>
          <w:rFonts w:ascii="宋体" w:hAnsi="宋体" w:cs="宋体"/>
          <w:sz w:val="21"/>
          <w:szCs w:val="21"/>
        </w:rPr>
      </w:pPr>
      <w:r>
        <w:rPr>
          <w:rFonts w:ascii="宋体" w:hAnsi="宋体" w:cs="宋体"/>
          <w:sz w:val="21"/>
          <w:szCs w:val="21"/>
        </w:rPr>
      </w:r>
      <w:r/>
    </w:p>
    <w:p>
      <w:pPr>
        <w:ind w:right="-200"/>
        <w:jc w:val="right"/>
        <w:rPr>
          <w:rFonts w:ascii="宋体" w:hAnsi="宋体" w:cs="宋体"/>
          <w:sz w:val="21"/>
          <w:szCs w:val="21"/>
        </w:rPr>
      </w:pPr>
      <w:r>
        <w:rPr>
          <w:rFonts w:ascii="宋体" w:hAnsi="宋体" w:cs="宋体"/>
          <w:sz w:val="21"/>
          <w:szCs w:val="21"/>
        </w:rPr>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                                    供应商名称</w:t>
      </w:r>
      <w:r>
        <w:rPr>
          <w:rFonts w:ascii="宋体" w:hAnsi="宋体"/>
          <w:color w:val="000000"/>
          <w:sz w:val="21"/>
          <w:szCs w:val="21"/>
        </w:rPr>
        <w:t xml:space="preserve">：（公章）</w:t>
      </w:r>
      <w:r/>
    </w:p>
    <w:p>
      <w:pPr>
        <w:ind w:firstLine="422"/>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right="615"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spacing w:line="360" w:lineRule="auto"/>
        <w:rPr>
          <w:rFonts w:ascii="宋体" w:hAnsi="宋体"/>
          <w:sz w:val="21"/>
          <w:szCs w:val="21"/>
        </w:rPr>
      </w:pPr>
      <w:r>
        <w:rPr>
          <w:rFonts w:ascii="宋体" w:hAnsi="宋体"/>
          <w:sz w:val="21"/>
          <w:szCs w:val="21"/>
        </w:rPr>
      </w:r>
      <w:r/>
    </w:p>
    <w:p>
      <w:pPr>
        <w:spacing w:line="360" w:lineRule="auto"/>
        <w:tabs>
          <w:tab w:val="left" w:pos="1320" w:leader="none"/>
        </w:tabs>
      </w:pPr>
      <w:r>
        <w:rPr>
          <w:rFonts w:hint="eastAsia" w:ascii="宋体" w:hAnsi="宋体" w:cs="宋体"/>
          <w:sz w:val="21"/>
          <w:szCs w:val="21"/>
        </w:rPr>
        <w:t xml:space="preserve">注：1.本表中的报价为综合报价，包括完成本项工作所需的人工、材料、机械、管理、养护、维修、更换、失窃费用、保险、安全、人身意外伤亡、利润、税金、政策性文件规定及合同包含的所有风险、责任等一切费用。</w:t>
      </w:r>
      <w:r/>
    </w:p>
    <w:p>
      <w:pPr>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spacing w:line="360" w:lineRule="auto"/>
        <w:tabs>
          <w:tab w:val="left" w:pos="1320" w:leader="none"/>
        </w:tabs>
        <w:rPr>
          <w:rFonts w:ascii="宋体" w:hAnsi="宋体"/>
          <w:sz w:val="21"/>
          <w:szCs w:val="21"/>
        </w:rPr>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spacing w:line="360" w:lineRule="auto"/>
        <w:tabs>
          <w:tab w:val="left" w:pos="1320" w:leader="none"/>
        </w:tabs>
        <w:rPr>
          <w:rFonts w:ascii="宋体" w:hAnsi="宋体"/>
          <w:bCs/>
          <w:sz w:val="21"/>
          <w:szCs w:val="21"/>
        </w:rPr>
      </w:pPr>
      <w:r>
        <w:rPr>
          <w:rFonts w:hint="eastAsia" w:ascii="宋体" w:hAnsi="宋体"/>
          <w:bCs/>
          <w:sz w:val="21"/>
          <w:szCs w:val="21"/>
        </w:rPr>
        <w:t xml:space="preserve">4.按照清单明细逐项报价。</w:t>
      </w:r>
      <w:r/>
    </w:p>
    <w:p>
      <w:pPr>
        <w:spacing w:line="360" w:lineRule="auto"/>
        <w:rPr>
          <w:rFonts w:ascii="宋体" w:hAnsi="宋体" w:eastAsia="宋体" w:cs="宋体"/>
          <w:bCs/>
          <w:sz w:val="21"/>
          <w:szCs w:val="21"/>
        </w:rPr>
      </w:pPr>
      <w:r>
        <w:rPr>
          <w:rFonts w:hint="eastAsia" w:ascii="宋体" w:hAnsi="宋体" w:eastAsia="宋体" w:cs="宋体"/>
          <w:bCs/>
          <w:sz w:val="21"/>
          <w:szCs w:val="21"/>
        </w:rPr>
        <w:t xml:space="preserve">5</w:t>
      </w:r>
      <w:r>
        <w:rPr>
          <w:rFonts w:ascii="宋体" w:hAnsi="宋体" w:eastAsia="宋体" w:cs="宋体"/>
          <w:bCs/>
          <w:sz w:val="21"/>
          <w:szCs w:val="21"/>
        </w:rPr>
        <w:t xml:space="preserve">.</w:t>
      </w:r>
      <w:r>
        <w:rPr>
          <w:rFonts w:hint="eastAsia" w:ascii="宋体" w:hAnsi="宋体" w:eastAsia="宋体" w:cs="宋体"/>
          <w:bCs/>
          <w:sz w:val="21"/>
          <w:szCs w:val="21"/>
        </w:rPr>
        <w:t xml:space="preserve">本项目代理服务费：43600元。</w:t>
      </w:r>
      <w:r>
        <w:rPr>
          <w:rFonts w:ascii="宋体" w:hAnsi="宋体" w:eastAsia="宋体" w:cs="宋体"/>
          <w:bCs/>
          <w:sz w:val="21"/>
          <w:szCs w:val="21"/>
        </w:rPr>
        <w:t xml:space="preserve">本项目中标服务费已包含在预算价中，由中标单位支付，请投标人在投标时充分考虑这一因素。</w:t>
      </w:r>
      <w:r/>
    </w:p>
    <w:p>
      <w:pPr>
        <w:spacing w:line="360" w:lineRule="auto"/>
        <w:tabs>
          <w:tab w:val="left" w:pos="1320" w:leader="none"/>
        </w:tabs>
        <w:rPr>
          <w:rFonts w:hint="eastAsia" w:ascii="宋体" w:hAnsi="宋体"/>
          <w:bCs/>
          <w:sz w:val="21"/>
          <w:szCs w:val="21"/>
        </w:rPr>
      </w:pPr>
      <w:r>
        <w:rPr>
          <w:rFonts w:hint="eastAsia" w:ascii="宋体" w:hAnsi="宋体"/>
          <w:bCs/>
          <w:sz w:val="21"/>
          <w:szCs w:val="21"/>
        </w:rPr>
      </w:r>
      <w:r/>
    </w:p>
    <w:p>
      <w:pPr>
        <w:ind w:firstLine="42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726"/>
        <w:ind w:firstLine="420"/>
        <w:jc w:val="both"/>
        <w:spacing w:before="0" w:after="0"/>
        <w:tabs>
          <w:tab w:val="left" w:pos="1050" w:leader="none"/>
        </w:tabs>
        <w:rPr>
          <w:sz w:val="21"/>
          <w:szCs w:val="21"/>
        </w:rPr>
      </w:pPr>
      <w:r/>
      <w:bookmarkStart w:id="8" w:name="_Toc164686004"/>
      <w:r>
        <w:rPr>
          <w:sz w:val="21"/>
          <w:szCs w:val="21"/>
        </w:rPr>
        <w:t xml:space="preserve">附件</w:t>
      </w:r>
      <w:r>
        <w:rPr>
          <w:rFonts w:hint="eastAsia"/>
          <w:sz w:val="21"/>
          <w:szCs w:val="21"/>
        </w:rPr>
        <w:t xml:space="preserve">6.</w:t>
      </w:r>
      <w:r>
        <w:rPr>
          <w:sz w:val="21"/>
          <w:szCs w:val="21"/>
        </w:rPr>
        <w:t xml:space="preserve">法定代表人授权委托书</w:t>
      </w:r>
      <w:bookmarkEnd w:id="8"/>
      <w:r/>
      <w:r/>
    </w:p>
    <w:p>
      <w:pPr>
        <w:ind w:firstLine="42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firstLine="422"/>
        <w:spacing w:line="360" w:lineRule="auto"/>
        <w:rPr>
          <w:rFonts w:ascii="宋体" w:hAnsi="宋体"/>
          <w:sz w:val="21"/>
          <w:szCs w:val="21"/>
        </w:rPr>
      </w:pPr>
      <w:r>
        <w:rPr>
          <w:rFonts w:ascii="宋体" w:hAnsi="宋体"/>
          <w:sz w:val="21"/>
          <w:szCs w:val="21"/>
        </w:rPr>
        <w:t xml:space="preserve">本授权委托书声明：我（姓名）系</w:t>
      </w:r>
      <w:r>
        <w:rPr>
          <w:rFonts w:hint="eastAsia" w:ascii="宋体" w:hAnsi="宋体"/>
          <w:sz w:val="21"/>
          <w:szCs w:val="21"/>
          <w:u w:val="single"/>
        </w:rPr>
        <w:t xml:space="preserve">（</w:t>
      </w:r>
      <w:r>
        <w:rPr>
          <w:rFonts w:ascii="宋体" w:hAnsi="宋体"/>
          <w:sz w:val="21"/>
          <w:szCs w:val="21"/>
        </w:rPr>
        <w:t xml:space="preserve">供应商名称）的法定代表人，现授权委托（姓名）为我公司授权代表（即代理人），以本公司的名义参</w:t>
      </w:r>
      <w:r>
        <w:rPr>
          <w:rFonts w:hint="eastAsia" w:ascii="宋体" w:hAnsi="宋体"/>
          <w:sz w:val="21"/>
          <w:szCs w:val="21"/>
          <w:u w:val="single"/>
        </w:rPr>
        <w:t xml:space="preserve">加江苏大成工程咨询有限公司</w:t>
      </w:r>
      <w:r>
        <w:rPr>
          <w:rFonts w:ascii="宋体" w:hAnsi="宋体"/>
          <w:sz w:val="21"/>
          <w:szCs w:val="21"/>
        </w:rPr>
        <w:t xml:space="preserve">组织实施的编号为号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firstLine="422"/>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firstLine="422"/>
        <w:spacing w:line="360" w:lineRule="auto"/>
        <w:rPr>
          <w:rFonts w:ascii="宋体" w:hAnsi="宋体"/>
          <w:sz w:val="21"/>
          <w:szCs w:val="21"/>
        </w:rPr>
      </w:pPr>
      <w:r>
        <w:rPr>
          <w:rFonts w:ascii="宋体" w:hAnsi="宋体"/>
          <w:sz w:val="21"/>
          <w:szCs w:val="21"/>
        </w:rPr>
        <w:t xml:space="preserve">代理人无转委托权。特此委托。</w:t>
      </w:r>
      <w:r/>
    </w:p>
    <w:p>
      <w:pPr>
        <w:ind w:right="420" w:firstLine="422"/>
        <w:jc w:val="center"/>
        <w:spacing w:line="360" w:lineRule="auto"/>
        <w:rPr>
          <w:rFonts w:ascii="宋体" w:hAnsi="宋体"/>
          <w:sz w:val="21"/>
          <w:szCs w:val="21"/>
        </w:rPr>
      </w:pPr>
      <w:r>
        <w:rPr>
          <w:rFonts w:ascii="宋体" w:hAnsi="宋体"/>
          <w:sz w:val="21"/>
          <w:szCs w:val="21"/>
        </w:rPr>
      </w:r>
      <w:r/>
    </w:p>
    <w:p>
      <w:pPr>
        <w:ind w:right="420" w:firstLine="422"/>
        <w:jc w:val="center"/>
        <w:spacing w:line="360" w:lineRule="auto"/>
        <w:rPr>
          <w:rFonts w:ascii="宋体" w:hAnsi="宋体"/>
          <w:sz w:val="21"/>
          <w:szCs w:val="21"/>
        </w:rPr>
      </w:pPr>
      <w:r>
        <w:rPr>
          <w:rFonts w:ascii="宋体" w:hAnsi="宋体"/>
          <w:sz w:val="21"/>
          <w:szCs w:val="21"/>
        </w:rPr>
      </w:r>
      <w:r/>
    </w:p>
    <w:p>
      <w:pPr>
        <w:ind w:right="420" w:firstLine="422"/>
        <w:jc w:val="center"/>
        <w:spacing w:line="360" w:lineRule="auto"/>
        <w:rPr>
          <w:rFonts w:ascii="宋体" w:hAnsi="宋体" w:cs="宋体"/>
          <w:sz w:val="21"/>
          <w:szCs w:val="21"/>
          <w:lang w:val="zh-CN"/>
        </w:rPr>
      </w:pPr>
      <w:r>
        <w:rPr>
          <w:rFonts w:hint="eastAsia" w:ascii="宋体" w:hAnsi="宋体" w:cs="宋体"/>
          <w:sz w:val="21"/>
          <w:szCs w:val="21"/>
          <w:lang w:val="zh-CN"/>
        </w:rPr>
        <w:t xml:space="preserve">法定代表人：（签字或盖章）</w:t>
      </w:r>
      <w:r/>
    </w:p>
    <w:p>
      <w:pPr>
        <w:ind w:right="90"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ind w:right="615" w:firstLine="420"/>
        <w:jc w:val="right"/>
        <w:spacing w:line="400" w:lineRule="exact"/>
        <w:rPr>
          <w:rFonts w:ascii="宋体" w:hAnsi="宋体" w:cs="宋体"/>
          <w:sz w:val="21"/>
          <w:szCs w:val="21"/>
          <w:lang w:val="zh-CN"/>
        </w:rPr>
      </w:pPr>
      <w:r>
        <w:rPr>
          <w:rFonts w:ascii="宋体" w:hAnsi="宋体"/>
          <w:b/>
          <w:sz w:val="21"/>
          <w:szCs w:val="21"/>
        </w:rPr>
        <w:br w:type="page" w:clear="all"/>
      </w:r>
      <w:bookmarkStart w:id="9" w:name="_Toc7945"/>
      <w:r/>
      <w:bookmarkStart w:id="10" w:name="_Toc241"/>
      <w:r/>
      <w:r/>
    </w:p>
    <w:p>
      <w:pPr>
        <w:ind w:firstLine="420"/>
        <w:rPr>
          <w:rFonts w:ascii="宋体" w:hAnsi="宋体" w:eastAsia="宋体" w:cs="宋体"/>
          <w:color w:val="000000"/>
          <w:sz w:val="21"/>
          <w:szCs w:val="21"/>
        </w:rPr>
        <w:outlineLvl w:val="0"/>
      </w:pPr>
      <w:r/>
      <w:bookmarkStart w:id="11" w:name="_Toc164686005"/>
      <w:r>
        <w:rPr>
          <w:rFonts w:hint="eastAsia" w:ascii="宋体" w:hAnsi="宋体" w:eastAsia="宋体" w:cs="宋体"/>
          <w:b/>
          <w:sz w:val="21"/>
        </w:rPr>
        <w:t xml:space="preserve">附件7.偏离表</w:t>
      </w:r>
      <w:bookmarkEnd w:id="11"/>
      <w:r/>
      <w:r/>
    </w:p>
    <w:p>
      <w:pPr>
        <w:ind w:firstLine="420"/>
        <w:jc w:val="left"/>
        <w:rPr>
          <w:b/>
          <w:sz w:val="21"/>
        </w:rPr>
      </w:pPr>
      <w:r>
        <w:rPr>
          <w:b/>
          <w:sz w:val="21"/>
        </w:rPr>
      </w:r>
      <w:r/>
    </w:p>
    <w:p>
      <w:pPr>
        <w:ind w:firstLine="420"/>
        <w:jc w:val="center"/>
        <w:spacing w:line="480" w:lineRule="exact"/>
        <w:rPr>
          <w:b/>
          <w:sz w:val="21"/>
        </w:rPr>
      </w:pPr>
      <w:r>
        <w:rPr>
          <w:b/>
          <w:sz w:val="21"/>
        </w:rPr>
        <w:t xml:space="preserve">偏离表</w:t>
      </w:r>
      <w:r>
        <w:rPr>
          <w:rFonts w:hint="eastAsia"/>
          <w:b/>
          <w:sz w:val="21"/>
        </w:rPr>
        <w:t xml:space="preserve">（技术、商务）</w:t>
      </w:r>
      <w:r/>
    </w:p>
    <w:p>
      <w:pPr>
        <w:pStyle w:val="756"/>
        <w:ind w:left="400"/>
      </w:pPr>
      <w:r/>
      <w:r/>
    </w:p>
    <w:tbl>
      <w:tblPr>
        <w:tblStyle w:val="73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jc w:val="center"/>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jc w:val="center"/>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jc w:val="center"/>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jc w:val="center"/>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jc w:val="center"/>
              <w:spacing w:line="600" w:lineRule="auto"/>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jc w:val="center"/>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jc w:val="center"/>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jc w:val="center"/>
              <w:rPr>
                <w:rFonts w:ascii="宋体" w:hAnsi="宋体"/>
                <w:sz w:val="21"/>
                <w:szCs w:val="21"/>
              </w:rPr>
            </w:pPr>
            <w:r>
              <w:rPr>
                <w:rFonts w:ascii="宋体" w:hAnsi="宋体"/>
                <w:sz w:val="21"/>
                <w:szCs w:val="21"/>
              </w:rPr>
            </w:r>
            <w:r/>
          </w:p>
        </w:tc>
        <w:tc>
          <w:tcPr>
            <w:tcW w:w="2127" w:type="dxa"/>
            <w:vAlign w:val="center"/>
            <w:textDirection w:val="lrTb"/>
            <w:noWrap w:val="false"/>
          </w:tcPr>
          <w:p>
            <w:pPr>
              <w:jc w:val="center"/>
              <w:rPr>
                <w:rFonts w:ascii="宋体" w:hAnsi="宋体"/>
                <w:sz w:val="21"/>
                <w:szCs w:val="21"/>
              </w:rPr>
            </w:pPr>
            <w:r>
              <w:rPr>
                <w:rFonts w:ascii="宋体" w:hAnsi="宋体"/>
                <w:sz w:val="21"/>
                <w:szCs w:val="21"/>
              </w:rPr>
            </w:r>
            <w:r/>
          </w:p>
        </w:tc>
        <w:tc>
          <w:tcPr>
            <w:tcW w:w="1842" w:type="dxa"/>
            <w:vAlign w:val="center"/>
            <w:textDirection w:val="lrTb"/>
            <w:noWrap w:val="false"/>
          </w:tcPr>
          <w:p>
            <w:pPr>
              <w:jc w:val="center"/>
              <w:rPr>
                <w:rFonts w:ascii="宋体" w:hAnsi="宋体"/>
                <w:sz w:val="21"/>
                <w:szCs w:val="21"/>
              </w:rPr>
            </w:pPr>
            <w:r>
              <w:rPr>
                <w:rFonts w:ascii="宋体" w:hAnsi="宋体"/>
                <w:sz w:val="21"/>
                <w:szCs w:val="21"/>
              </w:rPr>
            </w:r>
            <w:r/>
          </w:p>
        </w:tc>
        <w:tc>
          <w:tcPr>
            <w:tcW w:w="1418" w:type="dxa"/>
            <w:textDirection w:val="lrTb"/>
            <w:noWrap w:val="false"/>
          </w:tcPr>
          <w:p>
            <w:pPr>
              <w:jc w:val="center"/>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jc w:val="center"/>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jc w:val="center"/>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jc w:val="center"/>
              <w:rPr>
                <w:rFonts w:ascii="宋体" w:hAnsi="宋体"/>
                <w:sz w:val="21"/>
                <w:szCs w:val="21"/>
              </w:rPr>
            </w:pPr>
            <w:r>
              <w:rPr>
                <w:rFonts w:ascii="宋体" w:hAnsi="宋体"/>
                <w:sz w:val="21"/>
                <w:szCs w:val="21"/>
              </w:rPr>
            </w:r>
            <w:r/>
          </w:p>
        </w:tc>
        <w:tc>
          <w:tcPr>
            <w:tcW w:w="2127" w:type="dxa"/>
            <w:vAlign w:val="center"/>
            <w:textDirection w:val="lrTb"/>
            <w:noWrap w:val="false"/>
          </w:tcPr>
          <w:p>
            <w:pPr>
              <w:jc w:val="center"/>
              <w:rPr>
                <w:rFonts w:ascii="宋体" w:hAnsi="宋体"/>
                <w:sz w:val="21"/>
                <w:szCs w:val="21"/>
              </w:rPr>
            </w:pPr>
            <w:r>
              <w:rPr>
                <w:rFonts w:ascii="宋体" w:hAnsi="宋体"/>
                <w:sz w:val="21"/>
                <w:szCs w:val="21"/>
              </w:rPr>
            </w:r>
            <w:r/>
          </w:p>
        </w:tc>
        <w:tc>
          <w:tcPr>
            <w:tcW w:w="1842" w:type="dxa"/>
            <w:vAlign w:val="center"/>
            <w:textDirection w:val="lrTb"/>
            <w:noWrap w:val="false"/>
          </w:tcPr>
          <w:p>
            <w:pPr>
              <w:jc w:val="center"/>
              <w:rPr>
                <w:rFonts w:ascii="宋体" w:hAnsi="宋体"/>
                <w:sz w:val="21"/>
                <w:szCs w:val="21"/>
              </w:rPr>
            </w:pPr>
            <w:r>
              <w:rPr>
                <w:rFonts w:ascii="宋体" w:hAnsi="宋体"/>
                <w:sz w:val="21"/>
                <w:szCs w:val="21"/>
              </w:rPr>
            </w:r>
            <w:r/>
          </w:p>
        </w:tc>
        <w:tc>
          <w:tcPr>
            <w:tcW w:w="1418" w:type="dxa"/>
            <w:textDirection w:val="lrTb"/>
            <w:noWrap w:val="false"/>
          </w:tcPr>
          <w:p>
            <w:pPr>
              <w:jc w:val="center"/>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jc w:val="center"/>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jc w:val="center"/>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jc w:val="center"/>
              <w:rPr>
                <w:rFonts w:ascii="宋体" w:hAnsi="宋体"/>
                <w:sz w:val="21"/>
                <w:szCs w:val="21"/>
              </w:rPr>
            </w:pPr>
            <w:r>
              <w:rPr>
                <w:rFonts w:ascii="宋体" w:hAnsi="宋体"/>
                <w:sz w:val="21"/>
                <w:szCs w:val="21"/>
              </w:rPr>
            </w:r>
            <w:r/>
          </w:p>
        </w:tc>
        <w:tc>
          <w:tcPr>
            <w:tcW w:w="2127" w:type="dxa"/>
            <w:vAlign w:val="center"/>
            <w:textDirection w:val="lrTb"/>
            <w:noWrap w:val="false"/>
          </w:tcPr>
          <w:p>
            <w:pPr>
              <w:jc w:val="center"/>
              <w:rPr>
                <w:rFonts w:ascii="宋体" w:hAnsi="宋体"/>
                <w:sz w:val="21"/>
                <w:szCs w:val="21"/>
              </w:rPr>
            </w:pPr>
            <w:r>
              <w:rPr>
                <w:rFonts w:ascii="宋体" w:hAnsi="宋体"/>
                <w:sz w:val="21"/>
                <w:szCs w:val="21"/>
              </w:rPr>
            </w:r>
            <w:r/>
          </w:p>
        </w:tc>
        <w:tc>
          <w:tcPr>
            <w:tcW w:w="1842" w:type="dxa"/>
            <w:vAlign w:val="center"/>
            <w:textDirection w:val="lrTb"/>
            <w:noWrap w:val="false"/>
          </w:tcPr>
          <w:p>
            <w:pPr>
              <w:jc w:val="center"/>
              <w:rPr>
                <w:rFonts w:ascii="宋体" w:hAnsi="宋体"/>
                <w:sz w:val="21"/>
                <w:szCs w:val="21"/>
              </w:rPr>
            </w:pPr>
            <w:r>
              <w:rPr>
                <w:rFonts w:ascii="宋体" w:hAnsi="宋体"/>
                <w:sz w:val="21"/>
                <w:szCs w:val="21"/>
              </w:rPr>
            </w:r>
            <w:r/>
          </w:p>
        </w:tc>
        <w:tc>
          <w:tcPr>
            <w:tcW w:w="1418" w:type="dxa"/>
            <w:textDirection w:val="lrTb"/>
            <w:noWrap w:val="false"/>
          </w:tcPr>
          <w:p>
            <w:pPr>
              <w:jc w:val="center"/>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jc w:val="center"/>
              <w:rPr>
                <w:rFonts w:ascii="宋体" w:hAnsi="宋体"/>
                <w:sz w:val="21"/>
                <w:szCs w:val="21"/>
              </w:rPr>
            </w:pPr>
            <w:r>
              <w:rPr>
                <w:rFonts w:ascii="宋体" w:hAnsi="宋体"/>
                <w:sz w:val="21"/>
                <w:szCs w:val="21"/>
              </w:rPr>
            </w:r>
            <w:r/>
          </w:p>
        </w:tc>
        <w:tc>
          <w:tcPr>
            <w:tcW w:w="1823" w:type="dxa"/>
            <w:vAlign w:val="center"/>
            <w:textDirection w:val="lrTb"/>
            <w:noWrap w:val="false"/>
          </w:tcPr>
          <w:p>
            <w:pPr>
              <w:jc w:val="center"/>
              <w:rPr>
                <w:rFonts w:ascii="宋体" w:hAnsi="宋体"/>
                <w:sz w:val="21"/>
                <w:szCs w:val="21"/>
              </w:rPr>
            </w:pPr>
            <w:r>
              <w:rPr>
                <w:rFonts w:ascii="宋体" w:hAnsi="宋体"/>
                <w:sz w:val="21"/>
                <w:szCs w:val="21"/>
              </w:rPr>
            </w:r>
            <w:r/>
          </w:p>
        </w:tc>
        <w:tc>
          <w:tcPr>
            <w:tcW w:w="1984" w:type="dxa"/>
            <w:vAlign w:val="center"/>
            <w:textDirection w:val="lrTb"/>
            <w:noWrap w:val="false"/>
          </w:tcPr>
          <w:p>
            <w:pPr>
              <w:jc w:val="center"/>
              <w:rPr>
                <w:rFonts w:ascii="宋体" w:hAnsi="宋体"/>
                <w:sz w:val="21"/>
                <w:szCs w:val="21"/>
              </w:rPr>
            </w:pPr>
            <w:r>
              <w:rPr>
                <w:rFonts w:ascii="宋体" w:hAnsi="宋体"/>
                <w:sz w:val="21"/>
                <w:szCs w:val="21"/>
              </w:rPr>
            </w:r>
            <w:r/>
          </w:p>
        </w:tc>
        <w:tc>
          <w:tcPr>
            <w:tcW w:w="2127" w:type="dxa"/>
            <w:vAlign w:val="center"/>
            <w:textDirection w:val="lrTb"/>
            <w:noWrap w:val="false"/>
          </w:tcPr>
          <w:p>
            <w:pPr>
              <w:jc w:val="center"/>
              <w:rPr>
                <w:rFonts w:ascii="宋体" w:hAnsi="宋体"/>
                <w:sz w:val="21"/>
                <w:szCs w:val="21"/>
              </w:rPr>
            </w:pPr>
            <w:r>
              <w:rPr>
                <w:rFonts w:ascii="宋体" w:hAnsi="宋体"/>
                <w:sz w:val="21"/>
                <w:szCs w:val="21"/>
              </w:rPr>
            </w:r>
            <w:r/>
          </w:p>
        </w:tc>
        <w:tc>
          <w:tcPr>
            <w:tcW w:w="1842" w:type="dxa"/>
            <w:vAlign w:val="center"/>
            <w:textDirection w:val="lrTb"/>
            <w:noWrap w:val="false"/>
          </w:tcPr>
          <w:p>
            <w:pPr>
              <w:jc w:val="center"/>
              <w:rPr>
                <w:rFonts w:ascii="宋体" w:hAnsi="宋体"/>
                <w:sz w:val="21"/>
                <w:szCs w:val="21"/>
              </w:rPr>
            </w:pPr>
            <w:r>
              <w:rPr>
                <w:rFonts w:ascii="宋体" w:hAnsi="宋体"/>
                <w:sz w:val="21"/>
                <w:szCs w:val="21"/>
              </w:rPr>
            </w:r>
            <w:r/>
          </w:p>
        </w:tc>
        <w:tc>
          <w:tcPr>
            <w:tcW w:w="1418" w:type="dxa"/>
            <w:textDirection w:val="lrTb"/>
            <w:noWrap w:val="false"/>
          </w:tcPr>
          <w:p>
            <w:pPr>
              <w:jc w:val="center"/>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jc w:val="center"/>
              <w:rPr>
                <w:rFonts w:ascii="宋体" w:hAnsi="宋体"/>
                <w:sz w:val="21"/>
                <w:szCs w:val="21"/>
              </w:rPr>
            </w:pPr>
            <w:r>
              <w:rPr>
                <w:rFonts w:ascii="宋体" w:hAnsi="宋体"/>
                <w:sz w:val="21"/>
                <w:szCs w:val="21"/>
              </w:rPr>
            </w:r>
            <w:r/>
          </w:p>
        </w:tc>
        <w:tc>
          <w:tcPr>
            <w:tcW w:w="1823" w:type="dxa"/>
            <w:vAlign w:val="center"/>
            <w:textDirection w:val="lrTb"/>
            <w:noWrap w:val="false"/>
          </w:tcPr>
          <w:p>
            <w:pPr>
              <w:jc w:val="center"/>
              <w:rPr>
                <w:rFonts w:ascii="宋体" w:hAnsi="宋体"/>
                <w:sz w:val="21"/>
                <w:szCs w:val="21"/>
              </w:rPr>
            </w:pPr>
            <w:r>
              <w:rPr>
                <w:rFonts w:ascii="宋体" w:hAnsi="宋体"/>
                <w:sz w:val="21"/>
                <w:szCs w:val="21"/>
              </w:rPr>
            </w:r>
            <w:r/>
          </w:p>
        </w:tc>
        <w:tc>
          <w:tcPr>
            <w:tcW w:w="1984" w:type="dxa"/>
            <w:vAlign w:val="center"/>
            <w:textDirection w:val="lrTb"/>
            <w:noWrap w:val="false"/>
          </w:tcPr>
          <w:p>
            <w:pPr>
              <w:jc w:val="center"/>
              <w:rPr>
                <w:rFonts w:ascii="宋体" w:hAnsi="宋体"/>
                <w:sz w:val="21"/>
                <w:szCs w:val="21"/>
              </w:rPr>
            </w:pPr>
            <w:r>
              <w:rPr>
                <w:rFonts w:ascii="宋体" w:hAnsi="宋体"/>
                <w:sz w:val="21"/>
                <w:szCs w:val="21"/>
              </w:rPr>
            </w:r>
            <w:r/>
          </w:p>
        </w:tc>
        <w:tc>
          <w:tcPr>
            <w:tcW w:w="2127" w:type="dxa"/>
            <w:vAlign w:val="center"/>
            <w:textDirection w:val="lrTb"/>
            <w:noWrap w:val="false"/>
          </w:tcPr>
          <w:p>
            <w:pPr>
              <w:jc w:val="center"/>
              <w:rPr>
                <w:rFonts w:ascii="宋体" w:hAnsi="宋体"/>
                <w:sz w:val="21"/>
                <w:szCs w:val="21"/>
              </w:rPr>
            </w:pPr>
            <w:r>
              <w:rPr>
                <w:rFonts w:ascii="宋体" w:hAnsi="宋体"/>
                <w:sz w:val="21"/>
                <w:szCs w:val="21"/>
              </w:rPr>
            </w:r>
            <w:r/>
          </w:p>
        </w:tc>
        <w:tc>
          <w:tcPr>
            <w:tcW w:w="1842" w:type="dxa"/>
            <w:vAlign w:val="center"/>
            <w:textDirection w:val="lrTb"/>
            <w:noWrap w:val="false"/>
          </w:tcPr>
          <w:p>
            <w:pPr>
              <w:jc w:val="center"/>
              <w:rPr>
                <w:rFonts w:ascii="宋体" w:hAnsi="宋体"/>
                <w:sz w:val="21"/>
                <w:szCs w:val="21"/>
              </w:rPr>
            </w:pPr>
            <w:r>
              <w:rPr>
                <w:rFonts w:ascii="宋体" w:hAnsi="宋体"/>
                <w:sz w:val="21"/>
                <w:szCs w:val="21"/>
              </w:rPr>
            </w:r>
            <w:r/>
          </w:p>
        </w:tc>
        <w:tc>
          <w:tcPr>
            <w:tcW w:w="1418" w:type="dxa"/>
            <w:textDirection w:val="lrTb"/>
            <w:noWrap w:val="false"/>
          </w:tcPr>
          <w:p>
            <w:pPr>
              <w:jc w:val="center"/>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jc w:val="center"/>
              <w:rPr>
                <w:rFonts w:ascii="宋体" w:hAnsi="宋体"/>
                <w:sz w:val="21"/>
                <w:szCs w:val="21"/>
              </w:rPr>
            </w:pPr>
            <w:r>
              <w:rPr>
                <w:rFonts w:ascii="宋体" w:hAnsi="宋体"/>
                <w:sz w:val="21"/>
                <w:szCs w:val="21"/>
              </w:rPr>
            </w:r>
            <w:r/>
          </w:p>
        </w:tc>
        <w:tc>
          <w:tcPr>
            <w:tcW w:w="1823" w:type="dxa"/>
            <w:vAlign w:val="center"/>
            <w:textDirection w:val="lrTb"/>
            <w:noWrap w:val="false"/>
          </w:tcPr>
          <w:p>
            <w:pPr>
              <w:jc w:val="center"/>
              <w:rPr>
                <w:rFonts w:ascii="宋体" w:hAnsi="宋体"/>
                <w:sz w:val="21"/>
                <w:szCs w:val="21"/>
              </w:rPr>
            </w:pPr>
            <w:r>
              <w:rPr>
                <w:rFonts w:ascii="宋体" w:hAnsi="宋体"/>
                <w:sz w:val="21"/>
                <w:szCs w:val="21"/>
              </w:rPr>
            </w:r>
            <w:r/>
          </w:p>
        </w:tc>
        <w:tc>
          <w:tcPr>
            <w:tcW w:w="1984" w:type="dxa"/>
            <w:vAlign w:val="center"/>
            <w:textDirection w:val="lrTb"/>
            <w:noWrap w:val="false"/>
          </w:tcPr>
          <w:p>
            <w:pPr>
              <w:jc w:val="center"/>
              <w:rPr>
                <w:rFonts w:ascii="宋体" w:hAnsi="宋体"/>
                <w:sz w:val="21"/>
                <w:szCs w:val="21"/>
              </w:rPr>
            </w:pPr>
            <w:r>
              <w:rPr>
                <w:rFonts w:ascii="宋体" w:hAnsi="宋体"/>
                <w:sz w:val="21"/>
                <w:szCs w:val="21"/>
              </w:rPr>
            </w:r>
            <w:r/>
          </w:p>
        </w:tc>
        <w:tc>
          <w:tcPr>
            <w:tcW w:w="2127" w:type="dxa"/>
            <w:vAlign w:val="center"/>
            <w:textDirection w:val="lrTb"/>
            <w:noWrap w:val="false"/>
          </w:tcPr>
          <w:p>
            <w:pPr>
              <w:jc w:val="center"/>
              <w:rPr>
                <w:rFonts w:ascii="宋体" w:hAnsi="宋体"/>
                <w:sz w:val="21"/>
                <w:szCs w:val="21"/>
              </w:rPr>
            </w:pPr>
            <w:r>
              <w:rPr>
                <w:rFonts w:ascii="宋体" w:hAnsi="宋体"/>
                <w:sz w:val="21"/>
                <w:szCs w:val="21"/>
              </w:rPr>
            </w:r>
            <w:r/>
          </w:p>
        </w:tc>
        <w:tc>
          <w:tcPr>
            <w:tcW w:w="1842" w:type="dxa"/>
            <w:vAlign w:val="center"/>
            <w:textDirection w:val="lrTb"/>
            <w:noWrap w:val="false"/>
          </w:tcPr>
          <w:p>
            <w:pPr>
              <w:jc w:val="center"/>
              <w:rPr>
                <w:rFonts w:ascii="宋体" w:hAnsi="宋体"/>
                <w:sz w:val="21"/>
                <w:szCs w:val="21"/>
              </w:rPr>
            </w:pPr>
            <w:r>
              <w:rPr>
                <w:rFonts w:ascii="宋体" w:hAnsi="宋体"/>
                <w:sz w:val="21"/>
                <w:szCs w:val="21"/>
              </w:rPr>
            </w:r>
            <w:r/>
          </w:p>
        </w:tc>
        <w:tc>
          <w:tcPr>
            <w:tcW w:w="1418" w:type="dxa"/>
            <w:textDirection w:val="lrTb"/>
            <w:noWrap w:val="false"/>
          </w:tcPr>
          <w:p>
            <w:pPr>
              <w:jc w:val="center"/>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jc w:val="center"/>
              <w:rPr>
                <w:rFonts w:ascii="宋体" w:hAnsi="宋体"/>
                <w:sz w:val="21"/>
                <w:szCs w:val="21"/>
              </w:rPr>
            </w:pPr>
            <w:r>
              <w:rPr>
                <w:rFonts w:ascii="宋体" w:hAnsi="宋体"/>
                <w:sz w:val="21"/>
                <w:szCs w:val="21"/>
              </w:rPr>
            </w:r>
            <w:r/>
          </w:p>
        </w:tc>
        <w:tc>
          <w:tcPr>
            <w:tcW w:w="1823" w:type="dxa"/>
            <w:vAlign w:val="center"/>
            <w:textDirection w:val="lrTb"/>
            <w:noWrap w:val="false"/>
          </w:tcPr>
          <w:p>
            <w:pPr>
              <w:jc w:val="center"/>
              <w:rPr>
                <w:rFonts w:ascii="宋体" w:hAnsi="宋体"/>
                <w:sz w:val="21"/>
                <w:szCs w:val="21"/>
              </w:rPr>
            </w:pPr>
            <w:r>
              <w:rPr>
                <w:rFonts w:ascii="宋体" w:hAnsi="宋体"/>
                <w:sz w:val="21"/>
                <w:szCs w:val="21"/>
              </w:rPr>
            </w:r>
            <w:r/>
          </w:p>
        </w:tc>
        <w:tc>
          <w:tcPr>
            <w:tcW w:w="1984" w:type="dxa"/>
            <w:vAlign w:val="center"/>
            <w:textDirection w:val="lrTb"/>
            <w:noWrap w:val="false"/>
          </w:tcPr>
          <w:p>
            <w:pPr>
              <w:jc w:val="center"/>
              <w:rPr>
                <w:rFonts w:ascii="宋体" w:hAnsi="宋体"/>
                <w:sz w:val="21"/>
                <w:szCs w:val="21"/>
              </w:rPr>
            </w:pPr>
            <w:r>
              <w:rPr>
                <w:rFonts w:ascii="宋体" w:hAnsi="宋体"/>
                <w:sz w:val="21"/>
                <w:szCs w:val="21"/>
              </w:rPr>
            </w:r>
            <w:r/>
          </w:p>
        </w:tc>
        <w:tc>
          <w:tcPr>
            <w:tcW w:w="2127" w:type="dxa"/>
            <w:vAlign w:val="center"/>
            <w:textDirection w:val="lrTb"/>
            <w:noWrap w:val="false"/>
          </w:tcPr>
          <w:p>
            <w:pPr>
              <w:jc w:val="center"/>
              <w:rPr>
                <w:rFonts w:ascii="宋体" w:hAnsi="宋体"/>
                <w:sz w:val="21"/>
                <w:szCs w:val="21"/>
              </w:rPr>
            </w:pPr>
            <w:r>
              <w:rPr>
                <w:rFonts w:ascii="宋体" w:hAnsi="宋体"/>
                <w:sz w:val="21"/>
                <w:szCs w:val="21"/>
              </w:rPr>
            </w:r>
            <w:r/>
          </w:p>
        </w:tc>
        <w:tc>
          <w:tcPr>
            <w:tcW w:w="1842" w:type="dxa"/>
            <w:vAlign w:val="center"/>
            <w:textDirection w:val="lrTb"/>
            <w:noWrap w:val="false"/>
          </w:tcPr>
          <w:p>
            <w:pPr>
              <w:jc w:val="center"/>
              <w:rPr>
                <w:rFonts w:ascii="宋体" w:hAnsi="宋体"/>
                <w:sz w:val="21"/>
                <w:szCs w:val="21"/>
              </w:rPr>
            </w:pPr>
            <w:r>
              <w:rPr>
                <w:rFonts w:ascii="宋体" w:hAnsi="宋体"/>
                <w:sz w:val="21"/>
                <w:szCs w:val="21"/>
              </w:rPr>
            </w:r>
            <w:r/>
          </w:p>
        </w:tc>
        <w:tc>
          <w:tcPr>
            <w:tcW w:w="1418" w:type="dxa"/>
            <w:textDirection w:val="lrTb"/>
            <w:noWrap w:val="false"/>
          </w:tcPr>
          <w:p>
            <w:pPr>
              <w:jc w:val="center"/>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jc w:val="center"/>
              <w:rPr>
                <w:rFonts w:ascii="宋体" w:hAnsi="宋体"/>
                <w:sz w:val="21"/>
                <w:szCs w:val="21"/>
              </w:rPr>
            </w:pPr>
            <w:r>
              <w:rPr>
                <w:rFonts w:ascii="宋体" w:hAnsi="宋体"/>
                <w:sz w:val="21"/>
                <w:szCs w:val="21"/>
              </w:rPr>
            </w:r>
            <w:r/>
          </w:p>
        </w:tc>
        <w:tc>
          <w:tcPr>
            <w:tcW w:w="1823" w:type="dxa"/>
            <w:vAlign w:val="center"/>
            <w:textDirection w:val="lrTb"/>
            <w:noWrap w:val="false"/>
          </w:tcPr>
          <w:p>
            <w:pPr>
              <w:jc w:val="center"/>
              <w:rPr>
                <w:rFonts w:ascii="宋体" w:hAnsi="宋体"/>
                <w:sz w:val="21"/>
                <w:szCs w:val="21"/>
              </w:rPr>
            </w:pPr>
            <w:r>
              <w:rPr>
                <w:rFonts w:ascii="宋体" w:hAnsi="宋体"/>
                <w:sz w:val="21"/>
                <w:szCs w:val="21"/>
              </w:rPr>
            </w:r>
            <w:r/>
          </w:p>
        </w:tc>
        <w:tc>
          <w:tcPr>
            <w:tcW w:w="1984" w:type="dxa"/>
            <w:vAlign w:val="center"/>
            <w:textDirection w:val="lrTb"/>
            <w:noWrap w:val="false"/>
          </w:tcPr>
          <w:p>
            <w:pPr>
              <w:jc w:val="center"/>
              <w:rPr>
                <w:rFonts w:ascii="宋体" w:hAnsi="宋体"/>
                <w:sz w:val="21"/>
                <w:szCs w:val="21"/>
              </w:rPr>
            </w:pPr>
            <w:r>
              <w:rPr>
                <w:rFonts w:ascii="宋体" w:hAnsi="宋体"/>
                <w:sz w:val="21"/>
                <w:szCs w:val="21"/>
              </w:rPr>
            </w:r>
            <w:r/>
          </w:p>
        </w:tc>
        <w:tc>
          <w:tcPr>
            <w:tcW w:w="2127" w:type="dxa"/>
            <w:vAlign w:val="center"/>
            <w:textDirection w:val="lrTb"/>
            <w:noWrap w:val="false"/>
          </w:tcPr>
          <w:p>
            <w:pPr>
              <w:jc w:val="center"/>
              <w:rPr>
                <w:rFonts w:ascii="宋体" w:hAnsi="宋体"/>
                <w:sz w:val="21"/>
                <w:szCs w:val="21"/>
              </w:rPr>
            </w:pPr>
            <w:r>
              <w:rPr>
                <w:rFonts w:ascii="宋体" w:hAnsi="宋体"/>
                <w:sz w:val="21"/>
                <w:szCs w:val="21"/>
              </w:rPr>
            </w:r>
            <w:r/>
          </w:p>
        </w:tc>
        <w:tc>
          <w:tcPr>
            <w:tcW w:w="1842" w:type="dxa"/>
            <w:vAlign w:val="center"/>
            <w:textDirection w:val="lrTb"/>
            <w:noWrap w:val="false"/>
          </w:tcPr>
          <w:p>
            <w:pPr>
              <w:jc w:val="center"/>
              <w:rPr>
                <w:rFonts w:ascii="宋体" w:hAnsi="宋体"/>
                <w:sz w:val="21"/>
                <w:szCs w:val="21"/>
              </w:rPr>
            </w:pPr>
            <w:r>
              <w:rPr>
                <w:rFonts w:ascii="宋体" w:hAnsi="宋体"/>
                <w:sz w:val="21"/>
                <w:szCs w:val="21"/>
              </w:rPr>
            </w:r>
            <w:r/>
          </w:p>
        </w:tc>
        <w:tc>
          <w:tcPr>
            <w:tcW w:w="1418" w:type="dxa"/>
            <w:textDirection w:val="lrTb"/>
            <w:noWrap w:val="false"/>
          </w:tcPr>
          <w:p>
            <w:pPr>
              <w:jc w:val="center"/>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jc w:val="center"/>
              <w:rPr>
                <w:rFonts w:ascii="宋体" w:hAnsi="宋体"/>
                <w:sz w:val="21"/>
                <w:szCs w:val="21"/>
              </w:rPr>
            </w:pPr>
            <w:r>
              <w:rPr>
                <w:rFonts w:ascii="宋体" w:hAnsi="宋体"/>
                <w:sz w:val="21"/>
                <w:szCs w:val="21"/>
              </w:rPr>
            </w:r>
            <w:r/>
          </w:p>
        </w:tc>
        <w:tc>
          <w:tcPr>
            <w:tcW w:w="1823" w:type="dxa"/>
            <w:vAlign w:val="center"/>
            <w:textDirection w:val="lrTb"/>
            <w:noWrap w:val="false"/>
          </w:tcPr>
          <w:p>
            <w:pPr>
              <w:jc w:val="center"/>
              <w:rPr>
                <w:rFonts w:ascii="宋体" w:hAnsi="宋体"/>
                <w:sz w:val="21"/>
                <w:szCs w:val="21"/>
              </w:rPr>
            </w:pPr>
            <w:r>
              <w:rPr>
                <w:rFonts w:ascii="宋体" w:hAnsi="宋体"/>
                <w:sz w:val="21"/>
                <w:szCs w:val="21"/>
              </w:rPr>
            </w:r>
            <w:r/>
          </w:p>
        </w:tc>
        <w:tc>
          <w:tcPr>
            <w:tcW w:w="1984" w:type="dxa"/>
            <w:vAlign w:val="center"/>
            <w:textDirection w:val="lrTb"/>
            <w:noWrap w:val="false"/>
          </w:tcPr>
          <w:p>
            <w:pPr>
              <w:jc w:val="center"/>
              <w:rPr>
                <w:rFonts w:ascii="宋体" w:hAnsi="宋体"/>
                <w:sz w:val="21"/>
                <w:szCs w:val="21"/>
              </w:rPr>
            </w:pPr>
            <w:r>
              <w:rPr>
                <w:rFonts w:ascii="宋体" w:hAnsi="宋体"/>
                <w:sz w:val="21"/>
                <w:szCs w:val="21"/>
              </w:rPr>
            </w:r>
            <w:r/>
          </w:p>
        </w:tc>
        <w:tc>
          <w:tcPr>
            <w:tcW w:w="2127" w:type="dxa"/>
            <w:vAlign w:val="center"/>
            <w:textDirection w:val="lrTb"/>
            <w:noWrap w:val="false"/>
          </w:tcPr>
          <w:p>
            <w:pPr>
              <w:jc w:val="center"/>
              <w:rPr>
                <w:rFonts w:ascii="宋体" w:hAnsi="宋体"/>
                <w:sz w:val="21"/>
                <w:szCs w:val="21"/>
              </w:rPr>
            </w:pPr>
            <w:r>
              <w:rPr>
                <w:rFonts w:ascii="宋体" w:hAnsi="宋体"/>
                <w:sz w:val="21"/>
                <w:szCs w:val="21"/>
              </w:rPr>
            </w:r>
            <w:r/>
          </w:p>
        </w:tc>
        <w:tc>
          <w:tcPr>
            <w:tcW w:w="1842" w:type="dxa"/>
            <w:vAlign w:val="center"/>
            <w:textDirection w:val="lrTb"/>
            <w:noWrap w:val="false"/>
          </w:tcPr>
          <w:p>
            <w:pPr>
              <w:jc w:val="center"/>
              <w:rPr>
                <w:rFonts w:ascii="宋体" w:hAnsi="宋体"/>
                <w:sz w:val="21"/>
                <w:szCs w:val="21"/>
              </w:rPr>
            </w:pPr>
            <w:r>
              <w:rPr>
                <w:rFonts w:ascii="宋体" w:hAnsi="宋体"/>
                <w:sz w:val="21"/>
                <w:szCs w:val="21"/>
              </w:rPr>
            </w:r>
            <w:r/>
          </w:p>
        </w:tc>
        <w:tc>
          <w:tcPr>
            <w:tcW w:w="1418" w:type="dxa"/>
            <w:textDirection w:val="lrTb"/>
            <w:noWrap w:val="false"/>
          </w:tcPr>
          <w:p>
            <w:pPr>
              <w:jc w:val="center"/>
              <w:rPr>
                <w:rFonts w:ascii="宋体" w:hAnsi="宋体"/>
                <w:sz w:val="21"/>
                <w:szCs w:val="21"/>
              </w:rPr>
            </w:pPr>
            <w:r>
              <w:rPr>
                <w:rFonts w:ascii="宋体" w:hAnsi="宋体"/>
                <w:sz w:val="21"/>
                <w:szCs w:val="21"/>
              </w:rPr>
            </w:r>
            <w:r/>
          </w:p>
        </w:tc>
      </w:tr>
    </w:tbl>
    <w:p>
      <w:pPr>
        <w:jc w:val="left"/>
        <w:spacing w:line="380" w:lineRule="exact"/>
        <w:rPr>
          <w:sz w:val="21"/>
        </w:rPr>
      </w:pPr>
      <w:r>
        <w:rPr>
          <w:sz w:val="21"/>
        </w:rPr>
      </w:r>
      <w:r/>
    </w:p>
    <w:p>
      <w:pPr>
        <w:ind w:firstLine="420"/>
        <w:jc w:val="left"/>
        <w:rPr>
          <w:b/>
          <w:sz w:val="21"/>
        </w:rPr>
      </w:pPr>
      <w:r>
        <w:rPr>
          <w:b/>
          <w:sz w:val="21"/>
        </w:rPr>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firstLine="422"/>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right="615"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ind w:right="480" w:firstLine="442"/>
        <w:jc w:val="right"/>
        <w:spacing w:line="400" w:lineRule="exact"/>
        <w:rPr>
          <w:rFonts w:ascii="宋体" w:cs="宋体"/>
          <w:sz w:val="22"/>
          <w:szCs w:val="22"/>
          <w:lang w:val="zh-CN"/>
        </w:rPr>
      </w:pPr>
      <w:r>
        <w:rPr>
          <w:rFonts w:ascii="宋体" w:cs="宋体"/>
          <w:sz w:val="22"/>
          <w:szCs w:val="22"/>
          <w:lang w:val="zh-CN"/>
        </w:rPr>
      </w:r>
      <w:r/>
    </w:p>
    <w:p>
      <w:pPr>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firstLine="422"/>
        <w:jc w:val="left"/>
        <w:spacing w:line="360" w:lineRule="auto"/>
        <w:rPr>
          <w:rFonts w:ascii="宋体" w:hAnsi="宋体"/>
          <w:sz w:val="21"/>
        </w:rPr>
      </w:pPr>
      <w:r>
        <w:rPr>
          <w:rFonts w:ascii="宋体" w:hAnsi="宋体"/>
          <w:sz w:val="21"/>
        </w:rPr>
        <w:t xml:space="preserve">2.若事项较多，供应商可根据实际情况另纸说明。</w:t>
      </w:r>
      <w:r/>
    </w:p>
    <w:p>
      <w:pPr>
        <w:ind w:firstLine="422"/>
        <w:jc w:val="left"/>
        <w:spacing w:line="360" w:lineRule="auto"/>
        <w:rPr>
          <w:rFonts w:ascii="宋体" w:hAnsi="宋体" w:cs="宋体"/>
          <w:sz w:val="21"/>
          <w:szCs w:val="21"/>
          <w:lang w:val="zh-CN"/>
        </w:rPr>
      </w:pPr>
      <w:r>
        <w:rPr>
          <w:rFonts w:ascii="宋体" w:hAnsi="宋体" w:cs="宋体"/>
          <w:sz w:val="21"/>
          <w:szCs w:val="21"/>
          <w:lang w:val="zh-CN"/>
        </w:rPr>
      </w:r>
      <w:r/>
    </w:p>
    <w:p>
      <w:pPr>
        <w:pStyle w:val="756"/>
        <w:ind w:left="400"/>
        <w:rPr>
          <w:lang w:val="zh-CN"/>
        </w:rPr>
      </w:pPr>
      <w:r>
        <w:rPr>
          <w:lang w:val="zh-CN"/>
        </w:rPr>
      </w:r>
      <w:r/>
    </w:p>
    <w:p>
      <w:pPr>
        <w:pStyle w:val="756"/>
        <w:ind w:left="400"/>
        <w:rPr>
          <w:lang w:val="zh-CN"/>
        </w:rPr>
      </w:pPr>
      <w:r>
        <w:rPr>
          <w:lang w:val="zh-CN"/>
        </w:rPr>
      </w:r>
      <w:r/>
    </w:p>
    <w:p>
      <w:pPr>
        <w:pStyle w:val="756"/>
        <w:ind w:left="400"/>
        <w:rPr>
          <w:lang w:val="zh-CN"/>
        </w:rPr>
      </w:pPr>
      <w:r>
        <w:rPr>
          <w:lang w:val="zh-CN"/>
        </w:rPr>
      </w:r>
      <w:r/>
    </w:p>
    <w:p>
      <w:pPr>
        <w:pStyle w:val="756"/>
        <w:ind w:left="400"/>
        <w:rPr>
          <w:lang w:val="zh-CN"/>
        </w:rPr>
      </w:pPr>
      <w:r>
        <w:rPr>
          <w:lang w:val="zh-CN"/>
        </w:rPr>
      </w:r>
      <w:r/>
    </w:p>
    <w:p>
      <w:pPr>
        <w:pStyle w:val="756"/>
        <w:ind w:left="400"/>
        <w:rPr>
          <w:lang w:val="zh-CN"/>
        </w:rPr>
      </w:pPr>
      <w:r>
        <w:rPr>
          <w:lang w:val="zh-CN"/>
        </w:rPr>
      </w:r>
      <w:r/>
    </w:p>
    <w:p>
      <w:pPr>
        <w:pStyle w:val="756"/>
        <w:ind w:left="400"/>
        <w:rPr>
          <w:lang w:val="zh-CN"/>
        </w:rPr>
      </w:pPr>
      <w:r>
        <w:rPr>
          <w:lang w:val="zh-CN"/>
        </w:rPr>
      </w:r>
      <w:r/>
    </w:p>
    <w:p>
      <w:pPr>
        <w:pStyle w:val="756"/>
        <w:ind w:left="400"/>
        <w:rPr>
          <w:lang w:val="zh-CN"/>
        </w:rPr>
      </w:pPr>
      <w:r>
        <w:rPr>
          <w:lang w:val="zh-CN"/>
        </w:rPr>
      </w:r>
      <w:r/>
    </w:p>
    <w:p>
      <w:pPr>
        <w:pStyle w:val="756"/>
        <w:ind w:left="400"/>
        <w:rPr>
          <w:lang w:val="zh-CN"/>
        </w:rPr>
      </w:pPr>
      <w:r>
        <w:rPr>
          <w:lang w:val="zh-CN"/>
        </w:rPr>
      </w:r>
      <w:r/>
    </w:p>
    <w:p>
      <w:pPr>
        <w:pStyle w:val="756"/>
        <w:ind w:left="400"/>
        <w:rPr>
          <w:lang w:val="zh-CN"/>
        </w:rPr>
      </w:pPr>
      <w:r>
        <w:rPr>
          <w:lang w:val="zh-CN"/>
        </w:rPr>
      </w:r>
      <w:r/>
    </w:p>
    <w:p>
      <w:pPr>
        <w:pStyle w:val="756"/>
        <w:ind w:left="400"/>
        <w:rPr>
          <w:lang w:val="zh-CN"/>
        </w:rPr>
      </w:pPr>
      <w:r>
        <w:rPr>
          <w:lang w:val="zh-CN"/>
        </w:rPr>
      </w:r>
      <w:r/>
    </w:p>
    <w:p>
      <w:pPr>
        <w:ind w:firstLine="420"/>
        <w:rPr>
          <w:b/>
          <w:sz w:val="21"/>
          <w:szCs w:val="22"/>
        </w:rPr>
        <w:outlineLvl w:val="0"/>
      </w:pPr>
      <w:r/>
      <w:bookmarkStart w:id="12" w:name="_Toc164686006"/>
      <w:r>
        <w:rPr>
          <w:b/>
          <w:sz w:val="21"/>
        </w:rPr>
        <w:t xml:space="preserve">附件</w:t>
      </w:r>
      <w:r>
        <w:rPr>
          <w:rFonts w:hint="eastAsia"/>
          <w:b/>
          <w:sz w:val="21"/>
        </w:rPr>
        <w:t xml:space="preserve">8</w:t>
      </w:r>
      <w:r>
        <w:rPr>
          <w:rFonts w:hint="eastAsia"/>
          <w:b/>
          <w:sz w:val="21"/>
          <w:szCs w:val="22"/>
        </w:rPr>
        <w:t xml:space="preserve">.项目服务人员配置表</w:t>
      </w:r>
      <w:bookmarkEnd w:id="12"/>
      <w:r/>
      <w:r/>
    </w:p>
    <w:p>
      <w:pPr>
        <w:ind w:firstLine="420"/>
        <w:jc w:val="center"/>
        <w:rPr>
          <w:rFonts w:ascii="宋体" w:hAnsi="宋体"/>
          <w:b/>
          <w:bCs/>
          <w:sz w:val="21"/>
          <w:szCs w:val="21"/>
        </w:rPr>
      </w:pPr>
      <w:r>
        <w:rPr>
          <w:rFonts w:hint="eastAsia" w:ascii="宋体" w:hAnsi="宋体"/>
          <w:b/>
          <w:bCs/>
          <w:sz w:val="21"/>
          <w:szCs w:val="21"/>
        </w:rPr>
        <w:t xml:space="preserve">项目服务人员配置表</w:t>
      </w:r>
      <w:r/>
    </w:p>
    <w:p>
      <w:pPr>
        <w:pStyle w:val="756"/>
        <w:ind w:left="400"/>
      </w:pPr>
      <w:r/>
      <w:r/>
    </w:p>
    <w:tbl>
      <w:tblPr>
        <w:tblStyle w:val="736"/>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jc w:val="center"/>
              <w:spacing w:line="360" w:lineRule="auto"/>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jc w:val="center"/>
              <w:spacing w:line="360" w:lineRule="auto"/>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jc w:val="center"/>
              <w:spacing w:line="360" w:lineRule="auto"/>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bl>
    <w:p>
      <w:pPr>
        <w:jc w:val="left"/>
        <w:spacing w:line="360" w:lineRule="auto"/>
        <w:rPr>
          <w:sz w:val="21"/>
        </w:rPr>
      </w:pPr>
      <w:r>
        <w:rPr>
          <w:rFonts w:hint="eastAsia" w:ascii="宋体" w:hAnsi="宋体"/>
          <w:color w:val="000000"/>
          <w:sz w:val="21"/>
          <w:szCs w:val="21"/>
        </w:rPr>
        <w:t xml:space="preserve">注：1</w:t>
      </w:r>
      <w:r>
        <w:rPr>
          <w:rFonts w:ascii="宋体" w:hAnsi="宋体"/>
          <w:sz w:val="21"/>
          <w:szCs w:val="21"/>
        </w:rPr>
        <w:t xml:space="preserve">.</w:t>
      </w:r>
      <w:r>
        <w:rPr>
          <w:sz w:val="21"/>
        </w:rPr>
        <w:t xml:space="preserve">若事项较多，供应商可根据实际情况另纸说明</w:t>
      </w:r>
      <w:r>
        <w:rPr>
          <w:rFonts w:hint="eastAsia"/>
          <w:sz w:val="21"/>
        </w:rPr>
        <w:t xml:space="preserve">。</w:t>
      </w:r>
      <w:r/>
    </w:p>
    <w:p>
      <w:pPr>
        <w:ind w:firstLine="422"/>
        <w:jc w:val="left"/>
        <w:spacing w:line="360" w:lineRule="auto"/>
        <w:rPr>
          <w:rFonts w:hAnsi="宋体"/>
          <w:sz w:val="24"/>
          <w:szCs w:val="24"/>
        </w:rPr>
      </w:pPr>
      <w:r>
        <w:rPr>
          <w:rFonts w:hint="eastAsia"/>
          <w:sz w:val="21"/>
        </w:rPr>
        <w:t xml:space="preserve">2</w:t>
      </w:r>
      <w:r>
        <w:rPr>
          <w:sz w:val="21"/>
        </w:rPr>
        <w:t xml:space="preserve">.</w:t>
      </w:r>
      <w:r>
        <w:rPr>
          <w:rFonts w:hint="eastAsia"/>
          <w:sz w:val="21"/>
        </w:rPr>
        <w:t xml:space="preserve">请将相关证明材料复印件加盖公章后附在本表后面。</w:t>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firstLine="422"/>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right="615"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pStyle w:val="756"/>
        <w:ind w:left="400"/>
        <w:rPr>
          <w:lang w:val="zh-CN"/>
        </w:rPr>
      </w:pPr>
      <w:r>
        <w:rPr>
          <w:lang w:val="zh-CN"/>
        </w:rPr>
      </w:r>
      <w:r/>
    </w:p>
    <w:p>
      <w:pPr>
        <w:jc w:val="center"/>
        <w:rPr>
          <w:rFonts w:ascii="宋体" w:hAnsi="宋体" w:cs="宋体"/>
          <w:sz w:val="21"/>
          <w:szCs w:val="21"/>
          <w:lang w:val="zh-CN"/>
        </w:rPr>
      </w:pPr>
      <w:r>
        <w:rPr>
          <w:rFonts w:hint="eastAsia" w:ascii="宋体" w:hAnsi="宋体" w:cs="宋体"/>
          <w:sz w:val="21"/>
          <w:szCs w:val="21"/>
          <w:lang w:val="zh-CN"/>
        </w:rPr>
        <w:br w:type="page" w:clear="all"/>
      </w:r>
      <w:r/>
    </w:p>
    <w:p>
      <w:pPr>
        <w:ind w:firstLine="420"/>
        <w:rPr>
          <w:b/>
          <w:sz w:val="21"/>
        </w:rPr>
        <w:outlineLvl w:val="0"/>
      </w:pPr>
      <w:r/>
      <w:bookmarkStart w:id="13" w:name="_Toc164686007"/>
      <w:r>
        <w:rPr>
          <w:b/>
          <w:sz w:val="21"/>
        </w:rPr>
        <w:t xml:space="preserve">附件9</w:t>
      </w:r>
      <w:r>
        <w:rPr>
          <w:rFonts w:hint="eastAsia"/>
          <w:b/>
          <w:sz w:val="21"/>
        </w:rPr>
        <w:t xml:space="preserve">.</w:t>
      </w:r>
      <w:r>
        <w:rPr>
          <w:rFonts w:hint="eastAsia"/>
          <w:b/>
          <w:sz w:val="21"/>
          <w:szCs w:val="22"/>
        </w:rPr>
        <w:t xml:space="preserve">针对本项目的技术方案及制度</w:t>
      </w:r>
      <w:bookmarkEnd w:id="13"/>
      <w:r/>
      <w:r/>
    </w:p>
    <w:p>
      <w:pPr>
        <w:ind w:firstLine="420"/>
        <w:jc w:val="center"/>
        <w:spacing w:line="360" w:lineRule="auto"/>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736"/>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jc w:val="left"/>
              <w:rPr>
                <w:rFonts w:ascii="宋体" w:hAnsi="宋体"/>
                <w:sz w:val="21"/>
                <w:szCs w:val="21"/>
              </w:rPr>
            </w:pPr>
            <w:r>
              <w:rPr>
                <w:rFonts w:hint="eastAsia" w:ascii="宋体" w:hAnsi="宋体"/>
                <w:sz w:val="21"/>
                <w:szCs w:val="21"/>
              </w:rPr>
              <w:t xml:space="preserve">提示：</w:t>
            </w:r>
            <w:r/>
          </w:p>
          <w:p>
            <w:pPr>
              <w:jc w:val="left"/>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jc w:val="left"/>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ind w:firstLine="420"/>
              <w:jc w:val="left"/>
              <w:rPr>
                <w:rFonts w:ascii="宋体" w:hAnsi="宋体"/>
                <w:b/>
                <w:sz w:val="21"/>
                <w:szCs w:val="21"/>
              </w:rPr>
            </w:pPr>
            <w:r>
              <w:rPr>
                <w:rFonts w:ascii="宋体" w:hAnsi="宋体"/>
                <w:b/>
                <w:sz w:val="21"/>
                <w:szCs w:val="21"/>
              </w:rPr>
            </w:r>
            <w:r/>
          </w:p>
          <w:p>
            <w:pPr>
              <w:jc w:val="left"/>
              <w:rPr>
                <w:rFonts w:ascii="宋体" w:hAnsi="宋体"/>
                <w:sz w:val="21"/>
                <w:szCs w:val="21"/>
              </w:rPr>
            </w:pPr>
            <w:r>
              <w:rPr>
                <w:rFonts w:ascii="宋体" w:hAnsi="宋体"/>
                <w:sz w:val="21"/>
                <w:szCs w:val="21"/>
              </w:rPr>
            </w:r>
            <w:r/>
          </w:p>
        </w:tc>
      </w:tr>
    </w:tbl>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firstLine="422"/>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right="615"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jc w:val="left"/>
        <w:rPr>
          <w:rFonts w:ascii="宋体" w:hAnsi="宋体"/>
          <w:sz w:val="21"/>
        </w:rPr>
      </w:pPr>
      <w:r>
        <w:rPr>
          <w:rFonts w:ascii="宋体" w:hAnsi="宋体"/>
          <w:sz w:val="21"/>
        </w:rPr>
      </w:r>
      <w:r/>
    </w:p>
    <w:p>
      <w:pPr>
        <w:pStyle w:val="756"/>
      </w:pPr>
      <w:r/>
      <w:r/>
    </w:p>
    <w:p>
      <w:pPr>
        <w:pStyle w:val="756"/>
        <w:ind w:left="0" w:firstLine="0"/>
        <w:rPr>
          <w:rFonts w:hAnsi="宋体"/>
          <w:color w:val="000000"/>
          <w:szCs w:val="21"/>
        </w:rPr>
      </w:pPr>
      <w:r>
        <w:rPr>
          <w:rFonts w:hAnsi="宋体"/>
          <w:color w:val="000000"/>
          <w:szCs w:val="21"/>
        </w:rPr>
      </w:r>
      <w:r/>
    </w:p>
    <w:p>
      <w:pPr>
        <w:pStyle w:val="756"/>
        <w:ind w:left="0" w:firstLine="0"/>
        <w:rPr>
          <w:rFonts w:hAnsi="宋体"/>
          <w:color w:val="000000"/>
          <w:szCs w:val="21"/>
        </w:rPr>
      </w:pPr>
      <w:r>
        <w:rPr>
          <w:rFonts w:hAnsi="宋体"/>
          <w:color w:val="000000"/>
          <w:szCs w:val="21"/>
        </w:rPr>
      </w:r>
      <w:r/>
    </w:p>
    <w:p>
      <w:pPr>
        <w:pStyle w:val="756"/>
        <w:ind w:left="0" w:firstLine="0"/>
        <w:rPr>
          <w:rFonts w:hAnsi="宋体"/>
          <w:color w:val="000000"/>
          <w:szCs w:val="21"/>
        </w:rPr>
      </w:pPr>
      <w:r>
        <w:rPr>
          <w:rFonts w:hAnsi="宋体"/>
          <w:color w:val="000000"/>
          <w:szCs w:val="21"/>
        </w:rPr>
      </w:r>
      <w:r/>
    </w:p>
    <w:p>
      <w:pPr>
        <w:pStyle w:val="756"/>
        <w:ind w:left="0" w:firstLine="0"/>
        <w:rPr>
          <w:rFonts w:hAnsi="宋体"/>
          <w:color w:val="000000"/>
          <w:szCs w:val="21"/>
        </w:rPr>
      </w:pPr>
      <w:r>
        <w:rPr>
          <w:rFonts w:hAnsi="宋体"/>
          <w:color w:val="000000"/>
          <w:szCs w:val="21"/>
        </w:rPr>
      </w:r>
      <w:r/>
    </w:p>
    <w:p>
      <w:pPr>
        <w:ind w:firstLine="420"/>
        <w:rPr>
          <w:rFonts w:ascii="宋体" w:hAnsi="宋体"/>
          <w:b/>
          <w:sz w:val="21"/>
          <w:szCs w:val="21"/>
        </w:rPr>
        <w:outlineLvl w:val="0"/>
      </w:pPr>
      <w:r/>
      <w:bookmarkStart w:id="14" w:name="_Toc164686008"/>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14"/>
      <w:r/>
      <w:r/>
    </w:p>
    <w:p>
      <w:pPr>
        <w:ind w:firstLine="420"/>
        <w:rPr>
          <w:rFonts w:ascii="宋体" w:hAnsi="宋体"/>
          <w:b/>
          <w:bCs/>
          <w:sz w:val="21"/>
          <w:szCs w:val="21"/>
        </w:rPr>
      </w:pPr>
      <w:r>
        <w:rPr>
          <w:rFonts w:ascii="宋体" w:hAnsi="宋体"/>
          <w:b/>
          <w:bCs/>
          <w:sz w:val="21"/>
          <w:szCs w:val="21"/>
        </w:rPr>
      </w:r>
      <w:r/>
    </w:p>
    <w:p>
      <w:pPr>
        <w:ind w:firstLine="420"/>
        <w:jc w:val="center"/>
        <w:rPr>
          <w:rFonts w:ascii="宋体" w:hAnsi="宋体"/>
          <w:b/>
          <w:bCs/>
          <w:sz w:val="21"/>
          <w:szCs w:val="21"/>
        </w:rPr>
      </w:pPr>
      <w:r>
        <w:rPr>
          <w:rFonts w:ascii="宋体" w:hAnsi="宋体"/>
          <w:b/>
          <w:bCs/>
          <w:sz w:val="21"/>
          <w:szCs w:val="21"/>
        </w:rPr>
        <w:t xml:space="preserve">相关业绩一览表</w:t>
      </w:r>
      <w:r/>
    </w:p>
    <w:p>
      <w:pPr>
        <w:ind w:firstLine="420"/>
        <w:jc w:val="center"/>
        <w:rPr>
          <w:rFonts w:ascii="宋体" w:hAnsi="宋体"/>
          <w:b/>
          <w:bCs/>
          <w:sz w:val="21"/>
          <w:szCs w:val="21"/>
        </w:rPr>
      </w:pPr>
      <w:r>
        <w:rPr>
          <w:rFonts w:ascii="宋体" w:hAnsi="宋体"/>
          <w:b/>
          <w:bCs/>
          <w:sz w:val="21"/>
          <w:szCs w:val="21"/>
        </w:rPr>
      </w:r>
      <w:r/>
    </w:p>
    <w:tbl>
      <w:tblPr>
        <w:tblStyle w:val="736"/>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467"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467"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467"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467"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467"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467"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467"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622"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c>
          <w:tcPr>
            <w:tcW w:w="1467" w:type="dxa"/>
            <w:vAlign w:val="center"/>
            <w:textDirection w:val="lrTb"/>
            <w:noWrap w:val="false"/>
          </w:tcPr>
          <w:p>
            <w:pPr>
              <w:jc w:val="center"/>
              <w:spacing w:line="400" w:lineRule="exact"/>
              <w:rPr>
                <w:rFonts w:ascii="宋体" w:hAnsi="宋体"/>
                <w:sz w:val="21"/>
                <w:szCs w:val="21"/>
              </w:rPr>
            </w:pPr>
            <w:r>
              <w:rPr>
                <w:rFonts w:ascii="宋体" w:hAnsi="宋体"/>
                <w:sz w:val="21"/>
                <w:szCs w:val="21"/>
              </w:rPr>
            </w:r>
            <w:r/>
          </w:p>
        </w:tc>
      </w:tr>
    </w:tbl>
    <w:p>
      <w:pPr>
        <w:jc w:val="left"/>
        <w:spacing w:line="360" w:lineRule="auto"/>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firstLine="422"/>
        <w:jc w:val="left"/>
        <w:spacing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firstLine="420"/>
        <w:jc w:val="left"/>
        <w:spacing w:line="360" w:lineRule="auto"/>
        <w:rPr>
          <w:rFonts w:ascii="宋体" w:hAnsi="宋体"/>
          <w:b/>
          <w:sz w:val="21"/>
          <w:szCs w:val="21"/>
        </w:rPr>
      </w:pPr>
      <w:r>
        <w:rPr>
          <w:rFonts w:ascii="宋体" w:hAnsi="宋体"/>
          <w:b/>
          <w:sz w:val="21"/>
          <w:szCs w:val="21"/>
        </w:rPr>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firstLine="422"/>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right="615"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pStyle w:val="774"/>
        <w:ind w:firstLine="560"/>
      </w:pPr>
      <w:r/>
      <w:r/>
    </w:p>
    <w:p>
      <w:pPr>
        <w:rPr>
          <w:lang w:val="zh-CN"/>
        </w:rPr>
      </w:pPr>
      <w:r>
        <w:rPr>
          <w:lang w:val="zh-CN"/>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.安全责任承诺书</w:t>
      </w:r>
      <w:bookmarkEnd w:id="9"/>
      <w:bookmarkEnd w:id="10"/>
      <w:r/>
    </w:p>
    <w:p>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jc w:val="center"/>
        <w:spacing w:line="360" w:lineRule="auto"/>
        <w:rPr>
          <w:rFonts w:ascii="宋体" w:hAnsi="宋体" w:eastAsia="宋体"/>
          <w:sz w:val="21"/>
          <w:szCs w:val="21"/>
        </w:rPr>
      </w:pPr>
      <w:r>
        <w:rPr>
          <w:rFonts w:hint="eastAsia" w:ascii="宋体" w:hAnsi="宋体" w:eastAsia="宋体"/>
          <w:sz w:val="21"/>
          <w:szCs w:val="21"/>
        </w:rPr>
        <w:t xml:space="preserve">安全责任承诺书</w:t>
      </w:r>
      <w:r/>
    </w:p>
    <w:p>
      <w:pPr>
        <w:spacing w:line="360" w:lineRule="auto"/>
        <w:rPr>
          <w:rFonts w:ascii="宋体" w:hAnsi="宋体" w:eastAsia="宋体"/>
          <w:sz w:val="21"/>
          <w:szCs w:val="21"/>
        </w:rPr>
      </w:pPr>
      <w:r>
        <w:rPr>
          <w:rFonts w:hint="eastAsia" w:ascii="宋体" w:hAnsi="宋体" w:eastAsia="宋体"/>
          <w:sz w:val="21"/>
          <w:szCs w:val="21"/>
        </w:rPr>
        <w:t xml:space="preserve">我（公司）承诺：</w:t>
      </w:r>
      <w:r/>
    </w:p>
    <w:p>
      <w:pPr>
        <w:ind w:firstLine="514"/>
        <w:spacing w:line="360" w:lineRule="auto"/>
        <w:rPr>
          <w:rFonts w:ascii="宋体" w:hAnsi="宋体" w:eastAsia="宋体"/>
          <w:sz w:val="21"/>
          <w:szCs w:val="21"/>
        </w:rPr>
      </w:pPr>
      <w:r>
        <w:rPr>
          <w:rFonts w:hint="eastAsia" w:ascii="宋体" w:hAnsi="宋体" w:eastAsia="宋体"/>
          <w:sz w:val="21"/>
          <w:szCs w:val="21"/>
        </w:rPr>
        <w:t xml:space="preserve">如我方为成交单位，我方将认真履行本次招标的所有承诺，我方愿意负责承担所聘用全部养护人员的人身安全的全部责任，在景观灯养护的过程中发生的一切安全问题，由我方全权负责。</w:t>
      </w:r>
      <w:r/>
    </w:p>
    <w:p>
      <w:pPr>
        <w:spacing w:line="360" w:lineRule="auto"/>
        <w:rPr>
          <w:rFonts w:ascii="宋体" w:hAnsi="宋体" w:eastAsia="宋体"/>
          <w:b/>
          <w:bCs/>
          <w:sz w:val="21"/>
          <w:szCs w:val="21"/>
        </w:rPr>
      </w:pPr>
      <w:r>
        <w:rPr>
          <w:rFonts w:ascii="宋体" w:hAnsi="宋体" w:eastAsia="宋体"/>
          <w:b/>
          <w:bCs/>
          <w:sz w:val="21"/>
          <w:szCs w:val="21"/>
        </w:rPr>
      </w:r>
      <w:r/>
    </w:p>
    <w:p>
      <w:pPr>
        <w:spacing w:line="360" w:lineRule="auto"/>
        <w:rPr>
          <w:rFonts w:ascii="宋体" w:hAnsi="宋体" w:eastAsia="宋体"/>
          <w:b/>
          <w:bCs/>
          <w:sz w:val="21"/>
          <w:szCs w:val="21"/>
        </w:rPr>
      </w:pPr>
      <w:r>
        <w:rPr>
          <w:rFonts w:ascii="宋体" w:hAnsi="宋体" w:eastAsia="宋体"/>
          <w:b/>
          <w:bCs/>
          <w:sz w:val="21"/>
          <w:szCs w:val="21"/>
        </w:rPr>
      </w:r>
      <w:r/>
    </w:p>
    <w:p>
      <w:pPr>
        <w:ind w:firstLine="20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供应商：（单位盖章）</w:t>
      </w:r>
      <w:r/>
    </w:p>
    <w:p>
      <w:pPr>
        <w:ind w:firstLine="20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法定代表人或代理人：（签字或盖章）</w:t>
      </w:r>
      <w:r/>
    </w:p>
    <w:p>
      <w:pPr>
        <w:ind w:firstLine="210"/>
        <w:rPr>
          <w:rFonts w:ascii="宋体" w:hAnsi="宋体"/>
          <w:b/>
          <w:sz w:val="21"/>
          <w:szCs w:val="21"/>
        </w:rPr>
        <w:outlineLvl w:val="0"/>
      </w:pPr>
      <w:r>
        <w:rPr>
          <w:rFonts w:hint="eastAsia" w:ascii="宋体" w:hAnsi="宋体" w:eastAsia="宋体"/>
          <w:color w:val="000000"/>
          <w:sz w:val="21"/>
          <w:szCs w:val="21"/>
        </w:rPr>
        <w:t xml:space="preserve">日期：         年      月     日</w:t>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r>
      <w:r/>
    </w:p>
    <w:p>
      <w:pPr>
        <w:ind w:firstLine="420"/>
        <w:rPr>
          <w:rFonts w:ascii="宋体" w:hAnsi="宋体"/>
          <w:b/>
          <w:sz w:val="21"/>
          <w:szCs w:val="21"/>
        </w:rPr>
        <w:outlineLvl w:val="0"/>
      </w:pPr>
      <w:r>
        <w:rPr>
          <w:rFonts w:ascii="宋体" w:hAnsi="宋体"/>
          <w:b/>
          <w:sz w:val="21"/>
          <w:szCs w:val="21"/>
        </w:rPr>
        <w:br w:type="page" w:clear="all"/>
      </w:r>
      <w:bookmarkStart w:id="15" w:name="_Toc21574"/>
      <w:r/>
      <w:bookmarkStart w:id="16" w:name="_Toc19621"/>
      <w:r/>
      <w:r/>
    </w:p>
    <w:p>
      <w:pPr>
        <w:ind w:firstLine="420"/>
        <w:rPr>
          <w:rFonts w:ascii="宋体" w:hAnsi="宋体"/>
          <w:b/>
          <w:sz w:val="21"/>
          <w:szCs w:val="21"/>
        </w:rPr>
        <w:outlineLvl w:val="0"/>
      </w:pPr>
      <w:r/>
      <w:bookmarkStart w:id="17" w:name="_Toc164686009"/>
      <w:r>
        <w:rPr>
          <w:rFonts w:ascii="宋体" w:hAnsi="宋体"/>
          <w:b/>
          <w:sz w:val="21"/>
          <w:szCs w:val="21"/>
        </w:rPr>
        <w:t xml:space="preserve">附件</w:t>
      </w:r>
      <w:r>
        <w:rPr>
          <w:rFonts w:hint="eastAsia" w:ascii="宋体" w:hAnsi="宋体"/>
          <w:b/>
          <w:sz w:val="21"/>
          <w:szCs w:val="21"/>
        </w:rPr>
        <w:t xml:space="preserve">12.</w:t>
      </w:r>
      <w:r>
        <w:rPr>
          <w:b/>
          <w:sz w:val="21"/>
        </w:rPr>
        <w:t xml:space="preserve">中小企业</w:t>
      </w:r>
      <w:r>
        <w:rPr>
          <w:rFonts w:ascii="宋体" w:hAnsi="宋体"/>
          <w:b/>
          <w:sz w:val="21"/>
          <w:szCs w:val="21"/>
        </w:rPr>
        <w:t xml:space="preserve">声明函</w:t>
      </w:r>
      <w:bookmarkEnd w:id="15"/>
      <w:r/>
      <w:bookmarkEnd w:id="16"/>
      <w:r/>
      <w:bookmarkEnd w:id="17"/>
      <w:r/>
      <w:r/>
    </w:p>
    <w:p>
      <w:pPr>
        <w:ind w:firstLine="420"/>
        <w:jc w:val="left"/>
        <w:spacing w:line="480" w:lineRule="exact"/>
        <w:rPr>
          <w:rFonts w:ascii="宋体" w:hAnsi="宋体"/>
          <w:b/>
          <w:sz w:val="21"/>
          <w:szCs w:val="21"/>
        </w:rPr>
      </w:pPr>
      <w:r>
        <w:rPr>
          <w:rFonts w:ascii="宋体" w:hAnsi="宋体"/>
          <w:b/>
          <w:sz w:val="21"/>
          <w:szCs w:val="21"/>
        </w:rPr>
      </w:r>
      <w:r/>
    </w:p>
    <w:p>
      <w:pPr>
        <w:ind w:firstLine="42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jc w:val="left"/>
        <w:spacing w:line="480" w:lineRule="exact"/>
        <w:rPr>
          <w:rFonts w:ascii="宋体" w:hAnsi="宋体"/>
          <w:sz w:val="21"/>
          <w:szCs w:val="21"/>
        </w:rPr>
      </w:pPr>
      <w:r>
        <w:rPr>
          <w:rFonts w:hint="eastAsia" w:ascii="宋体" w:hAnsi="宋体"/>
          <w:sz w:val="21"/>
          <w:szCs w:val="21"/>
          <w:u w:val="single"/>
        </w:rPr>
        <w:t xml:space="preserve">江苏大成工程咨询有限公司：</w:t>
      </w:r>
      <w:r/>
    </w:p>
    <w:p>
      <w:pPr>
        <w:ind w:firstLine="422"/>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firstLine="422"/>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，从业人员人，营业收入为万元，资产总额为万元</w:t>
      </w:r>
      <w:r>
        <w:rPr>
          <w:rStyle w:val="76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firstLine="422"/>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从业人员人，营业收入为万元，资产总额为万元，属于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firstLine="422"/>
        <w:spacing w:line="480" w:lineRule="exact"/>
        <w:rPr>
          <w:rFonts w:ascii="宋体" w:hAnsi="宋体"/>
          <w:sz w:val="21"/>
          <w:szCs w:val="21"/>
        </w:rPr>
      </w:pPr>
      <w:r>
        <w:rPr>
          <w:rFonts w:hint="eastAsia" w:ascii="宋体" w:hAnsi="宋体"/>
          <w:sz w:val="21"/>
          <w:szCs w:val="21"/>
        </w:rPr>
        <w:t xml:space="preserve">……</w:t>
      </w:r>
      <w:r/>
    </w:p>
    <w:p>
      <w:pPr>
        <w:ind w:firstLine="422"/>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firstLine="422"/>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jc w:val="left"/>
        <w:spacing w:line="480" w:lineRule="exact"/>
        <w:rPr>
          <w:rFonts w:ascii="宋体" w:hAnsi="宋体"/>
          <w:sz w:val="21"/>
          <w:szCs w:val="21"/>
        </w:rPr>
      </w:pPr>
      <w:r>
        <w:rPr>
          <w:rFonts w:ascii="宋体" w:hAnsi="宋体"/>
          <w:sz w:val="21"/>
          <w:szCs w:val="21"/>
        </w:rPr>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right="615"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ind w:firstLine="420"/>
        <w:spacing w:line="360" w:lineRule="auto"/>
        <w:rPr>
          <w:rFonts w:ascii="宋体" w:hAnsi="宋体" w:eastAsia="宋体" w:cs="宋体"/>
          <w:b/>
          <w:sz w:val="21"/>
          <w:szCs w:val="21"/>
        </w:rPr>
      </w:pPr>
      <w:r>
        <w:rPr>
          <w:rFonts w:hint="eastAsia" w:ascii="宋体" w:hAnsi="宋体" w:cs="宋体"/>
          <w:b/>
          <w:bCs/>
          <w:sz w:val="21"/>
          <w:szCs w:val="21"/>
        </w:rPr>
        <w:br w:type="page" w:clear="all"/>
      </w:r>
      <w:r>
        <w:rPr>
          <w:rFonts w:hint="eastAsia" w:ascii="宋体" w:hAnsi="宋体" w:eastAsia="宋体" w:cs="宋体"/>
          <w:b/>
          <w:sz w:val="21"/>
          <w:szCs w:val="21"/>
        </w:rPr>
        <w:t xml:space="preserve">附：中小企业划型标准规定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（一）农、林、牧、渔业。</w:t>
      </w:r>
      <w:r>
        <w:rPr>
          <w:rFonts w:hint="eastAsia" w:ascii="宋体" w:hAnsi="宋体" w:eastAsia="宋体" w:cs="宋体"/>
          <w:sz w:val="21"/>
          <w:szCs w:val="21"/>
        </w:rPr>
        <w:t xml:space="preserve">营业收入20000万元以下的为中小微型企业。其中，营业收入500万元及以上的为中型企业，营业收入50万元及以上的为小型企业，营业收入50万元以下的为微型企业。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（二）工业。</w:t>
      </w:r>
      <w:r>
        <w:rPr>
          <w:rFonts w:hint="eastAsia" w:ascii="宋体" w:hAnsi="宋体" w:eastAsia="宋体" w:cs="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（三）建筑业。</w:t>
      </w:r>
      <w:r>
        <w:rPr>
          <w:rFonts w:hint="eastAsia" w:ascii="宋体" w:hAnsi="宋体" w:eastAsia="宋体" w:cs="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（四）批发业。</w:t>
      </w:r>
      <w:r>
        <w:rPr>
          <w:rFonts w:hint="eastAsia" w:ascii="宋体" w:hAnsi="宋体" w:eastAsia="宋体" w:cs="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（五）零售业。</w:t>
      </w:r>
      <w:r>
        <w:rPr>
          <w:rFonts w:hint="eastAsia" w:ascii="宋体" w:hAnsi="宋体" w:eastAsia="宋体" w:cs="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（六）交通运输业。</w:t>
      </w:r>
      <w:r>
        <w:rPr>
          <w:rFonts w:hint="eastAsia" w:ascii="宋体" w:hAnsi="宋体" w:eastAsia="宋体" w:cs="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（七）仓储业。</w:t>
      </w:r>
      <w:r>
        <w:rPr>
          <w:rFonts w:hint="eastAsia" w:ascii="宋体" w:hAnsi="宋体" w:eastAsia="宋体" w:cs="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（八）邮政业。</w:t>
      </w:r>
      <w:r>
        <w:rPr>
          <w:rFonts w:hint="eastAsia" w:ascii="宋体" w:hAnsi="宋体" w:eastAsia="宋体" w:cs="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（九）住宿业。</w:t>
      </w:r>
      <w:r>
        <w:rPr>
          <w:rFonts w:hint="eastAsia" w:ascii="宋体" w:hAnsi="宋体" w:eastAsia="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（十）餐饮业。</w:t>
      </w:r>
      <w:r>
        <w:rPr>
          <w:rFonts w:hint="eastAsia" w:ascii="宋体" w:hAnsi="宋体" w:eastAsia="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（十一）信息传输业。</w:t>
      </w:r>
      <w:r>
        <w:rPr>
          <w:rFonts w:hint="eastAsia" w:ascii="宋体" w:hAnsi="宋体" w:eastAsia="宋体" w:cs="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（十二）软件和信息技术服务业。</w:t>
      </w:r>
      <w:r>
        <w:rPr>
          <w:rFonts w:hint="eastAsia" w:ascii="宋体" w:hAnsi="宋体" w:eastAsia="宋体" w:cs="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（十三）房地产开发经营。</w:t>
      </w:r>
      <w:r>
        <w:rPr>
          <w:rFonts w:hint="eastAsia" w:ascii="宋体" w:hAnsi="宋体" w:eastAsia="宋体" w:cs="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（十四）物业管理。</w:t>
      </w:r>
      <w:r>
        <w:rPr>
          <w:rFonts w:hint="eastAsia" w:ascii="宋体" w:hAnsi="宋体" w:eastAsia="宋体" w:cs="宋体"/>
          <w:sz w:val="21"/>
          <w:szCs w:val="21"/>
        </w:rPr>
        <w:t xml:space="preserve">从业人员1000人以下或营业收入5000万元以下的为中小微型企业。其中，从业人员</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（十五）租赁和商务服务业。</w:t>
      </w:r>
      <w:r>
        <w:rPr>
          <w:rFonts w:hint="eastAsia" w:ascii="宋体" w:hAnsi="宋体" w:eastAsia="宋体" w:cs="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360" w:lineRule="auto"/>
        <w:rPr>
          <w:rFonts w:ascii="宋体" w:hAnsi="宋体" w:eastAsia="宋体" w:cs="宋体"/>
          <w:sz w:val="21"/>
          <w:szCs w:val="21"/>
        </w:rPr>
      </w:pPr>
      <w:r>
        <w:rPr>
          <w:rFonts w:hint="eastAsia" w:ascii="宋体" w:hAnsi="宋体" w:eastAsia="宋体" w:cs="宋体"/>
          <w:b/>
          <w:sz w:val="21"/>
          <w:szCs w:val="21"/>
        </w:rPr>
        <w:t xml:space="preserve">（十六）其他未列明行业。</w:t>
      </w:r>
      <w:r>
        <w:rPr>
          <w:rFonts w:hint="eastAsia" w:ascii="宋体" w:hAnsi="宋体" w:eastAsia="宋体" w:cs="宋体"/>
          <w:sz w:val="21"/>
          <w:szCs w:val="21"/>
        </w:rPr>
        <w:t xml:space="preserve">从业人员300人以下的为中小微型企业。其中，从业人员100人及以上的为中型企业；从业人员10人及以上的为小型企业；从业人员10人以下的为微型企业。</w:t>
      </w:r>
      <w:r/>
    </w:p>
    <w:p>
      <w:pPr>
        <w:ind w:firstLine="420"/>
        <w:jc w:val="left"/>
        <w:spacing w:line="480" w:lineRule="exact"/>
        <w:rPr>
          <w:rFonts w:ascii="宋体" w:hAnsi="宋体" w:cs="宋体"/>
          <w:b/>
          <w:bCs/>
          <w:sz w:val="21"/>
          <w:szCs w:val="21"/>
        </w:rPr>
      </w:pPr>
      <w:r>
        <w:rPr>
          <w:rFonts w:ascii="宋体" w:hAnsi="宋体" w:cs="宋体"/>
          <w:b/>
          <w:bCs/>
          <w:sz w:val="21"/>
          <w:szCs w:val="21"/>
        </w:rPr>
      </w:r>
      <w:r/>
    </w:p>
    <w:p>
      <w:pPr>
        <w:pStyle w:val="756"/>
        <w:ind w:left="400"/>
      </w:pPr>
      <w:r/>
      <w:r/>
    </w:p>
    <w:p>
      <w:pPr>
        <w:ind w:firstLine="420"/>
        <w:rPr>
          <w:rFonts w:ascii="宋体" w:hAnsi="宋体" w:cs="宋体"/>
          <w:b/>
          <w:bCs/>
          <w:sz w:val="21"/>
          <w:szCs w:val="21"/>
        </w:rPr>
        <w:outlineLvl w:val="0"/>
      </w:pPr>
      <w:r>
        <w:rPr>
          <w:rFonts w:hint="eastAsia" w:ascii="宋体" w:hAnsi="宋体" w:cs="宋体"/>
          <w:b/>
          <w:bCs/>
          <w:sz w:val="21"/>
          <w:szCs w:val="21"/>
        </w:rPr>
        <w:br w:type="page" w:clear="all"/>
      </w:r>
      <w:bookmarkStart w:id="18" w:name="_Toc164686010"/>
      <w:r>
        <w:rPr>
          <w:rFonts w:hint="eastAsia" w:ascii="宋体" w:hAnsi="宋体" w:cs="宋体"/>
          <w:b/>
          <w:bCs/>
          <w:sz w:val="21"/>
          <w:szCs w:val="21"/>
        </w:rPr>
        <w:t xml:space="preserve">附件13.</w:t>
      </w:r>
      <w:r>
        <w:rPr>
          <w:rFonts w:hint="eastAsia"/>
          <w:b/>
          <w:sz w:val="21"/>
        </w:rPr>
        <w:t xml:space="preserve">残疾人</w:t>
      </w:r>
      <w:r>
        <w:rPr>
          <w:rFonts w:hint="eastAsia" w:ascii="宋体" w:hAnsi="宋体" w:cs="宋体"/>
          <w:b/>
          <w:bCs/>
          <w:sz w:val="21"/>
          <w:szCs w:val="21"/>
          <w:lang w:val="zh-CN"/>
        </w:rPr>
        <w:t xml:space="preserve">福利性单位声明函</w:t>
      </w:r>
      <w:bookmarkEnd w:id="18"/>
      <w:r/>
      <w:r/>
    </w:p>
    <w:p>
      <w:pPr>
        <w:jc w:val="left"/>
        <w:spacing w:line="480" w:lineRule="exact"/>
        <w:rPr>
          <w:sz w:val="21"/>
        </w:rPr>
      </w:pPr>
      <w:r>
        <w:rPr>
          <w:sz w:val="21"/>
        </w:rPr>
      </w:r>
      <w:r/>
    </w:p>
    <w:p>
      <w:pPr>
        <w:ind w:firstLine="42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spacing w:line="360" w:lineRule="auto"/>
        <w:rPr>
          <w:rFonts w:ascii="宋体" w:hAnsi="宋体"/>
          <w:sz w:val="21"/>
          <w:szCs w:val="21"/>
          <w:lang w:val="zh-CN"/>
        </w:rPr>
      </w:pPr>
      <w:r/>
      <w:bookmarkStart w:id="19" w:name="_Toc15378"/>
      <w:r/>
      <w:bookmarkStart w:id="20" w:name="_Toc32206"/>
      <w:r/>
      <w:bookmarkStart w:id="21" w:name="_Toc3869"/>
      <w:r>
        <w:rPr>
          <w:rFonts w:hint="eastAsia" w:ascii="宋体" w:hAnsi="宋体"/>
          <w:sz w:val="21"/>
          <w:szCs w:val="21"/>
          <w:u w:val="single"/>
          <w:lang w:val="zh-CN"/>
        </w:rPr>
        <w:t xml:space="preserve">江苏大成工程咨询有限公司</w:t>
      </w:r>
      <w:r>
        <w:rPr>
          <w:rFonts w:hint="eastAsia" w:ascii="宋体" w:hAnsi="宋体"/>
          <w:sz w:val="21"/>
          <w:szCs w:val="21"/>
          <w:lang w:val="zh-CN"/>
        </w:rPr>
        <w:t xml:space="preserve">：</w:t>
      </w:r>
      <w:bookmarkEnd w:id="19"/>
      <w:r/>
      <w:bookmarkEnd w:id="20"/>
      <w:r/>
      <w:bookmarkEnd w:id="21"/>
      <w:r/>
      <w:r/>
    </w:p>
    <w:p>
      <w:pPr>
        <w:spacing w:line="360" w:lineRule="auto"/>
        <w:rPr>
          <w:rFonts w:ascii="宋体" w:hAnsi="宋体"/>
          <w:sz w:val="21"/>
          <w:szCs w:val="21"/>
        </w:rPr>
      </w:pPr>
      <w:r>
        <w:rPr>
          <w:rFonts w:hint="eastAsia" w:ascii="宋体" w:hAnsi="宋体"/>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firstLine="422"/>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822"/>
        <w:spacing w:line="360" w:lineRule="auto"/>
        <w:rPr>
          <w:rFonts w:hAnsi="宋体"/>
          <w:sz w:val="21"/>
          <w:szCs w:val="21"/>
        </w:rPr>
      </w:pPr>
      <w:r>
        <w:rPr>
          <w:rFonts w:hAnsi="宋体"/>
          <w:sz w:val="21"/>
          <w:szCs w:val="21"/>
        </w:rPr>
      </w:r>
      <w:r/>
    </w:p>
    <w:p>
      <w:pPr>
        <w:ind w:firstLine="420"/>
        <w:spacing w:line="360" w:lineRule="auto"/>
        <w:rPr>
          <w:rFonts w:ascii="宋体" w:hAnsi="宋体"/>
          <w:b/>
          <w:sz w:val="21"/>
          <w:szCs w:val="21"/>
        </w:rPr>
      </w:pPr>
      <w:r>
        <w:rPr>
          <w:rFonts w:ascii="宋体" w:hAnsi="宋体"/>
          <w:b/>
          <w:sz w:val="21"/>
          <w:szCs w:val="21"/>
        </w:rPr>
      </w:r>
      <w:r/>
    </w:p>
    <w:p>
      <w:pPr>
        <w:ind w:firstLine="420"/>
        <w:spacing w:line="360" w:lineRule="auto"/>
        <w:rPr>
          <w:rFonts w:ascii="宋体" w:hAnsi="宋体"/>
          <w:b/>
          <w:sz w:val="21"/>
          <w:szCs w:val="21"/>
        </w:rPr>
      </w:pPr>
      <w:r>
        <w:rPr>
          <w:rFonts w:ascii="宋体" w:hAnsi="宋体"/>
          <w:b/>
          <w:sz w:val="21"/>
          <w:szCs w:val="21"/>
        </w:rPr>
      </w:r>
      <w:r/>
    </w:p>
    <w:p>
      <w:pPr>
        <w:ind w:firstLine="420"/>
        <w:spacing w:line="360" w:lineRule="auto"/>
        <w:rPr>
          <w:rFonts w:ascii="宋体" w:hAnsi="宋体"/>
          <w:b/>
          <w:sz w:val="21"/>
          <w:szCs w:val="21"/>
        </w:rPr>
      </w:pPr>
      <w:r>
        <w:rPr>
          <w:rFonts w:ascii="宋体" w:hAnsi="宋体"/>
          <w:b/>
          <w:sz w:val="21"/>
          <w:szCs w:val="21"/>
        </w:rPr>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firstLine="422"/>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right="615" w:firstLine="422"/>
        <w:jc w:val="right"/>
        <w:spacing w:line="400" w:lineRule="exact"/>
        <w:rPr>
          <w:rFonts w:ascii="宋体" w:hAnsi="宋体" w:cs="宋体"/>
          <w:sz w:val="21"/>
          <w:szCs w:val="21"/>
          <w:lang w:val="zh-CN"/>
        </w:rPr>
      </w:pPr>
      <w:r>
        <w:rPr>
          <w:rFonts w:hint="eastAsia" w:ascii="宋体" w:hAnsi="宋体" w:cs="宋体"/>
          <w:sz w:val="21"/>
          <w:szCs w:val="21"/>
          <w:lang w:val="zh-CN"/>
        </w:rPr>
        <w:t xml:space="preserve">日期：年月日</w:t>
      </w:r>
      <w:r/>
    </w:p>
    <w:p>
      <w:pPr>
        <w:pStyle w:val="774"/>
        <w:ind w:firstLine="560"/>
      </w:pPr>
      <w:r/>
      <w:r/>
    </w:p>
    <w:p>
      <w:pPr>
        <w:pStyle w:val="756"/>
        <w:ind w:left="0" w:firstLine="0"/>
        <w:spacing w:after="0"/>
        <w:rPr>
          <w:rFonts w:ascii="宋体" w:hAnsi="宋体"/>
          <w:b/>
          <w:sz w:val="20"/>
          <w:lang w:val="zh-CN"/>
        </w:rPr>
      </w:pPr>
      <w:r>
        <w:rPr>
          <w:rFonts w:ascii="宋体" w:hAnsi="宋体"/>
          <w:b/>
          <w:sz w:val="20"/>
          <w:lang w:val="zh-CN"/>
        </w:rPr>
      </w:r>
      <w:r/>
    </w:p>
    <w:p>
      <w:pPr>
        <w:pStyle w:val="756"/>
        <w:ind w:left="0" w:firstLine="0"/>
        <w:spacing w:after="0"/>
        <w:rPr>
          <w:rFonts w:ascii="宋体" w:hAnsi="宋体"/>
          <w:b/>
          <w:sz w:val="20"/>
          <w:lang w:val="zh-CN"/>
        </w:rPr>
      </w:pPr>
      <w:r>
        <w:rPr>
          <w:rFonts w:ascii="宋体" w:hAnsi="宋体"/>
          <w:b/>
          <w:sz w:val="20"/>
          <w:lang w:val="zh-CN"/>
        </w:rPr>
      </w:r>
      <w:r/>
    </w:p>
    <w:p>
      <w:pPr>
        <w:pStyle w:val="756"/>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756"/>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7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7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7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75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756"/>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6"/>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756"/>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firstLine="880"/>
        <w:jc w:val="center"/>
        <w:rPr>
          <w:rFonts w:ascii="宋体" w:hAnsi="宋体" w:eastAsia="宋体" w:cs="宋体"/>
          <w:b/>
          <w:sz w:val="21"/>
          <w:szCs w:val="21"/>
        </w:rPr>
      </w:pPr>
      <w:r>
        <w:rPr>
          <w:rFonts w:hint="eastAsia"/>
          <w:b/>
          <w:sz w:val="44"/>
          <w:szCs w:val="44"/>
        </w:rPr>
        <w:br w:type="page" w:clear="all"/>
      </w:r>
      <w:r/>
    </w:p>
    <w:p>
      <w:pPr>
        <w:ind w:firstLine="640"/>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第四章采购需求</w:t>
      </w:r>
      <w:r/>
    </w:p>
    <w:p>
      <w:pPr>
        <w:ind w:firstLine="422"/>
        <w:spacing w:line="360" w:lineRule="auto"/>
        <w:rPr>
          <w:rFonts w:ascii="宋体" w:hAnsi="宋体" w:eastAsia="宋体" w:cs="宋体"/>
          <w:sz w:val="21"/>
          <w:szCs w:val="21"/>
        </w:rPr>
      </w:pPr>
      <w:r>
        <w:rPr>
          <w:rFonts w:hint="eastAsia" w:ascii="宋体" w:hAnsi="宋体" w:eastAsia="宋体" w:cs="宋体"/>
          <w:bCs/>
          <w:sz w:val="21"/>
          <w:szCs w:val="21"/>
        </w:rPr>
        <w:t xml:space="preserve">江苏大成工程咨询有限公司受苏州市相城区公路事业发展中心的委托，就其所需的相城区区管道路、楼宇、公园景观灯维护项目以竞争性磋商方式组织政府采购，欢迎符合条件的供应商参加</w:t>
      </w:r>
      <w:r>
        <w:rPr>
          <w:rFonts w:hint="eastAsia" w:ascii="宋体" w:hAnsi="宋体" w:eastAsia="宋体" w:cs="宋体"/>
          <w:sz w:val="21"/>
          <w:szCs w:val="21"/>
        </w:rPr>
        <w:t xml:space="preserve">。</w:t>
      </w:r>
      <w:r/>
    </w:p>
    <w:p>
      <w:pPr>
        <w:ind w:firstLine="422"/>
        <w:spacing w:line="360" w:lineRule="auto"/>
        <w:tabs>
          <w:tab w:val="left" w:pos="753" w:leader="none"/>
        </w:tabs>
        <w:rPr>
          <w:rFonts w:hint="eastAsia" w:ascii="宋体" w:hAnsi="宋体" w:eastAsia="宋体" w:cs="宋体"/>
          <w:sz w:val="21"/>
          <w:szCs w:val="21"/>
          <w:lang w:eastAsia="zh-CN"/>
        </w:rPr>
        <w:outlineLvl w:val="1"/>
      </w:pPr>
      <w:r>
        <w:rPr>
          <w:rFonts w:hint="eastAsia" w:ascii="宋体" w:hAnsi="宋体" w:eastAsia="宋体" w:cs="宋体"/>
          <w:b/>
          <w:sz w:val="21"/>
          <w:szCs w:val="21"/>
        </w:rPr>
        <w:t xml:space="preserve">一、采购编号：</w:t>
      </w:r>
      <w:r>
        <w:rPr>
          <w:rFonts w:hint="eastAsia" w:ascii="宋体" w:hAnsi="宋体" w:eastAsia="宋体" w:cs="宋体"/>
          <w:sz w:val="21"/>
          <w:szCs w:val="21"/>
          <w:lang w:eastAsia="zh-CN"/>
        </w:rPr>
        <w:t xml:space="preserve">JSZC-320507-DCZX-C2026-0030</w:t>
      </w:r>
      <w:r/>
    </w:p>
    <w:p>
      <w:pPr>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二、采购内容：</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1、项目名称：相城区区管道路、楼宇、公园景观灯维护项目</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2、服务期限：2年（具体以采购人通知为准）</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3、服务地点：采购人指定地点。</w:t>
      </w:r>
      <w:r/>
    </w:p>
    <w:p>
      <w:pPr>
        <w:ind w:firstLine="420"/>
        <w:spacing w:line="360" w:lineRule="auto"/>
        <w:rPr>
          <w:rFonts w:ascii="宋体" w:hAnsi="宋体" w:eastAsia="宋体" w:cs="宋体"/>
          <w:b/>
          <w:sz w:val="21"/>
          <w:szCs w:val="21"/>
        </w:rPr>
      </w:pPr>
      <w:r>
        <w:rPr>
          <w:rFonts w:hint="eastAsia" w:ascii="宋体" w:hAnsi="宋体" w:eastAsia="宋体" w:cs="宋体"/>
          <w:bCs/>
          <w:sz w:val="21"/>
          <w:szCs w:val="21"/>
        </w:rPr>
        <w:t xml:space="preserve">三、</w:t>
      </w:r>
      <w:r>
        <w:rPr>
          <w:rFonts w:hint="eastAsia" w:ascii="宋体" w:hAnsi="宋体" w:eastAsia="宋体" w:cs="宋体"/>
          <w:b/>
          <w:sz w:val="21"/>
          <w:szCs w:val="21"/>
        </w:rPr>
        <w:t xml:space="preserve">采购需求：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1、养护清单：</w:t>
      </w:r>
      <w:r/>
    </w:p>
    <w:tbl>
      <w:tblPr>
        <w:tblStyle w:val="736"/>
        <w:tblW w:w="8572" w:type="dxa"/>
        <w:jc w:val="center"/>
        <w:tblLayout w:type="fixed"/>
        <w:tblCellMar>
          <w:left w:w="108" w:type="dxa"/>
          <w:top w:w="0" w:type="dxa"/>
          <w:right w:w="108" w:type="dxa"/>
          <w:bottom w:w="0" w:type="dxa"/>
        </w:tblCellMar>
        <w:tblLook w:val="04A0" w:firstRow="1" w:lastRow="0" w:firstColumn="1" w:lastColumn="0" w:noHBand="0" w:noVBand="1"/>
      </w:tblPr>
      <w:tblGrid>
        <w:gridCol w:w="853"/>
        <w:gridCol w:w="1815"/>
        <w:gridCol w:w="3396"/>
        <w:gridCol w:w="921"/>
        <w:gridCol w:w="798"/>
        <w:gridCol w:w="789"/>
      </w:tblGrid>
      <w:tr>
        <w:trPr>
          <w:jc w:val="center"/>
          <w:trHeight w:val="54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公园、楼宇景观灯养护清单 </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备注</w:t>
            </w:r>
            <w:r/>
          </w:p>
        </w:tc>
      </w:tr>
      <w:tr>
        <w:trPr>
          <w:jc w:val="center"/>
          <w:trHeight w:val="54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1、行政中心广场</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方型草坪灯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23W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小艺术灯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大艺术灯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140W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广场LED灯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23W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倒T草坪灯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23W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行政灯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69W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天平灯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123W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广告牌灯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23W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三柱灯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LED庭院灯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楼顶投光灯(钠)</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楼顶投光灯(金)</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非标</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分控箱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非标</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YJV-4*16mm2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YJV-3*2.5mm2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2、行政中心大楼</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250W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日光灯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日光灯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15W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150W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LED壁灯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15W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LED洗墙灯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18W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LED壁灯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YJV-3*4mm2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1938</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YJV-3*2.5mm2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3720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RVV-3*2.5mm2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3835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1200*750*250</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50*40*1.2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YJV-4*25+1*16mm2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3、疾控中心灯光亮化</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点光源</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DC12V-3W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数码管</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单色12W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数码管</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流水12W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250W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1000W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150W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700*450*300</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YJV-4*50+25mm2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YJV-4*25+16mm2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YJV-5*16mm2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YJV-3*4mm2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YJV-2*2.5mm2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80*50</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4、相城大道景观灯</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射树灯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15W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庭院灯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地侧灯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壁灯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12W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洗墙灯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24W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地埋灯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草坪灯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YJV-3*4mm2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4588.6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YJV-3*6mm2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470.5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YJV-5*4mm2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510.4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YJV-5*6mm2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358.8</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YJV-5*10mm2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507.4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YJV-5*16mm2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391.2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YJV-5*25mm2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5、府西公园</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庭院灯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投光灯A</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250W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投光灯B</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球形灯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250W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钓鱼灯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23W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草坪灯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13W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24W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18W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48W 5000K</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24W 绿色</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48W 绿色</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48W 3000K</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48W 4000K</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LED补角灯</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2*200W 10米</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RVV-3*1.5mm2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YJV-3*4mm2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YJV-5*6mm2</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56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道路、桥梁景观灯养护清单</w:t>
            </w:r>
            <w:r/>
          </w:p>
        </w:tc>
      </w:tr>
      <w:tr>
        <w:trPr>
          <w:jc w:val="center"/>
          <w:trHeight w:val="72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1、S227白荡湖大桥</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1、名称：洗墙灯养护维修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2、型号：LED24W</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3、灯杆材质、高度：更换损坏的LED光源、熔断器、灯具、电线、电源等，测接地电阻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1、名称：小品灯养护维修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2、型号：LED12W</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90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2、驳岸</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1、名称：投光灯养护维修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2、型号：LED3W</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1、名称：洗墙灯养护维修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2、型号：LED24W</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90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3、G312</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1、名称：洗墙灯养护维修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2、型号：LED18W</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1786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1、名称：洗墙灯养护维修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2、型号：LED60W</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1、名称：反光板养护维修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1786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92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4、荷塘月色桥</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1、名称：大功率投光灯养护维修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2、型号：400W钠灯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1、名称：大功率投光灯养护维修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2、型号：150W金卤灯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景观灯控制箱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1、名称：景观灯控制箱维护（含三遥）</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2、型号：包含巡查、电箱刷漆、元器件检修、接地检测、避雷装置检测</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景观灯控制箱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1、名称：景观灯控制箱维护</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2、型号：包含巡查、电箱刷漆、元器件检修、接地检测、避雷装置检测</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2、型号：YJV-4*70+50</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2、型号：YJV-4*35+16</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138.2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2、型号：YJV-5*16（PE管）</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9184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1、名称：200*150*铝皮厚1.4桥架养护维修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2、巡视检修，更换损坏、刷漆、支吊架、测接地电阻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1873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投光灯防盗罩养护维修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1、名称：投光灯防盗罩养护维修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76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5、悉尼桥</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1、名称：投光灯1养护维修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2、型号：150W钠灯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3、巡视检修，更换损坏的光源、熔断器、瓷灯头、灯具、电线、整流器等，测接地电阻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1、名称：投光灯2养护维修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2、型号：250W钠灯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3、巡视检修，更换损坏的光源、熔断器、瓷灯头、灯具、电线、整流器等，测接地电阻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1、名称：投光灯3养护维修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2、型号：70W金卤灯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3、巡视检修，更换损坏的光源、熔断器、瓷灯头、灯具、电线、整流器等，测接地电阻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1、名称：投光灯4养护维修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2、型号：150W金卤灯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3、巡视检修，更换损坏的光源、熔断器、瓷灯头、灯具、电线、整流器等，测接地电阻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1、名称：投光灯5养护维修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2、型号：150W金卤灯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3、巡视检修，更换损坏的光源、熔断器、瓷灯头、灯具、电线、整流器等，测接地电阻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1、名称：投光灯6养护维修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2、型号：150W金卤灯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3、巡视检修，更换损坏的光源、熔断器、瓷灯头、灯具、电线、整流器等，测接地电阻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1、名称：投光灯7养护维修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2、型号：70W金卤灯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3、巡视检修，更换损坏的光源、熔断器、瓷灯头、灯具、电线、整流器等，测接地电阻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1、名称：点光源养护维修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2、型号：LED2.5W</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3、巡视检修，更换损坏的LED光源、熔断器、瓷灯头、灯具、电线、电源等，测接地电阻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1、名称：T5洗墙灯东养护维修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2、型号：28W/T5</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3、巡视检修，更换损坏的LED光源、熔断器、瓷灯头、灯具、电线、电源等，测接地电阻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1、名称：T5洗墙灯西养护维修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2、型号：28W/T5</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3、巡视检修，更换损坏的LED光源、熔断器、瓷灯头、灯具、电线、电源等，测接地电阻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1、名称：LED洗墙灯东83m+101m养护维修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2、型号：24WLED</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3、巡视检修，更换损坏的LED光源、熔断器、瓷灯头、灯具、电线、电源等，测接地电阻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1、名称：LED洗墙灯西83m+101m养护维修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2、型号：24WLED</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3、巡视检修，更换损坏的LED光源、熔断器、瓷灯头、灯具、电线、电源等，测接地电阻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1、名称：壁灯（金卤灯）养护维修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2、型号：70W金卤灯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1、名称：庭院灯（钠灯）养护维修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2、型号：70W钠灯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3、巡视检修，更换损坏的灯杆、灯架、灯泡、熔断器、瓷灯头、灯具、电线等，测接地电阻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景观灯控制箱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1、名称：景观灯控制箱维护</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2、型号：包含巡查、电箱刷漆、元器件检修、接地检测、避雷装置检测</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2、型号：YJV-4*25+16</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685.2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2、型号：YJV-5*16</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305.7</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2、型号：YJV-3*6</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2、型号：YJV-3*4</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9116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1、名称：铝线槽50*75桥架养护维修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2、巡视检修，更换损坏、刷漆、支吊架、测接地电阻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1、名称：铝线槽100*75桥架养护维修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2、巡视检修，更换损坏、刷漆、支吊架、测接地电阻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1、名称：铝线槽150*75桥架养护维修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2、巡视检修，更换损坏、刷漆、支吊架、测接地电阻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1、名称：钢制电缆桥架100*200桥架养护维修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2、巡视检修，更换损坏、刷漆、支吊架、测接地电阻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78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6、安德逊桥</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1、名称：壁灯（LED）养护维修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2、型号：36WLED</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1、名称：LED泛光灯养护维修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2、型号：18WLED</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3、巡视检修，更换损坏的光源、熔断器、瓷灯头、灯具、电线、整流器等，测接地电阻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1、名称：LED洗墙灯养护维修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2、型号：25WLED</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417.5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1、名称：LED洗墙灯养护维修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2、型号：LED18W、3000K、DC24V</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4、巡视检修，更换损坏的LED光源、熔断器、灯具、电线、电源等，测接地电阻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1、名称：LED洗墙灯黄养护维修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2、型号：15WLED</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3、巡视检修，更换损坏的LED光源、熔断器、灯具、电线、电源等，测接地电阻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229.6</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落地式控制箱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1、名称：景观灯控制箱维护</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2、型号：包含巡查、电箱刷漆、元器件检修、接地检测、避雷装置检测</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开关电源养护维修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1、名称：开关电源养护维修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2、型号：400W</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2、型号：VV-3*4</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2440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2、型号：KVV-4*1.5</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1、名称：不锈钢线槽（CT250+50）*150*1.5桥架养护维修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2、巡视检修，更换损坏、刷漆、支吊架、测接地电阻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136.4</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1、名称：不锈钢线槽（CT150+50）*50*1.2桥架养护维修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2、巡视检修，更换损坏、刷漆、支吊架、测接地电阻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148.5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1、名称：不锈钢线槽（CT50+50）*50*1桥架养护维修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2、巡视检修，更换损坏、刷漆、支吊架、测接地电阻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1、名称：不锈钢线槽（CT50+30）*30桥架养护维修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2、巡视检修，更换损坏、刷漆、支吊架、测接地电阻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桥架养护维修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1、名称：不锈钢线槽CT50*30*1.0桥架养护维修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2、巡视检修，更换损坏、刷漆、支吊架、测接地电阻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1、名称：网线养护维修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2、型号：八芯4对网线</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1312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控制单元养护维修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1、名称：控制单元养护维修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2、型号：配套主控机</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3、巡查，更换坏损部件、修复松动（脱落）装置、单机测试、电气测试、系统测试、清理现场</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控制单元养护维修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1、名称：控制单元养护维修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2、型号：长距离信号接收器</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3、巡查，更换坏损部件、修复松动（脱落）装置、单机测试、电气测试、系统测试、清理现场</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860"/>
        </w:trPr>
        <w:tc>
          <w:tcPr>
            <w:gridSpan w:val="6"/>
            <w:shd w:val="clear" w:color="auto" w:fill="auto"/>
            <w:tcBorders>
              <w:top w:val="single" w:color="000000" w:sz="4" w:space="0"/>
              <w:left w:val="single" w:color="000000" w:sz="4" w:space="0"/>
              <w:bottom w:val="single" w:color="000000" w:sz="4" w:space="0"/>
              <w:right w:val="single" w:color="000000" w:sz="4" w:space="0"/>
            </w:tcBorders>
            <w:tcW w:w="8572" w:type="dxa"/>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7、陆慕桥</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1、名称：泛光灯养护维修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2、型号：70W钠灯</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3、巡视检修，更换损坏的光源、熔断器、瓷灯头、灯具、电线、整流器等，测接地电阻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1、名称：柱灯养护维修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2、型号：5*LED23W</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3、巡视检修，更换损坏的灯杆、灯架、灯泡、熔断器、瓷灯头、灯具、电线、LED光源等，测接地电阻</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景观灯控制箱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1、名称：景观灯控制箱维护</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2、型号：包含巡查、电箱刷漆、元器件检修、接地检测、避雷装置检测</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2、型号：YJV-4*35</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电缆养护维修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1、名称：电缆养护维修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2、型号：YJV-5*25</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电线养护维修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1、名称：电线养护维修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2、型号：BV2.5</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3、巡查线路，更换破损的电缆、井框、井盖，处理线路缺陷、电缆护管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bl>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2、养护内容</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2.1照明系统的维护金额，包含光源（镇流器、灯泡、触发器）的养护、维修和管理。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2.2控制（分支）箱的养护、维修和管理。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2.3建立道路照明设施系统资料、管理档案。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2.4因各类事故、偷盗引起的抢修、报修处理工作。</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2.5安排专职值班人员进行24H值班。</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2.6配合做好各类保障、投诉、联系单（函）、媒体曝光等事宜的处理工作。</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2.7其他采购方要求实施的工作。</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2.8保证养护范围内的设施设备的安全完整，运行良好。接受采购人的考核监督。</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3、养护要求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3.1为确保养护质量，乙方需对中标后的景观灯落实专人进行动态养护管理，着装上岗，全天候作业。</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3.2养护过程中，乙方必须采取周密的安全措施，以避免对人身和财产的损害。如因乙方操作不当、养护不当或管理不善而造成人身伤害或财产损失的，由乙方自行承担。</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3.3因不可抗拒因素（如由于台风、暴雨、大雪等自然灾害引起的景观设施因非养护原因造成的相关事故），乙方在接到甲方通知后应迅速组织力量，半小时内到达现场并及时处理，处理费用甲方另行视情况按实核算。</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3.4对于乙方养护期间由于养护工作不能及时完成，且造成较大影响的，甲方有权安排第三方进行养护，所发生的费用从乙方季度养护费中扣除。</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3.5乙方养护期间的景观灯照明率低于要求的，必须及时安装同品种、同规格的景观灯，并确保照明,费用含在报价中。若乙方未按规定补安装，甲方有权安排第三方进行安装，所发生的景观灯材料费及补安装费用从乙方季度养护费中扣除。</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3.6景观设施维护24小时待命，确保无重大破坏和偷盗案件，在看护中遇到失窃现象（不限于数量多少），乙方应在当天向当地公安机关报案和相城区公路事业发展中心报案，登记规格型号及数量，并阐述具体情况。全部失窃设备及材料费用的均由乙方承担。</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3.7其他采购方要求实施的工作</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4、服务人员配备、设备要求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成交单位必须有各类照明设施养护设备、工具、车辆等设施及作业人员，满足养护要求，如因该方面原因影响维护工作正常开展，采购方有权终止合同。</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4.1作业服务人员要求：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（1）持特种作业高空作业证人员不少于4名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（2）持高空作业车操作证人员不少于2名；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（3）持有电工证人员2名；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（4）持安全员C证的专职安全员1名；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注：参与本项目养护方案的养护人员须满足以上人员配备要求；提供上述人员在响应单位的社保缴纳证明。办理50万及以上团体意外险，提供意外险保单所有作业人员一经确定不得随意变更，特殊情况如有人员调整，成交单位必须书面征得采购单位同意，否则按合同补充条款进行处罚。</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4.2作业车辆配备要求：</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（1）登高作业车（作业高度20米（含）以上）不少于1辆；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（2）作业高度12米（含）至20米不少于2辆；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（3）巡查车5座（含）以上不少于2辆；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（4）防撞缓冲车(含)70K 以上不少于1辆；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4.2.1其相关的油料、保养费用、维修费用、保险费用等一切费用由中标供应商负责，并且在设备使用期间中标供应商需提供人员配合作业。采购人有权在采购人范围内调配车辆的使用，中标供应商需（含操作人员）配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4.2.2供应商如为本项目配备了相关现自有或租赁车辆设备的，设备为现自有的，须在表后附上车辆行驶证、机动车登记证书、交强险保单、车辆购买发票扫描件、车辆</w:t>
      </w:r>
      <w:r>
        <w:rPr>
          <w:rFonts w:hint="eastAsia" w:ascii="宋体" w:hAnsi="宋体" w:eastAsia="宋体" w:cs="宋体"/>
          <w:sz w:val="21"/>
          <w:szCs w:val="21"/>
          <w:lang w:val="zh-CN"/>
        </w:rPr>
        <w:t xml:space="preserve">清晰的正面</w:t>
      </w:r>
      <w:r>
        <w:rPr>
          <w:rFonts w:hint="eastAsia" w:ascii="宋体" w:hAnsi="宋体" w:eastAsia="宋体" w:cs="宋体"/>
          <w:sz w:val="21"/>
          <w:szCs w:val="21"/>
        </w:rPr>
        <w:t xml:space="preserve">及侧面</w:t>
      </w:r>
      <w:r>
        <w:rPr>
          <w:rFonts w:hint="eastAsia" w:ascii="宋体" w:hAnsi="宋体" w:eastAsia="宋体" w:cs="宋体"/>
          <w:sz w:val="21"/>
          <w:szCs w:val="21"/>
          <w:lang w:val="zh-CN"/>
        </w:rPr>
        <w:t xml:space="preserve">照片</w:t>
      </w:r>
      <w:r>
        <w:rPr>
          <w:rFonts w:hint="eastAsia" w:ascii="宋体" w:hAnsi="宋体" w:eastAsia="宋体" w:cs="宋体"/>
          <w:sz w:val="21"/>
          <w:szCs w:val="21"/>
        </w:rPr>
        <w:t xml:space="preserve">。设备为租赁的</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租期须包含本项目服务期限</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，须后附相应车辆的租赁合同、租赁期内任意一期租赁发票、车辆所有人的车辆行驶证、机动车登记证书、交强险保单、车辆清晰的正面及侧面照片。</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4.2.3供应商所配备的车辆设备应具备养护范围内所有设施的通行资格。须在投标（响应）文件中提供承诺函，承诺在中标（成交）后向采购人提供车辆通行证件。</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4.2.4供应商所提供的车辆设备必须符合现行环保要求，车辆检验合格方可上路作业；因国家及地方相关法律、法规及标准调整而不符合上路要求的车辆，中标供应商须无条件更换。</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4.2.5中标供应商所配备的车辆设备务必保证机械完好率达100%,如因保养、维修等原因不能进行当日管养，可最迟于次日，调以同等使用性能的机械进场作业，若车辆设备经维修后仍无法满足管养要求的，中标供应商应及时进行更换。</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4.2.6中标方如需更换本项目专用车辆（设备），应向采购方提出书面申请，经采购方批准后方可进行更换，所更换车辆（设备）的型号、参数、性能等不得低于其投标（响应）文件承诺，且机动车登记证书的初次登记日期不得早于被更换车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5、若中标单位在承包养护期间，违反下列规定将被解除承包合同</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5.1严禁将承包的景观灯养护管理转包他人；</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5.2</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景观灯维护细则</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（见附件一）的有关规定。</w:t>
      </w:r>
      <w:r/>
    </w:p>
    <w:p>
      <w:pPr>
        <w:ind w:firstLine="422"/>
        <w:spacing w:line="360" w:lineRule="auto"/>
        <w:tabs>
          <w:tab w:val="left" w:pos="753" w:leader="none"/>
        </w:tabs>
        <w:rPr>
          <w:rFonts w:ascii="宋体" w:hAnsi="宋体" w:eastAsia="宋体" w:cs="宋体"/>
          <w:b/>
          <w:sz w:val="21"/>
          <w:szCs w:val="21"/>
        </w:rPr>
        <w:outlineLvl w:val="1"/>
      </w:pPr>
      <w:r>
        <w:rPr>
          <w:rFonts w:hint="eastAsia" w:ascii="宋体" w:hAnsi="宋体" w:eastAsia="宋体" w:cs="宋体"/>
          <w:b/>
          <w:sz w:val="21"/>
          <w:szCs w:val="21"/>
        </w:rPr>
        <w:t xml:space="preserve">四、综合说明：</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1、响应单位所提供的服务能够至少达到以上要求，同时明确详细的服务方案。</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2、响应单位必须承诺磋商响应文件中提出的全部要求，如果其中某些条款不响应时，应在文件中逐条列出，未列出的视同响应。</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3、本项目的安全生产费用应按国家相关规定提取，并考虑在总投标报价中。</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4、响应单位应对所投项目的全部服务内容进行报价，只投其中部分内容者，其磋商响应文件将被拒绝。成交单位对服务缺陷不予更正，采购方有权另请其他单位更正，所发生的费用有成交单位承担。</w:t>
      </w:r>
      <w:r/>
    </w:p>
    <w:p>
      <w:pPr>
        <w:ind w:firstLine="422"/>
        <w:spacing w:line="360" w:lineRule="auto"/>
        <w:tabs>
          <w:tab w:val="left" w:pos="753" w:leader="none"/>
        </w:tabs>
        <w:rPr>
          <w:rFonts w:ascii="宋体" w:hAnsi="宋体" w:eastAsia="宋体" w:cs="宋体"/>
          <w:b/>
          <w:bCs/>
          <w:sz w:val="21"/>
          <w:szCs w:val="21"/>
        </w:rPr>
        <w:outlineLvl w:val="1"/>
      </w:pPr>
      <w:r>
        <w:rPr>
          <w:rFonts w:hint="eastAsia" w:ascii="宋体" w:hAnsi="宋体" w:eastAsia="宋体" w:cs="宋体"/>
          <w:b/>
          <w:bCs/>
          <w:sz w:val="21"/>
          <w:szCs w:val="21"/>
        </w:rPr>
        <w:t xml:space="preserve">5、政府采购异常低价审查</w:t>
      </w:r>
      <w:r/>
    </w:p>
    <w:p>
      <w:pPr>
        <w:ind w:firstLine="422"/>
        <w:spacing w:line="360" w:lineRule="auto"/>
        <w:tabs>
          <w:tab w:val="left" w:pos="753" w:leader="none"/>
        </w:tabs>
        <w:rPr>
          <w:rFonts w:ascii="宋体" w:hAnsi="宋体" w:eastAsia="宋体" w:cs="宋体"/>
          <w:b/>
          <w:bCs/>
          <w:sz w:val="21"/>
          <w:szCs w:val="21"/>
        </w:rPr>
        <w:outlineLvl w:val="1"/>
      </w:pPr>
      <w:r>
        <w:rPr>
          <w:rFonts w:hint="eastAsia" w:ascii="宋体" w:hAnsi="宋体" w:eastAsia="宋体" w:cs="宋体"/>
          <w:b/>
          <w:bCs/>
          <w:sz w:val="21"/>
          <w:szCs w:val="21"/>
        </w:rPr>
        <w:t xml:space="preserve">5.1磋商过程中出现下列情形之一的，磋商小组应当启动异常低价投标（响应）审查程序：</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（3）投标（响应）报价低于采购预算（最高限价）45%的，即投标（响应）报价&lt;采购预算（最高限价）×45%；</w:t>
      </w:r>
      <w:r/>
    </w:p>
    <w:p>
      <w:pPr>
        <w:ind w:firstLine="422"/>
        <w:spacing w:line="360" w:lineRule="auto"/>
        <w:rPr>
          <w:rFonts w:ascii="宋体" w:hAnsi="宋体" w:eastAsia="宋体" w:cs="宋体"/>
          <w:b/>
          <w:bCs/>
          <w:sz w:val="21"/>
          <w:szCs w:val="21"/>
          <w:lang w:eastAsia="en-US"/>
        </w:rPr>
      </w:pPr>
      <w:r>
        <w:rPr>
          <w:rFonts w:hint="eastAsia" w:ascii="宋体" w:hAnsi="宋体" w:eastAsia="宋体" w:cs="宋体"/>
          <w:b/>
          <w:bCs/>
          <w:sz w:val="21"/>
          <w:szCs w:val="21"/>
        </w:rPr>
        <w:t xml:space="preserve">（4）磋商小组基于专业判断，认为供应商报价过低，有可能影响产品质量或者不能诚信履约的其他情形。</w:t>
      </w:r>
      <w:r/>
    </w:p>
    <w:p>
      <w:pPr>
        <w:ind w:firstLine="422"/>
        <w:spacing w:line="360" w:lineRule="auto"/>
        <w:rPr>
          <w:rFonts w:ascii="宋体" w:hAnsi="宋体" w:eastAsia="宋体" w:cs="宋体"/>
          <w:b/>
          <w:bCs/>
          <w:sz w:val="21"/>
          <w:szCs w:val="21"/>
          <w:lang w:eastAsia="en-US"/>
        </w:rPr>
      </w:pPr>
      <w:r>
        <w:rPr>
          <w:rFonts w:hint="eastAsia" w:ascii="宋体" w:hAnsi="宋体" w:eastAsia="宋体" w:cs="宋体"/>
          <w:b/>
          <w:bCs/>
          <w:sz w:val="21"/>
          <w:szCs w:val="21"/>
        </w:rPr>
        <w:t xml:space="preserve">5.2</w:t>
      </w:r>
      <w:r>
        <w:rPr>
          <w:rFonts w:hint="eastAsia" w:ascii="宋体" w:hAnsi="宋体" w:eastAsia="宋体" w:cs="宋体"/>
          <w:b/>
          <w:bCs/>
          <w:sz w:val="21"/>
          <w:szCs w:val="21"/>
          <w:lang w:eastAsia="en-US"/>
        </w:rPr>
        <w:t xml:space="preserve">磋商小组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13.1项情形，供应商已随投标（响应）文件一并提交相关书面说明及必要的证明材料的，在磋商过程中可不再重复提交。</w:t>
      </w:r>
      <w:r/>
    </w:p>
    <w:p>
      <w:pPr>
        <w:ind w:firstLine="422"/>
        <w:spacing w:line="360" w:lineRule="auto"/>
        <w:rPr>
          <w:rFonts w:ascii="宋体" w:hAnsi="宋体" w:eastAsia="宋体" w:cs="宋体"/>
          <w:sz w:val="21"/>
          <w:szCs w:val="21"/>
        </w:rPr>
      </w:pPr>
      <w:r>
        <w:rPr>
          <w:rFonts w:hint="eastAsia" w:ascii="宋体" w:hAnsi="宋体" w:eastAsia="宋体" w:cs="宋体"/>
          <w:b/>
          <w:bCs/>
          <w:sz w:val="21"/>
          <w:szCs w:val="21"/>
          <w:lang w:eastAsia="en-US"/>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异常低价投标（响应）审查的启动原因、审查意见和审查结果应当在评审报告中记录。</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6、人员费用：响应单位必须按照《劳动法》及苏州市的有关规定，并支付工资（充分考虑本地区最低工资标准）、交纳正常的社会保险，加班费按国家有关规定费用一并包含在磋商报价中。</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7、服务地点：采购人指定地点。</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8、付款方式：详见合同主要条款。</w:t>
      </w:r>
      <w:r/>
    </w:p>
    <w:p>
      <w:pPr>
        <w:ind w:firstLine="420"/>
        <w:spacing w:line="360" w:lineRule="auto"/>
        <w:tabs>
          <w:tab w:val="left" w:pos="753" w:leader="none"/>
        </w:tabs>
        <w:rPr>
          <w:rFonts w:ascii="宋体" w:hAnsi="宋体" w:eastAsia="宋体" w:cs="宋体"/>
          <w:sz w:val="21"/>
          <w:szCs w:val="21"/>
          <w:lang w:val="zh-CN"/>
        </w:rPr>
        <w:outlineLvl w:val="1"/>
      </w:pPr>
      <w:r>
        <w:rPr>
          <w:rFonts w:hint="eastAsia" w:ascii="宋体" w:hAnsi="宋体" w:eastAsia="宋体" w:cs="宋体"/>
          <w:sz w:val="21"/>
          <w:szCs w:val="21"/>
        </w:rPr>
        <w:t xml:space="preserve">9</w:t>
      </w:r>
      <w:r>
        <w:rPr>
          <w:rFonts w:hint="eastAsia" w:ascii="宋体" w:hAnsi="宋体" w:eastAsia="宋体" w:cs="宋体"/>
          <w:sz w:val="21"/>
          <w:szCs w:val="21"/>
          <w:lang w:val="zh-CN"/>
        </w:rPr>
        <w:t xml:space="preserve">、成交供应商应遵守安全生产的有关管理规定，严格按照安全标准组织测试，采取必要的安全防护措施，消除隐患。由于成交供应商管理或安全措施不力造成的事故责任和因此发生的费用，全部由成交供应商承担，采购人不承担任何责任和费用。</w:t>
      </w:r>
      <w:r/>
    </w:p>
    <w:p>
      <w:pPr>
        <w:ind w:firstLine="420"/>
        <w:spacing w:line="360" w:lineRule="auto"/>
        <w:tabs>
          <w:tab w:val="left" w:pos="753" w:leader="none"/>
        </w:tabs>
        <w:rPr>
          <w:rFonts w:ascii="宋体" w:hAnsi="宋体" w:eastAsia="宋体" w:cs="宋体"/>
          <w:sz w:val="21"/>
          <w:szCs w:val="21"/>
          <w:lang w:val="zh-CN"/>
        </w:rPr>
        <w:outlineLvl w:val="1"/>
      </w:pPr>
      <w:r>
        <w:rPr>
          <w:rFonts w:hint="eastAsia" w:ascii="宋体" w:hAnsi="宋体" w:eastAsia="宋体" w:cs="宋体"/>
          <w:sz w:val="21"/>
          <w:szCs w:val="21"/>
        </w:rPr>
        <w:t xml:space="preserve">10</w:t>
      </w:r>
      <w:r>
        <w:rPr>
          <w:rFonts w:hint="eastAsia" w:ascii="宋体" w:hAnsi="宋体" w:eastAsia="宋体" w:cs="宋体"/>
          <w:sz w:val="21"/>
          <w:szCs w:val="21"/>
          <w:lang w:val="zh-CN"/>
        </w:rPr>
        <w:t xml:space="preserve">、成交供应商须及时购买意外伤害险，因本项目操作造成人员伤亡事故，采购人不承担任何责任。</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11、其他说明</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（1）乙方承担养护的路段必须由专业的人员进行养护，其安全方面的管理事宜由乙方负责，甲方不参与其管理，也不承担其责任。</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（2）乙方应加强对养护人员进行法律法令的教育，遵纪守法的教育，如发生打架、赌博等违法乱纪行为，由乙方负责，与甲方无关。</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（3）乙方应对养护人员加强安全管理和教育，强化安全技术措施，配备必要的安全生产工具和劳动保护用品，并认真督促养护人员穿戴好劳保用品上岗作业。</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（4）乙方在养护时应指定专人负责安全，精心组织养护。树立“安全第一，预防为主”的安全工作方针，采取积极有效的安全措施，确保养护及甲方利益不受损害，对甲方提出的安全要求，乙方应予采纳。</w:t>
      </w:r>
      <w:r/>
    </w:p>
    <w:p>
      <w:pPr>
        <w:ind w:firstLine="420"/>
        <w:spacing w:line="360" w:lineRule="auto"/>
        <w:tabs>
          <w:tab w:val="left" w:pos="753" w:leader="none"/>
        </w:tabs>
        <w:rPr>
          <w:rFonts w:ascii="宋体" w:hAnsi="宋体" w:eastAsia="宋体" w:cs="宋体"/>
          <w:sz w:val="21"/>
          <w:szCs w:val="21"/>
        </w:rPr>
        <w:outlineLvl w:val="1"/>
      </w:pPr>
      <w:r>
        <w:rPr>
          <w:rFonts w:hint="eastAsia" w:ascii="宋体" w:hAnsi="宋体" w:eastAsia="宋体" w:cs="宋体"/>
          <w:sz w:val="21"/>
          <w:szCs w:val="21"/>
        </w:rPr>
        <w:t xml:space="preserve">甲方在养护项目分配时，应有专人指派或现场交底，对地下隐蔽部位的管线，建筑实施等提出安全要求，乙方必须按要求作业。</w:t>
      </w:r>
      <w:r/>
    </w:p>
    <w:p>
      <w:pPr>
        <w:ind w:firstLine="420"/>
        <w:spacing w:line="360" w:lineRule="auto"/>
        <w:tabs>
          <w:tab w:val="left" w:pos="753" w:leader="none"/>
        </w:tabs>
        <w:rPr>
          <w:rFonts w:ascii="宋体" w:hAnsi="宋体" w:eastAsia="宋体" w:cs="宋体"/>
          <w:sz w:val="21"/>
          <w:szCs w:val="21"/>
          <w:lang w:val="zh-CN"/>
        </w:rPr>
        <w:outlineLvl w:val="1"/>
      </w:pPr>
      <w:r>
        <w:rPr>
          <w:rFonts w:hint="eastAsia" w:ascii="宋体" w:hAnsi="宋体" w:eastAsia="宋体" w:cs="宋体"/>
          <w:sz w:val="21"/>
          <w:szCs w:val="21"/>
        </w:rPr>
        <w:t xml:space="preserve">（5）乙方在养护中发生的各类事故及造成第三者的人、物损（伤）害责任事故，与甲方无关，均由乙方负责。</w:t>
      </w:r>
      <w:r/>
    </w:p>
    <w:p>
      <w:pPr>
        <w:ind w:firstLine="420"/>
        <w:spacing w:line="360" w:lineRule="auto"/>
        <w:tabs>
          <w:tab w:val="left" w:pos="753" w:leader="none"/>
        </w:tabs>
        <w:rPr>
          <w:rFonts w:ascii="宋体" w:hAnsi="宋体" w:eastAsia="宋体" w:cs="宋体"/>
          <w:sz w:val="21"/>
          <w:szCs w:val="21"/>
          <w:lang w:val="zh-CN"/>
        </w:rPr>
        <w:outlineLvl w:val="1"/>
      </w:pPr>
      <w:r>
        <w:rPr>
          <w:rFonts w:hint="eastAsia" w:ascii="宋体" w:hAnsi="宋体" w:eastAsia="宋体" w:cs="宋体"/>
          <w:sz w:val="21"/>
          <w:szCs w:val="21"/>
        </w:rPr>
        <w:t xml:space="preserve">12</w:t>
      </w:r>
      <w:r>
        <w:rPr>
          <w:rFonts w:hint="eastAsia" w:ascii="宋体" w:hAnsi="宋体" w:eastAsia="宋体" w:cs="宋体"/>
          <w:sz w:val="21"/>
          <w:szCs w:val="21"/>
          <w:lang w:val="zh-CN"/>
        </w:rPr>
        <w:t xml:space="preserve">、凡涉及磋商响应文件的补充说明和修改，均以江苏省政府采购网、苏州市政府采购网发布的通知为准。</w:t>
      </w:r>
      <w:r/>
    </w:p>
    <w:p>
      <w:pPr>
        <w:ind w:firstLine="420"/>
        <w:spacing w:line="360" w:lineRule="auto"/>
        <w:rPr>
          <w:rFonts w:ascii="宋体" w:hAnsi="宋体" w:eastAsia="宋体" w:cs="宋体"/>
          <w:b/>
          <w:bCs/>
          <w:sz w:val="21"/>
          <w:szCs w:val="21"/>
          <w:lang w:val="zh-CN"/>
        </w:rPr>
      </w:pPr>
      <w:r>
        <w:rPr>
          <w:rFonts w:hint="eastAsia" w:ascii="宋体" w:hAnsi="宋体" w:eastAsia="宋体" w:cs="宋体"/>
          <w:b/>
          <w:sz w:val="21"/>
          <w:szCs w:val="21"/>
        </w:rPr>
        <w:t xml:space="preserve">五、</w:t>
      </w:r>
      <w:r>
        <w:rPr>
          <w:rFonts w:hint="eastAsia" w:ascii="宋体" w:hAnsi="宋体" w:eastAsia="宋体" w:cs="宋体"/>
          <w:b/>
          <w:bCs/>
          <w:sz w:val="21"/>
          <w:szCs w:val="21"/>
          <w:lang w:val="zh-CN"/>
        </w:rPr>
        <w:t xml:space="preserve">政府采购节能产品、环境标志产品实施品目清单管理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根据政府采购等相关法律法规的规定，现对相关政府采购政策的具体实施规定如下：</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（一）政府采购节能产品、环境标志产品</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根据《关于贯彻执行绿色采购、促进残疾人就业和支持监狱企业发展有关政策的通知（苏财购〔2019〕10号）》的通知规定，采购人拟采购产品属于《节能产品政府采购品目清单》、《环境标志产品政府采购品目清单》范围内的，应当通过中国政府采购网（</w:t>
      </w:r>
      <w:r>
        <w:fldChar w:fldCharType="begin"/>
      </w:r>
      <w:r>
        <w:instrText xml:space="preserve"> HYPERLINK "qq://txfile/" </w:instrText>
      </w:r>
      <w:r>
        <w:fldChar w:fldCharType="separate"/>
      </w:r>
      <w:r>
        <w:rPr>
          <w:rFonts w:hint="eastAsia" w:ascii="宋体" w:hAnsi="宋体" w:eastAsia="宋体" w:cs="宋体"/>
          <w:sz w:val="21"/>
          <w:szCs w:val="21"/>
          <w:lang w:val="zh-CN"/>
        </w:rPr>
        <w:t xml:space="preserve">www.ccgp.gov.cn</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 xml:space="preserve">）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注：本项目产品不涉及强制或优先采购品目清单。</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六</w:t>
      </w:r>
      <w:r>
        <w:rPr>
          <w:rFonts w:hint="eastAsia" w:ascii="宋体" w:hAnsi="宋体" w:eastAsia="宋体" w:cs="宋体"/>
          <w:b/>
          <w:bCs/>
          <w:sz w:val="21"/>
          <w:szCs w:val="21"/>
          <w:lang w:val="zh-CN"/>
        </w:rPr>
        <w:t xml:space="preserve">、进一步明确政府采购促进残疾人就业政策</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符合《关于促进残疾人就业政府采购政策的通知》（财库〔2017〕141号）规定条件的残疾人福利性单位在参加本次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七</w:t>
      </w:r>
      <w:r>
        <w:rPr>
          <w:rFonts w:hint="eastAsia" w:ascii="宋体" w:hAnsi="宋体" w:eastAsia="宋体" w:cs="宋体"/>
          <w:b/>
          <w:bCs/>
          <w:sz w:val="21"/>
          <w:szCs w:val="21"/>
          <w:lang w:val="zh-CN"/>
        </w:rPr>
        <w:t xml:space="preserve">、进一步明确政府采购支持监狱企业发展政策</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符合《关于政府采购支持监狱企业发展有关问题的通知》（财库〔2014〕68号）条件的监狱企业参加本次政府采购活动时，应当提供由省级以上监狱管理局、戒毒管理局（含新疆生产建设兵团）出具的属于监狱企业的证明文件。</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八</w:t>
      </w:r>
      <w:r>
        <w:rPr>
          <w:rFonts w:hint="eastAsia" w:ascii="宋体" w:hAnsi="宋体" w:eastAsia="宋体" w:cs="宋体"/>
          <w:b/>
          <w:bCs/>
          <w:sz w:val="21"/>
          <w:szCs w:val="21"/>
          <w:lang w:val="zh-CN"/>
        </w:rPr>
        <w:t xml:space="preserve">、针对中小型企业、残疾人福利企业和监狱企业的评审：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本项目为专门面向中小企业采购的项目，故不执行价格评审优惠的扶持政策。</w:t>
      </w:r>
      <w:r/>
    </w:p>
    <w:p>
      <w:pPr>
        <w:pStyle w:val="756"/>
        <w:rPr>
          <w:lang w:val="zh-CN"/>
        </w:rPr>
      </w:pPr>
      <w:r>
        <w:rPr>
          <w:lang w:val="zh-CN"/>
        </w:rPr>
        <w:br w:type="page" w:clear="all"/>
      </w:r>
      <w:r/>
    </w:p>
    <w:p>
      <w:pPr>
        <w:ind w:firstLine="640"/>
        <w:jc w:val="center"/>
        <w:rPr>
          <w:rFonts w:asciiTheme="minorEastAsia" w:hAnsiTheme="minorEastAsia" w:eastAsiaTheme="minorEastAsia"/>
          <w:b/>
          <w:sz w:val="32"/>
          <w:szCs w:val="32"/>
        </w:rPr>
      </w:pPr>
      <w:r/>
      <w:bookmarkStart w:id="22" w:name="_Toc28713"/>
      <w:r>
        <w:rPr>
          <w:rFonts w:hint="eastAsia" w:asciiTheme="minorEastAsia" w:hAnsiTheme="minorEastAsia" w:eastAsiaTheme="minorEastAsia"/>
          <w:b/>
          <w:sz w:val="32"/>
          <w:szCs w:val="32"/>
        </w:rPr>
        <w:t xml:space="preserve">第五章合同主要条款</w:t>
      </w:r>
      <w:bookmarkEnd w:id="22"/>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甲方（需方）：</w:t>
      </w:r>
      <w:r/>
    </w:p>
    <w:p>
      <w:pPr>
        <w:spacing w:line="360" w:lineRule="auto"/>
        <w:tabs>
          <w:tab w:val="left" w:pos="3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地址：</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乙方（供方）：</w:t>
      </w:r>
      <w:r/>
    </w:p>
    <w:p>
      <w:pPr>
        <w:spacing w:line="360" w:lineRule="auto"/>
        <w:tabs>
          <w:tab w:val="left" w:pos="3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地址：</w:t>
      </w:r>
      <w:r/>
    </w:p>
    <w:p>
      <w:pPr>
        <w:spacing w:line="360" w:lineRule="auto"/>
        <w:tabs>
          <w:tab w:val="left" w:pos="3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联系人：</w:t>
      </w:r>
      <w:r/>
    </w:p>
    <w:p>
      <w:pPr>
        <w:spacing w:line="360" w:lineRule="auto"/>
        <w:tabs>
          <w:tab w:val="left" w:pos="360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p>
    <w:p>
      <w:pPr>
        <w:spacing w:line="360" w:lineRule="auto"/>
        <w:tabs>
          <w:tab w:val="left" w:pos="3600" w:leader="none"/>
        </w:tabs>
        <w:rPr>
          <w:rFonts w:ascii="宋体" w:hAnsi="宋体" w:eastAsia="宋体" w:cs="宋体"/>
          <w:color w:val="000000"/>
          <w:sz w:val="21"/>
          <w:szCs w:val="21"/>
        </w:rPr>
      </w:pPr>
      <w:r>
        <w:rPr>
          <w:rFonts w:ascii="宋体" w:hAnsi="宋体" w:eastAsia="宋体" w:cs="宋体"/>
          <w:color w:val="000000"/>
          <w:sz w:val="21"/>
          <w:szCs w:val="21"/>
        </w:rPr>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根据采购编号</w:t>
      </w:r>
      <w:r>
        <w:rPr>
          <w:rFonts w:hint="eastAsia" w:ascii="宋体" w:hAnsi="宋体" w:eastAsia="宋体" w:cs="宋体"/>
          <w:b/>
          <w:sz w:val="21"/>
          <w:szCs w:val="21"/>
          <w:u w:val="single"/>
          <w:lang w:eastAsia="zh-CN"/>
        </w:rPr>
        <w:t xml:space="preserve">JSZC-320507-DCZX-C2026-0030</w:t>
      </w:r>
      <w:r>
        <w:rPr>
          <w:rFonts w:hint="eastAsia" w:ascii="宋体" w:hAnsi="宋体" w:eastAsia="宋体" w:cs="宋体"/>
          <w:sz w:val="21"/>
          <w:szCs w:val="21"/>
        </w:rPr>
        <w:t xml:space="preserve">号竞争性磋商的磋商响应文件及成交单位的磋商响应文件和成交通知书，甲乙双方就此次成交的</w:t>
      </w:r>
      <w:r>
        <w:rPr>
          <w:rFonts w:hint="eastAsia" w:ascii="宋体" w:hAnsi="宋体" w:eastAsia="宋体" w:cs="宋体"/>
          <w:b/>
          <w:sz w:val="21"/>
          <w:szCs w:val="21"/>
          <w:u w:val="single"/>
        </w:rPr>
        <w:t xml:space="preserve">相城区区管道路、楼宇、公园景观灯维护项目</w:t>
      </w:r>
      <w:r>
        <w:rPr>
          <w:rFonts w:hint="eastAsia" w:ascii="宋体" w:hAnsi="宋体" w:eastAsia="宋体" w:cs="宋体"/>
          <w:sz w:val="21"/>
          <w:szCs w:val="21"/>
        </w:rPr>
        <w:t xml:space="preserve">的购销事宜，签订本合同书。</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一、合同内容：</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（一）养护内容：</w:t>
      </w:r>
      <w:r>
        <w:rPr>
          <w:rFonts w:hint="eastAsia" w:ascii="宋体" w:hAnsi="宋体" w:eastAsia="宋体" w:cs="宋体"/>
          <w:sz w:val="21"/>
          <w:szCs w:val="21"/>
          <w:lang w:val="zh-CN"/>
        </w:rPr>
        <w:t xml:space="preserve">相城区区管道路、楼宇、公园景观灯维护项目</w:t>
      </w:r>
      <w:r>
        <w:rPr>
          <w:rFonts w:hint="eastAsia" w:ascii="宋体" w:hAnsi="宋体" w:eastAsia="宋体" w:cs="宋体"/>
          <w:sz w:val="21"/>
          <w:szCs w:val="21"/>
        </w:rPr>
        <w:t xml:space="preserve">，具体按清单</w:t>
      </w:r>
      <w:r/>
    </w:p>
    <w:p>
      <w:pPr>
        <w:ind w:firstLine="420"/>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（二）养护费用：</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养护费用包括完成本项工作所需的人工、材料、机械、管理、养护、维修、更换、失窃费用、保险、安全、人身意外伤亡、利润、税金、政策性文件规定及合同包含的所有风险、责任等一切费用。同时，除非合同条款中另有规定，否则，乙方所报价格在合同实施期间不因市场变化因素而变动。</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（2）合同价款的支付及付款方式：</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1 \* GB3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①</w:t>
      </w:r>
      <w:r>
        <w:rPr>
          <w:rFonts w:hint="eastAsia" w:ascii="宋体" w:hAnsi="宋体" w:eastAsia="宋体" w:cs="宋体"/>
          <w:sz w:val="21"/>
          <w:szCs w:val="21"/>
        </w:rPr>
        <w:fldChar w:fldCharType="end"/>
      </w:r>
      <w:r>
        <w:rPr>
          <w:rFonts w:hint="eastAsia" w:ascii="宋体" w:hAnsi="宋体" w:eastAsia="宋体" w:cs="宋体"/>
          <w:sz w:val="21"/>
          <w:szCs w:val="21"/>
        </w:rPr>
      </w:r>
      <w:r>
        <w:rPr>
          <w:rFonts w:hint="eastAsia" w:ascii="宋体" w:hAnsi="宋体" w:eastAsia="宋体" w:cs="宋体"/>
          <w:sz w:val="21"/>
          <w:szCs w:val="21"/>
        </w:rPr>
        <w:t xml:space="preserve">签订合同后，甲方向乙方支付合同金额的10%作为项目预付款。</w:t>
      </w:r>
      <w:r>
        <w:rPr>
          <w:rFonts w:hint="eastAsia" w:ascii="宋体" w:hAnsi="宋体" w:eastAsia="宋体" w:cs="宋体"/>
          <w:sz w:val="21"/>
          <w:szCs w:val="21"/>
        </w:rPr>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2 \* GB3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②</w:t>
      </w:r>
      <w:r>
        <w:rPr>
          <w:rFonts w:hint="eastAsia" w:ascii="宋体" w:hAnsi="宋体" w:eastAsia="宋体" w:cs="宋体"/>
          <w:sz w:val="21"/>
          <w:szCs w:val="21"/>
        </w:rPr>
        <w:fldChar w:fldCharType="end"/>
      </w:r>
      <w:r>
        <w:rPr>
          <w:rFonts w:hint="eastAsia" w:ascii="宋体" w:hAnsi="宋体" w:eastAsia="宋体" w:cs="宋体"/>
          <w:sz w:val="21"/>
          <w:szCs w:val="21"/>
        </w:rPr>
        <w:t xml:space="preserve">每季度支付的含同价款=中标价/8*当季考核得分折合的比率x70%。(预付款抵扣进度款)。余款在全部验收(考核)合格后1年内付清</w:t>
      </w:r>
      <w:r>
        <w:rPr>
          <w:rFonts w:hint="eastAsia" w:ascii="宋体" w:hAnsi="宋体" w:eastAsia="宋体" w:cs="宋体"/>
          <w:sz w:val="21"/>
          <w:szCs w:val="21"/>
        </w:rPr>
        <w:t xml:space="preserve">。</w:t>
      </w:r>
      <w:r>
        <w:rPr>
          <w:rFonts w:hint="eastAsia" w:ascii="宋体" w:hAnsi="宋体" w:eastAsia="宋体" w:cs="宋体"/>
          <w:sz w:val="21"/>
          <w:szCs w:val="21"/>
        </w:rPr>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③</w:t>
      </w:r>
      <w:r>
        <w:rPr>
          <w:rFonts w:hint="eastAsia" w:ascii="宋体" w:hAnsi="宋体" w:eastAsia="宋体" w:cs="宋体"/>
          <w:sz w:val="21"/>
          <w:szCs w:val="21"/>
        </w:rPr>
        <w:t xml:space="preserve">按上述公式折算的合同价款由财政部门在该季度的次月直接向乙方支付。</w:t>
      </w:r>
      <w:r>
        <w:rPr>
          <w:rFonts w:hint="eastAsia" w:ascii="宋体" w:hAnsi="宋体" w:eastAsia="宋体" w:cs="宋体"/>
          <w:sz w:val="21"/>
          <w:szCs w:val="21"/>
        </w:rPr>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（3）付款方式：银行转账。</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（4）根据国家现行税法对甲方征收的与本合同有关的税费均由甲方承担；根据国家现行税法对乙方征收的与本合同有关的一切税费均由乙方承担。</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（三）养护时间：2年（具体以甲方通知为准）</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二、权利和义务</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（一）甲方权利和义务  </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（1）根据甲方景观灯养护要求及乙方投标文件中的承诺，对乙方提供的服务及履行本合同情况实行验收考核。</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（2）因突发事件及重大活动，甲方需调动乙方人员、设备时，乙方应服从安排予以配合，但因此发生的费用由甲方承担。</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（3）按照《管理考核办法》，甲方对乙方养护管理工作进行检查考核，并打分，具体根据考核结果支付养护费用。</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（4）甲方有义务在适当的范围内公开考核结果。</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（5）若乙方在承包养护期间，存在将景观灯养护管理转包他人，或违反《景观灯养护细则》等有关规定，甲方有权解除合同。</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（二）乙方权利和义务</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（1）乙方根据景观灯养护技术规范、景观灯养护质量标准和有关要求，积极主动保质保量地完成景观灯养护工作。</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（2）接受并主动配合甲方及行业管理部门的检查。</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（3）养护范围之外的突击性、突发性工作，乙方须服从甲方的安排，不得无故拖延。</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（4）因乙方养护管理不善而损坏的植物、设施应负责及时补植和修复，或照价赔偿。</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（5）乙方在每月经验收考核后，按季领取养护费用。</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（6）乙方应做好详细的养护台账，建立养护档案，并在每月的五号前将上个月养护档案和当月计划报送苏州市相城区管线与照明管理中心。</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三、景观灯养护内容的调整</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（一）合同签订时因实际景观灯养护数量与招标文件中所述数量有差异，以实际养护数量为准，且不再因此调整合同金额。</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（二）在合同履行过程中，若景观灯养护面积出现重大变化时（养护数量或养护金额超过10%），以原合同综合平均单价和实际增减数量据实调整养护金额。</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四、景观灯养护基本要求</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（一）为确保养护质量，乙方需对中标后的景观灯落实专人进行动态养护管理，着装上岗，全天候作业。</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（二）养护过程中，乙方必须采取周密的安全措施，以避免对人身和财产的损害。如因乙方操作不当、养护不当或管理不善而造成人身伤害或财产损失的，由乙方自行承担。</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（三）</w:t>
      </w:r>
      <w:r>
        <w:rPr>
          <w:rFonts w:hint="eastAsia" w:ascii="宋体" w:hAnsi="宋体" w:eastAsia="宋体" w:cs="宋体"/>
          <w:sz w:val="21"/>
          <w:szCs w:val="21"/>
          <w:shd w:val="clear" w:color="auto" w:fill="ffffff"/>
          <w:lang w:bidi="ar"/>
        </w:rPr>
        <w:t xml:space="preserve">因不可抗拒因素（如由于台风、暴雨、大雪等自然灾害引起的景观设施因非养护原因造成的相关事故），乙方在接到甲方通知后应迅速组织力量，半小时内到达现场并及时处理，处理费用甲方另行视情况按实核算。</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（四）对于乙方养护期间由于养护工作不能及时完成，且造成较大影响的，甲方有权安排第三方进行养护，所发生的费用从乙方季度养护费中扣除。</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五）乙方养护期间的景观灯照明率低于要求的，必须及时安装同品种、同规格的景观灯，并确保照明,费用含在报价中。若乙方未按规定补安装，甲方有权安排第三方进行安装，所发生的景观灯材料费及补安装费用从乙方季度养护费中扣除。</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（六）景观设施维护全天候24小时</w:t>
      </w:r>
      <w:r>
        <w:rPr>
          <w:rFonts w:hint="eastAsia" w:ascii="宋体" w:hAnsi="宋体" w:eastAsia="宋体" w:cs="宋体"/>
          <w:bCs/>
          <w:sz w:val="21"/>
          <w:szCs w:val="21"/>
        </w:rPr>
        <w:t xml:space="preserve">待命</w:t>
      </w:r>
      <w:r>
        <w:rPr>
          <w:rFonts w:hint="eastAsia" w:ascii="宋体" w:hAnsi="宋体" w:eastAsia="宋体" w:cs="宋体"/>
          <w:sz w:val="21"/>
          <w:szCs w:val="21"/>
        </w:rPr>
        <w:t xml:space="preserve">，确保无重大破坏和偷盗案件，在看护中遇到失窃现象（不限于数量多少），乙方应在当天向当地公安机关报案和</w:t>
      </w:r>
      <w:r>
        <w:rPr>
          <w:rFonts w:hint="eastAsia" w:ascii="宋体" w:hAnsi="宋体" w:eastAsia="宋体" w:cs="宋体"/>
          <w:bCs/>
          <w:sz w:val="21"/>
          <w:szCs w:val="21"/>
        </w:rPr>
        <w:t xml:space="preserve">相城区公路事业发展中心</w:t>
      </w:r>
      <w:r>
        <w:rPr>
          <w:rFonts w:hint="eastAsia" w:ascii="宋体" w:hAnsi="宋体" w:eastAsia="宋体" w:cs="宋体"/>
          <w:sz w:val="21"/>
          <w:szCs w:val="21"/>
        </w:rPr>
        <w:t xml:space="preserve">报案，登记规格型号及数量，并阐述具体情况。全部失窃设备及材料费用的均由中标单位承担。</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五、安全</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（一）乙方承担养护的路段必须由专业的人员进行养护，其安全方面的管理事宜由乙方负责，甲方不参与其管理，也不承担其责任。</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（二）乙方应加强对养护人员进行法律法令的教育，遵纪守法的教育，如发生打架、赌博等违法乱纪行为，由乙方负责，与甲方无关。</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（三）乙方应对养护人员加强安全管理和教育，强化安全技术措施，配备必要的安全生产工具和劳动保护用品，并认真督促养护人员穿戴好劳保用品上岗作业。</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（四）乙方在养护时应指定专人负责安全，精心组织养护。树立“安全第一，预防为主”的安全工作方针，采取积极有效的安全措施，确保养护及甲方利益不受损害，对甲方提出的安全要求，乙方应予采纳。</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甲方在养护项目分配时，应有专人指派或现场交底，对地下隐蔽部位的管线，建筑实施等提出安全要求，乙方必须按要求作业。</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（五）乙方在养护中发生的各类事故及造成第三者的人、物损（伤）害责任事故，与甲方无关，均由乙方负责。</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六、不可抗力</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（一）因不可抗力不能履行合同的，根据不可抗力的影响，部分或者全部免除责任。但合同一方迟延履行后发生严重后果的，不能免除责任。</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（二）合同一方因不可抗力不能履行合同的，应当及时通知对方，以减轻可能给对方造成的损失，并应当在合理期限内提供证明。</w:t>
      </w:r>
      <w:r/>
    </w:p>
    <w:p>
      <w:pPr>
        <w:ind w:firstLine="420"/>
        <w:spacing w:line="360" w:lineRule="auto"/>
        <w:rPr>
          <w:rFonts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三</w:t>
      </w:r>
      <w:r>
        <w:rPr>
          <w:rFonts w:ascii="宋体" w:hAnsi="宋体" w:eastAsia="宋体" w:cs="宋体"/>
          <w:sz w:val="21"/>
          <w:szCs w:val="21"/>
        </w:rPr>
        <w:t xml:space="preserve">)</w:t>
      </w:r>
      <w:r>
        <w:rPr>
          <w:rFonts w:hint="eastAsia" w:ascii="宋体" w:hAnsi="宋体" w:eastAsia="宋体" w:cs="宋体"/>
          <w:sz w:val="21"/>
          <w:szCs w:val="21"/>
        </w:rPr>
        <w:t xml:space="preserve">因国家或地方颁布新法律、法规、规章，或政府主管部门作出行政审批、规划、土地、环保等影响项目实施的行政决定，或甲方依据内部决策程序或财政监管要求作出终止本项目投资的正式决议，导致本合同目的不能实现或项目客观上无法继续实施的，甲方有权以书面形式通知乙方解除合同。因前述情形解除的，双方互不承担违约责任，合同自通知送达之日解除。</w:t>
      </w:r>
      <w:r/>
    </w:p>
    <w:p>
      <w:pPr>
        <w:ind w:firstLine="630"/>
        <w:spacing w:line="400" w:lineRule="exact"/>
        <w:rPr>
          <w:rFonts w:ascii="宋体" w:hAnsi="宋体" w:eastAsia="宋体" w:cs="宋体"/>
          <w:sz w:val="21"/>
          <w:szCs w:val="21"/>
        </w:rPr>
      </w:pPr>
      <w:r>
        <w:rPr>
          <w:rFonts w:hint="eastAsia" w:ascii="宋体" w:hAnsi="宋体" w:eastAsia="宋体" w:cs="宋体"/>
          <w:sz w:val="21"/>
          <w:szCs w:val="21"/>
        </w:rPr>
        <w:t xml:space="preserve">七、违约责任</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（一）乙方如将中标项目再行转包，甲方有权立即终止合同。</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（二）如乙方在甲方月检查考核中连续三次不合格发生重大违规现象之一的，甲方有权即行终止合同。</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（三）乙方所养护期间发生安全作业事故，甲方有权即行终止合同。</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八、合同的生效</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本合同在双方签字盖章后生效，合同需至政府采购管理部门备案。</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九、附则</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9.1合同份数：本合同一式五份，甲方两份，乙方一份，采购代理机构一份，政府采购管理部门一份。</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9.2 本合同文件使用中文书写、解释和说明。</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9.3 本合同履行过程中产生的纪要、协议以及成交通知书、采购响应文件和采购文件为本合同的附件，与合同具有同等效力。</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9.4 未尽事宜</w:t>
      </w:r>
      <w:r/>
    </w:p>
    <w:p>
      <w:pPr>
        <w:ind w:firstLine="420"/>
        <w:spacing w:line="500" w:lineRule="exact"/>
        <w:tabs>
          <w:tab w:val="left" w:pos="1260" w:leader="none"/>
        </w:tabs>
        <w:rPr>
          <w:rFonts w:ascii="宋体" w:hAnsi="宋体" w:eastAsia="宋体" w:cs="宋体"/>
          <w:sz w:val="21"/>
          <w:szCs w:val="21"/>
        </w:rPr>
      </w:pPr>
      <w:r>
        <w:rPr>
          <w:rFonts w:hint="eastAsia" w:ascii="宋体" w:hAnsi="宋体" w:eastAsia="宋体" w:cs="宋体"/>
          <w:sz w:val="21"/>
          <w:szCs w:val="21"/>
        </w:rPr>
        <w:t xml:space="preserve">本合同未尽事宜应按照《中华人民共和国民法典》、《中华人民共和国产品质量法》、《中华人民共和国政府采购法》之规定解释。</w:t>
      </w:r>
      <w:r/>
    </w:p>
    <w:tbl>
      <w:tblPr>
        <w:tblStyle w:val="736"/>
        <w:tblW w:w="0" w:type="auto"/>
        <w:jc w:val="center"/>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甲方（盖章）：</w:t>
            </w:r>
            <w:r/>
          </w:p>
        </w:tc>
        <w:tc>
          <w:tcPr>
            <w:tcW w:w="4210" w:type="dxa"/>
            <w:vAlign w:val="center"/>
            <w:textDirection w:val="lrTb"/>
            <w:noWrap w:val="false"/>
          </w:tcPr>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乙方（盖章）：</w:t>
            </w:r>
            <w:r/>
          </w:p>
        </w:tc>
      </w:tr>
      <w:tr>
        <w:trPr>
          <w:jc w:val="center"/>
        </w:trPr>
        <w:tc>
          <w:tcPr>
            <w:tcW w:w="4224" w:type="dxa"/>
            <w:vAlign w:val="center"/>
            <w:textDirection w:val="lrTb"/>
            <w:noWrap w:val="false"/>
          </w:tcPr>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法定（授权）代表人（签字）：</w:t>
            </w:r>
            <w:r/>
          </w:p>
        </w:tc>
        <w:tc>
          <w:tcPr>
            <w:tcW w:w="4210" w:type="dxa"/>
            <w:vAlign w:val="center"/>
            <w:textDirection w:val="lrTb"/>
            <w:noWrap w:val="false"/>
          </w:tcPr>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法定（授权）代表人（签字）：</w:t>
            </w:r>
            <w:r/>
          </w:p>
        </w:tc>
      </w:tr>
      <w:tr>
        <w:trPr>
          <w:jc w:val="center"/>
        </w:trPr>
        <w:tc>
          <w:tcPr>
            <w:tcW w:w="4224" w:type="dxa"/>
            <w:vAlign w:val="center"/>
            <w:textDirection w:val="lrTb"/>
            <w:noWrap w:val="false"/>
          </w:tcPr>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w:t>
            </w:r>
            <w:r/>
          </w:p>
        </w:tc>
        <w:tc>
          <w:tcPr>
            <w:tcW w:w="4210" w:type="dxa"/>
            <w:vAlign w:val="center"/>
            <w:textDirection w:val="lrTb"/>
            <w:noWrap w:val="false"/>
          </w:tcPr>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w:t>
            </w:r>
            <w:r/>
          </w:p>
        </w:tc>
      </w:tr>
    </w:tbl>
    <w:p>
      <w:pPr>
        <w:rPr>
          <w:rFonts w:ascii="仿宋_GB2312" w:hAnsi="宋体"/>
          <w:b/>
          <w:sz w:val="21"/>
          <w:szCs w:val="21"/>
        </w:rPr>
      </w:pPr>
      <w:r>
        <w:rPr>
          <w:rFonts w:hint="eastAsia" w:ascii="仿宋_GB2312" w:hAnsi="宋体"/>
          <w:b/>
          <w:sz w:val="21"/>
          <w:szCs w:val="21"/>
        </w:rPr>
        <w:br w:type="page" w:clear="all"/>
      </w:r>
      <w:r/>
    </w:p>
    <w:p>
      <w:pPr>
        <w:spacing w:line="400" w:lineRule="exact"/>
        <w:rPr>
          <w:rFonts w:ascii="宋体" w:hAnsi="宋体" w:eastAsia="宋体" w:cs="宋体"/>
          <w:sz w:val="21"/>
          <w:szCs w:val="21"/>
        </w:rPr>
      </w:pPr>
      <w:r>
        <w:rPr>
          <w:rFonts w:hint="eastAsia" w:ascii="宋体" w:hAnsi="宋体" w:eastAsia="宋体" w:cs="宋体"/>
          <w:b/>
          <w:sz w:val="21"/>
          <w:szCs w:val="21"/>
        </w:rPr>
        <w:t xml:space="preserve">附件一：景观灯维护细则</w:t>
      </w:r>
      <w:r/>
    </w:p>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景观灯维护细则</w:t>
      </w:r>
      <w:r/>
    </w:p>
    <w:p>
      <w:pPr>
        <w:spacing w:line="400" w:lineRule="exact"/>
        <w:rPr>
          <w:rFonts w:ascii="宋体" w:hAnsi="宋体" w:eastAsia="宋体" w:cs="宋体"/>
          <w:sz w:val="21"/>
          <w:szCs w:val="21"/>
        </w:rPr>
      </w:pPr>
      <w:r>
        <w:rPr>
          <w:rFonts w:hint="eastAsia" w:ascii="宋体" w:hAnsi="宋体" w:eastAsia="宋体" w:cs="宋体"/>
          <w:sz w:val="21"/>
          <w:szCs w:val="21"/>
        </w:rPr>
        <w:t xml:space="preserve">一、维护要求</w:t>
      </w:r>
      <w:r/>
    </w:p>
    <w:p>
      <w:pPr>
        <w:ind w:firstLine="420"/>
        <w:spacing w:line="400" w:lineRule="exact"/>
        <w:tabs>
          <w:tab w:val="left" w:pos="0" w:leader="none"/>
        </w:tabs>
        <w:rPr>
          <w:rFonts w:ascii="宋体" w:hAnsi="宋体" w:eastAsia="宋体" w:cs="宋体"/>
          <w:sz w:val="21"/>
          <w:szCs w:val="21"/>
        </w:rPr>
      </w:pPr>
      <w:r>
        <w:rPr>
          <w:rFonts w:hint="eastAsia" w:ascii="宋体" w:hAnsi="宋体" w:eastAsia="宋体" w:cs="宋体"/>
          <w:sz w:val="21"/>
          <w:szCs w:val="21"/>
        </w:rPr>
        <w:t xml:space="preserve">1、对照明设施进行日常维护，使之经常保持完好状态，确保照明设施正常使用。</w:t>
      </w:r>
      <w:r/>
    </w:p>
    <w:p>
      <w:pPr>
        <w:ind w:firstLine="420"/>
        <w:spacing w:line="400" w:lineRule="exact"/>
        <w:tabs>
          <w:tab w:val="left" w:pos="0" w:leader="none"/>
        </w:tabs>
        <w:rPr>
          <w:rFonts w:ascii="宋体" w:hAnsi="宋体" w:eastAsia="宋体" w:cs="宋体"/>
          <w:sz w:val="21"/>
          <w:szCs w:val="21"/>
        </w:rPr>
      </w:pPr>
      <w:r>
        <w:rPr>
          <w:rFonts w:hint="eastAsia" w:ascii="宋体" w:hAnsi="宋体" w:eastAsia="宋体" w:cs="宋体"/>
          <w:sz w:val="21"/>
          <w:szCs w:val="21"/>
        </w:rPr>
        <w:t xml:space="preserve">2、及时发现被偷盗的设施。</w:t>
      </w:r>
      <w:r/>
    </w:p>
    <w:p>
      <w:pPr>
        <w:ind w:firstLine="420"/>
        <w:spacing w:line="400" w:lineRule="exact"/>
        <w:tabs>
          <w:tab w:val="left" w:pos="0" w:leader="none"/>
        </w:tabs>
        <w:rPr>
          <w:rFonts w:ascii="宋体" w:hAnsi="宋体" w:eastAsia="宋体" w:cs="宋体"/>
          <w:sz w:val="21"/>
          <w:szCs w:val="21"/>
        </w:rPr>
      </w:pPr>
      <w:r>
        <w:rPr>
          <w:rFonts w:hint="eastAsia" w:ascii="宋体" w:hAnsi="宋体" w:eastAsia="宋体" w:cs="宋体"/>
          <w:sz w:val="21"/>
          <w:szCs w:val="21"/>
        </w:rPr>
        <w:t xml:space="preserve">3、亮灯率在98%以上，设施完好率在95%以上。</w:t>
      </w:r>
      <w:r/>
    </w:p>
    <w:p>
      <w:pPr>
        <w:ind w:firstLine="420"/>
        <w:spacing w:line="400" w:lineRule="exact"/>
        <w:tabs>
          <w:tab w:val="left" w:pos="0" w:leader="none"/>
        </w:tabs>
        <w:rPr>
          <w:rFonts w:ascii="宋体" w:hAnsi="宋体" w:eastAsia="宋体" w:cs="宋体"/>
          <w:sz w:val="21"/>
          <w:szCs w:val="21"/>
        </w:rPr>
      </w:pPr>
      <w:r>
        <w:rPr>
          <w:rFonts w:hint="eastAsia" w:ascii="宋体" w:hAnsi="宋体" w:eastAsia="宋体" w:cs="宋体"/>
          <w:sz w:val="21"/>
          <w:szCs w:val="21"/>
        </w:rPr>
        <w:t xml:space="preserve">4、临时送电要按规定执行（白天送电维护景观灯时：提前一天通知甲方，并填写白天送电检修申请表，甲方同意后方可进行送电）。</w:t>
      </w:r>
      <w:r/>
    </w:p>
    <w:p>
      <w:pPr>
        <w:ind w:firstLine="420"/>
        <w:spacing w:line="400" w:lineRule="exact"/>
        <w:tabs>
          <w:tab w:val="left" w:pos="0" w:leader="none"/>
        </w:tabs>
        <w:rPr>
          <w:rFonts w:ascii="宋体" w:hAnsi="宋体" w:eastAsia="宋体" w:cs="宋体"/>
          <w:sz w:val="21"/>
          <w:szCs w:val="21"/>
        </w:rPr>
      </w:pPr>
      <w:r>
        <w:rPr>
          <w:rFonts w:hint="eastAsia" w:ascii="宋体" w:hAnsi="宋体" w:eastAsia="宋体" w:cs="宋体"/>
          <w:sz w:val="21"/>
          <w:szCs w:val="21"/>
        </w:rPr>
        <w:t xml:space="preserve">5、每月初提交月工作计划，每月底提交月报表。</w:t>
      </w:r>
      <w:r/>
    </w:p>
    <w:p>
      <w:pPr>
        <w:spacing w:line="400" w:lineRule="exact"/>
        <w:rPr>
          <w:rFonts w:ascii="宋体" w:hAnsi="宋体" w:eastAsia="宋体" w:cs="宋体"/>
          <w:sz w:val="21"/>
          <w:szCs w:val="21"/>
        </w:rPr>
      </w:pPr>
      <w:r>
        <w:rPr>
          <w:rFonts w:hint="eastAsia" w:ascii="宋体" w:hAnsi="宋体" w:eastAsia="宋体" w:cs="宋体"/>
          <w:sz w:val="21"/>
          <w:szCs w:val="21"/>
        </w:rPr>
        <w:t xml:space="preserve">二、养护内容（一）控制箱</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1、每月对配电箱（柜）巡修一次。</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2、配电箱（柜）体保持完整、清洁、不渗水、无积灰、无锈蚀，门锁灵活可靠。</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3、箱内熔断器等电器元件和导线应绝缘良好，各零部件无变形缺损，各触电无发热变色，各部件联接紧固无松动。</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4、送电的控制箱内放置警示标志牌，尽量缩小送电范围（只送需维修部分，其余关闭），缩短送电时间（修完即关）。</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5、控制箱需专人操作，并设有操作监护人。</w:t>
      </w:r>
      <w:r/>
    </w:p>
    <w:p>
      <w:pPr>
        <w:spacing w:line="400" w:lineRule="exact"/>
        <w:rPr>
          <w:rFonts w:ascii="宋体" w:hAnsi="宋体" w:eastAsia="宋体" w:cs="宋体"/>
          <w:sz w:val="21"/>
          <w:szCs w:val="21"/>
        </w:rPr>
      </w:pPr>
      <w:r>
        <w:rPr>
          <w:rFonts w:hint="eastAsia" w:ascii="宋体" w:hAnsi="宋体" w:eastAsia="宋体" w:cs="宋体"/>
          <w:sz w:val="21"/>
          <w:szCs w:val="21"/>
        </w:rPr>
        <w:t xml:space="preserve">（二）地下管线</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1、电缆线路在地上部分的钢带、保护管、固定设备无锈蚀，绝缘包带无老化开裂，钢带接地良好。</w:t>
      </w:r>
      <w:r/>
    </w:p>
    <w:p>
      <w:pPr>
        <w:ind w:firstLine="420"/>
        <w:spacing w:line="400" w:lineRule="exact"/>
        <w:rPr>
          <w:rFonts w:ascii="宋体" w:hAnsi="宋体" w:eastAsia="宋体" w:cs="宋体"/>
          <w:bCs/>
          <w:sz w:val="21"/>
          <w:szCs w:val="21"/>
        </w:rPr>
      </w:pPr>
      <w:r>
        <w:rPr>
          <w:rFonts w:hint="eastAsia" w:ascii="宋体" w:hAnsi="宋体" w:eastAsia="宋体" w:cs="宋体"/>
          <w:sz w:val="21"/>
          <w:szCs w:val="21"/>
        </w:rPr>
        <w:t xml:space="preserve">2、灯座箱、电缆井内干净无异物，电缆标志牌齐全，字迹清楚。</w:t>
      </w:r>
      <w:r/>
    </w:p>
    <w:p>
      <w:pPr>
        <w:ind w:firstLine="420"/>
        <w:spacing w:line="400" w:lineRule="exact"/>
        <w:rPr>
          <w:rFonts w:ascii="宋体" w:hAnsi="宋体" w:eastAsia="宋体" w:cs="宋体"/>
          <w:bCs/>
          <w:sz w:val="21"/>
          <w:szCs w:val="21"/>
        </w:rPr>
      </w:pPr>
      <w:r>
        <w:rPr>
          <w:rFonts w:hint="eastAsia" w:ascii="宋体" w:hAnsi="宋体" w:eastAsia="宋体" w:cs="宋体"/>
          <w:sz w:val="21"/>
          <w:szCs w:val="21"/>
        </w:rPr>
        <w:t xml:space="preserve">3、巡视检查时发现有严重缺陷和损伤的电缆经甲方鉴定同意后进行更换；</w:t>
      </w:r>
      <w:r/>
    </w:p>
    <w:p>
      <w:pPr>
        <w:spacing w:line="400" w:lineRule="exact"/>
        <w:rPr>
          <w:rFonts w:ascii="宋体" w:hAnsi="宋体" w:eastAsia="宋体" w:cs="宋体"/>
          <w:sz w:val="21"/>
          <w:szCs w:val="21"/>
        </w:rPr>
      </w:pPr>
      <w:r>
        <w:rPr>
          <w:rFonts w:hint="eastAsia" w:ascii="宋体" w:hAnsi="宋体" w:eastAsia="宋体" w:cs="宋体"/>
          <w:sz w:val="21"/>
          <w:szCs w:val="21"/>
        </w:rPr>
        <w:t xml:space="preserve">（三）照明器具</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1、定期更换寿终的灯泡、镇流器、触发器及更换老化的灯头线。</w:t>
      </w:r>
      <w:r/>
    </w:p>
    <w:p>
      <w:pPr>
        <w:ind w:firstLine="420"/>
        <w:spacing w:line="400" w:lineRule="exact"/>
        <w:rPr>
          <w:rFonts w:ascii="宋体" w:hAnsi="宋体" w:eastAsia="宋体" w:cs="宋体"/>
          <w:bCs/>
          <w:sz w:val="21"/>
          <w:szCs w:val="21"/>
        </w:rPr>
      </w:pPr>
      <w:r>
        <w:rPr>
          <w:rFonts w:hint="eastAsia" w:ascii="宋体" w:hAnsi="宋体" w:eastAsia="宋体" w:cs="宋体"/>
          <w:sz w:val="21"/>
          <w:szCs w:val="21"/>
        </w:rPr>
        <w:t xml:space="preserve">2、定期清洁灯具，做到灯罩或玻璃罩无积污、无蛛网，灯罩内反光器保持光亮。</w:t>
      </w:r>
      <w:r/>
    </w:p>
    <w:p>
      <w:pPr>
        <w:ind w:firstLine="420"/>
        <w:spacing w:line="400" w:lineRule="exact"/>
        <w:rPr>
          <w:rFonts w:ascii="宋体" w:hAnsi="宋体" w:eastAsia="宋体" w:cs="宋体"/>
          <w:bCs/>
          <w:sz w:val="21"/>
          <w:szCs w:val="21"/>
        </w:rPr>
      </w:pPr>
      <w:r>
        <w:rPr>
          <w:rFonts w:hint="eastAsia" w:ascii="宋体" w:hAnsi="宋体" w:eastAsia="宋体" w:cs="宋体"/>
          <w:sz w:val="21"/>
          <w:szCs w:val="21"/>
        </w:rPr>
        <w:t xml:space="preserve">3、定期修剪灯具周围遮光灌木或杂草。</w:t>
      </w:r>
      <w:r/>
    </w:p>
    <w:p>
      <w:pPr>
        <w:ind w:firstLine="420"/>
        <w:spacing w:line="400" w:lineRule="exact"/>
        <w:rPr>
          <w:rFonts w:ascii="宋体" w:hAnsi="宋体" w:eastAsia="宋体" w:cs="宋体"/>
          <w:bCs/>
          <w:sz w:val="21"/>
          <w:szCs w:val="21"/>
        </w:rPr>
      </w:pPr>
      <w:r>
        <w:rPr>
          <w:rFonts w:hint="eastAsia" w:ascii="宋体" w:hAnsi="宋体" w:eastAsia="宋体" w:cs="宋体"/>
          <w:sz w:val="21"/>
          <w:szCs w:val="21"/>
        </w:rPr>
        <w:t xml:space="preserve">4、灯具引下线和管内穿线绝缘良好，无破皮，塑料绝缘开裂等现象。</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5、所有紧固螺母牢靠无松动。各种灯具光管、光带固定牢靠，无严重锈蚀并接地良好。</w:t>
      </w:r>
      <w:r/>
    </w:p>
    <w:p>
      <w:pPr>
        <w:spacing w:line="400" w:lineRule="exact"/>
        <w:rPr>
          <w:rFonts w:ascii="宋体" w:hAnsi="宋体" w:eastAsia="宋体" w:cs="宋体"/>
          <w:sz w:val="21"/>
          <w:szCs w:val="21"/>
        </w:rPr>
      </w:pPr>
      <w:r>
        <w:rPr>
          <w:rFonts w:hint="eastAsia" w:ascii="宋体" w:hAnsi="宋体" w:eastAsia="宋体" w:cs="宋体"/>
          <w:sz w:val="21"/>
          <w:szCs w:val="21"/>
        </w:rPr>
        <w:t xml:space="preserve">（四）日常巡视</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1、各种灯具及配电箱每天需巡视一次。</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2、巡视中发现有严重危害人身和景观灯设施安全的，必须立即采取措施抢修。</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3、巡视检查结果和故障及缺陷修复情况要有详细的台帐记录。</w:t>
      </w:r>
      <w:r/>
    </w:p>
    <w:p>
      <w:pPr>
        <w:spacing w:line="400" w:lineRule="exact"/>
        <w:rPr>
          <w:rFonts w:ascii="宋体" w:hAnsi="宋体" w:eastAsia="宋体" w:cs="宋体"/>
          <w:sz w:val="21"/>
          <w:szCs w:val="21"/>
        </w:rPr>
      </w:pPr>
      <w:r>
        <w:rPr>
          <w:rFonts w:hint="eastAsia" w:ascii="宋体" w:hAnsi="宋体" w:eastAsia="宋体" w:cs="宋体"/>
          <w:sz w:val="21"/>
          <w:szCs w:val="21"/>
        </w:rPr>
        <w:t xml:space="preserve">（五）维护方式</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1、正常维护：每天检查照明设施及检修已坏灯具、灯泡、镇流器、触发器等，确保明灯率。</w:t>
      </w:r>
      <w:r/>
    </w:p>
    <w:p>
      <w:pPr>
        <w:ind w:firstLine="420"/>
        <w:jc w:val="left"/>
        <w:spacing w:line="400" w:lineRule="exact"/>
        <w:tabs>
          <w:tab w:val="left" w:pos="0" w:leader="none"/>
        </w:tabs>
        <w:rPr>
          <w:rFonts w:ascii="宋体" w:hAnsi="宋体" w:eastAsia="宋体" w:cs="宋体"/>
          <w:sz w:val="21"/>
          <w:szCs w:val="21"/>
        </w:rPr>
      </w:pPr>
      <w:r>
        <w:rPr>
          <w:rFonts w:hint="eastAsia" w:ascii="宋体" w:hAnsi="宋体" w:eastAsia="宋体" w:cs="宋体"/>
          <w:sz w:val="21"/>
          <w:szCs w:val="21"/>
        </w:rPr>
        <w:t xml:space="preserve">2、重点维护：定期对不同路段内景观灯照明设施进行清理、整修、更换，确保设施完好率。</w:t>
      </w:r>
      <w:r/>
    </w:p>
    <w:p>
      <w:pPr>
        <w:spacing w:line="400" w:lineRule="exact"/>
        <w:rPr>
          <w:rFonts w:ascii="宋体" w:hAnsi="宋体" w:eastAsia="宋体" w:cs="宋体"/>
          <w:b/>
          <w:sz w:val="21"/>
          <w:szCs w:val="21"/>
        </w:rPr>
      </w:pPr>
      <w:r>
        <w:rPr>
          <w:rFonts w:hint="eastAsia" w:ascii="宋体" w:hAnsi="宋体" w:eastAsia="宋体" w:cs="宋体"/>
          <w:b/>
          <w:sz w:val="21"/>
          <w:szCs w:val="21"/>
        </w:rPr>
        <w:br w:type="page" w:clear="all"/>
      </w:r>
      <w:r>
        <w:rPr>
          <w:rFonts w:hint="eastAsia" w:ascii="宋体" w:hAnsi="宋体" w:eastAsia="宋体" w:cs="宋体"/>
          <w:b/>
          <w:sz w:val="21"/>
          <w:szCs w:val="21"/>
        </w:rPr>
        <w:t xml:space="preserve">附件二：景观灯维护管理考核办法</w:t>
      </w:r>
      <w:r/>
    </w:p>
    <w:p>
      <w:pPr>
        <w:jc w:val="center"/>
        <w:spacing w:line="400" w:lineRule="exact"/>
        <w:rPr>
          <w:rFonts w:ascii="宋体" w:hAnsi="宋体" w:eastAsia="宋体" w:cs="宋体"/>
          <w:b/>
          <w:sz w:val="21"/>
          <w:szCs w:val="21"/>
        </w:rPr>
      </w:pPr>
      <w:r>
        <w:rPr>
          <w:rFonts w:hint="eastAsia" w:ascii="宋体" w:hAnsi="宋体" w:eastAsia="宋体" w:cs="宋体"/>
          <w:b/>
          <w:sz w:val="21"/>
          <w:szCs w:val="21"/>
        </w:rPr>
        <w:t xml:space="preserve">相城区景观照明设施运行维护管理办法</w:t>
      </w:r>
      <w:r/>
    </w:p>
    <w:p>
      <w:pPr>
        <w:jc w:val="center"/>
        <w:spacing w:line="400" w:lineRule="exact"/>
        <w:rPr>
          <w:rFonts w:ascii="宋体" w:hAnsi="宋体" w:eastAsia="宋体" w:cs="宋体"/>
          <w:b/>
          <w:sz w:val="21"/>
          <w:szCs w:val="21"/>
        </w:rPr>
      </w:pPr>
      <w:r>
        <w:rPr>
          <w:rFonts w:hint="eastAsia" w:ascii="宋体" w:hAnsi="宋体" w:eastAsia="宋体" w:cs="宋体"/>
          <w:b/>
          <w:bCs/>
          <w:sz w:val="21"/>
          <w:szCs w:val="21"/>
        </w:rPr>
        <w:t xml:space="preserve">第一章 总则</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1、为进一步加强和规范景观照明设施运行维护，提升管理水平，确保安全可靠运行，相城区景观灯管理所（以下简称“甲方”）制定本办法。</w:t>
      </w:r>
      <w:r/>
    </w:p>
    <w:p>
      <w:pPr>
        <w:spacing w:line="400" w:lineRule="exact"/>
        <w:widowControl/>
        <w:rPr>
          <w:rFonts w:ascii="宋体" w:hAnsi="宋体" w:eastAsia="宋体" w:cs="宋体"/>
          <w:sz w:val="21"/>
          <w:szCs w:val="21"/>
        </w:rPr>
      </w:pPr>
      <w:r>
        <w:rPr>
          <w:rFonts w:hint="eastAsia" w:ascii="宋体" w:hAnsi="宋体" w:eastAsia="宋体" w:cs="宋体"/>
          <w:sz w:val="21"/>
          <w:szCs w:val="21"/>
        </w:rPr>
        <w:t xml:space="preserve">    2、本办法所称景观照明设施，是指配电室（箱、柜）至景观照明灯具末端内的所有设施，包括配电室（箱、柜）、控制箱、监控器、灯杆、支架、管线、灯具总成、工作井及照明附属设备等。</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3、从事景观照明设施运行维护的单位（以下简称“乙方”）必须严格执行国家、省市和地方相关法律、法规，对辖区内景观照明设施进行维护，使其设施完好率达到95%以上，景观灯亮灯率达到98%以上，故障及时修复率为100%。</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4、承包期内交通事故、灾害性气候及其他突发事件造成的城市照明设施损坏（不包括被盗和人为损坏），由甲方负责追偿，再由甲方以委托单形式委托乙方负责恢复，工程费用另计不包含在维护承包费内。</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5、本办法遵循公平、公正、公开及政府主管、社会参与的原则，作为该工程承包合同的专用条款，与合同有同等法律效力。</w:t>
      </w:r>
      <w:r/>
    </w:p>
    <w:p>
      <w:pPr>
        <w:jc w:val="center"/>
        <w:spacing w:line="400" w:lineRule="exact"/>
        <w:tabs>
          <w:tab w:val="left" w:pos="1680" w:leader="none"/>
        </w:tabs>
        <w:rPr>
          <w:rFonts w:ascii="宋体" w:hAnsi="宋体" w:eastAsia="宋体" w:cs="宋体"/>
          <w:b/>
          <w:sz w:val="21"/>
          <w:szCs w:val="21"/>
        </w:rPr>
      </w:pPr>
      <w:r>
        <w:rPr>
          <w:rFonts w:hint="eastAsia" w:ascii="宋体" w:hAnsi="宋体" w:eastAsia="宋体" w:cs="宋体"/>
          <w:b/>
          <w:sz w:val="21"/>
          <w:szCs w:val="21"/>
        </w:rPr>
        <w:t xml:space="preserve">第二章 人员、设备要求</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乙方须具有城市及道路照明工程专业承包三级及以上资质证书，在苏州市相城地区有固定的工作场所（非住宅），能够满足办公、仓储等要求，并具有适应本项目需要的人员（高空作业、电工作业人员等）、高空作业车、巡视车、工具和设备。</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2、如发现乙方组织措施不当、计划不落实、管理不严、实施方案中所列人员、机械设备（工具）与现场实际不符，导致养护质量达不到标准的，甲方有权单方面终止合同。</w:t>
      </w:r>
      <w:r/>
    </w:p>
    <w:p>
      <w:pPr>
        <w:jc w:val="center"/>
        <w:spacing w:line="400" w:lineRule="exact"/>
        <w:tabs>
          <w:tab w:val="left" w:pos="1680" w:leader="none"/>
        </w:tabs>
        <w:rPr>
          <w:rFonts w:ascii="宋体" w:hAnsi="宋体" w:eastAsia="宋体" w:cs="宋体"/>
          <w:b/>
          <w:sz w:val="21"/>
          <w:szCs w:val="21"/>
        </w:rPr>
      </w:pPr>
      <w:r>
        <w:rPr>
          <w:rFonts w:hint="eastAsia" w:ascii="宋体" w:hAnsi="宋体" w:eastAsia="宋体" w:cs="宋体"/>
          <w:b/>
          <w:sz w:val="21"/>
          <w:szCs w:val="21"/>
        </w:rPr>
        <w:t xml:space="preserve">第三章 一般规定</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1、设施运行维护的技术质量要求应与施工技术质量要求相同。详见《城市夜景照明设计规范》（JGJ/T163-2008）等。乙方不得擅自改变景观照明设施现状，确需变更的应事先书面报告甲方批准。</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乙方应及时制止、上报并配合处理下列行为：（1）擅自迁移、拆除、停用、改动城市照明设施；（2）擅自利用城市照明设施设置、张贴、悬挂宣传品和广告；（3）擅自在城市照明设施上架设线缆、设置其他设施或者接用电源；（4）擅自在城市照明设施周围挖坑取土、堆放物品、修建建（构）筑物；（5）其他损害城市照明设施的行为。乙方如有以上行为按相关法规追责，当月考评为差。情节严重的，甲方有权单方面终止合同。</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3、经维修后的设施器件，不应降低该器件的性能及技术参数要求。更换器件应采用原装配件或经批准采用性能更优的替代产品, 严禁使用假冒伪劣产品，一经发现，一律返工。对于拒不返工者，除追究相应责任外，甲方有权单方面终止合同。</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4、必须按规定启闭景观灯，禁止乙方白天开灯巡修。因运行故障等特殊情况确需在白天送电抢修的，必须事先书面报告甲方批准，原则上每次连续开灯不超过5分钟。</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5、乙方采取必要措施确保人身和设施运行安全，无安全责任事故。因维护不当所导致的人员伤亡和财产损失其责任由乙方负责，概与甲方无关。发生重大伤亡事故或者造成其他严重后果，甲方有权单方面终止合同。</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6、遇自然灾害（如台风、地震、暴雨等）、节日、庆典和重大活动时，乙方应采取相应措施，服从甲方调度。配合甲方做好设施事故修复、迁移、改造等维护延伸工作。</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7、在规定时间内处理“数字城管”、“12345”、“寒山闻钟”、“区长信箱”等对照明设施维护管理的社会监督，因维护不当而导致不良后果，除相应扣分外，甲方有权单方面终止合同。</w:t>
      </w:r>
      <w:r/>
    </w:p>
    <w:p>
      <w:pPr>
        <w:jc w:val="center"/>
        <w:spacing w:line="400" w:lineRule="exact"/>
        <w:rPr>
          <w:rFonts w:ascii="宋体" w:hAnsi="宋体" w:eastAsia="宋体" w:cs="宋体"/>
          <w:b/>
          <w:sz w:val="21"/>
          <w:szCs w:val="21"/>
        </w:rPr>
      </w:pPr>
      <w:r>
        <w:rPr>
          <w:rFonts w:hint="eastAsia" w:ascii="宋体" w:hAnsi="宋体" w:eastAsia="宋体" w:cs="宋体"/>
          <w:b/>
          <w:sz w:val="21"/>
          <w:szCs w:val="21"/>
        </w:rPr>
        <w:t xml:space="preserve">第四章 质量标准</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根据《城市夜景照明设计规范》（JGJ/T163-2008）要求对辖区内景观照明设施进行运行维护。</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一、照明器具维护：</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1、定期更换寿终的灯泡、镇流器、触发器及更换老化的灯头线。</w:t>
      </w:r>
      <w:r/>
    </w:p>
    <w:p>
      <w:pPr>
        <w:ind w:firstLine="420"/>
        <w:spacing w:line="400" w:lineRule="exact"/>
        <w:rPr>
          <w:rFonts w:ascii="宋体" w:hAnsi="宋体" w:eastAsia="宋体" w:cs="宋体"/>
          <w:bCs/>
          <w:sz w:val="21"/>
          <w:szCs w:val="21"/>
        </w:rPr>
      </w:pPr>
      <w:r>
        <w:rPr>
          <w:rFonts w:hint="eastAsia" w:ascii="宋体" w:hAnsi="宋体" w:eastAsia="宋体" w:cs="宋体"/>
          <w:sz w:val="21"/>
          <w:szCs w:val="21"/>
        </w:rPr>
        <w:t xml:space="preserve">2、定期清洁灯具，做到灯罩或玻璃罩无积污、无蛛网，灯罩内反光器保持光亮。</w:t>
      </w:r>
      <w:r/>
    </w:p>
    <w:p>
      <w:pPr>
        <w:ind w:firstLine="420"/>
        <w:spacing w:line="400" w:lineRule="exact"/>
        <w:rPr>
          <w:rFonts w:ascii="宋体" w:hAnsi="宋体" w:eastAsia="宋体" w:cs="宋体"/>
          <w:bCs/>
          <w:sz w:val="21"/>
          <w:szCs w:val="21"/>
        </w:rPr>
      </w:pPr>
      <w:r>
        <w:rPr>
          <w:rFonts w:hint="eastAsia" w:ascii="宋体" w:hAnsi="宋体" w:eastAsia="宋体" w:cs="宋体"/>
          <w:sz w:val="21"/>
          <w:szCs w:val="21"/>
        </w:rPr>
        <w:t xml:space="preserve">3、定期修剪灯具周围遮光灌木或杂草。</w:t>
      </w:r>
      <w:r/>
    </w:p>
    <w:p>
      <w:pPr>
        <w:ind w:firstLine="420"/>
        <w:spacing w:line="400" w:lineRule="exact"/>
        <w:rPr>
          <w:rFonts w:ascii="宋体" w:hAnsi="宋体" w:eastAsia="宋体" w:cs="宋体"/>
          <w:bCs/>
          <w:sz w:val="21"/>
          <w:szCs w:val="21"/>
        </w:rPr>
      </w:pPr>
      <w:r>
        <w:rPr>
          <w:rFonts w:hint="eastAsia" w:ascii="宋体" w:hAnsi="宋体" w:eastAsia="宋体" w:cs="宋体"/>
          <w:sz w:val="21"/>
          <w:szCs w:val="21"/>
        </w:rPr>
        <w:t xml:space="preserve">4、灯具引下线和管内穿线绝缘良好，无破皮，塑料绝缘开裂等现象。</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5、所有紧固螺母牢靠无松动。各种灯具光管、光带固定牢靠，无严重锈蚀并接地良好。</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二、电缆线路维护： </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1、及时发现制止在电缆管线路面上方开挖、建筑打桩、植树和堆放有腐蚀性化学物品等行为，并通知甲方；</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2、电缆线路在地上部分的钢带、保护管、固定设备无锈蚀，标桩完整无缺；</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3、电缆接头无松动、无发热，绝缘包带无老化开裂，钢带接地良好；</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4、灯座箱、工作井完好，井内无异物，电缆标志牌齐全、字迹清楚，金属井盖接地良好；</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5、巡视检查对严重缺陷和损伤，并已无法处理的电缆（穿越导线）线路应分段或全部更新；</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6、架空线路无松弛，更换或修复损伤的导线，所有横担、瓷瓶、抱箍、拉线等紧固螺栓无松动和锈蚀现象。</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三、配电装置与控制设备维护：</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1、配电室门窗清洁无破损，房屋无渗漏水现象；</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2、配电箱(柜)体完整、不渗水、无积灰、外壳锈蚀面积不超过20%；</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3、接触器，熔断器等电气元件无变形缺损，工作正常，导线绝缘良好；</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4、电缆标牌、主次回路图和负荷分布图清晰、准确；</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5、进、出电缆孔的橡皮圈或防火泥封堵良好，无小动物侵入；</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6、配电箱（柜）仪表完好，指示正确，各部件联接紧固无松动或变形；</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7、电气设备间的电气间隙和爬电距离符合要求；</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8、箱（柜）体与门之间的接地连接完好，箱（柜）体保护接地良好；</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9、配电室(箱、柜)号牌清晰完整，门锁完好。</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10、供电电源电缆部分安装规范良好，无线三遥智能监控终端运行正常。</w:t>
      </w:r>
      <w:r/>
    </w:p>
    <w:p>
      <w:pPr>
        <w:jc w:val="center"/>
        <w:spacing w:line="400" w:lineRule="exact"/>
        <w:rPr>
          <w:rFonts w:ascii="宋体" w:hAnsi="宋体" w:eastAsia="宋体" w:cs="宋体"/>
          <w:b/>
          <w:sz w:val="21"/>
          <w:szCs w:val="21"/>
        </w:rPr>
      </w:pPr>
      <w:r>
        <w:rPr>
          <w:rFonts w:hint="eastAsia" w:ascii="宋体" w:hAnsi="宋体" w:eastAsia="宋体" w:cs="宋体"/>
          <w:b/>
          <w:sz w:val="21"/>
          <w:szCs w:val="21"/>
        </w:rPr>
        <w:t xml:space="preserve">第五章 及时修复率</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1、单灯不亮，1天内修复。一般故障，从发现起24小时之内必须修复。</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2、灯杆检修口盖板、电缆井盖缺失，应及时采取临时封盖措施，2天内修复。</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3、景观灯配电室(箱、柜)故障，2天内修复。</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4、被撞坏的景观照明设施（灯头、灯杆、基础、管线等），应及时组织人员抢修处理，半小时内到达现场，3天内修复。</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5、景观灯地下电缆管线和照明设施被盗、被破坏（以110报警立案或出警记录为依据）以及日常因景观灯电缆引起的大面积景观灯不亮事故3天内修复。</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6、涉及重大安全运行故障、突发事件或接到报告、群众投诉、媒体曝光后半小时内到达现场进行核实，在规定时间内组织抢修并回复。</w:t>
      </w:r>
      <w:r/>
    </w:p>
    <w:p>
      <w:pPr>
        <w:ind w:firstLine="420"/>
        <w:spacing w:line="400" w:lineRule="exact"/>
        <w:tabs>
          <w:tab w:val="left" w:pos="840" w:leader="none"/>
        </w:tabs>
        <w:rPr>
          <w:rFonts w:ascii="宋体" w:hAnsi="宋体" w:eastAsia="宋体" w:cs="宋体"/>
          <w:sz w:val="21"/>
          <w:szCs w:val="21"/>
        </w:rPr>
      </w:pPr>
      <w:r>
        <w:rPr>
          <w:rFonts w:hint="eastAsia" w:ascii="宋体" w:hAnsi="宋体" w:eastAsia="宋体" w:cs="宋体"/>
          <w:sz w:val="21"/>
          <w:szCs w:val="21"/>
        </w:rPr>
        <w:t xml:space="preserve">7、确因不可抗力不能按期修复，乙方应及早提出商请，经甲方同意出具修复工作时限通知单，此时间段内可免于亮灯率和设施完好率考核。仍未按期完成，甲方有权另叫第三方修复，费用在承包费中抵扣。</w:t>
      </w:r>
      <w:r/>
    </w:p>
    <w:p>
      <w:pPr>
        <w:ind w:firstLine="422"/>
        <w:jc w:val="center"/>
        <w:spacing w:line="400" w:lineRule="exact"/>
        <w:rPr>
          <w:rFonts w:ascii="宋体" w:hAnsi="宋体" w:eastAsia="宋体" w:cs="宋体"/>
          <w:b/>
          <w:bCs/>
          <w:sz w:val="21"/>
          <w:szCs w:val="21"/>
        </w:rPr>
      </w:pPr>
      <w:r>
        <w:rPr>
          <w:rFonts w:hint="eastAsia" w:ascii="宋体" w:hAnsi="宋体" w:eastAsia="宋体" w:cs="宋体"/>
          <w:b/>
          <w:bCs/>
          <w:sz w:val="21"/>
          <w:szCs w:val="21"/>
        </w:rPr>
        <w:t xml:space="preserve">第六章 台帐资料</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1、乙方应建立详实的景观照明设施维护档案，制定维护计划和应急预案,确保设施符合质量技术要求。每月5号前向甲方上报上个月维护档案和当月计划，装订成册并实行电子化管理。维护档案主要内容包括： </w:t>
      </w:r>
      <w:r/>
    </w:p>
    <w:p>
      <w:pPr>
        <w:ind w:firstLine="420"/>
        <w:spacing w:line="400" w:lineRule="exact"/>
        <w:tabs>
          <w:tab w:val="left" w:pos="0" w:leader="none"/>
        </w:tabs>
        <w:rPr>
          <w:rFonts w:ascii="宋体" w:hAnsi="宋体" w:eastAsia="宋体" w:cs="宋体"/>
          <w:sz w:val="21"/>
          <w:szCs w:val="21"/>
        </w:rPr>
      </w:pPr>
      <w:r>
        <w:rPr>
          <w:rFonts w:hint="eastAsia" w:ascii="宋体" w:hAnsi="宋体" w:eastAsia="宋体" w:cs="宋体"/>
          <w:sz w:val="21"/>
          <w:szCs w:val="21"/>
        </w:rPr>
        <w:t xml:space="preserve">（1）景观照明设施基础台帐：指设施编号、装设地点、型号、规格、功率等情况的原始记录、变更记录和现状资料。</w:t>
      </w:r>
      <w:r/>
    </w:p>
    <w:p>
      <w:pPr>
        <w:ind w:firstLine="420"/>
        <w:spacing w:line="400" w:lineRule="exact"/>
        <w:tabs>
          <w:tab w:val="left" w:pos="0" w:leader="none"/>
        </w:tabs>
        <w:rPr>
          <w:rFonts w:ascii="宋体" w:hAnsi="宋体" w:eastAsia="宋体" w:cs="宋体"/>
          <w:sz w:val="21"/>
          <w:szCs w:val="21"/>
        </w:rPr>
      </w:pPr>
      <w:r>
        <w:rPr>
          <w:rFonts w:hint="eastAsia" w:ascii="宋体" w:hAnsi="宋体" w:eastAsia="宋体" w:cs="宋体"/>
          <w:sz w:val="21"/>
          <w:szCs w:val="21"/>
        </w:rPr>
        <w:t xml:space="preserve">（2）月度维护作业计划：指根据甲方要求和维护实际制定的计划。</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（3）月度维护技术文件：指乙方实施的景观照明设施拆移、改造、被撞恢复、延时商请等工作的技术文件。</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（4）月度维护管理台帐：指乙方开展巡查、检修、考核的台账。</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（5）月度安全工作台帐：乙方开展安全检查、教育和应急预案演练等的台账。</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2、乙方落实设施日常巡查制度，及时发现设施故障及安全隐患，防止设施被盗和人为损坏（损失及修复由乙方负责），对不能立即修复的设施故障，应采取临时措施，保证安全。巡查频次要求： </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（1）景观灯亮灯情况每周巡查≥1次，景观灯完好情况每月巡修≥1次。</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（2）配电室（箱、柜）每季巡修≥1次，每年全面检修≥1次。</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（3）低压架空线每半年巡修≥1次。</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（4）电缆管线及人孔井、手孔井每年全面巡查≥1次。</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（5）配电设施、金属灯杆接地网每年接地电阻测试≥1次。</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（6）其他设施巡查要求不低于《城市夜景照明设计规范》（JGJ/T163-2008）。　</w:t>
      </w:r>
      <w:r/>
    </w:p>
    <w:p>
      <w:pPr>
        <w:jc w:val="center"/>
        <w:spacing w:line="400" w:lineRule="exact"/>
        <w:rPr>
          <w:rFonts w:ascii="宋体" w:hAnsi="宋体" w:eastAsia="宋体" w:cs="宋体"/>
          <w:b/>
          <w:bCs/>
          <w:sz w:val="21"/>
          <w:szCs w:val="21"/>
        </w:rPr>
      </w:pPr>
      <w:r>
        <w:rPr>
          <w:rFonts w:hint="eastAsia" w:ascii="宋体" w:hAnsi="宋体" w:eastAsia="宋体" w:cs="宋体"/>
          <w:b/>
          <w:bCs/>
          <w:sz w:val="21"/>
          <w:szCs w:val="21"/>
        </w:rPr>
        <w:t xml:space="preserve">第七章 检查考核</w:t>
      </w:r>
      <w:r/>
    </w:p>
    <w:p>
      <w:pPr>
        <w:ind w:firstLine="420"/>
        <w:spacing w:line="400" w:lineRule="exact"/>
        <w:widowControl/>
        <w:rPr>
          <w:rFonts w:ascii="宋体" w:hAnsi="宋体" w:eastAsia="宋体" w:cs="宋体"/>
          <w:sz w:val="21"/>
          <w:szCs w:val="21"/>
        </w:rPr>
      </w:pPr>
      <w:r>
        <w:rPr>
          <w:rFonts w:hint="eastAsia" w:ascii="宋体" w:hAnsi="宋体" w:eastAsia="宋体" w:cs="宋体"/>
          <w:sz w:val="21"/>
          <w:szCs w:val="21"/>
        </w:rPr>
        <w:t xml:space="preserve">（1）甲方每月采用定期和抽查的方式对乙方运行维护质量进行考核（详见《相城区景观照明设施运行维护考核评分表》）。季度考核综合得分（三个月考核的平均分）作为拨付维护承包费的依据。</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季度考核综合得分95分以上（含95分）为合格，全额支付当期当季养护费用；得分低于95分高于90分（包括90分）为基本合格，每低0.01分扣减当季养护费用的0.01%；得分低于90分为不合格，每低0.01分扣减当季养护费用的0.1%。</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（3）乙方连续两个月考核得分低于90分，甲方有权取消乙方养护承包合同，并且乙方在下一年度自动失去投标该项目资格不得参与投标。</w:t>
      </w:r>
      <w:r/>
    </w:p>
    <w:p>
      <w:pPr>
        <w:ind w:firstLine="422"/>
        <w:spacing w:line="400" w:lineRule="exact"/>
        <w:rPr>
          <w:rFonts w:ascii="宋体" w:hAnsi="宋体" w:eastAsia="宋体" w:cs="宋体"/>
          <w:b/>
          <w:sz w:val="21"/>
          <w:szCs w:val="21"/>
        </w:rPr>
      </w:pPr>
      <w:r>
        <w:rPr>
          <w:rFonts w:hint="eastAsia" w:ascii="宋体" w:hAnsi="宋体" w:eastAsia="宋体" w:cs="宋体"/>
          <w:b/>
          <w:sz w:val="21"/>
          <w:szCs w:val="21"/>
        </w:rPr>
        <w:t xml:space="preserve">★检查考核情况说明：</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1、由甲方组成考核小组对景观灯亮灯率和设施完好率进行考核,乙方可派员参与，考核结果以甲方当天现场查实数据签字确认为准。</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2、景观灯亮灯率和设施完好率应每月抽查不少于1次，抽查数量不少于设施量的15%。采用随机抽取方式（特殊情况则根据上级要求及交通局确定的重点区域安排必查）。</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亮灯率＝抽查片区内灯亮盏数／抽查片区内总灯盏数×100% </w:t>
      </w:r>
      <w:r/>
    </w:p>
    <w:p>
      <w:pPr>
        <w:ind w:firstLine="420"/>
        <w:spacing w:line="400" w:lineRule="exact"/>
        <w:tabs>
          <w:tab w:val="left" w:pos="1680" w:leader="none"/>
        </w:tabs>
        <w:rPr>
          <w:rFonts w:ascii="宋体" w:hAnsi="宋体" w:eastAsia="宋体" w:cs="宋体"/>
          <w:sz w:val="21"/>
          <w:szCs w:val="21"/>
        </w:rPr>
      </w:pPr>
      <w:r>
        <w:rPr>
          <w:rFonts w:hint="eastAsia" w:ascii="宋体" w:hAnsi="宋体" w:eastAsia="宋体" w:cs="宋体"/>
          <w:sz w:val="21"/>
          <w:szCs w:val="21"/>
        </w:rPr>
        <w:t xml:space="preserve">设施完好率＝抽查片区内设施完好数／抽查片区内总设施数×100%</w:t>
      </w:r>
      <w:r/>
    </w:p>
    <w:p>
      <w:pPr>
        <w:ind w:firstLine="420"/>
        <w:jc w:val="left"/>
        <w:spacing w:line="400" w:lineRule="exact"/>
        <w:rPr>
          <w:rFonts w:ascii="宋体" w:hAnsi="宋体" w:eastAsia="宋体" w:cs="宋体"/>
          <w:sz w:val="21"/>
          <w:szCs w:val="21"/>
        </w:rPr>
      </w:pPr>
      <w:r>
        <w:rPr>
          <w:rFonts w:hint="eastAsia" w:ascii="宋体" w:hAnsi="宋体" w:eastAsia="宋体" w:cs="宋体"/>
          <w:sz w:val="21"/>
          <w:szCs w:val="21"/>
        </w:rPr>
        <w:t xml:space="preserve">配电设施单处进行评分，得分90分以上为完好，≤90分为不完好。</w:t>
      </w:r>
      <w:r/>
    </w:p>
    <w:p>
      <w:pPr>
        <w:spacing w:line="400" w:lineRule="exact"/>
        <w:rPr>
          <w:rFonts w:ascii="宋体" w:hAnsi="宋体" w:eastAsia="宋体" w:cs="宋体"/>
          <w:b/>
          <w:bCs/>
          <w:sz w:val="21"/>
          <w:szCs w:val="21"/>
        </w:rPr>
      </w:pPr>
      <w:r>
        <w:rPr>
          <w:rFonts w:ascii="宋体" w:hAnsi="宋体" w:eastAsia="宋体" w:cs="宋体"/>
          <w:b/>
          <w:bCs/>
          <w:sz w:val="21"/>
          <w:szCs w:val="21"/>
        </w:rPr>
      </w:r>
      <w:r/>
    </w:p>
    <w:p>
      <w:pPr>
        <w:spacing w:line="400" w:lineRule="exact"/>
        <w:rPr>
          <w:rFonts w:ascii="宋体" w:hAnsi="宋体" w:eastAsia="宋体" w:cs="宋体"/>
          <w:b/>
          <w:bCs/>
          <w:sz w:val="21"/>
          <w:szCs w:val="21"/>
        </w:rPr>
      </w:pPr>
      <w:r>
        <w:rPr>
          <w:rFonts w:ascii="宋体" w:hAnsi="宋体" w:eastAsia="宋体" w:cs="宋体"/>
          <w:b/>
          <w:bCs/>
          <w:sz w:val="21"/>
          <w:szCs w:val="21"/>
        </w:rPr>
      </w:r>
      <w:r/>
    </w:p>
    <w:p>
      <w:pPr>
        <w:jc w:val="left"/>
        <w:spacing w:line="400" w:lineRule="exact"/>
        <w:rPr>
          <w:rFonts w:ascii="宋体" w:hAnsi="宋体" w:cs="宋体"/>
          <w:b/>
          <w:szCs w:val="21"/>
        </w:rPr>
        <w:sectPr>
          <w:footnotePr/>
          <w:endnotePr/>
          <w:type w:val="nextPage"/>
          <w:pgSz w:w="11906" w:h="16838" w:orient="portrait"/>
          <w:pgMar w:top="1327" w:right="1576" w:bottom="1327" w:left="1576" w:header="851" w:footer="992" w:gutter="0"/>
          <w:cols w:num="1" w:sep="0" w:space="720" w:equalWidth="1"/>
          <w:docGrid w:linePitch="360"/>
        </w:sectPr>
      </w:pPr>
      <w:r>
        <w:rPr>
          <w:rFonts w:ascii="宋体" w:hAnsi="宋体" w:cs="宋体"/>
          <w:b/>
          <w:szCs w:val="21"/>
        </w:rPr>
      </w:r>
      <w:r/>
    </w:p>
    <w:p>
      <w:pPr>
        <w:jc w:val="left"/>
        <w:spacing w:line="400" w:lineRule="exact"/>
        <w:rPr>
          <w:rFonts w:ascii="宋体" w:hAnsi="宋体" w:eastAsia="宋体" w:cs="宋体"/>
          <w:b/>
          <w:bCs/>
          <w:sz w:val="21"/>
          <w:szCs w:val="21"/>
        </w:rPr>
      </w:pPr>
      <w:r>
        <w:rPr>
          <w:rFonts w:hint="eastAsia" w:ascii="宋体" w:hAnsi="宋体" w:eastAsia="宋体" w:cs="宋体"/>
          <w:b/>
          <w:sz w:val="21"/>
          <w:szCs w:val="21"/>
        </w:rPr>
        <w:t xml:space="preserve">附件三：</w:t>
      </w:r>
      <w:r>
        <w:rPr>
          <w:rFonts w:hint="eastAsia" w:ascii="宋体" w:hAnsi="宋体" w:eastAsia="宋体" w:cs="宋体"/>
          <w:b/>
          <w:bCs/>
          <w:sz w:val="21"/>
          <w:szCs w:val="21"/>
        </w:rPr>
        <w:t xml:space="preserve">景观设施养护考核表</w:t>
      </w:r>
      <w:r/>
    </w:p>
    <w:p>
      <w:pPr>
        <w:jc w:val="center"/>
        <w:spacing w:line="400" w:lineRule="exact"/>
        <w:rPr>
          <w:rFonts w:ascii="宋体" w:hAnsi="宋体" w:eastAsia="宋体" w:cs="宋体"/>
          <w:b/>
          <w:bCs/>
          <w:sz w:val="21"/>
          <w:szCs w:val="21"/>
        </w:rPr>
      </w:pPr>
      <w:r>
        <w:rPr>
          <w:rFonts w:hint="eastAsia" w:ascii="宋体" w:hAnsi="宋体" w:eastAsia="宋体" w:cs="宋体"/>
          <w:b/>
          <w:bCs/>
          <w:sz w:val="21"/>
          <w:szCs w:val="21"/>
        </w:rPr>
        <w:t xml:space="preserve">（1）相城区景观照明设施运行维护暂行考核评分表</w:t>
      </w:r>
      <w:r/>
    </w:p>
    <w:tbl>
      <w:tblPr>
        <w:tblStyle w:val="736"/>
        <w:tblW w:w="9976" w:type="dxa"/>
        <w:jc w:val="center"/>
        <w:tblLayout w:type="fixed"/>
        <w:tblCellMar>
          <w:left w:w="108" w:type="dxa"/>
          <w:top w:w="0" w:type="dxa"/>
          <w:right w:w="108" w:type="dxa"/>
          <w:bottom w:w="0" w:type="dxa"/>
        </w:tblCellMar>
        <w:tblLook w:val="04A0" w:firstRow="1" w:lastRow="0" w:firstColumn="1" w:lastColumn="0" w:noHBand="0" w:noVBand="1"/>
      </w:tblPr>
      <w:tblGrid>
        <w:gridCol w:w="579"/>
        <w:gridCol w:w="851"/>
        <w:gridCol w:w="2408"/>
        <w:gridCol w:w="708"/>
        <w:gridCol w:w="3729"/>
        <w:gridCol w:w="983"/>
        <w:gridCol w:w="718"/>
      </w:tblGrid>
      <w:tr>
        <w:trPr>
          <w:jc w:val="center"/>
          <w:trHeight w:val="340"/>
        </w:trPr>
        <w:tc>
          <w:tcPr>
            <w:tcBorders>
              <w:top w:val="single" w:color="000000" w:sz="8" w:space="0"/>
              <w:left w:val="single" w:color="000000" w:sz="8" w:space="0"/>
              <w:bottom w:val="single" w:color="000000" w:sz="4" w:space="0"/>
              <w:right w:val="single" w:color="000000" w:sz="4" w:space="0"/>
            </w:tcBorders>
            <w:tcW w:w="579" w:type="dxa"/>
            <w:vAlign w:val="center"/>
            <w:textDirection w:val="lrTb"/>
            <w:noWrap w:val="false"/>
          </w:tcPr>
          <w:p>
            <w:pPr>
              <w:jc w:val="center"/>
              <w:spacing w:line="400" w:lineRule="exact"/>
              <w:widowControl/>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000000" w:sz="8" w:space="0"/>
              <w:left w:val="none" w:color="000000" w:sz="4" w:space="0"/>
              <w:bottom w:val="single" w:color="000000" w:sz="4" w:space="0"/>
              <w:right w:val="single" w:color="000000" w:sz="4" w:space="0"/>
            </w:tcBorders>
            <w:tcW w:w="851" w:type="dxa"/>
            <w:vAlign w:val="center"/>
            <w:textDirection w:val="lrTb"/>
            <w:noWrap w:val="false"/>
          </w:tcPr>
          <w:p>
            <w:pPr>
              <w:jc w:val="center"/>
              <w:spacing w:line="400" w:lineRule="exact"/>
              <w:widowControl/>
              <w:rPr>
                <w:rFonts w:ascii="宋体" w:hAnsi="宋体" w:eastAsia="宋体" w:cs="宋体"/>
                <w:b/>
                <w:bCs/>
                <w:sz w:val="21"/>
                <w:szCs w:val="21"/>
              </w:rPr>
            </w:pPr>
            <w:r>
              <w:rPr>
                <w:rFonts w:hint="eastAsia" w:ascii="宋体" w:hAnsi="宋体" w:eastAsia="宋体" w:cs="宋体"/>
                <w:b/>
                <w:bCs/>
                <w:sz w:val="21"/>
                <w:szCs w:val="21"/>
              </w:rPr>
              <w:t xml:space="preserve">项目</w:t>
            </w:r>
            <w:r/>
          </w:p>
        </w:tc>
        <w:tc>
          <w:tcPr>
            <w:tcBorders>
              <w:top w:val="single" w:color="000000" w:sz="8" w:space="0"/>
              <w:left w:val="none" w:color="000000" w:sz="4" w:space="0"/>
              <w:bottom w:val="single" w:color="000000" w:sz="4" w:space="0"/>
              <w:right w:val="single" w:color="000000" w:sz="4" w:space="0"/>
            </w:tcBorders>
            <w:tcW w:w="2408" w:type="dxa"/>
            <w:vAlign w:val="center"/>
            <w:textDirection w:val="lrTb"/>
            <w:noWrap w:val="false"/>
          </w:tcPr>
          <w:p>
            <w:pPr>
              <w:jc w:val="center"/>
              <w:spacing w:line="400" w:lineRule="exact"/>
              <w:widowControl/>
              <w:rPr>
                <w:rFonts w:ascii="宋体" w:hAnsi="宋体" w:eastAsia="宋体" w:cs="宋体"/>
                <w:b/>
                <w:bCs/>
                <w:sz w:val="21"/>
                <w:szCs w:val="21"/>
              </w:rPr>
            </w:pPr>
            <w:r>
              <w:rPr>
                <w:rFonts w:hint="eastAsia" w:ascii="宋体" w:hAnsi="宋体" w:eastAsia="宋体" w:cs="宋体"/>
                <w:b/>
                <w:bCs/>
                <w:sz w:val="21"/>
                <w:szCs w:val="21"/>
              </w:rPr>
              <w:t xml:space="preserve">工作要求</w:t>
            </w:r>
            <w:r/>
          </w:p>
        </w:tc>
        <w:tc>
          <w:tcPr>
            <w:tcBorders>
              <w:top w:val="single" w:color="000000" w:sz="8" w:space="0"/>
              <w:left w:val="none" w:color="000000" w:sz="4" w:space="0"/>
              <w:bottom w:val="single" w:color="000000" w:sz="4" w:space="0"/>
              <w:right w:val="single" w:color="000000" w:sz="4" w:space="0"/>
            </w:tcBorders>
            <w:tcW w:w="708" w:type="dxa"/>
            <w:vAlign w:val="center"/>
            <w:textDirection w:val="lrTb"/>
            <w:noWrap w:val="false"/>
          </w:tcPr>
          <w:p>
            <w:pPr>
              <w:jc w:val="center"/>
              <w:spacing w:line="400" w:lineRule="exact"/>
              <w:widowControl/>
              <w:rPr>
                <w:rFonts w:ascii="宋体" w:hAnsi="宋体" w:eastAsia="宋体" w:cs="宋体"/>
                <w:b/>
                <w:bCs/>
                <w:sz w:val="21"/>
                <w:szCs w:val="21"/>
              </w:rPr>
            </w:pPr>
            <w:r>
              <w:rPr>
                <w:rFonts w:hint="eastAsia" w:ascii="宋体" w:hAnsi="宋体" w:eastAsia="宋体" w:cs="宋体"/>
                <w:b/>
                <w:bCs/>
                <w:sz w:val="21"/>
                <w:szCs w:val="21"/>
              </w:rPr>
              <w:t xml:space="preserve">标准分</w:t>
            </w:r>
            <w:r/>
          </w:p>
        </w:tc>
        <w:tc>
          <w:tcPr>
            <w:tcBorders>
              <w:top w:val="single" w:color="000000" w:sz="8" w:space="0"/>
              <w:left w:val="none" w:color="000000" w:sz="4" w:space="0"/>
              <w:bottom w:val="single" w:color="000000" w:sz="4" w:space="0"/>
              <w:right w:val="single" w:color="000000" w:sz="4" w:space="0"/>
            </w:tcBorders>
            <w:tcW w:w="3729" w:type="dxa"/>
            <w:vAlign w:val="center"/>
            <w:textDirection w:val="lrTb"/>
            <w:noWrap w:val="false"/>
          </w:tcPr>
          <w:p>
            <w:pPr>
              <w:jc w:val="center"/>
              <w:spacing w:line="400" w:lineRule="exact"/>
              <w:widowControl/>
              <w:rPr>
                <w:rFonts w:ascii="宋体" w:hAnsi="宋体" w:eastAsia="宋体" w:cs="宋体"/>
                <w:b/>
                <w:bCs/>
                <w:sz w:val="21"/>
                <w:szCs w:val="21"/>
              </w:rPr>
            </w:pPr>
            <w:r>
              <w:rPr>
                <w:rFonts w:hint="eastAsia" w:ascii="宋体" w:hAnsi="宋体" w:eastAsia="宋体" w:cs="宋体"/>
                <w:b/>
                <w:bCs/>
                <w:sz w:val="21"/>
                <w:szCs w:val="21"/>
              </w:rPr>
              <w:t xml:space="preserve">评分细则</w:t>
            </w:r>
            <w:r/>
          </w:p>
        </w:tc>
        <w:tc>
          <w:tcPr>
            <w:tcBorders>
              <w:top w:val="single" w:color="000000" w:sz="8" w:space="0"/>
              <w:left w:val="none" w:color="000000" w:sz="4" w:space="0"/>
              <w:bottom w:val="single" w:color="000000" w:sz="4" w:space="0"/>
              <w:right w:val="single" w:color="000000" w:sz="4" w:space="0"/>
            </w:tcBorders>
            <w:tcW w:w="983" w:type="dxa"/>
            <w:vAlign w:val="center"/>
            <w:textDirection w:val="lrTb"/>
            <w:noWrap w:val="false"/>
          </w:tcPr>
          <w:p>
            <w:pPr>
              <w:jc w:val="center"/>
              <w:spacing w:line="400" w:lineRule="exact"/>
              <w:widowControl/>
              <w:rPr>
                <w:rFonts w:ascii="宋体" w:hAnsi="宋体" w:eastAsia="宋体" w:cs="宋体"/>
                <w:b/>
                <w:bCs/>
                <w:sz w:val="21"/>
                <w:szCs w:val="21"/>
              </w:rPr>
            </w:pPr>
            <w:r>
              <w:rPr>
                <w:rFonts w:hint="eastAsia" w:ascii="宋体" w:hAnsi="宋体" w:eastAsia="宋体" w:cs="宋体"/>
                <w:b/>
                <w:bCs/>
                <w:sz w:val="21"/>
                <w:szCs w:val="21"/>
              </w:rPr>
              <w:t xml:space="preserve">扣分</w:t>
            </w:r>
            <w:r/>
          </w:p>
        </w:tc>
        <w:tc>
          <w:tcPr>
            <w:tcBorders>
              <w:top w:val="single" w:color="000000" w:sz="8" w:space="0"/>
              <w:left w:val="none" w:color="000000" w:sz="4" w:space="0"/>
              <w:bottom w:val="single" w:color="000000" w:sz="4" w:space="0"/>
              <w:right w:val="single" w:color="000000" w:sz="8" w:space="0"/>
            </w:tcBorders>
            <w:tcW w:w="718" w:type="dxa"/>
            <w:vAlign w:val="center"/>
            <w:textDirection w:val="lrTb"/>
            <w:noWrap w:val="false"/>
          </w:tcPr>
          <w:p>
            <w:pPr>
              <w:jc w:val="center"/>
              <w:spacing w:line="400" w:lineRule="exact"/>
              <w:widowControl/>
              <w:rPr>
                <w:rFonts w:ascii="宋体" w:hAnsi="宋体" w:eastAsia="宋体" w:cs="宋体"/>
                <w:b/>
                <w:bCs/>
                <w:sz w:val="21"/>
                <w:szCs w:val="21"/>
              </w:rPr>
            </w:pPr>
            <w:r>
              <w:rPr>
                <w:rFonts w:hint="eastAsia" w:ascii="宋体" w:hAnsi="宋体" w:eastAsia="宋体" w:cs="宋体"/>
                <w:b/>
                <w:bCs/>
                <w:sz w:val="21"/>
                <w:szCs w:val="21"/>
              </w:rPr>
              <w:t xml:space="preserve">得分</w:t>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亮灯率</w:t>
            </w:r>
            <w:r/>
          </w:p>
        </w:tc>
        <w:tc>
          <w:tcPr>
            <w:tcBorders>
              <w:top w:val="none" w:color="000000" w:sz="4" w:space="0"/>
              <w:left w:val="none" w:color="000000" w:sz="4" w:space="0"/>
              <w:bottom w:val="single" w:color="000000" w:sz="4" w:space="0"/>
              <w:right w:val="single" w:color="000000" w:sz="4" w:space="0"/>
            </w:tcBorders>
            <w:tcW w:w="2408"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1、景观灯亮灯情况每周巡查一次，做好巡查检修台帐。</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1、无原始巡修考核台帐扣5分，晚交扣4分，周期不达标扣3分，记录不真实扣2分，填写不规范扣1分。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408"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2、均达到98%以上。</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2、每降低0.01%扣0.01分，低于96%，扣除该项全部标准分。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设施完好率</w:t>
            </w:r>
            <w:r/>
          </w:p>
        </w:tc>
        <w:tc>
          <w:tcPr>
            <w:tcBorders>
              <w:top w:val="none" w:color="000000" w:sz="4" w:space="0"/>
              <w:left w:val="none" w:color="000000" w:sz="4" w:space="0"/>
              <w:bottom w:val="single" w:color="000000" w:sz="4" w:space="0"/>
              <w:right w:val="single" w:color="000000" w:sz="4" w:space="0"/>
            </w:tcBorders>
            <w:tcW w:w="2408"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1、景观灯完好情况每月巡修一次，做好巡修考核台帐。</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1、无原始巡修考核台帐扣5分，晚交扣4分，周期不达标扣3分，记录不真实扣2分，填写不规范扣1分。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408"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2、配电室（箱、柜）、电缆管线每季巡修一次。</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2、抽查单处设施,发现一处未能正常供电、控制运行扣1分。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restart"/>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408"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3、均达到95%以上。</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3、每降低0.01%扣0.01分，低于90%，扣除该项全部标准分。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r>
      <w:tr>
        <w:trPr>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及时修复率</w:t>
            </w:r>
            <w:r/>
          </w:p>
        </w:tc>
        <w:tc>
          <w:tcPr>
            <w:tcBorders>
              <w:top w:val="none" w:color="000000" w:sz="4" w:space="0"/>
              <w:left w:val="none" w:color="000000" w:sz="4" w:space="0"/>
              <w:bottom w:val="single" w:color="000000" w:sz="4" w:space="0"/>
              <w:right w:val="single" w:color="000000" w:sz="4" w:space="0"/>
            </w:tcBorders>
            <w:tcW w:w="2408"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1、一般故障24小时内修复，复杂故障48小时内修复，重大故障72小时内修复。</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1、未在规定时间内修复分别扣1-3分，故意拖延不得分。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000000" w:sz="4" w:space="0"/>
              <w:right w:val="single" w:color="000000" w:sz="8" w:space="0"/>
            </w:tcBorders>
            <w:tcW w:w="718"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台帐资料</w:t>
            </w:r>
            <w:r/>
          </w:p>
        </w:tc>
        <w:tc>
          <w:tcPr>
            <w:tcBorders>
              <w:top w:val="none" w:color="000000" w:sz="4" w:space="0"/>
              <w:left w:val="single" w:color="000000" w:sz="4" w:space="0"/>
              <w:bottom w:val="single" w:color="000000" w:sz="4" w:space="0"/>
              <w:right w:val="single" w:color="000000" w:sz="4" w:space="0"/>
            </w:tcBorders>
            <w:tcW w:w="2408"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1、建立详实的设施基础台帐,制定维护计划和应急预案,做好照明设施(设备)维修、抢修记录。</w:t>
            </w: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1、无照明设施基础台帐扣5分，晚交扣4分，变更不及时扣3分，记录不真实扣2分，填写不规范扣1分。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4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2、无月度维护作业计划扣5分，晚交扣4分，计划不真实扣3分，未按计划作业扣2分，填写不规范扣1分。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4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3、无月度维护技术文件和安全工作台帐扣5分，晚交扣4分，记录不真实扣3分，填写不规范扣1分。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一般规定</w:t>
            </w:r>
            <w:r/>
          </w:p>
        </w:tc>
        <w:tc>
          <w:tcPr>
            <w:tcBorders>
              <w:top w:val="none" w:color="000000" w:sz="4" w:space="0"/>
              <w:left w:val="none" w:color="000000" w:sz="4" w:space="0"/>
              <w:bottom w:val="single" w:color="000000" w:sz="4" w:space="0"/>
              <w:right w:val="single" w:color="000000" w:sz="4" w:space="0"/>
            </w:tcBorders>
            <w:tcW w:w="2408"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1、遵守《苏州市市政设施管理条例》，禁止损害城市照明设施行为。</w:t>
            </w: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15</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1、未有处置扣1分，自身违规扣2-5分。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408"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2、严禁使用假冒伪劣产品。</w:t>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numPr>
                <w:ilvl w:val="0"/>
                <w:numId w:val="2"/>
              </w:num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发现一件扣0.5分，拒不返工扣5分。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408"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3、按规定启闭景观灯，禁止白天开灯巡修。</w:t>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1、如有违反扣2分。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安全生产</w:t>
            </w:r>
            <w:r/>
          </w:p>
        </w:tc>
        <w:tc>
          <w:tcPr>
            <w:tcBorders>
              <w:top w:val="none" w:color="000000" w:sz="4" w:space="0"/>
              <w:left w:val="single" w:color="000000" w:sz="4" w:space="0"/>
              <w:bottom w:val="single" w:color="000000" w:sz="4" w:space="0"/>
              <w:right w:val="single" w:color="000000" w:sz="4" w:space="0"/>
            </w:tcBorders>
            <w:tcW w:w="2408" w:type="dxa"/>
            <w:vAlign w:val="center"/>
            <w:vMerge w:val="restart"/>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1、采取必要措施确保人身和设施运行安全，无安全责任事故。</w:t>
            </w: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spacing w:line="400" w:lineRule="exact"/>
              <w:widowControl/>
              <w:rPr>
                <w:rFonts w:ascii="宋体" w:hAnsi="宋体" w:eastAsia="宋体" w:cs="宋体"/>
                <w:sz w:val="21"/>
                <w:szCs w:val="21"/>
              </w:rPr>
            </w:pPr>
            <w:r>
              <w:rPr>
                <w:rFonts w:hint="eastAsia" w:ascii="宋体" w:hAnsi="宋体" w:eastAsia="宋体" w:cs="宋体"/>
                <w:sz w:val="21"/>
                <w:szCs w:val="21"/>
              </w:rPr>
              <w:t xml:space="preserve">1、必要措施不落实扣1分，仍未整改扣3分。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4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spacing w:line="400" w:lineRule="exact"/>
              <w:widowControl/>
              <w:rPr>
                <w:rFonts w:ascii="宋体" w:hAnsi="宋体" w:eastAsia="宋体" w:cs="宋体"/>
                <w:sz w:val="21"/>
                <w:szCs w:val="21"/>
              </w:rPr>
            </w:pPr>
            <w:r>
              <w:rPr>
                <w:rFonts w:hint="eastAsia" w:ascii="宋体" w:hAnsi="宋体" w:eastAsia="宋体" w:cs="宋体"/>
                <w:sz w:val="21"/>
                <w:szCs w:val="21"/>
              </w:rPr>
              <w:t xml:space="preserve">2、发生安全责任事故扣3-5分。  </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4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3、发生重大伤亡事故或者造成其他严重后果，不得分。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7</w:t>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社会监督</w:t>
            </w:r>
            <w:r/>
          </w:p>
        </w:tc>
        <w:tc>
          <w:tcPr>
            <w:tcBorders>
              <w:top w:val="single" w:color="000000" w:sz="4" w:space="0"/>
              <w:left w:val="single" w:color="000000" w:sz="4" w:space="0"/>
              <w:bottom w:val="single" w:color="000000" w:sz="4" w:space="0"/>
              <w:right w:val="single" w:color="000000" w:sz="4" w:space="0"/>
            </w:tcBorders>
            <w:tcW w:w="2408" w:type="dxa"/>
            <w:vAlign w:val="center"/>
            <w:vMerge w:val="restart"/>
            <w:textDirection w:val="lrTb"/>
            <w:noWrap w:val="false"/>
          </w:tcPr>
          <w:p>
            <w:pPr>
              <w:numPr>
                <w:ilvl w:val="0"/>
                <w:numId w:val="3"/>
              </w:num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在规定时间内处理社会监督，服从甲方调度，配合甲方做好维护延伸工作。</w:t>
            </w:r>
            <w:r/>
          </w:p>
          <w:p>
            <w:pPr>
              <w:numPr>
                <w:ilvl w:val="0"/>
                <w:numId w:val="3"/>
              </w:numPr>
              <w:spacing w:line="400" w:lineRule="exact"/>
              <w:rPr>
                <w:rFonts w:ascii="宋体" w:hAnsi="宋体" w:eastAsia="宋体" w:cs="宋体"/>
                <w:sz w:val="21"/>
                <w:szCs w:val="21"/>
              </w:rPr>
            </w:pPr>
            <w:r>
              <w:rPr>
                <w:rFonts w:hint="eastAsia" w:ascii="宋体" w:hAnsi="宋体" w:eastAsia="宋体" w:cs="宋体"/>
                <w:sz w:val="21"/>
                <w:szCs w:val="21"/>
              </w:rPr>
              <w:t xml:space="preserve">各类公众平台的投诉处理，在规定期限内完成。</w:t>
            </w: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1、处理超时扣0.5分，导致不良后果，扣1-5分。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restart"/>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r>
      <w:tr>
        <w:trPr>
          <w:cantSplit/>
          <w:jc w:val="center"/>
          <w:trHeight w:val="340"/>
        </w:trPr>
        <w:tc>
          <w:tcPr>
            <w:tcBorders>
              <w:top w:val="none" w:color="000000" w:sz="4" w:space="0"/>
              <w:left w:val="single" w:color="000000" w:sz="8" w:space="0"/>
              <w:bottom w:val="single" w:color="000000" w:sz="4" w:space="0"/>
              <w:right w:val="single" w:color="000000" w:sz="4" w:space="0"/>
            </w:tcBorders>
            <w:tcW w:w="579"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4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2、每投诉一次扣0.5分，</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left"/>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000000" w:sz="4" w:space="0"/>
              <w:bottom w:val="single" w:color="000000" w:sz="4" w:space="0"/>
              <w:right w:val="single" w:color="000000" w:sz="8" w:space="0"/>
            </w:tcBorders>
            <w:tcW w:w="718" w:type="dxa"/>
            <w:vAlign w:val="center"/>
            <w:vMerge w:val="continue"/>
            <w:textDirection w:val="lrTb"/>
            <w:noWrap w:val="false"/>
          </w:tcPr>
          <w:p>
            <w:pPr>
              <w:jc w:val="left"/>
              <w:spacing w:line="400" w:lineRule="exact"/>
              <w:widowControl/>
              <w:rPr>
                <w:rFonts w:ascii="宋体" w:hAnsi="宋体" w:eastAsia="宋体" w:cs="宋体"/>
                <w:sz w:val="21"/>
                <w:szCs w:val="21"/>
              </w:rPr>
            </w:pPr>
            <w:r>
              <w:rPr>
                <w:rFonts w:ascii="宋体" w:hAnsi="宋体" w:eastAsia="宋体" w:cs="宋体"/>
                <w:sz w:val="21"/>
                <w:szCs w:val="21"/>
              </w:rPr>
            </w:r>
            <w:r/>
          </w:p>
        </w:tc>
      </w:tr>
      <w:tr>
        <w:trPr>
          <w:jc w:val="center"/>
          <w:trHeight w:val="340"/>
        </w:trPr>
        <w:tc>
          <w:tcPr>
            <w:gridSpan w:val="3"/>
            <w:tcBorders>
              <w:top w:val="single" w:color="000000" w:sz="4" w:space="0"/>
              <w:left w:val="single" w:color="000000" w:sz="8" w:space="0"/>
              <w:bottom w:val="single" w:color="000000" w:sz="4" w:space="0"/>
              <w:right w:val="single" w:color="000000" w:sz="4" w:space="0"/>
            </w:tcBorders>
            <w:tcW w:w="3838" w:type="dxa"/>
            <w:vAlign w:val="center"/>
            <w:textDirection w:val="lrTb"/>
            <w:noWrap w:val="false"/>
          </w:tcPr>
          <w:p>
            <w:pPr>
              <w:jc w:val="center"/>
              <w:spacing w:line="400" w:lineRule="exact"/>
              <w:widowControl/>
              <w:rPr>
                <w:rFonts w:ascii="宋体" w:hAnsi="宋体" w:eastAsia="宋体" w:cs="宋体"/>
                <w:b/>
                <w:bCs/>
                <w:sz w:val="21"/>
                <w:szCs w:val="21"/>
              </w:rPr>
            </w:pPr>
            <w:r>
              <w:rPr>
                <w:rFonts w:hint="eastAsia" w:ascii="宋体" w:hAnsi="宋体" w:eastAsia="宋体" w:cs="宋体"/>
                <w:b/>
                <w:bCs/>
                <w:sz w:val="21"/>
                <w:szCs w:val="21"/>
              </w:rPr>
              <w:t xml:space="preserve">总    分</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100</w:t>
            </w:r>
            <w:r/>
          </w:p>
        </w:tc>
        <w:tc>
          <w:tcPr>
            <w:tcBorders>
              <w:top w:val="none" w:color="000000" w:sz="4" w:space="0"/>
              <w:left w:val="none" w:color="000000" w:sz="4" w:space="0"/>
              <w:bottom w:val="single" w:color="000000" w:sz="4" w:space="0"/>
              <w:right w:val="single" w:color="000000" w:sz="4" w:space="0"/>
            </w:tcBorders>
            <w:tcW w:w="3729"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none" w:color="000000" w:sz="4" w:space="0"/>
              <w:bottom w:val="single" w:color="000000" w:sz="4" w:space="0"/>
              <w:right w:val="single" w:color="000000" w:sz="8" w:space="0"/>
            </w:tcBorders>
            <w:tcW w:w="718" w:type="dxa"/>
            <w:vAlign w:val="center"/>
            <w:textDirection w:val="lrTb"/>
            <w:noWrap w:val="false"/>
          </w:tcPr>
          <w:p>
            <w:pPr>
              <w:jc w:val="center"/>
              <w:spacing w:line="400" w:lineRule="exact"/>
              <w:widowControl/>
              <w:rPr>
                <w:rFonts w:ascii="宋体" w:hAnsi="宋体" w:eastAsia="宋体" w:cs="宋体"/>
                <w:sz w:val="21"/>
                <w:szCs w:val="21"/>
              </w:rPr>
            </w:pPr>
            <w:r>
              <w:rPr>
                <w:rFonts w:hint="eastAsia" w:ascii="宋体" w:hAnsi="宋体" w:eastAsia="宋体" w:cs="宋体"/>
                <w:sz w:val="21"/>
                <w:szCs w:val="21"/>
              </w:rPr>
              <w:t xml:space="preserve">　</w:t>
            </w:r>
            <w:r/>
          </w:p>
        </w:tc>
      </w:tr>
      <w:tr>
        <w:trPr>
          <w:jc w:val="center"/>
          <w:trHeight w:val="340"/>
        </w:trPr>
        <w:tc>
          <w:tcPr>
            <w:gridSpan w:val="7"/>
            <w:tcBorders>
              <w:top w:val="single" w:color="000000" w:sz="4" w:space="0"/>
              <w:left w:val="single" w:color="000000" w:sz="8" w:space="0"/>
              <w:bottom w:val="single" w:color="000000" w:sz="8" w:space="0"/>
              <w:right w:val="single" w:color="000000" w:sz="8" w:space="0"/>
            </w:tcBorders>
            <w:tcW w:w="9976" w:type="dxa"/>
            <w:vAlign w:val="bottom"/>
            <w:textDirection w:val="lrTb"/>
            <w:noWrap w:val="false"/>
          </w:tcPr>
          <w:p>
            <w:pPr>
              <w:jc w:val="left"/>
              <w:spacing w:line="400" w:lineRule="exact"/>
              <w:widowControl/>
              <w:rPr>
                <w:rFonts w:ascii="宋体" w:hAnsi="宋体" w:eastAsia="宋体" w:cs="宋体"/>
                <w:b/>
                <w:bCs/>
                <w:sz w:val="21"/>
                <w:szCs w:val="21"/>
              </w:rPr>
            </w:pPr>
            <w:r>
              <w:rPr>
                <w:rFonts w:hint="eastAsia" w:ascii="宋体" w:hAnsi="宋体" w:eastAsia="宋体" w:cs="宋体"/>
                <w:b/>
                <w:bCs/>
                <w:sz w:val="21"/>
                <w:szCs w:val="21"/>
              </w:rPr>
              <w:t xml:space="preserve">检查人员签名（盖章）：                        检查日期：      年    月    日                   </w:t>
            </w:r>
            <w:r/>
          </w:p>
        </w:tc>
      </w:tr>
    </w:tbl>
    <w:p>
      <w:pPr>
        <w:pStyle w:val="763"/>
        <w:ind w:firstLine="0"/>
      </w:pPr>
      <w:r/>
      <w:r/>
    </w:p>
    <w:p>
      <w:pPr>
        <w:rPr>
          <w:rFonts w:ascii="仿宋_GB2312" w:hAnsi="宋体"/>
          <w:b/>
          <w:sz w:val="21"/>
          <w:szCs w:val="21"/>
        </w:rPr>
      </w:pPr>
      <w:r>
        <w:rPr>
          <w:rFonts w:ascii="仿宋_GB2312" w:hAnsi="宋体"/>
          <w:b/>
          <w:sz w:val="21"/>
          <w:szCs w:val="21"/>
        </w:rPr>
      </w:r>
      <w:r/>
    </w:p>
    <w:p>
      <w:pPr>
        <w:rPr>
          <w:rFonts w:ascii="仿宋_GB2312" w:hAnsi="宋体"/>
          <w:b/>
          <w:sz w:val="21"/>
          <w:szCs w:val="21"/>
        </w:rPr>
      </w:pPr>
      <w:r>
        <w:rPr>
          <w:rFonts w:ascii="仿宋_GB2312" w:hAnsi="宋体"/>
          <w:b/>
          <w:sz w:val="21"/>
          <w:szCs w:val="21"/>
        </w:rPr>
      </w:r>
      <w:r/>
    </w:p>
    <w:p>
      <w:pPr>
        <w:rPr>
          <w:rFonts w:ascii="仿宋_GB2312" w:hAnsi="宋体"/>
          <w:b/>
          <w:sz w:val="21"/>
          <w:szCs w:val="21"/>
        </w:rPr>
      </w:pPr>
      <w:r>
        <w:rPr>
          <w:rFonts w:ascii="仿宋_GB2312" w:hAnsi="宋体"/>
          <w:b/>
          <w:sz w:val="21"/>
          <w:szCs w:val="21"/>
        </w:rPr>
      </w:r>
      <w:r/>
    </w:p>
    <w:p>
      <w:r>
        <w:rPr>
          <w:rFonts w:hint="eastAsia" w:ascii="仿宋_GB2312" w:hAnsi="宋体"/>
          <w:b/>
          <w:sz w:val="21"/>
          <w:szCs w:val="21"/>
        </w:rPr>
        <w:br w:type="page" w:clear="all"/>
      </w:r>
      <w:r/>
    </w:p>
    <w:p>
      <w:pPr>
        <w:pStyle w:val="741"/>
        <w:ind w:left="0" w:firstLine="640"/>
        <w:jc w:val="center"/>
        <w:rPr>
          <w:rFonts w:ascii="宋体" w:hAnsi="宋体" w:eastAsia="宋体" w:cs="宋体"/>
          <w:b/>
          <w:bCs/>
          <w:sz w:val="32"/>
          <w:szCs w:val="32"/>
        </w:rPr>
      </w:pPr>
      <w:r>
        <w:rPr>
          <w:rFonts w:hint="eastAsia" w:ascii="宋体" w:hAnsi="宋体" w:eastAsia="宋体" w:cs="宋体"/>
          <w:b/>
          <w:bCs/>
          <w:sz w:val="32"/>
          <w:szCs w:val="32"/>
        </w:rPr>
        <w:t xml:space="preserve">第六章评审办法</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一、评审办法：</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1、本次评审采用为综合评分法，即指响应文件满足采购文件全部实质性要求，且按照评审因素的量化指标评审得分最高的供应商为成交候选供应商或者成交供应商的评标方法。</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2、磋商小组各成员审查每份响应文件是否实质响应了采购文件的要求，非实质性响应的响应文件将被拒绝，也不进行评审。</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3、磋商小组各成员独立对每个进入打分程序的响应文件以打分的形式进行评审和评价。对评委的评分进行统计汇总时算术平均计算得分（计算结果均四舍五入保留两位小数）。</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4、如出现评审总得分最高的供应商有两个或两个以上的，以响应报价较低者优先作为成交候选供应商或者成交供应商的评审方法，如果响应报价也相同的，则由评审委员会组织以抽签方式确定。</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5、针对中小型企业、残疾人福利企业和监狱企业的评审：</w:t>
      </w:r>
      <w:r/>
    </w:p>
    <w:p>
      <w:pPr>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本项目为专门面向中小企业采购的项目，故不执行价格评审优惠的扶持政策。</w:t>
      </w:r>
      <w:r/>
    </w:p>
    <w:p>
      <w:pPr>
        <w:ind w:firstLine="420"/>
        <w:spacing w:line="360" w:lineRule="auto"/>
        <w:rPr>
          <w:rFonts w:ascii="宋体" w:hAnsi="宋体" w:eastAsia="宋体" w:cs="宋体"/>
          <w:b/>
          <w:sz w:val="21"/>
          <w:szCs w:val="21"/>
        </w:rPr>
      </w:pPr>
      <w:r>
        <w:rPr>
          <w:rFonts w:hint="eastAsia" w:ascii="宋体" w:hAnsi="宋体" w:eastAsia="宋体" w:cs="宋体"/>
          <w:b/>
          <w:sz w:val="21"/>
          <w:szCs w:val="21"/>
        </w:rPr>
        <w:t xml:space="preserve">二、评分标准：</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（一）价格(15分)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第一步：响应总报价低于或等于财政预算金额或者最高限价的，为有效响应报价。超财政预算金额或者最高限价的响应报价为无效响应报价。</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磋商报价得分＝（磋商基准价/最终磋商报价）×价格权值×100（价格权值为15%）</w:t>
      </w:r>
      <w:r/>
    </w:p>
    <w:p>
      <w:pPr>
        <w:ind w:firstLine="422"/>
        <w:spacing w:line="360" w:lineRule="auto"/>
        <w:rPr>
          <w:rFonts w:ascii="宋体" w:hAnsi="宋体" w:eastAsia="宋体" w:cs="宋体"/>
          <w:b/>
          <w:bCs/>
          <w:sz w:val="21"/>
          <w:szCs w:val="21"/>
          <w:highlight w:val="none"/>
          <w:lang w:eastAsia="en-US"/>
        </w:rPr>
      </w:pPr>
      <w:r>
        <w:rPr>
          <w:rFonts w:hint="eastAsia" w:ascii="宋体" w:hAnsi="宋体" w:eastAsia="宋体" w:cs="宋体"/>
          <w:b/>
          <w:bCs/>
          <w:sz w:val="21"/>
          <w:szCs w:val="21"/>
          <w:highlight w:val="none"/>
          <w:lang w:eastAsia="en-US"/>
        </w:rPr>
        <w:t xml:space="preserve">（二）</w:t>
      </w:r>
      <w:r>
        <w:rPr>
          <w:rFonts w:hint="eastAsia" w:ascii="宋体" w:hAnsi="宋体" w:eastAsia="宋体" w:cs="宋体"/>
          <w:b/>
          <w:bCs/>
          <w:sz w:val="21"/>
          <w:szCs w:val="21"/>
          <w:highlight w:val="none"/>
        </w:rPr>
        <w:t xml:space="preserve">养护服务实施方案（59分）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1、景观灯维护服务方案（</w:t>
      </w: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主要是指景观灯维护服务提供相关的维护保养方案，包括日常巡查与维护内容、运行情况记录、日常卫生保洁、设施维修、设施定期检测等工作方案，以及维护检查计划与内容比较：上述内容阐述完整、详实具体、切实可行、合理全面的得8分；上述内容阐述较为完整、较为详细，能满足项目实施需要的得6分；上述内容阐述的完整性合理全面性可实施性一般的得4分；上述内容阐述内容不够完整、合理性和可实施性较差的得2分，未提供的不得分。最高为8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2、人为损坏恢复方案（</w:t>
      </w: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对管理范围内的景观灯设施的人为损坏、失窃等的处置以及发生后采取的措施，根据损坏的种类及危害性，分别提供相应的处置方案。上述内容阐述完整、详实具体、切实可行的得8分；上述内容阐述较完整、较为详实具体、切实可行性尚可的得6分；上述内容阐述内容完整性合理性可实施性一般的得4分；上述内容阐述内容不够完整、合理性和可实施性较差的得2分；未提供的不得分。最高为8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3、安全管理方案及安全责任承诺（</w:t>
      </w: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主要包括正常营运及养护作业时和发生事故时的交通组织和安全防护措施，以及具体的安全责任承诺书，上述内容阐述完整、详实具体、切实可行的得8分；上述内容阐述较为完整、较为详细，切实可行性尚可的得6分；上述内容阐述内容完整性合理性可实施性一般的得4分；上述内容阐述内容不够完整、合理性和可实施性较差的得2分，未提供的不得分。最高为8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4、维护管理工作标准及针对本项目的内部管理制度（7分）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主要包括企业</w:t>
      </w:r>
      <w:r>
        <w:rPr>
          <w:rFonts w:hint="eastAsia" w:ascii="宋体" w:hAnsi="宋体" w:eastAsia="宋体" w:cs="宋体"/>
          <w:sz w:val="21"/>
          <w:szCs w:val="21"/>
        </w:rPr>
        <w:t xml:space="preserve">针对本项目的维护管理工作标准（岗位责任、管理运作制度及标准、管理人员考核制度及标准、日常考核表单等）以及针对本项目的内部各项制度（接管移交管理制度、安全生产管理制度、工具管理制度、员工管理制度、档案管理制度、财务管理制度、备件管理制度、考核奖惩管理制度等）的完善性和可操作性，上述内容阐述完整、详实具体、切实可行的得7分；上述内容阐述较为完整、较为具体，切实可行性尚可的得5分；上述内容阐述内容完整性合理性可实施性一般的得3分；上述内容阐述内容不够完整、合理性和可实施性较差的得1分；未提供的不得分。最高为7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5、响应单位针对本项目现状的调查分析和了解（7分）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对本项目现状的调查分析和了解，提出切实可行的重难点分析及解决方案，调查了解分析透彻、重难点分析及解决方案详细的得7分；调查了解分析较透彻、重难点分析及解决方案较详细的得5分；上述方案情况一般的得3分；较差的1分；未提供的不得分。最高为7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6、应急抢险处理预案（</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根据响应单位针对本项目的应急抢险处理预案以及临时突发状况抢修方案的完善性和可操作性，上述内容阐述完整、详实具体、切实可行的得7分；上述内容阐述较为完整、较为具体，切实可行性尚可的得5分；上述内容阐述内容完整性合理性可实施性一般的得3分；上述内容阐述内容不够完整、可行性较差的得1分；未提供的不得分。最高为7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7、工作人员工作安排及本项目服务期间与其它相关单位、部门的综合协调方案（</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包括夜间和节假日管理人员的合理调配、换岗，组织管理体系科学，能够有效实施管理工作；实施维修作业期间与物业、居民及其它相关单位、部门综合协调处理方案，上述阐述完整、合理、可实施性强的得7分；上述阐述较完整、较合理、可实施性较强的得5分；阐述完整性欠缺可实施性一般的得3分；上述内容阐述内容不够完整、合理性和可实施性较差的得1分；未提供的不得分。最高为7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8、响应服务的保障方案（</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服务响应保障方案内容齐全、服务驻点可响应性强的得7分；服务响应保障方案内容基本齐全、服务驻点有一定距离</w:t>
      </w:r>
      <w:r>
        <w:rPr>
          <w:rFonts w:ascii="宋体" w:hAnsi="宋体" w:eastAsia="宋体" w:cs="宋体"/>
          <w:sz w:val="21"/>
          <w:szCs w:val="21"/>
        </w:rPr>
        <w:t xml:space="preserve">，</w:t>
      </w:r>
      <w:r>
        <w:rPr>
          <w:rFonts w:hint="eastAsia" w:ascii="宋体" w:hAnsi="宋体" w:eastAsia="宋体" w:cs="宋体"/>
          <w:sz w:val="21"/>
          <w:szCs w:val="21"/>
        </w:rPr>
        <w:t xml:space="preserve">可实施性响应</w:t>
      </w:r>
      <w:r>
        <w:rPr>
          <w:rFonts w:ascii="宋体" w:hAnsi="宋体" w:eastAsia="宋体" w:cs="宋体"/>
          <w:sz w:val="21"/>
          <w:szCs w:val="21"/>
        </w:rPr>
        <w:t xml:space="preserve">较强的</w:t>
      </w:r>
      <w:r>
        <w:rPr>
          <w:rFonts w:hint="eastAsia" w:ascii="宋体" w:hAnsi="宋体" w:eastAsia="宋体" w:cs="宋体"/>
          <w:sz w:val="21"/>
          <w:szCs w:val="21"/>
        </w:rPr>
        <w:t xml:space="preserve">得5分；服务响应保障措施、</w:t>
      </w:r>
      <w:r>
        <w:rPr>
          <w:rFonts w:ascii="宋体" w:hAnsi="宋体" w:eastAsia="宋体" w:cs="宋体"/>
          <w:sz w:val="21"/>
          <w:szCs w:val="21"/>
        </w:rPr>
        <w:t xml:space="preserve">时间</w:t>
      </w:r>
      <w:r>
        <w:rPr>
          <w:rFonts w:hint="eastAsia" w:ascii="宋体" w:hAnsi="宋体" w:eastAsia="宋体" w:cs="宋体"/>
          <w:sz w:val="21"/>
          <w:szCs w:val="21"/>
        </w:rPr>
        <w:t xml:space="preserve">待完善，可实施性一般</w:t>
      </w:r>
      <w:r>
        <w:rPr>
          <w:rFonts w:ascii="宋体" w:hAnsi="宋体" w:eastAsia="宋体" w:cs="宋体"/>
          <w:sz w:val="21"/>
          <w:szCs w:val="21"/>
        </w:rPr>
        <w:t xml:space="preserve">的</w:t>
      </w:r>
      <w:r>
        <w:rPr>
          <w:rFonts w:hint="eastAsia" w:ascii="宋体" w:hAnsi="宋体" w:eastAsia="宋体" w:cs="宋体"/>
          <w:sz w:val="21"/>
          <w:szCs w:val="21"/>
        </w:rPr>
        <w:t xml:space="preserve">得3分；服务承诺及交通保障方案内容不齐全、组织措施遗漏，方案缺漏，可行性差的得1分</w:t>
      </w:r>
      <w:r>
        <w:rPr>
          <w:rFonts w:ascii="宋体" w:hAnsi="宋体" w:eastAsia="宋体" w:cs="宋体"/>
          <w:sz w:val="21"/>
          <w:szCs w:val="21"/>
        </w:rPr>
        <w:t xml:space="preserve">，未提供</w:t>
      </w:r>
      <w:r>
        <w:rPr>
          <w:rFonts w:hint="eastAsia" w:ascii="宋体" w:hAnsi="宋体" w:eastAsia="宋体" w:cs="宋体"/>
          <w:sz w:val="21"/>
          <w:szCs w:val="21"/>
        </w:rPr>
        <w:t xml:space="preserve">不得分。最高7分</w:t>
      </w:r>
      <w:r>
        <w:rPr>
          <w:rFonts w:ascii="宋体" w:hAnsi="宋体" w:eastAsia="宋体" w:cs="宋体"/>
          <w:sz w:val="21"/>
          <w:szCs w:val="21"/>
        </w:rPr>
        <w:t xml:space="preserve">。</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（三）投入本项目</w:t>
      </w:r>
      <w:r>
        <w:rPr>
          <w:rFonts w:ascii="宋体" w:hAnsi="宋体" w:eastAsia="宋体" w:cs="宋体"/>
          <w:b/>
          <w:bCs/>
          <w:sz w:val="21"/>
          <w:szCs w:val="21"/>
        </w:rPr>
        <w:t xml:space="preserve">设备、作业车辆</w:t>
      </w:r>
      <w:r>
        <w:rPr>
          <w:rFonts w:hint="eastAsia" w:ascii="宋体" w:hAnsi="宋体" w:eastAsia="宋体" w:cs="宋体"/>
          <w:b/>
          <w:bCs/>
          <w:sz w:val="21"/>
          <w:szCs w:val="21"/>
        </w:rPr>
        <w:t xml:space="preserve">等</w:t>
      </w:r>
      <w:r>
        <w:rPr>
          <w:rFonts w:ascii="宋体" w:hAnsi="宋体" w:eastAsia="宋体" w:cs="宋体"/>
          <w:b/>
          <w:bCs/>
          <w:sz w:val="21"/>
          <w:szCs w:val="21"/>
        </w:rPr>
        <w:t xml:space="preserve">比较</w:t>
      </w:r>
      <w:r>
        <w:rPr>
          <w:rFonts w:hint="eastAsia" w:ascii="宋体" w:hAnsi="宋体" w:eastAsia="宋体" w:cs="宋体"/>
          <w:b/>
          <w:bCs/>
          <w:sz w:val="21"/>
          <w:szCs w:val="21"/>
        </w:rPr>
        <w:t xml:space="preserve">（14分）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1、投入本项目专用工具设备（</w:t>
      </w:r>
      <w:r>
        <w:rPr>
          <w:rFonts w:ascii="宋体" w:hAnsi="宋体" w:eastAsia="宋体" w:cs="宋体"/>
          <w:sz w:val="21"/>
          <w:szCs w:val="21"/>
        </w:rPr>
        <w:t xml:space="preserve">6</w:t>
      </w:r>
      <w:r>
        <w:rPr>
          <w:rFonts w:hint="eastAsia" w:ascii="宋体" w:hAnsi="宋体" w:eastAsia="宋体" w:cs="宋体"/>
          <w:sz w:val="21"/>
          <w:szCs w:val="21"/>
        </w:rPr>
        <w:t xml:space="preserve">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割磨机、摇表、发电机、接地电阻表、电缆故障检测仪、照度仪等工具。每提供以上一种得</w:t>
      </w:r>
      <w:r>
        <w:rPr>
          <w:rFonts w:ascii="宋体" w:hAnsi="宋体" w:eastAsia="宋体" w:cs="宋体"/>
          <w:sz w:val="21"/>
          <w:szCs w:val="21"/>
        </w:rPr>
        <w:t xml:space="preserve">1</w:t>
      </w:r>
      <w:r>
        <w:rPr>
          <w:rFonts w:hint="eastAsia" w:ascii="宋体" w:hAnsi="宋体" w:eastAsia="宋体" w:cs="宋体"/>
          <w:sz w:val="21"/>
          <w:szCs w:val="21"/>
        </w:rPr>
        <w:t xml:space="preserve">分，最高得</w:t>
      </w:r>
      <w:r>
        <w:rPr>
          <w:rFonts w:ascii="宋体" w:hAnsi="宋体" w:eastAsia="宋体" w:cs="宋体"/>
          <w:sz w:val="21"/>
          <w:szCs w:val="21"/>
        </w:rPr>
        <w:t xml:space="preserve">6</w:t>
      </w:r>
      <w:r>
        <w:rPr>
          <w:rFonts w:hint="eastAsia" w:ascii="宋体" w:hAnsi="宋体" w:eastAsia="宋体" w:cs="宋体"/>
          <w:sz w:val="21"/>
          <w:szCs w:val="21"/>
        </w:rPr>
        <w:t xml:space="preserve">分。注：投标文件中提供设备清单及发票扫描件。</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2、投入本项目专用车辆等情况（</w:t>
      </w: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分）</w:t>
      </w:r>
      <w:r/>
    </w:p>
    <w:p>
      <w:pPr>
        <w:ind w:firstLine="420"/>
        <w:spacing w:line="360" w:lineRule="auto"/>
        <w:rPr>
          <w:rFonts w:ascii="宋体" w:hAnsi="宋体" w:eastAsia="宋体" w:cs="宋体"/>
          <w:sz w:val="21"/>
          <w:szCs w:val="21"/>
          <w:lang w:val="zh-CN"/>
        </w:rPr>
      </w:pPr>
      <w:r>
        <w:rPr>
          <w:rFonts w:ascii="宋体" w:hAnsi="宋体" w:eastAsia="宋体" w:cs="宋体"/>
          <w:sz w:val="21"/>
          <w:szCs w:val="21"/>
          <w:lang w:val="zh-CN"/>
        </w:rPr>
        <w:t xml:space="preserve">满足本项目</w:t>
      </w:r>
      <w:r>
        <w:rPr>
          <w:rFonts w:hint="eastAsia" w:ascii="宋体" w:hAnsi="宋体" w:eastAsia="宋体" w:cs="宋体"/>
          <w:sz w:val="21"/>
          <w:szCs w:val="21"/>
          <w:lang w:val="zh-CN"/>
        </w:rPr>
        <w:t xml:space="preserve">采购</w:t>
      </w:r>
      <w:r>
        <w:rPr>
          <w:rFonts w:ascii="宋体" w:hAnsi="宋体" w:eastAsia="宋体" w:cs="宋体"/>
          <w:sz w:val="21"/>
          <w:szCs w:val="21"/>
          <w:lang w:val="zh-CN"/>
        </w:rPr>
        <w:t xml:space="preserve">需求规定的拥有车辆</w:t>
      </w:r>
      <w:r>
        <w:rPr>
          <w:rFonts w:hint="eastAsia" w:ascii="宋体" w:hAnsi="宋体" w:eastAsia="宋体" w:cs="宋体"/>
          <w:sz w:val="21"/>
          <w:szCs w:val="21"/>
          <w:lang w:val="zh-CN"/>
        </w:rPr>
        <w:t xml:space="preserve">基础上，每增加21米（含）至25米（含）登高作业车1辆得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分，最高得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分；每增加26米（含）至30米（含）登高作业车1辆得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分，最高得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w:t>
      </w:r>
      <w:r>
        <w:rPr>
          <w:rFonts w:hint="eastAsia" w:ascii="宋体" w:hAnsi="宋体" w:eastAsia="宋体" w:cs="宋体"/>
          <w:sz w:val="21"/>
          <w:szCs w:val="21"/>
        </w:rPr>
        <w:t xml:space="preserve">每增加一辆重型100K防撞缓冲车（车辆总质量≥12000kg）得2分</w:t>
      </w:r>
      <w:r>
        <w:rPr>
          <w:rFonts w:hint="eastAsia" w:ascii="宋体" w:hAnsi="宋体" w:eastAsia="宋体" w:cs="宋体"/>
          <w:sz w:val="21"/>
          <w:szCs w:val="21"/>
          <w:lang w:val="zh-CN"/>
        </w:rPr>
        <w:t xml:space="preserve">，最高得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分；增加</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座（含）以上巡视车1辆得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分，最高得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注：1）以上所提供交通工具为自有</w:t>
      </w:r>
      <w:r>
        <w:rPr>
          <w:rFonts w:ascii="宋体" w:hAnsi="宋体" w:eastAsia="宋体" w:cs="宋体"/>
          <w:sz w:val="21"/>
          <w:szCs w:val="21"/>
        </w:rPr>
        <w:t xml:space="preserve">的</w:t>
      </w:r>
      <w:r>
        <w:rPr>
          <w:rFonts w:hint="eastAsia" w:ascii="宋体" w:hAnsi="宋体" w:eastAsia="宋体" w:cs="宋体"/>
          <w:sz w:val="21"/>
          <w:szCs w:val="21"/>
        </w:rPr>
        <w:t xml:space="preserve">，须提供车辆产权证、车辆</w:t>
      </w:r>
      <w:r>
        <w:rPr>
          <w:rFonts w:ascii="宋体" w:hAnsi="宋体" w:eastAsia="宋体" w:cs="宋体"/>
          <w:sz w:val="21"/>
          <w:szCs w:val="21"/>
        </w:rPr>
        <w:t xml:space="preserve">行驶证</w:t>
      </w:r>
      <w:r>
        <w:rPr>
          <w:rFonts w:hint="eastAsia" w:ascii="宋体" w:hAnsi="宋体" w:eastAsia="宋体" w:cs="宋体"/>
          <w:sz w:val="21"/>
          <w:szCs w:val="21"/>
        </w:rPr>
        <w:t xml:space="preserve">所有权登记证扫描件；未提供</w:t>
      </w:r>
      <w:r>
        <w:rPr>
          <w:rFonts w:ascii="宋体" w:hAnsi="宋体" w:eastAsia="宋体" w:cs="宋体"/>
          <w:sz w:val="21"/>
          <w:szCs w:val="21"/>
        </w:rPr>
        <w:t xml:space="preserve">或提供不全不得分</w:t>
      </w:r>
      <w:r>
        <w:rPr>
          <w:rFonts w:hint="eastAsia" w:ascii="宋体" w:hAnsi="宋体" w:eastAsia="宋体" w:cs="宋体"/>
          <w:sz w:val="21"/>
          <w:szCs w:val="21"/>
        </w:rPr>
        <w:t xml:space="preserve">；</w:t>
      </w:r>
      <w:r/>
    </w:p>
    <w:p>
      <w:pPr>
        <w:numPr>
          <w:ilvl w:val="0"/>
          <w:numId w:val="4"/>
        </w:num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以上所提供交通工具为租赁的，须提供租赁合同（车）、车辆行驶证（车）、发票扫描件（车</w:t>
      </w:r>
      <w:r>
        <w:rPr>
          <w:rFonts w:ascii="宋体" w:hAnsi="宋体" w:eastAsia="宋体" w:cs="宋体"/>
          <w:sz w:val="21"/>
          <w:szCs w:val="21"/>
        </w:rPr>
        <w:t xml:space="preserve">、船</w:t>
      </w:r>
      <w:r>
        <w:rPr>
          <w:rFonts w:hint="eastAsia" w:ascii="宋体" w:hAnsi="宋体" w:eastAsia="宋体" w:cs="宋体"/>
          <w:sz w:val="21"/>
          <w:szCs w:val="21"/>
        </w:rPr>
        <w:t xml:space="preserve">）；未提供</w:t>
      </w:r>
      <w:r>
        <w:rPr>
          <w:rFonts w:ascii="宋体" w:hAnsi="宋体" w:eastAsia="宋体" w:cs="宋体"/>
          <w:sz w:val="21"/>
          <w:szCs w:val="21"/>
        </w:rPr>
        <w:t xml:space="preserve">或提供不全不得分</w:t>
      </w:r>
      <w:r>
        <w:rPr>
          <w:rFonts w:hint="eastAsia" w:ascii="宋体" w:hAnsi="宋体" w:eastAsia="宋体" w:cs="宋体"/>
          <w:sz w:val="21"/>
          <w:szCs w:val="21"/>
        </w:rPr>
        <w:t xml:space="preserve">；</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满足本项目</w:t>
      </w:r>
      <w:r>
        <w:rPr>
          <w:rFonts w:hint="eastAsia" w:ascii="宋体" w:hAnsi="宋体" w:eastAsia="宋体" w:cs="宋体"/>
          <w:sz w:val="21"/>
          <w:szCs w:val="21"/>
        </w:rPr>
        <w:t xml:space="preserve">采购</w:t>
      </w:r>
      <w:r>
        <w:rPr>
          <w:rFonts w:ascii="宋体" w:hAnsi="宋体" w:eastAsia="宋体" w:cs="宋体"/>
          <w:sz w:val="21"/>
          <w:szCs w:val="21"/>
        </w:rPr>
        <w:t xml:space="preserve">需求规定的拥有车辆</w:t>
      </w:r>
      <w:r>
        <w:rPr>
          <w:rFonts w:hint="eastAsia" w:ascii="宋体" w:hAnsi="宋体" w:eastAsia="宋体" w:cs="宋体"/>
          <w:sz w:val="21"/>
          <w:szCs w:val="21"/>
        </w:rPr>
        <w:t xml:space="preserve">基础上增加部分的</w:t>
      </w:r>
      <w:r>
        <w:rPr>
          <w:rFonts w:hint="eastAsia" w:ascii="宋体" w:hAnsi="宋体" w:eastAsia="宋体" w:cs="宋体"/>
          <w:sz w:val="21"/>
          <w:szCs w:val="21"/>
          <w:lang w:val="zh-CN"/>
        </w:rPr>
        <w:t xml:space="preserve">车辆</w:t>
      </w:r>
      <w:r>
        <w:rPr>
          <w:rFonts w:hint="eastAsia" w:ascii="宋体" w:hAnsi="宋体" w:eastAsia="宋体" w:cs="宋体"/>
          <w:sz w:val="21"/>
          <w:szCs w:val="21"/>
        </w:rPr>
        <w:t xml:space="preserve">承诺中标后提供自有或租赁车辆的，须在投标文件中附相关承诺函原件扫描件（格式自拟，明确车辆数量、规格、权属或租赁关系等核心内容）。</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4）登高作业车提供的作业高度证明，若为网上查询页面，需提供查询网址；</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（四）企业综合能力（12分）</w:t>
      </w:r>
      <w:r/>
    </w:p>
    <w:p>
      <w:pPr>
        <w:ind w:firstLine="420"/>
        <w:spacing w:line="360" w:lineRule="auto"/>
        <w:rPr>
          <w:rFonts w:ascii="宋体" w:hAnsi="宋体" w:eastAsia="宋体" w:cs="宋体"/>
          <w:sz w:val="21"/>
          <w:szCs w:val="21"/>
          <w:highlight w:val="yellow"/>
        </w:rPr>
      </w:pPr>
      <w:r>
        <w:rPr>
          <w:rFonts w:hint="eastAsia" w:ascii="宋体" w:hAnsi="宋体" w:eastAsia="宋体" w:cs="宋体"/>
          <w:sz w:val="21"/>
          <w:szCs w:val="21"/>
        </w:rPr>
        <w:t xml:space="preserve">1、投标人具有供电部门颁发的承装（修</w:t>
      </w:r>
      <w:r>
        <w:rPr>
          <w:rFonts w:ascii="宋体" w:hAnsi="宋体" w:eastAsia="宋体" w:cs="宋体"/>
          <w:sz w:val="21"/>
          <w:szCs w:val="21"/>
        </w:rPr>
        <w:t xml:space="preserve">、试</w:t>
      </w:r>
      <w:r>
        <w:rPr>
          <w:rFonts w:hint="eastAsia" w:ascii="宋体" w:hAnsi="宋体" w:eastAsia="宋体" w:cs="宋体"/>
          <w:sz w:val="21"/>
          <w:szCs w:val="21"/>
        </w:rPr>
        <w:t xml:space="preserve">）电力设施许可证的得3分，最高3分。</w:t>
      </w:r>
      <w:r>
        <w:rPr>
          <w:rFonts w:hint="eastAsia" w:ascii="宋体" w:hAnsi="宋体" w:eastAsia="宋体" w:cs="宋体"/>
          <w:sz w:val="21"/>
          <w:szCs w:val="21"/>
        </w:rPr>
        <w:t xml:space="preserve">提供相关证书扫描件。</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2、承担过类似业绩：（</w:t>
      </w:r>
      <w:r>
        <w:rPr>
          <w:rFonts w:hint="eastAsia" w:ascii="宋体" w:hAnsi="宋体" w:eastAsia="宋体" w:cs="宋体"/>
          <w:sz w:val="21"/>
          <w:szCs w:val="21"/>
          <w:highlight w:val="none"/>
        </w:rPr>
        <w:t xml:space="preserve">9分）</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提供2021年1月1日至今（以合同签订时间为准）承担过类似项目维护业绩，每提供一份得</w:t>
      </w:r>
      <w:r>
        <w:rPr>
          <w:rFonts w:ascii="宋体" w:hAnsi="宋体" w:eastAsia="宋体" w:cs="宋体"/>
          <w:sz w:val="21"/>
          <w:szCs w:val="21"/>
        </w:rPr>
        <w:t xml:space="preserve">3</w:t>
      </w:r>
      <w:r>
        <w:rPr>
          <w:rFonts w:hint="eastAsia" w:ascii="宋体" w:hAnsi="宋体" w:eastAsia="宋体" w:cs="宋体"/>
          <w:sz w:val="21"/>
          <w:szCs w:val="21"/>
        </w:rPr>
        <w:t xml:space="preserve">分，最高得9分。提供合同扫描件、任意一次发票扫描件。未提供</w:t>
      </w:r>
      <w:r>
        <w:rPr>
          <w:rFonts w:ascii="宋体" w:hAnsi="宋体" w:eastAsia="宋体" w:cs="宋体"/>
          <w:sz w:val="21"/>
          <w:szCs w:val="21"/>
        </w:rPr>
        <w:t xml:space="preserve">或提供不全不得分。</w:t>
      </w:r>
      <w:r/>
    </w:p>
    <w:p>
      <w:pPr>
        <w:ind w:firstLine="420"/>
        <w:spacing w:line="400" w:lineRule="atLeast"/>
        <w:rPr>
          <w:rFonts w:ascii="宋体" w:hAnsi="宋体" w:eastAsia="宋体" w:cs="宋体"/>
          <w:sz w:val="21"/>
          <w:szCs w:val="21"/>
        </w:rPr>
      </w:pPr>
      <w:r>
        <w:rPr>
          <w:rFonts w:hint="eastAsia" w:ascii="宋体" w:hAnsi="宋体" w:eastAsia="宋体" w:cs="宋体"/>
          <w:sz w:val="21"/>
          <w:szCs w:val="21"/>
        </w:rPr>
        <w:t xml:space="preserve">注：针对评分标准中评分的每一条，投标人均应提供相关资料加盖公章并作出相应说明供评委评判。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pStyle w:val="763"/>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pStyle w:val="763"/>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pStyle w:val="763"/>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pStyle w:val="763"/>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pStyle w:val="763"/>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pStyle w:val="763"/>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pStyle w:val="763"/>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pStyle w:val="763"/>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pStyle w:val="763"/>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r/>
      <w:r/>
    </w:p>
    <w:sectPr>
      <w:headerReference w:type="default" r:id="rId11"/>
      <w:footerReference w:type="default" r:id="rId14"/>
      <w:footnotePr/>
      <w:endnotePr/>
      <w:type w:val="nextPage"/>
      <w:pgSz w:w="11906" w:h="16838" w:orient="portrait"/>
      <w:pgMar w:top="1134" w:right="1134" w:bottom="1134" w:left="1134" w:header="851"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宋体;SimSun">
    <w:panose1 w:val="02010600030101010101"/>
  </w:font>
  <w:font w:name="楷体_GB2312">
    <w:panose1 w:val="02010609060101010101"/>
  </w:font>
  <w:font w:name="仿宋_GB2312">
    <w:panose1 w:val="02010609060101010101"/>
  </w:font>
  <w:font w:name="方正仿宋简体;宋体">
    <w:panose1 w:val="020B0503020202020204"/>
  </w:font>
  <w:font w:name="创艺简仿宋;仿宋">
    <w:panose1 w:val="020B0503020202020204"/>
  </w:font>
  <w:font w:name="Calibri">
    <w:panose1 w:val="020F0502020204030204"/>
  </w:font>
  <w:font w:name="Cambria">
    <w:panose1 w:val="02040503050406030204"/>
  </w:font>
  <w:font w:name="楷体_GB2312;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firstLine="361"/>
      <w:jc w:val="center"/>
    </w:pPr>
    <w:r>
      <w:fldChar w:fldCharType="begin"/>
    </w:r>
    <w:r>
      <w:instrText xml:space="preserve">PAGE</w:instrText>
    </w:r>
    <w:r>
      <w:fldChar w:fldCharType="separate"/>
    </w:r>
    <w:r>
      <w:t xml:space="preserve">1</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0"/>
        <w:ind w:firstLine="0"/>
        <w:spacing w:line="240" w:lineRule="auto"/>
        <w:rPr>
          <w:color w:val="000000"/>
          <w:sz w:val="20"/>
          <w:szCs w:val="20"/>
        </w:rPr>
      </w:pPr>
      <w:r>
        <w:rPr>
          <w:rFonts w:hint="eastAsia"/>
          <w:color w:val="000000"/>
          <w:sz w:val="20"/>
          <w:szCs w:val="20"/>
        </w:rPr>
        <w:t xml:space="preserve">备注：1</w:t>
      </w:r>
      <w:r>
        <w:rPr>
          <w:color w:val="000000"/>
          <w:sz w:val="20"/>
          <w:szCs w:val="20"/>
        </w:rPr>
        <w:t xml:space="preserve">.</w:t>
      </w:r>
      <w:r>
        <w:rPr>
          <w:rFonts w:hint="eastAsia"/>
          <w:color w:val="000000"/>
          <w:sz w:val="20"/>
          <w:szCs w:val="20"/>
        </w:rPr>
        <w:t xml:space="preserve">从业人员、营业收入、资产总额填报上一年度数据，无上一年度数据的新成立企业可不填报。</w:t>
      </w:r>
      <w:r/>
    </w:p>
    <w:p>
      <w:pPr>
        <w:pStyle w:val="750"/>
        <w:ind w:firstLine="600"/>
        <w:spacing w:line="240" w:lineRule="auto"/>
        <w:rPr>
          <w:color w:val="000000"/>
          <w:sz w:val="20"/>
          <w:szCs w:val="20"/>
        </w:rPr>
      </w:pPr>
      <w:r>
        <w:rPr>
          <w:color w:val="000000"/>
          <w:sz w:val="20"/>
          <w:szCs w:val="20"/>
        </w:rPr>
        <w:t xml:space="preserve">2.</w:t>
      </w:r>
      <w:r>
        <w:rPr>
          <w:rFonts w:hint="eastAsia"/>
          <w:color w:val="000000"/>
          <w:sz w:val="20"/>
          <w:szCs w:val="20"/>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750"/>
        <w:ind w:firstLine="600"/>
        <w:spacing w:line="240" w:lineRule="auto"/>
        <w:rPr>
          <w:color w:val="000000"/>
          <w:sz w:val="20"/>
          <w:szCs w:val="20"/>
        </w:rPr>
      </w:pPr>
      <w:r>
        <w:rPr>
          <w:rFonts w:hint="eastAsia"/>
          <w:color w:val="000000"/>
          <w:sz w:val="20"/>
          <w:szCs w:val="20"/>
        </w:rPr>
        <w:t xml:space="preserve">3</w:t>
      </w:r>
      <w:r>
        <w:rPr>
          <w:color w:val="000000"/>
          <w:sz w:val="20"/>
          <w:szCs w:val="20"/>
        </w:rPr>
        <w:t xml:space="preserve">.</w:t>
      </w:r>
      <w:r>
        <w:rPr>
          <w:rFonts w:hint="eastAsia"/>
          <w:color w:val="000000"/>
          <w:sz w:val="20"/>
          <w:szCs w:val="20"/>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750"/>
        <w:ind w:firstLine="600"/>
        <w:jc w:val="both"/>
        <w:spacing w:line="240" w:lineRule="auto"/>
        <w:rPr>
          <w:color w:val="000000"/>
          <w:sz w:val="20"/>
          <w:szCs w:val="20"/>
        </w:rPr>
      </w:pPr>
      <w:r>
        <w:rPr>
          <w:color w:val="000000"/>
          <w:sz w:val="20"/>
          <w:szCs w:val="20"/>
        </w:rPr>
        <w:t xml:space="preserve">4.</w:t>
      </w:r>
      <w:r>
        <w:rPr>
          <w:rFonts w:hint="eastAsia"/>
          <w:color w:val="000000"/>
          <w:sz w:val="20"/>
          <w:szCs w:val="20"/>
        </w:rPr>
        <w:t xml:space="preserve">如未对（中型企业、小型企业、微型企业）进行勾选，视同非中小微企业，不可享受相应扶持政策。</w:t>
      </w:r>
      <w:r/>
    </w:p>
    <w:p>
      <w:pPr>
        <w:pStyle w:val="750"/>
        <w:ind w:firstLine="600"/>
        <w:jc w:val="both"/>
        <w:spacing w:line="240" w:lineRule="auto"/>
        <w:rPr>
          <w:sz w:val="21"/>
          <w:szCs w:val="21"/>
        </w:rPr>
      </w:pPr>
      <w:r>
        <w:rPr>
          <w:rFonts w:hint="eastAsia"/>
          <w:sz w:val="21"/>
          <w:szCs w:val="21"/>
        </w:rPr>
        <w:t xml:space="preserve">5</w:t>
      </w:r>
      <w:r>
        <w:rPr>
          <w:sz w:val="21"/>
          <w:szCs w:val="21"/>
        </w:rPr>
        <w:t xml:space="preserve">.</w:t>
      </w:r>
      <w:r>
        <w:rPr>
          <w:rFonts w:hint="eastAsia"/>
          <w:sz w:val="21"/>
          <w:szCs w:val="21"/>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Fonts w:ascii="宋体;SimSun" w:hAnsi="宋体;SimSun" w:cs="宋体;SimSun"/>
      </w:rPr>
    </w:pPr>
    <w:r>
      <w:rPr>
        <w:rFonts w:ascii="宋体;SimSun" w:hAnsi="宋体;SimSun" w:cs="宋体;SimSun"/>
      </w:rPr>
      <w:t xml:space="preserve">政府采购文件采购编号：JSDC2021-SX-C-001-C001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Pr>
        <w:rFonts w:ascii="宋体;SimSun" w:hAnsi="宋体;SimSun" w:cs="宋体;SimSun"/>
      </w:rPr>
      <w:t xml:space="preserve">政府采购文件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ind w:firstLine="361"/>
    </w:pPr>
    <w:r>
      <w:rPr>
        <w:rFonts w:ascii="宋体;SimSun" w:hAnsi="宋体;SimSun" w:cs="宋体;SimSun"/>
      </w:rPr>
      <w:t xml:space="preserve">政府采购文件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5"/>
    <w:link w:val="726"/>
    <w:uiPriority w:val="9"/>
    <w:rPr>
      <w:rFonts w:ascii="Arial" w:hAnsi="Arial" w:eastAsia="Arial" w:cs="Arial"/>
      <w:sz w:val="40"/>
      <w:szCs w:val="40"/>
    </w:rPr>
  </w:style>
  <w:style w:type="character" w:styleId="15">
    <w:name w:val="Heading 2 Char"/>
    <w:basedOn w:val="735"/>
    <w:link w:val="727"/>
    <w:uiPriority w:val="9"/>
    <w:rPr>
      <w:rFonts w:ascii="Arial" w:hAnsi="Arial" w:eastAsia="Arial" w:cs="Arial"/>
      <w:sz w:val="34"/>
    </w:rPr>
  </w:style>
  <w:style w:type="character" w:styleId="17">
    <w:name w:val="Heading 3 Char"/>
    <w:basedOn w:val="735"/>
    <w:link w:val="728"/>
    <w:uiPriority w:val="9"/>
    <w:rPr>
      <w:rFonts w:ascii="Arial" w:hAnsi="Arial" w:eastAsia="Arial" w:cs="Arial"/>
      <w:sz w:val="30"/>
      <w:szCs w:val="30"/>
    </w:rPr>
  </w:style>
  <w:style w:type="character" w:styleId="19">
    <w:name w:val="Heading 4 Char"/>
    <w:basedOn w:val="735"/>
    <w:link w:val="729"/>
    <w:uiPriority w:val="9"/>
    <w:rPr>
      <w:rFonts w:ascii="Arial" w:hAnsi="Arial" w:eastAsia="Arial" w:cs="Arial"/>
      <w:b/>
      <w:bCs/>
      <w:sz w:val="26"/>
      <w:szCs w:val="26"/>
    </w:rPr>
  </w:style>
  <w:style w:type="character" w:styleId="21">
    <w:name w:val="Heading 5 Char"/>
    <w:basedOn w:val="735"/>
    <w:link w:val="730"/>
    <w:uiPriority w:val="9"/>
    <w:rPr>
      <w:rFonts w:ascii="Arial" w:hAnsi="Arial" w:eastAsia="Arial" w:cs="Arial"/>
      <w:b/>
      <w:bCs/>
      <w:sz w:val="24"/>
      <w:szCs w:val="24"/>
    </w:rPr>
  </w:style>
  <w:style w:type="character" w:styleId="25">
    <w:name w:val="Heading 7 Char"/>
    <w:basedOn w:val="735"/>
    <w:link w:val="732"/>
    <w:uiPriority w:val="9"/>
    <w:rPr>
      <w:rFonts w:ascii="Arial" w:hAnsi="Arial" w:eastAsia="Arial" w:cs="Arial"/>
      <w:b/>
      <w:bCs/>
      <w:i/>
      <w:iCs/>
      <w:sz w:val="22"/>
      <w:szCs w:val="22"/>
    </w:rPr>
  </w:style>
  <w:style w:type="character" w:styleId="27">
    <w:name w:val="Heading 8 Char"/>
    <w:basedOn w:val="735"/>
    <w:link w:val="733"/>
    <w:uiPriority w:val="9"/>
    <w:rPr>
      <w:rFonts w:ascii="Arial" w:hAnsi="Arial" w:eastAsia="Arial" w:cs="Arial"/>
      <w:i/>
      <w:iCs/>
      <w:sz w:val="22"/>
      <w:szCs w:val="22"/>
    </w:rPr>
  </w:style>
  <w:style w:type="character" w:styleId="29">
    <w:name w:val="Heading 9 Char"/>
    <w:basedOn w:val="735"/>
    <w:link w:val="73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735"/>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735"/>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5"/>
    <w:link w:val="748"/>
    <w:uiPriority w:val="99"/>
  </w:style>
  <w:style w:type="character" w:styleId="44">
    <w:name w:val="Footer Char"/>
    <w:basedOn w:val="735"/>
    <w:link w:val="747"/>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747"/>
    <w:uiPriority w:val="99"/>
  </w:style>
  <w:style w:type="table" w:styleId="48">
    <w:name w:val="Table Grid Light"/>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0"/>
    <w:uiPriority w:val="99"/>
    <w:rPr>
      <w:sz w:val="18"/>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5"/>
    <w:uiPriority w:val="99"/>
    <w:semiHidden/>
    <w:unhideWhenUsed/>
    <w:rPr>
      <w:vertAlign w:val="superscript"/>
    </w:r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uiPriority w:val="0"/>
    <w:qFormat/>
    <w:pPr>
      <w:jc w:val="both"/>
      <w:widowControl w:val="off"/>
    </w:pPr>
    <w:rPr>
      <w:rFonts w:ascii="Times New Roman" w:hAnsi="Times New Roman" w:eastAsia="楷体_GB2312;楷体" w:cs="Times New Roman"/>
      <w:sz w:val="26"/>
      <w:lang w:val="en-US" w:eastAsia="zh-CN" w:bidi="ar-SA"/>
    </w:rPr>
  </w:style>
  <w:style w:type="paragraph" w:styleId="726">
    <w:name w:val="Heading 1"/>
    <w:basedOn w:val="725"/>
    <w:next w:val="725"/>
    <w:uiPriority w:val="1"/>
    <w:qFormat/>
    <w:pPr>
      <w:jc w:val="center"/>
      <w:keepLines/>
      <w:keepNext/>
      <w:spacing w:before="340" w:after="330" w:line="360" w:lineRule="auto"/>
      <w:outlineLvl w:val="0"/>
    </w:pPr>
    <w:rPr>
      <w:rFonts w:ascii="宋体" w:hAnsi="宋体" w:eastAsia="宋体" w:cs="宋体"/>
      <w:b/>
      <w:sz w:val="32"/>
      <w:szCs w:val="32"/>
    </w:rPr>
  </w:style>
  <w:style w:type="paragraph" w:styleId="727">
    <w:name w:val="Heading 2"/>
    <w:basedOn w:val="725"/>
    <w:next w:val="725"/>
    <w:link w:val="82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8">
    <w:name w:val="Heading 3"/>
    <w:basedOn w:val="725"/>
    <w:next w:val="725"/>
    <w:uiPriority w:val="9"/>
    <w:qFormat/>
    <w:pPr>
      <w:jc w:val="left"/>
      <w:keepLines/>
      <w:keepNext/>
      <w:outlineLvl w:val="2"/>
    </w:pPr>
    <w:rPr>
      <w:b/>
    </w:rPr>
  </w:style>
  <w:style w:type="paragraph" w:styleId="729">
    <w:name w:val="Heading 4"/>
    <w:basedOn w:val="725"/>
    <w:next w:val="725"/>
    <w:link w:val="825"/>
    <w:uiPriority w:val="9"/>
    <w:qFormat/>
    <w:pPr>
      <w:ind w:left="864" w:hanging="864"/>
      <w:keepLines/>
      <w:keepNext/>
      <w:spacing w:before="280" w:after="290" w:line="376" w:lineRule="auto"/>
      <w:outlineLvl w:val="3"/>
    </w:pPr>
    <w:rPr>
      <w:rFonts w:ascii="Cambria" w:hAnsi="Cambria" w:eastAsia="宋体"/>
      <w:b/>
      <w:bCs/>
      <w:sz w:val="28"/>
      <w:szCs w:val="28"/>
    </w:rPr>
  </w:style>
  <w:style w:type="paragraph" w:styleId="730">
    <w:name w:val="Heading 5"/>
    <w:basedOn w:val="725"/>
    <w:next w:val="725"/>
    <w:link w:val="826"/>
    <w:uiPriority w:val="9"/>
    <w:qFormat/>
    <w:pPr>
      <w:ind w:left="1008" w:hanging="1008"/>
      <w:keepLines/>
      <w:keepNext/>
      <w:spacing w:before="280" w:after="290" w:line="376" w:lineRule="auto"/>
      <w:outlineLvl w:val="4"/>
    </w:pPr>
    <w:rPr>
      <w:rFonts w:ascii="Calibri" w:hAnsi="Calibri" w:eastAsia="宋体"/>
      <w:b/>
      <w:bCs/>
      <w:sz w:val="28"/>
      <w:szCs w:val="28"/>
    </w:rPr>
  </w:style>
  <w:style w:type="paragraph" w:styleId="731">
    <w:name w:val="Heading 6"/>
    <w:basedOn w:val="725"/>
    <w:next w:val="725"/>
    <w:link w:val="827"/>
    <w:uiPriority w:val="9"/>
    <w:qFormat/>
    <w:pPr>
      <w:ind w:left="1152" w:hanging="1152"/>
      <w:keepLines/>
      <w:keepNext/>
      <w:spacing w:before="240" w:after="64" w:line="320" w:lineRule="auto"/>
      <w:outlineLvl w:val="5"/>
    </w:pPr>
    <w:rPr>
      <w:rFonts w:ascii="Cambria" w:hAnsi="Cambria" w:eastAsia="宋体"/>
      <w:b/>
      <w:bCs/>
      <w:sz w:val="24"/>
      <w:szCs w:val="24"/>
    </w:rPr>
  </w:style>
  <w:style w:type="paragraph" w:styleId="732">
    <w:name w:val="Heading 7"/>
    <w:basedOn w:val="725"/>
    <w:next w:val="725"/>
    <w:link w:val="828"/>
    <w:uiPriority w:val="9"/>
    <w:qFormat/>
    <w:pPr>
      <w:ind w:left="1296" w:hanging="1296"/>
      <w:keepLines/>
      <w:keepNext/>
      <w:spacing w:before="240" w:after="64" w:line="320" w:lineRule="auto"/>
      <w:outlineLvl w:val="6"/>
    </w:pPr>
    <w:rPr>
      <w:rFonts w:ascii="Calibri" w:hAnsi="Calibri" w:eastAsia="宋体"/>
      <w:b/>
      <w:bCs/>
      <w:sz w:val="24"/>
      <w:szCs w:val="24"/>
    </w:rPr>
  </w:style>
  <w:style w:type="paragraph" w:styleId="733">
    <w:name w:val="Heading 8"/>
    <w:basedOn w:val="725"/>
    <w:next w:val="725"/>
    <w:link w:val="829"/>
    <w:uiPriority w:val="9"/>
    <w:qFormat/>
    <w:pPr>
      <w:ind w:left="1440" w:hanging="1440"/>
      <w:keepLines/>
      <w:keepNext/>
      <w:spacing w:before="240" w:after="64" w:line="320" w:lineRule="auto"/>
      <w:outlineLvl w:val="7"/>
    </w:pPr>
    <w:rPr>
      <w:rFonts w:ascii="Cambria" w:hAnsi="Cambria" w:eastAsia="宋体"/>
      <w:sz w:val="24"/>
      <w:szCs w:val="24"/>
    </w:rPr>
  </w:style>
  <w:style w:type="paragraph" w:styleId="734">
    <w:name w:val="Heading 9"/>
    <w:basedOn w:val="725"/>
    <w:next w:val="725"/>
    <w:link w:val="830"/>
    <w:uiPriority w:val="9"/>
    <w:qFormat/>
    <w:pPr>
      <w:ind w:left="1584" w:hanging="1584"/>
      <w:keepLines/>
      <w:keepNext/>
      <w:spacing w:before="240" w:after="64" w:line="320" w:lineRule="auto"/>
      <w:outlineLvl w:val="8"/>
    </w:pPr>
    <w:rPr>
      <w:rFonts w:ascii="Cambria" w:hAnsi="Cambria" w:eastAsia="宋体"/>
      <w:sz w:val="21"/>
      <w:szCs w:val="21"/>
    </w:rPr>
  </w:style>
  <w:style w:type="character" w:styleId="735" w:default="1">
    <w:name w:val="Default Paragraph Font"/>
    <w:uiPriority w:val="1"/>
    <w:semiHidden/>
    <w:unhideWhenUsed/>
    <w:qFormat/>
  </w:style>
  <w:style w:type="table" w:styleId="736" w:default="1">
    <w:name w:val="Normal Table"/>
    <w:uiPriority w:val="99"/>
    <w:semiHidden/>
    <w:unhideWhenUsed/>
    <w:tblPr>
      <w:tblCellMar>
        <w:left w:w="108" w:type="dxa"/>
        <w:top w:w="0" w:type="dxa"/>
        <w:right w:w="108" w:type="dxa"/>
        <w:bottom w:w="0" w:type="dxa"/>
      </w:tblCellMar>
    </w:tblPr>
  </w:style>
  <w:style w:type="paragraph" w:styleId="737">
    <w:name w:val="Normal Indent"/>
    <w:basedOn w:val="725"/>
    <w:next w:val="725"/>
    <w:link w:val="766"/>
    <w:uiPriority w:val="0"/>
    <w:qFormat/>
    <w:pPr>
      <w:ind w:firstLine="420"/>
      <w:jc w:val="left"/>
    </w:pPr>
    <w:rPr>
      <w:sz w:val="24"/>
    </w:rPr>
  </w:style>
  <w:style w:type="paragraph" w:styleId="738">
    <w:name w:val="List Bullet"/>
    <w:basedOn w:val="726"/>
    <w:next w:val="725"/>
    <w:uiPriority w:val="99"/>
    <w:semiHidden/>
    <w:unhideWhenUsed/>
    <w:qFormat/>
    <w:pPr>
      <w:numPr>
        <w:ilvl w:val="0"/>
        <w:numId w:val="1"/>
      </w:numPr>
    </w:pPr>
  </w:style>
  <w:style w:type="paragraph" w:styleId="739">
    <w:name w:val="annotation text"/>
    <w:basedOn w:val="725"/>
    <w:link w:val="767"/>
    <w:uiPriority w:val="99"/>
    <w:qFormat/>
    <w:pPr>
      <w:jc w:val="left"/>
    </w:pPr>
    <w:rPr>
      <w:rFonts w:asciiTheme="minorHAnsi" w:hAnsiTheme="minorHAnsi" w:eastAsiaTheme="minorEastAsia" w:cstheme="minorBidi"/>
      <w:sz w:val="21"/>
      <w:szCs w:val="24"/>
    </w:rPr>
  </w:style>
  <w:style w:type="paragraph" w:styleId="740">
    <w:name w:val="Body Text"/>
    <w:basedOn w:val="725"/>
    <w:uiPriority w:val="0"/>
    <w:qFormat/>
    <w:pPr>
      <w:spacing w:line="400" w:lineRule="exact"/>
    </w:pPr>
    <w:rPr>
      <w:rFonts w:ascii="楷体_GB2312;楷体" w:hAnsi="楷体_GB2312;楷体"/>
      <w:sz w:val="28"/>
    </w:rPr>
  </w:style>
  <w:style w:type="paragraph" w:styleId="741">
    <w:name w:val="Body Text Indent"/>
    <w:basedOn w:val="725"/>
    <w:next w:val="742"/>
    <w:link w:val="765"/>
    <w:uiPriority w:val="99"/>
    <w:qFormat/>
    <w:pPr>
      <w:ind w:left="570"/>
      <w:spacing w:line="520" w:lineRule="exact"/>
    </w:pPr>
    <w:rPr>
      <w:rFonts w:ascii="方正仿宋简体;宋体" w:hAnsi="方正仿宋简体;宋体" w:eastAsia="方正仿宋简体;宋体" w:cs="创艺简仿宋;仿宋"/>
      <w:sz w:val="24"/>
    </w:rPr>
  </w:style>
  <w:style w:type="paragraph" w:styleId="742">
    <w:name w:val="envelope return"/>
    <w:basedOn w:val="725"/>
    <w:uiPriority w:val="0"/>
    <w:qFormat/>
    <w:rPr>
      <w:rFonts w:ascii="Arial" w:hAnsi="Arial" w:eastAsia="楷体_GB2312"/>
    </w:rPr>
  </w:style>
  <w:style w:type="paragraph" w:styleId="743">
    <w:name w:val="Block Text"/>
    <w:basedOn w:val="726"/>
    <w:next w:val="725"/>
    <w:uiPriority w:val="0"/>
    <w:qFormat/>
    <w:pPr>
      <w:ind w:left="420" w:right="33" w:firstLine="2560"/>
      <w:spacing w:before="0" w:after="0" w:line="240" w:lineRule="auto"/>
      <w:tabs>
        <w:tab w:val="left" w:pos="1050" w:leader="none"/>
      </w:tabs>
    </w:pPr>
  </w:style>
  <w:style w:type="paragraph" w:styleId="744">
    <w:name w:val="Plain Text"/>
    <w:basedOn w:val="725"/>
    <w:link w:val="831"/>
    <w:uiPriority w:val="0"/>
    <w:qFormat/>
    <w:rPr>
      <w:rFonts w:ascii="宋体;SimSun" w:hAnsi="宋体;SimSun" w:cs="Courier New"/>
      <w:sz w:val="28"/>
    </w:rPr>
  </w:style>
  <w:style w:type="paragraph" w:styleId="745">
    <w:name w:val="Date"/>
    <w:basedOn w:val="725"/>
    <w:next w:val="725"/>
    <w:uiPriority w:val="0"/>
    <w:qFormat/>
    <w:rPr>
      <w:rFonts w:ascii="宋体" w:hAnsi="宋体"/>
      <w:sz w:val="24"/>
    </w:rPr>
  </w:style>
  <w:style w:type="paragraph" w:styleId="746">
    <w:name w:val="Balloon Text"/>
    <w:basedOn w:val="725"/>
    <w:link w:val="768"/>
    <w:uiPriority w:val="99"/>
    <w:semiHidden/>
    <w:unhideWhenUsed/>
    <w:qFormat/>
    <w:rPr>
      <w:sz w:val="18"/>
      <w:szCs w:val="18"/>
    </w:rPr>
  </w:style>
  <w:style w:type="paragraph" w:styleId="747">
    <w:name w:val="Footer"/>
    <w:basedOn w:val="725"/>
    <w:uiPriority w:val="0"/>
    <w:qFormat/>
    <w:pPr>
      <w:jc w:val="left"/>
      <w:tabs>
        <w:tab w:val="center" w:pos="4153" w:leader="none"/>
        <w:tab w:val="right" w:pos="8306" w:leader="none"/>
      </w:tabs>
    </w:pPr>
    <w:rPr>
      <w:rFonts w:ascii="Tahoma" w:hAnsi="Tahoma" w:eastAsia="宋体;SimSun" w:cs="Tahoma"/>
      <w:sz w:val="18"/>
      <w:szCs w:val="18"/>
    </w:rPr>
  </w:style>
  <w:style w:type="paragraph" w:styleId="748">
    <w:name w:val="Header"/>
    <w:basedOn w:val="725"/>
    <w:link w:val="769"/>
    <w:uiPriority w:val="99"/>
    <w:qFormat/>
    <w:pPr>
      <w:jc w:val="center"/>
      <w:tabs>
        <w:tab w:val="center" w:pos="4153" w:leader="none"/>
        <w:tab w:val="right" w:pos="8306" w:leader="none"/>
      </w:tabs>
      <w:pBdr>
        <w:bottom w:val="single" w:color="000000" w:sz="6" w:space="1"/>
      </w:pBdr>
    </w:pPr>
    <w:rPr>
      <w:rFonts w:ascii="Tahoma" w:hAnsi="Tahoma" w:eastAsia="宋体;SimSun" w:cs="Tahoma"/>
      <w:sz w:val="18"/>
      <w:szCs w:val="18"/>
    </w:rPr>
  </w:style>
  <w:style w:type="paragraph" w:styleId="749">
    <w:name w:val="toc 1"/>
    <w:basedOn w:val="725"/>
    <w:next w:val="725"/>
    <w:uiPriority w:val="0"/>
    <w:qFormat/>
    <w:pPr>
      <w:ind w:firstLine="751"/>
      <w:jc w:val="left"/>
      <w:spacing w:line="360" w:lineRule="auto"/>
      <w:tabs>
        <w:tab w:val="right" w:pos="9538" w:leader="dot"/>
      </w:tabs>
    </w:pPr>
    <w:rPr>
      <w:sz w:val="24"/>
    </w:rPr>
  </w:style>
  <w:style w:type="paragraph" w:styleId="750">
    <w:name w:val="footnote text"/>
    <w:basedOn w:val="726"/>
    <w:next w:val="743"/>
    <w:uiPriority w:val="0"/>
    <w:qFormat/>
    <w:pPr>
      <w:ind w:firstLine="3584"/>
      <w:spacing w:before="0" w:after="0"/>
      <w:tabs>
        <w:tab w:val="left" w:pos="1050" w:leader="none"/>
      </w:tabs>
    </w:pPr>
  </w:style>
  <w:style w:type="paragraph" w:styleId="751">
    <w:name w:val="Body Text Indent 3"/>
    <w:basedOn w:val="725"/>
    <w:uiPriority w:val="0"/>
    <w:qFormat/>
    <w:pPr>
      <w:ind w:firstLine="617"/>
      <w:spacing w:line="360" w:lineRule="auto"/>
    </w:pPr>
    <w:rPr>
      <w:rFonts w:eastAsia="宋体"/>
      <w:sz w:val="24"/>
      <w:szCs w:val="24"/>
    </w:rPr>
  </w:style>
  <w:style w:type="paragraph" w:styleId="752">
    <w:name w:val="Body Text 2"/>
    <w:basedOn w:val="726"/>
    <w:next w:val="738"/>
    <w:uiPriority w:val="0"/>
    <w:qFormat/>
    <w:pPr>
      <w:ind w:firstLine="1024"/>
      <w:spacing w:before="0" w:after="120" w:line="480" w:lineRule="auto"/>
      <w:tabs>
        <w:tab w:val="left" w:pos="1050" w:leader="none"/>
      </w:tabs>
    </w:pPr>
  </w:style>
  <w:style w:type="paragraph" w:styleId="753">
    <w:name w:val="Normal (Web)"/>
    <w:basedOn w:val="725"/>
    <w:uiPriority w:val="0"/>
    <w:qFormat/>
    <w:pPr>
      <w:jc w:val="left"/>
      <w:spacing w:before="100" w:beforeAutospacing="1" w:after="100" w:afterAutospacing="1"/>
      <w:widowControl/>
    </w:pPr>
    <w:rPr>
      <w:rFonts w:ascii="宋体" w:hAnsi="宋体" w:cs="宋体"/>
      <w:sz w:val="24"/>
    </w:rPr>
  </w:style>
  <w:style w:type="paragraph" w:styleId="754">
    <w:name w:val="annotation subject"/>
    <w:basedOn w:val="739"/>
    <w:next w:val="739"/>
    <w:link w:val="770"/>
    <w:uiPriority w:val="99"/>
    <w:semiHidden/>
    <w:unhideWhenUsed/>
    <w:qFormat/>
    <w:rPr>
      <w:rFonts w:ascii="Times New Roman" w:hAnsi="Times New Roman" w:eastAsia="楷体_GB2312;楷体" w:cs="Times New Roman"/>
      <w:b/>
      <w:bCs/>
      <w:sz w:val="26"/>
      <w:szCs w:val="20"/>
    </w:rPr>
  </w:style>
  <w:style w:type="paragraph" w:styleId="755">
    <w:name w:val="Body Text First Indent"/>
    <w:basedOn w:val="725"/>
    <w:uiPriority w:val="0"/>
    <w:qFormat/>
    <w:pPr>
      <w:ind w:firstLine="480"/>
    </w:pPr>
    <w:rPr>
      <w:lang w:val="zh-CN"/>
    </w:rPr>
  </w:style>
  <w:style w:type="paragraph" w:styleId="756">
    <w:name w:val="Body Text First Indent 2"/>
    <w:link w:val="764"/>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57">
    <w:name w:val="Table Grid"/>
    <w:basedOn w:val="736"/>
    <w:uiPriority w:val="0"/>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basedOn w:val="735"/>
    <w:uiPriority w:val="22"/>
    <w:qFormat/>
    <w:rPr>
      <w:b/>
    </w:rPr>
  </w:style>
  <w:style w:type="character" w:styleId="759">
    <w:name w:val="FollowedHyperlink"/>
    <w:basedOn w:val="735"/>
    <w:uiPriority w:val="99"/>
    <w:semiHidden/>
    <w:unhideWhenUsed/>
    <w:qFormat/>
    <w:rPr>
      <w:color w:val="800080"/>
      <w:u w:val="single"/>
    </w:rPr>
  </w:style>
  <w:style w:type="character" w:styleId="760">
    <w:name w:val="Hyperlink"/>
    <w:basedOn w:val="735"/>
    <w:uiPriority w:val="99"/>
    <w:unhideWhenUsed/>
    <w:qFormat/>
    <w:rPr>
      <w:color w:val="0000ff"/>
      <w:u w:val="single"/>
    </w:rPr>
  </w:style>
  <w:style w:type="character" w:styleId="761">
    <w:name w:val="annotation reference"/>
    <w:basedOn w:val="735"/>
    <w:uiPriority w:val="99"/>
    <w:qFormat/>
    <w:rPr>
      <w:sz w:val="21"/>
      <w:szCs w:val="21"/>
    </w:rPr>
  </w:style>
  <w:style w:type="character" w:styleId="762">
    <w:name w:val="footnote reference"/>
    <w:uiPriority w:val="0"/>
    <w:unhideWhenUsed/>
    <w:qFormat/>
    <w:rPr>
      <w:vertAlign w:val="superscript"/>
    </w:rPr>
  </w:style>
  <w:style w:type="paragraph" w:styleId="763" w:customStyle="1">
    <w:name w:val="段"/>
    <w:next w:val="725"/>
    <w:uiPriority w:val="0"/>
    <w:qFormat/>
    <w:pPr>
      <w:ind w:firstLine="200"/>
      <w:jc w:val="both"/>
      <w:spacing w:line="360" w:lineRule="auto"/>
    </w:pPr>
    <w:rPr>
      <w:rFonts w:ascii="宋体;SimSun" w:hAnsi="宋体;SimSun" w:eastAsia="宋体;SimSun" w:cs="Calibri"/>
      <w:sz w:val="24"/>
      <w:szCs w:val="22"/>
      <w:lang w:val="en-US" w:eastAsia="zh-CN" w:bidi="ar-SA"/>
    </w:rPr>
  </w:style>
  <w:style w:type="character" w:styleId="764" w:customStyle="1">
    <w:name w:val="正文首行缩进 2 字符"/>
    <w:basedOn w:val="765"/>
    <w:link w:val="756"/>
    <w:uiPriority w:val="99"/>
    <w:qFormat/>
    <w:rPr>
      <w:rFonts w:ascii="Calibri" w:hAnsi="Calibri" w:eastAsia="方正仿宋简体;宋体" w:cs="创艺简仿宋;仿宋"/>
      <w:sz w:val="21"/>
    </w:rPr>
  </w:style>
  <w:style w:type="character" w:styleId="765" w:customStyle="1">
    <w:name w:val="正文文本缩进 字符"/>
    <w:basedOn w:val="735"/>
    <w:link w:val="741"/>
    <w:uiPriority w:val="99"/>
    <w:qFormat/>
    <w:rPr>
      <w:rFonts w:ascii="方正仿宋简体;宋体" w:hAnsi="方正仿宋简体;宋体" w:eastAsia="方正仿宋简体;宋体" w:cs="创艺简仿宋;仿宋"/>
      <w:sz w:val="24"/>
    </w:rPr>
  </w:style>
  <w:style w:type="character" w:styleId="766" w:customStyle="1">
    <w:name w:val="正文缩进 字符"/>
    <w:link w:val="737"/>
    <w:uiPriority w:val="99"/>
    <w:qFormat/>
    <w:rPr>
      <w:rFonts w:eastAsia="楷体_GB2312;楷体"/>
      <w:sz w:val="24"/>
    </w:rPr>
  </w:style>
  <w:style w:type="character" w:styleId="767" w:customStyle="1">
    <w:name w:val="批注文字 字符"/>
    <w:basedOn w:val="735"/>
    <w:link w:val="739"/>
    <w:uiPriority w:val="99"/>
    <w:qFormat/>
    <w:rPr>
      <w:rFonts w:asciiTheme="minorHAnsi" w:hAnsiTheme="minorHAnsi" w:eastAsiaTheme="minorEastAsia" w:cstheme="minorBidi"/>
      <w:lang w:bidi="ar-SA"/>
    </w:rPr>
  </w:style>
  <w:style w:type="character" w:styleId="768" w:customStyle="1">
    <w:name w:val="批注框文本 字符"/>
    <w:basedOn w:val="735"/>
    <w:link w:val="746"/>
    <w:uiPriority w:val="99"/>
    <w:semiHidden/>
    <w:qFormat/>
    <w:rPr>
      <w:rFonts w:ascii="Times New Roman" w:hAnsi="Times New Roman" w:eastAsia="楷体_GB2312;楷体"/>
      <w:sz w:val="18"/>
      <w:szCs w:val="18"/>
      <w:lang w:bidi="ar-SA"/>
    </w:rPr>
  </w:style>
  <w:style w:type="character" w:styleId="769" w:customStyle="1">
    <w:name w:val="页眉 字符"/>
    <w:basedOn w:val="735"/>
    <w:link w:val="748"/>
    <w:uiPriority w:val="99"/>
    <w:qFormat/>
    <w:rPr>
      <w:rFonts w:ascii="Tahoma" w:hAnsi="Tahoma" w:eastAsia="宋体;SimSun" w:cs="Tahoma"/>
      <w:sz w:val="18"/>
      <w:szCs w:val="18"/>
      <w:lang w:bidi="ar-SA"/>
    </w:rPr>
  </w:style>
  <w:style w:type="character" w:styleId="770" w:customStyle="1">
    <w:name w:val="批注主题 字符"/>
    <w:basedOn w:val="767"/>
    <w:link w:val="754"/>
    <w:uiPriority w:val="99"/>
    <w:semiHidden/>
    <w:qFormat/>
    <w:rPr>
      <w:rFonts w:ascii="Times New Roman" w:hAnsi="Times New Roman" w:eastAsia="楷体_GB2312;楷体" w:cstheme="minorBidi"/>
      <w:b/>
      <w:bCs/>
      <w:sz w:val="26"/>
      <w:szCs w:val="20"/>
      <w:lang w:bidi="ar-SA"/>
    </w:rPr>
  </w:style>
  <w:style w:type="paragraph" w:styleId="771" w:customStyle="1">
    <w:name w:val="首行缩进"/>
    <w:basedOn w:val="725"/>
    <w:uiPriority w:val="0"/>
    <w:qFormat/>
    <w:pPr>
      <w:ind w:firstLine="480"/>
    </w:pPr>
    <w:rPr>
      <w:lang w:val="zh-CN"/>
    </w:rPr>
  </w:style>
  <w:style w:type="paragraph" w:styleId="772" w:customStyle="1">
    <w:name w:val="纯文本1"/>
    <w:basedOn w:val="725"/>
    <w:uiPriority w:val="0"/>
    <w:qFormat/>
    <w:rPr>
      <w:rFonts w:ascii="宋体;SimSun" w:hAnsi="宋体;SimSun" w:cs="Courier New"/>
    </w:rPr>
  </w:style>
  <w:style w:type="paragraph" w:styleId="773" w:customStyle="1">
    <w:name w:val="纯文本2"/>
    <w:basedOn w:val="725"/>
    <w:uiPriority w:val="0"/>
    <w:qFormat/>
    <w:rPr>
      <w:rFonts w:ascii="宋体;SimSun" w:hAnsi="宋体;SimSun" w:cs="Courier New"/>
      <w:sz w:val="28"/>
    </w:rPr>
  </w:style>
  <w:style w:type="paragraph" w:styleId="774">
    <w:name w:val="List Paragraph"/>
    <w:basedOn w:val="725"/>
    <w:next w:val="775"/>
    <w:uiPriority w:val="34"/>
    <w:qFormat/>
    <w:pPr>
      <w:ind w:firstLine="420"/>
      <w:spacing w:line="560" w:lineRule="exact"/>
    </w:pPr>
    <w:rPr>
      <w:rFonts w:eastAsia="宋体" w:asciiTheme="minorHAnsi" w:hAnsiTheme="minorHAnsi" w:cstheme="minorBidi"/>
      <w:sz w:val="28"/>
      <w:szCs w:val="22"/>
    </w:rPr>
  </w:style>
  <w:style w:type="paragraph" w:styleId="775" w:customStyle="1">
    <w:name w:val="xl91"/>
    <w:basedOn w:val="725"/>
    <w:next w:val="776"/>
    <w:uiPriority w:val="0"/>
    <w:qFormat/>
    <w:pPr>
      <w:jc w:val="center"/>
      <w:spacing w:before="100" w:beforeAutospacing="1" w:after="100" w:afterAutospacing="1"/>
      <w:widowControl/>
      <w:pBdr>
        <w:left w:val="single" w:color="000000" w:sz="4" w:space="0"/>
      </w:pBdr>
    </w:pPr>
    <w:rPr>
      <w:rFonts w:eastAsia="宋体"/>
      <w:b/>
      <w:bCs/>
      <w:sz w:val="21"/>
      <w:szCs w:val="21"/>
    </w:rPr>
  </w:style>
  <w:style w:type="paragraph" w:styleId="776" w:customStyle="1">
    <w:name w:val="xl76"/>
    <w:basedOn w:val="725"/>
    <w:next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1"/>
      <w:szCs w:val="21"/>
    </w:rPr>
  </w:style>
  <w:style w:type="paragraph" w:styleId="777" w:customStyle="1">
    <w:name w:val="修订1"/>
    <w:hidden/>
    <w:uiPriority w:val="99"/>
    <w:semiHidden/>
    <w:qFormat/>
    <w:rPr>
      <w:rFonts w:ascii="Times New Roman" w:hAnsi="Times New Roman" w:eastAsia="楷体_GB2312;楷体" w:cs="Times New Roman"/>
      <w:sz w:val="26"/>
      <w:lang w:val="en-US" w:eastAsia="zh-CN" w:bidi="ar-SA"/>
    </w:rPr>
  </w:style>
  <w:style w:type="paragraph" w:styleId="778" w:customStyle="1">
    <w:name w:val="修订2"/>
    <w:hidden/>
    <w:uiPriority w:val="99"/>
    <w:semiHidden/>
    <w:qFormat/>
    <w:rPr>
      <w:rFonts w:ascii="Times New Roman" w:hAnsi="Times New Roman" w:eastAsia="楷体_GB2312;楷体" w:cs="Times New Roman"/>
      <w:sz w:val="26"/>
      <w:lang w:val="en-US" w:eastAsia="zh-CN" w:bidi="ar-SA"/>
    </w:rPr>
  </w:style>
  <w:style w:type="paragraph" w:styleId="779" w:customStyle="1">
    <w:name w:val="修订3"/>
    <w:hidden/>
    <w:uiPriority w:val="99"/>
    <w:semiHidden/>
    <w:qFormat/>
    <w:rPr>
      <w:rFonts w:ascii="Times New Roman" w:hAnsi="Times New Roman" w:eastAsia="楷体_GB2312;楷体" w:cs="Times New Roman"/>
      <w:sz w:val="26"/>
      <w:lang w:val="en-US" w:eastAsia="zh-CN" w:bidi="ar-SA"/>
    </w:rPr>
  </w:style>
  <w:style w:type="character" w:styleId="780" w:customStyle="1">
    <w:name w:val="批注文字 Char1"/>
    <w:basedOn w:val="735"/>
    <w:uiPriority w:val="99"/>
    <w:qFormat/>
    <w:rPr>
      <w:rFonts w:ascii="Calibri" w:hAnsi="Calibri" w:eastAsia="宋体" w:cs="Times New Roman"/>
    </w:rPr>
  </w:style>
  <w:style w:type="paragraph" w:styleId="781" w:customStyle="1">
    <w:name w:val="正文1"/>
    <w:basedOn w:val="725"/>
    <w:next w:val="725"/>
    <w:uiPriority w:val="0"/>
    <w:qFormat/>
    <w:pPr>
      <w:ind w:left="420" w:firstLine="527"/>
      <w:spacing w:before="120" w:line="360" w:lineRule="auto"/>
    </w:pPr>
    <w:rPr>
      <w:rFonts w:ascii="宋体" w:hAnsi="宋体"/>
    </w:rPr>
  </w:style>
  <w:style w:type="paragraph" w:styleId="782" w:customStyle="1">
    <w:name w:val="正文缩进1"/>
    <w:basedOn w:val="781"/>
    <w:uiPriority w:val="0"/>
    <w:qFormat/>
    <w:pPr>
      <w:ind w:firstLine="420"/>
    </w:pPr>
  </w:style>
  <w:style w:type="paragraph" w:styleId="78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784"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785" w:customStyle="1">
    <w:name w:val="Heading 6 Char"/>
    <w:basedOn w:val="735"/>
    <w:uiPriority w:val="9"/>
    <w:qFormat/>
    <w:rPr>
      <w:rFonts w:ascii="Arial" w:hAnsi="Arial" w:eastAsia="Arial" w:cs="Arial"/>
      <w:b/>
      <w:bCs/>
      <w:sz w:val="22"/>
      <w:szCs w:val="22"/>
    </w:rPr>
  </w:style>
  <w:style w:type="paragraph" w:styleId="786" w:customStyle="1">
    <w:name w:val="font5"/>
    <w:basedOn w:val="725"/>
    <w:uiPriority w:val="0"/>
    <w:qFormat/>
    <w:pPr>
      <w:jc w:val="left"/>
      <w:spacing w:before="100" w:beforeAutospacing="1" w:after="100" w:afterAutospacing="1"/>
      <w:widowControl/>
    </w:pPr>
    <w:rPr>
      <w:rFonts w:ascii="宋体" w:hAnsi="宋体" w:eastAsia="宋体" w:cs="宋体"/>
      <w:sz w:val="18"/>
      <w:szCs w:val="18"/>
    </w:rPr>
  </w:style>
  <w:style w:type="paragraph" w:styleId="787" w:customStyle="1">
    <w:name w:val="font6"/>
    <w:basedOn w:val="725"/>
    <w:uiPriority w:val="0"/>
    <w:qFormat/>
    <w:pPr>
      <w:jc w:val="left"/>
      <w:spacing w:before="100" w:beforeAutospacing="1" w:after="100" w:afterAutospacing="1"/>
      <w:widowControl/>
    </w:pPr>
    <w:rPr>
      <w:rFonts w:eastAsia="宋体"/>
      <w:b/>
      <w:bCs/>
      <w:sz w:val="21"/>
      <w:szCs w:val="21"/>
    </w:rPr>
  </w:style>
  <w:style w:type="paragraph" w:styleId="788" w:customStyle="1">
    <w:name w:val="font7"/>
    <w:basedOn w:val="725"/>
    <w:uiPriority w:val="0"/>
    <w:qFormat/>
    <w:pPr>
      <w:jc w:val="left"/>
      <w:spacing w:before="100" w:beforeAutospacing="1" w:after="100" w:afterAutospacing="1"/>
      <w:widowControl/>
    </w:pPr>
    <w:rPr>
      <w:rFonts w:eastAsia="宋体"/>
      <w:color w:val="000000"/>
      <w:sz w:val="21"/>
      <w:szCs w:val="21"/>
    </w:rPr>
  </w:style>
  <w:style w:type="paragraph" w:styleId="789" w:customStyle="1">
    <w:name w:val="font8"/>
    <w:basedOn w:val="725"/>
    <w:uiPriority w:val="0"/>
    <w:qFormat/>
    <w:pPr>
      <w:jc w:val="left"/>
      <w:spacing w:before="100" w:beforeAutospacing="1" w:after="100" w:afterAutospacing="1"/>
      <w:widowControl/>
    </w:pPr>
    <w:rPr>
      <w:rFonts w:eastAsia="宋体"/>
      <w:sz w:val="21"/>
      <w:szCs w:val="21"/>
    </w:rPr>
  </w:style>
  <w:style w:type="paragraph" w:styleId="790" w:customStyle="1">
    <w:name w:val="font9"/>
    <w:basedOn w:val="725"/>
    <w:uiPriority w:val="0"/>
    <w:qFormat/>
    <w:pPr>
      <w:jc w:val="left"/>
      <w:spacing w:before="100" w:beforeAutospacing="1" w:after="100" w:afterAutospacing="1"/>
      <w:widowControl/>
    </w:pPr>
    <w:rPr>
      <w:rFonts w:ascii="宋体" w:hAnsi="宋体" w:eastAsia="宋体" w:cs="宋体"/>
      <w:sz w:val="21"/>
      <w:szCs w:val="21"/>
    </w:rPr>
  </w:style>
  <w:style w:type="paragraph" w:styleId="791" w:customStyle="1">
    <w:name w:val="font10"/>
    <w:basedOn w:val="725"/>
    <w:uiPriority w:val="0"/>
    <w:qFormat/>
    <w:pPr>
      <w:jc w:val="left"/>
      <w:spacing w:before="100" w:beforeAutospacing="1" w:after="100" w:afterAutospacing="1"/>
      <w:widowControl/>
    </w:pPr>
    <w:rPr>
      <w:rFonts w:ascii="宋体" w:hAnsi="宋体" w:eastAsia="宋体" w:cs="宋体"/>
      <w:sz w:val="21"/>
      <w:szCs w:val="21"/>
    </w:rPr>
  </w:style>
  <w:style w:type="paragraph" w:styleId="792" w:customStyle="1">
    <w:name w:val="font11"/>
    <w:basedOn w:val="725"/>
    <w:uiPriority w:val="0"/>
    <w:qFormat/>
    <w:pPr>
      <w:jc w:val="left"/>
      <w:spacing w:before="100" w:beforeAutospacing="1" w:after="100" w:afterAutospacing="1"/>
      <w:widowControl/>
    </w:pPr>
    <w:rPr>
      <w:rFonts w:ascii="宋体" w:hAnsi="宋体" w:eastAsia="宋体" w:cs="宋体"/>
      <w:b/>
      <w:bCs/>
      <w:color w:val="000000"/>
      <w:sz w:val="21"/>
      <w:szCs w:val="21"/>
    </w:rPr>
  </w:style>
  <w:style w:type="paragraph" w:styleId="793" w:customStyle="1">
    <w:name w:val="font12"/>
    <w:basedOn w:val="725"/>
    <w:uiPriority w:val="0"/>
    <w:qFormat/>
    <w:pPr>
      <w:jc w:val="left"/>
      <w:spacing w:before="100" w:beforeAutospacing="1" w:after="100" w:afterAutospacing="1"/>
      <w:widowControl/>
    </w:pPr>
    <w:rPr>
      <w:rFonts w:ascii="宋体" w:hAnsi="宋体" w:eastAsia="宋体" w:cs="宋体"/>
      <w:b/>
      <w:bCs/>
      <w:sz w:val="21"/>
      <w:szCs w:val="21"/>
    </w:rPr>
  </w:style>
  <w:style w:type="paragraph" w:styleId="794" w:customStyle="1">
    <w:name w:val="font13"/>
    <w:basedOn w:val="725"/>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795" w:customStyle="1">
    <w:name w:val="xl65"/>
    <w:basedOn w:val="725"/>
    <w:uiPriority w:val="0"/>
    <w:qFormat/>
    <w:pPr>
      <w:jc w:val="center"/>
      <w:spacing w:before="100" w:beforeAutospacing="1" w:after="100" w:afterAutospacing="1"/>
      <w:widowControl/>
    </w:pPr>
    <w:rPr>
      <w:rFonts w:ascii="宋体" w:hAnsi="宋体" w:eastAsia="宋体" w:cs="宋体"/>
      <w:sz w:val="24"/>
      <w:szCs w:val="24"/>
    </w:rPr>
  </w:style>
  <w:style w:type="paragraph" w:styleId="796" w:customStyle="1">
    <w:name w:val="xl66"/>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797" w:customStyle="1">
    <w:name w:val="xl67"/>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798" w:customStyle="1">
    <w:name w:val="xl68"/>
    <w:basedOn w:val="725"/>
    <w:uiPriority w:val="0"/>
    <w:qFormat/>
    <w:pPr>
      <w:jc w:val="center"/>
      <w:spacing w:before="100" w:beforeAutospacing="1" w:after="100" w:afterAutospacing="1"/>
      <w:widowControl/>
    </w:pPr>
    <w:rPr>
      <w:rFonts w:ascii="宋体" w:hAnsi="宋体" w:eastAsia="宋体" w:cs="宋体"/>
      <w:sz w:val="24"/>
      <w:szCs w:val="24"/>
    </w:rPr>
  </w:style>
  <w:style w:type="paragraph" w:styleId="799" w:customStyle="1">
    <w:name w:val="xl69"/>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b/>
      <w:bCs/>
      <w:sz w:val="21"/>
      <w:szCs w:val="21"/>
    </w:rPr>
  </w:style>
  <w:style w:type="paragraph" w:styleId="800" w:customStyle="1">
    <w:name w:val="xl70"/>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b/>
      <w:bCs/>
      <w:sz w:val="21"/>
      <w:szCs w:val="21"/>
    </w:rPr>
  </w:style>
  <w:style w:type="paragraph" w:styleId="801" w:customStyle="1">
    <w:name w:val="xl71"/>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b/>
      <w:bCs/>
      <w:sz w:val="21"/>
      <w:szCs w:val="21"/>
    </w:rPr>
  </w:style>
  <w:style w:type="paragraph" w:styleId="802" w:customStyle="1">
    <w:name w:val="xl72"/>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b/>
      <w:bCs/>
      <w:sz w:val="21"/>
      <w:szCs w:val="21"/>
    </w:rPr>
  </w:style>
  <w:style w:type="paragraph" w:styleId="803" w:customStyle="1">
    <w:name w:val="xl73"/>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paragraph" w:styleId="804" w:customStyle="1">
    <w:name w:val="xl74"/>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paragraph" w:styleId="805" w:customStyle="1">
    <w:name w:val="xl75"/>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paragraph" w:styleId="806" w:customStyle="1">
    <w:name w:val="xl77"/>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rPr>
  </w:style>
  <w:style w:type="paragraph" w:styleId="807" w:customStyle="1">
    <w:name w:val="xl78"/>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1"/>
      <w:szCs w:val="21"/>
    </w:rPr>
  </w:style>
  <w:style w:type="paragraph" w:styleId="808" w:customStyle="1">
    <w:name w:val="xl79"/>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1"/>
      <w:szCs w:val="21"/>
    </w:rPr>
  </w:style>
  <w:style w:type="paragraph" w:styleId="809" w:customStyle="1">
    <w:name w:val="xl80"/>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1"/>
      <w:szCs w:val="21"/>
    </w:rPr>
  </w:style>
  <w:style w:type="paragraph" w:styleId="810" w:customStyle="1">
    <w:name w:val="xl81"/>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811" w:customStyle="1">
    <w:name w:val="xl82"/>
    <w:basedOn w:val="72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1"/>
      <w:szCs w:val="21"/>
    </w:rPr>
  </w:style>
  <w:style w:type="paragraph" w:styleId="812" w:customStyle="1">
    <w:name w:val="xl83"/>
    <w:basedOn w:val="7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21"/>
      <w:szCs w:val="21"/>
    </w:rPr>
  </w:style>
  <w:style w:type="paragraph" w:styleId="813" w:customStyle="1">
    <w:name w:val="xl84"/>
    <w:basedOn w:val="7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21"/>
      <w:szCs w:val="21"/>
    </w:rPr>
  </w:style>
  <w:style w:type="paragraph" w:styleId="814" w:customStyle="1">
    <w:name w:val="xl85"/>
    <w:basedOn w:val="7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1"/>
      <w:szCs w:val="21"/>
    </w:rPr>
  </w:style>
  <w:style w:type="paragraph" w:styleId="815" w:customStyle="1">
    <w:name w:val="xl86"/>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816" w:customStyle="1">
    <w:name w:val="xl87"/>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1"/>
      <w:szCs w:val="21"/>
    </w:rPr>
  </w:style>
  <w:style w:type="paragraph" w:styleId="817" w:customStyle="1">
    <w:name w:val="xl88"/>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1"/>
      <w:szCs w:val="21"/>
    </w:rPr>
  </w:style>
  <w:style w:type="paragraph" w:styleId="818" w:customStyle="1">
    <w:name w:val="xl89"/>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819" w:customStyle="1">
    <w:name w:val="xl90"/>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b/>
      <w:bCs/>
      <w:sz w:val="24"/>
      <w:szCs w:val="24"/>
    </w:rPr>
  </w:style>
  <w:style w:type="paragraph" w:styleId="820" w:customStyle="1">
    <w:name w:val="xl92"/>
    <w:basedOn w:val="725"/>
    <w:uiPriority w:val="0"/>
    <w:qFormat/>
    <w:pPr>
      <w:jc w:val="center"/>
      <w:spacing w:before="100" w:beforeAutospacing="1" w:after="100" w:afterAutospacing="1"/>
      <w:widowControl/>
    </w:pPr>
    <w:rPr>
      <w:rFonts w:eastAsia="宋体"/>
      <w:b/>
      <w:bCs/>
      <w:sz w:val="21"/>
      <w:szCs w:val="21"/>
    </w:rPr>
  </w:style>
  <w:style w:type="paragraph" w:styleId="821" w:customStyle="1">
    <w:name w:val="xl93"/>
    <w:basedOn w:val="725"/>
    <w:uiPriority w:val="0"/>
    <w:qFormat/>
    <w:pPr>
      <w:jc w:val="center"/>
      <w:spacing w:before="100" w:beforeAutospacing="1" w:after="100" w:afterAutospacing="1"/>
      <w:widowControl/>
      <w:pBdr>
        <w:right w:val="single" w:color="000000" w:sz="4" w:space="0"/>
      </w:pBdr>
    </w:pPr>
    <w:rPr>
      <w:rFonts w:eastAsia="宋体"/>
      <w:b/>
      <w:bCs/>
      <w:sz w:val="21"/>
      <w:szCs w:val="21"/>
    </w:rPr>
  </w:style>
  <w:style w:type="paragraph" w:styleId="822" w:customStyle="1">
    <w:name w:val="纯文本3"/>
    <w:basedOn w:val="725"/>
    <w:uiPriority w:val="0"/>
    <w:qFormat/>
    <w:rPr>
      <w:rFonts w:ascii="宋体" w:hAnsi="Courier New"/>
    </w:rPr>
  </w:style>
  <w:style w:type="paragraph" w:styleId="823" w:customStyle="1">
    <w:name w:val="正文 宋 4-"/>
    <w:basedOn w:val="725"/>
    <w:uiPriority w:val="0"/>
    <w:qFormat/>
    <w:pPr>
      <w:ind w:firstLine="482"/>
      <w:spacing w:after="120" w:line="440" w:lineRule="exact"/>
    </w:pPr>
    <w:rPr>
      <w:rFonts w:eastAsia="宋体"/>
      <w:sz w:val="24"/>
    </w:rPr>
  </w:style>
  <w:style w:type="character" w:styleId="824" w:customStyle="1">
    <w:name w:val="标题 2 字符"/>
    <w:basedOn w:val="735"/>
    <w:link w:val="727"/>
    <w:uiPriority w:val="9"/>
    <w:semiHidden/>
    <w:qFormat/>
    <w:rPr>
      <w:rFonts w:asciiTheme="majorHAnsi" w:hAnsiTheme="majorHAnsi" w:eastAsiaTheme="majorEastAsia" w:cstheme="majorBidi"/>
      <w:b/>
      <w:bCs/>
      <w:sz w:val="32"/>
      <w:szCs w:val="32"/>
    </w:rPr>
  </w:style>
  <w:style w:type="character" w:styleId="825" w:customStyle="1">
    <w:name w:val="标题 4 字符"/>
    <w:basedOn w:val="735"/>
    <w:link w:val="729"/>
    <w:uiPriority w:val="9"/>
    <w:qFormat/>
    <w:rPr>
      <w:rFonts w:ascii="Cambria" w:hAnsi="Cambria"/>
      <w:b/>
      <w:bCs/>
      <w:sz w:val="28"/>
      <w:szCs w:val="28"/>
    </w:rPr>
  </w:style>
  <w:style w:type="character" w:styleId="826" w:customStyle="1">
    <w:name w:val="标题 5 字符"/>
    <w:basedOn w:val="735"/>
    <w:link w:val="730"/>
    <w:uiPriority w:val="9"/>
    <w:qFormat/>
    <w:rPr>
      <w:rFonts w:ascii="Calibri" w:hAnsi="Calibri"/>
      <w:b/>
      <w:bCs/>
      <w:sz w:val="28"/>
      <w:szCs w:val="28"/>
    </w:rPr>
  </w:style>
  <w:style w:type="character" w:styleId="827" w:customStyle="1">
    <w:name w:val="标题 6 字符"/>
    <w:basedOn w:val="735"/>
    <w:link w:val="731"/>
    <w:uiPriority w:val="9"/>
    <w:qFormat/>
    <w:rPr>
      <w:rFonts w:ascii="Cambria" w:hAnsi="Cambria"/>
      <w:b/>
      <w:bCs/>
      <w:sz w:val="24"/>
      <w:szCs w:val="24"/>
    </w:rPr>
  </w:style>
  <w:style w:type="character" w:styleId="828" w:customStyle="1">
    <w:name w:val="标题 7 字符"/>
    <w:basedOn w:val="735"/>
    <w:link w:val="732"/>
    <w:uiPriority w:val="9"/>
    <w:qFormat/>
    <w:rPr>
      <w:rFonts w:ascii="Calibri" w:hAnsi="Calibri"/>
      <w:b/>
      <w:bCs/>
      <w:sz w:val="24"/>
      <w:szCs w:val="24"/>
    </w:rPr>
  </w:style>
  <w:style w:type="character" w:styleId="829" w:customStyle="1">
    <w:name w:val="标题 8 字符"/>
    <w:basedOn w:val="735"/>
    <w:link w:val="733"/>
    <w:uiPriority w:val="9"/>
    <w:qFormat/>
    <w:rPr>
      <w:rFonts w:ascii="Cambria" w:hAnsi="Cambria"/>
      <w:sz w:val="24"/>
      <w:szCs w:val="24"/>
    </w:rPr>
  </w:style>
  <w:style w:type="character" w:styleId="830" w:customStyle="1">
    <w:name w:val="标题 9 字符"/>
    <w:basedOn w:val="735"/>
    <w:link w:val="734"/>
    <w:uiPriority w:val="9"/>
    <w:qFormat/>
    <w:rPr>
      <w:rFonts w:ascii="Cambria" w:hAnsi="Cambria"/>
      <w:sz w:val="21"/>
      <w:szCs w:val="21"/>
    </w:rPr>
  </w:style>
  <w:style w:type="character" w:styleId="831" w:customStyle="1">
    <w:name w:val="纯文本 字符"/>
    <w:link w:val="744"/>
    <w:uiPriority w:val="0"/>
    <w:qFormat/>
    <w:rPr>
      <w:rFonts w:ascii="宋体;SimSun" w:hAnsi="宋体;SimSun" w:eastAsia="楷体_GB2312;楷体" w:cs="Courier New"/>
      <w:sz w:val="28"/>
    </w:rPr>
  </w:style>
  <w:style w:type="paragraph" w:styleId="832" w:customStyle="1">
    <w:name w:val="列出段落1"/>
    <w:basedOn w:val="725"/>
    <w:uiPriority w:val="34"/>
    <w:qFormat/>
    <w:pPr>
      <w:ind w:firstLine="420"/>
    </w:pPr>
    <w:rPr>
      <w:rFonts w:ascii="Calibri" w:hAnsi="Calibri" w:eastAsia="宋体"/>
      <w:sz w:val="21"/>
      <w:szCs w:val="22"/>
    </w:rPr>
  </w:style>
  <w:style w:type="numbering" w:styleId="186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4A92C-7100-417E-BB5F-A1BC936DD1B0}"/>
</file>

<file path=docProps/app.xml><?xml version="1.0" encoding="utf-8"?>
<Properties xmlns="http://schemas.openxmlformats.org/officeDocument/2006/extended-properties" xmlns:vt="http://schemas.openxmlformats.org/officeDocument/2006/docPropsVTypes">
  <Application>ONLYOFFICE/7.2.1.34</Application>
  <Company>Users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雨林木风</dc:creator>
  <cp:lastModifiedBy>张占柏</cp:lastModifiedBy>
  <cp:revision>199</cp:revision>
  <dcterms:created xsi:type="dcterms:W3CDTF">2024-05-24T04:49:00Z</dcterms:created>
  <dcterms:modified xsi:type="dcterms:W3CDTF">2026-07-29T07:37:40Z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214FE7B695744E4F89D3A96458C094F0_13</vt:lpwstr>
  </property>
  <property fmtid="{D5CDD505-2E9C-101B-9397-08002B2CF9AE}" pid="3" name="KSOProductBuildVer">
    <vt:lpwstr>2052-12.1.0.26895</vt:lpwstr>
  </property>
  <property fmtid="{D5CDD505-2E9C-101B-9397-08002B2CF9AE}" pid="4" name="KSOTemplateDocerSaveRecord">
    <vt:lpwstr>eyJoZGlkIjoiYTQyMTU5MmQ0YjI3NjVkNWQzNTkzNmM1MDJhZTcwZmIiLCJ1c2VySWQiOiIxMzA1NzU3NTg3In0=</vt:lpwstr>
  </property>
</Properties>
</file>